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2B180">
      <w:pPr>
        <w:pStyle w:val="41"/>
      </w:pPr>
      <w:bookmarkStart w:id="0" w:name="_Toc174767467"/>
      <w:bookmarkStart w:id="1" w:name="_Toc172337883"/>
      <w:bookmarkStart w:id="2" w:name="_Toc172338033"/>
      <w:bookmarkStart w:id="3" w:name="_Toc269397666"/>
      <w:bookmarkStart w:id="4" w:name="_Toc182125894"/>
      <w:bookmarkStart w:id="5" w:name="_Toc182125817"/>
    </w:p>
    <w:p w14:paraId="34677413">
      <w:pPr>
        <w:pStyle w:val="12"/>
        <w:spacing w:line="360" w:lineRule="auto"/>
        <w:jc w:val="center"/>
        <w:rPr>
          <w:rFonts w:hint="eastAsia" w:ascii="宋体" w:hAnsi="宋体" w:cs="宋体"/>
          <w:b/>
          <w:sz w:val="44"/>
          <w:szCs w:val="44"/>
        </w:rPr>
      </w:pPr>
    </w:p>
    <w:p w14:paraId="1295B0C9">
      <w:pPr>
        <w:pStyle w:val="12"/>
        <w:spacing w:line="360" w:lineRule="auto"/>
        <w:jc w:val="center"/>
        <w:rPr>
          <w:rFonts w:hint="eastAsia" w:ascii="宋体" w:hAnsi="宋体" w:eastAsia="宋体" w:cs="宋体"/>
          <w:b/>
          <w:sz w:val="40"/>
          <w:szCs w:val="40"/>
          <w:lang w:eastAsia="zh-CN"/>
        </w:rPr>
      </w:pPr>
      <w:r>
        <w:rPr>
          <w:rFonts w:hint="eastAsia" w:ascii="宋体" w:hAnsi="宋体" w:cs="宋体"/>
          <w:b/>
          <w:bCs w:val="0"/>
          <w:snapToGrid/>
          <w:kern w:val="2"/>
          <w:sz w:val="40"/>
          <w:szCs w:val="40"/>
          <w:lang w:val="zh-CN"/>
        </w:rPr>
        <w:t>长兴县市政基础设施资产会计核算分析服务项目</w:t>
      </w:r>
    </w:p>
    <w:p w14:paraId="2FBC6F91">
      <w:pPr>
        <w:pStyle w:val="12"/>
        <w:spacing w:line="360" w:lineRule="auto"/>
        <w:rPr>
          <w:rFonts w:hint="eastAsia" w:ascii="宋体" w:hAnsi="宋体" w:cs="宋体"/>
          <w:b/>
          <w:sz w:val="24"/>
        </w:rPr>
      </w:pPr>
    </w:p>
    <w:p w14:paraId="667D5DBC">
      <w:pPr>
        <w:pStyle w:val="13"/>
        <w:spacing w:after="0" w:line="360" w:lineRule="auto"/>
        <w:ind w:firstLine="240"/>
        <w:rPr>
          <w:sz w:val="24"/>
        </w:rPr>
      </w:pPr>
    </w:p>
    <w:p w14:paraId="455B0442">
      <w:pPr>
        <w:pStyle w:val="12"/>
        <w:spacing w:line="360" w:lineRule="auto"/>
        <w:rPr>
          <w:rFonts w:hint="eastAsia" w:ascii="宋体" w:hAnsi="宋体" w:cs="宋体"/>
          <w:b/>
          <w:sz w:val="24"/>
        </w:rPr>
      </w:pPr>
    </w:p>
    <w:p w14:paraId="50FBCEF0">
      <w:pPr>
        <w:spacing w:line="360" w:lineRule="auto"/>
        <w:rPr>
          <w:sz w:val="24"/>
        </w:rPr>
      </w:pPr>
    </w:p>
    <w:p w14:paraId="306044DF">
      <w:pPr>
        <w:pStyle w:val="13"/>
        <w:spacing w:after="0" w:line="360" w:lineRule="auto"/>
        <w:ind w:firstLine="240"/>
        <w:rPr>
          <w:sz w:val="24"/>
        </w:rPr>
      </w:pPr>
    </w:p>
    <w:p w14:paraId="3CA74A6F">
      <w:pPr>
        <w:pStyle w:val="13"/>
        <w:spacing w:after="0" w:line="360" w:lineRule="auto"/>
        <w:ind w:firstLine="241"/>
        <w:rPr>
          <w:rFonts w:hint="eastAsia" w:ascii="宋体" w:hAnsi="宋体" w:cs="宋体"/>
          <w:b/>
          <w:sz w:val="24"/>
        </w:rPr>
      </w:pPr>
    </w:p>
    <w:p w14:paraId="51A1FE30">
      <w:pPr>
        <w:spacing w:line="360" w:lineRule="auto"/>
        <w:rPr>
          <w:sz w:val="44"/>
          <w:szCs w:val="44"/>
        </w:rPr>
      </w:pPr>
    </w:p>
    <w:p w14:paraId="55FA2BC3">
      <w:pPr>
        <w:pStyle w:val="12"/>
        <w:spacing w:line="360" w:lineRule="auto"/>
        <w:jc w:val="center"/>
        <w:rPr>
          <w:rFonts w:hint="eastAsia" w:ascii="宋体" w:hAnsi="宋体" w:cs="宋体"/>
          <w:b/>
          <w:sz w:val="24"/>
          <w:lang w:val="zh-CN"/>
        </w:rPr>
      </w:pPr>
      <w:bookmarkStart w:id="6" w:name="OLE_LINK12"/>
      <w:r>
        <w:rPr>
          <w:rFonts w:hint="eastAsia" w:ascii="宋体" w:hAnsi="宋体" w:cs="宋体"/>
          <w:b/>
          <w:sz w:val="84"/>
          <w:szCs w:val="84"/>
          <w:lang w:val="zh-CN"/>
        </w:rPr>
        <w:t>竞争性磋商文件</w:t>
      </w:r>
      <w:bookmarkEnd w:id="6"/>
      <w:r>
        <w:rPr>
          <w:rFonts w:hint="eastAsia" w:ascii="宋体" w:hAnsi="宋体" w:cs="宋体"/>
          <w:b/>
          <w:sz w:val="24"/>
          <w:lang w:val="zh-CN"/>
        </w:rPr>
        <w:cr/>
      </w:r>
    </w:p>
    <w:p w14:paraId="702CC899">
      <w:pPr>
        <w:autoSpaceDE w:val="0"/>
        <w:autoSpaceDN w:val="0"/>
        <w:spacing w:line="360" w:lineRule="auto"/>
        <w:rPr>
          <w:rFonts w:hint="eastAsia" w:ascii="宋体" w:hAnsi="宋体" w:cs="宋体"/>
          <w:sz w:val="24"/>
          <w:lang w:val="zh-CN"/>
        </w:rPr>
      </w:pPr>
    </w:p>
    <w:p w14:paraId="74742CD6">
      <w:pPr>
        <w:pStyle w:val="13"/>
        <w:spacing w:after="0" w:line="360" w:lineRule="auto"/>
        <w:ind w:firstLine="240"/>
        <w:rPr>
          <w:rFonts w:hint="eastAsia" w:ascii="宋体" w:hAnsi="宋体" w:cs="宋体"/>
          <w:sz w:val="24"/>
          <w:lang w:val="zh-CN"/>
        </w:rPr>
      </w:pPr>
    </w:p>
    <w:p w14:paraId="0D016669">
      <w:pPr>
        <w:autoSpaceDE w:val="0"/>
        <w:autoSpaceDN w:val="0"/>
        <w:spacing w:line="360" w:lineRule="auto"/>
        <w:rPr>
          <w:rFonts w:hint="eastAsia" w:ascii="宋体" w:hAnsi="宋体" w:cs="宋体"/>
          <w:sz w:val="24"/>
          <w:lang w:val="zh-CN"/>
        </w:rPr>
      </w:pPr>
    </w:p>
    <w:p w14:paraId="52933B37">
      <w:pPr>
        <w:pStyle w:val="13"/>
        <w:spacing w:after="0" w:line="360" w:lineRule="auto"/>
        <w:ind w:firstLine="240"/>
        <w:rPr>
          <w:rFonts w:hint="eastAsia" w:ascii="宋体" w:hAnsi="宋体" w:cs="宋体"/>
          <w:sz w:val="24"/>
          <w:lang w:val="zh-CN"/>
        </w:rPr>
      </w:pPr>
    </w:p>
    <w:p w14:paraId="00DEC557">
      <w:pPr>
        <w:autoSpaceDE w:val="0"/>
        <w:autoSpaceDN w:val="0"/>
        <w:spacing w:line="360" w:lineRule="auto"/>
        <w:rPr>
          <w:rFonts w:hint="eastAsia" w:ascii="宋体" w:hAnsi="宋体" w:cs="宋体"/>
          <w:b/>
          <w:bCs/>
          <w:snapToGrid w:val="0"/>
          <w:kern w:val="0"/>
          <w:sz w:val="24"/>
          <w:lang w:val="zh-CN"/>
        </w:rPr>
      </w:pPr>
    </w:p>
    <w:p w14:paraId="7A2BBAA2">
      <w:pPr>
        <w:pStyle w:val="12"/>
        <w:rPr>
          <w:rFonts w:hint="eastAsia" w:ascii="宋体" w:hAnsi="宋体" w:cs="宋体"/>
          <w:b/>
          <w:bCs/>
          <w:snapToGrid w:val="0"/>
          <w:kern w:val="0"/>
          <w:sz w:val="24"/>
          <w:lang w:val="zh-CN"/>
        </w:rPr>
      </w:pPr>
    </w:p>
    <w:p w14:paraId="65D4CAC9">
      <w:pPr>
        <w:pStyle w:val="13"/>
        <w:ind w:firstLine="241"/>
        <w:rPr>
          <w:rFonts w:hint="eastAsia" w:ascii="宋体" w:hAnsi="宋体" w:cs="宋体"/>
          <w:b/>
          <w:bCs/>
          <w:snapToGrid w:val="0"/>
          <w:kern w:val="0"/>
          <w:sz w:val="24"/>
          <w:lang w:val="zh-CN"/>
        </w:rPr>
      </w:pPr>
    </w:p>
    <w:p w14:paraId="4BDFA2A7">
      <w:pPr>
        <w:rPr>
          <w:lang w:val="zh-CN"/>
        </w:rPr>
      </w:pPr>
    </w:p>
    <w:p w14:paraId="4B2CE8F5">
      <w:pPr>
        <w:autoSpaceDE w:val="0"/>
        <w:autoSpaceDN w:val="0"/>
        <w:spacing w:line="360" w:lineRule="auto"/>
        <w:rPr>
          <w:rFonts w:hint="eastAsia" w:ascii="宋体" w:hAnsi="宋体" w:cs="宋体"/>
          <w:b/>
          <w:bCs/>
          <w:snapToGrid w:val="0"/>
          <w:kern w:val="0"/>
          <w:sz w:val="24"/>
          <w:highlight w:val="none"/>
          <w:lang w:val="zh-CN"/>
        </w:rPr>
      </w:pPr>
    </w:p>
    <w:p w14:paraId="134049DF">
      <w:pPr>
        <w:autoSpaceDE w:val="0"/>
        <w:autoSpaceDN w:val="0"/>
        <w:spacing w:line="360" w:lineRule="auto"/>
        <w:rPr>
          <w:rFonts w:hint="default" w:ascii="宋体" w:hAnsi="宋体" w:eastAsia="宋体" w:cs="宋体"/>
          <w:b/>
          <w:bCs/>
          <w:snapToGrid w:val="0"/>
          <w:kern w:val="0"/>
          <w:sz w:val="24"/>
          <w:highlight w:val="none"/>
          <w:lang w:val="en-US" w:eastAsia="zh-CN"/>
        </w:rPr>
      </w:pPr>
      <w:r>
        <w:rPr>
          <w:rFonts w:hint="eastAsia" w:ascii="宋体" w:hAnsi="宋体" w:cs="宋体"/>
          <w:b/>
          <w:bCs/>
          <w:snapToGrid w:val="0"/>
          <w:kern w:val="0"/>
          <w:sz w:val="24"/>
          <w:highlight w:val="none"/>
          <w:lang w:val="zh-CN"/>
        </w:rPr>
        <w:t>项目编号：</w:t>
      </w:r>
      <w:r>
        <w:rPr>
          <w:rFonts w:hint="eastAsia" w:ascii="宋体" w:hAnsi="宋体" w:cs="宋体"/>
          <w:b/>
          <w:bCs/>
          <w:snapToGrid w:val="0"/>
          <w:kern w:val="0"/>
          <w:sz w:val="24"/>
          <w:highlight w:val="none"/>
          <w:lang w:eastAsia="zh-CN"/>
        </w:rPr>
        <w:t>HYCX-2024-ZY079</w:t>
      </w:r>
    </w:p>
    <w:p w14:paraId="0414CF92">
      <w:pPr>
        <w:autoSpaceDE w:val="0"/>
        <w:autoSpaceDN w:val="0"/>
        <w:spacing w:line="360" w:lineRule="auto"/>
        <w:rPr>
          <w:rFonts w:hint="eastAsia" w:ascii="宋体" w:hAnsi="宋体" w:cs="宋体"/>
          <w:b/>
          <w:bCs/>
          <w:snapToGrid w:val="0"/>
          <w:kern w:val="0"/>
          <w:sz w:val="24"/>
          <w:lang w:val="zh-CN"/>
        </w:rPr>
      </w:pPr>
      <w:r>
        <w:rPr>
          <w:rFonts w:hint="eastAsia" w:hAnsi="宋体"/>
          <w:b/>
          <w:bCs/>
          <w:sz w:val="24"/>
        </w:rPr>
        <w:t>项目名称</w:t>
      </w:r>
      <w:r>
        <w:rPr>
          <w:rFonts w:hint="eastAsia" w:ascii="宋体" w:hAnsi="宋体" w:cs="宋体"/>
          <w:b/>
          <w:bCs/>
          <w:snapToGrid w:val="0"/>
          <w:kern w:val="0"/>
          <w:sz w:val="24"/>
          <w:lang w:val="zh-CN"/>
        </w:rPr>
        <w:t>：长兴县市政基础设施资产会计核算分析服务项目</w:t>
      </w:r>
    </w:p>
    <w:p w14:paraId="0199A395">
      <w:pPr>
        <w:autoSpaceDE w:val="0"/>
        <w:autoSpaceDN w:val="0"/>
        <w:spacing w:line="360" w:lineRule="auto"/>
        <w:rPr>
          <w:rFonts w:hint="eastAsia" w:ascii="宋体" w:hAnsi="宋体" w:eastAsia="宋体" w:cs="宋体"/>
          <w:b/>
          <w:bCs/>
          <w:snapToGrid w:val="0"/>
          <w:kern w:val="0"/>
          <w:sz w:val="24"/>
          <w:lang w:eastAsia="zh-CN"/>
        </w:rPr>
      </w:pPr>
      <w:r>
        <w:rPr>
          <w:rFonts w:hint="eastAsia" w:ascii="宋体" w:hAnsi="宋体" w:cs="宋体"/>
          <w:b/>
          <w:bCs/>
          <w:snapToGrid w:val="0"/>
          <w:kern w:val="0"/>
          <w:sz w:val="24"/>
        </w:rPr>
        <w:t>采 购 人</w:t>
      </w:r>
      <w:r>
        <w:rPr>
          <w:rFonts w:hint="eastAsia" w:ascii="宋体" w:hAnsi="宋体" w:cs="宋体"/>
          <w:b/>
          <w:bCs/>
          <w:sz w:val="24"/>
          <w:lang w:val="zh-CN"/>
        </w:rPr>
        <w:t>：</w:t>
      </w:r>
      <w:r>
        <w:rPr>
          <w:rFonts w:hint="eastAsia" w:ascii="宋体" w:hAnsi="宋体" w:cs="宋体"/>
          <w:b/>
          <w:bCs/>
          <w:snapToGrid w:val="0"/>
          <w:kern w:val="0"/>
          <w:sz w:val="24"/>
          <w:lang w:eastAsia="zh-CN"/>
        </w:rPr>
        <w:t>长兴县城市建设发展管理中心</w:t>
      </w:r>
    </w:p>
    <w:p w14:paraId="7C5054D4">
      <w:pPr>
        <w:spacing w:line="360" w:lineRule="auto"/>
        <w:ind w:right="246" w:rightChars="117"/>
        <w:rPr>
          <w:rFonts w:hint="eastAsia" w:ascii="宋体" w:hAnsi="宋体" w:eastAsia="宋体" w:cs="宋体"/>
          <w:b/>
          <w:bCs/>
          <w:snapToGrid w:val="0"/>
          <w:kern w:val="0"/>
          <w:sz w:val="24"/>
          <w:lang w:eastAsia="zh-CN"/>
        </w:rPr>
      </w:pPr>
      <w:r>
        <w:rPr>
          <w:rFonts w:hint="eastAsia" w:ascii="宋体" w:hAnsi="宋体" w:cs="宋体"/>
          <w:b/>
          <w:bCs/>
          <w:snapToGrid w:val="0"/>
          <w:kern w:val="0"/>
          <w:sz w:val="24"/>
        </w:rPr>
        <w:t>采购代理机构：</w:t>
      </w:r>
      <w:r>
        <w:rPr>
          <w:rFonts w:hint="eastAsia" w:ascii="宋体" w:hAnsi="宋体" w:cs="宋体"/>
          <w:b/>
          <w:bCs/>
          <w:snapToGrid w:val="0"/>
          <w:kern w:val="0"/>
          <w:sz w:val="24"/>
          <w:lang w:eastAsia="zh-CN"/>
        </w:rPr>
        <w:t>浙江华元工程咨询有限公司</w:t>
      </w:r>
    </w:p>
    <w:p w14:paraId="51D2CA1E">
      <w:pPr>
        <w:autoSpaceDE w:val="0"/>
        <w:autoSpaceDN w:val="0"/>
        <w:spacing w:line="360" w:lineRule="auto"/>
        <w:rPr>
          <w:rFonts w:hint="eastAsia" w:ascii="宋体" w:hAnsi="宋体" w:cs="宋体"/>
          <w:b/>
          <w:bCs/>
          <w:sz w:val="24"/>
          <w:highlight w:val="none"/>
        </w:rPr>
      </w:pPr>
      <w:r>
        <w:rPr>
          <w:rFonts w:hint="eastAsia" w:ascii="宋体" w:hAnsi="宋体" w:cs="宋体"/>
          <w:b/>
          <w:bCs/>
          <w:snapToGrid w:val="0"/>
          <w:kern w:val="0"/>
          <w:sz w:val="24"/>
        </w:rPr>
        <w:t xml:space="preserve">                  日   </w:t>
      </w:r>
      <w:r>
        <w:rPr>
          <w:rFonts w:hint="eastAsia" w:ascii="宋体" w:hAnsi="宋体" w:cs="宋体"/>
          <w:b/>
          <w:bCs/>
          <w:snapToGrid w:val="0"/>
          <w:kern w:val="0"/>
          <w:sz w:val="24"/>
          <w:highlight w:val="none"/>
        </w:rPr>
        <w:t xml:space="preserve"> 期：二○二四年</w:t>
      </w:r>
      <w:r>
        <w:rPr>
          <w:rFonts w:hint="eastAsia" w:ascii="宋体" w:hAnsi="宋体" w:cs="宋体"/>
          <w:b/>
          <w:bCs/>
          <w:snapToGrid w:val="0"/>
          <w:kern w:val="0"/>
          <w:sz w:val="24"/>
          <w:highlight w:val="none"/>
          <w:lang w:eastAsia="zh-CN"/>
        </w:rPr>
        <w:t>九</w:t>
      </w:r>
      <w:r>
        <w:rPr>
          <w:rFonts w:hint="eastAsia" w:ascii="宋体" w:hAnsi="宋体" w:cs="宋体"/>
          <w:b/>
          <w:bCs/>
          <w:snapToGrid w:val="0"/>
          <w:kern w:val="0"/>
          <w:sz w:val="24"/>
          <w:highlight w:val="none"/>
        </w:rPr>
        <w:t>月</w:t>
      </w:r>
    </w:p>
    <w:p w14:paraId="6D7F3FA4">
      <w:pPr>
        <w:adjustRightInd w:val="0"/>
        <w:snapToGrid w:val="0"/>
        <w:spacing w:line="360" w:lineRule="auto"/>
        <w:ind w:left="420" w:firstLine="420"/>
        <w:jc w:val="center"/>
        <w:rPr>
          <w:rFonts w:hint="eastAsia" w:ascii="宋体" w:hAnsi="宋体" w:cs="宋体"/>
          <w:b/>
          <w:sz w:val="24"/>
        </w:rPr>
        <w:sectPr>
          <w:headerReference r:id="rId3" w:type="default"/>
          <w:footerReference r:id="rId4" w:type="default"/>
          <w:footerReference r:id="rId5" w:type="even"/>
          <w:type w:val="continuous"/>
          <w:pgSz w:w="11906" w:h="16838"/>
          <w:pgMar w:top="1134" w:right="1134" w:bottom="1134" w:left="1417" w:header="850" w:footer="850" w:gutter="0"/>
          <w:pgNumType w:fmt="decimal" w:start="0"/>
          <w:cols w:space="720" w:num="1"/>
          <w:docGrid w:linePitch="312" w:charSpace="0"/>
        </w:sectPr>
      </w:pPr>
    </w:p>
    <w:p w14:paraId="3BE6D189">
      <w:pPr>
        <w:jc w:val="left"/>
      </w:pPr>
    </w:p>
    <w:p w14:paraId="5C9B094D">
      <w:pPr>
        <w:adjustRightInd w:val="0"/>
        <w:snapToGrid w:val="0"/>
        <w:spacing w:line="360" w:lineRule="auto"/>
        <w:jc w:val="center"/>
        <w:rPr>
          <w:rFonts w:hint="eastAsia" w:ascii="宋体" w:hAnsi="宋体" w:cs="宋体"/>
          <w:b/>
          <w:sz w:val="44"/>
          <w:szCs w:val="44"/>
        </w:rPr>
      </w:pPr>
      <w:r>
        <w:rPr>
          <w:rFonts w:hint="eastAsia" w:ascii="宋体" w:hAnsi="宋体" w:cs="宋体"/>
          <w:b/>
          <w:sz w:val="44"/>
          <w:szCs w:val="44"/>
        </w:rPr>
        <w:t>目    录</w:t>
      </w:r>
    </w:p>
    <w:p w14:paraId="44B5AC4C">
      <w:pPr>
        <w:adjustRightInd w:val="0"/>
        <w:snapToGrid w:val="0"/>
        <w:spacing w:line="360" w:lineRule="auto"/>
        <w:rPr>
          <w:rFonts w:hint="eastAsia" w:ascii="宋体" w:hAnsi="宋体" w:cs="宋体"/>
          <w:b/>
          <w:sz w:val="24"/>
        </w:rPr>
      </w:pPr>
    </w:p>
    <w:p w14:paraId="5A95E45B">
      <w:pPr>
        <w:adjustRightInd w:val="0"/>
        <w:snapToGrid w:val="0"/>
        <w:spacing w:line="360" w:lineRule="auto"/>
        <w:rPr>
          <w:rFonts w:hint="eastAsia" w:ascii="宋体" w:hAnsi="宋体" w:cs="宋体"/>
          <w:b/>
          <w:sz w:val="24"/>
        </w:rPr>
      </w:pPr>
    </w:p>
    <w:p w14:paraId="6FA0F513">
      <w:pPr>
        <w:pStyle w:val="27"/>
        <w:spacing w:line="360" w:lineRule="auto"/>
        <w:jc w:val="both"/>
        <w:rPr>
          <w:rFonts w:hint="eastAsia" w:ascii="宋体" w:hAnsi="宋体"/>
          <w:caps w:val="0"/>
          <w:smallCaps/>
          <w:kern w:val="2"/>
          <w:sz w:val="24"/>
          <w:szCs w:val="24"/>
        </w:rPr>
      </w:pPr>
      <w:r>
        <w:rPr>
          <w:rFonts w:hint="eastAsia" w:ascii="宋体" w:hAnsi="宋体"/>
          <w:caps w:val="0"/>
          <w:smallCaps/>
          <w:kern w:val="2"/>
          <w:sz w:val="24"/>
          <w:szCs w:val="24"/>
        </w:rPr>
        <w:t xml:space="preserve">第一章   </w:t>
      </w:r>
      <w:bookmarkStart w:id="7" w:name="_Toc269397665"/>
      <w:bookmarkStart w:id="8" w:name="_Toc267064626"/>
      <w:r>
        <w:rPr>
          <w:rFonts w:hint="eastAsia" w:ascii="宋体" w:hAnsi="宋体"/>
          <w:caps w:val="0"/>
          <w:smallCaps/>
          <w:kern w:val="2"/>
          <w:sz w:val="24"/>
          <w:szCs w:val="24"/>
        </w:rPr>
        <w:t>竞争性磋商</w:t>
      </w:r>
      <w:r>
        <w:rPr>
          <w:rFonts w:hint="eastAsia" w:ascii="宋体" w:hAnsi="宋体"/>
          <w:caps w:val="0"/>
          <w:smallCaps/>
          <w:kern w:val="2"/>
          <w:sz w:val="24"/>
          <w:szCs w:val="24"/>
        </w:rPr>
        <w:fldChar w:fldCharType="begin"/>
      </w:r>
      <w:r>
        <w:rPr>
          <w:rFonts w:hint="eastAsia" w:ascii="宋体" w:hAnsi="宋体"/>
          <w:caps w:val="0"/>
          <w:smallCaps/>
          <w:kern w:val="2"/>
          <w:sz w:val="24"/>
          <w:szCs w:val="24"/>
        </w:rPr>
        <w:instrText xml:space="preserve"> TOC \o "1-3" \h \z \u </w:instrText>
      </w:r>
      <w:r>
        <w:rPr>
          <w:rFonts w:hint="eastAsia" w:ascii="宋体" w:hAnsi="宋体"/>
          <w:caps w:val="0"/>
          <w:smallCaps/>
          <w:kern w:val="2"/>
          <w:sz w:val="24"/>
          <w:szCs w:val="24"/>
        </w:rPr>
        <w:fldChar w:fldCharType="separate"/>
      </w:r>
      <w:r>
        <w:fldChar w:fldCharType="begin"/>
      </w:r>
      <w:r>
        <w:instrText xml:space="preserve"> HYPERLINK \l "_Toc269397665" </w:instrText>
      </w:r>
      <w:r>
        <w:fldChar w:fldCharType="separate"/>
      </w:r>
      <w:r>
        <w:rPr>
          <w:rFonts w:hint="eastAsia" w:ascii="宋体" w:hAnsi="宋体"/>
          <w:caps w:val="0"/>
          <w:smallCaps/>
          <w:kern w:val="2"/>
          <w:sz w:val="24"/>
          <w:szCs w:val="24"/>
        </w:rPr>
        <w:t>公告</w:t>
      </w:r>
      <w:r>
        <w:rPr>
          <w:rFonts w:hint="eastAsia" w:ascii="宋体" w:hAnsi="宋体"/>
          <w:caps w:val="0"/>
          <w:smallCaps/>
          <w:kern w:val="2"/>
          <w:sz w:val="24"/>
          <w:szCs w:val="24"/>
        </w:rPr>
        <w:fldChar w:fldCharType="end"/>
      </w:r>
      <w:r>
        <w:rPr>
          <w:rFonts w:hint="eastAsia" w:ascii="宋体" w:hAnsi="宋体"/>
          <w:caps w:val="0"/>
          <w:smallCaps/>
          <w:kern w:val="2"/>
          <w:sz w:val="24"/>
          <w:szCs w:val="24"/>
        </w:rPr>
        <w:t>……………………………………</w:t>
      </w:r>
      <w:r>
        <w:rPr>
          <w:rFonts w:hint="eastAsia" w:ascii="宋体" w:hAnsi="宋体"/>
          <w:smallCaps/>
          <w:kern w:val="2"/>
          <w:sz w:val="24"/>
          <w:szCs w:val="24"/>
        </w:rPr>
        <w:t>…</w:t>
      </w:r>
      <w:r>
        <w:rPr>
          <w:rFonts w:hint="eastAsia" w:ascii="宋体" w:hAnsi="宋体"/>
          <w:caps w:val="0"/>
          <w:smallCaps/>
          <w:kern w:val="2"/>
          <w:sz w:val="24"/>
          <w:szCs w:val="24"/>
        </w:rPr>
        <w:t>2</w:t>
      </w:r>
    </w:p>
    <w:p w14:paraId="60EE1004">
      <w:pPr>
        <w:pStyle w:val="27"/>
        <w:spacing w:line="360" w:lineRule="auto"/>
        <w:jc w:val="both"/>
        <w:rPr>
          <w:rFonts w:hint="eastAsia" w:ascii="宋体" w:hAnsi="宋体"/>
          <w:caps w:val="0"/>
          <w:smallCaps/>
          <w:kern w:val="2"/>
          <w:sz w:val="24"/>
          <w:szCs w:val="24"/>
        </w:rPr>
      </w:pPr>
      <w:r>
        <w:rPr>
          <w:rFonts w:hint="eastAsia" w:ascii="宋体" w:hAnsi="宋体"/>
          <w:caps w:val="0"/>
          <w:smallCaps/>
          <w:kern w:val="2"/>
          <w:sz w:val="24"/>
          <w:szCs w:val="24"/>
        </w:rPr>
        <w:t>第二章   采购需求 …………………………………………</w:t>
      </w:r>
      <w:r>
        <w:rPr>
          <w:rFonts w:hint="eastAsia" w:ascii="宋体" w:hAnsi="宋体"/>
          <w:smallCaps/>
          <w:kern w:val="2"/>
          <w:sz w:val="24"/>
          <w:szCs w:val="24"/>
        </w:rPr>
        <w:t>…</w:t>
      </w:r>
      <w:r>
        <w:rPr>
          <w:rFonts w:hint="eastAsia" w:ascii="宋体" w:hAnsi="宋体"/>
          <w:caps w:val="0"/>
          <w:smallCaps/>
          <w:kern w:val="2"/>
          <w:sz w:val="24"/>
          <w:szCs w:val="24"/>
        </w:rPr>
        <w:t>6</w:t>
      </w:r>
    </w:p>
    <w:p w14:paraId="4AA68DB5">
      <w:pPr>
        <w:pStyle w:val="27"/>
        <w:spacing w:line="360" w:lineRule="auto"/>
        <w:jc w:val="both"/>
        <w:rPr>
          <w:rFonts w:hint="eastAsia" w:ascii="宋体" w:hAnsi="宋体" w:eastAsia="宋体"/>
          <w:caps w:val="0"/>
          <w:smallCaps/>
          <w:kern w:val="2"/>
          <w:sz w:val="24"/>
          <w:szCs w:val="24"/>
          <w:lang w:eastAsia="zh-CN"/>
        </w:rPr>
      </w:pPr>
      <w:r>
        <w:rPr>
          <w:rFonts w:hint="eastAsia" w:ascii="宋体" w:hAnsi="宋体"/>
          <w:caps w:val="0"/>
          <w:smallCaps/>
          <w:kern w:val="2"/>
          <w:sz w:val="24"/>
          <w:szCs w:val="24"/>
        </w:rPr>
        <w:t>第三章   磋商须知…………………………………</w:t>
      </w:r>
      <w:bookmarkStart w:id="9" w:name="OLE_LINK11"/>
      <w:r>
        <w:rPr>
          <w:rFonts w:hint="eastAsia" w:ascii="宋体" w:hAnsi="宋体"/>
          <w:smallCaps/>
          <w:kern w:val="2"/>
          <w:sz w:val="24"/>
          <w:szCs w:val="24"/>
        </w:rPr>
        <w:t>…</w:t>
      </w:r>
      <w:r>
        <w:rPr>
          <w:rFonts w:hint="eastAsia" w:ascii="宋体" w:hAnsi="宋体"/>
          <w:caps w:val="0"/>
          <w:smallCaps/>
          <w:kern w:val="2"/>
          <w:sz w:val="24"/>
          <w:szCs w:val="24"/>
        </w:rPr>
        <w:t>…</w:t>
      </w:r>
      <w:bookmarkEnd w:id="9"/>
      <w:r>
        <w:rPr>
          <w:rFonts w:hint="eastAsia" w:ascii="宋体" w:hAnsi="宋体"/>
          <w:smallCaps/>
          <w:kern w:val="2"/>
          <w:sz w:val="24"/>
          <w:szCs w:val="24"/>
        </w:rPr>
        <w:t>…</w:t>
      </w:r>
      <w:r>
        <w:rPr>
          <w:rFonts w:hint="eastAsia" w:ascii="宋体" w:hAnsi="宋体"/>
          <w:caps w:val="0"/>
          <w:smallCaps/>
          <w:kern w:val="2"/>
          <w:sz w:val="24"/>
          <w:szCs w:val="24"/>
        </w:rPr>
        <w:t>…</w:t>
      </w:r>
      <w:r>
        <w:rPr>
          <w:rFonts w:hint="eastAsia" w:ascii="宋体" w:hAnsi="宋体"/>
          <w:smallCaps/>
          <w:kern w:val="2"/>
          <w:sz w:val="24"/>
          <w:szCs w:val="24"/>
        </w:rPr>
        <w:t>…</w:t>
      </w:r>
      <w:r>
        <w:rPr>
          <w:rFonts w:hint="eastAsia" w:ascii="宋体" w:hAnsi="宋体"/>
          <w:caps w:val="0"/>
          <w:smallCaps/>
          <w:kern w:val="2"/>
          <w:sz w:val="24"/>
          <w:szCs w:val="24"/>
          <w:lang w:val="en-US" w:eastAsia="zh-CN"/>
        </w:rPr>
        <w:t>8</w:t>
      </w:r>
    </w:p>
    <w:p w14:paraId="1E6324DE">
      <w:pPr>
        <w:pStyle w:val="27"/>
        <w:spacing w:line="360" w:lineRule="auto"/>
        <w:jc w:val="both"/>
        <w:rPr>
          <w:rFonts w:hint="eastAsia" w:ascii="宋体" w:hAnsi="宋体"/>
          <w:caps w:val="0"/>
          <w:smallCaps/>
          <w:kern w:val="2"/>
          <w:sz w:val="24"/>
          <w:szCs w:val="24"/>
        </w:rPr>
      </w:pPr>
      <w:r>
        <w:rPr>
          <w:rFonts w:hint="eastAsia" w:ascii="宋体" w:hAnsi="宋体"/>
          <w:caps w:val="0"/>
          <w:smallCaps/>
          <w:kern w:val="2"/>
          <w:sz w:val="24"/>
          <w:szCs w:val="24"/>
        </w:rPr>
        <w:t>第四章</w:t>
      </w:r>
      <w:r>
        <w:rPr>
          <w:rFonts w:hint="eastAsia" w:ascii="宋体" w:hAnsi="宋体"/>
          <w:caps w:val="0"/>
          <w:smallCaps/>
          <w:kern w:val="2"/>
          <w:sz w:val="24"/>
          <w:szCs w:val="24"/>
          <w:lang w:val="en-US" w:eastAsia="zh-CN"/>
        </w:rPr>
        <w:t xml:space="preserve">  </w:t>
      </w:r>
      <w:r>
        <w:rPr>
          <w:rFonts w:hint="eastAsia" w:ascii="宋体" w:hAnsi="宋体"/>
          <w:caps w:val="0"/>
          <w:smallCaps/>
          <w:kern w:val="2"/>
          <w:sz w:val="24"/>
          <w:szCs w:val="24"/>
        </w:rPr>
        <w:t>磋商办法和评分标准………</w:t>
      </w:r>
      <w:bookmarkStart w:id="10" w:name="OLE_LINK10"/>
      <w:r>
        <w:rPr>
          <w:rFonts w:hint="eastAsia" w:ascii="宋体" w:hAnsi="宋体"/>
          <w:caps w:val="0"/>
          <w:smallCaps/>
          <w:kern w:val="2"/>
          <w:sz w:val="24"/>
          <w:szCs w:val="24"/>
        </w:rPr>
        <w:t>……</w:t>
      </w:r>
      <w:bookmarkEnd w:id="10"/>
      <w:r>
        <w:rPr>
          <w:rFonts w:hint="eastAsia" w:ascii="宋体" w:hAnsi="宋体"/>
          <w:caps w:val="0"/>
          <w:smallCaps/>
          <w:kern w:val="2"/>
          <w:sz w:val="24"/>
          <w:szCs w:val="24"/>
        </w:rPr>
        <w:t>……</w:t>
      </w:r>
      <w:r>
        <w:rPr>
          <w:rFonts w:hint="eastAsia" w:ascii="宋体" w:hAnsi="宋体"/>
          <w:smallCaps/>
          <w:kern w:val="2"/>
          <w:sz w:val="24"/>
          <w:szCs w:val="24"/>
        </w:rPr>
        <w:t>…………………</w:t>
      </w:r>
      <w:r>
        <w:rPr>
          <w:rFonts w:hint="eastAsia" w:ascii="宋体" w:hAnsi="宋体"/>
          <w:caps w:val="0"/>
          <w:smallCaps/>
          <w:kern w:val="2"/>
          <w:sz w:val="24"/>
          <w:szCs w:val="24"/>
          <w:lang w:val="en-US" w:eastAsia="zh-CN"/>
        </w:rPr>
        <w:t>31</w:t>
      </w:r>
      <w:r>
        <w:rPr>
          <w:rFonts w:hint="eastAsia" w:ascii="宋体" w:hAnsi="宋体"/>
          <w:caps w:val="0"/>
          <w:smallCaps/>
          <w:kern w:val="2"/>
          <w:sz w:val="24"/>
          <w:szCs w:val="24"/>
        </w:rPr>
        <w:t xml:space="preserve">               </w:t>
      </w:r>
    </w:p>
    <w:p w14:paraId="0CDF7472">
      <w:pPr>
        <w:pStyle w:val="27"/>
        <w:spacing w:line="360" w:lineRule="auto"/>
        <w:jc w:val="both"/>
        <w:rPr>
          <w:rFonts w:hint="eastAsia" w:ascii="宋体" w:hAnsi="宋体" w:eastAsia="宋体"/>
          <w:caps w:val="0"/>
          <w:smallCaps/>
          <w:kern w:val="2"/>
          <w:sz w:val="24"/>
          <w:szCs w:val="24"/>
          <w:lang w:eastAsia="zh-CN"/>
        </w:rPr>
      </w:pPr>
      <w:r>
        <w:rPr>
          <w:rFonts w:hint="eastAsia" w:ascii="宋体" w:hAnsi="宋体"/>
          <w:caps w:val="0"/>
          <w:smallCaps/>
          <w:kern w:val="2"/>
          <w:sz w:val="24"/>
          <w:szCs w:val="24"/>
        </w:rPr>
        <w:t>第五章   合同主要条款…………………………………………3</w:t>
      </w:r>
      <w:r>
        <w:rPr>
          <w:rFonts w:hint="eastAsia" w:ascii="宋体" w:hAnsi="宋体"/>
          <w:caps w:val="0"/>
          <w:smallCaps/>
          <w:kern w:val="2"/>
          <w:sz w:val="24"/>
          <w:szCs w:val="24"/>
          <w:lang w:val="en-US" w:eastAsia="zh-CN"/>
        </w:rPr>
        <w:t>5</w:t>
      </w:r>
    </w:p>
    <w:p w14:paraId="14390621">
      <w:pPr>
        <w:pStyle w:val="27"/>
        <w:spacing w:line="360" w:lineRule="auto"/>
        <w:jc w:val="both"/>
        <w:rPr>
          <w:rFonts w:hint="eastAsia" w:ascii="宋体" w:hAnsi="宋体" w:eastAsia="宋体"/>
          <w:caps w:val="0"/>
          <w:smallCaps/>
          <w:kern w:val="2"/>
          <w:sz w:val="24"/>
          <w:szCs w:val="24"/>
          <w:lang w:eastAsia="zh-CN"/>
        </w:rPr>
      </w:pPr>
      <w:bookmarkStart w:id="11" w:name="OLE_LINK19"/>
      <w:r>
        <w:rPr>
          <w:rFonts w:hint="eastAsia" w:ascii="宋体" w:hAnsi="宋体"/>
          <w:caps w:val="0"/>
          <w:smallCaps/>
          <w:kern w:val="2"/>
          <w:sz w:val="24"/>
          <w:szCs w:val="24"/>
        </w:rPr>
        <w:t>第六章   磋商响应文件格式</w:t>
      </w:r>
      <w:r>
        <w:rPr>
          <w:rFonts w:hint="eastAsia" w:ascii="宋体" w:hAnsi="宋体"/>
          <w:smallCaps/>
          <w:kern w:val="2"/>
          <w:sz w:val="24"/>
          <w:szCs w:val="24"/>
        </w:rPr>
        <w:t>…</w:t>
      </w:r>
      <w:r>
        <w:rPr>
          <w:rFonts w:hint="eastAsia" w:ascii="宋体" w:hAnsi="宋体"/>
          <w:caps w:val="0"/>
          <w:smallCaps/>
          <w:kern w:val="2"/>
          <w:sz w:val="24"/>
          <w:szCs w:val="24"/>
        </w:rPr>
        <w:t>…………………………………3</w:t>
      </w:r>
      <w:r>
        <w:rPr>
          <w:rFonts w:hint="eastAsia" w:ascii="宋体" w:hAnsi="宋体"/>
          <w:caps w:val="0"/>
          <w:smallCaps/>
          <w:kern w:val="2"/>
          <w:sz w:val="24"/>
          <w:szCs w:val="24"/>
          <w:lang w:val="en-US" w:eastAsia="zh-CN"/>
        </w:rPr>
        <w:t>9</w:t>
      </w:r>
    </w:p>
    <w:bookmarkEnd w:id="11"/>
    <w:p w14:paraId="58283AEC">
      <w:pPr>
        <w:pStyle w:val="27"/>
        <w:spacing w:line="360" w:lineRule="auto"/>
        <w:jc w:val="center"/>
        <w:rPr>
          <w:rFonts w:hint="eastAsia" w:ascii="宋体" w:hAnsi="宋体"/>
          <w:caps w:val="0"/>
          <w:smallCaps/>
          <w:kern w:val="2"/>
          <w:sz w:val="24"/>
          <w:szCs w:val="24"/>
        </w:rPr>
      </w:pPr>
    </w:p>
    <w:p w14:paraId="1F330DA9">
      <w:pPr>
        <w:spacing w:line="360" w:lineRule="auto"/>
        <w:rPr>
          <w:rFonts w:hint="eastAsia" w:ascii="宋体" w:hAnsi="宋体" w:cs="宋体"/>
          <w:b/>
          <w:bCs/>
          <w:caps/>
          <w:smallCaps/>
          <w:sz w:val="24"/>
        </w:rPr>
      </w:pPr>
    </w:p>
    <w:p w14:paraId="53677F6F">
      <w:pPr>
        <w:pStyle w:val="13"/>
        <w:spacing w:after="0" w:line="360" w:lineRule="auto"/>
        <w:ind w:firstLine="241"/>
        <w:rPr>
          <w:rFonts w:hint="eastAsia" w:ascii="宋体" w:hAnsi="宋体" w:cs="宋体"/>
          <w:b/>
          <w:bCs/>
          <w:sz w:val="24"/>
        </w:rPr>
      </w:pPr>
    </w:p>
    <w:p w14:paraId="0966A5EA">
      <w:pPr>
        <w:pStyle w:val="27"/>
        <w:spacing w:line="360" w:lineRule="auto"/>
        <w:jc w:val="center"/>
        <w:rPr>
          <w:rFonts w:hint="eastAsia" w:ascii="宋体" w:hAnsi="宋体"/>
          <w:caps w:val="0"/>
          <w:smallCaps/>
          <w:kern w:val="2"/>
          <w:sz w:val="24"/>
          <w:szCs w:val="24"/>
        </w:rPr>
      </w:pPr>
    </w:p>
    <w:p w14:paraId="61CC9D39">
      <w:pPr>
        <w:pStyle w:val="27"/>
        <w:spacing w:line="360" w:lineRule="auto"/>
        <w:jc w:val="center"/>
        <w:rPr>
          <w:rFonts w:hint="eastAsia" w:ascii="宋体" w:hAnsi="宋体"/>
          <w:caps w:val="0"/>
          <w:smallCaps/>
          <w:kern w:val="2"/>
          <w:sz w:val="24"/>
          <w:szCs w:val="24"/>
        </w:rPr>
      </w:pPr>
    </w:p>
    <w:p w14:paraId="42303DC6">
      <w:pPr>
        <w:spacing w:line="360" w:lineRule="auto"/>
        <w:rPr>
          <w:rFonts w:hint="eastAsia" w:ascii="宋体" w:hAnsi="宋体" w:cs="宋体"/>
          <w:b/>
          <w:bCs/>
          <w:caps/>
          <w:smallCaps/>
          <w:sz w:val="24"/>
        </w:rPr>
      </w:pPr>
    </w:p>
    <w:p w14:paraId="717E4152">
      <w:pPr>
        <w:pStyle w:val="13"/>
        <w:spacing w:after="0" w:line="360" w:lineRule="auto"/>
        <w:ind w:firstLine="241"/>
        <w:rPr>
          <w:rFonts w:hint="eastAsia" w:ascii="宋体" w:hAnsi="宋体" w:cs="宋体"/>
          <w:b/>
          <w:bCs/>
          <w:sz w:val="24"/>
        </w:rPr>
      </w:pPr>
    </w:p>
    <w:p w14:paraId="71BBA176">
      <w:pPr>
        <w:spacing w:line="360" w:lineRule="auto"/>
        <w:rPr>
          <w:rFonts w:hint="eastAsia" w:ascii="宋体" w:hAnsi="宋体" w:cs="宋体"/>
          <w:b/>
          <w:bCs/>
          <w:sz w:val="24"/>
        </w:rPr>
      </w:pPr>
    </w:p>
    <w:p w14:paraId="228A1886">
      <w:pPr>
        <w:pStyle w:val="27"/>
        <w:spacing w:line="360" w:lineRule="auto"/>
        <w:jc w:val="center"/>
        <w:rPr>
          <w:rFonts w:hint="eastAsia" w:ascii="宋体" w:hAnsi="宋体"/>
          <w:caps w:val="0"/>
          <w:smallCaps/>
          <w:kern w:val="2"/>
          <w:sz w:val="24"/>
          <w:szCs w:val="24"/>
        </w:rPr>
      </w:pPr>
    </w:p>
    <w:p w14:paraId="6B62C24B">
      <w:pPr>
        <w:spacing w:line="360" w:lineRule="auto"/>
        <w:rPr>
          <w:b/>
          <w:bCs/>
          <w:sz w:val="24"/>
        </w:rPr>
      </w:pPr>
    </w:p>
    <w:p w14:paraId="3F580032">
      <w:pPr>
        <w:pStyle w:val="27"/>
        <w:spacing w:line="360" w:lineRule="auto"/>
        <w:jc w:val="center"/>
        <w:rPr>
          <w:rFonts w:hint="eastAsia" w:ascii="宋体" w:hAnsi="宋体"/>
          <w:b w:val="0"/>
          <w:bCs w:val="0"/>
          <w:caps w:val="0"/>
          <w:smallCaps/>
          <w:kern w:val="2"/>
          <w:sz w:val="24"/>
          <w:szCs w:val="24"/>
        </w:rPr>
      </w:pPr>
      <w:r>
        <w:rPr>
          <w:rFonts w:hint="eastAsia" w:ascii="宋体" w:hAnsi="宋体"/>
          <w:caps w:val="0"/>
          <w:smallCaps/>
          <w:kern w:val="2"/>
          <w:sz w:val="24"/>
          <w:szCs w:val="24"/>
        </w:rPr>
        <w:fldChar w:fldCharType="end"/>
      </w:r>
    </w:p>
    <w:p w14:paraId="41A1D6B0">
      <w:pPr>
        <w:pStyle w:val="27"/>
        <w:spacing w:line="360" w:lineRule="auto"/>
        <w:jc w:val="center"/>
        <w:rPr>
          <w:rFonts w:hint="eastAsia" w:ascii="黑体" w:hAnsi="黑体" w:eastAsia="黑体" w:cs="黑体"/>
          <w:bCs w:val="0"/>
          <w:caps w:val="0"/>
          <w:kern w:val="2"/>
          <w:sz w:val="24"/>
          <w:szCs w:val="24"/>
        </w:rPr>
      </w:pPr>
    </w:p>
    <w:p w14:paraId="72F50C60">
      <w:pPr>
        <w:pStyle w:val="27"/>
        <w:spacing w:line="360" w:lineRule="auto"/>
        <w:jc w:val="center"/>
        <w:rPr>
          <w:rFonts w:hint="eastAsia" w:ascii="黑体" w:hAnsi="黑体" w:eastAsia="黑体" w:cs="黑体"/>
          <w:bCs w:val="0"/>
          <w:caps w:val="0"/>
          <w:kern w:val="2"/>
          <w:sz w:val="24"/>
          <w:szCs w:val="24"/>
        </w:rPr>
      </w:pPr>
    </w:p>
    <w:p w14:paraId="0509B8CE">
      <w:pPr>
        <w:pStyle w:val="27"/>
        <w:spacing w:line="360" w:lineRule="auto"/>
        <w:jc w:val="center"/>
        <w:rPr>
          <w:rFonts w:hint="eastAsia" w:ascii="黑体" w:hAnsi="黑体" w:eastAsia="黑体" w:cs="黑体"/>
          <w:bCs w:val="0"/>
          <w:caps w:val="0"/>
          <w:kern w:val="2"/>
          <w:sz w:val="24"/>
          <w:szCs w:val="24"/>
        </w:rPr>
      </w:pPr>
    </w:p>
    <w:p w14:paraId="5ADB6AE9">
      <w:pPr>
        <w:pStyle w:val="27"/>
        <w:spacing w:line="360" w:lineRule="auto"/>
        <w:jc w:val="center"/>
        <w:rPr>
          <w:rFonts w:hint="eastAsia" w:ascii="黑体" w:hAnsi="黑体" w:eastAsia="黑体" w:cs="黑体"/>
          <w:bCs w:val="0"/>
          <w:caps w:val="0"/>
          <w:kern w:val="2"/>
          <w:sz w:val="24"/>
          <w:szCs w:val="24"/>
        </w:rPr>
      </w:pPr>
    </w:p>
    <w:p w14:paraId="4308B800">
      <w:pPr>
        <w:pStyle w:val="27"/>
        <w:spacing w:line="360" w:lineRule="auto"/>
        <w:jc w:val="center"/>
        <w:rPr>
          <w:rFonts w:hint="eastAsia" w:ascii="黑体" w:hAnsi="黑体" w:eastAsia="黑体" w:cs="黑体"/>
          <w:bCs w:val="0"/>
          <w:caps w:val="0"/>
          <w:kern w:val="2"/>
          <w:sz w:val="24"/>
          <w:szCs w:val="24"/>
        </w:rPr>
      </w:pPr>
    </w:p>
    <w:p w14:paraId="3B177B79">
      <w:pPr>
        <w:pStyle w:val="27"/>
        <w:spacing w:line="360" w:lineRule="auto"/>
        <w:jc w:val="center"/>
        <w:rPr>
          <w:rFonts w:hint="eastAsia" w:ascii="黑体" w:hAnsi="黑体" w:eastAsia="黑体" w:cs="黑体"/>
          <w:bCs w:val="0"/>
          <w:caps w:val="0"/>
          <w:kern w:val="2"/>
          <w:sz w:val="24"/>
          <w:szCs w:val="24"/>
        </w:rPr>
      </w:pPr>
    </w:p>
    <w:p w14:paraId="43C7D0EA">
      <w:pPr>
        <w:pStyle w:val="27"/>
        <w:spacing w:line="360" w:lineRule="auto"/>
        <w:jc w:val="center"/>
        <w:rPr>
          <w:rFonts w:hint="eastAsia" w:ascii="黑体" w:hAnsi="黑体" w:eastAsia="黑体" w:cs="黑体"/>
          <w:bCs w:val="0"/>
          <w:caps w:val="0"/>
          <w:kern w:val="2"/>
          <w:sz w:val="24"/>
          <w:szCs w:val="24"/>
        </w:rPr>
      </w:pPr>
    </w:p>
    <w:p w14:paraId="26E7F627">
      <w:pPr>
        <w:pStyle w:val="27"/>
        <w:spacing w:line="360" w:lineRule="auto"/>
        <w:jc w:val="center"/>
        <w:rPr>
          <w:rFonts w:hint="eastAsia" w:ascii="黑体" w:hAnsi="黑体" w:eastAsia="黑体" w:cs="黑体"/>
          <w:bCs w:val="0"/>
          <w:caps w:val="0"/>
          <w:kern w:val="2"/>
          <w:sz w:val="24"/>
          <w:szCs w:val="24"/>
        </w:rPr>
      </w:pPr>
    </w:p>
    <w:p w14:paraId="667C5BDC">
      <w:pPr>
        <w:pStyle w:val="27"/>
        <w:spacing w:line="360" w:lineRule="auto"/>
        <w:jc w:val="center"/>
        <w:rPr>
          <w:rFonts w:hint="eastAsia" w:ascii="黑体" w:hAnsi="黑体" w:eastAsia="黑体" w:cs="黑体"/>
          <w:bCs w:val="0"/>
          <w:caps w:val="0"/>
          <w:kern w:val="2"/>
        </w:rPr>
      </w:pPr>
    </w:p>
    <w:p w14:paraId="2D15E84E">
      <w:pPr>
        <w:pStyle w:val="27"/>
        <w:spacing w:line="360" w:lineRule="auto"/>
        <w:jc w:val="center"/>
        <w:rPr>
          <w:rFonts w:hint="eastAsia" w:ascii="黑体" w:hAnsi="黑体" w:eastAsia="黑体" w:cs="黑体"/>
          <w:bCs w:val="0"/>
          <w:caps w:val="0"/>
          <w:kern w:val="2"/>
        </w:rPr>
      </w:pPr>
    </w:p>
    <w:p w14:paraId="2982AD7C">
      <w:pPr>
        <w:pStyle w:val="27"/>
        <w:spacing w:line="360" w:lineRule="auto"/>
        <w:jc w:val="center"/>
        <w:rPr>
          <w:rFonts w:hint="eastAsia" w:ascii="黑体" w:hAnsi="黑体" w:eastAsia="黑体" w:cs="黑体"/>
          <w:bCs w:val="0"/>
          <w:caps w:val="0"/>
          <w:kern w:val="2"/>
        </w:rPr>
      </w:pPr>
      <w:r>
        <w:rPr>
          <w:rFonts w:hint="eastAsia" w:ascii="黑体" w:hAnsi="黑体" w:eastAsia="黑体" w:cs="黑体"/>
          <w:bCs w:val="0"/>
          <w:caps w:val="0"/>
          <w:kern w:val="2"/>
        </w:rPr>
        <w:t xml:space="preserve">第一章 </w:t>
      </w:r>
      <w:bookmarkEnd w:id="7"/>
      <w:bookmarkEnd w:id="8"/>
      <w:r>
        <w:rPr>
          <w:rFonts w:hint="eastAsia" w:ascii="黑体" w:hAnsi="黑体" w:eastAsia="黑体" w:cs="黑体"/>
          <w:bCs w:val="0"/>
          <w:caps w:val="0"/>
          <w:kern w:val="2"/>
        </w:rPr>
        <w:t>竞争性磋商公告</w:t>
      </w:r>
    </w:p>
    <w:p w14:paraId="64ED0D82">
      <w:pPr>
        <w:pStyle w:val="87"/>
        <w:widowControl w:val="0"/>
        <w:snapToGrid/>
        <w:spacing w:afterLines="0" w:line="360" w:lineRule="auto"/>
        <w:ind w:firstLine="480"/>
        <w:rPr>
          <w:rFonts w:hint="eastAsia" w:ascii="宋体" w:hAnsi="宋体" w:cs="宋体"/>
          <w:szCs w:val="24"/>
        </w:rPr>
      </w:pPr>
      <w:r>
        <w:rPr>
          <w:rFonts w:hint="eastAsia"/>
          <w:szCs w:val="24"/>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12065</wp:posOffset>
                </wp:positionV>
                <wp:extent cx="5857875" cy="866140"/>
                <wp:effectExtent l="4445" t="5080" r="5080" b="5080"/>
                <wp:wrapNone/>
                <wp:docPr id="1" name="文本框 3"/>
                <wp:cNvGraphicFramePr/>
                <a:graphic xmlns:a="http://schemas.openxmlformats.org/drawingml/2006/main">
                  <a:graphicData uri="http://schemas.microsoft.com/office/word/2010/wordprocessingShape">
                    <wps:wsp>
                      <wps:cNvSpPr txBox="1"/>
                      <wps:spPr>
                        <a:xfrm>
                          <a:off x="0" y="0"/>
                          <a:ext cx="585787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157DA9">
                            <w:pPr>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09B2869D">
                            <w:pPr>
                              <w:jc w:val="left"/>
                              <w:rPr>
                                <w:rFonts w:hint="eastAsia" w:ascii="宋体" w:hAnsi="宋体" w:cs="宋体"/>
                                <w:sz w:val="24"/>
                                <w:highlight w:val="none"/>
                              </w:rPr>
                            </w:pPr>
                            <w:r>
                              <w:rPr>
                                <w:rFonts w:hint="eastAsia" w:ascii="宋体" w:hAnsi="宋体" w:cs="宋体"/>
                                <w:b w:val="0"/>
                                <w:bCs w:val="0"/>
                                <w:snapToGrid/>
                                <w:kern w:val="2"/>
                                <w:sz w:val="24"/>
                                <w:highlight w:val="none"/>
                                <w:lang w:val="zh-CN"/>
                              </w:rPr>
                              <w:t>长兴县市政基础设施资产会计核算分析服务项目</w:t>
                            </w:r>
                            <w:r>
                              <w:rPr>
                                <w:rFonts w:hint="eastAsia" w:ascii="宋体" w:hAnsi="宋体" w:cs="宋体"/>
                                <w:sz w:val="24"/>
                                <w:highlight w:val="none"/>
                              </w:rPr>
                              <w:t>采购项目的潜在供应商应在政府采购云平台（www.zcygov.cn）获取（下载）采购文件，并于</w:t>
                            </w:r>
                            <w:r>
                              <w:rPr>
                                <w:rFonts w:hint="eastAsia" w:ascii="宋体" w:hAnsi="宋体" w:cs="宋体"/>
                                <w:kern w:val="0"/>
                                <w:sz w:val="24"/>
                                <w:szCs w:val="24"/>
                                <w:highlight w:val="none"/>
                              </w:rPr>
                              <w:t>2024年</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25</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rPr>
                              <w:t>:00时</w:t>
                            </w:r>
                            <w:r>
                              <w:rPr>
                                <w:rFonts w:hint="eastAsia" w:ascii="宋体" w:hAnsi="宋体" w:cs="宋体"/>
                                <w:sz w:val="24"/>
                                <w:highlight w:val="none"/>
                              </w:rPr>
                              <w:t>（北京时间）前提交（上传）响应文件。</w:t>
                            </w:r>
                          </w:p>
                        </w:txbxContent>
                      </wps:txbx>
                      <wps:bodyPr upright="1"/>
                    </wps:wsp>
                  </a:graphicData>
                </a:graphic>
              </wp:anchor>
            </w:drawing>
          </mc:Choice>
          <mc:Fallback>
            <w:pict>
              <v:shape id="文本框 3" o:spid="_x0000_s1026" o:spt="202" type="#_x0000_t202" style="position:absolute;left:0pt;margin-left:2.35pt;margin-top:0.95pt;height:68.2pt;width:461.25pt;z-index:251659264;mso-width-relative:page;mso-height-relative:page;" fillcolor="#FFFFFF" filled="t" stroked="t" coordsize="21600,21600" o:gfxdata="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j3R1QAAAAcBAAAPAAAAAAAAAAEAIAAAACIA&#10;AABkcnMvZG93bnJldi54bWxQSwECFAAUAAAACACHTuJAIY9jRgwCAAA2BAAADgAAAAAAAAABACAA&#10;AAAkAQAAZHJzL2Uyb0RvYy54bWxQSwUGAAAAAAYABgBZAQAAogUAAAAA&#10;">
                <v:fill on="t" focussize="0,0"/>
                <v:stroke color="#000000" joinstyle="miter"/>
                <v:imagedata o:title=""/>
                <o:lock v:ext="edit" aspectratio="f"/>
                <v:textbox>
                  <w:txbxContent>
                    <w:p w14:paraId="38157DA9">
                      <w:pPr>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09B2869D">
                      <w:pPr>
                        <w:jc w:val="left"/>
                        <w:rPr>
                          <w:rFonts w:hint="eastAsia" w:ascii="宋体" w:hAnsi="宋体" w:cs="宋体"/>
                          <w:sz w:val="24"/>
                          <w:highlight w:val="none"/>
                        </w:rPr>
                      </w:pPr>
                      <w:r>
                        <w:rPr>
                          <w:rFonts w:hint="eastAsia" w:ascii="宋体" w:hAnsi="宋体" w:cs="宋体"/>
                          <w:b w:val="0"/>
                          <w:bCs w:val="0"/>
                          <w:snapToGrid/>
                          <w:kern w:val="2"/>
                          <w:sz w:val="24"/>
                          <w:highlight w:val="none"/>
                          <w:lang w:val="zh-CN"/>
                        </w:rPr>
                        <w:t>长兴县市政基础设施资产会计核算分析服务项目</w:t>
                      </w:r>
                      <w:r>
                        <w:rPr>
                          <w:rFonts w:hint="eastAsia" w:ascii="宋体" w:hAnsi="宋体" w:cs="宋体"/>
                          <w:sz w:val="24"/>
                          <w:highlight w:val="none"/>
                        </w:rPr>
                        <w:t>采购项目的潜在供应商应在政府采购云平台（www.zcygov.cn）获取（下载）采购文件，并于</w:t>
                      </w:r>
                      <w:r>
                        <w:rPr>
                          <w:rFonts w:hint="eastAsia" w:ascii="宋体" w:hAnsi="宋体" w:cs="宋体"/>
                          <w:kern w:val="0"/>
                          <w:sz w:val="24"/>
                          <w:szCs w:val="24"/>
                          <w:highlight w:val="none"/>
                        </w:rPr>
                        <w:t>2024年</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25</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rPr>
                        <w:t>:00时</w:t>
                      </w:r>
                      <w:r>
                        <w:rPr>
                          <w:rFonts w:hint="eastAsia" w:ascii="宋体" w:hAnsi="宋体" w:cs="宋体"/>
                          <w:sz w:val="24"/>
                          <w:highlight w:val="none"/>
                        </w:rPr>
                        <w:t>（北京时间）前提交（上传）响应文件。</w:t>
                      </w:r>
                    </w:p>
                  </w:txbxContent>
                </v:textbox>
              </v:shape>
            </w:pict>
          </mc:Fallback>
        </mc:AlternateContent>
      </w:r>
    </w:p>
    <w:p w14:paraId="615F3F60">
      <w:pPr>
        <w:pStyle w:val="87"/>
        <w:widowControl w:val="0"/>
        <w:snapToGrid/>
        <w:spacing w:afterLines="0" w:line="360" w:lineRule="auto"/>
        <w:ind w:firstLine="480"/>
        <w:rPr>
          <w:rFonts w:hint="eastAsia" w:ascii="宋体" w:hAnsi="宋体" w:cs="宋体"/>
          <w:szCs w:val="24"/>
        </w:rPr>
      </w:pPr>
    </w:p>
    <w:p w14:paraId="613D2596">
      <w:pPr>
        <w:pStyle w:val="87"/>
        <w:widowControl w:val="0"/>
        <w:snapToGrid/>
        <w:spacing w:afterLines="0" w:line="360" w:lineRule="auto"/>
        <w:ind w:firstLine="480"/>
        <w:rPr>
          <w:rFonts w:hint="eastAsia" w:ascii="宋体" w:hAnsi="宋体" w:cs="宋体"/>
          <w:szCs w:val="24"/>
        </w:rPr>
      </w:pPr>
    </w:p>
    <w:p w14:paraId="31F72765">
      <w:pPr>
        <w:pStyle w:val="87"/>
        <w:widowControl w:val="0"/>
        <w:snapToGrid/>
        <w:spacing w:afterLines="0" w:line="360" w:lineRule="auto"/>
        <w:ind w:firstLine="480"/>
        <w:rPr>
          <w:rFonts w:hint="eastAsia" w:ascii="宋体" w:hAnsi="宋体" w:cs="宋体"/>
          <w:szCs w:val="24"/>
        </w:rPr>
      </w:pPr>
    </w:p>
    <w:p w14:paraId="62DFFB85">
      <w:pPr>
        <w:pStyle w:val="87"/>
        <w:widowControl w:val="0"/>
        <w:snapToGrid/>
        <w:spacing w:afterLines="0" w:line="360" w:lineRule="auto"/>
        <w:ind w:firstLine="480"/>
        <w:rPr>
          <w:rFonts w:hint="eastAsia" w:ascii="宋体" w:hAnsi="宋体" w:cs="宋体"/>
          <w:szCs w:val="24"/>
        </w:rPr>
      </w:pPr>
    </w:p>
    <w:p w14:paraId="7F87E9EA">
      <w:pPr>
        <w:widowControl/>
        <w:spacing w:line="360" w:lineRule="auto"/>
        <w:ind w:firstLine="482" w:firstLineChars="200"/>
        <w:rPr>
          <w:b/>
          <w:bCs/>
          <w:kern w:val="0"/>
          <w:sz w:val="24"/>
        </w:rPr>
      </w:pPr>
      <w:r>
        <w:rPr>
          <w:rFonts w:hint="eastAsia"/>
          <w:b/>
          <w:bCs/>
          <w:kern w:val="0"/>
          <w:sz w:val="24"/>
        </w:rPr>
        <w:t>一、项目基本情况</w:t>
      </w:r>
    </w:p>
    <w:p w14:paraId="441EDEEC">
      <w:pPr>
        <w:widowControl/>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kern w:val="0"/>
          <w:sz w:val="24"/>
          <w:lang w:eastAsia="zh-CN"/>
        </w:rPr>
        <w:t>HYCX-2024-ZY079</w:t>
      </w:r>
    </w:p>
    <w:p w14:paraId="6BA881FE">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项目名称：</w:t>
      </w:r>
      <w:r>
        <w:rPr>
          <w:rFonts w:hint="eastAsia" w:ascii="宋体" w:hAnsi="宋体" w:cs="宋体"/>
          <w:b w:val="0"/>
          <w:bCs w:val="0"/>
          <w:snapToGrid/>
          <w:kern w:val="2"/>
          <w:sz w:val="24"/>
          <w:lang w:val="zh-CN"/>
        </w:rPr>
        <w:t>长兴县市政基础设施资产会计核算分析服务项目</w:t>
      </w:r>
    </w:p>
    <w:p w14:paraId="30669F71">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采购方式：竞争性磋商</w:t>
      </w:r>
    </w:p>
    <w:p w14:paraId="591A2B62">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预算金额（元）：</w:t>
      </w:r>
      <w:r>
        <w:rPr>
          <w:rFonts w:hint="eastAsia" w:ascii="宋体" w:hAnsi="宋体" w:cs="宋体"/>
          <w:kern w:val="0"/>
          <w:sz w:val="24"/>
          <w:lang w:val="en-US" w:eastAsia="zh-CN"/>
        </w:rPr>
        <w:t>450000</w:t>
      </w:r>
      <w:r>
        <w:rPr>
          <w:rFonts w:hint="eastAsia" w:ascii="宋体" w:hAnsi="宋体" w:cs="宋体"/>
          <w:kern w:val="0"/>
          <w:sz w:val="24"/>
        </w:rPr>
        <w:t>元</w:t>
      </w:r>
    </w:p>
    <w:p w14:paraId="7E028485">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最高限价（元）：</w:t>
      </w:r>
      <w:r>
        <w:rPr>
          <w:rFonts w:hint="eastAsia" w:ascii="宋体" w:hAnsi="宋体" w:cs="宋体"/>
          <w:kern w:val="0"/>
          <w:sz w:val="24"/>
          <w:lang w:val="en-US" w:eastAsia="zh-CN"/>
        </w:rPr>
        <w:t>450000</w:t>
      </w:r>
      <w:r>
        <w:rPr>
          <w:rFonts w:hint="eastAsia" w:ascii="宋体" w:hAnsi="宋体" w:cs="宋体"/>
          <w:kern w:val="0"/>
          <w:sz w:val="24"/>
        </w:rPr>
        <w:t xml:space="preserve">元 </w:t>
      </w:r>
    </w:p>
    <w:p w14:paraId="678EFB80">
      <w:pPr>
        <w:widowControl/>
        <w:spacing w:line="360" w:lineRule="auto"/>
        <w:ind w:firstLine="480" w:firstLineChars="200"/>
        <w:jc w:val="left"/>
        <w:rPr>
          <w:kern w:val="0"/>
          <w:sz w:val="24"/>
        </w:rPr>
      </w:pPr>
      <w:r>
        <w:rPr>
          <w:rFonts w:hint="eastAsia"/>
          <w:kern w:val="0"/>
          <w:sz w:val="24"/>
        </w:rPr>
        <w:t>采购需求：</w:t>
      </w:r>
    </w:p>
    <w:p w14:paraId="5FBC0F3C">
      <w:pPr>
        <w:widowControl/>
        <w:spacing w:line="360" w:lineRule="auto"/>
        <w:ind w:firstLine="480" w:firstLineChars="200"/>
        <w:rPr>
          <w:rFonts w:hint="eastAsia" w:ascii="宋体" w:hAnsi="宋体" w:cs="宋体"/>
          <w:kern w:val="0"/>
          <w:sz w:val="24"/>
        </w:rPr>
      </w:pPr>
      <w:bookmarkStart w:id="12" w:name="_Toc35393622"/>
      <w:bookmarkStart w:id="13" w:name="_Toc35393791"/>
      <w:bookmarkStart w:id="14" w:name="_Toc28359003"/>
      <w:bookmarkStart w:id="15" w:name="_Toc28359080"/>
      <w:r>
        <w:rPr>
          <w:rFonts w:hint="eastAsia" w:ascii="宋体" w:hAnsi="宋体" w:cs="宋体"/>
          <w:kern w:val="0"/>
          <w:sz w:val="24"/>
        </w:rPr>
        <w:t>标项名称：</w:t>
      </w:r>
      <w:r>
        <w:rPr>
          <w:rFonts w:hint="eastAsia" w:ascii="宋体" w:hAnsi="宋体" w:cs="宋体"/>
          <w:b w:val="0"/>
          <w:bCs w:val="0"/>
          <w:snapToGrid/>
          <w:kern w:val="0"/>
          <w:sz w:val="24"/>
          <w:lang w:val="zh-CN"/>
        </w:rPr>
        <w:t>长兴县市政基础设施资产会计核算分析服务项目</w:t>
      </w:r>
    </w:p>
    <w:p w14:paraId="7FD50D22">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数量：1</w:t>
      </w:r>
    </w:p>
    <w:p w14:paraId="21496777">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预算金额（元）：</w:t>
      </w:r>
      <w:r>
        <w:rPr>
          <w:rFonts w:hint="eastAsia" w:ascii="宋体" w:hAnsi="宋体" w:cs="宋体"/>
          <w:kern w:val="0"/>
          <w:sz w:val="24"/>
          <w:lang w:val="en-US" w:eastAsia="zh-CN"/>
        </w:rPr>
        <w:t>450000</w:t>
      </w:r>
    </w:p>
    <w:p w14:paraId="55CB1F7F">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简要规格描述或项目基本概况介绍、用途：</w:t>
      </w:r>
      <w:r>
        <w:rPr>
          <w:rFonts w:ascii="Segoe UI" w:hAnsi="Segoe UI" w:eastAsia="Segoe UI" w:cs="Segoe UI"/>
          <w:i w:val="0"/>
          <w:iCs w:val="0"/>
          <w:caps w:val="0"/>
          <w:color w:val="333333"/>
          <w:spacing w:val="0"/>
          <w:sz w:val="24"/>
          <w:szCs w:val="24"/>
          <w:shd w:val="clear" w:fill="FFFFFF"/>
        </w:rPr>
        <w:t>长兴县区域</w:t>
      </w:r>
      <w:r>
        <w:rPr>
          <w:rFonts w:hint="default" w:ascii="Segoe UI" w:hAnsi="Segoe UI" w:eastAsia="Segoe UI" w:cs="Segoe UI"/>
          <w:i w:val="0"/>
          <w:iCs w:val="0"/>
          <w:caps w:val="0"/>
          <w:color w:val="333333"/>
          <w:spacing w:val="0"/>
          <w:sz w:val="24"/>
          <w:szCs w:val="24"/>
          <w:shd w:val="clear" w:fill="FFFFFF"/>
        </w:rPr>
        <w:t>内市政基础设</w:t>
      </w:r>
      <w:r>
        <w:rPr>
          <w:rFonts w:hint="eastAsia" w:ascii="Segoe UI" w:hAnsi="Segoe UI" w:eastAsia="宋体" w:cs="Segoe UI"/>
          <w:i w:val="0"/>
          <w:iCs w:val="0"/>
          <w:caps w:val="0"/>
          <w:color w:val="333333"/>
          <w:spacing w:val="0"/>
          <w:sz w:val="24"/>
          <w:szCs w:val="24"/>
          <w:shd w:val="clear" w:fill="FFFFFF"/>
          <w:lang w:val="en-US" w:eastAsia="zh-CN"/>
        </w:rPr>
        <w:t>施</w:t>
      </w:r>
      <w:r>
        <w:rPr>
          <w:rFonts w:hint="default" w:ascii="Segoe UI" w:hAnsi="Segoe UI" w:eastAsia="Segoe UI" w:cs="Segoe UI"/>
          <w:i w:val="0"/>
          <w:iCs w:val="0"/>
          <w:caps w:val="0"/>
          <w:color w:val="333333"/>
          <w:spacing w:val="0"/>
          <w:sz w:val="24"/>
          <w:szCs w:val="24"/>
          <w:shd w:val="clear" w:fill="FFFFFF"/>
        </w:rPr>
        <w:t>政府会计核算及分析，主要需求包括实务手册培训、财慧通智能机器人自动答疑和热线电话答疑、资料整理、成本计算（重置成本、历史成本等）、资产云资产卡片（备查簿）及预算一体化等系统入账、</w:t>
      </w:r>
      <w:r>
        <w:rPr>
          <w:rFonts w:hint="eastAsia" w:ascii="Segoe UI" w:hAnsi="Segoe UI" w:eastAsia="宋体" w:cs="Segoe UI"/>
          <w:i w:val="0"/>
          <w:iCs w:val="0"/>
          <w:caps w:val="0"/>
          <w:color w:val="333333"/>
          <w:spacing w:val="0"/>
          <w:sz w:val="24"/>
          <w:szCs w:val="24"/>
          <w:shd w:val="clear" w:fill="FFFFFF"/>
          <w:lang w:val="en-US" w:eastAsia="zh-CN"/>
        </w:rPr>
        <w:t>城</w:t>
      </w:r>
      <w:r>
        <w:rPr>
          <w:rFonts w:hint="default" w:ascii="Segoe UI" w:hAnsi="Segoe UI" w:eastAsia="Segoe UI" w:cs="Segoe UI"/>
          <w:i w:val="0"/>
          <w:iCs w:val="0"/>
          <w:caps w:val="0"/>
          <w:color w:val="333333"/>
          <w:spacing w:val="0"/>
          <w:sz w:val="24"/>
          <w:szCs w:val="24"/>
          <w:shd w:val="clear" w:fill="FFFFFF"/>
        </w:rPr>
        <w:t>区市政基础设施会计核算情况进行分析并形成分析成果报告、配合完成上级抽查或审计及后续整改等工作。</w:t>
      </w:r>
    </w:p>
    <w:p w14:paraId="4EBC1A76">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备注： /</w:t>
      </w:r>
    </w:p>
    <w:p w14:paraId="19E12D22">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合同履行期限：</w:t>
      </w:r>
      <w:r>
        <w:rPr>
          <w:rFonts w:hint="eastAsia" w:ascii="宋体" w:hAnsi="宋体" w:cs="宋体"/>
          <w:kern w:val="0"/>
          <w:sz w:val="24"/>
          <w:lang w:val="en-US" w:eastAsia="zh-CN"/>
        </w:rPr>
        <w:t>90</w:t>
      </w:r>
      <w:r>
        <w:rPr>
          <w:rFonts w:hint="eastAsia" w:ascii="宋体" w:hAnsi="宋体" w:cs="宋体"/>
          <w:kern w:val="0"/>
          <w:sz w:val="24"/>
        </w:rPr>
        <w:t>日历天，具体签订日期以合同为准。</w:t>
      </w:r>
    </w:p>
    <w:p w14:paraId="725DC12E">
      <w:pPr>
        <w:widowControl/>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二、申请人的资格要求：</w:t>
      </w:r>
      <w:bookmarkEnd w:id="12"/>
      <w:bookmarkEnd w:id="13"/>
      <w:bookmarkEnd w:id="14"/>
      <w:bookmarkEnd w:id="15"/>
    </w:p>
    <w:p w14:paraId="211B2B34">
      <w:pPr>
        <w:widowControl/>
        <w:spacing w:line="360" w:lineRule="auto"/>
        <w:ind w:firstLine="480" w:firstLineChars="200"/>
        <w:rPr>
          <w:rFonts w:hint="eastAsia" w:ascii="宋体" w:hAnsi="宋体" w:cs="宋体"/>
          <w:kern w:val="0"/>
          <w:sz w:val="24"/>
        </w:rPr>
      </w:pPr>
      <w:bookmarkStart w:id="16" w:name="_Toc35393623"/>
      <w:bookmarkStart w:id="17" w:name="_Toc35393792"/>
      <w:bookmarkStart w:id="18" w:name="_Toc28359081"/>
      <w:bookmarkStart w:id="19" w:name="_Toc28359004"/>
      <w:r>
        <w:rPr>
          <w:rFonts w:hint="eastAsia" w:ascii="宋体" w:hAnsi="宋体" w:cs="宋体"/>
          <w:kern w:val="0"/>
          <w:sz w:val="24"/>
        </w:rPr>
        <w:t>1.符合《中华人民共和国政府采购法》 第二十二条规定的规定。</w:t>
      </w:r>
    </w:p>
    <w:p w14:paraId="692204EC">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2.供应商未被列入失信被执行人名单、重大税收违法失信主体、政府采购严重违法失信行为记录名单 ，信用信息以信用中国网站（ www.creditchina.gov.cn） 、 中国政府采购网（www.ccgp.gov.cn） 公布为准。</w:t>
      </w:r>
    </w:p>
    <w:p w14:paraId="44235C63">
      <w:pPr>
        <w:widowControl/>
        <w:numPr>
          <w:ilvl w:val="0"/>
          <w:numId w:val="4"/>
        </w:numPr>
        <w:spacing w:line="360" w:lineRule="auto"/>
        <w:ind w:firstLine="480" w:firstLineChars="200"/>
        <w:rPr>
          <w:rFonts w:hint="eastAsia" w:ascii="宋体" w:hAnsi="宋体" w:cs="宋体"/>
          <w:kern w:val="0"/>
          <w:sz w:val="24"/>
        </w:rPr>
      </w:pPr>
      <w:r>
        <w:rPr>
          <w:rFonts w:hint="eastAsia" w:ascii="宋体" w:hAnsi="宋体" w:cs="宋体"/>
          <w:kern w:val="0"/>
          <w:sz w:val="24"/>
        </w:rPr>
        <w:t>落实政府采购政策需满足的资格要求：本项目属于专门面向中小企业采购的项目（监狱企业、残疾人福利性单位视同小型微型企业）。</w:t>
      </w:r>
    </w:p>
    <w:p w14:paraId="3D4AB1D9">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4.本项目（否）接受联合体投标。</w:t>
      </w:r>
    </w:p>
    <w:p w14:paraId="7D614BA3">
      <w:pPr>
        <w:widowControl/>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三、获取</w:t>
      </w:r>
      <w:bookmarkEnd w:id="16"/>
      <w:bookmarkEnd w:id="17"/>
      <w:bookmarkEnd w:id="18"/>
      <w:bookmarkEnd w:id="19"/>
      <w:r>
        <w:rPr>
          <w:rFonts w:hint="eastAsia" w:ascii="宋体" w:hAnsi="宋体" w:cs="宋体"/>
          <w:b/>
          <w:bCs/>
          <w:kern w:val="0"/>
          <w:sz w:val="24"/>
        </w:rPr>
        <w:t>(下载)采购文件</w:t>
      </w:r>
    </w:p>
    <w:p w14:paraId="3F16E294">
      <w:pPr>
        <w:widowControl/>
        <w:spacing w:line="360" w:lineRule="auto"/>
        <w:ind w:firstLine="480" w:firstLineChars="200"/>
        <w:rPr>
          <w:rFonts w:hint="eastAsia" w:ascii="宋体" w:hAnsi="宋体" w:cs="宋体"/>
          <w:sz w:val="24"/>
        </w:rPr>
      </w:pPr>
      <w:r>
        <w:rPr>
          <w:rFonts w:hint="eastAsia" w:ascii="宋体" w:hAnsi="宋体" w:cs="宋体"/>
          <w:kern w:val="0"/>
          <w:sz w:val="24"/>
        </w:rPr>
        <w:t>1.时间：</w:t>
      </w:r>
      <w:r>
        <w:rPr>
          <w:rFonts w:ascii="宋体" w:hAnsi="宋体" w:cs="宋体"/>
          <w:sz w:val="24"/>
        </w:rPr>
        <w:t>公告发布之日起至</w:t>
      </w:r>
      <w:r>
        <w:rPr>
          <w:rFonts w:hint="eastAsia" w:ascii="宋体" w:hAnsi="宋体" w:cs="宋体"/>
          <w:sz w:val="24"/>
        </w:rPr>
        <w:t>响应</w:t>
      </w:r>
      <w:r>
        <w:rPr>
          <w:rFonts w:ascii="宋体" w:hAnsi="宋体" w:cs="宋体"/>
          <w:sz w:val="24"/>
        </w:rPr>
        <w:t>截止时间前</w:t>
      </w:r>
      <w:r>
        <w:rPr>
          <w:rFonts w:hint="eastAsia" w:ascii="宋体" w:hAnsi="宋体" w:cs="宋体"/>
          <w:sz w:val="24"/>
        </w:rPr>
        <w:t>；</w:t>
      </w:r>
    </w:p>
    <w:p w14:paraId="1B9A0BC1">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2.地点（网址）：</w:t>
      </w:r>
      <w:r>
        <w:rPr>
          <w:rStyle w:val="59"/>
          <w:rFonts w:hint="eastAsia" w:ascii="宋体" w:hAnsi="宋体" w:cs="宋体"/>
          <w:sz w:val="24"/>
        </w:rPr>
        <w:t>政府采购云平台（www.zcygov.cn）；</w:t>
      </w:r>
    </w:p>
    <w:p w14:paraId="50C4A74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方式：在线获取（潜在供应商登陆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5FB4C6E4">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4.售价（元）：0 ；</w:t>
      </w:r>
    </w:p>
    <w:p w14:paraId="617087C7">
      <w:pPr>
        <w:widowControl/>
        <w:spacing w:line="360" w:lineRule="auto"/>
        <w:ind w:firstLine="480" w:firstLineChars="200"/>
        <w:jc w:val="left"/>
        <w:rPr>
          <w:rFonts w:hint="eastAsia" w:ascii="宋体" w:hAnsi="宋体" w:cs="宋体"/>
          <w:sz w:val="24"/>
          <w:highlight w:val="none"/>
        </w:rPr>
      </w:pPr>
      <w:r>
        <w:rPr>
          <w:rFonts w:hint="eastAsia" w:ascii="宋体" w:hAnsi="宋体" w:cs="宋体"/>
          <w:kern w:val="0"/>
          <w:sz w:val="24"/>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采购人代表根据供应</w:t>
      </w:r>
      <w:r>
        <w:rPr>
          <w:rFonts w:hint="eastAsia" w:ascii="宋体" w:hAnsi="宋体" w:cs="宋体"/>
          <w:kern w:val="0"/>
          <w:sz w:val="24"/>
          <w:highlight w:val="none"/>
        </w:rPr>
        <w:t>商提交的磋商响应文件认定</w:t>
      </w:r>
      <w:r>
        <w:rPr>
          <w:rFonts w:hint="eastAsia" w:ascii="宋体" w:hAnsi="宋体" w:cs="宋体"/>
          <w:sz w:val="24"/>
          <w:highlight w:val="none"/>
        </w:rPr>
        <w:t>；</w:t>
      </w:r>
    </w:p>
    <w:p w14:paraId="6700AE67">
      <w:pPr>
        <w:widowControl/>
        <w:spacing w:line="360" w:lineRule="auto"/>
        <w:ind w:firstLine="480" w:firstLineChars="200"/>
        <w:jc w:val="left"/>
        <w:rPr>
          <w:rFonts w:hint="eastAsia" w:ascii="宋体" w:hAnsi="宋体" w:cs="宋体"/>
          <w:kern w:val="0"/>
          <w:sz w:val="24"/>
          <w:highlight w:val="none"/>
        </w:rPr>
      </w:pPr>
      <w:bookmarkStart w:id="20" w:name="_Toc28359005"/>
      <w:bookmarkStart w:id="21" w:name="_Toc35393793"/>
      <w:bookmarkStart w:id="22" w:name="_Toc28359082"/>
      <w:bookmarkStart w:id="23" w:name="_Toc35393624"/>
      <w:r>
        <w:rPr>
          <w:rFonts w:hint="eastAsia" w:ascii="宋体" w:hAnsi="宋体" w:cs="宋体"/>
          <w:kern w:val="0"/>
          <w:sz w:val="24"/>
          <w:highlight w:val="none"/>
        </w:rPr>
        <w:t>6.采购项目信息发布网址：“浙江省政府采购网”（http://zfcg.czt.zj.gov.cn/）、“长兴县公共资源交易中心网 ”（http://www.zjcx.gov.cn/col/col1229713478/index.html）</w:t>
      </w:r>
    </w:p>
    <w:p w14:paraId="057BB1A2">
      <w:pPr>
        <w:widowControl/>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四、</w:t>
      </w:r>
      <w:bookmarkEnd w:id="20"/>
      <w:bookmarkEnd w:id="21"/>
      <w:bookmarkEnd w:id="22"/>
      <w:bookmarkEnd w:id="23"/>
      <w:r>
        <w:rPr>
          <w:rFonts w:hint="eastAsia" w:ascii="宋体" w:hAnsi="宋体" w:cs="宋体"/>
          <w:b/>
          <w:bCs/>
          <w:kern w:val="0"/>
          <w:sz w:val="24"/>
          <w:highlight w:val="none"/>
        </w:rPr>
        <w:t>响应文件提交（上传）</w:t>
      </w:r>
    </w:p>
    <w:p w14:paraId="77093FD2">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1.截止时间：2024年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14</w:t>
      </w:r>
      <w:r>
        <w:rPr>
          <w:rFonts w:hint="eastAsia" w:ascii="宋体" w:hAnsi="宋体" w:cs="宋体"/>
          <w:kern w:val="0"/>
          <w:sz w:val="24"/>
          <w:highlight w:val="none"/>
        </w:rPr>
        <w:t xml:space="preserve">:00时（北京时间）。 </w:t>
      </w:r>
    </w:p>
    <w:p w14:paraId="6EDF2ABA">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2.地点（网址）：</w:t>
      </w:r>
      <w:r>
        <w:rPr>
          <w:rFonts w:ascii="宋体"/>
          <w:sz w:val="24"/>
          <w:highlight w:val="none"/>
          <w:lang w:val="zh-CN"/>
        </w:rPr>
        <w:t>长兴县市民服务中心四楼（长兴县锦绣路8号）公共资源交易中心开标室（届时详见四楼大屏公告栏）</w:t>
      </w:r>
      <w:r>
        <w:rPr>
          <w:rFonts w:hint="eastAsia" w:ascii="宋体" w:hAnsi="宋体" w:cs="宋体"/>
          <w:kern w:val="0"/>
          <w:sz w:val="24"/>
          <w:highlight w:val="none"/>
        </w:rPr>
        <w:t>。</w:t>
      </w:r>
      <w:r>
        <w:rPr>
          <w:rFonts w:hint="eastAsia" w:ascii="宋体"/>
          <w:sz w:val="24"/>
          <w:highlight w:val="none"/>
          <w:lang w:val="zh-CN"/>
        </w:rPr>
        <w:t>（</w:t>
      </w:r>
      <w:r>
        <w:rPr>
          <w:rFonts w:hint="eastAsia" w:ascii="宋体"/>
          <w:sz w:val="24"/>
          <w:highlight w:val="none"/>
        </w:rPr>
        <w:t>网址：通过“政府采购云平台（www.zcygov.cn）”实行在线投标响应。）</w:t>
      </w:r>
    </w:p>
    <w:p w14:paraId="153C1295">
      <w:pPr>
        <w:widowControl/>
        <w:spacing w:line="360" w:lineRule="auto"/>
        <w:ind w:firstLine="482" w:firstLineChars="200"/>
        <w:rPr>
          <w:rFonts w:hint="eastAsia" w:ascii="宋体" w:hAnsi="宋体" w:cs="宋体"/>
          <w:b/>
          <w:bCs/>
          <w:kern w:val="0"/>
          <w:sz w:val="24"/>
          <w:highlight w:val="none"/>
        </w:rPr>
      </w:pPr>
      <w:bookmarkStart w:id="24" w:name="_Toc28359007"/>
      <w:bookmarkStart w:id="25" w:name="_Toc28359084"/>
      <w:bookmarkStart w:id="26" w:name="_Toc35393625"/>
      <w:bookmarkStart w:id="27" w:name="_Toc35393794"/>
      <w:r>
        <w:rPr>
          <w:rFonts w:hint="eastAsia" w:ascii="宋体" w:hAnsi="宋体" w:cs="宋体"/>
          <w:b/>
          <w:bCs/>
          <w:kern w:val="0"/>
          <w:sz w:val="24"/>
          <w:highlight w:val="none"/>
        </w:rPr>
        <w:t>五、响应文件开启</w:t>
      </w:r>
    </w:p>
    <w:p w14:paraId="6114CFB1">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1.开启时间：2024年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14</w:t>
      </w:r>
      <w:r>
        <w:rPr>
          <w:rFonts w:hint="eastAsia" w:ascii="宋体" w:hAnsi="宋体" w:cs="宋体"/>
          <w:kern w:val="0"/>
          <w:sz w:val="24"/>
          <w:highlight w:val="none"/>
        </w:rPr>
        <w:t>:00时（北京时间）。</w:t>
      </w:r>
    </w:p>
    <w:p w14:paraId="5666B208">
      <w:pPr>
        <w:widowControl/>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2.地点（网址）：</w:t>
      </w:r>
      <w:r>
        <w:rPr>
          <w:rFonts w:ascii="宋体"/>
          <w:sz w:val="24"/>
          <w:highlight w:val="none"/>
          <w:lang w:val="zh-CN"/>
        </w:rPr>
        <w:t>长兴县市民服务中心四楼（长兴县锦绣路8号）公共资源交易中心开标室（届时详见四楼大屏公告栏）</w:t>
      </w:r>
      <w:r>
        <w:rPr>
          <w:rFonts w:hint="eastAsia" w:ascii="宋体"/>
          <w:sz w:val="24"/>
          <w:highlight w:val="none"/>
          <w:lang w:val="zh-CN"/>
        </w:rPr>
        <w:t>。（</w:t>
      </w:r>
      <w:r>
        <w:rPr>
          <w:rFonts w:hint="eastAsia" w:ascii="宋体"/>
          <w:sz w:val="24"/>
          <w:highlight w:val="none"/>
        </w:rPr>
        <w:t>网址：通过“政府采购云平台（www.zcygov.cn）”实行在线投标响应。）</w:t>
      </w:r>
    </w:p>
    <w:p w14:paraId="02B15F49">
      <w:pPr>
        <w:widowControl/>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六、公告期限</w:t>
      </w:r>
      <w:bookmarkEnd w:id="24"/>
      <w:bookmarkEnd w:id="25"/>
      <w:bookmarkEnd w:id="26"/>
      <w:bookmarkEnd w:id="27"/>
    </w:p>
    <w:p w14:paraId="6FC9F09D">
      <w:pPr>
        <w:widowControl/>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自本公告发布之日起3个工作日。</w:t>
      </w:r>
    </w:p>
    <w:p w14:paraId="63B67611">
      <w:pPr>
        <w:widowControl/>
        <w:spacing w:line="360" w:lineRule="auto"/>
        <w:ind w:firstLine="482" w:firstLineChars="200"/>
        <w:rPr>
          <w:rFonts w:hint="eastAsia" w:ascii="宋体" w:hAnsi="宋体" w:cs="宋体"/>
          <w:b/>
          <w:bCs/>
          <w:kern w:val="0"/>
          <w:sz w:val="24"/>
          <w:highlight w:val="none"/>
        </w:rPr>
      </w:pPr>
      <w:bookmarkStart w:id="28" w:name="_Toc35393795"/>
      <w:bookmarkStart w:id="29" w:name="_Toc35393626"/>
      <w:r>
        <w:rPr>
          <w:rFonts w:hint="eastAsia" w:ascii="宋体" w:hAnsi="宋体" w:cs="宋体"/>
          <w:b/>
          <w:bCs/>
          <w:kern w:val="0"/>
          <w:sz w:val="24"/>
          <w:highlight w:val="none"/>
        </w:rPr>
        <w:t>七、其他补充事宜</w:t>
      </w:r>
      <w:bookmarkEnd w:id="28"/>
      <w:bookmarkEnd w:id="29"/>
    </w:p>
    <w:p w14:paraId="667B1439">
      <w:pPr>
        <w:widowControl/>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1.磋商保证金：无。</w:t>
      </w:r>
    </w:p>
    <w:p w14:paraId="228DE153">
      <w:pPr>
        <w:pStyle w:val="13"/>
        <w:spacing w:after="0" w:line="360" w:lineRule="auto"/>
        <w:ind w:firstLine="482" w:firstLineChars="200"/>
        <w:rPr>
          <w:rFonts w:hint="eastAsia" w:ascii="宋体" w:hAnsi="宋体" w:cs="宋体"/>
          <w:b/>
          <w:bCs/>
          <w:kern w:val="0"/>
          <w:sz w:val="24"/>
          <w:highlight w:val="none"/>
          <w:lang w:val="zh-CN"/>
        </w:rPr>
      </w:pPr>
      <w:r>
        <w:rPr>
          <w:rFonts w:hint="eastAsia" w:ascii="宋体" w:hAnsi="宋体" w:cs="宋体"/>
          <w:b/>
          <w:bCs/>
          <w:kern w:val="0"/>
          <w:sz w:val="24"/>
          <w:highlight w:val="none"/>
        </w:rPr>
        <w:t>2.</w:t>
      </w:r>
      <w:r>
        <w:rPr>
          <w:rFonts w:hint="eastAsia" w:ascii="宋体" w:hAnsi="宋体" w:cs="宋体"/>
          <w:b/>
          <w:bCs/>
          <w:kern w:val="0"/>
          <w:sz w:val="24"/>
          <w:highlight w:val="none"/>
          <w:lang w:val="zh-CN"/>
        </w:rPr>
        <w:t>投标说明</w:t>
      </w:r>
    </w:p>
    <w:p w14:paraId="7682F18B">
      <w:pPr>
        <w:autoSpaceDE w:val="0"/>
        <w:autoSpaceDN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本项目实行电子投标，应按照本项目磋商文件和政采云平台的要求编制、加密并提交磋商响应文件（使用政采云平台专用编制工具）。供应商在使用系统进行响应的过程中遇到涉及平台使用的任何问题，可致电政采云平台技术支持热线咨询，联系方式：400-881-7190。</w:t>
      </w:r>
    </w:p>
    <w:p w14:paraId="6293883A">
      <w:pPr>
        <w:autoSpaceDE w:val="0"/>
        <w:autoSpaceDN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）供应商应在响应截止时间前完成CA数字证书办理（办理流程详见</w:t>
      </w:r>
      <w:r>
        <w:rPr>
          <w:highlight w:val="none"/>
        </w:rPr>
        <w:fldChar w:fldCharType="begin"/>
      </w:r>
      <w:r>
        <w:rPr>
          <w:highlight w:val="none"/>
        </w:rPr>
        <w:instrText xml:space="preserve"> HYPERLINK "http://www.zjzfcg.gov.cn/bidClientTemplate/2019-05-27/12945.html" </w:instrText>
      </w:r>
      <w:r>
        <w:rPr>
          <w:highlight w:val="none"/>
        </w:rPr>
        <w:fldChar w:fldCharType="separate"/>
      </w:r>
      <w:r>
        <w:rPr>
          <w:rFonts w:hint="eastAsia" w:ascii="宋体" w:hAnsi="宋体" w:cs="宋体"/>
          <w:sz w:val="24"/>
          <w:highlight w:val="none"/>
          <w:lang w:val="zh-CN"/>
        </w:rPr>
        <w:t>http://www.zjzfcg.gov.cn/bidClientTemplate/2019-05-27/12945.html</w:t>
      </w:r>
      <w:r>
        <w:rPr>
          <w:rFonts w:hint="eastAsia" w:ascii="宋体" w:hAnsi="宋体" w:cs="宋体"/>
          <w:sz w:val="24"/>
          <w:highlight w:val="none"/>
          <w:lang w:val="zh-CN"/>
        </w:rPr>
        <w:fldChar w:fldCharType="end"/>
      </w:r>
      <w:r>
        <w:rPr>
          <w:rFonts w:hint="eastAsia" w:ascii="宋体" w:hAnsi="宋体" w:cs="宋体"/>
          <w:sz w:val="24"/>
          <w:highlight w:val="none"/>
          <w:lang w:val="zh-CN"/>
        </w:rPr>
        <w:t>）。完成CA数字证书办理预计一周左右，建议各供应商抓紧时间办理。</w:t>
      </w:r>
    </w:p>
    <w:p w14:paraId="4A37FE8C">
      <w:pPr>
        <w:pStyle w:val="13"/>
        <w:spacing w:after="0" w:line="360" w:lineRule="auto"/>
        <w:ind w:firstLine="480" w:firstLineChars="200"/>
        <w:rPr>
          <w:rFonts w:hint="eastAsia" w:ascii="宋体" w:hAnsi="宋体" w:cs="宋体"/>
          <w:color w:val="auto"/>
          <w:sz w:val="24"/>
          <w:highlight w:val="none"/>
          <w:lang w:val="zh-CN"/>
        </w:rPr>
      </w:pPr>
      <w:r>
        <w:rPr>
          <w:rFonts w:hint="eastAsia" w:ascii="宋体" w:hAnsi="宋体" w:cs="宋体"/>
          <w:sz w:val="24"/>
          <w:highlight w:val="none"/>
        </w:rPr>
        <w:t>（3）</w:t>
      </w:r>
      <w:r>
        <w:rPr>
          <w:rFonts w:hint="eastAsia" w:ascii="宋体" w:hAnsi="宋体" w:cs="宋体"/>
          <w:sz w:val="24"/>
          <w:highlight w:val="none"/>
          <w:lang w:val="zh-CN"/>
        </w:rPr>
        <w:t>供应商通过政采云平台电子投标工具制作磋商响应文件，电子投标工具请供应商自行前往浙江省政府采购网下载并安装（下载网址：</w:t>
      </w:r>
      <w:r>
        <w:rPr>
          <w:highlight w:val="none"/>
        </w:rPr>
        <w:fldChar w:fldCharType="begin"/>
      </w:r>
      <w:r>
        <w:rPr>
          <w:highlight w:val="none"/>
        </w:rPr>
        <w:instrText xml:space="preserve"> HYPERLINK "http://zfcg.czt.zj.gov.cn/bidClientTemplate/2019-09-24/12975.html" </w:instrText>
      </w:r>
      <w:r>
        <w:rPr>
          <w:highlight w:val="none"/>
        </w:rPr>
        <w:fldChar w:fldCharType="separate"/>
      </w:r>
      <w:r>
        <w:rPr>
          <w:rFonts w:hint="eastAsia" w:ascii="宋体" w:hAnsi="宋体" w:cs="宋体"/>
          <w:sz w:val="24"/>
          <w:highlight w:val="none"/>
          <w:lang w:val="zh-CN"/>
        </w:rPr>
        <w:t>http://zfcg.czt.zj.gov.cn/bidClientTemplate/2019-09-</w:t>
      </w:r>
      <w:r>
        <w:rPr>
          <w:rFonts w:hint="eastAsia" w:ascii="宋体" w:hAnsi="宋体" w:cs="宋体"/>
          <w:sz w:val="24"/>
          <w:highlight w:val="none"/>
        </w:rPr>
        <w:t>24</w:t>
      </w:r>
      <w:r>
        <w:rPr>
          <w:rFonts w:hint="eastAsia" w:ascii="宋体" w:hAnsi="宋体" w:cs="宋体"/>
          <w:sz w:val="24"/>
          <w:highlight w:val="none"/>
          <w:lang w:val="zh-CN"/>
        </w:rPr>
        <w:t>/12975.html</w:t>
      </w:r>
      <w:r>
        <w:rPr>
          <w:rFonts w:hint="eastAsia" w:ascii="宋体" w:hAnsi="宋体" w:cs="宋体"/>
          <w:sz w:val="24"/>
          <w:highlight w:val="none"/>
          <w:lang w:val="zh-CN"/>
        </w:rPr>
        <w:fldChar w:fldCharType="end"/>
      </w:r>
      <w:r>
        <w:rPr>
          <w:rFonts w:hint="eastAsia" w:ascii="宋体" w:hAnsi="宋体" w:cs="宋体"/>
          <w:sz w:val="24"/>
          <w:highlight w:val="none"/>
          <w:lang w:val="zh-CN"/>
        </w:rPr>
        <w:t>），电子投标制作具体流程详见“政采云供应商项目采购-电子招投标操作指南”（请供应商点击链接https://help.</w:t>
      </w:r>
      <w:r>
        <w:rPr>
          <w:rFonts w:hint="eastAsia" w:ascii="宋体" w:hAnsi="宋体" w:cs="宋体"/>
          <w:color w:val="auto"/>
          <w:sz w:val="24"/>
          <w:highlight w:val="none"/>
          <w:lang w:val="zh-CN"/>
        </w:rPr>
        <w:t>zcygov.cn/web/site_2/2018/12-28/2573.html）以获取最新操作指南。</w:t>
      </w:r>
    </w:p>
    <w:p w14:paraId="5F1EDB31">
      <w:pPr>
        <w:pStyle w:val="13"/>
        <w:spacing w:after="0" w:line="360" w:lineRule="auto"/>
        <w:ind w:firstLine="482" w:firstLineChars="200"/>
        <w:rPr>
          <w:rFonts w:ascii="宋体"/>
          <w:b/>
          <w:color w:val="auto"/>
          <w:sz w:val="24"/>
          <w:highlight w:val="none"/>
          <w:lang w:val="zh-CN"/>
        </w:rPr>
      </w:pPr>
      <w:r>
        <w:rPr>
          <w:rFonts w:hint="eastAsia" w:ascii="宋体" w:hAnsi="宋体" w:cs="宋体"/>
          <w:b/>
          <w:color w:val="auto"/>
          <w:sz w:val="24"/>
          <w:highlight w:val="none"/>
        </w:rPr>
        <w:t>（4）</w:t>
      </w:r>
      <w:r>
        <w:rPr>
          <w:rFonts w:hint="eastAsia" w:ascii="宋体"/>
          <w:b/>
          <w:color w:val="auto"/>
          <w:sz w:val="24"/>
          <w:highlight w:val="none"/>
          <w:lang w:val="zh-CN"/>
        </w:rPr>
        <w:t>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640ED199">
      <w:pPr>
        <w:pStyle w:val="13"/>
        <w:spacing w:after="0" w:line="36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rPr>
        <w:t>3.</w:t>
      </w:r>
      <w:r>
        <w:rPr>
          <w:rFonts w:hint="eastAsia" w:ascii="宋体" w:hAnsi="宋体" w:cs="宋体"/>
          <w:b/>
          <w:bCs/>
          <w:color w:val="auto"/>
          <w:kern w:val="0"/>
          <w:sz w:val="24"/>
          <w:highlight w:val="none"/>
          <w:lang w:val="zh-CN"/>
        </w:rPr>
        <w:t>提交（上传）响应文件</w:t>
      </w:r>
      <w:r>
        <w:rPr>
          <w:rFonts w:ascii="宋体" w:hAnsi="宋体" w:cs="宋体"/>
          <w:b/>
          <w:bCs/>
          <w:color w:val="auto"/>
          <w:kern w:val="0"/>
          <w:sz w:val="24"/>
          <w:highlight w:val="none"/>
          <w:lang w:val="zh-CN"/>
        </w:rPr>
        <w:t>说明</w:t>
      </w:r>
    </w:p>
    <w:p w14:paraId="6E65216D">
      <w:pPr>
        <w:autoSpaceDE w:val="0"/>
        <w:autoSpaceDN w:val="0"/>
        <w:adjustRightInd w:val="0"/>
        <w:snapToGrid w:val="0"/>
        <w:spacing w:line="360" w:lineRule="auto"/>
        <w:ind w:firstLine="480"/>
        <w:jc w:val="left"/>
        <w:rPr>
          <w:rFonts w:ascii="宋体" w:cs="宋体"/>
          <w:color w:val="auto"/>
          <w:sz w:val="24"/>
          <w:highlight w:val="none"/>
          <w:lang w:val="zh-CN"/>
        </w:rPr>
      </w:pPr>
      <w:r>
        <w:rPr>
          <w:rFonts w:hint="eastAsia" w:ascii="宋体" w:cs="宋体"/>
          <w:color w:val="auto"/>
          <w:sz w:val="24"/>
          <w:highlight w:val="none"/>
        </w:rPr>
        <w:t>（1）</w:t>
      </w:r>
      <w:r>
        <w:rPr>
          <w:rFonts w:hint="eastAsia" w:ascii="宋体" w:cs="宋体"/>
          <w:color w:val="auto"/>
          <w:sz w:val="24"/>
          <w:highlight w:val="none"/>
          <w:lang w:val="zh-CN"/>
        </w:rPr>
        <w:t>供应商应当在响应截止时间前完成电子磋商响应文件的传输递交，并可以补充、修改或者撤回电子磋商响应文件。补充或者修改电子磋商响应文件的，应当先行撤回原文件，补充、修改后重新传输递交。响应截止时间前未完成传输的，视为撤回磋商响应文件。响应截止时间后递交的磋商响应文件，将被政采云平台拒收。</w:t>
      </w:r>
    </w:p>
    <w:p w14:paraId="15D24652">
      <w:pPr>
        <w:autoSpaceDE w:val="0"/>
        <w:autoSpaceDN w:val="0"/>
        <w:adjustRightInd w:val="0"/>
        <w:snapToGrid w:val="0"/>
        <w:spacing w:line="360" w:lineRule="auto"/>
        <w:ind w:firstLine="480"/>
        <w:jc w:val="left"/>
        <w:rPr>
          <w:rFonts w:ascii="宋体" w:cs="宋体"/>
          <w:color w:val="auto"/>
          <w:sz w:val="24"/>
          <w:highlight w:val="none"/>
          <w:lang w:val="zh-CN"/>
        </w:rPr>
      </w:pPr>
      <w:r>
        <w:rPr>
          <w:rFonts w:hint="eastAsia" w:ascii="宋体" w:cs="宋体"/>
          <w:color w:val="auto"/>
          <w:sz w:val="24"/>
          <w:highlight w:val="none"/>
        </w:rPr>
        <w:t>（2）</w:t>
      </w:r>
      <w:r>
        <w:rPr>
          <w:rFonts w:hint="eastAsia" w:ascii="宋体" w:cs="宋体"/>
          <w:b/>
          <w:bCs/>
          <w:color w:val="auto"/>
          <w:sz w:val="24"/>
          <w:highlight w:val="none"/>
          <w:lang w:val="zh-CN"/>
        </w:rPr>
        <w:t>在响应截止时间前，</w:t>
      </w:r>
      <w:r>
        <w:rPr>
          <w:rFonts w:hint="eastAsia" w:ascii="宋体" w:cs="宋体"/>
          <w:b/>
          <w:bCs/>
          <w:color w:val="auto"/>
          <w:sz w:val="24"/>
          <w:highlight w:val="none"/>
        </w:rPr>
        <w:t>如认为需要，供应商可以选择</w:t>
      </w:r>
      <w:r>
        <w:rPr>
          <w:rFonts w:hint="eastAsia" w:ascii="宋体" w:cs="宋体"/>
          <w:b/>
          <w:bCs/>
          <w:color w:val="auto"/>
          <w:sz w:val="24"/>
          <w:highlight w:val="none"/>
          <w:lang w:val="zh-CN"/>
        </w:rPr>
        <w:t>提交以介质存储的数据电文形式的U盘备份磋商响应文件一份和制作纸质备份磋商响应文件一份</w:t>
      </w:r>
      <w:r>
        <w:rPr>
          <w:rFonts w:hint="eastAsia" w:ascii="宋体" w:cs="宋体"/>
          <w:color w:val="auto"/>
          <w:sz w:val="24"/>
          <w:highlight w:val="none"/>
          <w:lang w:val="zh-CN"/>
        </w:rPr>
        <w:t>。U盘备份</w:t>
      </w:r>
      <w:r>
        <w:rPr>
          <w:rFonts w:hint="eastAsia" w:ascii="宋体" w:cs="宋体"/>
          <w:color w:val="auto"/>
          <w:sz w:val="24"/>
          <w:highlight w:val="none"/>
        </w:rPr>
        <w:t>磋商响应文件</w:t>
      </w:r>
      <w:r>
        <w:rPr>
          <w:rFonts w:hint="eastAsia" w:ascii="宋体" w:cs="宋体"/>
          <w:color w:val="auto"/>
          <w:sz w:val="24"/>
          <w:highlight w:val="none"/>
          <w:lang w:val="zh-CN"/>
        </w:rPr>
        <w:t>和纸质备份磋商响应文件建议采用顺丰快递邮寄方式提交，地址：浙江华元工程咨询有限公司</w:t>
      </w:r>
      <w:r>
        <w:rPr>
          <w:rFonts w:hint="eastAsia" w:ascii="宋体" w:hAnsi="宋体" w:cs="宋体"/>
          <w:color w:val="auto"/>
          <w:spacing w:val="5"/>
          <w:kern w:val="0"/>
          <w:sz w:val="24"/>
          <w:highlight w:val="none"/>
        </w:rPr>
        <w:t>（长兴县浙北商业广场11幢201）</w:t>
      </w:r>
      <w:r>
        <w:rPr>
          <w:rFonts w:hint="eastAsia" w:ascii="宋体" w:cs="宋体"/>
          <w:color w:val="auto"/>
          <w:sz w:val="24"/>
          <w:highlight w:val="none"/>
          <w:lang w:val="zh-CN"/>
        </w:rPr>
        <w:t>，收件人：</w:t>
      </w:r>
      <w:r>
        <w:rPr>
          <w:rFonts w:hint="eastAsia" w:ascii="宋体" w:hAnsi="宋体" w:cs="宋体"/>
          <w:color w:val="auto"/>
          <w:kern w:val="0"/>
          <w:sz w:val="24"/>
          <w:highlight w:val="none"/>
        </w:rPr>
        <w:t>章工</w:t>
      </w:r>
      <w:r>
        <w:rPr>
          <w:rFonts w:hint="eastAsia" w:ascii="宋体" w:cs="宋体"/>
          <w:color w:val="auto"/>
          <w:sz w:val="24"/>
          <w:highlight w:val="none"/>
          <w:lang w:val="zh-CN"/>
        </w:rPr>
        <w:t>，联系电话：</w:t>
      </w:r>
      <w:r>
        <w:rPr>
          <w:rFonts w:hint="eastAsia" w:ascii="宋体" w:cs="宋体"/>
          <w:color w:val="auto"/>
          <w:sz w:val="24"/>
          <w:highlight w:val="none"/>
        </w:rPr>
        <w:t>18805826367</w:t>
      </w:r>
      <w:r>
        <w:rPr>
          <w:rFonts w:hint="eastAsia" w:ascii="宋体" w:cs="宋体"/>
          <w:color w:val="auto"/>
          <w:sz w:val="24"/>
          <w:highlight w:val="none"/>
          <w:lang w:val="zh-CN"/>
        </w:rPr>
        <w:t xml:space="preserve"> ，由采购代理机构统一负责接收，接收截止时间（以签收时间为准）：</w:t>
      </w:r>
      <w:r>
        <w:rPr>
          <w:rFonts w:hint="eastAsia" w:ascii="宋体" w:cs="宋体"/>
          <w:b/>
          <w:bCs/>
          <w:color w:val="auto"/>
          <w:sz w:val="24"/>
          <w:highlight w:val="none"/>
          <w:lang w:val="zh-CN"/>
        </w:rPr>
        <w:t>202</w:t>
      </w:r>
      <w:r>
        <w:rPr>
          <w:rFonts w:hint="eastAsia" w:ascii="宋体" w:cs="宋体"/>
          <w:b/>
          <w:bCs/>
          <w:color w:val="auto"/>
          <w:sz w:val="24"/>
          <w:highlight w:val="none"/>
        </w:rPr>
        <w:t>4</w:t>
      </w:r>
      <w:r>
        <w:rPr>
          <w:rFonts w:hint="eastAsia" w:ascii="宋体" w:cs="宋体"/>
          <w:b/>
          <w:bCs/>
          <w:color w:val="auto"/>
          <w:sz w:val="24"/>
          <w:highlight w:val="none"/>
          <w:lang w:val="zh-CN"/>
        </w:rPr>
        <w:t>年</w:t>
      </w:r>
      <w:r>
        <w:rPr>
          <w:rFonts w:hint="eastAsia" w:ascii="宋体" w:cs="宋体"/>
          <w:b/>
          <w:bCs/>
          <w:color w:val="auto"/>
          <w:sz w:val="24"/>
          <w:highlight w:val="none"/>
          <w:lang w:val="en-US" w:eastAsia="zh-CN"/>
        </w:rPr>
        <w:t>10</w:t>
      </w:r>
      <w:r>
        <w:rPr>
          <w:rFonts w:hint="eastAsia" w:ascii="宋体" w:cs="宋体"/>
          <w:b/>
          <w:bCs/>
          <w:color w:val="auto"/>
          <w:sz w:val="24"/>
          <w:highlight w:val="none"/>
          <w:lang w:val="zh-CN"/>
        </w:rPr>
        <w:t>月</w:t>
      </w:r>
      <w:r>
        <w:rPr>
          <w:rFonts w:hint="eastAsia" w:ascii="宋体" w:cs="宋体"/>
          <w:b/>
          <w:bCs/>
          <w:color w:val="auto"/>
          <w:sz w:val="24"/>
          <w:highlight w:val="none"/>
          <w:lang w:val="en-US" w:eastAsia="zh-CN"/>
        </w:rPr>
        <w:t>25</w:t>
      </w:r>
      <w:r>
        <w:rPr>
          <w:rFonts w:hint="eastAsia" w:ascii="宋体" w:cs="宋体"/>
          <w:b/>
          <w:bCs/>
          <w:color w:val="auto"/>
          <w:sz w:val="24"/>
          <w:highlight w:val="none"/>
          <w:lang w:val="zh-CN"/>
        </w:rPr>
        <w:t>日</w:t>
      </w:r>
      <w:r>
        <w:rPr>
          <w:rFonts w:hint="eastAsia" w:ascii="宋体" w:cs="宋体"/>
          <w:b/>
          <w:bCs/>
          <w:color w:val="auto"/>
          <w:sz w:val="24"/>
          <w:highlight w:val="none"/>
        </w:rPr>
        <w:t>11：00</w:t>
      </w:r>
      <w:r>
        <w:rPr>
          <w:rFonts w:hint="eastAsia" w:ascii="宋体" w:cs="宋体"/>
          <w:b/>
          <w:bCs/>
          <w:color w:val="auto"/>
          <w:sz w:val="24"/>
          <w:highlight w:val="none"/>
          <w:lang w:val="zh-CN"/>
        </w:rPr>
        <w:t>时前</w:t>
      </w:r>
      <w:r>
        <w:rPr>
          <w:rFonts w:hint="eastAsia" w:ascii="宋体" w:cs="宋体"/>
          <w:color w:val="auto"/>
          <w:sz w:val="24"/>
          <w:highlight w:val="none"/>
          <w:lang w:val="zh-CN"/>
        </w:rPr>
        <w:t>。</w:t>
      </w:r>
    </w:p>
    <w:p w14:paraId="51A11121">
      <w:pPr>
        <w:autoSpaceDE w:val="0"/>
        <w:autoSpaceDN w:val="0"/>
        <w:adjustRightInd w:val="0"/>
        <w:snapToGrid w:val="0"/>
        <w:spacing w:line="360" w:lineRule="auto"/>
        <w:ind w:firstLine="480"/>
        <w:jc w:val="left"/>
        <w:rPr>
          <w:rFonts w:ascii="宋体" w:cs="宋体"/>
          <w:color w:val="auto"/>
          <w:sz w:val="24"/>
          <w:highlight w:val="none"/>
          <w:lang w:val="zh-CN"/>
        </w:rPr>
      </w:pPr>
      <w:r>
        <w:rPr>
          <w:rFonts w:hint="eastAsia" w:ascii="宋体" w:cs="宋体"/>
          <w:color w:val="auto"/>
          <w:sz w:val="24"/>
          <w:highlight w:val="none"/>
        </w:rPr>
        <w:t>（3）</w:t>
      </w:r>
      <w:r>
        <w:rPr>
          <w:rFonts w:hint="eastAsia" w:ascii="宋体" w:cs="宋体"/>
          <w:color w:val="auto"/>
          <w:sz w:val="24"/>
          <w:highlight w:val="none"/>
          <w:lang w:val="zh-CN"/>
        </w:rPr>
        <w:t>供应商</w:t>
      </w:r>
      <w:r>
        <w:rPr>
          <w:rFonts w:hint="eastAsia" w:ascii="宋体" w:cs="宋体"/>
          <w:color w:val="auto"/>
          <w:sz w:val="24"/>
          <w:highlight w:val="none"/>
        </w:rPr>
        <w:t>应</w:t>
      </w:r>
      <w:r>
        <w:rPr>
          <w:rFonts w:hint="eastAsia" w:ascii="宋体" w:cs="宋体"/>
          <w:color w:val="auto"/>
          <w:sz w:val="24"/>
          <w:highlight w:val="none"/>
          <w:lang w:val="zh-CN"/>
        </w:rPr>
        <w:t>留足响应文件邮寄时间,确保备份磋商响应文件于接收截止时间前送达指定地点，逾期送达或未密封将被拒收。供应商自行承担所有风险和由此带来的后果。</w:t>
      </w:r>
    </w:p>
    <w:p w14:paraId="6CA68440">
      <w:pPr>
        <w:autoSpaceDE w:val="0"/>
        <w:autoSpaceDN w:val="0"/>
        <w:spacing w:line="360" w:lineRule="auto"/>
        <w:ind w:firstLine="482" w:firstLineChars="200"/>
        <w:rPr>
          <w:rFonts w:ascii="宋体" w:cs="宋体"/>
          <w:b/>
          <w:bCs/>
          <w:color w:val="auto"/>
          <w:sz w:val="24"/>
          <w:highlight w:val="none"/>
          <w:lang w:val="zh-CN"/>
        </w:rPr>
      </w:pPr>
      <w:r>
        <w:rPr>
          <w:rFonts w:hint="eastAsia" w:ascii="宋体" w:cs="宋体"/>
          <w:b/>
          <w:bCs/>
          <w:color w:val="auto"/>
          <w:sz w:val="24"/>
          <w:highlight w:val="none"/>
        </w:rPr>
        <w:t>4.</w:t>
      </w:r>
      <w:r>
        <w:rPr>
          <w:rFonts w:ascii="宋体" w:cs="宋体"/>
          <w:b/>
          <w:bCs/>
          <w:color w:val="auto"/>
          <w:sz w:val="24"/>
          <w:highlight w:val="none"/>
          <w:lang w:val="zh-CN"/>
        </w:rPr>
        <w:t>质疑</w:t>
      </w:r>
    </w:p>
    <w:p w14:paraId="1158BC16">
      <w:pPr>
        <w:pStyle w:val="87"/>
        <w:widowControl w:val="0"/>
        <w:snapToGrid/>
        <w:spacing w:afterLines="0" w:line="360" w:lineRule="auto"/>
        <w:ind w:firstLine="480"/>
        <w:rPr>
          <w:rFonts w:ascii="宋体" w:cs="宋体"/>
          <w:color w:val="auto"/>
          <w:kern w:val="2"/>
          <w:szCs w:val="24"/>
          <w:highlight w:val="none"/>
          <w:lang w:val="zh-CN"/>
        </w:rPr>
      </w:pPr>
      <w:r>
        <w:rPr>
          <w:rFonts w:hint="eastAsia" w:ascii="宋体" w:cs="宋体"/>
          <w:color w:val="auto"/>
          <w:kern w:val="2"/>
          <w:szCs w:val="24"/>
          <w:highlight w:val="none"/>
          <w:lang w:val="zh-CN"/>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EFB04B">
      <w:pPr>
        <w:widowControl/>
        <w:spacing w:line="360" w:lineRule="auto"/>
        <w:ind w:firstLine="482" w:firstLineChars="200"/>
        <w:rPr>
          <w:rFonts w:hint="eastAsia" w:ascii="宋体" w:hAnsi="宋体" w:cs="宋体"/>
          <w:b/>
          <w:bCs/>
          <w:color w:val="auto"/>
          <w:kern w:val="0"/>
          <w:sz w:val="24"/>
          <w:highlight w:val="none"/>
        </w:rPr>
      </w:pPr>
      <w:bookmarkStart w:id="30" w:name="_Toc28359008"/>
      <w:bookmarkStart w:id="31" w:name="_Toc35393627"/>
      <w:bookmarkStart w:id="32" w:name="_Toc28359085"/>
      <w:bookmarkStart w:id="33" w:name="_Toc35393796"/>
      <w:r>
        <w:rPr>
          <w:rFonts w:hint="eastAsia" w:ascii="宋体" w:hAnsi="宋体" w:cs="宋体"/>
          <w:b/>
          <w:bCs/>
          <w:color w:val="auto"/>
          <w:kern w:val="0"/>
          <w:sz w:val="24"/>
          <w:highlight w:val="none"/>
        </w:rPr>
        <w:t>八、</w:t>
      </w:r>
      <w:bookmarkEnd w:id="30"/>
      <w:bookmarkEnd w:id="31"/>
      <w:bookmarkEnd w:id="32"/>
      <w:bookmarkEnd w:id="33"/>
      <w:r>
        <w:rPr>
          <w:rFonts w:hint="eastAsia" w:ascii="宋体" w:hAnsi="宋体" w:cs="宋体"/>
          <w:b/>
          <w:bCs/>
          <w:color w:val="auto"/>
          <w:kern w:val="0"/>
          <w:sz w:val="24"/>
          <w:highlight w:val="none"/>
        </w:rPr>
        <w:t>对本次招标提出询问、质疑、投诉，请按以下方式联系</w:t>
      </w:r>
    </w:p>
    <w:p w14:paraId="4E58D2EC">
      <w:pPr>
        <w:autoSpaceDE w:val="0"/>
        <w:autoSpaceDN w:val="0"/>
        <w:spacing w:line="360" w:lineRule="auto"/>
        <w:ind w:firstLine="480" w:firstLineChars="200"/>
        <w:rPr>
          <w:rFonts w:hint="eastAsia" w:ascii="仿宋" w:hAnsi="仿宋" w:eastAsia="宋体" w:cs="仿宋"/>
          <w:b/>
          <w:color w:val="auto"/>
          <w:sz w:val="24"/>
          <w:highlight w:val="none"/>
          <w:lang w:eastAsia="zh-CN"/>
        </w:rPr>
      </w:pPr>
      <w:r>
        <w:rPr>
          <w:rFonts w:ascii="宋体" w:hAnsi="宋体" w:cs="宋体"/>
          <w:color w:val="auto"/>
          <w:sz w:val="24"/>
          <w:highlight w:val="none"/>
          <w:lang w:val="zh-CN"/>
        </w:rPr>
        <w:t>1</w:t>
      </w:r>
      <w:r>
        <w:rPr>
          <w:rFonts w:ascii="宋体" w:hAnsi="宋体" w:cs="宋体"/>
          <w:color w:val="auto"/>
          <w:kern w:val="0"/>
          <w:sz w:val="24"/>
          <w:highlight w:val="none"/>
        </w:rPr>
        <w:t>.</w:t>
      </w:r>
      <w:r>
        <w:rPr>
          <w:rFonts w:ascii="宋体" w:hAnsi="宋体" w:cs="宋体"/>
          <w:color w:val="auto"/>
          <w:sz w:val="24"/>
          <w:highlight w:val="none"/>
          <w:lang w:val="zh-CN"/>
        </w:rPr>
        <w:t>采购单位：</w:t>
      </w:r>
      <w:r>
        <w:rPr>
          <w:rFonts w:hint="eastAsia" w:ascii="宋体" w:hAnsi="宋体" w:cs="宋体"/>
          <w:bCs/>
          <w:color w:val="auto"/>
          <w:sz w:val="24"/>
          <w:highlight w:val="none"/>
          <w:lang w:eastAsia="zh-CN"/>
        </w:rPr>
        <w:t>长兴县城市建设发展管理中心</w:t>
      </w:r>
    </w:p>
    <w:p w14:paraId="0F5574BC">
      <w:pPr>
        <w:widowControl/>
        <w:wordWrap w:val="0"/>
        <w:spacing w:line="360" w:lineRule="auto"/>
        <w:ind w:firstLine="720" w:firstLineChars="300"/>
        <w:jc w:val="left"/>
        <w:rPr>
          <w:rFonts w:hint="eastAsia" w:eastAsia="宋体"/>
          <w:color w:val="auto"/>
          <w:sz w:val="24"/>
          <w:highlight w:val="none"/>
          <w:lang w:eastAsia="zh-CN"/>
        </w:rPr>
      </w:pPr>
      <w:r>
        <w:rPr>
          <w:rFonts w:ascii="宋体" w:hAnsi="宋体" w:cs="宋体"/>
          <w:color w:val="auto"/>
          <w:kern w:val="0"/>
          <w:sz w:val="24"/>
          <w:highlight w:val="none"/>
        </w:rPr>
        <w:t>地址：</w:t>
      </w:r>
      <w:r>
        <w:rPr>
          <w:rFonts w:hint="eastAsia" w:ascii="宋体" w:hAnsi="宋体" w:cs="宋体"/>
          <w:color w:val="auto"/>
          <w:kern w:val="0"/>
          <w:sz w:val="24"/>
          <w:highlight w:val="none"/>
        </w:rPr>
        <w:t>长兴县雉城街道明珠路689号</w:t>
      </w:r>
    </w:p>
    <w:p w14:paraId="0989F6DF">
      <w:pPr>
        <w:autoSpaceDE w:val="0"/>
        <w:autoSpaceDN w:val="0"/>
        <w:spacing w:line="360" w:lineRule="auto"/>
        <w:ind w:firstLine="720" w:firstLineChars="300"/>
        <w:rPr>
          <w:rFonts w:hint="eastAsia" w:ascii="宋体" w:hAnsi="宋体" w:cs="宋体"/>
          <w:color w:val="auto"/>
          <w:sz w:val="24"/>
          <w:highlight w:val="none"/>
          <w:lang w:val="zh-CN"/>
        </w:rPr>
      </w:pPr>
      <w:r>
        <w:rPr>
          <w:rFonts w:hint="eastAsia" w:ascii="宋体" w:hAnsi="宋体" w:cs="宋体"/>
          <w:color w:val="auto"/>
          <w:sz w:val="24"/>
          <w:highlight w:val="none"/>
          <w:lang w:val="zh-CN"/>
        </w:rPr>
        <w:t>项目联系人（询问）：</w:t>
      </w:r>
      <w:r>
        <w:rPr>
          <w:rFonts w:hint="eastAsia" w:ascii="宋体" w:hAnsi="宋体" w:cs="宋体"/>
          <w:color w:val="auto"/>
          <w:sz w:val="24"/>
          <w:highlight w:val="none"/>
          <w:lang w:val="en-US" w:eastAsia="zh-CN"/>
        </w:rPr>
        <w:t>朱女士</w:t>
      </w:r>
      <w:r>
        <w:rPr>
          <w:rFonts w:hint="eastAsia" w:ascii="宋体" w:hAnsi="宋体" w:cs="宋体"/>
          <w:color w:val="auto"/>
          <w:sz w:val="24"/>
          <w:highlight w:val="none"/>
          <w:lang w:val="zh-CN"/>
        </w:rPr>
        <w:t> </w:t>
      </w:r>
    </w:p>
    <w:p w14:paraId="65C0268A">
      <w:pPr>
        <w:autoSpaceDE w:val="0"/>
        <w:autoSpaceDN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zh-CN"/>
        </w:rPr>
        <w:t>项目联系方式（询问）：</w:t>
      </w:r>
      <w:r>
        <w:rPr>
          <w:rFonts w:ascii="Segoe UI" w:hAnsi="Segoe UI" w:eastAsia="Segoe UI" w:cs="Segoe UI"/>
          <w:i w:val="0"/>
          <w:iCs w:val="0"/>
          <w:caps w:val="0"/>
          <w:color w:val="auto"/>
          <w:spacing w:val="0"/>
          <w:sz w:val="24"/>
          <w:szCs w:val="24"/>
          <w:highlight w:val="none"/>
          <w:shd w:val="clear" w:fill="FFFFFF"/>
        </w:rPr>
        <w:t>0572-6033550</w:t>
      </w:r>
    </w:p>
    <w:p w14:paraId="61ED25C7">
      <w:pPr>
        <w:autoSpaceDE w:val="0"/>
        <w:autoSpaceDN w:val="0"/>
        <w:spacing w:line="360" w:lineRule="auto"/>
        <w:ind w:firstLine="720" w:firstLineChars="300"/>
        <w:rPr>
          <w:rFonts w:hint="eastAsia" w:ascii="宋体" w:hAnsi="宋体" w:cs="宋体"/>
          <w:color w:val="auto"/>
          <w:sz w:val="24"/>
          <w:highlight w:val="none"/>
          <w:lang w:val="zh-CN"/>
        </w:rPr>
      </w:pPr>
      <w:r>
        <w:rPr>
          <w:rFonts w:hint="eastAsia" w:ascii="宋体" w:hAnsi="宋体" w:cs="宋体"/>
          <w:color w:val="auto"/>
          <w:sz w:val="24"/>
          <w:highlight w:val="none"/>
          <w:lang w:val="zh-CN"/>
        </w:rPr>
        <w:t>质疑联系人</w:t>
      </w:r>
      <w:r>
        <w:rPr>
          <w:rFonts w:hint="eastAsia" w:ascii="宋体" w:hAnsi="宋体" w:cs="宋体"/>
          <w:color w:val="auto"/>
          <w:sz w:val="24"/>
          <w:highlight w:val="none"/>
        </w:rPr>
        <w:t>：</w:t>
      </w:r>
      <w:r>
        <w:rPr>
          <w:rFonts w:hint="eastAsia" w:ascii="宋体" w:hAnsi="宋体" w:cs="宋体"/>
          <w:color w:val="auto"/>
          <w:sz w:val="24"/>
          <w:highlight w:val="none"/>
          <w:lang w:eastAsia="zh-CN"/>
        </w:rPr>
        <w:t>章工</w:t>
      </w:r>
      <w:r>
        <w:rPr>
          <w:rFonts w:hint="eastAsia" w:ascii="宋体" w:hAnsi="宋体" w:cs="宋体"/>
          <w:color w:val="auto"/>
          <w:sz w:val="24"/>
          <w:highlight w:val="none"/>
        </w:rPr>
        <w:t xml:space="preserve">  </w:t>
      </w:r>
    </w:p>
    <w:p w14:paraId="35B32EE6">
      <w:pPr>
        <w:autoSpaceDE w:val="0"/>
        <w:autoSpaceDN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lang w:val="zh-CN"/>
        </w:rPr>
        <w:t>质疑联系方式：18157202716</w:t>
      </w:r>
    </w:p>
    <w:p w14:paraId="5C367C22">
      <w:pPr>
        <w:autoSpaceDE w:val="0"/>
        <w:autoSpaceDN w:val="0"/>
        <w:spacing w:line="360" w:lineRule="auto"/>
        <w:ind w:firstLine="480" w:firstLineChars="200"/>
        <w:rPr>
          <w:rFonts w:hint="eastAsia" w:ascii="宋体" w:hAnsi="宋体" w:cs="宋体"/>
          <w:color w:val="auto"/>
          <w:sz w:val="24"/>
          <w:highlight w:val="none"/>
          <w:lang w:val="zh-CN"/>
        </w:rPr>
      </w:pPr>
      <w:r>
        <w:rPr>
          <w:rFonts w:ascii="宋体" w:hAnsi="宋体" w:cs="宋体"/>
          <w:color w:val="auto"/>
          <w:sz w:val="24"/>
          <w:highlight w:val="none"/>
          <w:lang w:val="zh-CN"/>
        </w:rPr>
        <w:t>2</w:t>
      </w:r>
      <w:r>
        <w:rPr>
          <w:rFonts w:ascii="宋体" w:hAnsi="宋体" w:cs="宋体"/>
          <w:color w:val="auto"/>
          <w:kern w:val="0"/>
          <w:sz w:val="24"/>
          <w:highlight w:val="none"/>
        </w:rPr>
        <w:t>.</w:t>
      </w:r>
      <w:r>
        <w:rPr>
          <w:rFonts w:ascii="宋体" w:hAnsi="宋体" w:cs="宋体"/>
          <w:color w:val="auto"/>
          <w:sz w:val="24"/>
          <w:highlight w:val="none"/>
          <w:lang w:val="zh-CN"/>
        </w:rPr>
        <w:t>采购代理机构：</w:t>
      </w:r>
      <w:r>
        <w:rPr>
          <w:rFonts w:hint="eastAsia" w:ascii="宋体" w:hAnsi="宋体" w:cs="宋体"/>
          <w:color w:val="auto"/>
          <w:sz w:val="24"/>
          <w:highlight w:val="none"/>
          <w:lang w:val="zh-CN"/>
        </w:rPr>
        <w:t>浙江华元工程咨询有限公司</w:t>
      </w:r>
    </w:p>
    <w:p w14:paraId="1B1DAAC7">
      <w:pPr>
        <w:widowControl/>
        <w:wordWrap w:val="0"/>
        <w:spacing w:line="360" w:lineRule="auto"/>
        <w:ind w:firstLine="720" w:firstLineChars="300"/>
        <w:jc w:val="left"/>
        <w:rPr>
          <w:color w:val="auto"/>
          <w:sz w:val="24"/>
          <w:highlight w:val="none"/>
        </w:rPr>
      </w:pPr>
      <w:r>
        <w:rPr>
          <w:rFonts w:ascii="宋体" w:hAnsi="宋体" w:cs="宋体"/>
          <w:color w:val="auto"/>
          <w:kern w:val="0"/>
          <w:sz w:val="24"/>
          <w:highlight w:val="none"/>
        </w:rPr>
        <w:t>地址：</w:t>
      </w:r>
      <w:r>
        <w:rPr>
          <w:rFonts w:hint="eastAsia" w:ascii="宋体" w:hAnsi="宋体" w:cs="宋体"/>
          <w:color w:val="auto"/>
          <w:spacing w:val="5"/>
          <w:kern w:val="0"/>
          <w:sz w:val="24"/>
          <w:highlight w:val="none"/>
        </w:rPr>
        <w:t>长兴县浙北商业广场11幢201</w:t>
      </w:r>
    </w:p>
    <w:p w14:paraId="4F69AF13">
      <w:pPr>
        <w:autoSpaceDE w:val="0"/>
        <w:autoSpaceDN w:val="0"/>
        <w:spacing w:line="360" w:lineRule="auto"/>
        <w:ind w:firstLine="720" w:firstLineChars="3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项目联系人（询问）：章工    </w:t>
      </w:r>
    </w:p>
    <w:p w14:paraId="0BF2218E">
      <w:pPr>
        <w:autoSpaceDE w:val="0"/>
        <w:autoSpaceDN w:val="0"/>
        <w:spacing w:line="360" w:lineRule="auto"/>
        <w:ind w:firstLine="720" w:firstLineChars="300"/>
        <w:rPr>
          <w:rFonts w:hint="eastAsia" w:ascii="宋体" w:hAnsi="宋体" w:cs="宋体"/>
          <w:color w:val="auto"/>
          <w:sz w:val="24"/>
          <w:highlight w:val="none"/>
          <w:lang w:val="zh-CN"/>
        </w:rPr>
      </w:pPr>
      <w:r>
        <w:rPr>
          <w:rFonts w:hint="eastAsia" w:ascii="宋体" w:hAnsi="宋体" w:cs="宋体"/>
          <w:color w:val="auto"/>
          <w:sz w:val="24"/>
          <w:highlight w:val="none"/>
          <w:lang w:val="zh-CN"/>
        </w:rPr>
        <w:t>项目联系方式（询问）：0572-6250311</w:t>
      </w:r>
    </w:p>
    <w:p w14:paraId="0CBF33A1">
      <w:pPr>
        <w:autoSpaceDE w:val="0"/>
        <w:autoSpaceDN w:val="0"/>
        <w:spacing w:line="360" w:lineRule="auto"/>
        <w:ind w:firstLine="720" w:firstLineChars="300"/>
        <w:rPr>
          <w:rFonts w:hint="eastAsia" w:ascii="宋体" w:hAnsi="宋体" w:cs="宋体"/>
          <w:color w:val="auto"/>
          <w:sz w:val="24"/>
          <w:highlight w:val="none"/>
          <w:lang w:val="zh-CN"/>
        </w:rPr>
      </w:pPr>
      <w:r>
        <w:rPr>
          <w:rFonts w:hint="eastAsia" w:ascii="宋体" w:hAnsi="宋体" w:cs="宋体"/>
          <w:color w:val="auto"/>
          <w:sz w:val="24"/>
          <w:highlight w:val="none"/>
          <w:lang w:val="zh-CN"/>
        </w:rPr>
        <w:t>质疑联系人：</w:t>
      </w:r>
      <w:r>
        <w:rPr>
          <w:rFonts w:hint="eastAsia" w:ascii="宋体" w:hAnsi="宋体" w:cs="宋体"/>
          <w:color w:val="auto"/>
          <w:sz w:val="24"/>
          <w:highlight w:val="none"/>
        </w:rPr>
        <w:t>郑</w:t>
      </w:r>
      <w:r>
        <w:rPr>
          <w:rFonts w:hint="eastAsia" w:ascii="宋体" w:hAnsi="宋体" w:cs="宋体"/>
          <w:color w:val="auto"/>
          <w:sz w:val="24"/>
          <w:highlight w:val="none"/>
          <w:lang w:val="zh-CN"/>
        </w:rPr>
        <w:t xml:space="preserve">工   </w:t>
      </w:r>
    </w:p>
    <w:p w14:paraId="0CBCC841">
      <w:pPr>
        <w:autoSpaceDE w:val="0"/>
        <w:autoSpaceDN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lang w:val="zh-CN"/>
        </w:rPr>
        <w:t>质疑联系方式：</w:t>
      </w:r>
      <w:r>
        <w:rPr>
          <w:rFonts w:hint="eastAsia" w:ascii="宋体" w:hAnsi="宋体" w:cs="宋体"/>
          <w:color w:val="auto"/>
          <w:sz w:val="24"/>
          <w:highlight w:val="none"/>
        </w:rPr>
        <w:t>13567261161</w:t>
      </w:r>
    </w:p>
    <w:p w14:paraId="47C6B921">
      <w:pPr>
        <w:widowControl/>
        <w:wordWrap w:val="0"/>
        <w:autoSpaceDE w:val="0"/>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highlight w:val="none"/>
          <w:lang w:val="zh-CN"/>
        </w:rPr>
        <w:t>3</w:t>
      </w:r>
      <w:r>
        <w:rPr>
          <w:rFonts w:ascii="宋体" w:hAnsi="宋体" w:cs="宋体"/>
          <w:color w:val="auto"/>
          <w:kern w:val="0"/>
          <w:sz w:val="24"/>
          <w:highlight w:val="none"/>
        </w:rPr>
        <w:t>.</w:t>
      </w:r>
      <w:r>
        <w:rPr>
          <w:rFonts w:ascii="宋体" w:hAnsi="宋体" w:cs="宋体"/>
          <w:color w:val="auto"/>
          <w:kern w:val="0"/>
          <w:sz w:val="24"/>
          <w:highlight w:val="none"/>
          <w:lang w:val="zh-CN"/>
        </w:rPr>
        <w:t>政府采购行政监管部门、投诉受理部门：长兴县</w:t>
      </w:r>
      <w:r>
        <w:rPr>
          <w:rFonts w:hint="eastAsia" w:ascii="宋体" w:hAnsi="宋体" w:cs="宋体"/>
          <w:color w:val="auto"/>
          <w:kern w:val="0"/>
          <w:sz w:val="24"/>
          <w:highlight w:val="none"/>
          <w:lang w:val="zh-CN"/>
        </w:rPr>
        <w:t>财政局</w:t>
      </w:r>
    </w:p>
    <w:p w14:paraId="7ECE9F8D">
      <w:pPr>
        <w:widowControl/>
        <w:wordWrap w:val="0"/>
        <w:autoSpaceDE w:val="0"/>
        <w:snapToGrid w:val="0"/>
        <w:spacing w:line="360" w:lineRule="auto"/>
        <w:ind w:firstLine="720" w:firstLineChars="300"/>
        <w:jc w:val="left"/>
        <w:rPr>
          <w:rFonts w:hint="eastAsia" w:ascii="宋体" w:hAnsi="宋体" w:cs="宋体"/>
          <w:color w:val="auto"/>
          <w:kern w:val="0"/>
          <w:sz w:val="24"/>
          <w:highlight w:val="none"/>
          <w:lang w:val="zh-CN"/>
        </w:rPr>
      </w:pPr>
      <w:r>
        <w:rPr>
          <w:rFonts w:ascii="宋体" w:hAnsi="宋体" w:cs="宋体"/>
          <w:color w:val="auto"/>
          <w:kern w:val="0"/>
          <w:sz w:val="24"/>
          <w:highlight w:val="none"/>
          <w:lang w:val="zh-CN"/>
        </w:rPr>
        <w:t>地址：</w:t>
      </w:r>
      <w:r>
        <w:rPr>
          <w:rFonts w:hint="eastAsia" w:ascii="宋体" w:hAnsi="宋体" w:cs="宋体"/>
          <w:color w:val="auto"/>
          <w:kern w:val="0"/>
          <w:sz w:val="24"/>
          <w:highlight w:val="none"/>
          <w:lang w:val="zh-CN"/>
        </w:rPr>
        <w:t>浙江省长兴县龙山街道锦绣路6号兴国商务楼1号楼1305室</w:t>
      </w:r>
    </w:p>
    <w:p w14:paraId="041B37ED">
      <w:pPr>
        <w:widowControl/>
        <w:wordWrap w:val="0"/>
        <w:autoSpaceDE w:val="0"/>
        <w:snapToGrid w:val="0"/>
        <w:spacing w:line="360" w:lineRule="auto"/>
        <w:ind w:firstLine="720" w:firstLineChars="3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 ：佘工</w:t>
      </w:r>
    </w:p>
    <w:p w14:paraId="25C7C68A">
      <w:pPr>
        <w:widowControl/>
        <w:wordWrap w:val="0"/>
        <w:autoSpaceDE w:val="0"/>
        <w:snapToGrid w:val="0"/>
        <w:spacing w:line="360" w:lineRule="auto"/>
        <w:ind w:firstLine="720" w:firstLineChars="300"/>
        <w:jc w:val="left"/>
        <w:rPr>
          <w:rFonts w:hint="eastAsia" w:ascii="宋体" w:hAnsi="宋体" w:cs="宋体"/>
          <w:color w:val="auto"/>
          <w:kern w:val="0"/>
          <w:sz w:val="24"/>
          <w:highlight w:val="none"/>
        </w:rPr>
      </w:pPr>
      <w:r>
        <w:rPr>
          <w:rFonts w:ascii="宋体" w:hAnsi="宋体" w:cs="宋体"/>
          <w:color w:val="auto"/>
          <w:kern w:val="0"/>
          <w:sz w:val="24"/>
          <w:highlight w:val="none"/>
          <w:lang w:val="zh-CN"/>
        </w:rPr>
        <w:t>联系电话：0572-</w:t>
      </w:r>
      <w:r>
        <w:rPr>
          <w:rFonts w:ascii="宋体" w:hAnsi="宋体" w:cs="宋体"/>
          <w:color w:val="auto"/>
          <w:kern w:val="0"/>
          <w:sz w:val="24"/>
          <w:highlight w:val="none"/>
        </w:rPr>
        <w:t>6027789</w:t>
      </w:r>
    </w:p>
    <w:p w14:paraId="6496E843">
      <w:pPr>
        <w:autoSpaceDE w:val="0"/>
        <w:autoSpaceDN w:val="0"/>
        <w:spacing w:line="360" w:lineRule="auto"/>
        <w:ind w:firstLine="720" w:firstLineChars="300"/>
        <w:jc w:val="right"/>
        <w:rPr>
          <w:rFonts w:hint="eastAsia" w:ascii="宋体" w:hAnsi="宋体" w:eastAsia="宋体" w:cs="宋体"/>
          <w:color w:val="auto"/>
          <w:sz w:val="24"/>
          <w:highlight w:val="none"/>
          <w:lang w:val="zh-CN" w:eastAsia="zh-CN"/>
        </w:rPr>
      </w:pPr>
      <w:r>
        <w:rPr>
          <w:rFonts w:hint="eastAsia" w:ascii="宋体" w:hAnsi="宋体" w:cs="宋体"/>
          <w:bCs/>
          <w:color w:val="auto"/>
          <w:sz w:val="24"/>
          <w:highlight w:val="none"/>
          <w:lang w:eastAsia="zh-CN"/>
        </w:rPr>
        <w:t>长兴县城市建设发展管理中心</w:t>
      </w:r>
    </w:p>
    <w:p w14:paraId="5B95E649">
      <w:pPr>
        <w:autoSpaceDE w:val="0"/>
        <w:autoSpaceDN w:val="0"/>
        <w:spacing w:line="360" w:lineRule="auto"/>
        <w:ind w:firstLine="480" w:firstLineChars="200"/>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浙江华元工程咨询有限公司</w:t>
      </w:r>
    </w:p>
    <w:p w14:paraId="5B6A8473">
      <w:pPr>
        <w:autoSpaceDE w:val="0"/>
        <w:autoSpaceDN w:val="0"/>
        <w:spacing w:line="360" w:lineRule="auto"/>
        <w:ind w:firstLine="480" w:firstLineChars="200"/>
        <w:jc w:val="right"/>
        <w:rPr>
          <w:rFonts w:hint="eastAsia" w:ascii="黑体" w:hAnsi="黑体" w:eastAsia="黑体" w:cs="黑体"/>
          <w:b/>
          <w:color w:val="auto"/>
          <w:sz w:val="24"/>
          <w:highlight w:val="none"/>
        </w:rPr>
      </w:pPr>
      <w:r>
        <w:rPr>
          <w:rFonts w:hint="eastAsia" w:ascii="宋体" w:hAnsi="宋体" w:cs="宋体"/>
          <w:color w:val="auto"/>
          <w:sz w:val="24"/>
          <w:highlight w:val="none"/>
          <w:lang w:val="zh-CN"/>
        </w:rPr>
        <w:t>20</w:t>
      </w:r>
      <w:r>
        <w:rPr>
          <w:rFonts w:hint="eastAsia" w:ascii="宋体" w:hAnsi="宋体" w:cs="宋体"/>
          <w:color w:val="auto"/>
          <w:sz w:val="24"/>
          <w:highlight w:val="none"/>
        </w:rPr>
        <w:t>24</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val="zh-CN"/>
        </w:rPr>
        <w:t>日</w:t>
      </w:r>
    </w:p>
    <w:p w14:paraId="214119F6">
      <w:pPr>
        <w:pStyle w:val="87"/>
        <w:widowControl w:val="0"/>
        <w:snapToGrid/>
        <w:spacing w:afterLines="0" w:line="360" w:lineRule="auto"/>
        <w:ind w:firstLine="0" w:firstLineChars="0"/>
        <w:rPr>
          <w:rFonts w:ascii="宋体" w:cs="宋体"/>
          <w:color w:val="auto"/>
          <w:kern w:val="2"/>
          <w:szCs w:val="24"/>
          <w:highlight w:val="none"/>
          <w:lang w:val="zh-CN"/>
        </w:rPr>
      </w:pPr>
    </w:p>
    <w:p w14:paraId="61CAEFAF">
      <w:pPr>
        <w:pStyle w:val="87"/>
        <w:widowControl w:val="0"/>
        <w:snapToGrid/>
        <w:spacing w:afterLines="0" w:line="360" w:lineRule="auto"/>
        <w:ind w:firstLine="0" w:firstLineChars="0"/>
        <w:rPr>
          <w:rFonts w:ascii="宋体" w:cs="宋体"/>
          <w:color w:val="auto"/>
          <w:kern w:val="2"/>
          <w:szCs w:val="24"/>
          <w:highlight w:val="none"/>
          <w:lang w:val="zh-CN"/>
        </w:rPr>
      </w:pPr>
    </w:p>
    <w:p w14:paraId="2C8198A9">
      <w:pPr>
        <w:pStyle w:val="87"/>
        <w:widowControl w:val="0"/>
        <w:snapToGrid/>
        <w:spacing w:afterLines="0" w:line="360" w:lineRule="auto"/>
        <w:ind w:firstLine="0" w:firstLineChars="0"/>
        <w:rPr>
          <w:rFonts w:ascii="宋体" w:cs="宋体"/>
          <w:color w:val="auto"/>
          <w:kern w:val="2"/>
          <w:szCs w:val="24"/>
          <w:highlight w:val="none"/>
          <w:lang w:val="zh-CN"/>
        </w:rPr>
      </w:pPr>
    </w:p>
    <w:p w14:paraId="3B63AC37">
      <w:pPr>
        <w:pStyle w:val="87"/>
        <w:widowControl w:val="0"/>
        <w:snapToGrid/>
        <w:spacing w:afterLines="0" w:line="360" w:lineRule="auto"/>
        <w:ind w:firstLine="0" w:firstLineChars="0"/>
        <w:rPr>
          <w:rFonts w:ascii="宋体" w:cs="宋体"/>
          <w:color w:val="auto"/>
          <w:kern w:val="2"/>
          <w:szCs w:val="24"/>
          <w:highlight w:val="none"/>
          <w:lang w:val="zh-CN"/>
        </w:rPr>
      </w:pPr>
    </w:p>
    <w:p w14:paraId="4F2A64BB">
      <w:pPr>
        <w:pStyle w:val="87"/>
        <w:widowControl w:val="0"/>
        <w:snapToGrid/>
        <w:spacing w:afterLines="0" w:line="360" w:lineRule="auto"/>
        <w:ind w:firstLine="0" w:firstLineChars="0"/>
        <w:rPr>
          <w:rFonts w:ascii="宋体" w:cs="宋体"/>
          <w:color w:val="auto"/>
          <w:kern w:val="2"/>
          <w:szCs w:val="24"/>
          <w:highlight w:val="none"/>
          <w:lang w:val="zh-CN"/>
        </w:rPr>
      </w:pPr>
    </w:p>
    <w:p w14:paraId="4D544167">
      <w:pPr>
        <w:pStyle w:val="87"/>
        <w:widowControl w:val="0"/>
        <w:snapToGrid/>
        <w:spacing w:afterLines="0" w:line="360" w:lineRule="auto"/>
        <w:ind w:firstLine="0" w:firstLineChars="0"/>
        <w:rPr>
          <w:rFonts w:ascii="宋体" w:cs="宋体"/>
          <w:color w:val="auto"/>
          <w:kern w:val="2"/>
          <w:szCs w:val="24"/>
          <w:highlight w:val="none"/>
          <w:lang w:val="zh-CN"/>
        </w:rPr>
      </w:pPr>
    </w:p>
    <w:p w14:paraId="3509F760">
      <w:pPr>
        <w:pStyle w:val="87"/>
        <w:widowControl w:val="0"/>
        <w:snapToGrid/>
        <w:spacing w:afterLines="0" w:line="360" w:lineRule="auto"/>
        <w:ind w:firstLine="0" w:firstLineChars="0"/>
        <w:rPr>
          <w:rFonts w:ascii="宋体" w:cs="宋体"/>
          <w:color w:val="auto"/>
          <w:kern w:val="2"/>
          <w:szCs w:val="24"/>
          <w:highlight w:val="none"/>
          <w:lang w:val="zh-CN"/>
        </w:rPr>
      </w:pPr>
    </w:p>
    <w:p w14:paraId="504197E4">
      <w:pPr>
        <w:numPr>
          <w:ilvl w:val="0"/>
          <w:numId w:val="5"/>
        </w:numPr>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 xml:space="preserve"> 采购需求</w:t>
      </w:r>
      <w:bookmarkEnd w:id="0"/>
      <w:bookmarkEnd w:id="1"/>
      <w:bookmarkEnd w:id="2"/>
      <w:bookmarkEnd w:id="3"/>
      <w:bookmarkEnd w:id="4"/>
      <w:bookmarkEnd w:id="5"/>
    </w:p>
    <w:p w14:paraId="314FE79F">
      <w:pPr>
        <w:widowControl/>
        <w:wordWrap w:val="0"/>
        <w:autoSpaceDE w:val="0"/>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一、项目概况</w:t>
      </w:r>
    </w:p>
    <w:p w14:paraId="38DD8600">
      <w:pPr>
        <w:widowControl/>
        <w:wordWrap w:val="0"/>
        <w:autoSpaceDE w:val="0"/>
        <w:adjustRightInd/>
        <w:snapToGrid w:val="0"/>
        <w:spacing w:line="360" w:lineRule="auto"/>
        <w:ind w:firstLine="480" w:firstLineChars="200"/>
        <w:jc w:val="left"/>
        <w:rPr>
          <w:rFonts w:hint="eastAsia" w:ascii="宋体" w:hAnsi="宋体" w:eastAsia="宋体" w:cs="宋体"/>
          <w:color w:val="auto"/>
          <w:sz w:val="24"/>
          <w:szCs w:val="24"/>
          <w:highlight w:val="none"/>
          <w:shd w:val="clear" w:fill="FFFFFF"/>
        </w:rPr>
      </w:pPr>
      <w:r>
        <w:rPr>
          <w:rFonts w:hint="eastAsia" w:ascii="宋体" w:hAnsi="宋体" w:eastAsia="宋体" w:cs="宋体"/>
          <w:color w:val="auto"/>
          <w:sz w:val="24"/>
          <w:szCs w:val="24"/>
          <w:highlight w:val="none"/>
          <w:shd w:val="clear" w:fill="FFFFFF"/>
        </w:rPr>
        <w:t>本项目是根据《浙江省财政厅等七部门关于进一步加强市政基础设施政府会计核算的通知》（浙财会[20</w:t>
      </w:r>
      <w:r>
        <w:rPr>
          <w:rFonts w:hint="eastAsia" w:ascii="宋体" w:hAnsi="宋体" w:eastAsia="宋体" w:cs="宋体"/>
          <w:color w:val="auto"/>
          <w:sz w:val="24"/>
          <w:szCs w:val="24"/>
          <w:highlight w:val="none"/>
          <w:shd w:val="clear" w:fill="FFFFFF"/>
          <w:lang w:val="en-US" w:eastAsia="zh-CN"/>
        </w:rPr>
        <w:t>23</w:t>
      </w:r>
      <w:r>
        <w:rPr>
          <w:rFonts w:hint="eastAsia" w:ascii="宋体" w:hAnsi="宋体" w:eastAsia="宋体" w:cs="宋体"/>
          <w:color w:val="auto"/>
          <w:sz w:val="24"/>
          <w:szCs w:val="24"/>
          <w:highlight w:val="none"/>
          <w:shd w:val="clear" w:fill="FFFFFF"/>
        </w:rPr>
        <w:t>]29号）</w:t>
      </w:r>
      <w:r>
        <w:rPr>
          <w:rFonts w:hint="eastAsia" w:ascii="宋体" w:hAnsi="宋体" w:eastAsia="宋体" w:cs="宋体"/>
          <w:color w:val="auto"/>
          <w:sz w:val="24"/>
          <w:szCs w:val="24"/>
          <w:highlight w:val="none"/>
          <w:shd w:val="clear" w:fill="FFFFFF"/>
          <w:lang w:val="en-US" w:eastAsia="zh-CN"/>
        </w:rPr>
        <w:t>等文件</w:t>
      </w:r>
      <w:r>
        <w:rPr>
          <w:rFonts w:hint="eastAsia" w:ascii="宋体" w:hAnsi="宋体" w:eastAsia="宋体" w:cs="宋体"/>
          <w:color w:val="auto"/>
          <w:sz w:val="24"/>
          <w:szCs w:val="24"/>
          <w:highlight w:val="none"/>
          <w:shd w:val="clear" w:fill="FFFFFF"/>
        </w:rPr>
        <w:t>精神，为</w:t>
      </w:r>
      <w:r>
        <w:rPr>
          <w:rFonts w:hint="eastAsia" w:ascii="宋体" w:hAnsi="宋体" w:eastAsia="宋体" w:cs="宋体"/>
          <w:color w:val="auto"/>
          <w:sz w:val="24"/>
          <w:szCs w:val="24"/>
          <w:highlight w:val="none"/>
          <w:shd w:val="clear" w:fill="FFFFFF"/>
          <w:lang w:val="en-US" w:eastAsia="zh-CN"/>
        </w:rPr>
        <w:t>切实做好长兴县</w:t>
      </w:r>
      <w:r>
        <w:rPr>
          <w:rFonts w:hint="eastAsia" w:ascii="宋体" w:hAnsi="宋体" w:eastAsia="宋体" w:cs="宋体"/>
          <w:i w:val="0"/>
          <w:iCs w:val="0"/>
          <w:caps w:val="0"/>
          <w:color w:val="auto"/>
          <w:spacing w:val="0"/>
          <w:sz w:val="24"/>
          <w:szCs w:val="24"/>
          <w:highlight w:val="none"/>
          <w:shd w:val="clear" w:fill="FFFFFF"/>
        </w:rPr>
        <w:t>区域内</w:t>
      </w:r>
      <w:r>
        <w:rPr>
          <w:rFonts w:hint="eastAsia" w:ascii="宋体" w:hAnsi="宋体" w:eastAsia="宋体" w:cs="宋体"/>
          <w:color w:val="auto"/>
          <w:sz w:val="24"/>
          <w:szCs w:val="24"/>
          <w:highlight w:val="none"/>
          <w:shd w:val="clear" w:fill="FFFFFF"/>
        </w:rPr>
        <w:t>市政基础设施资产摸底清查</w:t>
      </w:r>
      <w:r>
        <w:rPr>
          <w:rFonts w:hint="eastAsia" w:ascii="宋体" w:hAnsi="宋体" w:eastAsia="宋体" w:cs="宋体"/>
          <w:color w:val="auto"/>
          <w:sz w:val="24"/>
          <w:szCs w:val="24"/>
          <w:highlight w:val="none"/>
          <w:shd w:val="clear" w:fill="FFFFFF"/>
          <w:lang w:eastAsia="zh-CN"/>
        </w:rPr>
        <w:t>、</w:t>
      </w:r>
      <w:r>
        <w:rPr>
          <w:rFonts w:hint="eastAsia" w:ascii="宋体" w:hAnsi="宋体" w:eastAsia="宋体" w:cs="宋体"/>
          <w:color w:val="auto"/>
          <w:sz w:val="24"/>
          <w:szCs w:val="24"/>
          <w:highlight w:val="none"/>
          <w:shd w:val="clear" w:fill="FFFFFF"/>
        </w:rPr>
        <w:t>相关系统设置完善</w:t>
      </w:r>
      <w:r>
        <w:rPr>
          <w:rFonts w:hint="eastAsia" w:ascii="宋体" w:hAnsi="宋体" w:eastAsia="宋体" w:cs="宋体"/>
          <w:color w:val="auto"/>
          <w:sz w:val="24"/>
          <w:szCs w:val="24"/>
          <w:highlight w:val="none"/>
          <w:shd w:val="clear" w:fill="FFFFFF"/>
          <w:lang w:eastAsia="zh-CN"/>
        </w:rPr>
        <w:t>、</w:t>
      </w:r>
      <w:r>
        <w:rPr>
          <w:rFonts w:hint="eastAsia" w:ascii="宋体" w:hAnsi="宋体" w:eastAsia="宋体" w:cs="宋体"/>
          <w:color w:val="auto"/>
          <w:sz w:val="24"/>
          <w:szCs w:val="24"/>
          <w:highlight w:val="none"/>
          <w:shd w:val="clear" w:fill="FFFFFF"/>
        </w:rPr>
        <w:t>存量基础设施入账</w:t>
      </w:r>
      <w:r>
        <w:rPr>
          <w:rFonts w:hint="eastAsia" w:ascii="宋体" w:hAnsi="宋体" w:eastAsia="宋体" w:cs="宋体"/>
          <w:color w:val="auto"/>
          <w:sz w:val="24"/>
          <w:szCs w:val="24"/>
          <w:highlight w:val="none"/>
          <w:shd w:val="clear" w:fill="FFFFFF"/>
          <w:lang w:val="en-US" w:eastAsia="zh-CN"/>
        </w:rPr>
        <w:t>与分析等工作</w:t>
      </w:r>
      <w:r>
        <w:rPr>
          <w:rFonts w:hint="eastAsia" w:ascii="宋体" w:hAnsi="宋体" w:eastAsia="宋体" w:cs="宋体"/>
          <w:color w:val="auto"/>
          <w:sz w:val="24"/>
          <w:szCs w:val="24"/>
          <w:highlight w:val="none"/>
          <w:shd w:val="clear" w:fill="FFFFFF"/>
        </w:rPr>
        <w:t>，</w:t>
      </w:r>
      <w:r>
        <w:rPr>
          <w:rFonts w:hint="eastAsia" w:ascii="宋体" w:hAnsi="宋体" w:eastAsia="宋体" w:cs="宋体"/>
          <w:color w:val="auto"/>
          <w:sz w:val="24"/>
          <w:szCs w:val="24"/>
          <w:highlight w:val="none"/>
          <w:shd w:val="clear" w:fill="FFFFFF"/>
          <w:lang w:val="en-US" w:eastAsia="zh-CN"/>
        </w:rPr>
        <w:t>对长兴县</w:t>
      </w:r>
      <w:r>
        <w:rPr>
          <w:rFonts w:hint="eastAsia" w:ascii="宋体" w:hAnsi="宋体" w:eastAsia="宋体" w:cs="宋体"/>
          <w:i w:val="0"/>
          <w:iCs w:val="0"/>
          <w:caps w:val="0"/>
          <w:color w:val="auto"/>
          <w:spacing w:val="0"/>
          <w:sz w:val="24"/>
          <w:szCs w:val="24"/>
          <w:highlight w:val="none"/>
          <w:shd w:val="clear" w:fill="FFFFFF"/>
        </w:rPr>
        <w:t>区域内</w:t>
      </w:r>
      <w:r>
        <w:rPr>
          <w:rFonts w:hint="eastAsia" w:ascii="宋体" w:hAnsi="宋体" w:eastAsia="宋体" w:cs="宋体"/>
          <w:color w:val="auto"/>
          <w:sz w:val="24"/>
          <w:szCs w:val="24"/>
          <w:highlight w:val="none"/>
          <w:shd w:val="clear" w:fill="FFFFFF"/>
        </w:rPr>
        <w:t>开展</w:t>
      </w:r>
      <w:r>
        <w:rPr>
          <w:rFonts w:hint="eastAsia" w:ascii="宋体" w:hAnsi="宋体" w:eastAsia="宋体" w:cs="宋体"/>
          <w:color w:val="auto"/>
          <w:sz w:val="24"/>
          <w:szCs w:val="24"/>
          <w:highlight w:val="none"/>
          <w:shd w:val="clear" w:fill="FFFFFF"/>
          <w:lang w:val="en-US" w:eastAsia="zh-CN"/>
        </w:rPr>
        <w:t>市政</w:t>
      </w:r>
      <w:r>
        <w:rPr>
          <w:rFonts w:hint="eastAsia" w:ascii="宋体" w:hAnsi="宋体" w:eastAsia="宋体" w:cs="宋体"/>
          <w:color w:val="auto"/>
          <w:sz w:val="24"/>
          <w:szCs w:val="24"/>
          <w:highlight w:val="none"/>
          <w:shd w:val="clear" w:fill="FFFFFF"/>
        </w:rPr>
        <w:t>基础设施调研现状摸底</w:t>
      </w:r>
      <w:r>
        <w:rPr>
          <w:rFonts w:hint="eastAsia" w:ascii="宋体" w:hAnsi="宋体" w:eastAsia="宋体" w:cs="宋体"/>
          <w:color w:val="auto"/>
          <w:sz w:val="24"/>
          <w:szCs w:val="24"/>
          <w:highlight w:val="none"/>
          <w:shd w:val="clear" w:fill="FFFFFF"/>
          <w:lang w:val="en-US" w:eastAsia="zh-CN"/>
        </w:rPr>
        <w:t>和市政基础设施政府会计核算分析，力求</w:t>
      </w:r>
      <w:r>
        <w:rPr>
          <w:rFonts w:hint="eastAsia" w:ascii="宋体" w:hAnsi="宋体" w:eastAsia="宋体" w:cs="宋体"/>
          <w:color w:val="auto"/>
          <w:sz w:val="24"/>
          <w:szCs w:val="24"/>
          <w:highlight w:val="none"/>
          <w:shd w:val="clear" w:fill="FFFFFF"/>
        </w:rPr>
        <w:t>以科学合理确认、计量、记录</w:t>
      </w:r>
      <w:r>
        <w:rPr>
          <w:rFonts w:hint="eastAsia" w:ascii="宋体" w:hAnsi="宋体" w:eastAsia="宋体" w:cs="宋体"/>
          <w:color w:val="auto"/>
          <w:sz w:val="24"/>
          <w:szCs w:val="24"/>
          <w:highlight w:val="none"/>
          <w:shd w:val="clear" w:fill="FFFFFF"/>
          <w:lang w:val="en-US" w:eastAsia="zh-CN"/>
        </w:rPr>
        <w:t>我县</w:t>
      </w:r>
      <w:r>
        <w:rPr>
          <w:rFonts w:hint="eastAsia" w:ascii="宋体" w:hAnsi="宋体" w:eastAsia="宋体" w:cs="宋体"/>
          <w:color w:val="auto"/>
          <w:sz w:val="24"/>
          <w:szCs w:val="24"/>
          <w:highlight w:val="none"/>
          <w:shd w:val="clear" w:fill="FFFFFF"/>
        </w:rPr>
        <w:t>基础设施资产，进一步全面完整反映市政基础设施“家底”，夯实国有资产报告的核算基础，为推动城市保质量发展提供基础保障。</w:t>
      </w:r>
    </w:p>
    <w:p w14:paraId="25389CDE">
      <w:pPr>
        <w:widowControl/>
        <w:wordWrap w:val="0"/>
        <w:autoSpaceDE w:val="0"/>
        <w:adjustRightInd/>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fill="FFFFFF"/>
        </w:rPr>
        <w:t>以实物量数据为基础，按初始购建成本（历史成本）、评估价值和重置成本依次计价的原则，分类确认相应的资产价值。按照浙财会[20</w:t>
      </w:r>
      <w:r>
        <w:rPr>
          <w:rFonts w:hint="eastAsia" w:ascii="宋体" w:hAnsi="宋体" w:eastAsia="宋体" w:cs="宋体"/>
          <w:color w:val="auto"/>
          <w:sz w:val="24"/>
          <w:szCs w:val="24"/>
          <w:highlight w:val="none"/>
          <w:shd w:val="clear" w:fill="FFFFFF"/>
          <w:lang w:val="en-US" w:eastAsia="zh-CN"/>
        </w:rPr>
        <w:t>23</w:t>
      </w:r>
      <w:r>
        <w:rPr>
          <w:rFonts w:hint="eastAsia" w:ascii="宋体" w:hAnsi="宋体" w:eastAsia="宋体" w:cs="宋体"/>
          <w:color w:val="auto"/>
          <w:sz w:val="24"/>
          <w:szCs w:val="24"/>
          <w:highlight w:val="none"/>
          <w:shd w:val="clear" w:fill="FFFFFF"/>
        </w:rPr>
        <w:t>]29号</w:t>
      </w:r>
      <w:r>
        <w:rPr>
          <w:rFonts w:hint="eastAsia" w:ascii="宋体" w:hAnsi="宋体" w:eastAsia="宋体" w:cs="宋体"/>
          <w:color w:val="auto"/>
          <w:sz w:val="24"/>
          <w:szCs w:val="24"/>
          <w:highlight w:val="none"/>
          <w:shd w:val="clear" w:fill="FFFFFF"/>
          <w:lang w:val="en-US" w:eastAsia="zh-CN"/>
        </w:rPr>
        <w:t>等文件</w:t>
      </w:r>
      <w:r>
        <w:rPr>
          <w:rFonts w:hint="eastAsia" w:ascii="宋体" w:hAnsi="宋体" w:eastAsia="宋体" w:cs="宋体"/>
          <w:color w:val="auto"/>
          <w:sz w:val="24"/>
          <w:szCs w:val="24"/>
          <w:highlight w:val="none"/>
          <w:shd w:val="clear" w:fill="FFFFFF"/>
        </w:rPr>
        <w:t>的要求在我省“资产云”平台中登记资产卡片（或备查簿），并按照政府会计准则制度规定完成存量</w:t>
      </w:r>
      <w:r>
        <w:rPr>
          <w:rFonts w:hint="eastAsia" w:ascii="宋体" w:hAnsi="宋体" w:eastAsia="宋体" w:cs="宋体"/>
          <w:color w:val="auto"/>
          <w:sz w:val="24"/>
          <w:szCs w:val="24"/>
          <w:highlight w:val="none"/>
          <w:shd w:val="clear" w:fill="FFFFFF"/>
          <w:lang w:val="en-US" w:eastAsia="zh-CN"/>
        </w:rPr>
        <w:t>市政</w:t>
      </w:r>
      <w:r>
        <w:rPr>
          <w:rFonts w:hint="eastAsia" w:ascii="宋体" w:hAnsi="宋体" w:eastAsia="宋体" w:cs="宋体"/>
          <w:color w:val="auto"/>
          <w:sz w:val="24"/>
          <w:szCs w:val="24"/>
          <w:highlight w:val="none"/>
          <w:shd w:val="clear" w:fill="FFFFFF"/>
        </w:rPr>
        <w:t>基础设施资产明细核算</w:t>
      </w:r>
      <w:r>
        <w:rPr>
          <w:rFonts w:hint="eastAsia" w:ascii="宋体" w:hAnsi="宋体" w:eastAsia="宋体" w:cs="宋体"/>
          <w:color w:val="auto"/>
          <w:sz w:val="24"/>
          <w:szCs w:val="24"/>
          <w:highlight w:val="none"/>
          <w:shd w:val="clear" w:fill="FFFFFF"/>
          <w:lang w:val="en-US" w:eastAsia="zh-CN"/>
        </w:rPr>
        <w:t>及分析</w:t>
      </w:r>
      <w:r>
        <w:rPr>
          <w:rFonts w:hint="eastAsia" w:ascii="宋体" w:hAnsi="宋体" w:eastAsia="宋体" w:cs="宋体"/>
          <w:color w:val="auto"/>
          <w:sz w:val="24"/>
          <w:szCs w:val="24"/>
          <w:highlight w:val="none"/>
          <w:shd w:val="clear" w:fill="FFFFFF"/>
        </w:rPr>
        <w:t>。</w:t>
      </w:r>
    </w:p>
    <w:p w14:paraId="4964E950">
      <w:pPr>
        <w:widowControl/>
        <w:wordWrap w:val="0"/>
        <w:autoSpaceDE w:val="0"/>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w:t>
      </w:r>
      <w:r>
        <w:rPr>
          <w:rFonts w:hint="eastAsia" w:ascii="宋体" w:hAnsi="宋体" w:eastAsia="宋体" w:cs="宋体"/>
          <w:b/>
          <w:bCs/>
          <w:color w:val="auto"/>
          <w:kern w:val="0"/>
          <w:sz w:val="24"/>
          <w:highlight w:val="none"/>
          <w:lang w:val="en-US" w:eastAsia="zh-CN"/>
        </w:rPr>
        <w:t>采购</w:t>
      </w:r>
      <w:r>
        <w:rPr>
          <w:rFonts w:hint="eastAsia" w:ascii="宋体" w:hAnsi="宋体" w:eastAsia="宋体" w:cs="宋体"/>
          <w:b/>
          <w:bCs/>
          <w:color w:val="auto"/>
          <w:kern w:val="0"/>
          <w:sz w:val="24"/>
          <w:highlight w:val="none"/>
          <w:lang w:val="zh-CN"/>
        </w:rPr>
        <w:t>内容</w:t>
      </w:r>
    </w:p>
    <w:p w14:paraId="3DE786D9">
      <w:pPr>
        <w:widowControl/>
        <w:wordWrap w:val="0"/>
        <w:autoSpaceDE w:val="0"/>
        <w:snapToGrid w:val="0"/>
        <w:spacing w:line="360" w:lineRule="auto"/>
        <w:ind w:firstLine="480" w:firstLineChars="200"/>
        <w:jc w:val="left"/>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长兴县区域内市政基础设</w:t>
      </w:r>
      <w:r>
        <w:rPr>
          <w:rFonts w:hint="eastAsia" w:ascii="宋体" w:hAnsi="宋体" w:eastAsia="宋体" w:cs="宋体"/>
          <w:i w:val="0"/>
          <w:iCs w:val="0"/>
          <w:caps w:val="0"/>
          <w:color w:val="auto"/>
          <w:spacing w:val="0"/>
          <w:sz w:val="24"/>
          <w:szCs w:val="24"/>
          <w:highlight w:val="none"/>
          <w:shd w:val="clear" w:fill="FFFFFF"/>
          <w:lang w:val="en-US" w:eastAsia="zh-CN"/>
        </w:rPr>
        <w:t>施</w:t>
      </w:r>
      <w:r>
        <w:rPr>
          <w:rFonts w:hint="eastAsia" w:ascii="宋体" w:hAnsi="宋体" w:eastAsia="宋体" w:cs="宋体"/>
          <w:i w:val="0"/>
          <w:iCs w:val="0"/>
          <w:caps w:val="0"/>
          <w:color w:val="auto"/>
          <w:spacing w:val="0"/>
          <w:sz w:val="24"/>
          <w:szCs w:val="24"/>
          <w:highlight w:val="none"/>
          <w:shd w:val="clear" w:fill="FFFFFF"/>
        </w:rPr>
        <w:t>政府会计核算及分析，主要需求包括实务手册培训、财慧通智能机器人自动答疑和热线电话答疑、资料整理、成本计算（重置成本、历史成本等）、资产云资产卡片（备查簿）及预算一体化等系统入账、</w:t>
      </w:r>
      <w:r>
        <w:rPr>
          <w:rFonts w:hint="eastAsia" w:ascii="宋体" w:hAnsi="宋体" w:eastAsia="宋体" w:cs="宋体"/>
          <w:i w:val="0"/>
          <w:iCs w:val="0"/>
          <w:caps w:val="0"/>
          <w:color w:val="auto"/>
          <w:spacing w:val="0"/>
          <w:sz w:val="24"/>
          <w:szCs w:val="24"/>
          <w:highlight w:val="none"/>
          <w:shd w:val="clear" w:fill="FFFFFF"/>
          <w:lang w:val="en-US" w:eastAsia="zh-CN"/>
        </w:rPr>
        <w:t>城</w:t>
      </w:r>
      <w:r>
        <w:rPr>
          <w:rFonts w:hint="eastAsia" w:ascii="宋体" w:hAnsi="宋体" w:eastAsia="宋体" w:cs="宋体"/>
          <w:i w:val="0"/>
          <w:iCs w:val="0"/>
          <w:caps w:val="0"/>
          <w:color w:val="auto"/>
          <w:spacing w:val="0"/>
          <w:sz w:val="24"/>
          <w:szCs w:val="24"/>
          <w:highlight w:val="none"/>
          <w:shd w:val="clear" w:fill="FFFFFF"/>
        </w:rPr>
        <w:t>区市政基础设施会计核算情况进行分析并形成分析成果报告、配合完成上级抽查或审计及后续整改等工作</w:t>
      </w:r>
      <w:r>
        <w:rPr>
          <w:rFonts w:hint="eastAsia" w:ascii="宋体" w:hAnsi="宋体" w:eastAsia="宋体" w:cs="宋体"/>
          <w:i w:val="0"/>
          <w:iCs w:val="0"/>
          <w:caps w:val="0"/>
          <w:color w:val="auto"/>
          <w:spacing w:val="0"/>
          <w:sz w:val="24"/>
          <w:szCs w:val="24"/>
          <w:highlight w:val="none"/>
          <w:shd w:val="clear" w:fill="FFFFFF"/>
          <w:lang w:eastAsia="zh-CN"/>
        </w:rPr>
        <w:t>。</w:t>
      </w:r>
    </w:p>
    <w:p w14:paraId="5E990CFE">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1.培训答疑</w:t>
      </w:r>
    </w:p>
    <w:p w14:paraId="358D2C06">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（1）市政基础设施系统、实务手册等相关培训；</w:t>
      </w:r>
    </w:p>
    <w:p w14:paraId="10500830">
      <w:pPr>
        <w:pStyle w:val="27"/>
        <w:keepNext w:val="0"/>
        <w:keepLines w:val="0"/>
        <w:pageBreakBefore w:val="0"/>
        <w:widowControl w:val="0"/>
        <w:numPr>
          <w:ilvl w:val="0"/>
          <w:numId w:val="0"/>
        </w:numPr>
        <w:tabs>
          <w:tab w:val="right" w:leader="dot" w:pos="9060"/>
          <w:tab w:val="clear" w:pos="9628"/>
        </w:tabs>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（2）财慧通智能机器人24小时自动答疑和电</w:t>
      </w:r>
      <w:r>
        <w:rPr>
          <w:rFonts w:hint="eastAsia" w:ascii="宋体" w:hAnsi="宋体" w:eastAsia="宋体" w:cs="宋体"/>
          <w:bCs/>
          <w:color w:val="auto"/>
          <w:sz w:val="24"/>
          <w:szCs w:val="24"/>
          <w:highlight w:val="none"/>
          <w:lang w:val="en-US" w:eastAsia="zh-CN"/>
        </w:rPr>
        <w:t>话技术咨询支持。服务过程中发生问题，供应商在接到采购人通知后，30分钟内须作出有效响应，如非现场响应无法解决问题的，须在3小时内到达现场，1小时内解决问题，对不能及时解决问题的，在12小时内须提供解决方案。</w:t>
      </w:r>
    </w:p>
    <w:p w14:paraId="581D73D9">
      <w:pPr>
        <w:pStyle w:val="27"/>
        <w:keepNext w:val="0"/>
        <w:keepLines w:val="0"/>
        <w:pageBreakBefore w:val="0"/>
        <w:widowControl w:val="0"/>
        <w:numPr>
          <w:ilvl w:val="0"/>
          <w:numId w:val="0"/>
        </w:numPr>
        <w:tabs>
          <w:tab w:val="right" w:leader="dot" w:pos="9060"/>
          <w:tab w:val="clear" w:pos="9628"/>
        </w:tabs>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2.初始构建成本资料整理</w:t>
      </w:r>
    </w:p>
    <w:p w14:paraId="11427F70">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按照浙江省市政基础设施政府会计核算实施细则/实务手册、省财政厅资产云资产卡片（备查簿）登记的要求整理市政基础设施相关资料。</w:t>
      </w:r>
    </w:p>
    <w:p w14:paraId="03F3F6FB">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3.初始入账成本确定</w:t>
      </w:r>
    </w:p>
    <w:p w14:paraId="2139F281">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（1）历史成本：根据存量市政基础设施原始成本资料整理结果，并按照浙江省市政基础设施政府会计核算实施细则、实务手册等有关要求确认初始入账成本；</w:t>
      </w:r>
    </w:p>
    <w:p w14:paraId="428C2540">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（2）重置成本：根据省财政厅、省建设厅颁布的浙江省市政基础设施重置成本参考标准等有关要求，分析计算市政基础设施重置成本数据。</w:t>
      </w:r>
    </w:p>
    <w:p w14:paraId="2D4D65C2">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4.市政基础设施资产卡片（备查簿）登记</w:t>
      </w:r>
    </w:p>
    <w:p w14:paraId="50F81CFC">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按照浙江省市政基础设施政府会计核算实务手册和省财政厅资产云卡片（备查簿）登记的要求，将市政基础设施资产卡片（备查簿）录入资产云平台。</w:t>
      </w:r>
    </w:p>
    <w:p w14:paraId="30F325B2">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5.市政基础设施财务入账</w:t>
      </w:r>
    </w:p>
    <w:p w14:paraId="53208C0E">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按照浙江省市政基础设施政府会计核算实务手册中市政基础设施会计明细科目及辅助核算要求，将市政基础设施按要求录入财政预算一体化核算云系统。</w:t>
      </w:r>
    </w:p>
    <w:p w14:paraId="1E5B0D31">
      <w:pPr>
        <w:numPr>
          <w:ilvl w:val="0"/>
          <w:numId w:val="0"/>
        </w:num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6.根据市政基础设施资产摸底情况，以2023年12月31日为基准日，摸清所管辖的市政基础设施是否已经入账，入账的是否符合要求，未入账的是否符合入账要求，需要编制项目清单，形成分析成果报告。</w:t>
      </w:r>
    </w:p>
    <w:p w14:paraId="0A1083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7.核算及分析工作工作结束后，根据省、市对市政基础设施政府会计核算工作部署要求，配合完成后续各级抽查或审计，以及后续整改落实工作。</w:t>
      </w:r>
    </w:p>
    <w:p w14:paraId="3772E4DC">
      <w:pPr>
        <w:spacing w:line="360" w:lineRule="auto"/>
        <w:jc w:val="left"/>
        <w:rPr>
          <w:rFonts w:hint="eastAsia" w:ascii="宋体" w:hAnsi="宋体" w:eastAsia="宋体" w:cs="宋体"/>
          <w:b w:val="0"/>
          <w:bCs w:val="0"/>
          <w:color w:val="auto"/>
          <w:sz w:val="24"/>
          <w:szCs w:val="24"/>
          <w:highlight w:val="none"/>
          <w:lang w:val="en-US" w:eastAsia="zh-CN"/>
        </w:rPr>
      </w:pPr>
      <w:bookmarkStart w:id="34" w:name="_Toc10883"/>
      <w:bookmarkStart w:id="35" w:name="_Toc20904"/>
      <w:bookmarkStart w:id="36" w:name="_Toc28743"/>
      <w:bookmarkStart w:id="37" w:name="_Toc26837"/>
      <w:r>
        <w:rPr>
          <w:rFonts w:hint="eastAsia" w:ascii="宋体" w:hAnsi="宋体" w:eastAsia="宋体" w:cs="宋体"/>
          <w:b w:val="0"/>
          <w:bCs w:val="0"/>
          <w:color w:val="auto"/>
          <w:sz w:val="24"/>
          <w:szCs w:val="24"/>
          <w:highlight w:val="none"/>
          <w:lang w:val="en-US" w:eastAsia="zh-CN"/>
        </w:rPr>
        <w:t>（三）进度要求</w:t>
      </w:r>
      <w:bookmarkEnd w:id="34"/>
      <w:bookmarkEnd w:id="35"/>
      <w:bookmarkEnd w:id="36"/>
      <w:bookmarkEnd w:id="37"/>
    </w:p>
    <w:p w14:paraId="0B80B7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1.合同签订后30内完成</w:t>
      </w:r>
      <w:r>
        <w:rPr>
          <w:rFonts w:hint="eastAsia" w:ascii="宋体" w:hAnsi="宋体" w:eastAsia="宋体" w:cs="宋体"/>
          <w:i w:val="0"/>
          <w:iCs w:val="0"/>
          <w:caps w:val="0"/>
          <w:color w:val="auto"/>
          <w:spacing w:val="0"/>
          <w:sz w:val="24"/>
          <w:szCs w:val="24"/>
          <w:highlight w:val="none"/>
          <w:shd w:val="clear" w:fill="FFFFFF"/>
        </w:rPr>
        <w:t>长兴县</w:t>
      </w:r>
      <w:r>
        <w:rPr>
          <w:rFonts w:hint="eastAsia" w:ascii="宋体" w:hAnsi="宋体" w:eastAsia="宋体" w:cs="宋体"/>
          <w:i w:val="0"/>
          <w:iCs w:val="0"/>
          <w:caps w:val="0"/>
          <w:color w:val="auto"/>
          <w:spacing w:val="0"/>
          <w:sz w:val="24"/>
          <w:szCs w:val="24"/>
          <w:highlight w:val="none"/>
          <w:shd w:val="clear" w:fill="FFFFFF"/>
          <w:lang w:val="en-US" w:eastAsia="zh-CN"/>
        </w:rPr>
        <w:t>全县</w:t>
      </w:r>
      <w:r>
        <w:rPr>
          <w:rFonts w:hint="eastAsia" w:ascii="宋体" w:hAnsi="宋体" w:eastAsia="宋体" w:cs="宋体"/>
          <w:bCs/>
          <w:color w:val="auto"/>
          <w:sz w:val="24"/>
          <w:szCs w:val="24"/>
          <w:highlight w:val="none"/>
          <w:lang w:val="en-US" w:eastAsia="zh-CN"/>
        </w:rPr>
        <w:t>存量市政基础设施政府会计核算工作；</w:t>
      </w:r>
    </w:p>
    <w:p w14:paraId="368D98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2.配合完成省、市、县对市政基础设施政府会计核算工作的抽查或审计（如果有）工作，并在规定时间内整改结束。</w:t>
      </w:r>
    </w:p>
    <w:p w14:paraId="2634F7D5">
      <w:pPr>
        <w:spacing w:line="360" w:lineRule="auto"/>
        <w:jc w:val="left"/>
        <w:rPr>
          <w:rFonts w:hint="eastAsia" w:ascii="宋体" w:hAnsi="宋体" w:eastAsia="宋体" w:cs="宋体"/>
          <w:b w:val="0"/>
          <w:bCs w:val="0"/>
          <w:color w:val="auto"/>
          <w:sz w:val="24"/>
          <w:szCs w:val="24"/>
          <w:highlight w:val="none"/>
          <w:lang w:val="en-US" w:eastAsia="zh-CN"/>
        </w:rPr>
      </w:pPr>
      <w:bookmarkStart w:id="38" w:name="_Toc18583"/>
      <w:bookmarkStart w:id="39" w:name="_Toc27755"/>
      <w:bookmarkStart w:id="40" w:name="_Toc29875"/>
      <w:bookmarkStart w:id="41" w:name="_Toc2236"/>
      <w:r>
        <w:rPr>
          <w:rFonts w:hint="eastAsia" w:ascii="宋体" w:hAnsi="宋体" w:eastAsia="宋体" w:cs="宋体"/>
          <w:b w:val="0"/>
          <w:bCs w:val="0"/>
          <w:color w:val="auto"/>
          <w:sz w:val="24"/>
          <w:szCs w:val="24"/>
          <w:highlight w:val="none"/>
          <w:lang w:val="en-US" w:eastAsia="zh-CN"/>
        </w:rPr>
        <w:t>（四）成果要求</w:t>
      </w:r>
      <w:bookmarkEnd w:id="38"/>
      <w:bookmarkEnd w:id="39"/>
      <w:bookmarkEnd w:id="40"/>
      <w:bookmarkEnd w:id="41"/>
    </w:p>
    <w:p w14:paraId="4E62D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1.市政基础设施资产卡片（备查簿）登记在资产云系统，相关记账凭证录入财政预算一体化核算云系统等。</w:t>
      </w:r>
    </w:p>
    <w:p w14:paraId="193051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2.负责汇总提交</w:t>
      </w:r>
      <w:r>
        <w:rPr>
          <w:rFonts w:hint="eastAsia" w:ascii="宋体" w:hAnsi="宋体" w:eastAsia="宋体" w:cs="宋体"/>
          <w:i w:val="0"/>
          <w:iCs w:val="0"/>
          <w:caps w:val="0"/>
          <w:color w:val="auto"/>
          <w:spacing w:val="0"/>
          <w:sz w:val="24"/>
          <w:szCs w:val="24"/>
          <w:highlight w:val="none"/>
          <w:shd w:val="clear" w:fill="FFFFFF"/>
        </w:rPr>
        <w:t>长兴县</w:t>
      </w:r>
      <w:r>
        <w:rPr>
          <w:rFonts w:hint="eastAsia" w:ascii="宋体" w:hAnsi="宋体" w:eastAsia="宋体" w:cs="宋体"/>
          <w:i w:val="0"/>
          <w:iCs w:val="0"/>
          <w:caps w:val="0"/>
          <w:color w:val="auto"/>
          <w:spacing w:val="0"/>
          <w:sz w:val="24"/>
          <w:szCs w:val="24"/>
          <w:highlight w:val="none"/>
          <w:shd w:val="clear" w:fill="FFFFFF"/>
          <w:lang w:val="en-US" w:eastAsia="zh-CN"/>
        </w:rPr>
        <w:t>全县</w:t>
      </w:r>
      <w:r>
        <w:rPr>
          <w:rFonts w:hint="eastAsia" w:ascii="宋体" w:hAnsi="宋体" w:eastAsia="宋体" w:cs="宋体"/>
          <w:bCs/>
          <w:color w:val="auto"/>
          <w:sz w:val="24"/>
          <w:szCs w:val="24"/>
          <w:highlight w:val="none"/>
          <w:lang w:val="en-US" w:eastAsia="zh-CN"/>
        </w:rPr>
        <w:t>存量市政基础设施政府会计核算分析成果报告纸质及电子版各1份。</w:t>
      </w:r>
    </w:p>
    <w:p w14:paraId="3DE5A6B7">
      <w:pPr>
        <w:spacing w:line="360" w:lineRule="auto"/>
        <w:jc w:val="left"/>
        <w:rPr>
          <w:rFonts w:hint="eastAsia" w:ascii="宋体" w:hAnsi="宋体" w:eastAsia="宋体" w:cs="宋体"/>
          <w:b w:val="0"/>
          <w:bCs w:val="0"/>
          <w:color w:val="auto"/>
          <w:sz w:val="24"/>
          <w:szCs w:val="24"/>
          <w:highlight w:val="none"/>
          <w:lang w:val="en-US" w:eastAsia="zh-CN"/>
        </w:rPr>
      </w:pPr>
      <w:bookmarkStart w:id="42" w:name="_Toc11275"/>
      <w:bookmarkStart w:id="43" w:name="_Toc28322"/>
      <w:bookmarkStart w:id="44" w:name="_Toc23732"/>
      <w:r>
        <w:rPr>
          <w:rFonts w:hint="eastAsia" w:ascii="宋体" w:hAnsi="宋体" w:eastAsia="宋体" w:cs="宋体"/>
          <w:b w:val="0"/>
          <w:bCs w:val="0"/>
          <w:color w:val="auto"/>
          <w:sz w:val="24"/>
          <w:szCs w:val="24"/>
          <w:highlight w:val="none"/>
          <w:lang w:val="en-US" w:eastAsia="zh-CN"/>
        </w:rPr>
        <w:t>（五）验收要求</w:t>
      </w:r>
      <w:bookmarkEnd w:id="42"/>
      <w:bookmarkEnd w:id="43"/>
      <w:bookmarkEnd w:id="44"/>
    </w:p>
    <w:p w14:paraId="09948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项目完成后，由采购人根据各类抽查或审计等实际情况，适时组织验收。</w:t>
      </w:r>
    </w:p>
    <w:p w14:paraId="23A9A379">
      <w:pPr>
        <w:spacing w:line="360" w:lineRule="auto"/>
        <w:jc w:val="left"/>
        <w:rPr>
          <w:rFonts w:hint="eastAsia" w:ascii="宋体" w:hAnsi="宋体" w:eastAsia="宋体" w:cs="宋体"/>
          <w:b w:val="0"/>
          <w:bCs w:val="0"/>
          <w:color w:val="auto"/>
          <w:sz w:val="24"/>
          <w:szCs w:val="24"/>
          <w:highlight w:val="none"/>
          <w:lang w:val="en-US" w:eastAsia="zh-CN"/>
        </w:rPr>
      </w:pPr>
      <w:bookmarkStart w:id="45" w:name="_Toc16207"/>
      <w:bookmarkStart w:id="46" w:name="_Toc25201"/>
      <w:bookmarkStart w:id="47" w:name="_Toc11683"/>
      <w:bookmarkStart w:id="48" w:name="_Toc28369"/>
      <w:r>
        <w:rPr>
          <w:rFonts w:hint="eastAsia" w:ascii="宋体" w:hAnsi="宋体" w:eastAsia="宋体" w:cs="宋体"/>
          <w:b w:val="0"/>
          <w:bCs w:val="0"/>
          <w:color w:val="auto"/>
          <w:sz w:val="24"/>
          <w:szCs w:val="24"/>
          <w:highlight w:val="none"/>
          <w:lang w:val="en-US" w:eastAsia="zh-CN"/>
        </w:rPr>
        <w:t>（六）其他要求</w:t>
      </w:r>
      <w:bookmarkEnd w:id="45"/>
      <w:bookmarkEnd w:id="46"/>
      <w:bookmarkEnd w:id="47"/>
      <w:bookmarkEnd w:id="48"/>
    </w:p>
    <w:p w14:paraId="09336A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1.供应商拟投入本项目的负责人及项目团队成员应具备与本项目相关的工作经验；服务期间供应商应至少安排项目负责人、主管及助理各1名且不得随意更换，如不经采购人同意擅自更换，采购人有权解除合同。</w:t>
      </w:r>
    </w:p>
    <w:p w14:paraId="13397AD7">
      <w:pPr>
        <w:pStyle w:val="27"/>
        <w:keepNext w:val="0"/>
        <w:keepLines w:val="0"/>
        <w:pageBreakBefore w:val="0"/>
        <w:widowControl w:val="0"/>
        <w:numPr>
          <w:ilvl w:val="0"/>
          <w:numId w:val="0"/>
        </w:numPr>
        <w:tabs>
          <w:tab w:val="right" w:leader="dot" w:pos="9060"/>
          <w:tab w:val="clear" w:pos="9628"/>
        </w:tabs>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成交</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必须对本项目涉及到的资料及成果承担安全、保密责任。</w:t>
      </w:r>
    </w:p>
    <w:p w14:paraId="33BE7052">
      <w:pPr>
        <w:pStyle w:val="27"/>
        <w:keepNext w:val="0"/>
        <w:keepLines w:val="0"/>
        <w:pageBreakBefore w:val="0"/>
        <w:widowControl w:val="0"/>
        <w:numPr>
          <w:ilvl w:val="0"/>
          <w:numId w:val="0"/>
        </w:numPr>
        <w:tabs>
          <w:tab w:val="right" w:leader="dot" w:pos="9060"/>
          <w:tab w:val="clear" w:pos="9628"/>
        </w:tabs>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3.重置成本和入账工作若涉及到现场勘察或测量工作，由采购人另行委托。</w:t>
      </w:r>
    </w:p>
    <w:p w14:paraId="295A2DC1">
      <w:pPr>
        <w:pStyle w:val="27"/>
        <w:keepNext w:val="0"/>
        <w:keepLines w:val="0"/>
        <w:pageBreakBefore w:val="0"/>
        <w:widowControl w:val="0"/>
        <w:numPr>
          <w:ilvl w:val="0"/>
          <w:numId w:val="0"/>
        </w:numPr>
        <w:tabs>
          <w:tab w:val="right" w:leader="dot" w:pos="9060"/>
          <w:tab w:val="clear" w:pos="9628"/>
        </w:tabs>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4.本项目采用固定合同价形式，不因项目清单中相关内容的变化而调整合同价格，供应商报价时需酌情考虑。</w:t>
      </w:r>
    </w:p>
    <w:p w14:paraId="50433052">
      <w:pPr>
        <w:widowControl/>
        <w:wordWrap w:val="0"/>
        <w:autoSpaceDE w:val="0"/>
        <w:snapToGrid w:val="0"/>
        <w:spacing w:line="360" w:lineRule="auto"/>
        <w:ind w:firstLine="480" w:firstLineChars="200"/>
        <w:jc w:val="left"/>
        <w:rPr>
          <w:rFonts w:hint="eastAsia" w:ascii="宋体" w:hAnsi="宋体" w:eastAsia="宋体" w:cs="宋体"/>
          <w:i w:val="0"/>
          <w:iCs w:val="0"/>
          <w:caps w:val="0"/>
          <w:color w:val="auto"/>
          <w:spacing w:val="0"/>
          <w:sz w:val="24"/>
          <w:szCs w:val="24"/>
          <w:highlight w:val="none"/>
          <w:shd w:val="clear" w:fill="FFFFFF"/>
          <w:lang w:val="zh-CN"/>
        </w:rPr>
      </w:pPr>
    </w:p>
    <w:p w14:paraId="2B6494F6">
      <w:pPr>
        <w:widowControl/>
        <w:wordWrap w:val="0"/>
        <w:autoSpaceDE w:val="0"/>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四、商务需求</w:t>
      </w:r>
    </w:p>
    <w:p w14:paraId="0787C838">
      <w:pPr>
        <w:widowControl w:val="0"/>
        <w:numPr>
          <w:ilvl w:val="0"/>
          <w:numId w:val="0"/>
        </w:numPr>
        <w:wordWrap/>
        <w:autoSpaceDE/>
        <w:snapToGrid/>
        <w:spacing w:line="360" w:lineRule="auto"/>
        <w:ind w:firstLine="480" w:firstLineChars="200"/>
        <w:jc w:val="left"/>
        <w:rPr>
          <w:rFonts w:hint="eastAsia" w:ascii="宋体" w:hAnsi="宋体" w:eastAsia="宋体" w:cs="宋体"/>
          <w:bCs/>
          <w:color w:val="auto"/>
          <w:kern w:val="2"/>
          <w:sz w:val="24"/>
          <w:highlight w:val="none"/>
          <w:lang w:val="en-US"/>
        </w:rPr>
      </w:pPr>
      <w:r>
        <w:rPr>
          <w:rFonts w:hint="eastAsia" w:ascii="宋体" w:hAnsi="宋体" w:eastAsia="宋体" w:cs="宋体"/>
          <w:bCs/>
          <w:color w:val="auto"/>
          <w:kern w:val="2"/>
          <w:sz w:val="24"/>
          <w:highlight w:val="none"/>
          <w:lang w:val="en-US"/>
        </w:rPr>
        <w:t>（一）、服务期限：</w:t>
      </w:r>
      <w:r>
        <w:rPr>
          <w:rFonts w:hint="eastAsia" w:ascii="宋体" w:hAnsi="宋体" w:eastAsia="宋体" w:cs="宋体"/>
          <w:bCs/>
          <w:color w:val="auto"/>
          <w:kern w:val="2"/>
          <w:sz w:val="24"/>
          <w:highlight w:val="none"/>
          <w:lang w:val="en-US" w:eastAsia="zh-CN"/>
        </w:rPr>
        <w:t>90</w:t>
      </w:r>
      <w:r>
        <w:rPr>
          <w:rFonts w:hint="eastAsia" w:ascii="宋体" w:hAnsi="宋体" w:eastAsia="宋体" w:cs="宋体"/>
          <w:bCs/>
          <w:color w:val="auto"/>
          <w:kern w:val="2"/>
          <w:sz w:val="24"/>
          <w:highlight w:val="none"/>
          <w:lang w:val="en-US"/>
        </w:rPr>
        <w:t>日历天，具体签订日期以合同为准。</w:t>
      </w:r>
    </w:p>
    <w:p w14:paraId="2E7845E1">
      <w:pPr>
        <w:widowControl w:val="0"/>
        <w:numPr>
          <w:ilvl w:val="0"/>
          <w:numId w:val="0"/>
        </w:numPr>
        <w:wordWrap/>
        <w:autoSpaceDE/>
        <w:snapToGrid/>
        <w:spacing w:line="360" w:lineRule="auto"/>
        <w:ind w:firstLine="480" w:firstLineChars="200"/>
        <w:jc w:val="left"/>
        <w:rPr>
          <w:rFonts w:hint="eastAsia" w:ascii="宋体" w:hAnsi="宋体" w:eastAsia="宋体" w:cs="宋体"/>
          <w:bCs/>
          <w:color w:val="auto"/>
          <w:kern w:val="2"/>
          <w:sz w:val="24"/>
          <w:highlight w:val="none"/>
          <w:lang w:val="en-US"/>
        </w:rPr>
      </w:pPr>
      <w:r>
        <w:rPr>
          <w:rFonts w:hint="eastAsia" w:ascii="宋体" w:hAnsi="宋体" w:eastAsia="宋体" w:cs="宋体"/>
          <w:bCs/>
          <w:color w:val="auto"/>
          <w:kern w:val="2"/>
          <w:sz w:val="24"/>
          <w:highlight w:val="none"/>
          <w:lang w:val="en-US"/>
        </w:rPr>
        <w:t>（二）、付款方式</w:t>
      </w:r>
    </w:p>
    <w:p w14:paraId="08B77953">
      <w:pPr>
        <w:widowControl w:val="0"/>
        <w:numPr>
          <w:ilvl w:val="0"/>
          <w:numId w:val="0"/>
        </w:numPr>
        <w:wordWrap/>
        <w:autoSpaceDE/>
        <w:snapToGrid/>
        <w:spacing w:line="360" w:lineRule="auto"/>
        <w:ind w:firstLine="480" w:firstLineChars="200"/>
        <w:jc w:val="left"/>
        <w:rPr>
          <w:rFonts w:hint="eastAsia" w:ascii="宋体" w:hAnsi="宋体" w:eastAsia="宋体" w:cs="宋体"/>
          <w:bCs/>
          <w:color w:val="auto"/>
          <w:kern w:val="2"/>
          <w:sz w:val="24"/>
          <w:highlight w:val="none"/>
          <w:lang w:val="en-US"/>
        </w:rPr>
      </w:pPr>
      <w:r>
        <w:rPr>
          <w:rFonts w:hint="eastAsia" w:ascii="宋体" w:hAnsi="宋体" w:eastAsia="宋体" w:cs="宋体"/>
          <w:bCs/>
          <w:color w:val="auto"/>
          <w:kern w:val="2"/>
          <w:sz w:val="24"/>
          <w:highlight w:val="none"/>
          <w:lang w:val="en-US"/>
        </w:rPr>
        <w:t>（1）签订合同</w:t>
      </w:r>
      <w:r>
        <w:rPr>
          <w:rFonts w:hint="eastAsia" w:ascii="宋体" w:hAnsi="宋体" w:eastAsia="宋体" w:cs="宋体"/>
          <w:bCs/>
          <w:color w:val="auto"/>
          <w:kern w:val="2"/>
          <w:sz w:val="24"/>
          <w:highlight w:val="none"/>
          <w:lang w:val="en-US" w:eastAsia="zh-CN"/>
        </w:rPr>
        <w:t>后</w:t>
      </w:r>
      <w:r>
        <w:rPr>
          <w:rFonts w:hint="eastAsia" w:ascii="宋体" w:hAnsi="宋体" w:eastAsia="宋体" w:cs="宋体"/>
          <w:bCs/>
          <w:color w:val="auto"/>
          <w:kern w:val="2"/>
          <w:sz w:val="24"/>
          <w:highlight w:val="none"/>
          <w:lang w:val="en-US"/>
        </w:rPr>
        <w:t>7个工作日内，支付合同金额</w:t>
      </w:r>
      <w:r>
        <w:rPr>
          <w:rFonts w:hint="eastAsia" w:ascii="宋体" w:hAnsi="宋体" w:eastAsia="宋体" w:cs="宋体"/>
          <w:bCs/>
          <w:color w:val="auto"/>
          <w:kern w:val="2"/>
          <w:sz w:val="24"/>
          <w:highlight w:val="none"/>
        </w:rPr>
        <w:t>4</w:t>
      </w:r>
      <w:r>
        <w:rPr>
          <w:rFonts w:hint="eastAsia" w:ascii="宋体" w:hAnsi="宋体" w:eastAsia="宋体" w:cs="宋体"/>
          <w:bCs/>
          <w:color w:val="auto"/>
          <w:kern w:val="2"/>
          <w:sz w:val="24"/>
          <w:highlight w:val="none"/>
          <w:lang w:val="en-US"/>
        </w:rPr>
        <w:t>0%的预付款；</w:t>
      </w:r>
    </w:p>
    <w:p w14:paraId="5F2115B9">
      <w:pPr>
        <w:numPr>
          <w:ilvl w:val="0"/>
          <w:numId w:val="0"/>
        </w:num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kern w:val="2"/>
          <w:sz w:val="24"/>
          <w:highlight w:val="none"/>
          <w:lang w:val="en-US"/>
        </w:rPr>
        <w:t>（2）</w:t>
      </w:r>
      <w:r>
        <w:rPr>
          <w:rFonts w:hint="eastAsia" w:ascii="宋体" w:hAnsi="宋体" w:eastAsia="宋体" w:cs="宋体"/>
          <w:b w:val="0"/>
          <w:bCs/>
          <w:color w:val="auto"/>
          <w:sz w:val="24"/>
          <w:highlight w:val="none"/>
          <w:lang w:val="en-US" w:eastAsia="zh-CN"/>
        </w:rPr>
        <w:t>成交供应商提交项目成果报告并经采购人验收合格后，采购人支付剩余合同价款。</w:t>
      </w:r>
    </w:p>
    <w:p w14:paraId="5C4E0C6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采购人应自收到供应商开具的发票后7个工作日内将上述相关款项支付到合同约定的供应商账户</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如因供应商发票开具有误或延迟开票等原因造成的延迟付款，责任由供应商承担。</w:t>
      </w:r>
    </w:p>
    <w:p w14:paraId="42D9650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在签订合同时，供应商明确表示无需预付款或者主动要求降低预付款比例的，采购合同可不适用前述规定。</w:t>
      </w:r>
    </w:p>
    <w:p w14:paraId="69694D7B">
      <w:pPr>
        <w:widowControl/>
        <w:wordWrap w:val="0"/>
        <w:autoSpaceDE w:val="0"/>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1368571F">
      <w:pPr>
        <w:pStyle w:val="2"/>
        <w:spacing w:line="360" w:lineRule="auto"/>
        <w:jc w:val="center"/>
        <w:rPr>
          <w:color w:val="auto"/>
          <w:sz w:val="24"/>
          <w:szCs w:val="24"/>
          <w:highlight w:val="none"/>
        </w:rPr>
      </w:pPr>
    </w:p>
    <w:p w14:paraId="087F239C">
      <w:pPr>
        <w:pStyle w:val="2"/>
        <w:spacing w:line="360" w:lineRule="auto"/>
        <w:jc w:val="center"/>
        <w:rPr>
          <w:color w:val="auto"/>
          <w:sz w:val="24"/>
          <w:szCs w:val="24"/>
          <w:highlight w:val="none"/>
        </w:rPr>
      </w:pPr>
    </w:p>
    <w:p w14:paraId="00F51611">
      <w:pPr>
        <w:spacing w:line="360" w:lineRule="auto"/>
        <w:jc w:val="center"/>
        <w:outlineLvl w:val="0"/>
        <w:rPr>
          <w:rFonts w:hint="eastAsia" w:ascii="黑体" w:hAnsi="黑体" w:eastAsia="黑体" w:cs="黑体"/>
          <w:b/>
          <w:color w:val="auto"/>
          <w:sz w:val="28"/>
          <w:szCs w:val="28"/>
          <w:highlight w:val="none"/>
        </w:rPr>
      </w:pPr>
    </w:p>
    <w:p w14:paraId="3FBE1453">
      <w:pPr>
        <w:spacing w:line="360" w:lineRule="auto"/>
        <w:jc w:val="center"/>
        <w:outlineLvl w:val="0"/>
        <w:rPr>
          <w:rFonts w:hint="eastAsia" w:ascii="黑体" w:hAnsi="黑体" w:eastAsia="黑体" w:cs="黑体"/>
          <w:b/>
          <w:color w:val="auto"/>
          <w:sz w:val="28"/>
          <w:szCs w:val="28"/>
          <w:highlight w:val="none"/>
        </w:rPr>
      </w:pPr>
    </w:p>
    <w:p w14:paraId="1367B73D">
      <w:pPr>
        <w:spacing w:line="360" w:lineRule="auto"/>
        <w:jc w:val="center"/>
        <w:outlineLvl w:val="0"/>
        <w:rPr>
          <w:rFonts w:hint="eastAsia" w:ascii="黑体" w:hAnsi="黑体" w:eastAsia="黑体" w:cs="黑体"/>
          <w:b/>
          <w:color w:val="auto"/>
          <w:sz w:val="28"/>
          <w:szCs w:val="28"/>
          <w:highlight w:val="none"/>
        </w:rPr>
      </w:pPr>
    </w:p>
    <w:p w14:paraId="4D9A26DB">
      <w:pPr>
        <w:spacing w:line="360" w:lineRule="auto"/>
        <w:jc w:val="center"/>
        <w:outlineLvl w:val="0"/>
        <w:rPr>
          <w:rFonts w:hint="eastAsia" w:ascii="黑体" w:hAnsi="黑体" w:eastAsia="黑体" w:cs="黑体"/>
          <w:b/>
          <w:color w:val="auto"/>
          <w:sz w:val="28"/>
          <w:szCs w:val="28"/>
          <w:highlight w:val="none"/>
        </w:rPr>
      </w:pPr>
    </w:p>
    <w:p w14:paraId="6BD44DBF">
      <w:pPr>
        <w:spacing w:line="360" w:lineRule="auto"/>
        <w:jc w:val="center"/>
        <w:outlineLvl w:val="0"/>
        <w:rPr>
          <w:rFonts w:hint="eastAsia" w:ascii="黑体" w:hAnsi="黑体" w:eastAsia="黑体" w:cs="黑体"/>
          <w:b/>
          <w:color w:val="auto"/>
          <w:sz w:val="28"/>
          <w:szCs w:val="28"/>
          <w:highlight w:val="none"/>
        </w:rPr>
      </w:pPr>
    </w:p>
    <w:p w14:paraId="40378B7D">
      <w:pPr>
        <w:spacing w:line="360" w:lineRule="auto"/>
        <w:jc w:val="center"/>
        <w:outlineLvl w:val="0"/>
        <w:rPr>
          <w:rFonts w:hint="eastAsia" w:ascii="黑体" w:hAnsi="黑体" w:eastAsia="黑体" w:cs="黑体"/>
          <w:b/>
          <w:color w:val="auto"/>
          <w:sz w:val="28"/>
          <w:szCs w:val="28"/>
          <w:highlight w:val="none"/>
        </w:rPr>
      </w:pPr>
    </w:p>
    <w:p w14:paraId="772F173E">
      <w:pPr>
        <w:spacing w:line="360" w:lineRule="auto"/>
        <w:jc w:val="center"/>
        <w:outlineLvl w:val="0"/>
        <w:rPr>
          <w:rFonts w:hint="eastAsia" w:ascii="黑体" w:hAnsi="黑体" w:eastAsia="黑体" w:cs="黑体"/>
          <w:b/>
          <w:color w:val="auto"/>
          <w:sz w:val="28"/>
          <w:szCs w:val="28"/>
          <w:highlight w:val="none"/>
        </w:rPr>
      </w:pPr>
    </w:p>
    <w:p w14:paraId="3BED04FD">
      <w:pPr>
        <w:spacing w:line="360" w:lineRule="auto"/>
        <w:jc w:val="both"/>
        <w:outlineLvl w:val="0"/>
        <w:rPr>
          <w:rFonts w:hint="eastAsia" w:ascii="黑体" w:hAnsi="黑体" w:eastAsia="黑体" w:cs="黑体"/>
          <w:b/>
          <w:color w:val="auto"/>
          <w:sz w:val="28"/>
          <w:szCs w:val="28"/>
          <w:highlight w:val="none"/>
        </w:rPr>
      </w:pPr>
    </w:p>
    <w:p w14:paraId="3657C721">
      <w:pPr>
        <w:spacing w:line="360" w:lineRule="auto"/>
        <w:jc w:val="center"/>
        <w:outlineLvl w:val="0"/>
        <w:rPr>
          <w:rFonts w:hint="eastAsia" w:ascii="黑体" w:hAnsi="黑体" w:eastAsia="黑体" w:cs="黑体"/>
          <w:b/>
          <w:color w:val="auto"/>
          <w:sz w:val="28"/>
          <w:szCs w:val="28"/>
          <w:highlight w:val="none"/>
        </w:rPr>
      </w:pPr>
    </w:p>
    <w:p w14:paraId="37AF7BD1">
      <w:pPr>
        <w:spacing w:line="360" w:lineRule="auto"/>
        <w:jc w:val="center"/>
        <w:outlineLvl w:val="0"/>
        <w:rPr>
          <w:rFonts w:hint="eastAsia" w:ascii="黑体" w:hAnsi="黑体" w:eastAsia="黑体" w:cs="黑体"/>
          <w:b/>
          <w:color w:val="auto"/>
          <w:sz w:val="28"/>
          <w:szCs w:val="28"/>
          <w:highlight w:val="none"/>
        </w:rPr>
      </w:pPr>
    </w:p>
    <w:p w14:paraId="42829E28">
      <w:pPr>
        <w:spacing w:line="360" w:lineRule="auto"/>
        <w:jc w:val="center"/>
        <w:outlineLvl w:val="0"/>
        <w:rPr>
          <w:rFonts w:hint="eastAsia" w:ascii="黑体" w:hAnsi="黑体" w:eastAsia="黑体" w:cs="黑体"/>
          <w:b/>
          <w:color w:val="auto"/>
          <w:sz w:val="28"/>
          <w:szCs w:val="28"/>
          <w:highlight w:val="none"/>
        </w:rPr>
      </w:pPr>
    </w:p>
    <w:p w14:paraId="650ED8A5">
      <w:pPr>
        <w:spacing w:line="360" w:lineRule="auto"/>
        <w:jc w:val="center"/>
        <w:outlineLvl w:val="0"/>
        <w:rPr>
          <w:rFonts w:hint="eastAsia" w:ascii="黑体" w:hAnsi="黑体" w:eastAsia="黑体" w:cs="黑体"/>
          <w:b/>
          <w:color w:val="auto"/>
          <w:sz w:val="28"/>
          <w:szCs w:val="28"/>
          <w:highlight w:val="none"/>
        </w:rPr>
      </w:pPr>
    </w:p>
    <w:p w14:paraId="08564055">
      <w:pPr>
        <w:spacing w:line="360" w:lineRule="auto"/>
        <w:jc w:val="center"/>
        <w:outlineLvl w:val="0"/>
        <w:rPr>
          <w:rFonts w:hint="eastAsia" w:ascii="黑体" w:hAnsi="黑体" w:eastAsia="黑体" w:cs="黑体"/>
          <w:b/>
          <w:color w:val="auto"/>
          <w:sz w:val="28"/>
          <w:szCs w:val="28"/>
          <w:highlight w:val="none"/>
        </w:rPr>
      </w:pPr>
    </w:p>
    <w:p w14:paraId="3CB09061">
      <w:pPr>
        <w:spacing w:line="360" w:lineRule="auto"/>
        <w:jc w:val="center"/>
        <w:outlineLvl w:val="0"/>
        <w:rPr>
          <w:rFonts w:hint="eastAsia" w:ascii="黑体" w:hAnsi="黑体" w:eastAsia="黑体" w:cs="黑体"/>
          <w:b/>
          <w:color w:val="auto"/>
          <w:sz w:val="28"/>
          <w:szCs w:val="28"/>
          <w:highlight w:val="none"/>
        </w:rPr>
      </w:pPr>
    </w:p>
    <w:p w14:paraId="2142B9D3">
      <w:pPr>
        <w:spacing w:line="360" w:lineRule="auto"/>
        <w:jc w:val="center"/>
        <w:outlineLvl w:val="0"/>
        <w:rPr>
          <w:rFonts w:hint="eastAsia" w:ascii="黑体" w:hAnsi="黑体" w:eastAsia="黑体" w:cs="黑体"/>
          <w:b/>
          <w:color w:val="auto"/>
          <w:sz w:val="28"/>
          <w:szCs w:val="28"/>
          <w:highlight w:val="none"/>
        </w:rPr>
      </w:pPr>
    </w:p>
    <w:p w14:paraId="79386B99">
      <w:pPr>
        <w:spacing w:line="360" w:lineRule="auto"/>
        <w:jc w:val="center"/>
        <w:outlineLvl w:val="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第三章  磋商须知</w:t>
      </w:r>
    </w:p>
    <w:p w14:paraId="676E102A">
      <w:pPr>
        <w:autoSpaceDE w:val="0"/>
        <w:autoSpaceDN w:val="0"/>
        <w:adjustRightInd w:val="0"/>
        <w:snapToGrid w:val="0"/>
        <w:spacing w:line="360" w:lineRule="auto"/>
        <w:jc w:val="center"/>
        <w:textAlignment w:val="bottom"/>
        <w:outlineLvl w:val="0"/>
        <w:rPr>
          <w:rFonts w:hint="eastAsia" w:ascii="宋体" w:hAnsi="宋体" w:cs="宋体"/>
          <w:b/>
          <w:color w:val="auto"/>
          <w:sz w:val="24"/>
          <w:highlight w:val="none"/>
        </w:rPr>
      </w:pPr>
      <w:bookmarkStart w:id="49" w:name="_Toc269397667"/>
      <w:bookmarkStart w:id="50" w:name="_Toc226603378"/>
      <w:bookmarkStart w:id="51" w:name="_Toc224533939"/>
      <w:bookmarkStart w:id="52" w:name="_Toc182125825"/>
      <w:bookmarkStart w:id="53" w:name="_Toc171152450"/>
      <w:bookmarkStart w:id="54" w:name="_Toc182125902"/>
      <w:bookmarkStart w:id="55" w:name="_Toc269397675"/>
      <w:bookmarkStart w:id="56" w:name="_Toc172337897"/>
      <w:bookmarkStart w:id="57" w:name="_Toc174767478"/>
      <w:bookmarkStart w:id="58" w:name="_Toc172338047"/>
      <w:r>
        <w:rPr>
          <w:rFonts w:hint="eastAsia" w:ascii="宋体" w:hAnsi="宋体" w:cs="宋体"/>
          <w:b/>
          <w:color w:val="auto"/>
          <w:sz w:val="24"/>
          <w:highlight w:val="none"/>
        </w:rPr>
        <w:t>供应商须知前附表</w:t>
      </w:r>
      <w:bookmarkEnd w:id="49"/>
      <w:bookmarkEnd w:id="50"/>
      <w:bookmarkEnd w:id="51"/>
    </w:p>
    <w:tbl>
      <w:tblPr>
        <w:tblStyle w:val="43"/>
        <w:tblW w:w="92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8"/>
        <w:gridCol w:w="1743"/>
        <w:gridCol w:w="6840"/>
      </w:tblGrid>
      <w:tr w14:paraId="1A8C6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0CAA789D">
            <w:pPr>
              <w:adjustRightInd w:val="0"/>
              <w:snapToGrid w:val="0"/>
              <w:spacing w:line="360" w:lineRule="auto"/>
              <w:jc w:val="center"/>
              <w:rPr>
                <w:rFonts w:hint="eastAsia" w:ascii="宋体" w:hAnsi="宋体" w:cs="宋体"/>
                <w:color w:val="auto"/>
                <w:sz w:val="24"/>
                <w:highlight w:val="none"/>
              </w:rPr>
            </w:pPr>
            <w:bookmarkStart w:id="59" w:name="_Toc182125895"/>
            <w:bookmarkStart w:id="60" w:name="_Toc269397668"/>
            <w:bookmarkStart w:id="61" w:name="_Toc172338034"/>
            <w:bookmarkStart w:id="62" w:name="_Toc174767468"/>
            <w:bookmarkStart w:id="63" w:name="_Toc182125818"/>
            <w:bookmarkStart w:id="64" w:name="_Toc172337884"/>
            <w:r>
              <w:rPr>
                <w:rFonts w:hint="eastAsia" w:ascii="宋体" w:hAnsi="宋体" w:cs="宋体"/>
                <w:color w:val="auto"/>
                <w:sz w:val="24"/>
                <w:highlight w:val="none"/>
              </w:rPr>
              <w:t>序号</w:t>
            </w:r>
          </w:p>
        </w:tc>
        <w:tc>
          <w:tcPr>
            <w:tcW w:w="1743" w:type="dxa"/>
            <w:tcBorders>
              <w:top w:val="single" w:color="auto" w:sz="4" w:space="0"/>
              <w:left w:val="single" w:color="auto" w:sz="4" w:space="0"/>
              <w:bottom w:val="single" w:color="auto" w:sz="4" w:space="0"/>
              <w:right w:val="single" w:color="auto" w:sz="4" w:space="0"/>
            </w:tcBorders>
            <w:noWrap/>
            <w:vAlign w:val="center"/>
          </w:tcPr>
          <w:p w14:paraId="009A0702">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6840" w:type="dxa"/>
            <w:tcBorders>
              <w:top w:val="single" w:color="auto" w:sz="4" w:space="0"/>
              <w:left w:val="single" w:color="auto" w:sz="4" w:space="0"/>
              <w:bottom w:val="single" w:color="auto" w:sz="4" w:space="0"/>
              <w:right w:val="single" w:color="auto" w:sz="4" w:space="0"/>
            </w:tcBorders>
            <w:noWrap/>
            <w:vAlign w:val="center"/>
          </w:tcPr>
          <w:p w14:paraId="377ABC6B">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内容、要求</w:t>
            </w:r>
          </w:p>
        </w:tc>
      </w:tr>
      <w:tr w14:paraId="76CAB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7038AC8B">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43" w:type="dxa"/>
            <w:tcBorders>
              <w:top w:val="single" w:color="auto" w:sz="4" w:space="0"/>
              <w:left w:val="single" w:color="auto" w:sz="4" w:space="0"/>
              <w:bottom w:val="single" w:color="auto" w:sz="4" w:space="0"/>
              <w:right w:val="single" w:color="auto" w:sz="4" w:space="0"/>
            </w:tcBorders>
            <w:noWrap/>
            <w:vAlign w:val="center"/>
          </w:tcPr>
          <w:p w14:paraId="1C852FD6">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840" w:type="dxa"/>
            <w:tcBorders>
              <w:top w:val="single" w:color="auto" w:sz="4" w:space="0"/>
              <w:left w:val="single" w:color="auto" w:sz="4" w:space="0"/>
              <w:bottom w:val="single" w:color="auto" w:sz="4" w:space="0"/>
              <w:right w:val="single" w:color="auto" w:sz="4" w:space="0"/>
            </w:tcBorders>
            <w:noWrap/>
            <w:vAlign w:val="center"/>
          </w:tcPr>
          <w:p w14:paraId="57C2922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长兴县市政基础设施资产会计核算分析服务项目</w:t>
            </w:r>
          </w:p>
        </w:tc>
      </w:tr>
      <w:tr w14:paraId="34C50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57703367">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43" w:type="dxa"/>
            <w:tcBorders>
              <w:top w:val="single" w:color="auto" w:sz="4" w:space="0"/>
              <w:left w:val="single" w:color="auto" w:sz="4" w:space="0"/>
              <w:bottom w:val="single" w:color="auto" w:sz="4" w:space="0"/>
              <w:right w:val="single" w:color="auto" w:sz="4" w:space="0"/>
            </w:tcBorders>
            <w:noWrap/>
            <w:vAlign w:val="center"/>
          </w:tcPr>
          <w:p w14:paraId="5F110EED">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 购 人</w:t>
            </w:r>
          </w:p>
        </w:tc>
        <w:tc>
          <w:tcPr>
            <w:tcW w:w="6840" w:type="dxa"/>
            <w:tcBorders>
              <w:top w:val="single" w:color="auto" w:sz="4" w:space="0"/>
              <w:left w:val="single" w:color="auto" w:sz="4" w:space="0"/>
              <w:bottom w:val="single" w:color="auto" w:sz="4" w:space="0"/>
              <w:right w:val="single" w:color="auto" w:sz="4" w:space="0"/>
            </w:tcBorders>
            <w:noWrap/>
            <w:vAlign w:val="center"/>
          </w:tcPr>
          <w:p w14:paraId="1C97DA66">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长兴县城市建设发展管理中心</w:t>
            </w:r>
          </w:p>
        </w:tc>
      </w:tr>
      <w:tr w14:paraId="05761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4E14119E">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43" w:type="dxa"/>
            <w:tcBorders>
              <w:top w:val="single" w:color="auto" w:sz="4" w:space="0"/>
              <w:left w:val="single" w:color="auto" w:sz="4" w:space="0"/>
              <w:bottom w:val="single" w:color="auto" w:sz="4" w:space="0"/>
              <w:right w:val="single" w:color="auto" w:sz="4" w:space="0"/>
            </w:tcBorders>
            <w:noWrap/>
            <w:vAlign w:val="center"/>
          </w:tcPr>
          <w:p w14:paraId="46E7A6CE">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840" w:type="dxa"/>
            <w:tcBorders>
              <w:top w:val="single" w:color="auto" w:sz="4" w:space="0"/>
              <w:left w:val="single" w:color="auto" w:sz="4" w:space="0"/>
              <w:bottom w:val="single" w:color="auto" w:sz="4" w:space="0"/>
              <w:right w:val="single" w:color="auto" w:sz="4" w:space="0"/>
            </w:tcBorders>
            <w:noWrap/>
            <w:vAlign w:val="center"/>
          </w:tcPr>
          <w:p w14:paraId="5296A93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本次采购采用竞争性磋商（全流程电子化）的方式进行</w:t>
            </w:r>
          </w:p>
        </w:tc>
      </w:tr>
      <w:tr w14:paraId="52693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3967E0AF">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743" w:type="dxa"/>
            <w:tcBorders>
              <w:top w:val="single" w:color="auto" w:sz="4" w:space="0"/>
              <w:left w:val="single" w:color="auto" w:sz="4" w:space="0"/>
              <w:bottom w:val="single" w:color="auto" w:sz="4" w:space="0"/>
              <w:right w:val="single" w:color="auto" w:sz="4" w:space="0"/>
            </w:tcBorders>
            <w:noWrap/>
            <w:vAlign w:val="center"/>
          </w:tcPr>
          <w:p w14:paraId="615941FB">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资金来源</w:t>
            </w:r>
          </w:p>
        </w:tc>
        <w:tc>
          <w:tcPr>
            <w:tcW w:w="6840" w:type="dxa"/>
            <w:tcBorders>
              <w:top w:val="single" w:color="auto" w:sz="4" w:space="0"/>
              <w:left w:val="single" w:color="auto" w:sz="4" w:space="0"/>
              <w:bottom w:val="single" w:color="auto" w:sz="4" w:space="0"/>
              <w:right w:val="single" w:color="auto" w:sz="4" w:space="0"/>
            </w:tcBorders>
            <w:noWrap/>
            <w:vAlign w:val="center"/>
          </w:tcPr>
          <w:p w14:paraId="5BC0F53E">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资金来源：财政资金；</w:t>
            </w:r>
          </w:p>
        </w:tc>
      </w:tr>
      <w:tr w14:paraId="1887D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0CA5F9F4">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743" w:type="dxa"/>
            <w:tcBorders>
              <w:top w:val="single" w:color="auto" w:sz="4" w:space="0"/>
              <w:left w:val="single" w:color="auto" w:sz="4" w:space="0"/>
              <w:bottom w:val="single" w:color="auto" w:sz="4" w:space="0"/>
              <w:right w:val="single" w:color="auto" w:sz="4" w:space="0"/>
            </w:tcBorders>
            <w:noWrap/>
            <w:vAlign w:val="center"/>
          </w:tcPr>
          <w:p w14:paraId="320E1757">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最高限价</w:t>
            </w:r>
          </w:p>
        </w:tc>
        <w:tc>
          <w:tcPr>
            <w:tcW w:w="6840" w:type="dxa"/>
            <w:tcBorders>
              <w:top w:val="single" w:color="auto" w:sz="4" w:space="0"/>
              <w:left w:val="single" w:color="auto" w:sz="4" w:space="0"/>
              <w:bottom w:val="single" w:color="auto" w:sz="4" w:space="0"/>
              <w:right w:val="single" w:color="auto" w:sz="4" w:space="0"/>
            </w:tcBorders>
            <w:noWrap/>
            <w:vAlign w:val="center"/>
          </w:tcPr>
          <w:p w14:paraId="62257B9E">
            <w:pPr>
              <w:pStyle w:val="13"/>
              <w:spacing w:after="0" w:line="360" w:lineRule="auto"/>
              <w:ind w:firstLine="0" w:firstLineChars="0"/>
              <w:rPr>
                <w:color w:val="auto"/>
                <w:sz w:val="24"/>
                <w:highlight w:val="none"/>
              </w:rPr>
            </w:pPr>
            <w:r>
              <w:rPr>
                <w:rFonts w:hint="eastAsia"/>
                <w:color w:val="auto"/>
                <w:sz w:val="24"/>
                <w:highlight w:val="none"/>
              </w:rPr>
              <w:t>本次采购设定的最高限价如下：磋商报价不得高于</w:t>
            </w:r>
            <w:r>
              <w:rPr>
                <w:rFonts w:hint="eastAsia"/>
                <w:color w:val="auto"/>
                <w:sz w:val="24"/>
                <w:highlight w:val="none"/>
                <w:lang w:val="en-US" w:eastAsia="zh-CN"/>
              </w:rPr>
              <w:t>45</w:t>
            </w:r>
            <w:r>
              <w:rPr>
                <w:rFonts w:hint="eastAsia"/>
                <w:color w:val="auto"/>
                <w:sz w:val="24"/>
                <w:highlight w:val="none"/>
              </w:rPr>
              <w:t>万元，磋商报价高于最高限价的磋商响应文件按无效标处理。</w:t>
            </w:r>
          </w:p>
        </w:tc>
      </w:tr>
      <w:tr w14:paraId="76320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76E79EE7">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743" w:type="dxa"/>
            <w:tcBorders>
              <w:top w:val="single" w:color="auto" w:sz="4" w:space="0"/>
              <w:left w:val="single" w:color="auto" w:sz="4" w:space="0"/>
              <w:bottom w:val="single" w:color="auto" w:sz="4" w:space="0"/>
              <w:right w:val="single" w:color="auto" w:sz="4" w:space="0"/>
            </w:tcBorders>
            <w:noWrap/>
            <w:vAlign w:val="center"/>
          </w:tcPr>
          <w:p w14:paraId="0D8894B5">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磋商报价及费用</w:t>
            </w:r>
          </w:p>
        </w:tc>
        <w:tc>
          <w:tcPr>
            <w:tcW w:w="6840" w:type="dxa"/>
            <w:tcBorders>
              <w:top w:val="single" w:color="auto" w:sz="4" w:space="0"/>
              <w:left w:val="single" w:color="auto" w:sz="4" w:space="0"/>
              <w:bottom w:val="single" w:color="auto" w:sz="4" w:space="0"/>
              <w:right w:val="single" w:color="auto" w:sz="4" w:space="0"/>
            </w:tcBorders>
            <w:noWrap/>
            <w:vAlign w:val="center"/>
          </w:tcPr>
          <w:p w14:paraId="17A5E5F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1.本项目磋商应以人民币报价；</w:t>
            </w:r>
            <w:bookmarkStart w:id="65" w:name="OLE_LINK6"/>
          </w:p>
          <w:bookmarkEnd w:id="65"/>
          <w:p w14:paraId="51DADE62">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2.不论磋商结果如何，供应商均应自行承担所有与磋商有关的全部费用。</w:t>
            </w:r>
          </w:p>
        </w:tc>
      </w:tr>
      <w:tr w14:paraId="51DAA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6D09D24C">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743" w:type="dxa"/>
            <w:tcBorders>
              <w:top w:val="single" w:color="auto" w:sz="4" w:space="0"/>
              <w:left w:val="single" w:color="auto" w:sz="4" w:space="0"/>
              <w:bottom w:val="single" w:color="auto" w:sz="4" w:space="0"/>
              <w:right w:val="single" w:color="auto" w:sz="4" w:space="0"/>
            </w:tcBorders>
            <w:noWrap/>
            <w:vAlign w:val="center"/>
          </w:tcPr>
          <w:p w14:paraId="0B82233B">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磋商保证金</w:t>
            </w:r>
          </w:p>
        </w:tc>
        <w:tc>
          <w:tcPr>
            <w:tcW w:w="6840" w:type="dxa"/>
            <w:tcBorders>
              <w:top w:val="single" w:color="auto" w:sz="4" w:space="0"/>
              <w:left w:val="single" w:color="auto" w:sz="4" w:space="0"/>
              <w:bottom w:val="single" w:color="auto" w:sz="4" w:space="0"/>
              <w:right w:val="single" w:color="auto" w:sz="4" w:space="0"/>
            </w:tcBorders>
            <w:noWrap/>
            <w:vAlign w:val="center"/>
          </w:tcPr>
          <w:p w14:paraId="08AFF3F7">
            <w:pPr>
              <w:adjustRightInd w:val="0"/>
              <w:snapToGrid w:val="0"/>
              <w:spacing w:line="360" w:lineRule="auto"/>
              <w:rPr>
                <w:rFonts w:hint="eastAsia" w:ascii="宋体" w:hAnsi="宋体" w:cs="宋体"/>
                <w:color w:val="auto"/>
                <w:sz w:val="24"/>
                <w:highlight w:val="none"/>
              </w:rPr>
            </w:pPr>
            <w:r>
              <w:rPr>
                <w:rFonts w:hint="eastAsia" w:ascii="宋体" w:hAnsi="宋体" w:cs="宋体"/>
                <w:b/>
                <w:bCs/>
                <w:color w:val="auto"/>
                <w:kern w:val="0"/>
                <w:sz w:val="24"/>
                <w:highlight w:val="none"/>
              </w:rPr>
              <w:t>无</w:t>
            </w:r>
          </w:p>
        </w:tc>
      </w:tr>
      <w:tr w14:paraId="2EE00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5B55CF4B">
            <w:pPr>
              <w:autoSpaceDE w:val="0"/>
              <w:autoSpaceDN w:val="0"/>
              <w:adjustRightInd w:val="0"/>
              <w:snapToGrid w:val="0"/>
              <w:spacing w:line="360" w:lineRule="auto"/>
              <w:jc w:val="center"/>
              <w:rPr>
                <w:rFonts w:hint="eastAsia" w:ascii="宋体" w:hAnsi="宋体"/>
                <w:color w:val="auto"/>
                <w:sz w:val="24"/>
                <w:highlight w:val="none"/>
              </w:rPr>
            </w:pPr>
            <w:r>
              <w:rPr>
                <w:rFonts w:ascii="宋体" w:hAnsi="宋体"/>
                <w:color w:val="auto"/>
                <w:sz w:val="24"/>
                <w:highlight w:val="none"/>
              </w:rPr>
              <w:t>8</w:t>
            </w:r>
          </w:p>
        </w:tc>
        <w:tc>
          <w:tcPr>
            <w:tcW w:w="1743" w:type="dxa"/>
            <w:tcBorders>
              <w:top w:val="single" w:color="auto" w:sz="4" w:space="0"/>
              <w:left w:val="single" w:color="auto" w:sz="4" w:space="0"/>
              <w:bottom w:val="single" w:color="auto" w:sz="4" w:space="0"/>
              <w:right w:val="single" w:color="auto" w:sz="4" w:space="0"/>
            </w:tcBorders>
            <w:noWrap/>
            <w:vAlign w:val="center"/>
          </w:tcPr>
          <w:p w14:paraId="7B598B0F">
            <w:pPr>
              <w:autoSpaceDE w:val="0"/>
              <w:autoSpaceDN w:val="0"/>
              <w:adjustRightInd w:val="0"/>
              <w:snapToGrid w:val="0"/>
              <w:spacing w:line="360" w:lineRule="auto"/>
              <w:jc w:val="center"/>
              <w:rPr>
                <w:rFonts w:ascii="宋体" w:hAnsi="Calibri"/>
                <w:color w:val="auto"/>
                <w:sz w:val="24"/>
                <w:highlight w:val="none"/>
                <w:lang w:val="zh-CN"/>
              </w:rPr>
            </w:pPr>
            <w:r>
              <w:rPr>
                <w:rFonts w:hint="eastAsia" w:ascii="宋体" w:hAnsi="宋体" w:cs="宋体"/>
                <w:color w:val="auto"/>
                <w:sz w:val="24"/>
                <w:highlight w:val="none"/>
              </w:rPr>
              <w:t>采购需求及性能指标</w:t>
            </w:r>
          </w:p>
        </w:tc>
        <w:tc>
          <w:tcPr>
            <w:tcW w:w="6840" w:type="dxa"/>
            <w:tcBorders>
              <w:top w:val="single" w:color="auto" w:sz="4" w:space="0"/>
              <w:left w:val="single" w:color="auto" w:sz="4" w:space="0"/>
              <w:bottom w:val="single" w:color="auto" w:sz="4" w:space="0"/>
              <w:right w:val="single" w:color="auto" w:sz="4" w:space="0"/>
            </w:tcBorders>
            <w:noWrap/>
            <w:vAlign w:val="center"/>
          </w:tcPr>
          <w:p w14:paraId="4B37A035">
            <w:pPr>
              <w:autoSpaceDE w:val="0"/>
              <w:autoSpaceDN w:val="0"/>
              <w:adjustRightInd w:val="0"/>
              <w:snapToGrid w:val="0"/>
              <w:spacing w:line="360" w:lineRule="auto"/>
              <w:jc w:val="left"/>
              <w:rPr>
                <w:rFonts w:ascii="宋体" w:hAnsi="Calibri" w:cs="宋体"/>
                <w:color w:val="auto"/>
                <w:sz w:val="24"/>
                <w:highlight w:val="none"/>
                <w:lang w:val="zh-CN"/>
              </w:rPr>
            </w:pPr>
            <w:r>
              <w:rPr>
                <w:rFonts w:hint="eastAsia" w:ascii="宋体" w:hAnsi="宋体" w:cs="宋体"/>
                <w:color w:val="auto"/>
                <w:sz w:val="24"/>
                <w:highlight w:val="none"/>
              </w:rPr>
              <w:t>详见第二章采购需求</w:t>
            </w:r>
          </w:p>
        </w:tc>
      </w:tr>
      <w:tr w14:paraId="056E3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60898AB4">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743" w:type="dxa"/>
            <w:tcBorders>
              <w:top w:val="single" w:color="auto" w:sz="4" w:space="0"/>
              <w:left w:val="single" w:color="auto" w:sz="4" w:space="0"/>
              <w:bottom w:val="single" w:color="auto" w:sz="4" w:space="0"/>
              <w:right w:val="single" w:color="auto" w:sz="4" w:space="0"/>
            </w:tcBorders>
            <w:noWrap/>
            <w:vAlign w:val="center"/>
          </w:tcPr>
          <w:p w14:paraId="52769B26">
            <w:pPr>
              <w:autoSpaceDE w:val="0"/>
              <w:autoSpaceDN w:val="0"/>
              <w:adjustRightInd w:val="0"/>
              <w:snapToGri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项目属性</w:t>
            </w:r>
          </w:p>
        </w:tc>
        <w:tc>
          <w:tcPr>
            <w:tcW w:w="6840" w:type="dxa"/>
            <w:tcBorders>
              <w:top w:val="single" w:color="auto" w:sz="4" w:space="0"/>
              <w:left w:val="single" w:color="auto" w:sz="4" w:space="0"/>
              <w:bottom w:val="single" w:color="auto" w:sz="4" w:space="0"/>
              <w:right w:val="single" w:color="auto" w:sz="4" w:space="0"/>
            </w:tcBorders>
            <w:noWrap/>
            <w:vAlign w:val="center"/>
          </w:tcPr>
          <w:p w14:paraId="59F5AFCD">
            <w:pPr>
              <w:autoSpaceDE w:val="0"/>
              <w:autoSpaceDN w:val="0"/>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35196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1BDDE54A">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43" w:type="dxa"/>
            <w:tcBorders>
              <w:top w:val="single" w:color="auto" w:sz="4" w:space="0"/>
              <w:left w:val="single" w:color="auto" w:sz="4" w:space="0"/>
              <w:bottom w:val="single" w:color="auto" w:sz="4" w:space="0"/>
              <w:right w:val="single" w:color="auto" w:sz="4" w:space="0"/>
            </w:tcBorders>
            <w:noWrap/>
            <w:vAlign w:val="center"/>
          </w:tcPr>
          <w:p w14:paraId="0DBA9C1A">
            <w:pPr>
              <w:autoSpaceDE w:val="0"/>
              <w:autoSpaceDN w:val="0"/>
              <w:spacing w:line="360" w:lineRule="auto"/>
              <w:jc w:val="center"/>
              <w:rPr>
                <w:rFonts w:hint="eastAsia" w:ascii="宋体" w:hAnsi="宋体" w:cs="宋体"/>
                <w:color w:val="auto"/>
                <w:sz w:val="24"/>
                <w:highlight w:val="none"/>
              </w:rPr>
            </w:pPr>
            <w:r>
              <w:rPr>
                <w:rFonts w:hint="eastAsia" w:ascii="宋体" w:hAnsi="宋体"/>
                <w:b/>
                <w:bCs/>
                <w:color w:val="auto"/>
                <w:sz w:val="24"/>
                <w:highlight w:val="none"/>
                <w:lang w:val="zh-CN"/>
              </w:rPr>
              <w:t>转包与分包</w:t>
            </w:r>
          </w:p>
        </w:tc>
        <w:tc>
          <w:tcPr>
            <w:tcW w:w="6840" w:type="dxa"/>
            <w:tcBorders>
              <w:top w:val="single" w:color="auto" w:sz="4" w:space="0"/>
              <w:left w:val="single" w:color="auto" w:sz="4" w:space="0"/>
              <w:bottom w:val="single" w:color="auto" w:sz="4" w:space="0"/>
              <w:right w:val="single" w:color="auto" w:sz="4" w:space="0"/>
            </w:tcBorders>
            <w:noWrap/>
            <w:vAlign w:val="center"/>
          </w:tcPr>
          <w:p w14:paraId="54ADE346">
            <w:pPr>
              <w:pStyle w:val="13"/>
              <w:spacing w:after="0"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1.本项目不允许转包。</w:t>
            </w:r>
          </w:p>
          <w:p w14:paraId="007811FB">
            <w:pPr>
              <w:pStyle w:val="13"/>
              <w:spacing w:after="0"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2.本项目不可以分包。</w:t>
            </w:r>
          </w:p>
        </w:tc>
      </w:tr>
      <w:tr w14:paraId="53422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35B516D3">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743" w:type="dxa"/>
            <w:tcBorders>
              <w:top w:val="single" w:color="auto" w:sz="4" w:space="0"/>
              <w:left w:val="single" w:color="auto" w:sz="4" w:space="0"/>
              <w:bottom w:val="single" w:color="auto" w:sz="4" w:space="0"/>
              <w:right w:val="single" w:color="auto" w:sz="4" w:space="0"/>
            </w:tcBorders>
            <w:noWrap/>
            <w:vAlign w:val="center"/>
          </w:tcPr>
          <w:p w14:paraId="1C67F995">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现场踏勘</w:t>
            </w:r>
          </w:p>
        </w:tc>
        <w:tc>
          <w:tcPr>
            <w:tcW w:w="6840" w:type="dxa"/>
            <w:tcBorders>
              <w:top w:val="single" w:color="auto" w:sz="4" w:space="0"/>
              <w:left w:val="single" w:color="auto" w:sz="4" w:space="0"/>
              <w:bottom w:val="single" w:color="auto" w:sz="4" w:space="0"/>
              <w:right w:val="single" w:color="auto" w:sz="4" w:space="0"/>
            </w:tcBorders>
            <w:noWrap/>
            <w:vAlign w:val="center"/>
          </w:tcPr>
          <w:p w14:paraId="5C8220CB">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5DCE2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272DF787">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743" w:type="dxa"/>
            <w:tcBorders>
              <w:top w:val="single" w:color="auto" w:sz="4" w:space="0"/>
              <w:left w:val="single" w:color="auto" w:sz="4" w:space="0"/>
              <w:bottom w:val="single" w:color="auto" w:sz="4" w:space="0"/>
              <w:right w:val="single" w:color="auto" w:sz="4" w:space="0"/>
            </w:tcBorders>
            <w:noWrap/>
            <w:vAlign w:val="center"/>
          </w:tcPr>
          <w:p w14:paraId="4A6B151E">
            <w:pPr>
              <w:autoSpaceDE w:val="0"/>
              <w:autoSpaceDN w:val="0"/>
              <w:spacing w:line="360" w:lineRule="auto"/>
              <w:jc w:val="center"/>
              <w:rPr>
                <w:rFonts w:hint="eastAsia" w:ascii="宋体" w:hAnsi="宋体" w:cs="宋体"/>
                <w:color w:val="auto"/>
                <w:sz w:val="24"/>
                <w:highlight w:val="none"/>
              </w:rPr>
            </w:pPr>
            <w:r>
              <w:rPr>
                <w:rFonts w:ascii="宋体" w:hAnsi="宋体"/>
                <w:color w:val="auto"/>
                <w:sz w:val="24"/>
                <w:highlight w:val="none"/>
                <w:lang w:val="zh-CN"/>
              </w:rPr>
              <w:t>演示时间及地点</w:t>
            </w:r>
          </w:p>
        </w:tc>
        <w:tc>
          <w:tcPr>
            <w:tcW w:w="6840" w:type="dxa"/>
            <w:tcBorders>
              <w:top w:val="single" w:color="auto" w:sz="4" w:space="0"/>
              <w:left w:val="single" w:color="auto" w:sz="4" w:space="0"/>
              <w:bottom w:val="single" w:color="auto" w:sz="4" w:space="0"/>
              <w:right w:val="single" w:color="auto" w:sz="4" w:space="0"/>
            </w:tcBorders>
            <w:noWrap/>
            <w:vAlign w:val="center"/>
          </w:tcPr>
          <w:p w14:paraId="5D4A70C6">
            <w:pPr>
              <w:autoSpaceDE w:val="0"/>
              <w:autoSpaceDN w:val="0"/>
              <w:spacing w:line="360" w:lineRule="auto"/>
              <w:rPr>
                <w:color w:val="auto"/>
                <w:sz w:val="24"/>
                <w:highlight w:val="none"/>
              </w:rPr>
            </w:pPr>
            <w:r>
              <w:rPr>
                <w:rFonts w:hint="eastAsia"/>
                <w:b/>
                <w:bCs/>
                <w:color w:val="auto"/>
                <w:sz w:val="24"/>
                <w:highlight w:val="none"/>
              </w:rPr>
              <w:t>/</w:t>
            </w:r>
          </w:p>
        </w:tc>
      </w:tr>
      <w:tr w14:paraId="2A27D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19663935">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743" w:type="dxa"/>
            <w:tcBorders>
              <w:top w:val="single" w:color="auto" w:sz="4" w:space="0"/>
              <w:left w:val="single" w:color="auto" w:sz="4" w:space="0"/>
              <w:bottom w:val="single" w:color="auto" w:sz="4" w:space="0"/>
              <w:right w:val="single" w:color="auto" w:sz="4" w:space="0"/>
            </w:tcBorders>
            <w:noWrap/>
            <w:vAlign w:val="center"/>
          </w:tcPr>
          <w:p w14:paraId="5B6F18AB">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答疑与澄清</w:t>
            </w:r>
          </w:p>
        </w:tc>
        <w:tc>
          <w:tcPr>
            <w:tcW w:w="6840" w:type="dxa"/>
            <w:tcBorders>
              <w:top w:val="single" w:color="auto" w:sz="4" w:space="0"/>
              <w:left w:val="single" w:color="auto" w:sz="4" w:space="0"/>
              <w:bottom w:val="single" w:color="auto" w:sz="4" w:space="0"/>
              <w:right w:val="single" w:color="auto" w:sz="4" w:space="0"/>
            </w:tcBorders>
            <w:noWrap/>
            <w:vAlign w:val="center"/>
          </w:tcPr>
          <w:p w14:paraId="63B85E8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1.供应商应认真阅读本磋商文件，发现其中有误或有不合理要求的，供应商必须在2024年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17：00时前以书面形式要求采购机构澄清（供应商应把握所提疑问是否确需澄清或质疑，相关非实质性问题可以沟通解决的请及时电话联系，以免答疑后影响用户的正常采购进程），采购代理机构对已发出的磋商文件进行必要澄清、答复、修改或补充的，将在磋商文件要求提交磋商响应文件截止时间3日前，在财政部门指定的政府采购信息发布媒体上发布更正公告，并以书面形式通知所有磋商文件收受人。逾期提出的，采购代理机构可不予受理、答复，但法律法规及规范性文件有明确规定的除外。</w:t>
            </w:r>
          </w:p>
          <w:p w14:paraId="4B372E8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2.采购代理机构将以书面形式答复供应商要求澄清的问题，并将不包含问题来源的答复书面通知所有获取磋商文件的供应商；除书面答复以外的其他澄清方式及澄清内容均无效。</w:t>
            </w:r>
          </w:p>
          <w:p w14:paraId="5E698DB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3.磋商文件澄清、答复、修改、补充的内容为磋商文件的组成部分。当磋商文件与磋商文件的答复、澄清、修改、补充通知就同一内容的表述不一致时，以最后发出的书面文件为准。</w:t>
            </w:r>
          </w:p>
          <w:p w14:paraId="77CB2E0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4.磋商文件的澄清、答复、修改或补充都应该通过本采购代理机构以法定形式发布，采购人非通过本机构，不得擅自澄清、答复、修改或补充磋商文件。</w:t>
            </w:r>
          </w:p>
          <w:p w14:paraId="3CDC243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5.因供应商提供联系资料错误等原因导致采购代理机构未能将有关澄清、答复、修改或补充通知送达供应商或通知供应商前来领取的，责任由供应商自负。</w:t>
            </w:r>
          </w:p>
        </w:tc>
      </w:tr>
      <w:tr w14:paraId="1F81E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36C59FF6">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743" w:type="dxa"/>
            <w:tcBorders>
              <w:top w:val="single" w:color="auto" w:sz="4" w:space="0"/>
              <w:left w:val="single" w:color="auto" w:sz="4" w:space="0"/>
              <w:bottom w:val="single" w:color="auto" w:sz="4" w:space="0"/>
              <w:right w:val="single" w:color="auto" w:sz="4" w:space="0"/>
            </w:tcBorders>
            <w:noWrap/>
            <w:vAlign w:val="center"/>
          </w:tcPr>
          <w:p w14:paraId="2DC33EC1">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磋商响应文件的形式、组成和效力</w:t>
            </w:r>
          </w:p>
        </w:tc>
        <w:tc>
          <w:tcPr>
            <w:tcW w:w="6840" w:type="dxa"/>
            <w:tcBorders>
              <w:top w:val="single" w:color="auto" w:sz="4" w:space="0"/>
              <w:left w:val="single" w:color="auto" w:sz="4" w:space="0"/>
              <w:bottom w:val="single" w:color="auto" w:sz="4" w:space="0"/>
              <w:right w:val="single" w:color="auto" w:sz="4" w:space="0"/>
            </w:tcBorders>
            <w:noWrap/>
            <w:vAlign w:val="center"/>
          </w:tcPr>
          <w:p w14:paraId="37A0B45A">
            <w:pPr>
              <w:autoSpaceDE w:val="0"/>
              <w:autoSpaceDN w:val="0"/>
              <w:adjustRightInd w:val="0"/>
              <w:snapToGrid w:val="0"/>
              <w:spacing w:line="360"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1.形式：</w:t>
            </w:r>
            <w:r>
              <w:rPr>
                <w:rFonts w:hint="eastAsia" w:ascii="宋体" w:hAnsi="宋体" w:cs="宋体"/>
                <w:b/>
                <w:bCs/>
                <w:color w:val="auto"/>
                <w:sz w:val="24"/>
                <w:highlight w:val="none"/>
              </w:rPr>
              <w:t>本项目实行全流程网上电子投标</w:t>
            </w:r>
            <w:r>
              <w:rPr>
                <w:rFonts w:hint="eastAsia" w:ascii="宋体" w:hAnsi="宋体" w:cs="宋体"/>
                <w:color w:val="auto"/>
                <w:sz w:val="24"/>
                <w:highlight w:val="none"/>
              </w:rPr>
              <w:t>。</w:t>
            </w:r>
          </w:p>
          <w:p w14:paraId="3FDF0E6C">
            <w:pPr>
              <w:autoSpaceDE w:val="0"/>
              <w:autoSpaceDN w:val="0"/>
              <w:adjustRightInd w:val="0"/>
              <w:snapToGrid w:val="0"/>
              <w:spacing w:line="360"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2.组成：供应商应准备上传</w:t>
            </w:r>
            <w:r>
              <w:rPr>
                <w:rFonts w:hint="eastAsia" w:ascii="宋体" w:hAnsi="宋体" w:cs="宋体"/>
                <w:b/>
                <w:bCs/>
                <w:color w:val="auto"/>
                <w:sz w:val="24"/>
                <w:highlight w:val="none"/>
              </w:rPr>
              <w:t>电子磋商响应文件</w:t>
            </w:r>
            <w:r>
              <w:rPr>
                <w:rFonts w:hint="eastAsia" w:ascii="宋体" w:hAnsi="宋体" w:cs="宋体"/>
                <w:color w:val="auto"/>
                <w:sz w:val="24"/>
                <w:highlight w:val="none"/>
              </w:rPr>
              <w:t>一份。</w:t>
            </w:r>
            <w:r>
              <w:rPr>
                <w:rFonts w:hint="eastAsia" w:ascii="宋体" w:cs="宋体"/>
                <w:b/>
                <w:bCs/>
                <w:color w:val="auto"/>
                <w:sz w:val="24"/>
                <w:highlight w:val="none"/>
              </w:rPr>
              <w:t>如认为需要，供应商可以选择</w:t>
            </w:r>
            <w:r>
              <w:rPr>
                <w:rFonts w:hint="eastAsia" w:ascii="宋体" w:cs="宋体"/>
                <w:b/>
                <w:bCs/>
                <w:color w:val="auto"/>
                <w:sz w:val="24"/>
                <w:highlight w:val="none"/>
                <w:lang w:val="zh-CN"/>
              </w:rPr>
              <w:t>提交以介质存储的数据电文形式的U盘备份磋商响应文件一份和制作纸质备份磋商响应文件一份。</w:t>
            </w:r>
          </w:p>
          <w:p w14:paraId="16DF5AFD">
            <w:pPr>
              <w:autoSpaceDE w:val="0"/>
              <w:autoSpaceDN w:val="0"/>
              <w:adjustRightInd w:val="0"/>
              <w:snapToGrid w:val="0"/>
              <w:spacing w:line="360"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电子磋商响应文件部分</w:t>
            </w:r>
            <w:r>
              <w:rPr>
                <w:rFonts w:hint="eastAsia" w:ascii="宋体" w:hAnsi="宋体" w:cs="宋体"/>
                <w:color w:val="auto"/>
                <w:sz w:val="24"/>
                <w:highlight w:val="none"/>
              </w:rPr>
              <w:t>：供应商应根据“政采云供应商项目采购-电子招投标操作指南”及本磋商文件规定的格式和顺序编制，按电子磋商响应文件要求制作、加密并递交，进行关联定位。</w:t>
            </w:r>
          </w:p>
          <w:p w14:paraId="70FAFC1B">
            <w:pPr>
              <w:autoSpaceDE w:val="0"/>
              <w:autoSpaceDN w:val="0"/>
              <w:adjustRightInd w:val="0"/>
              <w:snapToGrid w:val="0"/>
              <w:spacing w:line="360"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以介质存储的数据电文形式的备份磋商响应文件部分（如有）</w:t>
            </w:r>
            <w:r>
              <w:rPr>
                <w:rFonts w:hint="eastAsia" w:ascii="宋体" w:hAnsi="宋体" w:cs="宋体"/>
                <w:color w:val="auto"/>
                <w:sz w:val="24"/>
                <w:highlight w:val="none"/>
              </w:rPr>
              <w:t>：即电子磋商响应文件的备份文件，按“政采云供应商项目采购-电子招投标操作指南”制作的备份文件。以</w:t>
            </w:r>
            <w:r>
              <w:rPr>
                <w:rFonts w:hint="eastAsia" w:ascii="宋体" w:hAnsi="宋体" w:cs="宋体"/>
                <w:b/>
                <w:bCs/>
                <w:color w:val="auto"/>
                <w:sz w:val="24"/>
                <w:highlight w:val="none"/>
              </w:rPr>
              <w:t>U盘</w:t>
            </w:r>
            <w:r>
              <w:rPr>
                <w:rFonts w:hint="eastAsia" w:ascii="宋体" w:hAnsi="宋体" w:cs="宋体"/>
                <w:color w:val="auto"/>
                <w:sz w:val="24"/>
                <w:highlight w:val="none"/>
              </w:rPr>
              <w:t>形式存储，并单独密封提交。</w:t>
            </w:r>
          </w:p>
          <w:p w14:paraId="495D8AA6">
            <w:pPr>
              <w:autoSpaceDE w:val="0"/>
              <w:autoSpaceDN w:val="0"/>
              <w:adjustRightInd w:val="0"/>
              <w:snapToGrid w:val="0"/>
              <w:spacing w:line="360"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bCs/>
                <w:color w:val="auto"/>
                <w:sz w:val="24"/>
                <w:highlight w:val="none"/>
              </w:rPr>
              <w:t>纸质备份磋商响应文件部分（如有）</w:t>
            </w:r>
            <w:r>
              <w:rPr>
                <w:rFonts w:hint="eastAsia" w:ascii="宋体" w:hAnsi="宋体" w:cs="宋体"/>
                <w:color w:val="auto"/>
                <w:sz w:val="24"/>
                <w:highlight w:val="none"/>
              </w:rPr>
              <w:t>：电子磋商响应文件的备份文件按须知“磋商响应文件的组成”编制，制作成纸质文件，并单独密封提交。</w:t>
            </w:r>
          </w:p>
          <w:p w14:paraId="51F96D40">
            <w:pPr>
              <w:autoSpaceDE w:val="0"/>
              <w:autoSpaceDN w:val="0"/>
              <w:adjustRightInd w:val="0"/>
              <w:snapToGrid w:val="0"/>
              <w:spacing w:line="360"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3.效力：磋商响应文件的启用，按先后顺位分别为电子磋商响应文件、以介质存储的数据电文形式的备份磋商响应文件（U盘）、纸质备份磋商响应文件。在下一顺位的磋商响应文件启用时，前一顺位的磋商响应文件自动失效。</w:t>
            </w:r>
          </w:p>
          <w:p w14:paraId="4F0DB0E0">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（1）电子磋商响应文件未按时解密，供应商提供了备份磋商响应文件的，以备份磋商响应文件作为依据，否则视为磋商响应文件撤回。电子磋商响应文件已按时解密的，备份磋商响应文件自动失效。</w:t>
            </w:r>
          </w:p>
          <w:p w14:paraId="3CEF8E05">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（2）解密失败的异常处理：</w:t>
            </w:r>
          </w:p>
          <w:p w14:paraId="4962D0AC">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①供应商在规定的时间内无法完成已递交的</w:t>
            </w:r>
            <w:r>
              <w:rPr>
                <w:rFonts w:hint="eastAsia" w:ascii="宋体" w:hAnsi="宋体" w:cs="宋体"/>
                <w:b/>
                <w:bCs/>
                <w:color w:val="auto"/>
                <w:sz w:val="24"/>
                <w:highlight w:val="none"/>
                <w:u w:val="single"/>
              </w:rPr>
              <w:t>电子磋商响应文件</w:t>
            </w:r>
            <w:r>
              <w:rPr>
                <w:rFonts w:hint="eastAsia" w:ascii="宋体" w:hAnsi="宋体" w:cs="宋体"/>
                <w:b/>
                <w:bCs/>
                <w:color w:val="auto"/>
                <w:sz w:val="24"/>
                <w:highlight w:val="none"/>
              </w:rPr>
              <w:t>解密的，如已按规定递交了</w:t>
            </w:r>
            <w:r>
              <w:rPr>
                <w:rFonts w:hint="eastAsia" w:ascii="宋体" w:hAnsi="宋体" w:cs="宋体"/>
                <w:b/>
                <w:bCs/>
                <w:color w:val="auto"/>
                <w:sz w:val="24"/>
                <w:highlight w:val="none"/>
                <w:u w:val="single"/>
              </w:rPr>
              <w:t>以介质存储的数据电文形式的备份磋商响应文件（U盘）</w:t>
            </w:r>
            <w:r>
              <w:rPr>
                <w:rFonts w:hint="eastAsia" w:ascii="宋体" w:hAnsi="宋体" w:cs="宋体"/>
                <w:b/>
                <w:bCs/>
                <w:color w:val="auto"/>
                <w:sz w:val="24"/>
                <w:highlight w:val="none"/>
              </w:rPr>
              <w:t>的，将由采购代理机构将其拆封并导入电子交易平台，导入成功后，原</w:t>
            </w:r>
            <w:r>
              <w:rPr>
                <w:rFonts w:hint="eastAsia" w:ascii="宋体" w:hAnsi="宋体" w:cs="宋体"/>
                <w:b/>
                <w:bCs/>
                <w:color w:val="auto"/>
                <w:sz w:val="24"/>
                <w:highlight w:val="none"/>
                <w:u w:val="single"/>
              </w:rPr>
              <w:t>电子磋商响应文件</w:t>
            </w:r>
            <w:r>
              <w:rPr>
                <w:rFonts w:hint="eastAsia" w:ascii="宋体" w:hAnsi="宋体" w:cs="宋体"/>
                <w:b/>
                <w:bCs/>
                <w:color w:val="auto"/>
                <w:sz w:val="24"/>
                <w:highlight w:val="none"/>
              </w:rPr>
              <w:t>自动失效。</w:t>
            </w:r>
          </w:p>
          <w:p w14:paraId="71608A08">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②若因电子交易平台原因（具体原因见下一条款）无法读取或电子开评标无法正常进行，</w:t>
            </w:r>
            <w:r>
              <w:rPr>
                <w:rFonts w:hint="eastAsia"/>
                <w:b/>
                <w:bCs/>
                <w:color w:val="auto"/>
                <w:sz w:val="24"/>
                <w:highlight w:val="none"/>
              </w:rPr>
              <w:t>经财政监管部门确认后，</w:t>
            </w:r>
            <w:r>
              <w:rPr>
                <w:rFonts w:hint="eastAsia" w:ascii="宋体" w:hAnsi="宋体" w:cs="宋体"/>
                <w:b/>
                <w:bCs/>
                <w:color w:val="auto"/>
                <w:sz w:val="24"/>
                <w:highlight w:val="none"/>
              </w:rPr>
              <w:t>采购代理机构将开启所有供应商递交的</w:t>
            </w:r>
            <w:r>
              <w:rPr>
                <w:rFonts w:hint="eastAsia" w:ascii="宋体" w:cs="宋体"/>
                <w:b/>
                <w:bCs/>
                <w:color w:val="auto"/>
                <w:sz w:val="24"/>
                <w:highlight w:val="none"/>
                <w:u w:val="single"/>
                <w:lang w:val="zh-CN"/>
              </w:rPr>
              <w:t>纸质备份磋商响应文件</w:t>
            </w:r>
            <w:r>
              <w:rPr>
                <w:rFonts w:hint="eastAsia" w:ascii="宋体" w:hAnsi="宋体" w:cs="宋体"/>
                <w:b/>
                <w:bCs/>
                <w:color w:val="auto"/>
                <w:sz w:val="24"/>
                <w:highlight w:val="none"/>
              </w:rPr>
              <w:t>，以完成开标，</w:t>
            </w:r>
            <w:r>
              <w:rPr>
                <w:rFonts w:hint="eastAsia" w:ascii="宋体" w:hAnsi="宋体" w:cs="宋体"/>
                <w:b/>
                <w:bCs/>
                <w:color w:val="auto"/>
                <w:sz w:val="24"/>
                <w:highlight w:val="none"/>
                <w:u w:val="single"/>
              </w:rPr>
              <w:t>电子磋商响应文件</w:t>
            </w:r>
            <w:r>
              <w:rPr>
                <w:rFonts w:hint="eastAsia" w:ascii="宋体" w:hAnsi="宋体" w:cs="宋体"/>
                <w:b/>
                <w:bCs/>
                <w:color w:val="auto"/>
                <w:sz w:val="24"/>
                <w:highlight w:val="none"/>
              </w:rPr>
              <w:t>及</w:t>
            </w:r>
            <w:r>
              <w:rPr>
                <w:rFonts w:hint="eastAsia" w:ascii="宋体" w:hAnsi="宋体" w:cs="宋体"/>
                <w:b/>
                <w:bCs/>
                <w:color w:val="auto"/>
                <w:sz w:val="24"/>
                <w:highlight w:val="none"/>
                <w:u w:val="single"/>
              </w:rPr>
              <w:t>以介质存储的数据电文形式的备份磋商响应文件（U盘）</w:t>
            </w:r>
            <w:r>
              <w:rPr>
                <w:rFonts w:hint="eastAsia" w:ascii="宋体" w:hAnsi="宋体" w:cs="宋体"/>
                <w:b/>
                <w:bCs/>
                <w:color w:val="auto"/>
                <w:sz w:val="24"/>
                <w:highlight w:val="none"/>
              </w:rPr>
              <w:t>自动失效。</w:t>
            </w:r>
          </w:p>
          <w:p w14:paraId="19D8AF08">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③采购过程中出现以下情形，导致电子交易平台无法正常运行，或者无法保证电子交易的公平、公正和安全时，采购组织机构可中止电子交易活动：</w:t>
            </w:r>
          </w:p>
          <w:p w14:paraId="1D5C50AD">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1）电子交易平台发生故障而无法登录访问的； </w:t>
            </w:r>
          </w:p>
          <w:p w14:paraId="49AD68ED">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2）电子交易平台应用或数据库出现错误，不能进行正常操作的；</w:t>
            </w:r>
          </w:p>
          <w:p w14:paraId="1F670811">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3）电子交易平台发现严重安全漏洞，有潜在泄密危险的；</w:t>
            </w:r>
          </w:p>
          <w:p w14:paraId="5EFC023C">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4）病毒发作导致不能进行正常操作的； </w:t>
            </w:r>
          </w:p>
          <w:p w14:paraId="73097373">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5）其他无法保证电子交易的公平、公正和安全的情况。</w:t>
            </w:r>
          </w:p>
          <w:p w14:paraId="0C293CAB">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9F12405">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④若因电子交易平台原因导致电子磋商响应文件上传不全、无法打开、显示缺陷等，</w:t>
            </w:r>
            <w:r>
              <w:rPr>
                <w:rFonts w:hint="eastAsia"/>
                <w:b/>
                <w:bCs/>
                <w:color w:val="auto"/>
                <w:sz w:val="24"/>
                <w:highlight w:val="none"/>
              </w:rPr>
              <w:t>经财政监管部门确认后，</w:t>
            </w:r>
            <w:r>
              <w:rPr>
                <w:rFonts w:hint="eastAsia" w:ascii="宋体" w:hAnsi="宋体" w:cs="宋体"/>
                <w:b/>
                <w:bCs/>
                <w:color w:val="auto"/>
                <w:sz w:val="24"/>
                <w:highlight w:val="none"/>
              </w:rPr>
              <w:t>才进行第二、第三效力文件的启用。</w:t>
            </w:r>
          </w:p>
          <w:p w14:paraId="1A00AE97">
            <w:pPr>
              <w:adjustRightInd w:val="0"/>
              <w:snapToGrid w:val="0"/>
              <w:spacing w:line="360" w:lineRule="auto"/>
              <w:jc w:val="left"/>
              <w:rPr>
                <w:rFonts w:hint="eastAsia" w:ascii="宋体" w:hAnsi="宋体" w:cs="宋体"/>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u w:val="single"/>
              </w:rPr>
              <w:t>供应商上传了电子磋商响应文件，但未提供备份磋商响应文件，解密出现问题或电子交易平台出现问题后，由此导致对该供应商响应无法评审的，其后果由该供应商自行承担。</w:t>
            </w:r>
          </w:p>
        </w:tc>
      </w:tr>
      <w:tr w14:paraId="4E7D0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036755FC">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43" w:type="dxa"/>
            <w:tcBorders>
              <w:top w:val="single" w:color="auto" w:sz="4" w:space="0"/>
              <w:left w:val="single" w:color="auto" w:sz="4" w:space="0"/>
              <w:bottom w:val="single" w:color="auto" w:sz="4" w:space="0"/>
              <w:right w:val="single" w:color="auto" w:sz="4" w:space="0"/>
            </w:tcBorders>
            <w:noWrap/>
            <w:vAlign w:val="center"/>
          </w:tcPr>
          <w:p w14:paraId="02613FF8">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pacing w:val="11"/>
                <w:sz w:val="24"/>
                <w:highlight w:val="none"/>
              </w:rPr>
              <w:t>磋商响应文件签字、盖章要求</w:t>
            </w:r>
          </w:p>
        </w:tc>
        <w:tc>
          <w:tcPr>
            <w:tcW w:w="6840" w:type="dxa"/>
            <w:tcBorders>
              <w:top w:val="single" w:color="auto" w:sz="4" w:space="0"/>
              <w:left w:val="single" w:color="auto" w:sz="4" w:space="0"/>
              <w:bottom w:val="single" w:color="auto" w:sz="4" w:space="0"/>
              <w:right w:val="single" w:color="auto" w:sz="4" w:space="0"/>
            </w:tcBorders>
            <w:noWrap/>
            <w:vAlign w:val="center"/>
          </w:tcPr>
          <w:p w14:paraId="3B286829">
            <w:pPr>
              <w:adjustRightInd w:val="0"/>
              <w:snapToGrid w:val="0"/>
              <w:spacing w:line="360" w:lineRule="auto"/>
              <w:rPr>
                <w:rFonts w:hint="eastAsia" w:ascii="宋体" w:hAnsi="宋体" w:cs="宋体"/>
                <w:color w:val="auto"/>
                <w:sz w:val="24"/>
                <w:highlight w:val="none"/>
              </w:rPr>
            </w:pPr>
            <w:r>
              <w:rPr>
                <w:rFonts w:hint="eastAsia" w:ascii="宋体" w:hAnsi="宋体" w:cs="宋体"/>
                <w:b/>
                <w:bCs/>
                <w:color w:val="auto"/>
                <w:spacing w:val="11"/>
                <w:sz w:val="24"/>
                <w:highlight w:val="none"/>
              </w:rPr>
              <w:t>上传的电子磋商响应文件的盖章可采用CA锁电子签章进行，如办理了法人电子锁，法人签字也可以进行电子签章；以介质存储的数据电文形式的备份磋商响应文件（U盘）同上传的电子磋商响应文件；纸质备份磋商响应文件应按磋商文件要求进行签字盖章。</w:t>
            </w:r>
          </w:p>
        </w:tc>
      </w:tr>
      <w:tr w14:paraId="624F7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3924621C">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743" w:type="dxa"/>
            <w:tcBorders>
              <w:top w:val="single" w:color="auto" w:sz="4" w:space="0"/>
              <w:left w:val="single" w:color="auto" w:sz="4" w:space="0"/>
              <w:bottom w:val="single" w:color="auto" w:sz="4" w:space="0"/>
              <w:right w:val="single" w:color="auto" w:sz="4" w:space="0"/>
            </w:tcBorders>
            <w:noWrap/>
            <w:vAlign w:val="center"/>
          </w:tcPr>
          <w:p w14:paraId="7381C63D">
            <w:pPr>
              <w:adjustRightInd w:val="0"/>
              <w:snapToGrid w:val="0"/>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磋商响应文件的分册（装订）要求</w:t>
            </w:r>
          </w:p>
        </w:tc>
        <w:tc>
          <w:tcPr>
            <w:tcW w:w="6840" w:type="dxa"/>
            <w:tcBorders>
              <w:top w:val="single" w:color="auto" w:sz="4" w:space="0"/>
              <w:left w:val="single" w:color="auto" w:sz="4" w:space="0"/>
              <w:bottom w:val="single" w:color="auto" w:sz="4" w:space="0"/>
              <w:right w:val="single" w:color="auto" w:sz="4" w:space="0"/>
            </w:tcBorders>
            <w:noWrap/>
            <w:vAlign w:val="center"/>
          </w:tcPr>
          <w:p w14:paraId="059A8B14">
            <w:pPr>
              <w:adjustRightInd w:val="0"/>
              <w:snapToGrid w:val="0"/>
              <w:spacing w:line="360" w:lineRule="auto"/>
              <w:rPr>
                <w:rFonts w:hint="eastAsia" w:ascii="宋体" w:hAnsi="宋体" w:cs="宋体"/>
                <w:b/>
                <w:bCs/>
                <w:color w:val="auto"/>
                <w:spacing w:val="11"/>
                <w:sz w:val="24"/>
                <w:highlight w:val="none"/>
              </w:rPr>
            </w:pPr>
            <w:r>
              <w:rPr>
                <w:rFonts w:hint="eastAsia" w:ascii="宋体" w:hAnsi="宋体"/>
                <w:color w:val="auto"/>
                <w:sz w:val="24"/>
                <w:highlight w:val="none"/>
                <w:lang w:val="zh-CN"/>
              </w:rPr>
              <w:t>磋商响应文件均由资信商务及技术文件、报价文件两部份组成。供应商需按此要求分册（装订）。</w:t>
            </w:r>
          </w:p>
        </w:tc>
      </w:tr>
      <w:tr w14:paraId="74C9E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0E0DE376">
            <w:pPr>
              <w:adjustRightInd w:val="0"/>
              <w:snapToGrid w:val="0"/>
              <w:spacing w:line="360" w:lineRule="auto"/>
              <w:jc w:val="center"/>
              <w:rPr>
                <w:rFonts w:ascii="宋体"/>
                <w:color w:val="auto"/>
                <w:sz w:val="24"/>
                <w:highlight w:val="none"/>
              </w:rPr>
            </w:pPr>
            <w:r>
              <w:rPr>
                <w:rFonts w:hint="eastAsia" w:ascii="宋体"/>
                <w:color w:val="auto"/>
                <w:sz w:val="24"/>
                <w:highlight w:val="none"/>
              </w:rPr>
              <w:t>17</w:t>
            </w:r>
          </w:p>
        </w:tc>
        <w:tc>
          <w:tcPr>
            <w:tcW w:w="1743" w:type="dxa"/>
            <w:tcBorders>
              <w:top w:val="single" w:color="auto" w:sz="4" w:space="0"/>
              <w:left w:val="single" w:color="auto" w:sz="4" w:space="0"/>
              <w:bottom w:val="single" w:color="auto" w:sz="4" w:space="0"/>
              <w:right w:val="single" w:color="auto" w:sz="4" w:space="0"/>
            </w:tcBorders>
            <w:noWrap/>
            <w:vAlign w:val="center"/>
          </w:tcPr>
          <w:p w14:paraId="1BC0B16A">
            <w:pPr>
              <w:adjustRightInd w:val="0"/>
              <w:snapToGrid w:val="0"/>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磋商响应文件的提交要求</w:t>
            </w:r>
          </w:p>
        </w:tc>
        <w:tc>
          <w:tcPr>
            <w:tcW w:w="6840" w:type="dxa"/>
            <w:tcBorders>
              <w:top w:val="single" w:color="auto" w:sz="4" w:space="0"/>
              <w:left w:val="single" w:color="auto" w:sz="4" w:space="0"/>
              <w:bottom w:val="single" w:color="auto" w:sz="4" w:space="0"/>
              <w:right w:val="single" w:color="auto" w:sz="4" w:space="0"/>
            </w:tcBorders>
            <w:noWrap/>
            <w:vAlign w:val="center"/>
          </w:tcPr>
          <w:p w14:paraId="3AC2DB84">
            <w:pPr>
              <w:adjustRightInd w:val="0"/>
              <w:snapToGrid w:val="0"/>
              <w:spacing w:line="360" w:lineRule="auto"/>
              <w:jc w:val="left"/>
              <w:rPr>
                <w:rFonts w:hint="eastAsia" w:ascii="宋体" w:hAnsi="宋体" w:cs="宋体"/>
                <w:color w:val="auto"/>
                <w:spacing w:val="11"/>
                <w:sz w:val="24"/>
                <w:highlight w:val="none"/>
              </w:rPr>
            </w:pPr>
            <w:r>
              <w:rPr>
                <w:rFonts w:hint="eastAsia" w:ascii="宋体" w:hAnsi="宋体" w:cs="宋体"/>
                <w:color w:val="auto"/>
                <w:spacing w:val="11"/>
                <w:sz w:val="24"/>
                <w:highlight w:val="none"/>
              </w:rPr>
              <w:t>1.电子磋商响应文件，按政采云平台</w:t>
            </w:r>
            <w:r>
              <w:rPr>
                <w:rFonts w:hint="eastAsia" w:ascii="宋体" w:hAnsi="宋体" w:cs="宋体"/>
                <w:b/>
                <w:bCs/>
                <w:color w:val="auto"/>
                <w:spacing w:val="11"/>
                <w:sz w:val="24"/>
                <w:highlight w:val="none"/>
              </w:rPr>
              <w:t>项目采购-电子招投标操作指南</w:t>
            </w:r>
            <w:r>
              <w:rPr>
                <w:rFonts w:hint="eastAsia" w:ascii="宋体" w:hAnsi="宋体" w:cs="宋体"/>
                <w:color w:val="auto"/>
                <w:spacing w:val="11"/>
                <w:sz w:val="24"/>
                <w:highlight w:val="none"/>
              </w:rPr>
              <w:t>及本磋商文件要求递交。</w:t>
            </w:r>
          </w:p>
          <w:p w14:paraId="7CE400F4">
            <w:pPr>
              <w:adjustRightInd w:val="0"/>
              <w:snapToGrid w:val="0"/>
              <w:spacing w:line="360" w:lineRule="auto"/>
              <w:jc w:val="left"/>
              <w:rPr>
                <w:rFonts w:hint="eastAsia" w:ascii="宋体" w:hAnsi="宋体" w:cs="宋体"/>
                <w:color w:val="auto"/>
                <w:spacing w:val="11"/>
                <w:sz w:val="24"/>
                <w:highlight w:val="none"/>
              </w:rPr>
            </w:pPr>
            <w:r>
              <w:rPr>
                <w:rFonts w:hint="eastAsia" w:ascii="宋体" w:hAnsi="宋体" w:cs="宋体"/>
                <w:color w:val="auto"/>
                <w:spacing w:val="11"/>
                <w:sz w:val="24"/>
                <w:highlight w:val="none"/>
              </w:rPr>
              <w:t>2.以介质存储的数据电文形式的备份磋商响应文件</w:t>
            </w:r>
            <w:r>
              <w:rPr>
                <w:rFonts w:hint="eastAsia" w:ascii="宋体" w:hAnsi="宋体" w:cs="宋体"/>
                <w:b/>
                <w:bCs/>
                <w:color w:val="auto"/>
                <w:spacing w:val="11"/>
                <w:sz w:val="24"/>
                <w:highlight w:val="none"/>
              </w:rPr>
              <w:t>（如有）</w:t>
            </w:r>
            <w:r>
              <w:rPr>
                <w:rFonts w:hint="eastAsia" w:ascii="宋体" w:hAnsi="宋体" w:cs="宋体"/>
                <w:color w:val="auto"/>
                <w:spacing w:val="11"/>
                <w:sz w:val="24"/>
                <w:highlight w:val="none"/>
              </w:rPr>
              <w:t>，按政采云平台</w:t>
            </w:r>
            <w:r>
              <w:rPr>
                <w:rFonts w:hint="eastAsia" w:ascii="宋体" w:hAnsi="宋体" w:cs="宋体"/>
                <w:b/>
                <w:bCs/>
                <w:color w:val="auto"/>
                <w:spacing w:val="11"/>
                <w:sz w:val="24"/>
                <w:highlight w:val="none"/>
              </w:rPr>
              <w:t>项目采购-电子招投标操作指南</w:t>
            </w:r>
            <w:r>
              <w:rPr>
                <w:rFonts w:hint="eastAsia" w:ascii="宋体" w:hAnsi="宋体" w:cs="宋体"/>
                <w:color w:val="auto"/>
                <w:spacing w:val="11"/>
                <w:sz w:val="24"/>
                <w:highlight w:val="none"/>
              </w:rPr>
              <w:t>中上传的电子磋商响应文件的组成和格式，以密封的U盘形式提交，数量为1份。</w:t>
            </w:r>
          </w:p>
          <w:p w14:paraId="24C40887">
            <w:pPr>
              <w:adjustRightInd w:val="0"/>
              <w:snapToGrid w:val="0"/>
              <w:spacing w:line="360" w:lineRule="auto"/>
              <w:jc w:val="left"/>
              <w:rPr>
                <w:rFonts w:hint="eastAsia" w:ascii="宋体" w:hAnsi="宋体" w:cs="宋体"/>
                <w:color w:val="auto"/>
                <w:spacing w:val="11"/>
                <w:sz w:val="24"/>
                <w:highlight w:val="none"/>
              </w:rPr>
            </w:pPr>
            <w:r>
              <w:rPr>
                <w:rFonts w:hint="eastAsia" w:ascii="宋体" w:hAnsi="宋体" w:cs="宋体"/>
                <w:color w:val="auto"/>
                <w:spacing w:val="11"/>
                <w:sz w:val="24"/>
                <w:highlight w:val="none"/>
              </w:rPr>
              <w:t>3.纸质备份磋商响应文件</w:t>
            </w:r>
            <w:r>
              <w:rPr>
                <w:rFonts w:hint="eastAsia" w:ascii="宋体" w:hAnsi="宋体" w:cs="宋体"/>
                <w:b/>
                <w:bCs/>
                <w:color w:val="auto"/>
                <w:spacing w:val="11"/>
                <w:sz w:val="24"/>
                <w:highlight w:val="none"/>
              </w:rPr>
              <w:t>（如有），</w:t>
            </w:r>
            <w:r>
              <w:rPr>
                <w:rFonts w:hint="eastAsia" w:ascii="宋体" w:hAnsi="宋体" w:cs="宋体"/>
                <w:color w:val="auto"/>
                <w:spacing w:val="11"/>
                <w:sz w:val="24"/>
                <w:highlight w:val="none"/>
              </w:rPr>
              <w:t>应以密封的纸质文件的形式提交。数量为：正本1份，建议正反面打印。每册装订应牢固、不易拆散和换页，不得采用活页装订。（报价文件必须单独密封装订，报价文件未单独密封造成无效标的风险由供应商自行承担）</w:t>
            </w:r>
          </w:p>
          <w:p w14:paraId="1440BCB8">
            <w:pPr>
              <w:adjustRightInd w:val="0"/>
              <w:snapToGrid w:val="0"/>
              <w:spacing w:line="360" w:lineRule="auto"/>
              <w:jc w:val="left"/>
              <w:rPr>
                <w:rFonts w:hint="eastAsia" w:ascii="宋体" w:hAnsi="宋体" w:cs="宋体"/>
                <w:color w:val="auto"/>
                <w:spacing w:val="11"/>
                <w:sz w:val="24"/>
                <w:highlight w:val="none"/>
              </w:rPr>
            </w:pPr>
            <w:r>
              <w:rPr>
                <w:rFonts w:hint="eastAsia" w:ascii="宋体" w:hAnsi="宋体" w:cs="宋体"/>
                <w:color w:val="auto"/>
                <w:spacing w:val="11"/>
                <w:sz w:val="24"/>
                <w:highlight w:val="none"/>
              </w:rPr>
              <w:t>4.外包装和密封要求：磋商响应文件的外包装封口处加盖供应商单位公章。</w:t>
            </w:r>
          </w:p>
          <w:p w14:paraId="6E000302">
            <w:pPr>
              <w:adjustRightInd w:val="0"/>
              <w:snapToGrid w:val="0"/>
              <w:spacing w:line="360" w:lineRule="auto"/>
              <w:jc w:val="left"/>
              <w:rPr>
                <w:rFonts w:hint="eastAsia" w:ascii="宋体" w:hAnsi="宋体" w:cs="宋体"/>
                <w:color w:val="auto"/>
                <w:spacing w:val="11"/>
                <w:sz w:val="24"/>
                <w:highlight w:val="none"/>
              </w:rPr>
            </w:pPr>
            <w:r>
              <w:rPr>
                <w:rFonts w:hint="eastAsia" w:ascii="宋体" w:hAnsi="宋体" w:cs="宋体"/>
                <w:color w:val="auto"/>
                <w:spacing w:val="11"/>
                <w:sz w:val="24"/>
                <w:highlight w:val="none"/>
              </w:rPr>
              <w:t>5.磋商响应文件均由</w:t>
            </w:r>
            <w:r>
              <w:rPr>
                <w:rFonts w:hint="eastAsia" w:ascii="宋体" w:hAnsi="宋体" w:cs="宋体"/>
                <w:b/>
                <w:bCs/>
                <w:color w:val="auto"/>
                <w:spacing w:val="11"/>
                <w:sz w:val="24"/>
                <w:highlight w:val="none"/>
                <w:u w:val="single"/>
              </w:rPr>
              <w:t>资信商务及技术文件</w:t>
            </w:r>
            <w:r>
              <w:rPr>
                <w:rFonts w:hint="eastAsia" w:ascii="宋体" w:hAnsi="宋体" w:cs="宋体"/>
                <w:color w:val="auto"/>
                <w:spacing w:val="11"/>
                <w:sz w:val="24"/>
                <w:highlight w:val="none"/>
              </w:rPr>
              <w:t>和</w:t>
            </w:r>
            <w:r>
              <w:rPr>
                <w:rFonts w:hint="eastAsia" w:ascii="宋体" w:hAnsi="宋体" w:cs="宋体"/>
                <w:b/>
                <w:bCs/>
                <w:color w:val="auto"/>
                <w:spacing w:val="11"/>
                <w:sz w:val="24"/>
                <w:highlight w:val="none"/>
                <w:u w:val="single"/>
              </w:rPr>
              <w:t>报价文件</w:t>
            </w:r>
            <w:r>
              <w:rPr>
                <w:rFonts w:hint="eastAsia" w:ascii="宋体" w:hAnsi="宋体" w:cs="宋体"/>
                <w:color w:val="auto"/>
                <w:spacing w:val="11"/>
                <w:sz w:val="24"/>
                <w:highlight w:val="none"/>
              </w:rPr>
              <w:t>两部分组成。</w:t>
            </w:r>
          </w:p>
        </w:tc>
      </w:tr>
      <w:tr w14:paraId="5CD84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43AE1846">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1743" w:type="dxa"/>
            <w:tcBorders>
              <w:top w:val="single" w:color="auto" w:sz="4" w:space="0"/>
              <w:left w:val="single" w:color="auto" w:sz="4" w:space="0"/>
              <w:bottom w:val="single" w:color="auto" w:sz="4" w:space="0"/>
              <w:right w:val="single" w:color="auto" w:sz="4" w:space="0"/>
            </w:tcBorders>
            <w:noWrap/>
            <w:vAlign w:val="center"/>
          </w:tcPr>
          <w:p w14:paraId="7650B34A">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响应文件提交（上传）的截止时间、地点</w:t>
            </w:r>
          </w:p>
        </w:tc>
        <w:tc>
          <w:tcPr>
            <w:tcW w:w="6840" w:type="dxa"/>
            <w:tcBorders>
              <w:top w:val="single" w:color="auto" w:sz="4" w:space="0"/>
              <w:left w:val="single" w:color="auto" w:sz="4" w:space="0"/>
              <w:bottom w:val="single" w:color="auto" w:sz="4" w:space="0"/>
              <w:right w:val="single" w:color="auto" w:sz="4" w:space="0"/>
            </w:tcBorders>
            <w:noWrap/>
            <w:vAlign w:val="center"/>
          </w:tcPr>
          <w:p w14:paraId="2979F45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shd w:val="clear" w:color="auto" w:fill="FFFFFF"/>
              </w:rPr>
              <w:t>2024年</w:t>
            </w:r>
            <w:r>
              <w:rPr>
                <w:rFonts w:hint="eastAsia" w:ascii="宋体" w:hAnsi="宋体" w:cs="宋体"/>
                <w:color w:val="auto"/>
                <w:sz w:val="24"/>
                <w:highlight w:val="none"/>
                <w:u w:val="single"/>
                <w:shd w:val="clear" w:color="auto" w:fill="FFFFFF"/>
                <w:lang w:val="en-US" w:eastAsia="zh-CN"/>
              </w:rPr>
              <w:t>10</w:t>
            </w:r>
            <w:r>
              <w:rPr>
                <w:rFonts w:hint="eastAsia" w:ascii="宋体" w:hAnsi="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25</w:t>
            </w:r>
            <w:r>
              <w:rPr>
                <w:rFonts w:hint="eastAsia" w:ascii="宋体" w:hAnsi="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14</w:t>
            </w:r>
            <w:r>
              <w:rPr>
                <w:rFonts w:hint="eastAsia" w:ascii="宋体" w:hAnsi="宋体" w:cs="宋体"/>
                <w:color w:val="auto"/>
                <w:sz w:val="24"/>
                <w:highlight w:val="none"/>
                <w:u w:val="single"/>
                <w:shd w:val="clear" w:color="auto" w:fill="FFFFFF"/>
              </w:rPr>
              <w:t>:00时（北京时间）</w:t>
            </w:r>
          </w:p>
          <w:p w14:paraId="3361FC7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地点（网址）：</w:t>
            </w:r>
            <w:r>
              <w:rPr>
                <w:rFonts w:hint="eastAsia" w:ascii="宋体" w:hAnsi="宋体" w:cs="宋体"/>
                <w:color w:val="auto"/>
                <w:sz w:val="24"/>
                <w:highlight w:val="none"/>
                <w:u w:val="single"/>
                <w:shd w:val="clear" w:color="FFFFFF" w:fill="auto"/>
              </w:rPr>
              <w:t>长兴县市民服务中心四楼（长兴县锦绣路8号）公共资源交易中心开标室（届时详见四楼大屏公告栏）</w:t>
            </w:r>
            <w:r>
              <w:rPr>
                <w:rFonts w:hint="eastAsia" w:ascii="宋体"/>
                <w:color w:val="auto"/>
                <w:sz w:val="24"/>
                <w:highlight w:val="none"/>
                <w:u w:val="single"/>
              </w:rPr>
              <w:t>（网址：通过“政府采购云平台（www.zcygov.cn）”实行在线投标响应。 ）</w:t>
            </w:r>
          </w:p>
        </w:tc>
      </w:tr>
      <w:tr w14:paraId="266F5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8"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0A276CD0">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1743" w:type="dxa"/>
            <w:tcBorders>
              <w:top w:val="single" w:color="auto" w:sz="4" w:space="0"/>
              <w:left w:val="single" w:color="auto" w:sz="4" w:space="0"/>
              <w:bottom w:val="single" w:color="auto" w:sz="4" w:space="0"/>
              <w:right w:val="single" w:color="auto" w:sz="4" w:space="0"/>
            </w:tcBorders>
            <w:noWrap/>
            <w:vAlign w:val="center"/>
          </w:tcPr>
          <w:p w14:paraId="71BB9ECC">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磋商响应文件的接收</w:t>
            </w:r>
          </w:p>
        </w:tc>
        <w:tc>
          <w:tcPr>
            <w:tcW w:w="6840" w:type="dxa"/>
            <w:tcBorders>
              <w:top w:val="single" w:color="auto" w:sz="4" w:space="0"/>
              <w:left w:val="single" w:color="auto" w:sz="4" w:space="0"/>
              <w:bottom w:val="single" w:color="auto" w:sz="4" w:space="0"/>
              <w:right w:val="single" w:color="auto" w:sz="4" w:space="0"/>
            </w:tcBorders>
            <w:noWrap/>
            <w:vAlign w:val="center"/>
          </w:tcPr>
          <w:p w14:paraId="1987255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供应商应当在响应截止时间前完成电子磋商响应文件的传输递交，并可以补充、修改或者撤回电子磋商响应文件。补充或者修改电子磋商响应文件的，应当先行撤回原文件，补充、修改后重新传输递交。响应截止时间前未完成传输的，视为撤回磋商响应文件。响应截止时间后递交的磋商响应文件，将被政采云平台拒收。</w:t>
            </w:r>
          </w:p>
          <w:p w14:paraId="42E48E71">
            <w:pPr>
              <w:autoSpaceDE w:val="0"/>
              <w:autoSpaceDN w:val="0"/>
              <w:adjustRightInd w:val="0"/>
              <w:snapToGrid w:val="0"/>
              <w:spacing w:line="360" w:lineRule="auto"/>
              <w:jc w:val="left"/>
              <w:rPr>
                <w:rFonts w:ascii="宋体" w:cs="宋体"/>
                <w:color w:val="auto"/>
                <w:sz w:val="24"/>
                <w:highlight w:val="none"/>
                <w:lang w:val="zh-CN"/>
              </w:rPr>
            </w:pPr>
            <w:r>
              <w:rPr>
                <w:rFonts w:hint="eastAsia" w:ascii="宋体" w:cs="宋体"/>
                <w:color w:val="auto"/>
                <w:sz w:val="24"/>
                <w:highlight w:val="none"/>
              </w:rPr>
              <w:t>2.</w:t>
            </w:r>
            <w:r>
              <w:rPr>
                <w:rFonts w:hint="eastAsia" w:ascii="宋体" w:cs="宋体"/>
                <w:b/>
                <w:bCs/>
                <w:color w:val="auto"/>
                <w:sz w:val="24"/>
                <w:highlight w:val="none"/>
                <w:lang w:val="zh-CN"/>
              </w:rPr>
              <w:t>在响应截止时间前，</w:t>
            </w:r>
            <w:r>
              <w:rPr>
                <w:rFonts w:hint="eastAsia" w:ascii="宋体" w:cs="宋体"/>
                <w:b/>
                <w:bCs/>
                <w:color w:val="auto"/>
                <w:sz w:val="24"/>
                <w:highlight w:val="none"/>
              </w:rPr>
              <w:t>如认为需要，供应商可以选择</w:t>
            </w:r>
            <w:r>
              <w:rPr>
                <w:rFonts w:hint="eastAsia" w:ascii="宋体" w:cs="宋体"/>
                <w:b/>
                <w:bCs/>
                <w:color w:val="auto"/>
                <w:sz w:val="24"/>
                <w:highlight w:val="none"/>
                <w:lang w:val="zh-CN"/>
              </w:rPr>
              <w:t>提交以介质存储的数据电文形式的U盘备份磋商响应文件一份和制作纸质备份磋商响应文件一份</w:t>
            </w:r>
            <w:r>
              <w:rPr>
                <w:rFonts w:hint="eastAsia" w:ascii="宋体" w:cs="宋体"/>
                <w:color w:val="auto"/>
                <w:sz w:val="24"/>
                <w:highlight w:val="none"/>
                <w:lang w:val="zh-CN"/>
              </w:rPr>
              <w:t>。U盘备份</w:t>
            </w:r>
            <w:r>
              <w:rPr>
                <w:rFonts w:hint="eastAsia" w:ascii="宋体" w:cs="宋体"/>
                <w:color w:val="auto"/>
                <w:sz w:val="24"/>
                <w:highlight w:val="none"/>
              </w:rPr>
              <w:t>磋商响应文件</w:t>
            </w:r>
            <w:r>
              <w:rPr>
                <w:rFonts w:hint="eastAsia" w:ascii="宋体" w:cs="宋体"/>
                <w:color w:val="auto"/>
                <w:sz w:val="24"/>
                <w:highlight w:val="none"/>
                <w:lang w:val="zh-CN"/>
              </w:rPr>
              <w:t>和纸质备份磋商响应文件建议采用顺丰快递邮寄方式提交，地址：浙江华元工程咨询有限公司（长兴县浙北商业广场11幢201），收件人：章工，联系电话：18805826367 ，由采购代理机构统一负责接收，接收截止时间（以签收时间为准）：</w:t>
            </w:r>
            <w:r>
              <w:rPr>
                <w:rFonts w:ascii="宋体" w:cs="宋体"/>
                <w:b/>
                <w:bCs/>
                <w:color w:val="auto"/>
                <w:sz w:val="24"/>
                <w:highlight w:val="none"/>
                <w:lang w:val="zh-CN"/>
              </w:rPr>
              <w:t>202</w:t>
            </w:r>
            <w:r>
              <w:rPr>
                <w:rFonts w:ascii="宋体" w:cs="宋体"/>
                <w:b/>
                <w:bCs/>
                <w:color w:val="auto"/>
                <w:sz w:val="24"/>
                <w:highlight w:val="none"/>
              </w:rPr>
              <w:t>4</w:t>
            </w:r>
            <w:r>
              <w:rPr>
                <w:rFonts w:hint="eastAsia" w:ascii="宋体" w:cs="宋体"/>
                <w:b/>
                <w:bCs/>
                <w:color w:val="auto"/>
                <w:sz w:val="24"/>
                <w:highlight w:val="none"/>
                <w:lang w:val="zh-CN"/>
              </w:rPr>
              <w:t>年</w:t>
            </w:r>
            <w:r>
              <w:rPr>
                <w:rFonts w:hint="eastAsia" w:ascii="宋体" w:cs="宋体"/>
                <w:b/>
                <w:bCs/>
                <w:color w:val="auto"/>
                <w:sz w:val="24"/>
                <w:highlight w:val="none"/>
                <w:lang w:val="en-US" w:eastAsia="zh-CN"/>
              </w:rPr>
              <w:t>10</w:t>
            </w:r>
            <w:r>
              <w:rPr>
                <w:rFonts w:hint="eastAsia" w:ascii="宋体" w:cs="宋体"/>
                <w:b/>
                <w:bCs/>
                <w:color w:val="auto"/>
                <w:sz w:val="24"/>
                <w:highlight w:val="none"/>
                <w:lang w:val="zh-CN"/>
              </w:rPr>
              <w:t>月</w:t>
            </w:r>
            <w:r>
              <w:rPr>
                <w:rFonts w:hint="eastAsia" w:ascii="宋体" w:cs="宋体"/>
                <w:b/>
                <w:bCs/>
                <w:color w:val="auto"/>
                <w:sz w:val="24"/>
                <w:highlight w:val="none"/>
                <w:lang w:val="en-US" w:eastAsia="zh-CN"/>
              </w:rPr>
              <w:t>25</w:t>
            </w:r>
            <w:r>
              <w:rPr>
                <w:rFonts w:hint="eastAsia" w:ascii="宋体" w:cs="宋体"/>
                <w:b/>
                <w:bCs/>
                <w:color w:val="auto"/>
                <w:sz w:val="24"/>
                <w:highlight w:val="none"/>
                <w:lang w:val="zh-CN"/>
              </w:rPr>
              <w:t>日</w:t>
            </w:r>
            <w:r>
              <w:rPr>
                <w:rFonts w:ascii="宋体" w:cs="宋体"/>
                <w:b/>
                <w:bCs/>
                <w:color w:val="auto"/>
                <w:sz w:val="24"/>
                <w:highlight w:val="none"/>
              </w:rPr>
              <w:t>11:00</w:t>
            </w:r>
            <w:r>
              <w:rPr>
                <w:rFonts w:hint="eastAsia" w:ascii="宋体" w:cs="宋体"/>
                <w:b/>
                <w:bCs/>
                <w:color w:val="auto"/>
                <w:sz w:val="24"/>
                <w:highlight w:val="none"/>
                <w:lang w:val="zh-CN"/>
              </w:rPr>
              <w:t>时前</w:t>
            </w:r>
            <w:r>
              <w:rPr>
                <w:rFonts w:hint="eastAsia" w:ascii="宋体" w:cs="宋体"/>
                <w:color w:val="auto"/>
                <w:sz w:val="24"/>
                <w:highlight w:val="none"/>
                <w:lang w:val="zh-CN"/>
              </w:rPr>
              <w:t>。</w:t>
            </w:r>
          </w:p>
          <w:p w14:paraId="6290B1B4">
            <w:pPr>
              <w:adjustRightInd w:val="0"/>
              <w:snapToGrid w:val="0"/>
              <w:spacing w:line="360" w:lineRule="auto"/>
              <w:rPr>
                <w:rFonts w:hint="eastAsia" w:ascii="宋体" w:hAnsi="宋体" w:cs="宋体"/>
                <w:color w:val="auto"/>
                <w:sz w:val="24"/>
                <w:highlight w:val="none"/>
              </w:rPr>
            </w:pPr>
            <w:r>
              <w:rPr>
                <w:rFonts w:hint="eastAsia" w:ascii="宋体" w:cs="宋体"/>
                <w:color w:val="auto"/>
                <w:sz w:val="24"/>
                <w:highlight w:val="none"/>
              </w:rPr>
              <w:t>3.</w:t>
            </w:r>
            <w:r>
              <w:rPr>
                <w:rFonts w:hint="eastAsia" w:ascii="宋体" w:cs="宋体"/>
                <w:color w:val="auto"/>
                <w:sz w:val="24"/>
                <w:highlight w:val="none"/>
                <w:lang w:val="zh-CN"/>
              </w:rPr>
              <w:t>供应商</w:t>
            </w:r>
            <w:r>
              <w:rPr>
                <w:rFonts w:hint="eastAsia" w:ascii="宋体" w:cs="宋体"/>
                <w:color w:val="auto"/>
                <w:sz w:val="24"/>
                <w:highlight w:val="none"/>
              </w:rPr>
              <w:t>应</w:t>
            </w:r>
            <w:r>
              <w:rPr>
                <w:rFonts w:hint="eastAsia" w:ascii="宋体" w:cs="宋体"/>
                <w:color w:val="auto"/>
                <w:sz w:val="24"/>
                <w:highlight w:val="none"/>
                <w:lang w:val="zh-CN"/>
              </w:rPr>
              <w:t>留足响应文件邮寄时间,确保备份磋商响应文件于接收截止时间前送达指定地点，逾期送达或未密封将被拒收。供应商自行承担所有风险和由此带来的后果。</w:t>
            </w:r>
          </w:p>
          <w:p w14:paraId="6B1C6254">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4.供应商递交备份磋商响应文件，出现下列情况之一的，将被拒收：</w:t>
            </w:r>
          </w:p>
          <w:p w14:paraId="31888E8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（1）未按规定密封的；</w:t>
            </w:r>
          </w:p>
          <w:p w14:paraId="7FFE707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（2）由于包装不妥，在送交途中严重破损或失散的；</w:t>
            </w:r>
          </w:p>
          <w:p w14:paraId="5BC6701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（3）逾期送达的。</w:t>
            </w:r>
          </w:p>
          <w:p w14:paraId="4F025D2E">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5.仅提供备份磋商响应文件的响应无效。未提供或仅提供其中一种形式的备份磋商响应文件，造成项目磋商、评标活动无法进行下去的，响应无效，相关风险由供应商自行承担。</w:t>
            </w:r>
          </w:p>
        </w:tc>
      </w:tr>
      <w:tr w14:paraId="57C69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7D48231C">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743" w:type="dxa"/>
            <w:tcBorders>
              <w:top w:val="single" w:color="auto" w:sz="4" w:space="0"/>
              <w:left w:val="single" w:color="auto" w:sz="4" w:space="0"/>
              <w:bottom w:val="single" w:color="auto" w:sz="4" w:space="0"/>
              <w:right w:val="single" w:color="auto" w:sz="4" w:space="0"/>
            </w:tcBorders>
            <w:noWrap/>
            <w:vAlign w:val="center"/>
          </w:tcPr>
          <w:p w14:paraId="6A499957">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响应文件开启时间、地点</w:t>
            </w:r>
          </w:p>
        </w:tc>
        <w:tc>
          <w:tcPr>
            <w:tcW w:w="6840" w:type="dxa"/>
            <w:tcBorders>
              <w:top w:val="single" w:color="auto" w:sz="4" w:space="0"/>
              <w:left w:val="single" w:color="auto" w:sz="4" w:space="0"/>
              <w:bottom w:val="single" w:color="auto" w:sz="4" w:space="0"/>
              <w:right w:val="single" w:color="auto" w:sz="4" w:space="0"/>
            </w:tcBorders>
            <w:noWrap/>
            <w:vAlign w:val="center"/>
          </w:tcPr>
          <w:p w14:paraId="3C97562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开启时间：</w:t>
            </w:r>
            <w:r>
              <w:rPr>
                <w:rFonts w:hint="eastAsia" w:ascii="宋体" w:hAnsi="宋体" w:cs="宋体"/>
                <w:color w:val="auto"/>
                <w:sz w:val="24"/>
                <w:highlight w:val="none"/>
                <w:u w:val="single"/>
                <w:shd w:val="clear" w:color="auto" w:fill="FFFFFF"/>
              </w:rPr>
              <w:t>2024年</w:t>
            </w:r>
            <w:r>
              <w:rPr>
                <w:rFonts w:hint="eastAsia" w:ascii="宋体" w:hAnsi="宋体" w:cs="宋体"/>
                <w:color w:val="auto"/>
                <w:sz w:val="24"/>
                <w:highlight w:val="none"/>
                <w:u w:val="single"/>
                <w:shd w:val="clear" w:color="auto" w:fill="FFFFFF"/>
                <w:lang w:val="en-US" w:eastAsia="zh-CN"/>
              </w:rPr>
              <w:t>10</w:t>
            </w:r>
            <w:r>
              <w:rPr>
                <w:rFonts w:hint="eastAsia" w:ascii="宋体" w:hAnsi="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25</w:t>
            </w:r>
            <w:r>
              <w:rPr>
                <w:rFonts w:hint="eastAsia" w:ascii="宋体" w:hAnsi="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14</w:t>
            </w:r>
            <w:r>
              <w:rPr>
                <w:rFonts w:hint="eastAsia" w:ascii="宋体" w:hAnsi="宋体" w:cs="宋体"/>
                <w:color w:val="auto"/>
                <w:sz w:val="24"/>
                <w:highlight w:val="none"/>
                <w:u w:val="single"/>
                <w:shd w:val="clear" w:color="auto" w:fill="FFFFFF"/>
              </w:rPr>
              <w:t>:00时（北京时间）</w:t>
            </w:r>
          </w:p>
          <w:p w14:paraId="5E0F0FE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地点（网址）：</w:t>
            </w:r>
            <w:r>
              <w:rPr>
                <w:rFonts w:hint="eastAsia" w:ascii="宋体" w:hAnsi="宋体" w:cs="宋体"/>
                <w:color w:val="auto"/>
                <w:sz w:val="24"/>
                <w:highlight w:val="none"/>
                <w:u w:val="single"/>
                <w:shd w:val="clear" w:color="FFFFFF" w:fill="D9D9D9"/>
              </w:rPr>
              <w:t>长兴县市民服务中心四楼（长兴县锦绣路8号）公共资源交易中心开标室（届时详见四楼大屏公告栏）</w:t>
            </w:r>
            <w:r>
              <w:rPr>
                <w:rFonts w:hint="eastAsia" w:ascii="宋体"/>
                <w:color w:val="auto"/>
                <w:sz w:val="24"/>
                <w:highlight w:val="none"/>
                <w:u w:val="single"/>
              </w:rPr>
              <w:t>（网址：通过“政府采购云平台（www.zcygov.cn）”实行在线投标响应。）</w:t>
            </w:r>
          </w:p>
        </w:tc>
      </w:tr>
      <w:tr w14:paraId="41227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2A55588A">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743" w:type="dxa"/>
            <w:tcBorders>
              <w:top w:val="single" w:color="auto" w:sz="4" w:space="0"/>
              <w:left w:val="single" w:color="auto" w:sz="4" w:space="0"/>
              <w:bottom w:val="single" w:color="auto" w:sz="4" w:space="0"/>
              <w:right w:val="single" w:color="auto" w:sz="4" w:space="0"/>
            </w:tcBorders>
            <w:noWrap/>
            <w:vAlign w:val="center"/>
          </w:tcPr>
          <w:p w14:paraId="197082BF">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磋商代表出席磋商会的要求</w:t>
            </w:r>
          </w:p>
        </w:tc>
        <w:tc>
          <w:tcPr>
            <w:tcW w:w="6840" w:type="dxa"/>
            <w:tcBorders>
              <w:top w:val="single" w:color="auto" w:sz="4" w:space="0"/>
              <w:left w:val="single" w:color="auto" w:sz="4" w:space="0"/>
              <w:bottom w:val="single" w:color="auto" w:sz="4" w:space="0"/>
              <w:right w:val="single" w:color="auto" w:sz="4" w:space="0"/>
            </w:tcBorders>
            <w:noWrap/>
            <w:vAlign w:val="center"/>
          </w:tcPr>
          <w:p w14:paraId="585D3339">
            <w:pPr>
              <w:adjustRightInd w:val="0"/>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1.本项目采取“不见面”形式进行开评标活动，法定代表人或其授权委托人无须到场，通过政采云平台在线响应，并保持电话畅通。</w:t>
            </w:r>
          </w:p>
          <w:p w14:paraId="05EEC602">
            <w:pPr>
              <w:pStyle w:val="13"/>
              <w:adjustRightInd w:val="0"/>
              <w:snapToGrid w:val="0"/>
              <w:spacing w:after="0"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供应商应当准时在线参加。供应商需自备可联网电脑和CA锁，在响应截止时间后，用CA锁登录政采云平台，用“项目采购-开标评标”功能对电子磋商响应文件进行在线解密(详见流程https://edu.zcygov.cn/luban/e-biding)。在线解密电子磋商响应文件时间为发出【开始解密】通知后30分钟内。</w:t>
            </w:r>
          </w:p>
        </w:tc>
      </w:tr>
      <w:tr w14:paraId="180C8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179D16F0">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1743" w:type="dxa"/>
            <w:tcBorders>
              <w:top w:val="single" w:color="auto" w:sz="4" w:space="0"/>
              <w:left w:val="single" w:color="auto" w:sz="4" w:space="0"/>
              <w:bottom w:val="single" w:color="auto" w:sz="4" w:space="0"/>
              <w:right w:val="single" w:color="auto" w:sz="4" w:space="0"/>
            </w:tcBorders>
            <w:noWrap/>
            <w:vAlign w:val="center"/>
          </w:tcPr>
          <w:p w14:paraId="49CFC3E2">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成交办法</w:t>
            </w:r>
          </w:p>
        </w:tc>
        <w:tc>
          <w:tcPr>
            <w:tcW w:w="6840" w:type="dxa"/>
            <w:tcBorders>
              <w:top w:val="single" w:color="auto" w:sz="4" w:space="0"/>
              <w:left w:val="single" w:color="auto" w:sz="4" w:space="0"/>
              <w:bottom w:val="single" w:color="auto" w:sz="4" w:space="0"/>
              <w:right w:val="single" w:color="auto" w:sz="4" w:space="0"/>
            </w:tcBorders>
            <w:noWrap/>
            <w:vAlign w:val="center"/>
          </w:tcPr>
          <w:p w14:paraId="0D96BD58">
            <w:pPr>
              <w:autoSpaceDE w:val="0"/>
              <w:autoSpaceDN w:val="0"/>
              <w:adjustRightInd w:val="0"/>
              <w:snapToGrid w:val="0"/>
              <w:spacing w:line="360"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本次竞争性磋商采用符合要求和服务，综合得分最高的确定成交人。</w:t>
            </w:r>
          </w:p>
        </w:tc>
      </w:tr>
      <w:tr w14:paraId="654F6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127370B8">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1743" w:type="dxa"/>
            <w:tcBorders>
              <w:top w:val="single" w:color="auto" w:sz="4" w:space="0"/>
              <w:left w:val="single" w:color="auto" w:sz="4" w:space="0"/>
              <w:bottom w:val="single" w:color="auto" w:sz="4" w:space="0"/>
              <w:right w:val="single" w:color="auto" w:sz="4" w:space="0"/>
            </w:tcBorders>
            <w:noWrap/>
            <w:vAlign w:val="center"/>
          </w:tcPr>
          <w:p w14:paraId="6E5B6959">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成交结果公告</w:t>
            </w:r>
          </w:p>
        </w:tc>
        <w:tc>
          <w:tcPr>
            <w:tcW w:w="6840" w:type="dxa"/>
            <w:tcBorders>
              <w:top w:val="single" w:color="auto" w:sz="4" w:space="0"/>
              <w:left w:val="single" w:color="auto" w:sz="4" w:space="0"/>
              <w:bottom w:val="single" w:color="auto" w:sz="4" w:space="0"/>
              <w:right w:val="single" w:color="auto" w:sz="4" w:space="0"/>
            </w:tcBorders>
            <w:noWrap/>
            <w:vAlign w:val="center"/>
          </w:tcPr>
          <w:p w14:paraId="51B06D3F">
            <w:pPr>
              <w:autoSpaceDE w:val="0"/>
              <w:autoSpaceDN w:val="0"/>
              <w:adjustRightInd w:val="0"/>
              <w:snapToGrid w:val="0"/>
              <w:spacing w:line="360" w:lineRule="auto"/>
              <w:jc w:val="left"/>
              <w:textAlignment w:val="bottom"/>
              <w:rPr>
                <w:rFonts w:hint="eastAsia" w:ascii="宋体" w:hAnsi="宋体" w:cs="宋体"/>
                <w:color w:val="auto"/>
                <w:sz w:val="24"/>
                <w:highlight w:val="none"/>
              </w:rPr>
            </w:pPr>
            <w:r>
              <w:rPr>
                <w:rFonts w:hint="eastAsia" w:ascii="宋体" w:hAnsi="宋体" w:cs="宋体"/>
                <w:color w:val="auto"/>
                <w:sz w:val="24"/>
                <w:highlight w:val="none"/>
              </w:rPr>
              <w:t>成交供应商确定后2个工作日内，成交结果公告发布于“浙江省政府采购网”（http://zfcg.czt.zj.gov.cn/）、“长兴县公共资源交易中心网 ”（http://www.zjcx.gov.cn/col/col1229713478/index.html）</w:t>
            </w:r>
          </w:p>
        </w:tc>
      </w:tr>
      <w:tr w14:paraId="4683D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4D9A654E">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743" w:type="dxa"/>
            <w:tcBorders>
              <w:top w:val="single" w:color="auto" w:sz="4" w:space="0"/>
              <w:left w:val="single" w:color="auto" w:sz="4" w:space="0"/>
              <w:bottom w:val="single" w:color="auto" w:sz="4" w:space="0"/>
              <w:right w:val="single" w:color="auto" w:sz="4" w:space="0"/>
            </w:tcBorders>
            <w:noWrap/>
            <w:vAlign w:val="center"/>
          </w:tcPr>
          <w:p w14:paraId="197E5DEF">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签订合同时间</w:t>
            </w:r>
          </w:p>
        </w:tc>
        <w:tc>
          <w:tcPr>
            <w:tcW w:w="6840" w:type="dxa"/>
            <w:tcBorders>
              <w:top w:val="single" w:color="auto" w:sz="4" w:space="0"/>
              <w:left w:val="single" w:color="auto" w:sz="4" w:space="0"/>
              <w:bottom w:val="single" w:color="auto" w:sz="4" w:space="0"/>
              <w:right w:val="single" w:color="auto" w:sz="4" w:space="0"/>
            </w:tcBorders>
            <w:noWrap/>
            <w:vAlign w:val="center"/>
          </w:tcPr>
          <w:p w14:paraId="62EF41B7">
            <w:pPr>
              <w:autoSpaceDE w:val="0"/>
              <w:autoSpaceDN w:val="0"/>
              <w:adjustRightInd w:val="0"/>
              <w:snapToGrid w:val="0"/>
              <w:spacing w:line="360"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成交通知书发出后30日内。</w:t>
            </w:r>
          </w:p>
        </w:tc>
      </w:tr>
      <w:tr w14:paraId="2CEE1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5EC3E5ED">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743" w:type="dxa"/>
            <w:tcBorders>
              <w:top w:val="single" w:color="auto" w:sz="4" w:space="0"/>
              <w:left w:val="single" w:color="auto" w:sz="4" w:space="0"/>
              <w:bottom w:val="single" w:color="auto" w:sz="4" w:space="0"/>
              <w:right w:val="single" w:color="auto" w:sz="4" w:space="0"/>
            </w:tcBorders>
            <w:noWrap/>
            <w:vAlign w:val="center"/>
          </w:tcPr>
          <w:p w14:paraId="29E69C22">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6840" w:type="dxa"/>
            <w:tcBorders>
              <w:top w:val="single" w:color="auto" w:sz="4" w:space="0"/>
              <w:left w:val="single" w:color="auto" w:sz="4" w:space="0"/>
              <w:bottom w:val="single" w:color="auto" w:sz="4" w:space="0"/>
              <w:right w:val="single" w:color="auto" w:sz="4" w:space="0"/>
            </w:tcBorders>
            <w:noWrap/>
            <w:vAlign w:val="center"/>
          </w:tcPr>
          <w:p w14:paraId="210302D9">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按竞争性磋商文件规定。</w:t>
            </w:r>
          </w:p>
        </w:tc>
      </w:tr>
      <w:tr w14:paraId="3B0D3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36E7BBA3">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1743" w:type="dxa"/>
            <w:tcBorders>
              <w:top w:val="single" w:color="auto" w:sz="4" w:space="0"/>
              <w:left w:val="single" w:color="auto" w:sz="4" w:space="0"/>
              <w:bottom w:val="single" w:color="auto" w:sz="4" w:space="0"/>
              <w:right w:val="single" w:color="auto" w:sz="4" w:space="0"/>
            </w:tcBorders>
            <w:noWrap/>
            <w:vAlign w:val="center"/>
          </w:tcPr>
          <w:p w14:paraId="7FEB296A">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竞争性磋商文件有效期</w:t>
            </w:r>
          </w:p>
        </w:tc>
        <w:tc>
          <w:tcPr>
            <w:tcW w:w="6840" w:type="dxa"/>
            <w:tcBorders>
              <w:top w:val="single" w:color="auto" w:sz="4" w:space="0"/>
              <w:left w:val="single" w:color="auto" w:sz="4" w:space="0"/>
              <w:bottom w:val="single" w:color="auto" w:sz="4" w:space="0"/>
              <w:right w:val="single" w:color="auto" w:sz="4" w:space="0"/>
            </w:tcBorders>
            <w:noWrap/>
            <w:vAlign w:val="center"/>
          </w:tcPr>
          <w:p w14:paraId="4F23A68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天</w:t>
            </w:r>
          </w:p>
        </w:tc>
      </w:tr>
      <w:tr w14:paraId="6214F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16C59EEF">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1743" w:type="dxa"/>
            <w:tcBorders>
              <w:top w:val="single" w:color="auto" w:sz="4" w:space="0"/>
              <w:left w:val="single" w:color="auto" w:sz="4" w:space="0"/>
              <w:bottom w:val="single" w:color="auto" w:sz="4" w:space="0"/>
              <w:right w:val="single" w:color="auto" w:sz="4" w:space="0"/>
            </w:tcBorders>
            <w:noWrap/>
            <w:vAlign w:val="center"/>
          </w:tcPr>
          <w:p w14:paraId="53EC33DD">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补充说明</w:t>
            </w:r>
          </w:p>
        </w:tc>
        <w:tc>
          <w:tcPr>
            <w:tcW w:w="6840" w:type="dxa"/>
            <w:tcBorders>
              <w:top w:val="single" w:color="auto" w:sz="4" w:space="0"/>
              <w:left w:val="single" w:color="auto" w:sz="4" w:space="0"/>
              <w:bottom w:val="single" w:color="auto" w:sz="4" w:space="0"/>
              <w:right w:val="single" w:color="auto" w:sz="4" w:space="0"/>
            </w:tcBorders>
            <w:noWrap/>
            <w:vAlign w:val="center"/>
          </w:tcPr>
          <w:p w14:paraId="38C4BBC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为提高采购效率，节省采购成本，获取了磋商文件的供应商，若放弃参加磋商的，请在开标前1个工作日10:00之前以书面形式（电子扫描件、传真或书面送达，加盖单位公章，电子扫描件、传真件与原件具有同等效力）通知采购代理机构，以便代理机构决定是否申请抽取专家。</w:t>
            </w:r>
          </w:p>
        </w:tc>
      </w:tr>
      <w:tr w14:paraId="1BA29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52CBE8EB">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28</w:t>
            </w:r>
          </w:p>
        </w:tc>
        <w:tc>
          <w:tcPr>
            <w:tcW w:w="1743" w:type="dxa"/>
            <w:tcBorders>
              <w:top w:val="single" w:color="auto" w:sz="4" w:space="0"/>
              <w:left w:val="single" w:color="auto" w:sz="4" w:space="0"/>
              <w:bottom w:val="single" w:color="auto" w:sz="4" w:space="0"/>
              <w:right w:val="single" w:color="auto" w:sz="4" w:space="0"/>
            </w:tcBorders>
            <w:noWrap/>
            <w:vAlign w:val="center"/>
          </w:tcPr>
          <w:p w14:paraId="46657023">
            <w:pPr>
              <w:adjustRightInd w:val="0"/>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特别说明</w:t>
            </w:r>
          </w:p>
        </w:tc>
        <w:tc>
          <w:tcPr>
            <w:tcW w:w="6840" w:type="dxa"/>
            <w:tcBorders>
              <w:top w:val="single" w:color="auto" w:sz="4" w:space="0"/>
              <w:left w:val="single" w:color="auto" w:sz="4" w:space="0"/>
              <w:bottom w:val="single" w:color="auto" w:sz="4" w:space="0"/>
              <w:right w:val="single" w:color="auto" w:sz="4" w:space="0"/>
            </w:tcBorders>
            <w:noWrap/>
            <w:vAlign w:val="center"/>
          </w:tcPr>
          <w:p w14:paraId="08F192A0">
            <w:pPr>
              <w:adjustRightInd w:val="0"/>
              <w:snapToGrid w:val="0"/>
              <w:spacing w:line="360" w:lineRule="auto"/>
              <w:rPr>
                <w:rFonts w:hint="eastAsia" w:ascii="宋体" w:hAnsi="宋体" w:cs="宋体"/>
                <w:b/>
                <w:bCs/>
                <w:color w:val="auto"/>
                <w:spacing w:val="11"/>
                <w:sz w:val="24"/>
                <w:highlight w:val="none"/>
              </w:rPr>
            </w:pPr>
            <w:r>
              <w:rPr>
                <w:rFonts w:hint="eastAsia" w:ascii="宋体" w:hAnsi="宋体" w:cs="宋体"/>
                <w:b/>
                <w:bCs/>
                <w:color w:val="auto"/>
                <w:spacing w:val="11"/>
                <w:sz w:val="24"/>
                <w:highlight w:val="none"/>
              </w:rPr>
              <w:t>1.如遇“政采云平台”电子化开标或评审程序调整的，按调整后程序执行。</w:t>
            </w:r>
          </w:p>
          <w:p w14:paraId="2EAF4E2E">
            <w:pPr>
              <w:adjustRightInd w:val="0"/>
              <w:snapToGrid w:val="0"/>
              <w:spacing w:line="360" w:lineRule="auto"/>
              <w:rPr>
                <w:rFonts w:hint="eastAsia" w:ascii="宋体" w:hAnsi="宋体" w:cs="宋体"/>
                <w:b/>
                <w:bCs/>
                <w:color w:val="auto"/>
                <w:spacing w:val="11"/>
                <w:sz w:val="24"/>
                <w:highlight w:val="none"/>
              </w:rPr>
            </w:pPr>
            <w:r>
              <w:rPr>
                <w:rFonts w:hint="eastAsia" w:ascii="宋体" w:hAnsi="宋体" w:cs="宋体"/>
                <w:b/>
                <w:bCs/>
                <w:color w:val="auto"/>
                <w:spacing w:val="11"/>
                <w:sz w:val="24"/>
                <w:highlight w:val="none"/>
              </w:rPr>
              <w:t>2.在磋商响应文件解密前，请务必检验 CA 锁与所用电脑的兼容性，部分电脑因 CA 驱动未正常安装、USB 接口兼容性差等原因可能造成磋商响应文件解密失败。</w:t>
            </w:r>
          </w:p>
          <w:p w14:paraId="3C200642">
            <w:pPr>
              <w:adjustRightInd w:val="0"/>
              <w:snapToGrid w:val="0"/>
              <w:spacing w:line="360" w:lineRule="auto"/>
              <w:rPr>
                <w:rFonts w:hint="eastAsia" w:ascii="宋体" w:hAnsi="宋体" w:cs="宋体"/>
                <w:b/>
                <w:bCs/>
                <w:color w:val="auto"/>
                <w:spacing w:val="11"/>
                <w:sz w:val="24"/>
                <w:highlight w:val="none"/>
              </w:rPr>
            </w:pPr>
            <w:r>
              <w:rPr>
                <w:rFonts w:hint="eastAsia" w:ascii="宋体" w:hAnsi="宋体" w:cs="宋体"/>
                <w:b/>
                <w:bCs/>
                <w:color w:val="auto"/>
                <w:spacing w:val="11"/>
                <w:sz w:val="24"/>
                <w:highlight w:val="none"/>
              </w:rPr>
              <w:t>3.使用综合评分法的采购项目，单一产品采购项目中提供相同品牌产品且通过资格审查、符合性审查的不同供应商参加同一合同项下投标的，按一家供应商计算，评审后得分最高得同品牌供应商获得成交候选供应商推荐资格；评审得分相同的，采取随机抽取方式确定，其他同品牌供应商不作为成交候选供应商。</w:t>
            </w:r>
          </w:p>
          <w:p w14:paraId="6972A061">
            <w:pPr>
              <w:adjustRightInd w:val="0"/>
              <w:snapToGrid w:val="0"/>
              <w:spacing w:line="360" w:lineRule="auto"/>
              <w:ind w:firstLine="526" w:firstLineChars="200"/>
              <w:rPr>
                <w:rFonts w:hint="eastAsia" w:ascii="宋体" w:hAnsi="宋体" w:cs="宋体"/>
                <w:b/>
                <w:bCs/>
                <w:color w:val="auto"/>
                <w:spacing w:val="11"/>
                <w:sz w:val="24"/>
                <w:highlight w:val="none"/>
              </w:rPr>
            </w:pPr>
            <w:r>
              <w:rPr>
                <w:rFonts w:hint="eastAsia" w:ascii="宋体" w:hAnsi="宋体" w:cs="宋体"/>
                <w:b/>
                <w:bCs/>
                <w:color w:val="auto"/>
                <w:spacing w:val="11"/>
                <w:sz w:val="24"/>
                <w:highlight w:val="none"/>
              </w:rPr>
              <w:t>非单一产品采购项目，已根据采购项目技术构成、产品价格比重等确定了核心产品，多家供应商提供的核心产品品牌相同的，按前款规定处理。</w:t>
            </w:r>
          </w:p>
          <w:p w14:paraId="34DEF58E">
            <w:pPr>
              <w:adjustRightInd w:val="0"/>
              <w:snapToGrid w:val="0"/>
              <w:spacing w:line="360" w:lineRule="auto"/>
              <w:rPr>
                <w:rFonts w:hint="eastAsia" w:ascii="宋体" w:hAnsi="宋体" w:cs="宋体"/>
                <w:b/>
                <w:bCs/>
                <w:color w:val="auto"/>
                <w:spacing w:val="11"/>
                <w:sz w:val="24"/>
                <w:highlight w:val="none"/>
              </w:rPr>
            </w:pPr>
            <w:r>
              <w:rPr>
                <w:rFonts w:hint="eastAsia" w:ascii="宋体" w:hAnsi="宋体" w:cs="宋体"/>
                <w:b/>
                <w:bCs/>
                <w:color w:val="auto"/>
                <w:spacing w:val="11"/>
                <w:sz w:val="24"/>
                <w:highlight w:val="none"/>
              </w:rPr>
              <w:t>4.供应商投标所使用的资格、信誉、荣誉、业绩与企业认证必须为本法人所拥有。供应商投标所使用的采购项目实施人员必须为本法人员工（或必须为本法人或控股公司正式员工）。</w:t>
            </w:r>
          </w:p>
          <w:p w14:paraId="1189CD68">
            <w:pPr>
              <w:adjustRightInd w:val="0"/>
              <w:snapToGrid w:val="0"/>
              <w:spacing w:line="360" w:lineRule="auto"/>
              <w:rPr>
                <w:rFonts w:hint="eastAsia" w:ascii="宋体" w:hAnsi="宋体" w:cs="宋体"/>
                <w:b/>
                <w:bCs/>
                <w:color w:val="auto"/>
                <w:spacing w:val="11"/>
                <w:sz w:val="24"/>
                <w:highlight w:val="none"/>
              </w:rPr>
            </w:pPr>
            <w:r>
              <w:rPr>
                <w:rFonts w:hint="eastAsia" w:ascii="宋体" w:hAnsi="宋体" w:cs="宋体"/>
                <w:b/>
                <w:bCs/>
                <w:color w:val="auto"/>
                <w:spacing w:val="11"/>
                <w:sz w:val="24"/>
                <w:highlight w:val="none"/>
              </w:rPr>
              <w:t>5.供应商应仔细阅读磋商文件的所有内容，按照磋商文件的要求提交磋商响应文件，并对所提供的全部资料的真实性承担法律责任。</w:t>
            </w:r>
          </w:p>
          <w:p w14:paraId="48C0C56F">
            <w:pPr>
              <w:adjustRightInd w:val="0"/>
              <w:snapToGrid w:val="0"/>
              <w:spacing w:line="360" w:lineRule="auto"/>
              <w:rPr>
                <w:rFonts w:hint="eastAsia" w:ascii="宋体" w:hAnsi="宋体" w:cs="宋体"/>
                <w:b/>
                <w:bCs/>
                <w:color w:val="auto"/>
                <w:spacing w:val="11"/>
                <w:sz w:val="24"/>
                <w:highlight w:val="none"/>
              </w:rPr>
            </w:pPr>
            <w:r>
              <w:rPr>
                <w:rFonts w:hint="eastAsia" w:ascii="宋体" w:hAnsi="宋体" w:cs="宋体"/>
                <w:b/>
                <w:bCs/>
                <w:color w:val="auto"/>
                <w:spacing w:val="11"/>
                <w:sz w:val="24"/>
                <w:highlight w:val="none"/>
              </w:rPr>
              <w:t>6.供应商在投标活动中提供任何虚假材料,其投标无效，并报监管部门查处；成交后发现的,成交供应商须依照《中华人民共和国消费者权益保护法》相关规定赔偿采购人，且民事赔偿并不免除违法供应商的行政与刑事责任。</w:t>
            </w:r>
          </w:p>
          <w:p w14:paraId="53632F9C">
            <w:pPr>
              <w:adjustRightInd w:val="0"/>
              <w:snapToGrid w:val="0"/>
              <w:spacing w:line="360" w:lineRule="auto"/>
              <w:rPr>
                <w:rFonts w:hint="eastAsia" w:ascii="宋体" w:hAnsi="宋体" w:cs="宋体"/>
                <w:color w:val="auto"/>
                <w:spacing w:val="11"/>
                <w:sz w:val="24"/>
                <w:highlight w:val="none"/>
              </w:rPr>
            </w:pPr>
            <w:r>
              <w:rPr>
                <w:rFonts w:hint="eastAsia" w:ascii="宋体" w:hAnsi="宋体" w:cs="宋体"/>
                <w:b/>
                <w:bCs/>
                <w:color w:val="auto"/>
                <w:spacing w:val="11"/>
                <w:sz w:val="24"/>
                <w:highlight w:val="none"/>
              </w:rPr>
              <w:t>7.如成交，成交供应商需根据采购人的要求提供纸质磋商响应文件。纸质文件必须与线上电子磋商响应文件一致，如采购人或其他监管部门发现不一致，记入不良行为档案。</w:t>
            </w:r>
          </w:p>
        </w:tc>
      </w:tr>
      <w:tr w14:paraId="50758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7E505ABE">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29</w:t>
            </w:r>
          </w:p>
        </w:tc>
        <w:tc>
          <w:tcPr>
            <w:tcW w:w="1743" w:type="dxa"/>
            <w:tcBorders>
              <w:top w:val="single" w:color="auto" w:sz="4" w:space="0"/>
              <w:left w:val="single" w:color="auto" w:sz="4" w:space="0"/>
              <w:bottom w:val="single" w:color="auto" w:sz="4" w:space="0"/>
              <w:right w:val="single" w:color="auto" w:sz="4" w:space="0"/>
            </w:tcBorders>
            <w:noWrap/>
            <w:vAlign w:val="center"/>
          </w:tcPr>
          <w:p w14:paraId="5FE9A597">
            <w:pPr>
              <w:adjustRightInd w:val="0"/>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政府采购政策相关说明（服务类）</w:t>
            </w:r>
          </w:p>
        </w:tc>
        <w:tc>
          <w:tcPr>
            <w:tcW w:w="6840" w:type="dxa"/>
            <w:tcBorders>
              <w:top w:val="single" w:color="auto" w:sz="4" w:space="0"/>
              <w:left w:val="single" w:color="auto" w:sz="4" w:space="0"/>
              <w:bottom w:val="single" w:color="auto" w:sz="4" w:space="0"/>
              <w:right w:val="single" w:color="auto" w:sz="4" w:space="0"/>
            </w:tcBorders>
            <w:noWrap/>
            <w:vAlign w:val="center"/>
          </w:tcPr>
          <w:p w14:paraId="73700D67">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1.本项目是否属于专门面向中小企业预留采购份额的项目：是 </w:t>
            </w:r>
          </w:p>
          <w:p w14:paraId="3EF5379A">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2.预留采购份额措施： 专门面向中小企业采购 </w:t>
            </w:r>
          </w:p>
          <w:p w14:paraId="632C75E4">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3.是否落实小、微企业价格扣除扶持政策： 否 </w:t>
            </w:r>
          </w:p>
          <w:p w14:paraId="79128F96">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4.本项目中小企业划分标准所属行业：其他未列明行业。</w:t>
            </w:r>
          </w:p>
          <w:p w14:paraId="7BC7C611">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根据《关于印发中小企业划型标准规定的通知》（工信部联企业〔2011〕300号）规定：从从业人员300人以下的为中小微型企业。其中，从业人员100人及以上的为中型企业;从业人员10人及以上的为小型企业;从业人员10人以下的为微型企业。监狱企业、残疾人福利性单位视同小型、微型企业；符合中小企业划分标准的个体工商户，在政府采购活动中视同中小企业。</w:t>
            </w:r>
          </w:p>
          <w:p w14:paraId="7EFDE352">
            <w:pPr>
              <w:pStyle w:val="13"/>
              <w:adjustRightInd w:val="0"/>
              <w:snapToGrid w:val="0"/>
              <w:spacing w:after="0" w:line="360" w:lineRule="auto"/>
              <w:ind w:firstLine="482" w:firstLineChars="200"/>
              <w:rPr>
                <w:rFonts w:hint="eastAsia" w:ascii="宋体" w:hAnsi="宋体" w:cs="宋体"/>
                <w:b/>
                <w:bCs/>
                <w:color w:val="auto"/>
                <w:spacing w:val="11"/>
                <w:sz w:val="24"/>
                <w:highlight w:val="none"/>
              </w:rPr>
            </w:pPr>
            <w:r>
              <w:rPr>
                <w:rFonts w:hint="eastAsia" w:ascii="宋体" w:hAnsi="宋体" w:cs="宋体"/>
                <w:b/>
                <w:color w:val="auto"/>
                <w:kern w:val="0"/>
                <w:sz w:val="24"/>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14:paraId="53697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noWrap/>
            <w:vAlign w:val="center"/>
          </w:tcPr>
          <w:p w14:paraId="7C585308">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743" w:type="dxa"/>
            <w:tcBorders>
              <w:top w:val="single" w:color="auto" w:sz="4" w:space="0"/>
              <w:left w:val="single" w:color="auto" w:sz="4" w:space="0"/>
              <w:bottom w:val="single" w:color="auto" w:sz="4" w:space="0"/>
              <w:right w:val="single" w:color="auto" w:sz="4" w:space="0"/>
            </w:tcBorders>
            <w:noWrap/>
            <w:vAlign w:val="center"/>
          </w:tcPr>
          <w:p w14:paraId="2956C5B6">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解释</w:t>
            </w:r>
          </w:p>
        </w:tc>
        <w:tc>
          <w:tcPr>
            <w:tcW w:w="6840" w:type="dxa"/>
            <w:tcBorders>
              <w:top w:val="single" w:color="auto" w:sz="4" w:space="0"/>
              <w:left w:val="single" w:color="auto" w:sz="4" w:space="0"/>
              <w:bottom w:val="single" w:color="auto" w:sz="4" w:space="0"/>
              <w:right w:val="single" w:color="auto" w:sz="4" w:space="0"/>
            </w:tcBorders>
            <w:noWrap/>
            <w:vAlign w:val="center"/>
          </w:tcPr>
          <w:p w14:paraId="6C7622A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本竞争性磋商文件的解释权属于招标采购单位。</w:t>
            </w:r>
          </w:p>
        </w:tc>
      </w:tr>
    </w:tbl>
    <w:p w14:paraId="53197997">
      <w:pPr>
        <w:pStyle w:val="3"/>
        <w:ind w:firstLine="482" w:firstLineChars="200"/>
        <w:rPr>
          <w:rFonts w:hint="eastAsia" w:cs="宋体"/>
          <w:color w:val="auto"/>
          <w:highlight w:val="none"/>
        </w:rPr>
      </w:pPr>
      <w:r>
        <w:rPr>
          <w:rFonts w:hint="eastAsia" w:cs="宋体"/>
          <w:color w:val="auto"/>
          <w:highlight w:val="none"/>
        </w:rPr>
        <w:t>一、说明</w:t>
      </w:r>
      <w:bookmarkEnd w:id="59"/>
      <w:bookmarkEnd w:id="60"/>
      <w:bookmarkEnd w:id="61"/>
      <w:bookmarkEnd w:id="62"/>
      <w:bookmarkEnd w:id="63"/>
      <w:bookmarkEnd w:id="64"/>
      <w:bookmarkStart w:id="66" w:name="_Toc174767469"/>
      <w:bookmarkStart w:id="67" w:name="_Toc172338035"/>
      <w:bookmarkStart w:id="68" w:name="_Toc172337885"/>
    </w:p>
    <w:p w14:paraId="0299E2D2">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（一）总则</w:t>
      </w:r>
    </w:p>
    <w:p w14:paraId="0B779262">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本竞争性磋商文件解释权归本项目</w:t>
      </w:r>
      <w:r>
        <w:rPr>
          <w:rFonts w:hint="eastAsia" w:ascii="宋体" w:hAnsi="宋体" w:cs="宋体"/>
          <w:color w:val="auto"/>
          <w:sz w:val="24"/>
          <w:highlight w:val="none"/>
        </w:rPr>
        <w:t>招标采购单位</w:t>
      </w:r>
      <w:r>
        <w:rPr>
          <w:rFonts w:hint="eastAsia" w:ascii="宋体" w:hAnsi="宋体" w:cs="宋体"/>
          <w:color w:val="auto"/>
          <w:sz w:val="24"/>
          <w:highlight w:val="none"/>
          <w:lang w:val="zh-CN"/>
        </w:rPr>
        <w:t>。</w:t>
      </w:r>
    </w:p>
    <w:p w14:paraId="020FBE7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本次磋商工作是按照《中华人民共和国政府采购法》等相关规定组织和实施。</w:t>
      </w:r>
    </w:p>
    <w:p w14:paraId="2FEAD4F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无论磋商过程中的做法和结果如何，供应商自行承担磋商活动中所发生的全部费用。</w:t>
      </w:r>
    </w:p>
    <w:bookmarkEnd w:id="66"/>
    <w:bookmarkEnd w:id="67"/>
    <w:bookmarkEnd w:id="68"/>
    <w:p w14:paraId="720E5EC9">
      <w:pPr>
        <w:autoSpaceDE w:val="0"/>
        <w:autoSpaceDN w:val="0"/>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（二）定义</w:t>
      </w:r>
    </w:p>
    <w:p w14:paraId="589AB15E">
      <w:pPr>
        <w:autoSpaceDE w:val="0"/>
        <w:autoSpaceDN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w:t>
      </w:r>
      <w:r>
        <w:rPr>
          <w:rFonts w:hint="eastAsia" w:ascii="宋体" w:hAnsi="宋体" w:cs="宋体"/>
          <w:color w:val="auto"/>
          <w:sz w:val="24"/>
          <w:highlight w:val="none"/>
          <w:lang w:val="zh-CN"/>
        </w:rPr>
        <w:t>“采购人”系指</w:t>
      </w:r>
      <w:r>
        <w:rPr>
          <w:rFonts w:hint="eastAsia" w:ascii="宋体" w:hAnsi="宋体" w:cs="宋体"/>
          <w:color w:val="auto"/>
          <w:sz w:val="24"/>
          <w:highlight w:val="none"/>
          <w:lang w:eastAsia="zh-CN"/>
        </w:rPr>
        <w:t>长兴县城市建设发展管理中心</w:t>
      </w:r>
      <w:r>
        <w:rPr>
          <w:rFonts w:hint="eastAsia" w:ascii="宋体" w:hAnsi="宋体" w:cs="宋体"/>
          <w:color w:val="auto"/>
          <w:sz w:val="24"/>
          <w:highlight w:val="none"/>
          <w:lang w:val="zh-CN"/>
        </w:rPr>
        <w:t>。</w:t>
      </w:r>
    </w:p>
    <w:p w14:paraId="7868176C">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w:t>
      </w:r>
      <w:r>
        <w:rPr>
          <w:rFonts w:hint="eastAsia" w:ascii="宋体" w:hAnsi="宋体" w:cs="宋体"/>
          <w:color w:val="auto"/>
          <w:sz w:val="24"/>
          <w:highlight w:val="none"/>
        </w:rPr>
        <w:t>.</w:t>
      </w:r>
      <w:r>
        <w:rPr>
          <w:rFonts w:hint="eastAsia" w:ascii="宋体" w:hAnsi="宋体" w:cs="宋体"/>
          <w:color w:val="auto"/>
          <w:sz w:val="24"/>
          <w:highlight w:val="none"/>
          <w:lang w:val="zh-CN"/>
        </w:rPr>
        <w:t>“采购代理机构”系指受采购人委托组织磋商的浙江华元工程咨询有限公司。</w:t>
      </w:r>
    </w:p>
    <w:p w14:paraId="193FA0C8">
      <w:pPr>
        <w:autoSpaceDE w:val="0"/>
        <w:autoSpaceDN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3.“招标采购单位”系指组织本次磋商的采购代理机构和采购人。</w:t>
      </w:r>
    </w:p>
    <w:p w14:paraId="713D0932">
      <w:pPr>
        <w:autoSpaceDE w:val="0"/>
        <w:autoSpaceDN w:val="0"/>
        <w:spacing w:line="360" w:lineRule="auto"/>
        <w:ind w:firstLine="420"/>
        <w:rPr>
          <w:rFonts w:hint="eastAsia" w:ascii="宋体" w:hAnsi="宋体" w:cs="宋体"/>
          <w:color w:val="auto"/>
          <w:sz w:val="24"/>
          <w:highlight w:val="none"/>
          <w:lang w:val="zh-CN"/>
        </w:rPr>
      </w:pPr>
      <w:r>
        <w:rPr>
          <w:rFonts w:hint="eastAsia" w:ascii="宋体" w:hAnsi="宋体" w:cs="宋体"/>
          <w:color w:val="auto"/>
          <w:sz w:val="24"/>
          <w:highlight w:val="none"/>
          <w:lang w:val="zh-CN"/>
        </w:rPr>
        <w:t>4</w:t>
      </w:r>
      <w:r>
        <w:rPr>
          <w:rFonts w:hint="eastAsia" w:ascii="宋体" w:hAnsi="宋体" w:cs="宋体"/>
          <w:color w:val="auto"/>
          <w:sz w:val="24"/>
          <w:highlight w:val="none"/>
        </w:rPr>
        <w:t>.</w:t>
      </w:r>
      <w:r>
        <w:rPr>
          <w:rFonts w:hint="eastAsia" w:ascii="宋体" w:hAnsi="宋体" w:cs="宋体"/>
          <w:color w:val="auto"/>
          <w:sz w:val="24"/>
          <w:highlight w:val="none"/>
          <w:lang w:val="zh-CN"/>
        </w:rPr>
        <w:t>“供应商”是指向采购人提供竞争性磋商文件所叙述的合格磋商单位。</w:t>
      </w:r>
    </w:p>
    <w:p w14:paraId="520B1B4B">
      <w:pPr>
        <w:autoSpaceDE w:val="0"/>
        <w:autoSpaceDN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5</w:t>
      </w:r>
      <w:r>
        <w:rPr>
          <w:rFonts w:ascii="宋体" w:hAnsi="宋体" w:cs="宋体"/>
          <w:color w:val="auto"/>
          <w:sz w:val="24"/>
          <w:highlight w:val="none"/>
          <w:lang w:val="zh-CN"/>
        </w:rPr>
        <w:t>.“产品”系指</w:t>
      </w:r>
      <w:r>
        <w:rPr>
          <w:rFonts w:hint="eastAsia" w:ascii="宋体" w:hAnsi="宋体" w:cs="宋体"/>
          <w:color w:val="auto"/>
          <w:sz w:val="24"/>
          <w:highlight w:val="none"/>
          <w:lang w:val="zh-CN"/>
        </w:rPr>
        <w:t>供应商</w:t>
      </w:r>
      <w:r>
        <w:rPr>
          <w:rFonts w:ascii="宋体" w:hAnsi="宋体" w:cs="宋体"/>
          <w:color w:val="auto"/>
          <w:sz w:val="24"/>
          <w:highlight w:val="none"/>
          <w:lang w:val="zh-CN"/>
        </w:rPr>
        <w:t>按</w:t>
      </w:r>
      <w:r>
        <w:rPr>
          <w:rFonts w:hint="eastAsia" w:ascii="宋体" w:hAnsi="宋体" w:cs="宋体"/>
          <w:color w:val="auto"/>
          <w:sz w:val="24"/>
          <w:highlight w:val="none"/>
          <w:lang w:val="zh-CN"/>
        </w:rPr>
        <w:t>磋商文件</w:t>
      </w:r>
      <w:r>
        <w:rPr>
          <w:rFonts w:ascii="宋体" w:hAnsi="宋体" w:cs="宋体"/>
          <w:color w:val="auto"/>
          <w:sz w:val="24"/>
          <w:highlight w:val="none"/>
          <w:lang w:val="zh-CN"/>
        </w:rPr>
        <w:t>规定，须向采购人提供的一切设备、保险、税金、备品备件、工具、手册及其它有关技术资料和材料。</w:t>
      </w:r>
    </w:p>
    <w:p w14:paraId="72858131">
      <w:pPr>
        <w:autoSpaceDE w:val="0"/>
        <w:autoSpaceDN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6</w:t>
      </w:r>
      <w:r>
        <w:rPr>
          <w:rFonts w:ascii="宋体" w:hAnsi="宋体" w:cs="宋体"/>
          <w:color w:val="auto"/>
          <w:sz w:val="24"/>
          <w:highlight w:val="none"/>
          <w:lang w:val="zh-CN"/>
        </w:rPr>
        <w:t>.“货物”系指</w:t>
      </w:r>
      <w:r>
        <w:rPr>
          <w:rFonts w:hint="eastAsia" w:ascii="宋体" w:hAnsi="宋体" w:cs="宋体"/>
          <w:color w:val="auto"/>
          <w:sz w:val="24"/>
          <w:highlight w:val="none"/>
          <w:lang w:val="zh-CN"/>
        </w:rPr>
        <w:t>供应商</w:t>
      </w:r>
      <w:r>
        <w:rPr>
          <w:rFonts w:ascii="宋体" w:hAnsi="宋体" w:cs="宋体"/>
          <w:color w:val="auto"/>
          <w:sz w:val="24"/>
          <w:highlight w:val="none"/>
          <w:lang w:val="zh-CN"/>
        </w:rPr>
        <w:t>制造或组织符合</w:t>
      </w:r>
      <w:r>
        <w:rPr>
          <w:rFonts w:hint="eastAsia" w:ascii="宋体" w:hAnsi="宋体" w:cs="宋体"/>
          <w:color w:val="auto"/>
          <w:sz w:val="24"/>
          <w:highlight w:val="none"/>
          <w:lang w:val="zh-CN"/>
        </w:rPr>
        <w:t>磋商文件</w:t>
      </w:r>
      <w:r>
        <w:rPr>
          <w:rFonts w:ascii="宋体" w:hAnsi="宋体" w:cs="宋体"/>
          <w:color w:val="auto"/>
          <w:sz w:val="24"/>
          <w:highlight w:val="none"/>
          <w:lang w:val="zh-CN"/>
        </w:rPr>
        <w:t>要求的货物，包括原材料、燃料、设备、产品等。</w:t>
      </w:r>
    </w:p>
    <w:p w14:paraId="1DE9EBB6">
      <w:pPr>
        <w:autoSpaceDE w:val="0"/>
        <w:autoSpaceDN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.“服务”系指</w:t>
      </w:r>
      <w:r>
        <w:rPr>
          <w:rFonts w:hint="eastAsia" w:ascii="宋体" w:hAnsi="宋体" w:cs="宋体"/>
          <w:color w:val="auto"/>
          <w:sz w:val="24"/>
          <w:highlight w:val="none"/>
        </w:rPr>
        <w:t>磋商文件</w:t>
      </w:r>
      <w:r>
        <w:rPr>
          <w:rFonts w:ascii="宋体" w:hAnsi="宋体" w:cs="宋体"/>
          <w:color w:val="auto"/>
          <w:sz w:val="24"/>
          <w:highlight w:val="none"/>
        </w:rPr>
        <w:t>规定</w:t>
      </w:r>
      <w:r>
        <w:rPr>
          <w:rFonts w:hint="eastAsia" w:ascii="宋体" w:hAnsi="宋体" w:cs="宋体"/>
          <w:color w:val="auto"/>
          <w:sz w:val="24"/>
          <w:highlight w:val="none"/>
        </w:rPr>
        <w:t>供应商</w:t>
      </w:r>
      <w:r>
        <w:rPr>
          <w:rFonts w:ascii="宋体" w:hAnsi="宋体" w:cs="宋体"/>
          <w:color w:val="auto"/>
          <w:sz w:val="24"/>
          <w:highlight w:val="none"/>
        </w:rPr>
        <w:t>须承担的安装、调试、技术协助、校准、培训、技术指导以及其他类似的义务。</w:t>
      </w:r>
    </w:p>
    <w:p w14:paraId="66097577">
      <w:pPr>
        <w:autoSpaceDE w:val="0"/>
        <w:autoSpaceDN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8</w:t>
      </w:r>
      <w:r>
        <w:rPr>
          <w:rFonts w:ascii="宋体" w:hAnsi="宋体" w:cs="宋体"/>
          <w:color w:val="auto"/>
          <w:sz w:val="24"/>
          <w:highlight w:val="none"/>
          <w:lang w:val="zh-CN"/>
        </w:rPr>
        <w:t>.“项目”系指</w:t>
      </w:r>
      <w:r>
        <w:rPr>
          <w:rFonts w:hint="eastAsia" w:ascii="宋体" w:hAnsi="宋体" w:cs="宋体"/>
          <w:color w:val="auto"/>
          <w:sz w:val="24"/>
          <w:highlight w:val="none"/>
          <w:lang w:val="zh-CN"/>
        </w:rPr>
        <w:t>供应商</w:t>
      </w:r>
      <w:r>
        <w:rPr>
          <w:rFonts w:ascii="宋体" w:hAnsi="宋体" w:cs="宋体"/>
          <w:color w:val="auto"/>
          <w:sz w:val="24"/>
          <w:highlight w:val="none"/>
          <w:lang w:val="zh-CN"/>
        </w:rPr>
        <w:t>按</w:t>
      </w:r>
      <w:r>
        <w:rPr>
          <w:rFonts w:hint="eastAsia" w:ascii="宋体" w:hAnsi="宋体" w:cs="宋体"/>
          <w:color w:val="auto"/>
          <w:sz w:val="24"/>
          <w:highlight w:val="none"/>
          <w:lang w:val="zh-CN"/>
        </w:rPr>
        <w:t>磋商文件</w:t>
      </w:r>
      <w:r>
        <w:rPr>
          <w:rFonts w:ascii="宋体" w:hAnsi="宋体" w:cs="宋体"/>
          <w:color w:val="auto"/>
          <w:sz w:val="24"/>
          <w:highlight w:val="none"/>
          <w:lang w:val="zh-CN"/>
        </w:rPr>
        <w:t>规定向采购人提供的产品和服务。</w:t>
      </w:r>
    </w:p>
    <w:p w14:paraId="202F67CF">
      <w:pPr>
        <w:autoSpaceDE w:val="0"/>
        <w:autoSpaceDN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9</w:t>
      </w:r>
      <w:r>
        <w:rPr>
          <w:rFonts w:ascii="宋体" w:hAnsi="宋体" w:cs="宋体"/>
          <w:color w:val="auto"/>
          <w:sz w:val="24"/>
          <w:highlight w:val="none"/>
        </w:rPr>
        <w:t>.</w:t>
      </w:r>
      <w:r>
        <w:rPr>
          <w:rFonts w:ascii="宋体" w:hAnsi="宋体" w:cs="宋体"/>
          <w:color w:val="auto"/>
          <w:sz w:val="24"/>
          <w:highlight w:val="none"/>
          <w:lang w:val="zh-CN"/>
        </w:rPr>
        <w:t>“书面形式”包括信函、传真、电报等。</w:t>
      </w:r>
    </w:p>
    <w:p w14:paraId="01DFDB72">
      <w:pPr>
        <w:autoSpaceDE w:val="0"/>
        <w:autoSpaceDN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10</w:t>
      </w:r>
      <w:r>
        <w:rPr>
          <w:rFonts w:ascii="宋体" w:hAnsi="宋体" w:cs="宋体"/>
          <w:color w:val="auto"/>
          <w:sz w:val="24"/>
          <w:highlight w:val="none"/>
          <w:lang w:val="zh-CN"/>
        </w:rPr>
        <w:t>.标有“▲”记号的条款系指实质性要求条款，不满足会造成</w:t>
      </w:r>
      <w:r>
        <w:rPr>
          <w:rFonts w:hint="eastAsia" w:ascii="宋体" w:hAnsi="宋体" w:cs="宋体"/>
          <w:color w:val="auto"/>
          <w:sz w:val="24"/>
          <w:highlight w:val="none"/>
          <w:lang w:val="zh-CN"/>
        </w:rPr>
        <w:t>磋商响应</w:t>
      </w:r>
      <w:r>
        <w:rPr>
          <w:rFonts w:ascii="宋体" w:hAnsi="宋体" w:cs="宋体"/>
          <w:color w:val="auto"/>
          <w:sz w:val="24"/>
          <w:highlight w:val="none"/>
          <w:lang w:val="zh-CN"/>
        </w:rPr>
        <w:t>文件无效。</w:t>
      </w:r>
    </w:p>
    <w:p w14:paraId="0103F840">
      <w:pPr>
        <w:autoSpaceDE w:val="0"/>
        <w:autoSpaceDN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11</w:t>
      </w:r>
      <w:r>
        <w:rPr>
          <w:rFonts w:ascii="宋体" w:hAnsi="宋体" w:cs="宋体"/>
          <w:color w:val="auto"/>
          <w:sz w:val="24"/>
          <w:highlight w:val="none"/>
        </w:rPr>
        <w:t>.</w:t>
      </w:r>
      <w:r>
        <w:rPr>
          <w:rFonts w:ascii="宋体" w:hAnsi="宋体" w:cs="宋体"/>
          <w:color w:val="auto"/>
          <w:sz w:val="24"/>
          <w:highlight w:val="none"/>
          <w:lang w:val="zh-CN"/>
        </w:rPr>
        <w:t>标有“★”记号的条款系指重要性要求条款，不满足对得分可能造成影响。</w:t>
      </w:r>
    </w:p>
    <w:p w14:paraId="1943F22E">
      <w:pPr>
        <w:pStyle w:val="3"/>
        <w:ind w:firstLine="482" w:firstLineChars="200"/>
        <w:rPr>
          <w:rFonts w:hint="eastAsia" w:cs="宋体"/>
          <w:color w:val="auto"/>
          <w:highlight w:val="none"/>
        </w:rPr>
      </w:pPr>
      <w:r>
        <w:rPr>
          <w:rFonts w:hint="eastAsia" w:cs="宋体"/>
          <w:color w:val="auto"/>
          <w:highlight w:val="none"/>
        </w:rPr>
        <w:t>二、竞争性磋商文件</w:t>
      </w:r>
    </w:p>
    <w:p w14:paraId="1523F0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val="zh-CN"/>
        </w:rPr>
        <w:t>竞争性磋商</w:t>
      </w:r>
      <w:r>
        <w:rPr>
          <w:rFonts w:hint="eastAsia" w:ascii="宋体" w:hAnsi="宋体"/>
          <w:color w:val="auto"/>
          <w:sz w:val="24"/>
          <w:highlight w:val="none"/>
        </w:rPr>
        <w:t>文件组成</w:t>
      </w:r>
    </w:p>
    <w:p w14:paraId="127D12E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zh-CN"/>
        </w:rPr>
        <w:t>竞争性磋商</w:t>
      </w:r>
      <w:r>
        <w:rPr>
          <w:rFonts w:hint="eastAsia" w:ascii="宋体" w:hAnsi="宋体"/>
          <w:color w:val="auto"/>
          <w:sz w:val="24"/>
          <w:highlight w:val="none"/>
        </w:rPr>
        <w:t>文件由</w:t>
      </w:r>
      <w:r>
        <w:rPr>
          <w:rFonts w:hint="eastAsia" w:ascii="宋体" w:hAnsi="宋体"/>
          <w:color w:val="auto"/>
          <w:sz w:val="24"/>
          <w:highlight w:val="none"/>
          <w:lang w:val="zh-CN"/>
        </w:rPr>
        <w:t>总目录所列内容组成。</w:t>
      </w:r>
    </w:p>
    <w:p w14:paraId="47311ED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val="zh-CN"/>
        </w:rPr>
        <w:t>竞争性磋商</w:t>
      </w:r>
      <w:r>
        <w:rPr>
          <w:rFonts w:hint="eastAsia" w:ascii="宋体" w:hAnsi="宋体"/>
          <w:color w:val="auto"/>
          <w:sz w:val="24"/>
          <w:highlight w:val="none"/>
        </w:rPr>
        <w:t>文件的澄清</w:t>
      </w:r>
    </w:p>
    <w:p w14:paraId="79195ABE">
      <w:pPr>
        <w:autoSpaceDE w:val="0"/>
        <w:autoSpaceDN w:val="0"/>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供应商如发现竞争性磋商文件中内容存在含糊不清、相互矛盾、多种含义以及歧视性不公正条款或违法、违规等有疑点要求澄清的，</w:t>
      </w:r>
      <w:r>
        <w:rPr>
          <w:rFonts w:hint="eastAsia" w:ascii="宋体" w:hAnsi="宋体"/>
          <w:bCs/>
          <w:color w:val="auto"/>
          <w:sz w:val="24"/>
          <w:highlight w:val="none"/>
          <w:lang w:val="zh-CN"/>
        </w:rPr>
        <w:t>请在</w:t>
      </w:r>
      <w:r>
        <w:rPr>
          <w:rFonts w:hint="eastAsia" w:ascii="宋体" w:hAnsi="宋体"/>
          <w:bCs/>
          <w:color w:val="auto"/>
          <w:sz w:val="24"/>
          <w:highlight w:val="none"/>
        </w:rPr>
        <w:t>“磋商须知”规定的时间内</w:t>
      </w:r>
      <w:r>
        <w:rPr>
          <w:rFonts w:hint="eastAsia" w:ascii="宋体" w:hAnsi="宋体"/>
          <w:bCs/>
          <w:color w:val="auto"/>
          <w:sz w:val="24"/>
          <w:highlight w:val="none"/>
          <w:lang w:val="zh-CN"/>
        </w:rPr>
        <w:t>把所需答疑的问题</w:t>
      </w:r>
      <w:r>
        <w:rPr>
          <w:rFonts w:hint="eastAsia" w:ascii="宋体" w:hAnsi="宋体"/>
          <w:b/>
          <w:bCs/>
          <w:color w:val="auto"/>
          <w:sz w:val="24"/>
          <w:highlight w:val="none"/>
          <w:lang w:val="zh-CN"/>
        </w:rPr>
        <w:t>以书面形式（盖单位公章）提交至采购代理机构，逾期不得再对竞争性磋商文件的条款提出疑问</w:t>
      </w:r>
      <w:r>
        <w:rPr>
          <w:rFonts w:hint="eastAsia" w:ascii="宋体" w:hAnsi="宋体"/>
          <w:color w:val="auto"/>
          <w:sz w:val="24"/>
          <w:highlight w:val="none"/>
          <w:lang w:val="zh-CN"/>
        </w:rPr>
        <w:t>，由此而导致供应商不成交或成交后产生不利因素的，责任由供应商自负。</w:t>
      </w:r>
    </w:p>
    <w:p w14:paraId="5BA01ACB">
      <w:pPr>
        <w:autoSpaceDE w:val="0"/>
        <w:autoSpaceDN w:val="0"/>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（三）竞争性磋商文件的修改</w:t>
      </w:r>
    </w:p>
    <w:p w14:paraId="3B1C6413">
      <w:pPr>
        <w:autoSpaceDE w:val="0"/>
        <w:autoSpaceDN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1</w:t>
      </w:r>
      <w:r>
        <w:rPr>
          <w:rFonts w:hint="eastAsia" w:ascii="宋体" w:hAnsi="宋体"/>
          <w:color w:val="auto"/>
          <w:sz w:val="24"/>
          <w:highlight w:val="none"/>
        </w:rPr>
        <w:t>.</w:t>
      </w:r>
      <w:r>
        <w:rPr>
          <w:rFonts w:hint="eastAsia" w:ascii="宋体" w:hAnsi="宋体"/>
          <w:color w:val="auto"/>
          <w:sz w:val="24"/>
          <w:highlight w:val="none"/>
          <w:lang w:val="zh-CN"/>
        </w:rPr>
        <w:t>在磋商响应文件提交截止时间前，招标采购单位有权修改竞争性磋商文件，并以书面形式通知所有参加磋商的供应商。修改文件作为竞争性磋商文件的补充和组成部分，对所有供应商均有约束力。</w:t>
      </w:r>
    </w:p>
    <w:p w14:paraId="7D7E37EB">
      <w:pPr>
        <w:autoSpaceDE w:val="0"/>
        <w:autoSpaceDN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2</w:t>
      </w:r>
      <w:r>
        <w:rPr>
          <w:rFonts w:hint="eastAsia" w:ascii="宋体" w:hAnsi="宋体"/>
          <w:color w:val="auto"/>
          <w:sz w:val="24"/>
          <w:highlight w:val="none"/>
        </w:rPr>
        <w:t>.</w:t>
      </w:r>
      <w:r>
        <w:rPr>
          <w:rFonts w:hint="eastAsia" w:ascii="宋体" w:hAnsi="宋体"/>
          <w:color w:val="auto"/>
          <w:sz w:val="24"/>
          <w:highlight w:val="none"/>
          <w:lang w:val="zh-CN"/>
        </w:rPr>
        <w:t>为使供应商有足够的时间按修改文件要求修正磋商响应文件，招标采购单位可视情推迟磋商响应文件提交截止时间和开启时间，并将此变更通知各供应商。</w:t>
      </w:r>
    </w:p>
    <w:p w14:paraId="11094C0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zh-CN"/>
        </w:rPr>
        <w:t>3</w:t>
      </w:r>
      <w:r>
        <w:rPr>
          <w:rFonts w:hint="eastAsia" w:ascii="宋体" w:hAnsi="宋体"/>
          <w:color w:val="auto"/>
          <w:sz w:val="24"/>
          <w:highlight w:val="none"/>
        </w:rPr>
        <w:t>.</w:t>
      </w:r>
      <w:r>
        <w:rPr>
          <w:rFonts w:hint="eastAsia" w:ascii="宋体" w:hAnsi="宋体"/>
          <w:color w:val="auto"/>
          <w:sz w:val="24"/>
          <w:highlight w:val="none"/>
          <w:lang w:val="zh-CN"/>
        </w:rPr>
        <w:t>竞争性磋商</w:t>
      </w:r>
      <w:r>
        <w:rPr>
          <w:rFonts w:ascii="宋体" w:hAnsi="宋体"/>
          <w:color w:val="auto"/>
          <w:sz w:val="24"/>
          <w:highlight w:val="none"/>
        </w:rPr>
        <w:t>文件的澄清、修改、补充等内容均以书面明确的内容为准。当</w:t>
      </w:r>
      <w:r>
        <w:rPr>
          <w:rFonts w:hint="eastAsia" w:ascii="宋体" w:hAnsi="宋体"/>
          <w:color w:val="auto"/>
          <w:sz w:val="24"/>
          <w:highlight w:val="none"/>
          <w:lang w:val="zh-CN"/>
        </w:rPr>
        <w:t>竞争性磋商</w:t>
      </w:r>
      <w:r>
        <w:rPr>
          <w:rFonts w:ascii="宋体" w:hAnsi="宋体"/>
          <w:color w:val="auto"/>
          <w:sz w:val="24"/>
          <w:highlight w:val="none"/>
        </w:rPr>
        <w:t>文件</w:t>
      </w:r>
      <w:r>
        <w:rPr>
          <w:rFonts w:hint="eastAsia" w:ascii="宋体" w:hAnsi="宋体"/>
          <w:color w:val="auto"/>
          <w:sz w:val="24"/>
          <w:highlight w:val="none"/>
        </w:rPr>
        <w:t>与</w:t>
      </w:r>
      <w:r>
        <w:rPr>
          <w:rFonts w:hint="eastAsia" w:ascii="宋体" w:hAnsi="宋体"/>
          <w:color w:val="auto"/>
          <w:sz w:val="24"/>
          <w:highlight w:val="none"/>
          <w:lang w:val="zh-CN"/>
        </w:rPr>
        <w:t>竞争性磋商</w:t>
      </w:r>
      <w:r>
        <w:rPr>
          <w:rFonts w:ascii="宋体" w:hAnsi="宋体"/>
          <w:color w:val="auto"/>
          <w:sz w:val="24"/>
          <w:highlight w:val="none"/>
        </w:rPr>
        <w:t>文件的澄清、修改、补充等在同一内容的表述上不一致时，以最后发出的书面文件为准。</w:t>
      </w:r>
    </w:p>
    <w:p w14:paraId="751E3C82">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（四）质疑和投诉</w:t>
      </w:r>
    </w:p>
    <w:p w14:paraId="4CD12F28">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1.</w:t>
      </w:r>
      <w:r>
        <w:rPr>
          <w:rFonts w:hint="eastAsia" w:ascii="宋体" w:hAnsi="宋体"/>
          <w:color w:val="auto"/>
          <w:sz w:val="24"/>
          <w:highlight w:val="none"/>
          <w:lang w:val="zh-CN"/>
        </w:rPr>
        <w:t>供应商认为磋商文件、采购过程、成交结果使自己的权益受到损害的，可以在知道或者应知其权益受到损害之日起7个工作日内，以书面形式向采购人、采购代理机构提出质疑。</w:t>
      </w:r>
    </w:p>
    <w:p w14:paraId="11B1FC5C">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2.</w:t>
      </w:r>
      <w:r>
        <w:rPr>
          <w:rFonts w:hint="eastAsia" w:ascii="宋体" w:hAnsi="宋体"/>
          <w:color w:val="auto"/>
          <w:sz w:val="24"/>
          <w:highlight w:val="none"/>
          <w:lang w:val="zh-CN"/>
        </w:rPr>
        <w:t>提出质疑的供应商应当是参与所质疑项目采购活动的供应商。</w:t>
      </w:r>
    </w:p>
    <w:p w14:paraId="632E662F">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潜在供应商已依法获取其可质疑的磋商文件的，可以对该文件提出质疑。对磋商文件提出质疑的，应当在获取磋商文件或者磋商文件公告期限届满之日起7个工作日内提出，未提交磋商响应文件视同未获取磋商文件。</w:t>
      </w:r>
    </w:p>
    <w:p w14:paraId="70C485E0">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3.</w:t>
      </w:r>
      <w:r>
        <w:rPr>
          <w:rFonts w:hint="eastAsia" w:ascii="宋体" w:hAnsi="宋体"/>
          <w:color w:val="auto"/>
          <w:sz w:val="24"/>
          <w:highlight w:val="none"/>
          <w:lang w:val="zh-CN"/>
        </w:rPr>
        <w:t>同一采购程序环节的质疑，供应商须一次性提出，否则不予以答复。</w:t>
      </w:r>
    </w:p>
    <w:p w14:paraId="154A568E">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质疑主要内容应符合《政府采购质疑和投诉办法》（财政部94号令）和《浙江政府采购供应商质疑处理管理办法》（浙财采监〔2012〕18号）规定，质疑内容涉及保密事项，质疑人应提供有效的信息来源或有效证据。</w:t>
      </w:r>
    </w:p>
    <w:p w14:paraId="65328EC6">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5.</w:t>
      </w:r>
      <w:r>
        <w:rPr>
          <w:rFonts w:hint="eastAsia" w:ascii="宋体" w:hAnsi="宋体"/>
          <w:color w:val="auto"/>
          <w:sz w:val="24"/>
          <w:highlight w:val="none"/>
          <w:lang w:val="zh-CN"/>
        </w:rPr>
        <w:t>质疑人可直接提交、传真或邮寄方式提交质疑函（一式三份以上）。以其他方式提出的质疑，采购人或采购代理机构可不予接受、答复。</w:t>
      </w:r>
    </w:p>
    <w:p w14:paraId="296AD214">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rPr>
        <w:t>1</w:t>
      </w:r>
      <w:r>
        <w:rPr>
          <w:rFonts w:hint="eastAsia" w:ascii="宋体" w:hAnsi="宋体"/>
          <w:color w:val="auto"/>
          <w:sz w:val="24"/>
          <w:highlight w:val="none"/>
          <w:lang w:val="zh-CN"/>
        </w:rPr>
        <w:t>）邮寄方式送达质疑函的，以采购人或采购代理机构实际收到邮件之日作为收到质疑的日期。</w:t>
      </w:r>
    </w:p>
    <w:p w14:paraId="65207842">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rPr>
        <w:t>2</w:t>
      </w:r>
      <w:r>
        <w:rPr>
          <w:rFonts w:hint="eastAsia" w:ascii="宋体" w:hAnsi="宋体"/>
          <w:color w:val="auto"/>
          <w:sz w:val="24"/>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1F73199B">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rPr>
        <w:t>3</w:t>
      </w:r>
      <w:r>
        <w:rPr>
          <w:rFonts w:hint="eastAsia" w:ascii="宋体" w:hAnsi="宋体"/>
          <w:color w:val="auto"/>
          <w:sz w:val="24"/>
          <w:highlight w:val="none"/>
          <w:lang w:val="zh-CN"/>
        </w:rPr>
        <w:t>）在质疑期限届满前，质疑函已经邮寄或传真成功的，质疑不视为过期。</w:t>
      </w:r>
    </w:p>
    <w:p w14:paraId="6997ADCB">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7.</w:t>
      </w:r>
      <w:r>
        <w:rPr>
          <w:rFonts w:hint="eastAsia" w:ascii="宋体" w:hAnsi="宋体"/>
          <w:color w:val="auto"/>
          <w:sz w:val="24"/>
          <w:highlight w:val="none"/>
          <w:lang w:val="zh-CN"/>
        </w:rPr>
        <w:t>相关当事人提供外文证书或者外国语视听资料的，应当附有中文译本，由翻译机构盖章或者翻译人员签名。</w:t>
      </w:r>
    </w:p>
    <w:p w14:paraId="5182AE4F">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8.</w:t>
      </w:r>
      <w:r>
        <w:rPr>
          <w:rFonts w:hint="eastAsia" w:ascii="宋体" w:hAnsi="宋体"/>
          <w:color w:val="auto"/>
          <w:sz w:val="24"/>
          <w:highlight w:val="none"/>
          <w:lang w:val="zh-CN"/>
        </w:rPr>
        <w:t>采购人或采购代理机构在收到质疑人的书面质疑后7个工作日内作出答复，并以书面形式答复质疑人；</w:t>
      </w:r>
    </w:p>
    <w:p w14:paraId="121FB288">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9.</w:t>
      </w:r>
      <w:r>
        <w:rPr>
          <w:rFonts w:hint="eastAsia" w:ascii="宋体" w:hAnsi="宋体"/>
          <w:color w:val="auto"/>
          <w:sz w:val="24"/>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14:paraId="2DA334BB">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10.</w:t>
      </w:r>
      <w:r>
        <w:rPr>
          <w:rFonts w:hint="eastAsia" w:ascii="宋体" w:hAnsi="宋体"/>
          <w:color w:val="auto"/>
          <w:sz w:val="24"/>
          <w:highlight w:val="none"/>
          <w:lang w:val="zh-CN"/>
        </w:rPr>
        <w:t>质疑人对采购人或采购代理机构的答复不满意或者采购人、采购代理机构未在规定时间内答复的，可以在答复期满后15个工作日内向同级政府采购监督管理部门提起投诉；</w:t>
      </w:r>
    </w:p>
    <w:p w14:paraId="035C38B0">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11.</w:t>
      </w:r>
      <w:r>
        <w:rPr>
          <w:rFonts w:hint="eastAsia" w:ascii="宋体" w:hAnsi="宋体"/>
          <w:color w:val="auto"/>
          <w:sz w:val="24"/>
          <w:highlight w:val="none"/>
          <w:lang w:val="zh-CN"/>
        </w:rPr>
        <w:t>同级政府采购监督管理部门：长兴县财政局政府采购监管科</w:t>
      </w:r>
    </w:p>
    <w:p w14:paraId="5D83DBC7">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rPr>
        <w:t>12.</w:t>
      </w:r>
      <w:r>
        <w:rPr>
          <w:rFonts w:hint="eastAsia" w:ascii="宋体" w:hAnsi="宋体"/>
          <w:color w:val="auto"/>
          <w:sz w:val="24"/>
          <w:highlight w:val="none"/>
          <w:lang w:val="zh-CN"/>
        </w:rPr>
        <w:t>质疑函、投诉书范本在浙江政府采购网（www.zjzfcg.gov.cn）-下载专区中下载。</w:t>
      </w:r>
    </w:p>
    <w:p w14:paraId="70F843B8">
      <w:pPr>
        <w:spacing w:line="360" w:lineRule="auto"/>
        <w:ind w:firstLine="480" w:firstLineChars="200"/>
        <w:rPr>
          <w:rFonts w:hint="eastAsia" w:ascii="宋体" w:hAnsi="宋体"/>
          <w:color w:val="auto"/>
          <w:sz w:val="24"/>
          <w:highlight w:val="none"/>
          <w:lang w:val="zh-CN"/>
        </w:rPr>
      </w:pPr>
      <w:bookmarkStart w:id="69" w:name="_Toc172338036"/>
      <w:bookmarkStart w:id="70" w:name="_Toc172337886"/>
      <w:bookmarkStart w:id="71" w:name="_Toc182125820"/>
      <w:bookmarkStart w:id="72" w:name="_Toc174767470"/>
      <w:bookmarkStart w:id="73" w:name="_Toc182125897"/>
      <w:bookmarkStart w:id="74" w:name="_Toc269397670"/>
      <w:r>
        <w:rPr>
          <w:rFonts w:hint="eastAsia" w:ascii="宋体" w:hAnsi="宋体"/>
          <w:color w:val="auto"/>
          <w:sz w:val="24"/>
          <w:highlight w:val="none"/>
          <w:lang w:val="zh-CN"/>
        </w:rPr>
        <w:t>（五）</w:t>
      </w:r>
      <w:r>
        <w:rPr>
          <w:rFonts w:hint="eastAsia" w:ascii="宋体" w:hAnsi="宋体"/>
          <w:color w:val="auto"/>
          <w:sz w:val="24"/>
          <w:highlight w:val="none"/>
        </w:rPr>
        <w:t>供应商的风险</w:t>
      </w:r>
    </w:p>
    <w:p w14:paraId="494FC26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应认真阅读磋商文件中所有的事项、格式、条款和技术规范、参数及相关要求等。供应商没有按照磋商文件要求提交全部资料，或者投标没有对磋商文件在各方面都做出实质性响应是供应商的风险，有可能导致其投标被拒绝，或被按照无效投标处理或被确定为投标无效。</w:t>
      </w:r>
    </w:p>
    <w:p w14:paraId="16843830">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三、</w:t>
      </w:r>
      <w:bookmarkEnd w:id="69"/>
      <w:bookmarkEnd w:id="70"/>
      <w:bookmarkEnd w:id="71"/>
      <w:bookmarkEnd w:id="72"/>
      <w:bookmarkEnd w:id="73"/>
      <w:r>
        <w:rPr>
          <w:rFonts w:hint="eastAsia" w:ascii="宋体" w:hAnsi="宋体"/>
          <w:b/>
          <w:bCs/>
          <w:color w:val="auto"/>
          <w:sz w:val="24"/>
          <w:highlight w:val="none"/>
        </w:rPr>
        <w:t>磋商响应文件的编制</w:t>
      </w:r>
      <w:bookmarkEnd w:id="74"/>
    </w:p>
    <w:p w14:paraId="721F20EE">
      <w:pPr>
        <w:autoSpaceDE w:val="0"/>
        <w:autoSpaceDN w:val="0"/>
        <w:spacing w:line="360" w:lineRule="auto"/>
        <w:ind w:firstLine="421"/>
        <w:rPr>
          <w:rFonts w:hint="eastAsia" w:ascii="宋体" w:hAnsi="宋体"/>
          <w:b/>
          <w:color w:val="auto"/>
          <w:sz w:val="24"/>
          <w:highlight w:val="none"/>
          <w:u w:val="single"/>
        </w:rPr>
      </w:pPr>
      <w:r>
        <w:rPr>
          <w:rFonts w:hint="eastAsia" w:ascii="宋体" w:hAnsi="宋体"/>
          <w:b/>
          <w:color w:val="auto"/>
          <w:sz w:val="24"/>
          <w:highlight w:val="none"/>
          <w:u w:val="single"/>
        </w:rPr>
        <w:t>磋商响应文件的形式、组成和效力详见“供应商须知前附表”。</w:t>
      </w:r>
    </w:p>
    <w:p w14:paraId="57E3C92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（一）磋商响应文件格式</w:t>
      </w:r>
    </w:p>
    <w:p w14:paraId="1696D317">
      <w:pPr>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1</w:t>
      </w:r>
      <w:r>
        <w:rPr>
          <w:rFonts w:hint="eastAsia" w:ascii="宋体" w:hAnsi="宋体"/>
          <w:color w:val="auto"/>
          <w:sz w:val="24"/>
          <w:highlight w:val="none"/>
        </w:rPr>
        <w:t>.</w:t>
      </w:r>
      <w:r>
        <w:rPr>
          <w:rFonts w:hint="eastAsia" w:ascii="宋体" w:hAnsi="宋体"/>
          <w:color w:val="auto"/>
          <w:sz w:val="24"/>
          <w:highlight w:val="none"/>
          <w:lang w:val="zh-CN"/>
        </w:rPr>
        <w:t>供应商应按竞争性磋商文件中所提出的格式要求编制。</w:t>
      </w:r>
    </w:p>
    <w:p w14:paraId="76E2D88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zh-CN"/>
        </w:rPr>
        <w:t>2</w:t>
      </w:r>
      <w:r>
        <w:rPr>
          <w:rFonts w:hint="eastAsia" w:ascii="宋体" w:hAnsi="宋体"/>
          <w:color w:val="auto"/>
          <w:sz w:val="24"/>
          <w:highlight w:val="none"/>
        </w:rPr>
        <w:t>.本次纸质备份磋商响应文件所用的纸张一律采用A4型纸，相关内容需打印或用不退色的墨水填写。</w:t>
      </w:r>
    </w:p>
    <w:p w14:paraId="63E622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供应商提交的响应文件、技术文件和资料，包括图纸中的说明，以及供应商与采购代理公司就有关磋商的所有来往函电均应使用中文。响应文件中若有英文或其他语言文字的资料，应提供相应的中文翻译资料。对不同文本响应文件的解释发生异议的，以中文文本为准。</w:t>
      </w:r>
    </w:p>
    <w:p w14:paraId="149FE5A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4.磋商响应文件</w:t>
      </w:r>
      <w:r>
        <w:rPr>
          <w:rFonts w:ascii="宋体" w:hAnsi="宋体"/>
          <w:color w:val="auto"/>
          <w:sz w:val="24"/>
          <w:highlight w:val="none"/>
        </w:rPr>
        <w:t>使用的度量衡单位，均采用中华人民共和国法定计量单位</w:t>
      </w:r>
      <w:r>
        <w:rPr>
          <w:rFonts w:hint="eastAsia" w:ascii="宋体" w:hAnsi="宋体"/>
          <w:color w:val="auto"/>
          <w:sz w:val="24"/>
          <w:highlight w:val="none"/>
        </w:rPr>
        <w:t>（</w:t>
      </w:r>
      <w:r>
        <w:rPr>
          <w:rFonts w:ascii="宋体" w:hAnsi="宋体"/>
          <w:color w:val="auto"/>
          <w:sz w:val="24"/>
          <w:highlight w:val="none"/>
        </w:rPr>
        <w:t>除规范另有规定外</w:t>
      </w:r>
      <w:r>
        <w:rPr>
          <w:rFonts w:hint="eastAsia" w:ascii="宋体" w:hAnsi="宋体"/>
          <w:color w:val="auto"/>
          <w:sz w:val="24"/>
          <w:highlight w:val="none"/>
        </w:rPr>
        <w:t>）</w:t>
      </w:r>
      <w:r>
        <w:rPr>
          <w:rFonts w:ascii="宋体" w:hAnsi="宋体"/>
          <w:color w:val="auto"/>
          <w:sz w:val="24"/>
          <w:highlight w:val="none"/>
        </w:rPr>
        <w:t>。</w:t>
      </w:r>
    </w:p>
    <w:p w14:paraId="38883D39">
      <w:pPr>
        <w:autoSpaceDE w:val="0"/>
        <w:autoSpaceDN w:val="0"/>
        <w:spacing w:line="360" w:lineRule="auto"/>
        <w:rPr>
          <w:rFonts w:hint="eastAsia" w:ascii="宋体" w:hAnsi="宋体"/>
          <w:color w:val="auto"/>
          <w:sz w:val="24"/>
          <w:highlight w:val="none"/>
          <w:lang w:val="zh-CN"/>
        </w:rPr>
      </w:pPr>
      <w:r>
        <w:rPr>
          <w:rFonts w:hint="eastAsia" w:ascii="宋体" w:hAnsi="宋体"/>
          <w:color w:val="auto"/>
          <w:sz w:val="24"/>
          <w:highlight w:val="none"/>
        </w:rPr>
        <w:t xml:space="preserve">    5.</w:t>
      </w:r>
      <w:r>
        <w:rPr>
          <w:rFonts w:hint="eastAsia" w:ascii="宋体" w:hAnsi="宋体"/>
          <w:color w:val="auto"/>
          <w:sz w:val="24"/>
          <w:highlight w:val="none"/>
          <w:lang w:val="zh-CN"/>
        </w:rPr>
        <w:t>供应商应仔细阅读竞争性磋商文件中的所有内容，按竞争性磋商文件要求详细编制磋商响应文件，并保证磋商响应文件的正确性和真实性，所有文件资料必须是针对本次磋商。</w:t>
      </w:r>
    </w:p>
    <w:p w14:paraId="1146572F">
      <w:pPr>
        <w:autoSpaceDE w:val="0"/>
        <w:autoSpaceDN w:val="0"/>
        <w:spacing w:line="360" w:lineRule="auto"/>
        <w:rPr>
          <w:rFonts w:hint="eastAsia" w:ascii="宋体" w:hAnsi="宋体"/>
          <w:color w:val="auto"/>
          <w:sz w:val="24"/>
          <w:highlight w:val="none"/>
          <w:lang w:val="zh-CN"/>
        </w:rPr>
      </w:pPr>
      <w:r>
        <w:rPr>
          <w:rFonts w:hint="eastAsia" w:ascii="宋体" w:hAnsi="宋体"/>
          <w:color w:val="auto"/>
          <w:sz w:val="24"/>
          <w:highlight w:val="none"/>
        </w:rPr>
        <w:t xml:space="preserve">    6.</w:t>
      </w:r>
      <w:r>
        <w:rPr>
          <w:rFonts w:hint="eastAsia" w:ascii="宋体" w:hAnsi="宋体"/>
          <w:color w:val="auto"/>
          <w:sz w:val="24"/>
          <w:highlight w:val="none"/>
          <w:lang w:val="zh-CN"/>
        </w:rPr>
        <w:t>磋商响应文件如有错漏必须修改，修改处须加盖单位公章或校正章。</w:t>
      </w:r>
    </w:p>
    <w:p w14:paraId="085D8FEC">
      <w:pPr>
        <w:autoSpaceDE w:val="0"/>
        <w:autoSpaceDN w:val="0"/>
        <w:spacing w:line="360" w:lineRule="auto"/>
        <w:rPr>
          <w:rFonts w:hint="eastAsia" w:ascii="宋体" w:hAnsi="宋体"/>
          <w:color w:val="auto"/>
          <w:sz w:val="24"/>
          <w:highlight w:val="none"/>
          <w:lang w:val="zh-CN"/>
        </w:rPr>
      </w:pPr>
      <w:r>
        <w:rPr>
          <w:rFonts w:hint="eastAsia" w:ascii="宋体" w:hAnsi="宋体"/>
          <w:color w:val="auto"/>
          <w:sz w:val="24"/>
          <w:highlight w:val="none"/>
        </w:rPr>
        <w:t xml:space="preserve">    7.</w:t>
      </w:r>
      <w:r>
        <w:rPr>
          <w:rFonts w:hint="eastAsia" w:ascii="宋体" w:hAnsi="宋体"/>
          <w:color w:val="auto"/>
          <w:sz w:val="24"/>
          <w:highlight w:val="none"/>
          <w:lang w:val="zh-CN"/>
        </w:rPr>
        <w:t>由于字迹模糊或表达不清所引起的后果由供应商自负。</w:t>
      </w:r>
    </w:p>
    <w:p w14:paraId="1E32DBFA">
      <w:pPr>
        <w:autoSpaceDE w:val="0"/>
        <w:autoSpaceDN w:val="0"/>
        <w:spacing w:line="360" w:lineRule="auto"/>
        <w:rPr>
          <w:rFonts w:hint="eastAsia" w:ascii="宋体" w:hAnsi="宋体"/>
          <w:color w:val="auto"/>
          <w:sz w:val="24"/>
          <w:highlight w:val="none"/>
          <w:lang w:val="zh-CN"/>
        </w:rPr>
      </w:pPr>
      <w:r>
        <w:rPr>
          <w:rFonts w:hint="eastAsia" w:ascii="宋体" w:hAnsi="宋体"/>
          <w:color w:val="auto"/>
          <w:sz w:val="24"/>
          <w:highlight w:val="none"/>
        </w:rPr>
        <w:t xml:space="preserve">    8.</w:t>
      </w:r>
      <w:r>
        <w:rPr>
          <w:rFonts w:hint="eastAsia" w:ascii="宋体" w:hAnsi="宋体"/>
          <w:color w:val="auto"/>
          <w:sz w:val="24"/>
          <w:highlight w:val="none"/>
          <w:lang w:val="zh-CN"/>
        </w:rPr>
        <w:t>不按竞争性磋商文件要求密封的磋商响应文件将被拒绝。</w:t>
      </w:r>
    </w:p>
    <w:p w14:paraId="1DFC72BE">
      <w:pPr>
        <w:spacing w:line="360" w:lineRule="auto"/>
        <w:rPr>
          <w:rFonts w:hint="eastAsia" w:ascii="宋体" w:hAnsi="宋体"/>
          <w:color w:val="auto"/>
          <w:sz w:val="24"/>
          <w:highlight w:val="none"/>
        </w:rPr>
      </w:pPr>
      <w:r>
        <w:rPr>
          <w:rFonts w:hint="eastAsia" w:ascii="宋体" w:hAnsi="宋体"/>
          <w:color w:val="auto"/>
          <w:sz w:val="24"/>
          <w:highlight w:val="none"/>
        </w:rPr>
        <w:t>（二）磋商响应文件的组成：</w:t>
      </w:r>
    </w:p>
    <w:p w14:paraId="575B898B">
      <w:pPr>
        <w:autoSpaceDE w:val="0"/>
        <w:autoSpaceDN w:val="0"/>
        <w:spacing w:line="360" w:lineRule="auto"/>
        <w:ind w:firstLine="421"/>
        <w:rPr>
          <w:rFonts w:hint="eastAsia" w:ascii="宋体" w:hAnsi="宋体" w:cs="宋体"/>
          <w:color w:val="auto"/>
          <w:sz w:val="24"/>
          <w:highlight w:val="none"/>
          <w:lang w:val="zh-CN"/>
        </w:rPr>
      </w:pPr>
      <w:r>
        <w:rPr>
          <w:rFonts w:hint="eastAsia" w:ascii="宋体" w:hAnsi="宋体" w:cs="宋体"/>
          <w:color w:val="auto"/>
          <w:sz w:val="24"/>
          <w:highlight w:val="none"/>
          <w:lang w:val="zh-CN"/>
        </w:rPr>
        <w:t>磋商响应文件</w:t>
      </w:r>
      <w:r>
        <w:rPr>
          <w:rFonts w:ascii="宋体" w:hAnsi="宋体" w:cs="宋体"/>
          <w:color w:val="auto"/>
          <w:sz w:val="24"/>
          <w:highlight w:val="none"/>
          <w:lang w:val="zh-CN"/>
        </w:rPr>
        <w:t>由</w:t>
      </w:r>
      <w:r>
        <w:rPr>
          <w:rFonts w:hint="eastAsia" w:ascii="宋体" w:hAnsi="宋体" w:cs="宋体"/>
          <w:color w:val="auto"/>
          <w:sz w:val="24"/>
          <w:highlight w:val="none"/>
          <w:lang w:val="zh-CN"/>
        </w:rPr>
        <w:t>资信商务及技术文件</w:t>
      </w:r>
      <w:r>
        <w:rPr>
          <w:rFonts w:ascii="宋体" w:hAnsi="宋体" w:cs="宋体"/>
          <w:color w:val="auto"/>
          <w:sz w:val="24"/>
          <w:highlight w:val="none"/>
          <w:lang w:val="zh-CN"/>
        </w:rPr>
        <w:t>、报价文件</w:t>
      </w:r>
      <w:r>
        <w:rPr>
          <w:rFonts w:hint="eastAsia" w:ascii="宋体" w:hAnsi="宋体" w:cs="宋体"/>
          <w:color w:val="auto"/>
          <w:sz w:val="24"/>
          <w:highlight w:val="none"/>
          <w:lang w:val="zh-CN"/>
        </w:rPr>
        <w:t>两</w:t>
      </w:r>
      <w:r>
        <w:rPr>
          <w:rFonts w:ascii="宋体" w:hAnsi="宋体" w:cs="宋体"/>
          <w:color w:val="auto"/>
          <w:sz w:val="24"/>
          <w:highlight w:val="none"/>
          <w:lang w:val="zh-CN"/>
        </w:rPr>
        <w:t>部份组成。</w:t>
      </w:r>
    </w:p>
    <w:p w14:paraId="741019D9">
      <w:pPr>
        <w:autoSpaceDE w:val="0"/>
        <w:autoSpaceDN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请根据评标方法在磋商响应文件中提供相关证明材料（复印件加盖公章，</w:t>
      </w:r>
      <w:r>
        <w:rPr>
          <w:rFonts w:hint="eastAsia" w:ascii="宋体" w:hAnsi="宋体" w:cs="宋体"/>
          <w:b/>
          <w:bCs/>
          <w:color w:val="auto"/>
          <w:sz w:val="24"/>
          <w:highlight w:val="none"/>
          <w:u w:val="single"/>
          <w:lang w:val="zh-CN"/>
        </w:rPr>
        <w:t>复印件应清晰可辨认</w:t>
      </w:r>
      <w:r>
        <w:rPr>
          <w:rFonts w:hint="eastAsia" w:ascii="宋体" w:hAnsi="宋体" w:cs="宋体"/>
          <w:b/>
          <w:bCs/>
          <w:color w:val="auto"/>
          <w:sz w:val="24"/>
          <w:highlight w:val="none"/>
          <w:lang w:val="zh-CN"/>
        </w:rPr>
        <w:t>），注明原件核查的，开标现场需递交原件，以原件计分，未提供原件不得分；注明原件备查的，届时查询时未提供原件不得分。</w:t>
      </w:r>
    </w:p>
    <w:p w14:paraId="00097E02">
      <w:pPr>
        <w:autoSpaceDE w:val="0"/>
        <w:autoSpaceDN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1.资信商务及技术文件：</w:t>
      </w:r>
    </w:p>
    <w:p w14:paraId="3393C81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1）磋商声明书（见格式）；</w:t>
      </w:r>
    </w:p>
    <w:p w14:paraId="3711CB0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2）法定代表人身份证明书或法定代表人授权委托书（见格式）；</w:t>
      </w:r>
    </w:p>
    <w:p w14:paraId="36163F4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▲3）资格审查资料（缺项或未提供的视为资格审查不通过，按无效标处理）：</w:t>
      </w:r>
    </w:p>
    <w:p w14:paraId="0A59BA9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a.符合参加政府采购活动应当具备条件的承诺函（见格式）；</w:t>
      </w:r>
    </w:p>
    <w:p w14:paraId="2B52C21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b.企业营业执照；</w:t>
      </w:r>
    </w:p>
    <w:p w14:paraId="5E4BE31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c.自公告发布之日起至投标截止日前任意时间的“信用中国”（www.creditchina.gov.cn）、“中国政府采购网”（www.ccgp.gov.cn）投标人信用查询网页截图（网页截图加盖投标人公章）。</w:t>
      </w:r>
    </w:p>
    <w:p w14:paraId="2AF6BF2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d.《中小企业声明函》（见格式）；</w:t>
      </w:r>
    </w:p>
    <w:p w14:paraId="59CFE2D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《残疾人福利性单位声明函》（见格式，若不符合可不提供）；</w:t>
      </w:r>
    </w:p>
    <w:p w14:paraId="6D4C830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属于监狱企业的证明文件（格式自拟，若不符合可不提供）；</w:t>
      </w:r>
    </w:p>
    <w:p w14:paraId="2476F7B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4）供应商基本情况表（见格式）；</w:t>
      </w:r>
    </w:p>
    <w:p w14:paraId="66752DC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5）供应商廉洁守信承诺书（见格式）；</w:t>
      </w:r>
    </w:p>
    <w:p w14:paraId="409F4CA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6）商务响应表（见格式）；</w:t>
      </w:r>
    </w:p>
    <w:p w14:paraId="18DE3FB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7）技术偏离表（见格式）；</w:t>
      </w:r>
    </w:p>
    <w:p w14:paraId="609C75F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8）对本项目总体要求的理解；</w:t>
      </w:r>
    </w:p>
    <w:p w14:paraId="7D2E0BD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）拟投入的人员配备表（见格式）；</w:t>
      </w:r>
    </w:p>
    <w:p w14:paraId="1B1E429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）评分规则中涉及的所需提交的材料（参考对应评分项）；</w:t>
      </w:r>
    </w:p>
    <w:p w14:paraId="04E4CA6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）供应商需要说明的其他文件和说明。</w:t>
      </w:r>
    </w:p>
    <w:p w14:paraId="39A49FAB">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2.报价文件：</w:t>
      </w:r>
    </w:p>
    <w:p w14:paraId="522B56B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 磋商函</w:t>
      </w:r>
      <w:r>
        <w:rPr>
          <w:rFonts w:hint="eastAsia" w:ascii="宋体" w:hAnsi="宋体" w:cs="宋体"/>
          <w:color w:val="auto"/>
          <w:sz w:val="24"/>
          <w:highlight w:val="none"/>
        </w:rPr>
        <w:t>（格式见附件）</w:t>
      </w:r>
    </w:p>
    <w:p w14:paraId="1A295E51">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rPr>
        <w:t>（2） 磋商报价一览表</w:t>
      </w:r>
      <w:r>
        <w:rPr>
          <w:rFonts w:hint="eastAsia" w:ascii="宋体" w:hAnsi="宋体" w:cs="宋体"/>
          <w:color w:val="auto"/>
          <w:sz w:val="24"/>
          <w:highlight w:val="none"/>
        </w:rPr>
        <w:t>（格式见附件）</w:t>
      </w:r>
    </w:p>
    <w:p w14:paraId="469693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）供应商针对报价需要说明的其他文件和说明。(如供应商的报价明显低于其他通过符合性审查投标人的报价或低于最高限价50%的（</w:t>
      </w:r>
      <w:r>
        <w:rPr>
          <w:rFonts w:hint="eastAsia" w:ascii="宋体" w:hAnsi="宋体" w:cs="宋体"/>
          <w:color w:val="auto"/>
          <w:sz w:val="24"/>
          <w:highlight w:val="none"/>
          <w:lang w:val="en-US" w:eastAsia="zh-CN"/>
        </w:rPr>
        <w:t>225</w:t>
      </w:r>
      <w:r>
        <w:rPr>
          <w:rFonts w:hint="eastAsia" w:ascii="宋体" w:hAnsi="宋体" w:cs="宋体"/>
          <w:color w:val="auto"/>
          <w:sz w:val="24"/>
          <w:highlight w:val="none"/>
        </w:rPr>
        <w:t>000元），应当提交报价情况说明，详细阐述不影响产品质量或者诚信履约的具体原因。)</w:t>
      </w:r>
    </w:p>
    <w:p w14:paraId="49D63560">
      <w:pPr>
        <w:autoSpaceDE w:val="0"/>
        <w:autoSpaceDN w:val="0"/>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（三）供应商磋商响应文件内容填写说明</w:t>
      </w:r>
    </w:p>
    <w:p w14:paraId="260459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1.所有报价均应使用人民币（元）表示；</w:t>
      </w:r>
    </w:p>
    <w:p w14:paraId="08EE16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2.供应商应按本次磋商项目进行报价，不得缺项和漏项；</w:t>
      </w:r>
    </w:p>
    <w:p w14:paraId="12C532B6">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 3.供应商应按竞争性磋商文件规定的，只允许有一个报价，任何有选择性的报价，将不予接受；</w:t>
      </w:r>
    </w:p>
    <w:p w14:paraId="0F591CD8">
      <w:pPr>
        <w:spacing w:line="360" w:lineRule="auto"/>
        <w:ind w:firstLine="526" w:firstLineChars="200"/>
        <w:jc w:val="left"/>
        <w:outlineLvl w:val="0"/>
        <w:rPr>
          <w:rFonts w:hint="eastAsia" w:ascii="宋体" w:hAnsi="宋体" w:cs="宋体"/>
          <w:b/>
          <w:color w:val="auto"/>
          <w:spacing w:val="11"/>
          <w:sz w:val="24"/>
          <w:highlight w:val="none"/>
        </w:rPr>
      </w:pPr>
      <w:r>
        <w:rPr>
          <w:rFonts w:hint="eastAsia" w:ascii="宋体" w:hAnsi="宋体" w:cs="宋体"/>
          <w:b/>
          <w:color w:val="auto"/>
          <w:spacing w:val="11"/>
          <w:sz w:val="24"/>
          <w:highlight w:val="none"/>
        </w:rPr>
        <w:t>4.磋商分二轮进行，首次报价在响应文件中体现；最后报价由各磋商供应商在规定的时间内在政采云平台在线完成；政采云平台在线报价操作失败的，供应商应及时联系采购代理机构，通过指定的电子邮箱提供（最后报价函格式见附件，指定邮箱号：2495581683@qq.com）。因本项目采用竞争性磋商方式，成交价是在首次磋商报价的基础上整体下浮，单价按最后报价与首次报价同比例下浮。</w:t>
      </w:r>
    </w:p>
    <w:p w14:paraId="4952AB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5.供应商的最后报价由供应商自担全部风险责任；</w:t>
      </w:r>
    </w:p>
    <w:p w14:paraId="4ED81745">
      <w:pPr>
        <w:tabs>
          <w:tab w:val="left" w:pos="72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6.各供应商拟采取的竞争措施和提供给采购人的优惠条件应在磋商响应文件中列明；</w:t>
      </w:r>
    </w:p>
    <w:p w14:paraId="38AD3997">
      <w:pPr>
        <w:tabs>
          <w:tab w:val="left" w:pos="72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7.供应商所有优惠条件和优惠费用不得降低和影响本项目质量；</w:t>
      </w:r>
    </w:p>
    <w:p w14:paraId="20F21AE2">
      <w:pPr>
        <w:tabs>
          <w:tab w:val="left" w:pos="72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8.报价大写与小写不符时以大写为准；</w:t>
      </w:r>
    </w:p>
    <w:p w14:paraId="3A4C206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9.供应商对磋商响应文件里有关磋商报价的全部内容应仔细确认，若有个别异议，应在开标前提出修改意见，否则视同全部确认。</w:t>
      </w:r>
    </w:p>
    <w:p w14:paraId="22AD13B8">
      <w:pPr>
        <w:tabs>
          <w:tab w:val="left" w:pos="720"/>
        </w:tabs>
        <w:spacing w:line="360" w:lineRule="auto"/>
        <w:ind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（四）磋商保证金:无</w:t>
      </w:r>
    </w:p>
    <w:p w14:paraId="0FB72FE9">
      <w:pPr>
        <w:tabs>
          <w:tab w:val="left" w:pos="36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（五）磋商有效期</w:t>
      </w:r>
    </w:p>
    <w:p w14:paraId="1A2C5E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1.磋商响应文件的有效期为</w:t>
      </w:r>
      <w:r>
        <w:rPr>
          <w:rFonts w:hint="eastAsia" w:ascii="宋体" w:hAnsi="宋体" w:cs="宋体"/>
          <w:color w:val="auto"/>
          <w:sz w:val="24"/>
          <w:highlight w:val="none"/>
          <w:u w:val="single"/>
        </w:rPr>
        <w:t>响应截止之日后的60日历天</w:t>
      </w:r>
      <w:r>
        <w:rPr>
          <w:rFonts w:hint="eastAsia" w:ascii="宋体" w:hAnsi="宋体" w:cs="宋体"/>
          <w:color w:val="auto"/>
          <w:sz w:val="24"/>
          <w:highlight w:val="none"/>
        </w:rPr>
        <w:t>。</w:t>
      </w:r>
    </w:p>
    <w:p w14:paraId="2D2E230D">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2.特殊情况下，在磋商有效期满之前，采购人可以书面形式要求供应商同意延长磋商有效期。供应商可以以书面形式拒绝或接受上述要求。对于接受该要求的供应商，采购人既不要求也不允许其修改磋商响应文件，但将要求其相应延长磋商有效期。</w:t>
      </w:r>
    </w:p>
    <w:p w14:paraId="111ECAEA">
      <w:pPr>
        <w:tabs>
          <w:tab w:val="left" w:pos="360"/>
        </w:tabs>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（六）磋商响应文件的签署及相关规定</w:t>
      </w:r>
    </w:p>
    <w:p w14:paraId="130A4EBE">
      <w:pPr>
        <w:spacing w:line="360" w:lineRule="auto"/>
        <w:ind w:firstLine="482" w:firstLineChars="200"/>
        <w:jc w:val="left"/>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1.磋商响应文件签字、盖章要求详见“供应商须知前附表”。</w:t>
      </w:r>
    </w:p>
    <w:p w14:paraId="618C3C1C">
      <w:pPr>
        <w:spacing w:line="360" w:lineRule="auto"/>
        <w:ind w:firstLine="241" w:firstLineChars="100"/>
        <w:jc w:val="left"/>
        <w:rPr>
          <w:rFonts w:hint="eastAsia" w:ascii="宋体" w:hAnsi="宋体" w:cs="宋体"/>
          <w:b/>
          <w:bCs/>
          <w:color w:val="auto"/>
          <w:spacing w:val="11"/>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pacing w:val="11"/>
          <w:sz w:val="24"/>
          <w:highlight w:val="none"/>
          <w:u w:val="single"/>
        </w:rPr>
        <w:t>2.磋商响应文件的构成和份数</w:t>
      </w:r>
      <w:r>
        <w:rPr>
          <w:rFonts w:hint="eastAsia" w:ascii="宋体" w:hAnsi="宋体"/>
          <w:b/>
          <w:bCs/>
          <w:color w:val="auto"/>
          <w:sz w:val="24"/>
          <w:highlight w:val="none"/>
          <w:u w:val="single"/>
        </w:rPr>
        <w:t>详见“供应商须知前附表”</w:t>
      </w:r>
      <w:r>
        <w:rPr>
          <w:rFonts w:hint="eastAsia" w:ascii="宋体" w:hAnsi="宋体" w:cs="宋体"/>
          <w:b/>
          <w:bCs/>
          <w:color w:val="auto"/>
          <w:spacing w:val="11"/>
          <w:sz w:val="24"/>
          <w:highlight w:val="none"/>
          <w:u w:val="single"/>
        </w:rPr>
        <w:t>。</w:t>
      </w:r>
    </w:p>
    <w:p w14:paraId="1FEA1895">
      <w:pPr>
        <w:spacing w:line="360" w:lineRule="auto"/>
        <w:ind w:firstLine="263" w:firstLineChars="100"/>
        <w:jc w:val="left"/>
        <w:rPr>
          <w:rFonts w:hint="eastAsia" w:ascii="宋体" w:hAnsi="宋体" w:cs="宋体"/>
          <w:b/>
          <w:bCs/>
          <w:color w:val="auto"/>
          <w:spacing w:val="11"/>
          <w:sz w:val="24"/>
          <w:highlight w:val="none"/>
          <w:u w:val="single"/>
        </w:rPr>
      </w:pPr>
      <w:r>
        <w:rPr>
          <w:rFonts w:hint="eastAsia" w:ascii="宋体" w:hAnsi="宋体" w:cs="宋体"/>
          <w:b/>
          <w:bCs/>
          <w:color w:val="auto"/>
          <w:spacing w:val="11"/>
          <w:sz w:val="24"/>
          <w:highlight w:val="none"/>
          <w:u w:val="single"/>
        </w:rPr>
        <w:t>3.磋商响应文件的分册（装订）要求</w:t>
      </w:r>
      <w:r>
        <w:rPr>
          <w:rFonts w:hint="eastAsia" w:ascii="宋体" w:hAnsi="宋体"/>
          <w:b/>
          <w:bCs/>
          <w:color w:val="auto"/>
          <w:sz w:val="24"/>
          <w:highlight w:val="none"/>
          <w:u w:val="single"/>
        </w:rPr>
        <w:t>详见“供应商须知前附表”</w:t>
      </w:r>
      <w:r>
        <w:rPr>
          <w:rFonts w:hint="eastAsia" w:ascii="宋体" w:hAnsi="宋体" w:cs="宋体"/>
          <w:b/>
          <w:bCs/>
          <w:color w:val="auto"/>
          <w:spacing w:val="11"/>
          <w:sz w:val="24"/>
          <w:highlight w:val="none"/>
          <w:u w:val="single"/>
        </w:rPr>
        <w:t>。</w:t>
      </w:r>
    </w:p>
    <w:p w14:paraId="68EA79FC">
      <w:pPr>
        <w:tabs>
          <w:tab w:val="left" w:pos="10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4.纸质备份磋商响应文件均应采用A4纸打印，字迹清晰，易于辨认，并装订成册。</w:t>
      </w:r>
    </w:p>
    <w:p w14:paraId="1859A959">
      <w:pPr>
        <w:tabs>
          <w:tab w:val="left" w:pos="10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5.除供应商对错处作必要修改外，磋商响应文件中不许加行涂抹或改写。任何行间插字、涂改和增删，必须由法定代表人（负责人）或其授权代表人在旁边签字盖章才有效。否则，作无效标处理。</w:t>
      </w:r>
    </w:p>
    <w:p w14:paraId="1CE18503">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 xml:space="preserve">   四、磋商响应文件的密封与提交</w:t>
      </w:r>
    </w:p>
    <w:p w14:paraId="05540AB3">
      <w:pPr>
        <w:spacing w:line="360" w:lineRule="auto"/>
        <w:ind w:firstLine="482" w:firstLineChars="200"/>
        <w:rPr>
          <w:rFonts w:hint="eastAsia" w:ascii="宋体" w:hAnsi="宋体" w:cs="宋体"/>
          <w:b/>
          <w:bCs/>
          <w:color w:val="auto"/>
          <w:sz w:val="24"/>
          <w:highlight w:val="none"/>
        </w:rPr>
      </w:pPr>
      <w:bookmarkStart w:id="75" w:name="_Toc434568617"/>
      <w:r>
        <w:rPr>
          <w:rFonts w:hint="eastAsia" w:ascii="宋体" w:hAnsi="宋体" w:cs="宋体"/>
          <w:b/>
          <w:bCs/>
          <w:color w:val="auto"/>
          <w:sz w:val="24"/>
          <w:highlight w:val="none"/>
        </w:rPr>
        <w:t>本项目采取“不见面”形式进行开评标活动，法定代表人或其授权委托人无须到场，通过政采云平台在线响应，并保持电话畅通。</w:t>
      </w:r>
    </w:p>
    <w:p w14:paraId="3EEE66F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（一）备份磋商响应文件的密封与标记</w:t>
      </w:r>
    </w:p>
    <w:p w14:paraId="24C2546B">
      <w:pPr>
        <w:tabs>
          <w:tab w:val="left" w:pos="840"/>
          <w:tab w:val="left" w:pos="9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备份磋商响应文件</w:t>
      </w:r>
      <w:r>
        <w:rPr>
          <w:rFonts w:hint="eastAsia" w:ascii="宋体" w:hAnsi="宋体" w:cs="宋体"/>
          <w:color w:val="auto"/>
          <w:sz w:val="24"/>
          <w:highlight w:val="none"/>
        </w:rPr>
        <w:t>：</w:t>
      </w:r>
      <w:r>
        <w:rPr>
          <w:rFonts w:hint="eastAsia" w:ascii="宋体" w:hAnsi="宋体" w:cs="宋体"/>
          <w:b/>
          <w:bCs/>
          <w:color w:val="auto"/>
          <w:sz w:val="24"/>
          <w:highlight w:val="none"/>
          <w:u w:val="single"/>
        </w:rPr>
        <w:t>以介质存储的数据电文形式的备份磋商响应文件（U盘）</w:t>
      </w:r>
      <w:r>
        <w:rPr>
          <w:rFonts w:hint="eastAsia" w:ascii="宋体" w:hAnsi="宋体" w:cs="宋体"/>
          <w:color w:val="auto"/>
          <w:sz w:val="24"/>
          <w:highlight w:val="none"/>
        </w:rPr>
        <w:t>1份、</w:t>
      </w:r>
      <w:r>
        <w:rPr>
          <w:rFonts w:hint="eastAsia" w:ascii="宋体" w:hAnsi="宋体" w:cs="宋体"/>
          <w:b/>
          <w:bCs/>
          <w:color w:val="auto"/>
          <w:sz w:val="24"/>
          <w:highlight w:val="none"/>
          <w:u w:val="single"/>
        </w:rPr>
        <w:t>纸质备份磋商响应文件</w:t>
      </w:r>
      <w:r>
        <w:rPr>
          <w:rFonts w:hint="eastAsia" w:ascii="宋体" w:hAnsi="宋体" w:cs="宋体"/>
          <w:color w:val="auto"/>
          <w:sz w:val="24"/>
          <w:highlight w:val="none"/>
        </w:rPr>
        <w:t>1份，共2类。</w:t>
      </w:r>
    </w:p>
    <w:p w14:paraId="00DC40B7">
      <w:pPr>
        <w:tabs>
          <w:tab w:val="left" w:pos="840"/>
          <w:tab w:val="left" w:pos="90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2.纸质备份磋商响应文件应用A4书写纸打印，按顺序编号装订成册，并有目录和封面（自行设计）；</w:t>
      </w:r>
    </w:p>
    <w:p w14:paraId="4F019D25">
      <w:pPr>
        <w:tabs>
          <w:tab w:val="left" w:pos="840"/>
          <w:tab w:val="left" w:pos="900"/>
        </w:tabs>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3.供应商应将</w:t>
      </w:r>
      <w:r>
        <w:rPr>
          <w:rFonts w:hint="eastAsia" w:ascii="宋体" w:hAnsi="宋体" w:cs="宋体"/>
          <w:b/>
          <w:bCs/>
          <w:color w:val="auto"/>
          <w:sz w:val="24"/>
          <w:highlight w:val="none"/>
        </w:rPr>
        <w:t>备份磋商响应文件</w:t>
      </w:r>
      <w:r>
        <w:rPr>
          <w:rFonts w:hint="eastAsia" w:ascii="宋体" w:hAnsi="宋体" w:cs="宋体"/>
          <w:color w:val="auto"/>
          <w:sz w:val="24"/>
          <w:highlight w:val="none"/>
        </w:rPr>
        <w:t>用单独的信封密封：</w:t>
      </w:r>
    </w:p>
    <w:p w14:paraId="18604AEA">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信封上应注明：项目名称、项目编号、标项序号、标项名称、磋商响应文件名称（资信商务及技术文件/报价文件）、类型（以介质存储的数据电文形式的U盘备份磋商响应文件/纸质备份磋商响应文件）、供应商名称、供应商地址、“在  年  月  日  时  分之前不得启封”，并加盖供应商公章。如因标注不清而产生的后果由供应商自行负责。</w:t>
      </w:r>
    </w:p>
    <w:p w14:paraId="0BC8CD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（2）如果封袋未按上述要求密封或加写标记，采购代理机构对误投或过早启封概不负责。</w:t>
      </w:r>
    </w:p>
    <w:p w14:paraId="502EE825">
      <w:pPr>
        <w:tabs>
          <w:tab w:val="left" w:pos="90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4.未按上述规定提交的磋商响应文件，一切后果由供应商负责。</w:t>
      </w:r>
    </w:p>
    <w:p w14:paraId="38A3C9E0">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（二）提交（上传）响应文件说明</w:t>
      </w:r>
    </w:p>
    <w:p w14:paraId="292D2EA8">
      <w:pPr>
        <w:autoSpaceDE w:val="0"/>
        <w:autoSpaceDN w:val="0"/>
        <w:spacing w:line="360" w:lineRule="auto"/>
        <w:ind w:firstLine="480"/>
        <w:jc w:val="left"/>
        <w:rPr>
          <w:rFonts w:ascii="宋体" w:cs="宋体"/>
          <w:color w:val="auto"/>
          <w:sz w:val="24"/>
          <w:highlight w:val="none"/>
        </w:rPr>
      </w:pPr>
      <w:r>
        <w:rPr>
          <w:rFonts w:hint="eastAsia" w:ascii="宋体" w:cs="宋体"/>
          <w:color w:val="auto"/>
          <w:sz w:val="24"/>
          <w:highlight w:val="none"/>
        </w:rPr>
        <w:t>1.</w:t>
      </w:r>
      <w:r>
        <w:rPr>
          <w:rFonts w:hint="eastAsia" w:ascii="宋体" w:cs="宋体"/>
          <w:color w:val="auto"/>
          <w:sz w:val="24"/>
          <w:highlight w:val="none"/>
          <w:lang w:val="zh-CN"/>
        </w:rPr>
        <w:t>本项目于</w:t>
      </w:r>
      <w:r>
        <w:rPr>
          <w:rFonts w:ascii="宋体" w:cs="宋体"/>
          <w:color w:val="auto"/>
          <w:sz w:val="24"/>
          <w:highlight w:val="none"/>
        </w:rPr>
        <w:t>2024</w:t>
      </w:r>
      <w:r>
        <w:rPr>
          <w:rFonts w:hint="eastAsia" w:ascii="宋体" w:cs="宋体"/>
          <w:color w:val="auto"/>
          <w:sz w:val="24"/>
          <w:highlight w:val="none"/>
        </w:rPr>
        <w:t>年</w:t>
      </w:r>
      <w:r>
        <w:rPr>
          <w:rFonts w:hint="eastAsia" w:ascii="宋体" w:cs="宋体"/>
          <w:color w:val="auto"/>
          <w:sz w:val="24"/>
          <w:highlight w:val="none"/>
          <w:lang w:val="en-US" w:eastAsia="zh-CN"/>
        </w:rPr>
        <w:t>10</w:t>
      </w:r>
      <w:r>
        <w:rPr>
          <w:rFonts w:hint="eastAsia" w:ascii="宋体" w:cs="宋体"/>
          <w:color w:val="auto"/>
          <w:sz w:val="24"/>
          <w:highlight w:val="none"/>
        </w:rPr>
        <w:t>月</w:t>
      </w:r>
      <w:r>
        <w:rPr>
          <w:rFonts w:hint="eastAsia" w:ascii="宋体" w:cs="宋体"/>
          <w:color w:val="auto"/>
          <w:sz w:val="24"/>
          <w:highlight w:val="none"/>
          <w:lang w:val="en-US" w:eastAsia="zh-CN"/>
        </w:rPr>
        <w:t>25</w:t>
      </w:r>
      <w:r>
        <w:rPr>
          <w:rFonts w:hint="eastAsia" w:ascii="宋体" w:cs="宋体"/>
          <w:color w:val="auto"/>
          <w:sz w:val="24"/>
          <w:highlight w:val="none"/>
        </w:rPr>
        <w:t>日</w:t>
      </w:r>
      <w:r>
        <w:rPr>
          <w:rFonts w:hint="eastAsia" w:ascii="宋体" w:cs="宋体"/>
          <w:color w:val="auto"/>
          <w:sz w:val="24"/>
          <w:highlight w:val="none"/>
          <w:lang w:val="en-US" w:eastAsia="zh-CN"/>
        </w:rPr>
        <w:t>14</w:t>
      </w:r>
      <w:r>
        <w:rPr>
          <w:rFonts w:ascii="宋体" w:cs="宋体"/>
          <w:color w:val="auto"/>
          <w:sz w:val="24"/>
          <w:highlight w:val="none"/>
        </w:rPr>
        <w:t>:00</w:t>
      </w:r>
      <w:r>
        <w:rPr>
          <w:rFonts w:hint="eastAsia" w:ascii="宋体" w:cs="宋体"/>
          <w:color w:val="auto"/>
          <w:sz w:val="24"/>
          <w:highlight w:val="none"/>
        </w:rPr>
        <w:t>时（北京时间）响应截止。</w:t>
      </w:r>
    </w:p>
    <w:p w14:paraId="61CF38B5">
      <w:pPr>
        <w:autoSpaceDE w:val="0"/>
        <w:autoSpaceDN w:val="0"/>
        <w:spacing w:line="360" w:lineRule="auto"/>
        <w:ind w:firstLine="480"/>
        <w:jc w:val="left"/>
        <w:rPr>
          <w:rFonts w:ascii="宋体" w:cs="宋体"/>
          <w:color w:val="auto"/>
          <w:sz w:val="24"/>
          <w:highlight w:val="none"/>
          <w:lang w:val="zh-CN"/>
        </w:rPr>
      </w:pPr>
      <w:r>
        <w:rPr>
          <w:rFonts w:hint="eastAsia" w:ascii="宋体" w:cs="宋体"/>
          <w:color w:val="auto"/>
          <w:sz w:val="24"/>
          <w:highlight w:val="none"/>
        </w:rPr>
        <w:t>2.</w:t>
      </w:r>
      <w:r>
        <w:rPr>
          <w:rFonts w:hint="eastAsia" w:ascii="宋体" w:cs="宋体"/>
          <w:color w:val="auto"/>
          <w:sz w:val="24"/>
          <w:highlight w:val="none"/>
          <w:lang w:val="zh-CN"/>
        </w:rPr>
        <w:t>根据《浙江省政府采购项目电子交易管理暂行办法》第二十条规定，本次投标允许供应商提交备份响应文件，仅提交备份响应文件的，响应无效。</w:t>
      </w:r>
    </w:p>
    <w:p w14:paraId="2F7DBCB7">
      <w:pPr>
        <w:autoSpaceDE w:val="0"/>
        <w:autoSpaceDN w:val="0"/>
        <w:spacing w:line="360" w:lineRule="auto"/>
        <w:ind w:firstLine="480"/>
        <w:jc w:val="left"/>
        <w:rPr>
          <w:rFonts w:ascii="宋体" w:cs="宋体"/>
          <w:color w:val="auto"/>
          <w:sz w:val="24"/>
          <w:highlight w:val="none"/>
          <w:lang w:val="zh-CN"/>
        </w:rPr>
      </w:pPr>
      <w:r>
        <w:rPr>
          <w:rFonts w:hint="eastAsia" w:ascii="宋体" w:cs="宋体"/>
          <w:color w:val="auto"/>
          <w:sz w:val="24"/>
          <w:highlight w:val="none"/>
        </w:rPr>
        <w:t>3.</w:t>
      </w:r>
      <w:r>
        <w:rPr>
          <w:rFonts w:hint="eastAsia" w:ascii="宋体" w:cs="宋体"/>
          <w:color w:val="auto"/>
          <w:sz w:val="24"/>
          <w:highlight w:val="none"/>
          <w:lang w:val="zh-CN"/>
        </w:rPr>
        <w:t>供应商应当在响应截止时间前完成电子磋商响应文件的传输递交，并可以补充、修改或者撤回电子磋商响应文件。补充或者修改电子磋商响应文件的，应当先行撤回原文件，补充、修改后重新传输递交。响应截止时间前未完成传输的，视为撤回磋商响应文件。响应截止时间后递交的磋商响应文件，将被政采云平台拒收。</w:t>
      </w:r>
    </w:p>
    <w:p w14:paraId="004C06B7">
      <w:pPr>
        <w:autoSpaceDE w:val="0"/>
        <w:autoSpaceDN w:val="0"/>
        <w:adjustRightInd w:val="0"/>
        <w:snapToGrid w:val="0"/>
        <w:spacing w:line="360" w:lineRule="auto"/>
        <w:ind w:firstLine="480"/>
        <w:rPr>
          <w:rFonts w:ascii="宋体" w:cs="宋体"/>
          <w:color w:val="auto"/>
          <w:sz w:val="24"/>
          <w:highlight w:val="none"/>
          <w:lang w:val="zh-CN"/>
        </w:rPr>
      </w:pPr>
      <w:r>
        <w:rPr>
          <w:rFonts w:hint="eastAsia" w:ascii="宋体" w:cs="宋体"/>
          <w:color w:val="auto"/>
          <w:sz w:val="24"/>
          <w:highlight w:val="none"/>
        </w:rPr>
        <w:t>4.</w:t>
      </w:r>
      <w:r>
        <w:rPr>
          <w:rFonts w:hint="eastAsia" w:ascii="宋体" w:cs="宋体"/>
          <w:b/>
          <w:bCs/>
          <w:color w:val="auto"/>
          <w:sz w:val="24"/>
          <w:highlight w:val="none"/>
          <w:lang w:val="zh-CN"/>
        </w:rPr>
        <w:t>在响应截止时间前，</w:t>
      </w:r>
      <w:r>
        <w:rPr>
          <w:rFonts w:hint="eastAsia" w:ascii="宋体" w:cs="宋体"/>
          <w:b/>
          <w:bCs/>
          <w:color w:val="auto"/>
          <w:sz w:val="24"/>
          <w:highlight w:val="none"/>
        </w:rPr>
        <w:t>如认为需要，供应商可以选择</w:t>
      </w:r>
      <w:r>
        <w:rPr>
          <w:rFonts w:hint="eastAsia" w:ascii="宋体" w:cs="宋体"/>
          <w:b/>
          <w:bCs/>
          <w:color w:val="auto"/>
          <w:sz w:val="24"/>
          <w:highlight w:val="none"/>
          <w:lang w:val="zh-CN"/>
        </w:rPr>
        <w:t>提交以介质存储的数据电文形式的U盘备份磋商响应文件一份和制作纸质备份磋商响应文件一份</w:t>
      </w:r>
      <w:r>
        <w:rPr>
          <w:rFonts w:hint="eastAsia" w:ascii="宋体" w:cs="宋体"/>
          <w:color w:val="auto"/>
          <w:sz w:val="24"/>
          <w:highlight w:val="none"/>
          <w:lang w:val="zh-CN"/>
        </w:rPr>
        <w:t>。U盘备份</w:t>
      </w:r>
      <w:r>
        <w:rPr>
          <w:rFonts w:hint="eastAsia" w:ascii="宋体" w:cs="宋体"/>
          <w:color w:val="auto"/>
          <w:sz w:val="24"/>
          <w:highlight w:val="none"/>
        </w:rPr>
        <w:t>磋商响应文件</w:t>
      </w:r>
      <w:r>
        <w:rPr>
          <w:rFonts w:hint="eastAsia" w:ascii="宋体" w:cs="宋体"/>
          <w:color w:val="auto"/>
          <w:sz w:val="24"/>
          <w:highlight w:val="none"/>
          <w:lang w:val="zh-CN"/>
        </w:rPr>
        <w:t>和纸质备份磋商响应文件建议采用顺丰快递邮寄方式提交，地址：浙江华元工程咨询有限公司</w:t>
      </w:r>
      <w:r>
        <w:rPr>
          <w:rFonts w:hint="eastAsia" w:ascii="宋体" w:hAnsi="宋体" w:cs="宋体"/>
          <w:color w:val="auto"/>
          <w:spacing w:val="5"/>
          <w:kern w:val="0"/>
          <w:sz w:val="24"/>
          <w:highlight w:val="none"/>
        </w:rPr>
        <w:t>（长兴县浙北商业广场11幢201）</w:t>
      </w:r>
      <w:r>
        <w:rPr>
          <w:rFonts w:hint="eastAsia" w:ascii="宋体" w:cs="宋体"/>
          <w:color w:val="auto"/>
          <w:sz w:val="24"/>
          <w:highlight w:val="none"/>
          <w:lang w:val="zh-CN"/>
        </w:rPr>
        <w:t>，收件人：</w:t>
      </w:r>
      <w:r>
        <w:rPr>
          <w:rFonts w:hint="eastAsia" w:ascii="宋体" w:hAnsi="宋体" w:cs="宋体"/>
          <w:color w:val="auto"/>
          <w:kern w:val="0"/>
          <w:sz w:val="24"/>
          <w:highlight w:val="none"/>
        </w:rPr>
        <w:t>章工</w:t>
      </w:r>
      <w:r>
        <w:rPr>
          <w:rFonts w:hint="eastAsia" w:ascii="宋体" w:cs="宋体"/>
          <w:color w:val="auto"/>
          <w:sz w:val="24"/>
          <w:highlight w:val="none"/>
          <w:lang w:val="zh-CN"/>
        </w:rPr>
        <w:t>，联系电话：</w:t>
      </w:r>
      <w:r>
        <w:rPr>
          <w:rFonts w:hint="eastAsia" w:ascii="宋体" w:cs="宋体"/>
          <w:color w:val="auto"/>
          <w:sz w:val="24"/>
          <w:highlight w:val="none"/>
        </w:rPr>
        <w:t>18805826367</w:t>
      </w:r>
      <w:r>
        <w:rPr>
          <w:rFonts w:hint="eastAsia" w:ascii="宋体" w:cs="宋体"/>
          <w:color w:val="auto"/>
          <w:sz w:val="24"/>
          <w:highlight w:val="none"/>
          <w:lang w:val="zh-CN"/>
        </w:rPr>
        <w:t xml:space="preserve"> ，由采购代理机构统一负责接收，接收截止时间（以签收时间为准）：</w:t>
      </w:r>
      <w:r>
        <w:rPr>
          <w:rFonts w:ascii="宋体" w:cs="宋体"/>
          <w:b/>
          <w:bCs/>
          <w:color w:val="auto"/>
          <w:sz w:val="24"/>
          <w:highlight w:val="none"/>
          <w:lang w:val="zh-CN"/>
        </w:rPr>
        <w:t>202</w:t>
      </w:r>
      <w:r>
        <w:rPr>
          <w:rFonts w:ascii="宋体" w:cs="宋体"/>
          <w:b/>
          <w:bCs/>
          <w:color w:val="auto"/>
          <w:sz w:val="24"/>
          <w:highlight w:val="none"/>
        </w:rPr>
        <w:t>4</w:t>
      </w:r>
      <w:r>
        <w:rPr>
          <w:rFonts w:hint="eastAsia" w:ascii="宋体" w:cs="宋体"/>
          <w:b/>
          <w:bCs/>
          <w:color w:val="auto"/>
          <w:sz w:val="24"/>
          <w:highlight w:val="none"/>
          <w:lang w:val="zh-CN"/>
        </w:rPr>
        <w:t>年</w:t>
      </w:r>
      <w:r>
        <w:rPr>
          <w:rFonts w:hint="eastAsia" w:ascii="宋体" w:cs="宋体"/>
          <w:b/>
          <w:bCs/>
          <w:color w:val="auto"/>
          <w:sz w:val="24"/>
          <w:highlight w:val="none"/>
          <w:lang w:val="en-US" w:eastAsia="zh-CN"/>
        </w:rPr>
        <w:t>10</w:t>
      </w:r>
      <w:r>
        <w:rPr>
          <w:rFonts w:hint="eastAsia" w:ascii="宋体" w:cs="宋体"/>
          <w:b/>
          <w:bCs/>
          <w:color w:val="auto"/>
          <w:sz w:val="24"/>
          <w:highlight w:val="none"/>
        </w:rPr>
        <w:t>月</w:t>
      </w:r>
      <w:r>
        <w:rPr>
          <w:rFonts w:hint="eastAsia" w:ascii="宋体" w:cs="宋体"/>
          <w:b/>
          <w:bCs/>
          <w:color w:val="auto"/>
          <w:sz w:val="24"/>
          <w:highlight w:val="none"/>
          <w:lang w:val="en-US" w:eastAsia="zh-CN"/>
        </w:rPr>
        <w:t>25</w:t>
      </w:r>
      <w:r>
        <w:rPr>
          <w:rFonts w:hint="eastAsia" w:ascii="宋体" w:cs="宋体"/>
          <w:b/>
          <w:bCs/>
          <w:color w:val="auto"/>
          <w:sz w:val="24"/>
          <w:highlight w:val="none"/>
          <w:lang w:val="zh-CN"/>
        </w:rPr>
        <w:t>日</w:t>
      </w:r>
      <w:r>
        <w:rPr>
          <w:rFonts w:ascii="宋体" w:cs="宋体"/>
          <w:b/>
          <w:bCs/>
          <w:color w:val="auto"/>
          <w:sz w:val="24"/>
          <w:highlight w:val="none"/>
        </w:rPr>
        <w:t>11:00</w:t>
      </w:r>
      <w:r>
        <w:rPr>
          <w:rFonts w:hint="eastAsia" w:ascii="宋体" w:cs="宋体"/>
          <w:b/>
          <w:bCs/>
          <w:color w:val="auto"/>
          <w:sz w:val="24"/>
          <w:highlight w:val="none"/>
          <w:lang w:val="zh-CN"/>
        </w:rPr>
        <w:t>时前</w:t>
      </w:r>
      <w:r>
        <w:rPr>
          <w:rFonts w:hint="eastAsia" w:ascii="宋体" w:cs="宋体"/>
          <w:color w:val="auto"/>
          <w:sz w:val="24"/>
          <w:highlight w:val="none"/>
          <w:lang w:val="zh-CN"/>
        </w:rPr>
        <w:t>。</w:t>
      </w:r>
    </w:p>
    <w:p w14:paraId="3E2D3798">
      <w:pPr>
        <w:autoSpaceDE w:val="0"/>
        <w:autoSpaceDN w:val="0"/>
        <w:spacing w:line="360" w:lineRule="auto"/>
        <w:ind w:firstLine="480" w:firstLineChars="200"/>
        <w:jc w:val="left"/>
        <w:rPr>
          <w:rFonts w:ascii="宋体" w:cs="宋体"/>
          <w:color w:val="auto"/>
          <w:sz w:val="24"/>
          <w:highlight w:val="none"/>
          <w:lang w:val="zh-CN"/>
        </w:rPr>
      </w:pPr>
      <w:r>
        <w:rPr>
          <w:rFonts w:hint="eastAsia" w:ascii="宋体" w:cs="宋体"/>
          <w:color w:val="auto"/>
          <w:sz w:val="24"/>
          <w:highlight w:val="none"/>
        </w:rPr>
        <w:t>5.</w:t>
      </w:r>
      <w:r>
        <w:rPr>
          <w:rFonts w:hint="eastAsia" w:ascii="宋体" w:cs="宋体"/>
          <w:color w:val="auto"/>
          <w:sz w:val="24"/>
          <w:highlight w:val="none"/>
          <w:lang w:val="zh-CN"/>
        </w:rPr>
        <w:t>供应商</w:t>
      </w:r>
      <w:r>
        <w:rPr>
          <w:rFonts w:hint="eastAsia" w:ascii="宋体" w:cs="宋体"/>
          <w:color w:val="auto"/>
          <w:sz w:val="24"/>
          <w:highlight w:val="none"/>
        </w:rPr>
        <w:t>应</w:t>
      </w:r>
      <w:r>
        <w:rPr>
          <w:rFonts w:hint="eastAsia" w:ascii="宋体" w:cs="宋体"/>
          <w:color w:val="auto"/>
          <w:sz w:val="24"/>
          <w:highlight w:val="none"/>
          <w:lang w:val="zh-CN"/>
        </w:rPr>
        <w:t>留足响应文件邮寄时间,确保备份磋商响应文件于接收截止时间前送达指定地点，逾期送达或未密封将被拒收。供应商自行承担所有风险和由此带来的后果。</w:t>
      </w:r>
    </w:p>
    <w:p w14:paraId="4BBBD4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6.因竞争性磋商文件的修改推迟响应截止时间的，则按采购代理机构另行通知规定的时间提交。</w:t>
      </w:r>
    </w:p>
    <w:p w14:paraId="798A3F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7.采购代理机构对磋商响应文件送达过程中的遗失或损坏不负责任。</w:t>
      </w:r>
    </w:p>
    <w:bookmarkEnd w:id="75"/>
    <w:p w14:paraId="4CD71E33">
      <w:pPr>
        <w:pStyle w:val="32"/>
        <w:spacing w:line="360" w:lineRule="auto"/>
        <w:ind w:left="0" w:leftChars="0"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（三）磋商响应文件的提交要求与接收</w:t>
      </w:r>
    </w:p>
    <w:p w14:paraId="4CD19E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1.磋商响应文件的提交要求详见“供应商须知前附表”。</w:t>
      </w:r>
    </w:p>
    <w:p w14:paraId="755BCA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注：电子磋商响应文件的递交</w:t>
      </w:r>
    </w:p>
    <w:p w14:paraId="608BED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（1）供应商应在响应截止时间前将电子加密磋商响应文件成功上传递交至政府采购云平台，否则响应无效。</w:t>
      </w:r>
    </w:p>
    <w:p w14:paraId="2C335B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（2）电子加密磋商响应文件成功上传递交后，供应商可自行打印磋商响应文件接收回执。</w:t>
      </w:r>
    </w:p>
    <w:p w14:paraId="0DB953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2.磋商响应文件的接收详见“供应商须知前附表”。</w:t>
      </w:r>
    </w:p>
    <w:p w14:paraId="0B81FB00">
      <w:pPr>
        <w:pStyle w:val="32"/>
        <w:spacing w:line="360" w:lineRule="auto"/>
        <w:ind w:left="0" w:leftChars="0"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（四）磋商代表出席磋商会的要求</w:t>
      </w:r>
    </w:p>
    <w:p w14:paraId="32D9CC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磋商代表出席磋商会的要求详见“供应商须知前附表”。</w:t>
      </w:r>
    </w:p>
    <w:p w14:paraId="5DCC8F5D">
      <w:pPr>
        <w:pStyle w:val="32"/>
        <w:spacing w:line="360" w:lineRule="auto"/>
        <w:ind w:left="0" w:leftChars="0"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（五）迟交的磋商响应文件</w:t>
      </w:r>
    </w:p>
    <w:p w14:paraId="1BFC5217">
      <w:pPr>
        <w:pStyle w:val="32"/>
        <w:spacing w:line="360" w:lineRule="auto"/>
        <w:ind w:left="0" w:leftChars="0" w:firstLine="241" w:firstLineChars="100"/>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  采购代理机构将拒绝接收在响应截止时间后送达的磋商响应文件。</w:t>
      </w:r>
    </w:p>
    <w:p w14:paraId="42D56389">
      <w:pPr>
        <w:pStyle w:val="32"/>
        <w:spacing w:line="360" w:lineRule="auto"/>
        <w:ind w:left="0" w:left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（六）磋商响应文件的补充与修改</w:t>
      </w:r>
    </w:p>
    <w:p w14:paraId="7585971F">
      <w:pPr>
        <w:tabs>
          <w:tab w:val="left" w:pos="72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1.供应商在竞争性磋商文件要求提交磋商响应文件的截止时间前，可以补充、修改或撤回已提交的磋商响应文件，并书面通知采购人。补充、修改的内容为磋商响应文件的组成部分。</w:t>
      </w:r>
    </w:p>
    <w:p w14:paraId="0DA9027C">
      <w:pPr>
        <w:tabs>
          <w:tab w:val="left" w:pos="72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2.供应商对磋商响应文件的补充、修改的内容应按磋商响应文件编制的规定和磋商响应文件的密封和标记的规定进行准备、密封、标注和递送。</w:t>
      </w:r>
    </w:p>
    <w:p w14:paraId="1BF62BC7">
      <w:pPr>
        <w:tabs>
          <w:tab w:val="left" w:pos="72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3.响应截止时间后不得修改磋商响应文件。</w:t>
      </w:r>
    </w:p>
    <w:p w14:paraId="7B27D828">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4.供应商不得在响应截止日起至磋商有效期规定的磋商响应文件有效期满前撤回磋商响应文件。</w:t>
      </w:r>
    </w:p>
    <w:p w14:paraId="5DC11617">
      <w:p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五、组织竞争性磋商程序</w:t>
      </w:r>
      <w:r>
        <w:rPr>
          <w:rFonts w:hint="eastAsia" w:hAnsi="宋体" w:cs="宋体"/>
          <w:b/>
          <w:bCs/>
          <w:color w:val="auto"/>
          <w:sz w:val="24"/>
          <w:highlight w:val="none"/>
          <w:u w:val="single"/>
        </w:rPr>
        <w:t>（按标项顺序依次开、评标。不同标项不可以重复成交。）</w:t>
      </w:r>
    </w:p>
    <w:p w14:paraId="1300CAD0">
      <w:pPr>
        <w:pStyle w:val="32"/>
        <w:spacing w:line="360" w:lineRule="auto"/>
        <w:ind w:left="0" w:leftChars="0" w:firstLine="482" w:firstLineChars="200"/>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本项目采用电子交易进行开标、评审，供应商均应当准时在线参加，否则产生的风险由供应商自行承担。</w:t>
      </w:r>
    </w:p>
    <w:p w14:paraId="16AD5514">
      <w:pPr>
        <w:pStyle w:val="32"/>
        <w:spacing w:line="360" w:lineRule="auto"/>
        <w:ind w:left="0" w:leftChars="0"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（一）组建磋商小组</w:t>
      </w:r>
    </w:p>
    <w:p w14:paraId="60103032">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1.磋商小组由采购人代表和评审专家共3人以上单数组成，其中评审专家人数不得少于磋商小组成员总数的2/3。</w:t>
      </w:r>
    </w:p>
    <w:p w14:paraId="6A7F4B3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2.磋商小组负责磋商活动，遵循公开、公平、公正、科学合理，竞争择优的原则。</w:t>
      </w:r>
    </w:p>
    <w:p w14:paraId="348B74E7">
      <w:pPr>
        <w:pStyle w:val="32"/>
        <w:spacing w:line="360" w:lineRule="auto"/>
        <w:ind w:left="0" w:leftChars="0"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（二）组织磋商程序</w:t>
      </w:r>
    </w:p>
    <w:p w14:paraId="4AC5DC81">
      <w:pPr>
        <w:pStyle w:val="20"/>
        <w:adjustRightInd w:val="0"/>
        <w:snapToGrid w:val="0"/>
        <w:spacing w:line="360" w:lineRule="auto"/>
        <w:ind w:firstLine="472" w:firstLineChars="197"/>
        <w:rPr>
          <w:rFonts w:hint="eastAsia" w:hAnsi="宋体" w:cs="宋体"/>
          <w:color w:val="auto"/>
          <w:sz w:val="24"/>
          <w:szCs w:val="24"/>
          <w:highlight w:val="none"/>
        </w:rPr>
      </w:pPr>
      <w:r>
        <w:rPr>
          <w:rFonts w:hint="eastAsia" w:hAnsi="宋体" w:cs="宋体"/>
          <w:color w:val="auto"/>
          <w:sz w:val="24"/>
          <w:szCs w:val="24"/>
          <w:highlight w:val="none"/>
        </w:rPr>
        <w:t>1.采购代理机构将于本须知前附表规定的时间和地点组织开标、召开磋商会。各供应商授权代表及相关人员均应当准时在线参加，无关人员不得进入磋商现场。供应商如未准时在线参加的，事后不得对采购相关人员、磋商过程和磋商结果提出异议。开评标期间，供应商代表应在线操作，并关注政采云有关信息公布、澄清等情况。</w:t>
      </w:r>
    </w:p>
    <w:p w14:paraId="2406ED4E">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2.主持人宣布磋商会议开始，并宣读会场纪律。主持人宣布磋商期间的有关事项；告知应当回避的情形,提请有关人员回避。</w:t>
      </w:r>
    </w:p>
    <w:p w14:paraId="3509FD3A">
      <w:pPr>
        <w:pStyle w:val="13"/>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3.在响应截止时间后，</w:t>
      </w:r>
      <w:r>
        <w:rPr>
          <w:rFonts w:hint="eastAsia" w:ascii="宋体" w:hAnsi="宋体" w:cs="宋体"/>
          <w:color w:val="auto"/>
          <w:sz w:val="24"/>
          <w:highlight w:val="none"/>
          <w:lang w:val="zh-CN"/>
        </w:rPr>
        <w:t>采购代理机构向各供应商发出电子加密磋商响应文件【开始解密】通知，由供应商按磋商文件规定的时间内自行进行磋商响应文件解密</w:t>
      </w:r>
      <w:r>
        <w:rPr>
          <w:rFonts w:hint="eastAsia"/>
          <w:color w:val="auto"/>
          <w:sz w:val="24"/>
          <w:highlight w:val="none"/>
          <w:lang w:val="zh-CN"/>
        </w:rPr>
        <w:t>。如所有供应商的电子磋商响应文件都已经解密完成的，则电子交易平台自动结束解密。如有任一供应商未解密，电子交易平台会在解密时限截止时自动结束解密。</w:t>
      </w:r>
    </w:p>
    <w:p w14:paraId="548EDF18">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（1）电子磋商响应文件未按时解密，供应商提供了备份磋商响应文件的，以备份磋商响应文件作为依据，否则视为磋商响应文件撤回。电子磋商响应文件已按时解密的，备份磋商响应文件自动失效。</w:t>
      </w:r>
    </w:p>
    <w:p w14:paraId="21A6C9BE">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（2）解密失败的异常处理：</w:t>
      </w:r>
    </w:p>
    <w:p w14:paraId="61F9F618">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①供应商在规定的时间内无法完成已递交的</w:t>
      </w:r>
      <w:r>
        <w:rPr>
          <w:rFonts w:hint="eastAsia" w:ascii="宋体" w:hAnsi="宋体" w:cs="宋体"/>
          <w:b/>
          <w:bCs/>
          <w:color w:val="auto"/>
          <w:sz w:val="24"/>
          <w:highlight w:val="none"/>
          <w:u w:val="single"/>
        </w:rPr>
        <w:t>电子磋商响应文件</w:t>
      </w:r>
      <w:r>
        <w:rPr>
          <w:rFonts w:hint="eastAsia" w:ascii="宋体" w:hAnsi="宋体" w:cs="宋体"/>
          <w:b/>
          <w:bCs/>
          <w:color w:val="auto"/>
          <w:sz w:val="24"/>
          <w:highlight w:val="none"/>
        </w:rPr>
        <w:t>解密的，如已按规定递交了</w:t>
      </w:r>
      <w:r>
        <w:rPr>
          <w:rFonts w:hint="eastAsia" w:ascii="宋体" w:hAnsi="宋体" w:cs="宋体"/>
          <w:b/>
          <w:bCs/>
          <w:color w:val="auto"/>
          <w:sz w:val="24"/>
          <w:highlight w:val="none"/>
          <w:u w:val="single"/>
        </w:rPr>
        <w:t>以介质存储的数据电文形式的备份磋商响应文件（U盘）</w:t>
      </w:r>
      <w:r>
        <w:rPr>
          <w:rFonts w:hint="eastAsia" w:ascii="宋体" w:hAnsi="宋体" w:cs="宋体"/>
          <w:b/>
          <w:bCs/>
          <w:color w:val="auto"/>
          <w:sz w:val="24"/>
          <w:highlight w:val="none"/>
        </w:rPr>
        <w:t>的，将由采购代理机构将其拆封并导入电子交易平台，导入成功后，原</w:t>
      </w:r>
      <w:r>
        <w:rPr>
          <w:rFonts w:hint="eastAsia" w:ascii="宋体" w:hAnsi="宋体" w:cs="宋体"/>
          <w:b/>
          <w:bCs/>
          <w:color w:val="auto"/>
          <w:sz w:val="24"/>
          <w:highlight w:val="none"/>
          <w:u w:val="single"/>
        </w:rPr>
        <w:t>电子磋商响应文件</w:t>
      </w:r>
      <w:r>
        <w:rPr>
          <w:rFonts w:hint="eastAsia" w:ascii="宋体" w:hAnsi="宋体" w:cs="宋体"/>
          <w:b/>
          <w:bCs/>
          <w:color w:val="auto"/>
          <w:sz w:val="24"/>
          <w:highlight w:val="none"/>
        </w:rPr>
        <w:t>自动失效。</w:t>
      </w:r>
    </w:p>
    <w:p w14:paraId="7F35F505">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②若因电子交易平台原因（具体原因见下一条款）无法读取或电子开评标无法正常进行，</w:t>
      </w:r>
      <w:r>
        <w:rPr>
          <w:rFonts w:hint="eastAsia"/>
          <w:b/>
          <w:bCs/>
          <w:color w:val="auto"/>
          <w:sz w:val="24"/>
          <w:highlight w:val="none"/>
        </w:rPr>
        <w:t>经财政监管部门确认后，</w:t>
      </w:r>
      <w:r>
        <w:rPr>
          <w:rFonts w:hint="eastAsia" w:ascii="宋体" w:hAnsi="宋体" w:cs="宋体"/>
          <w:b/>
          <w:bCs/>
          <w:color w:val="auto"/>
          <w:sz w:val="24"/>
          <w:highlight w:val="none"/>
        </w:rPr>
        <w:t>采购代理机构将开启所有供应商递交的</w:t>
      </w:r>
      <w:r>
        <w:rPr>
          <w:rFonts w:hint="eastAsia" w:ascii="宋体" w:cs="宋体"/>
          <w:b/>
          <w:bCs/>
          <w:color w:val="auto"/>
          <w:sz w:val="24"/>
          <w:highlight w:val="none"/>
          <w:u w:val="single"/>
          <w:lang w:val="zh-CN"/>
        </w:rPr>
        <w:t>纸质备份磋商响应文件</w:t>
      </w:r>
      <w:r>
        <w:rPr>
          <w:rFonts w:hint="eastAsia" w:ascii="宋体" w:hAnsi="宋体" w:cs="宋体"/>
          <w:b/>
          <w:bCs/>
          <w:color w:val="auto"/>
          <w:sz w:val="24"/>
          <w:highlight w:val="none"/>
        </w:rPr>
        <w:t>，以完成开标，</w:t>
      </w:r>
      <w:r>
        <w:rPr>
          <w:rFonts w:hint="eastAsia" w:ascii="宋体" w:hAnsi="宋体" w:cs="宋体"/>
          <w:b/>
          <w:bCs/>
          <w:color w:val="auto"/>
          <w:sz w:val="24"/>
          <w:highlight w:val="none"/>
          <w:u w:val="single"/>
        </w:rPr>
        <w:t>电子磋商响应文件</w:t>
      </w:r>
      <w:r>
        <w:rPr>
          <w:rFonts w:hint="eastAsia" w:ascii="宋体" w:hAnsi="宋体" w:cs="宋体"/>
          <w:b/>
          <w:bCs/>
          <w:color w:val="auto"/>
          <w:sz w:val="24"/>
          <w:highlight w:val="none"/>
        </w:rPr>
        <w:t>及</w:t>
      </w:r>
      <w:r>
        <w:rPr>
          <w:rFonts w:hint="eastAsia" w:ascii="宋体" w:hAnsi="宋体" w:cs="宋体"/>
          <w:b/>
          <w:bCs/>
          <w:color w:val="auto"/>
          <w:sz w:val="24"/>
          <w:highlight w:val="none"/>
          <w:u w:val="single"/>
        </w:rPr>
        <w:t>以介质存储的数据电文形式的备份磋商响应文件（U盘）</w:t>
      </w:r>
      <w:r>
        <w:rPr>
          <w:rFonts w:hint="eastAsia" w:ascii="宋体" w:hAnsi="宋体" w:cs="宋体"/>
          <w:b/>
          <w:bCs/>
          <w:color w:val="auto"/>
          <w:sz w:val="24"/>
          <w:highlight w:val="none"/>
        </w:rPr>
        <w:t>自动失效。</w:t>
      </w:r>
    </w:p>
    <w:p w14:paraId="723210CB">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③采购过程中出现以下情形，导致电子交易平台无法正常运行，或者无法保证电子交易的公平、公正和安全时，采购组织机构可中止电子交易活动：</w:t>
      </w:r>
    </w:p>
    <w:p w14:paraId="0093C270">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1）电子交易平台发生故障而无法登录访问的； </w:t>
      </w:r>
    </w:p>
    <w:p w14:paraId="310DB1FD">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2）电子交易平台应用或数据库出现错误，不能进行正常操作的；</w:t>
      </w:r>
    </w:p>
    <w:p w14:paraId="4621DA8C">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3）电子交易平台发现严重安全漏洞，有潜在泄密危险的；</w:t>
      </w:r>
    </w:p>
    <w:p w14:paraId="7AFB43B0">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4）病毒发作导致不能进行正常操作的； </w:t>
      </w:r>
    </w:p>
    <w:p w14:paraId="1E20E858">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5）其他无法保证电子交易的公平、公正和安全的情况。</w:t>
      </w:r>
    </w:p>
    <w:p w14:paraId="5727238A">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15B41C0">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④若因电子交易平台原因导致电子磋商响应文件上传不全、无法打开、显示缺陷等，</w:t>
      </w:r>
      <w:r>
        <w:rPr>
          <w:rFonts w:hint="eastAsia"/>
          <w:b/>
          <w:bCs/>
          <w:color w:val="auto"/>
          <w:sz w:val="24"/>
          <w:highlight w:val="none"/>
        </w:rPr>
        <w:t>经财政监管部门确认后，</w:t>
      </w:r>
      <w:r>
        <w:rPr>
          <w:rFonts w:hint="eastAsia" w:ascii="宋体" w:hAnsi="宋体" w:cs="宋体"/>
          <w:b/>
          <w:bCs/>
          <w:color w:val="auto"/>
          <w:sz w:val="24"/>
          <w:highlight w:val="none"/>
        </w:rPr>
        <w:t>才进行第二、第三效力文件的启用。</w:t>
      </w:r>
    </w:p>
    <w:p w14:paraId="03064FD9">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5.采购代理机构开启磋商响应文件，进入资格审查。采购人代表将依法对各供应商的资格进行审查，资格审查结束后进入符合性审查和商务技术的评审工作。</w:t>
      </w:r>
    </w:p>
    <w:p w14:paraId="5189A391">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6.开启资格审查通过的资信商务及技术文件，进入符合性审查。磋商小组对资格审查通过的供应商进行符合性审查，审查不通过的供应商将不得进入磋商小组的磋商过程。</w:t>
      </w:r>
    </w:p>
    <w:p w14:paraId="06674929">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7.磋商小组与各供应商就采购项目的采购需求、商务、技术响应等进行磋商，达成一致后，开始进行商务技术评审。</w:t>
      </w:r>
    </w:p>
    <w:p w14:paraId="2CBF6F6D">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磋商小组对各供应商的商务技术评审结束后，开启报价文件，采购代理机构组织各供应商进行最后报价，最后报价结束后，主持人宣读《开标一览表》中的供应商名称及在其磋商响应文件中承诺的最后磋商报价及采购代理机构认为有必要宣读的其他内容；</w:t>
      </w:r>
    </w:p>
    <w:p w14:paraId="009DA25D">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9采购代理机构做开标记录, </w:t>
      </w:r>
      <w:r>
        <w:rPr>
          <w:rFonts w:hint="eastAsia" w:hAnsi="宋体" w:cs="宋体"/>
          <w:color w:val="auto"/>
          <w:sz w:val="24"/>
          <w:highlight w:val="none"/>
        </w:rPr>
        <w:t>同时由唱标人、记录人及监督人等当场签字确认。</w:t>
      </w:r>
    </w:p>
    <w:p w14:paraId="2CDE3686">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10.磋商小组进行报价评审。</w:t>
      </w:r>
    </w:p>
    <w:p w14:paraId="3B5CC3E6">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11.磋商小组进行综合评分汇总。</w:t>
      </w:r>
    </w:p>
    <w:p w14:paraId="77EFCC93">
      <w:pPr>
        <w:pStyle w:val="32"/>
        <w:spacing w:line="360" w:lineRule="auto"/>
        <w:ind w:left="0" w:leftChars="0"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（三）磋商原则</w:t>
      </w:r>
    </w:p>
    <w:p w14:paraId="24674522">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4F1B00E">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磋商响应方重新磋商的时间和地点。</w:t>
      </w:r>
    </w:p>
    <w:p w14:paraId="164AA120">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磋商响应方而非采购人有利的解释。磋商专家拒绝在磋商报告中签字又不说明其不同意见或理由的，由现场监督员记录在案后，可视为同意磋商结果。</w:t>
      </w:r>
    </w:p>
    <w:p w14:paraId="2EFF4D70">
      <w:pPr>
        <w:pStyle w:val="32"/>
        <w:spacing w:line="360" w:lineRule="auto"/>
        <w:ind w:left="0" w:leftChars="0"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（四）磋商过程的保密</w:t>
      </w:r>
    </w:p>
    <w:p w14:paraId="71915982">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71DBEBFE">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2.在磋商响应文件的评判和比较、成交候选供应商推荐以及授予合同的过程中，供应商向招标采购单位和磋商小组施加影响的任何行为，都将会导致其磋商被拒绝。</w:t>
      </w:r>
    </w:p>
    <w:p w14:paraId="6C97A4CB">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3.磋商小组分别与各供应商进行商务、技术及价格磋商，在磋商过程中，磋商小组成员不得透露其他供应商的磋商信息，严守商业秘密。</w:t>
      </w:r>
    </w:p>
    <w:p w14:paraId="0D3B6A0C">
      <w:pPr>
        <w:pStyle w:val="32"/>
        <w:spacing w:line="360" w:lineRule="auto"/>
        <w:ind w:left="0" w:leftChars="0"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（五）磋商办法及标准</w:t>
      </w:r>
    </w:p>
    <w:p w14:paraId="25E91A73">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1.资格审查</w:t>
      </w:r>
    </w:p>
    <w:p w14:paraId="0269FCE7">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采购人代表依据法律、法规和磋商文件规定，对磋商响应文件中的资格证明等进行审查，以确定供应商是否具备磋商资格。</w:t>
      </w:r>
    </w:p>
    <w:p w14:paraId="47B28C3D">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2.符合性审查</w:t>
      </w:r>
    </w:p>
    <w:p w14:paraId="3A91CAB7">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磋商小组对通过资格审查的供应商进行符合性审查。依据磋商文件的规定，从磋商响应文件的有效性、完整性和对磋商文件的响应程度进行符合性审查，以确定是否对磋商文件的实质性要求作出响应。</w:t>
      </w:r>
    </w:p>
    <w:p w14:paraId="28A1BCF0">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w:t>
      </w:r>
    </w:p>
    <w:p w14:paraId="52BE2B80">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磋商小组根据磋商文件对磋商响应文件进行评审，并按以下程序，视情况就采购需求中的技术、服务要求以及合同格式条款等事项与实质性响应磋商文件要求的供应商进行磋商。本项目</w:t>
      </w:r>
      <w:r>
        <w:rPr>
          <w:rFonts w:hint="eastAsia" w:ascii="宋体" w:hAnsi="宋体" w:cs="宋体"/>
          <w:b/>
          <w:bCs/>
          <w:color w:val="auto"/>
          <w:sz w:val="24"/>
          <w:highlight w:val="none"/>
        </w:rPr>
        <w:t>磋商分二轮进行。</w:t>
      </w:r>
    </w:p>
    <w:p w14:paraId="02D99C6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磋商小组按提交电子磋商响应文件的顺序分别与供应商进行磋商（若有演示内容，演示顺序同磋商顺序）。磋商小组所有成员应当集中与单一供应商分别进行磋商，并给予所有参加磋商的供应商平等的磋商机会。</w:t>
      </w:r>
    </w:p>
    <w:p w14:paraId="7B51A3AF">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磋商响应文件，并加盖公章或者负责人（或委托代理人）签字确认。</w:t>
      </w:r>
    </w:p>
    <w:p w14:paraId="4630FAE1">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磋商文件能够详细列明采购标的的技术、服务要求的，磋商结束后，磋商小组应当要求所有继续参加磋商的供应商在规定时间内提交最后报价，提交最后报价的供应商不得少于3家。</w:t>
      </w:r>
    </w:p>
    <w:p w14:paraId="01900DB9">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5026629">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最后报价是供应商响应文件的有效组成部分。</w:t>
      </w:r>
    </w:p>
    <w:p w14:paraId="4E01D43F">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符合市场竞争不充分的科研项目以及需要扶持的科技成果转化项目和政府购买服务项目（含政府和社会资格合作项目）情形的，提交最后报价的供应商可以为2家。</w:t>
      </w:r>
    </w:p>
    <w:p w14:paraId="243FC3C8">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经磋商确定最终采购需求和提交最后报价的供应商后，由磋商小组采用综合评分法对提交最后报价的供应商的磋商响应文件和最后报价进行综合评分。</w:t>
      </w:r>
    </w:p>
    <w:p w14:paraId="026211FB">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4.评审及最后报价</w:t>
      </w:r>
    </w:p>
    <w:p w14:paraId="2DC03A4E">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（1）商务技术评审</w:t>
      </w:r>
    </w:p>
    <w:p w14:paraId="5944B61E">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依据磋商文件的规定，对各供应商的商务技术进行评审，其中客观部分应统一意见后统一给分，其他技术部分由评委委员会对各磋商响应文件进行比较和必要的澄清，并根据澄清、演示、样品等情况按评审细则进行独立打分；</w:t>
      </w:r>
    </w:p>
    <w:p w14:paraId="0D7EA65E">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各供应商的资信及商务、技术得分，为各评审专家对该供应商的评审得分结果汇总后的算术平均数。</w:t>
      </w:r>
    </w:p>
    <w:p w14:paraId="408A07E3">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（2）最后报价</w:t>
      </w:r>
    </w:p>
    <w:p w14:paraId="109F6D3A">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磋商小组对各供应商的商务技术评审结束后，采购代理机构组织各磋商供应商在规定的时间内在政采云平台在线完成最后报价；政采云平台在线报价操作失败的，供应商应及时联系采购代理机构，通过指定的电子邮箱提供（最后报价函格式见附件，指定邮箱号：2495581683@qq.com）。在磋商内容不变的情况下，最后报价不能高于前轮报价和最高限价，高出报价的将作为无效标处理。</w:t>
      </w:r>
    </w:p>
    <w:p w14:paraId="7EF91B2C">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（3）报价文件评审</w:t>
      </w:r>
    </w:p>
    <w:p w14:paraId="009E17D5">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磋商小组依据磋商文件的规定，对各供应商提交的最后报价的完整性、合理性进行审查，必要时可要求供应商对其报价做出澄清、说明；</w:t>
      </w:r>
    </w:p>
    <w:p w14:paraId="05A5D6C8">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报价修正；</w:t>
      </w:r>
    </w:p>
    <w:p w14:paraId="7BAA7B68">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政府采购政策价格扣除；</w:t>
      </w:r>
    </w:p>
    <w:p w14:paraId="457D104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磋商小组根据供应商的最后报价和评审标准，计算各供应商的报价得分。</w:t>
      </w:r>
    </w:p>
    <w:p w14:paraId="6F810D19">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5.磋商响应文件的澄清、说明或补正</w:t>
      </w:r>
    </w:p>
    <w:p w14:paraId="4CF1FF13">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磋商响应文件中含义不明确、同类问题表述不一致或者有明显文字和计算错误的内容，磋商小组发起在线询标,供应商线上电子件回复（若无法线上电子件回复，可通过发送指定邮箱进行电子邮件回复）。供应商的澄清、说明或者更正不得超出磋商响应文件的范围或者改变磋商响应文件的实质性内容；供应商的的澄清、说明或更正将作为磋商响应文件的一部分；</w:t>
      </w:r>
    </w:p>
    <w:p w14:paraId="085B8CD7">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（2）评审时磋商小组认为供应商的最后报价明显低于其他供应商的最后报价，有可能影响产品质量或者不能诚信履约的，应当要求其在评审现场合理的时间内说明原因和提供证明材料；</w:t>
      </w:r>
    </w:p>
    <w:p w14:paraId="65E44266">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（3）不接受供应商主动对磋商响应文件的澄清、说明或者补正。</w:t>
      </w:r>
    </w:p>
    <w:p w14:paraId="27B57E52">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6.报价错误修正</w:t>
      </w:r>
    </w:p>
    <w:p w14:paraId="3CB2EE2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磋商小组对确定磋商响应文件为实质上响应磋商文件要求的，磋商响应文件报价出现前后不一致的，按照下列规定修正：</w:t>
      </w:r>
    </w:p>
    <w:p w14:paraId="35E7C335">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（1）正本与副本不一致时，以正本为准；</w:t>
      </w:r>
    </w:p>
    <w:p w14:paraId="38EDF943">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（2）报价文件中开标一览表（报价表）内容与报价明细表相应内容不一致的，以开标一览表（报价表）为准；</w:t>
      </w:r>
    </w:p>
    <w:p w14:paraId="7926089F">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（3）报价文件的大写金额和小写金额不一致的，以大写金额为准；</w:t>
      </w:r>
    </w:p>
    <w:p w14:paraId="3B5B768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（4）单价金额小数点或者百分比有明显错位的，以开标一览表（报价表）的总价为准，并修改单价；</w:t>
      </w:r>
    </w:p>
    <w:p w14:paraId="45AF6C88">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（5）总价金额与按单价汇总金额不一致的，以单价金额计算结果为准；</w:t>
      </w:r>
    </w:p>
    <w:p w14:paraId="5702A6A8">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（6）同时出现两种以上不一致的，按上述顺序修正；</w:t>
      </w:r>
    </w:p>
    <w:p w14:paraId="0B62F975">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（7）对不同文字文本磋商响应文件的解释发生异议的，以中文文本为准；</w:t>
      </w:r>
    </w:p>
    <w:p w14:paraId="3DED7FB6">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（8）修正错误的响应报价，经供应商负责人（或委托代理人）同意签字确认后产生约束力。调整后的响应报价对供应商具有约束作用。若供应商不接受修正后的响应报价，则其响应无效。</w:t>
      </w:r>
    </w:p>
    <w:p w14:paraId="0BF9EB02">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7.评审报告</w:t>
      </w:r>
    </w:p>
    <w:p w14:paraId="3B50FD62">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（1）评审结果汇总，供应商结果排序；</w:t>
      </w:r>
    </w:p>
    <w:p w14:paraId="6C87F656">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（2）磋商小组根据全体评审成员签字的原始评审记录和评审结果编写评审报告，并推荐成交候选人或确定成交人；</w:t>
      </w:r>
    </w:p>
    <w:p w14:paraId="759F675D">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（3）评审报告由磋商小组成员签字确认生效，持不同意见的磋商小组成员应当在评审报告上签署不同意见及理由，否则视为同意评审报告；</w:t>
      </w:r>
    </w:p>
    <w:p w14:paraId="3DD81FF7">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8.对供应商的磋商响应文件出现下列情形之一的，作无效处理：</w:t>
      </w:r>
    </w:p>
    <w:p w14:paraId="05CB3F90">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（1）在资格审查时，如发现下列情形之一的，磋商响应文件将被视为无效：</w:t>
      </w:r>
    </w:p>
    <w:p w14:paraId="481E7173">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①资格证明文件不全的，或者不符合磋商文件标明的资格要求的（见资格审查资料要求）；</w:t>
      </w:r>
    </w:p>
    <w:p w14:paraId="636F7DDD">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②自公告发布之日起至磋商截止日内在“信用中国网” (www.creditchina.gov.cn)被列入失信被执行人、重大税收违法当事人名单的供应商，资格审查时不予以通过；</w:t>
      </w:r>
    </w:p>
    <w:p w14:paraId="49F5320F">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③自公告发布之日起至磋商截止日内在“中国政府采购网”(www.ccgp.gov.cn)被列入政府采购严重违法失信行为记录名单的，资格审查时不予以通过。</w:t>
      </w:r>
    </w:p>
    <w:p w14:paraId="50D403AA">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（2）在符合性审查和商务评审时，如发现下列情形之一的，磋商响应文件将被视为无效：</w:t>
      </w:r>
    </w:p>
    <w:p w14:paraId="51F46827">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①磋商响应文件的密封、签署、盖章不符合磋商文件要求的；</w:t>
      </w:r>
    </w:p>
    <w:p w14:paraId="6959FA09">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②不响应磋商文件实质性条款的；</w:t>
      </w:r>
    </w:p>
    <w:p w14:paraId="1CDD4447">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③磋商响应文件载明的磋商有效期、付款方式、服务期等商务条款不能满足磋商文件要求的；</w:t>
      </w:r>
    </w:p>
    <w:p w14:paraId="69434A29">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④磋商响应文件关键字迹模糊辨认不清的（磋商小组一致认为难以确认）；</w:t>
      </w:r>
    </w:p>
    <w:p w14:paraId="38070AF5">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⑤磋商响应文件附有采购人不能接受的条件的；</w:t>
      </w:r>
    </w:p>
    <w:p w14:paraId="2DFCCB84">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⑥提供虚假资料的；</w:t>
      </w:r>
    </w:p>
    <w:p w14:paraId="7A4E3C5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⑦电子磋商响应文件解密失败的，且未在规定时间内提交备份磋商响应文件的；</w:t>
      </w:r>
    </w:p>
    <w:p w14:paraId="7DA0A45D">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⑧磋商文件规定的其他实质性要求（磋商小组一致认定）的；</w:t>
      </w:r>
    </w:p>
    <w:p w14:paraId="050490B7">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⑨法律、法规、规章及省级以上规范性文件等规定的其他情形。</w:t>
      </w:r>
    </w:p>
    <w:p w14:paraId="6872450B">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（3）在技术评审时，如发现下列情形之一的，磋商响应文件将被视为无效：</w:t>
      </w:r>
    </w:p>
    <w:p w14:paraId="4C494F00">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①磋商响应文件标明的响应或偏离与事实不符或虚假交易的；</w:t>
      </w:r>
    </w:p>
    <w:p w14:paraId="307E629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②明显不符合采购文件要求的技术标准、质量标准；</w:t>
      </w:r>
    </w:p>
    <w:p w14:paraId="5C9E58E3">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③投标技术方案不明确，存在一个或一个以上投标方案的；</w:t>
      </w:r>
    </w:p>
    <w:p w14:paraId="593CA877">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④与其他参加本次投标的供应商的磋商响应文件（技术文件）的文字表述内容相同连续20行以上或者差错相同2处以上的；</w:t>
      </w:r>
    </w:p>
    <w:p w14:paraId="752BFCE3">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⑤技术方案不明确，存在一个或一个以上替代方案的；</w:t>
      </w:r>
    </w:p>
    <w:p w14:paraId="034A7A05">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（4）在报价评审时，如发现下列情形之一的，磋商响应文件将被视为无效：</w:t>
      </w:r>
    </w:p>
    <w:p w14:paraId="74915E2B">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①未按磋商文件标明的要求报价的；</w:t>
      </w:r>
    </w:p>
    <w:p w14:paraId="726A3DC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②报价超出本项目最高限价的；</w:t>
      </w:r>
    </w:p>
    <w:p w14:paraId="47C0C0D1">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③供应商提交两份或两份以上内容不同的报价文件，或在一份报价文件中对同一采购项目有两个或两个以上报价的；</w:t>
      </w:r>
    </w:p>
    <w:p w14:paraId="0DABFB1C">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④擅自改变采购人提供的清单，或未提供竞争性磋商文件要求的采购清单，影响磋商正常进行的；</w:t>
      </w:r>
    </w:p>
    <w:p w14:paraId="7094795D">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⑤供应商拒绝修正不平衡报价，或拒绝提供报价分析说明和证明材料的；</w:t>
      </w:r>
    </w:p>
    <w:p w14:paraId="01B5DE0E">
      <w:pPr>
        <w:tabs>
          <w:tab w:val="left" w:pos="72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⑥供应商的报价明显低于其他通过符合性审查投标人的报价或低于最高限价的50%（即</w:t>
      </w:r>
      <w:r>
        <w:rPr>
          <w:rFonts w:hint="eastAsia" w:ascii="宋体" w:hAnsi="宋体" w:cs="宋体"/>
          <w:color w:val="auto"/>
          <w:sz w:val="24"/>
          <w:highlight w:val="none"/>
          <w:lang w:val="en-US" w:eastAsia="zh-CN"/>
        </w:rPr>
        <w:t>225000</w:t>
      </w:r>
      <w:r>
        <w:rPr>
          <w:rFonts w:hint="eastAsia" w:ascii="宋体" w:hAnsi="宋体" w:cs="宋体"/>
          <w:color w:val="auto"/>
          <w:sz w:val="24"/>
          <w:highlight w:val="none"/>
        </w:rPr>
        <w:t xml:space="preserve">元），有可能影响产品质量或者不能诚信履约的，应当要求其在现场合理的时间内提供书面说明，必要时提供相关证明材料，供应商不能证明其合理性，评委按照少数服从多数的原则判定其为无效标的。  </w:t>
      </w:r>
      <w:r>
        <w:rPr>
          <w:rFonts w:hint="eastAsia" w:ascii="宋体" w:hAnsi="宋体" w:cs="宋体"/>
          <w:color w:val="auto"/>
          <w:sz w:val="24"/>
          <w:highlight w:val="none"/>
          <w:lang w:val="en-US" w:eastAsia="zh-CN"/>
        </w:rPr>
        <w:t xml:space="preserve"> </w:t>
      </w:r>
    </w:p>
    <w:p w14:paraId="7E7AF902">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9.在磋商过程中，磋商供应商不得向磋商小组成员询问磋商情况，不得进行旨在影响磋商结果的活动，否则将取消其磋商资格。</w:t>
      </w:r>
    </w:p>
    <w:p w14:paraId="29E6D21A">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5972D6C1">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11.出现下列情形之一的，应予废标：</w:t>
      </w:r>
    </w:p>
    <w:p w14:paraId="67883E10">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（1）符合条件的供应商或者对磋商文件实质性条款完全响应的供应商不足三家的（特殊情况经审批同意的除外）；</w:t>
      </w:r>
    </w:p>
    <w:p w14:paraId="520FE664">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473705AD">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（3）供应商的报价超过了采购预算，采购人不能支付的；</w:t>
      </w:r>
    </w:p>
    <w:p w14:paraId="0911BB86">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（4）磋商小组发现磋商文件存在歧义、重大缺陷导致评标工作无法进行，或者磋商文件内容违反国家有关强制性规定的；</w:t>
      </w:r>
    </w:p>
    <w:p w14:paraId="7403543F">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（5）因重大变故，采购任务取消的。</w:t>
      </w:r>
    </w:p>
    <w:p w14:paraId="33340665">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六、定标、成交通知</w:t>
      </w:r>
    </w:p>
    <w:p w14:paraId="57CBB8D9">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1.确定成交供应商</w:t>
      </w:r>
    </w:p>
    <w:p w14:paraId="76048074">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（1）磋商小组应当根据综合评分情况，按照评审得分由高到低顺序推荐3名成交候选供应商。</w:t>
      </w:r>
    </w:p>
    <w:p w14:paraId="6AB1446A">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（2）采购代理机构应当在评审结束后2个工作日内将评审报告送采购人确认。</w:t>
      </w:r>
    </w:p>
    <w:p w14:paraId="419A2928">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（3）采购人应当在收到评审报告后5个工作日内，从评审报告提出的成交候选供应商中，按照排序由高到低的原则确定成交供应商。</w:t>
      </w:r>
    </w:p>
    <w:p w14:paraId="13992341">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替补候选人的设定与使用：第一成交候选供应商放弃成交或者因不可抗力提出不能履行合同；或者应当提交履约保证金而在规定的期限内未能提交的；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44428604">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2.成交结果公告</w:t>
      </w:r>
    </w:p>
    <w:p w14:paraId="194870A4">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采购代理机构应当在成交供应商确定后2个工作日内，在省级以上财政部门指定的政府采购信息发布媒体上公告成交结果。公告期按有关规定执行。</w:t>
      </w:r>
    </w:p>
    <w:p w14:paraId="78A4521E">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3.成交通知</w:t>
      </w:r>
    </w:p>
    <w:p w14:paraId="7BEDF620">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（1）在发出成交结果公告同时向成交供应商发出成交通知书。</w:t>
      </w:r>
    </w:p>
    <w:p w14:paraId="133ADD5F">
      <w:pPr>
        <w:snapToGrid w:val="0"/>
        <w:spacing w:line="360" w:lineRule="auto"/>
        <w:ind w:firstLine="526" w:firstLineChars="200"/>
        <w:rPr>
          <w:rFonts w:hint="eastAsia" w:ascii="宋体" w:hAnsi="宋体" w:cs="宋体"/>
          <w:b/>
          <w:bCs/>
          <w:color w:val="auto"/>
          <w:spacing w:val="11"/>
          <w:sz w:val="24"/>
          <w:highlight w:val="none"/>
        </w:rPr>
      </w:pPr>
      <w:r>
        <w:rPr>
          <w:rFonts w:hint="eastAsia" w:ascii="宋体" w:hAnsi="宋体" w:cs="宋体"/>
          <w:b/>
          <w:bCs/>
          <w:color w:val="auto"/>
          <w:spacing w:val="11"/>
          <w:sz w:val="24"/>
          <w:highlight w:val="none"/>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3AA7F307">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（3）成交通知书将作为双方签订合同的依据；</w:t>
      </w:r>
    </w:p>
    <w:p w14:paraId="08F2F3B5">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（4）如果成交人没有按时签订合同，采购人将有充分理由取消该成交决定。</w:t>
      </w:r>
    </w:p>
    <w:p w14:paraId="1190A577">
      <w:p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七、授予合同</w:t>
      </w:r>
    </w:p>
    <w:p w14:paraId="3D26418D">
      <w:pPr>
        <w:tabs>
          <w:tab w:val="left" w:pos="540"/>
        </w:tabs>
        <w:spacing w:line="360" w:lineRule="auto"/>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rPr>
        <w:t>（一）授予合同的依据</w:t>
      </w:r>
    </w:p>
    <w:p w14:paraId="1DF3DFE5">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1.招标采购单位签发的成交通知书；</w:t>
      </w:r>
    </w:p>
    <w:p w14:paraId="1CA10427">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2.磋商文件、磋商文件的修改及补充通知（函）；</w:t>
      </w:r>
    </w:p>
    <w:p w14:paraId="034DE183">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3.磋商响应文件和磋商时供应商作出的书面澄清、说明、纠正、承诺等；</w:t>
      </w:r>
    </w:p>
    <w:p w14:paraId="444D9FC7">
      <w:pPr>
        <w:tabs>
          <w:tab w:val="left" w:pos="72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（二）合同签订</w:t>
      </w:r>
    </w:p>
    <w:p w14:paraId="4FE21F38">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与成交供应商应当在成交通知书发出之日起30日内，按照磋商文件确定的合同文本以及采购标的、规格型号、采购金额、采购数量、技术和服务要求等事项签订政府采购合同。否则应承担相应的法律责任。</w:t>
      </w:r>
    </w:p>
    <w:p w14:paraId="15778681">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2.签订政府采购合同后2个工作日内，采购人应将政府采购合同在政采云平台上进行备案。</w:t>
      </w:r>
    </w:p>
    <w:p w14:paraId="6A9E21D7">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3.磋商文件、成交供应商的响应文件及磋商过程中有关澄清文件和承诺均为合同附件。</w:t>
      </w:r>
    </w:p>
    <w:p w14:paraId="0590809F">
      <w:pPr>
        <w:tabs>
          <w:tab w:val="left" w:pos="7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4.采购人如不与成交供应商订立合同，或者采购人、成交供应商订立背离合同实质性内容的协议，由政府有关部门责令改正，同时依法承担相应法律责任；</w:t>
      </w:r>
    </w:p>
    <w:p w14:paraId="4DB7BE0B">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5.成交供应商如不按规定与采购人订立合同，则招标采购单位将废除授标，并按《中华人民共和国政府采购法》的有关规定承担法律责任。</w:t>
      </w:r>
    </w:p>
    <w:p w14:paraId="4DC4A99E">
      <w:pPr>
        <w:tabs>
          <w:tab w:val="left" w:pos="720"/>
        </w:tabs>
        <w:spacing w:line="360" w:lineRule="auto"/>
        <w:ind w:firstLine="480" w:firstLineChars="200"/>
        <w:rPr>
          <w:rFonts w:hint="eastAsia" w:ascii="宋体" w:hAnsi="宋体" w:cs="宋体"/>
          <w:color w:val="auto"/>
          <w:sz w:val="24"/>
          <w:highlight w:val="none"/>
        </w:rPr>
      </w:pPr>
      <w:bookmarkStart w:id="76" w:name="_Toc172297315"/>
      <w:bookmarkEnd w:id="76"/>
      <w:bookmarkStart w:id="77" w:name="_Toc172343653"/>
      <w:bookmarkEnd w:id="77"/>
      <w:bookmarkStart w:id="78" w:name="_Toc172297317"/>
      <w:bookmarkEnd w:id="78"/>
      <w:bookmarkStart w:id="79" w:name="_Toc172343652"/>
      <w:bookmarkEnd w:id="79"/>
      <w:bookmarkStart w:id="80" w:name="_Toc172297316"/>
      <w:bookmarkEnd w:id="80"/>
      <w:bookmarkStart w:id="81" w:name="_Toc172343654"/>
      <w:bookmarkEnd w:id="81"/>
      <w:bookmarkStart w:id="82" w:name="_Toc403719523"/>
      <w:r>
        <w:rPr>
          <w:rFonts w:hint="eastAsia" w:ascii="宋体" w:hAnsi="宋体" w:cs="宋体"/>
          <w:color w:val="auto"/>
          <w:sz w:val="24"/>
          <w:highlight w:val="none"/>
        </w:rPr>
        <w:t>6.成交供应商应当按照合同约定履行义务，完成成交项目各项工作，不得将成交项目违法转让（转包）给他人。</w:t>
      </w:r>
    </w:p>
    <w:p w14:paraId="4331E644">
      <w:pPr>
        <w:tabs>
          <w:tab w:val="left" w:pos="540"/>
        </w:tabs>
        <w:spacing w:line="360" w:lineRule="auto"/>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rPr>
        <w:t>（三）履约保证金</w:t>
      </w:r>
      <w:bookmarkEnd w:id="82"/>
    </w:p>
    <w:p w14:paraId="43E47652">
      <w:pPr>
        <w:tabs>
          <w:tab w:val="left" w:pos="540"/>
        </w:tabs>
        <w:spacing w:line="360" w:lineRule="auto"/>
        <w:ind w:firstLine="360" w:firstLineChars="150"/>
        <w:rPr>
          <w:color w:val="auto"/>
          <w:sz w:val="24"/>
          <w:highlight w:val="none"/>
        </w:rPr>
      </w:pPr>
      <w:bookmarkStart w:id="83" w:name="_Toc403719521"/>
      <w:r>
        <w:rPr>
          <w:rFonts w:hint="eastAsia" w:ascii="宋体" w:hAnsi="宋体" w:cs="宋体"/>
          <w:color w:val="auto"/>
          <w:sz w:val="24"/>
          <w:highlight w:val="none"/>
        </w:rPr>
        <w:t>本项目不适用</w:t>
      </w:r>
      <w:r>
        <w:rPr>
          <w:rFonts w:hint="eastAsia"/>
          <w:color w:val="auto"/>
          <w:sz w:val="24"/>
          <w:highlight w:val="none"/>
        </w:rPr>
        <w:t>。</w:t>
      </w:r>
    </w:p>
    <w:p w14:paraId="3DD15B33">
      <w:pPr>
        <w:tabs>
          <w:tab w:val="left" w:pos="540"/>
        </w:tabs>
        <w:spacing w:line="360" w:lineRule="auto"/>
        <w:ind w:firstLine="361" w:firstLineChars="150"/>
        <w:rPr>
          <w:rFonts w:hint="eastAsia" w:ascii="宋体" w:hAnsi="宋体" w:cs="宋体"/>
          <w:b/>
          <w:bCs/>
          <w:color w:val="auto"/>
          <w:sz w:val="24"/>
          <w:highlight w:val="none"/>
        </w:rPr>
      </w:pPr>
      <w:r>
        <w:rPr>
          <w:rFonts w:hint="eastAsia" w:ascii="宋体" w:hAnsi="宋体" w:cs="宋体"/>
          <w:b/>
          <w:bCs/>
          <w:color w:val="auto"/>
          <w:sz w:val="24"/>
          <w:highlight w:val="none"/>
        </w:rPr>
        <w:t>（四）磋商费用</w:t>
      </w:r>
      <w:bookmarkEnd w:id="83"/>
    </w:p>
    <w:p w14:paraId="4D390E4B">
      <w:pPr>
        <w:spacing w:line="360" w:lineRule="auto"/>
        <w:ind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供应商应自行承担所有与参加磋商有关的费用。无论磋商过程中的做法和结果如何，采购代理机构和磋商小组在任何情况下均无义务和责任承担这些费用。</w:t>
      </w:r>
    </w:p>
    <w:p w14:paraId="5772B223">
      <w:pPr>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八、招标代理服务费</w:t>
      </w:r>
    </w:p>
    <w:p w14:paraId="7802A535">
      <w:pPr>
        <w:tabs>
          <w:tab w:val="left" w:pos="720"/>
        </w:tabs>
        <w:adjustRightInd w:val="0"/>
        <w:snapToGrid w:val="0"/>
        <w:spacing w:line="360" w:lineRule="auto"/>
        <w:ind w:left="210" w:leftChars="100" w:firstLine="241" w:firstLineChars="100"/>
        <w:rPr>
          <w:rFonts w:hint="eastAsia" w:ascii="宋体" w:hAnsi="宋体" w:cs="宋体"/>
          <w:color w:val="auto"/>
          <w:sz w:val="24"/>
          <w:highlight w:val="none"/>
          <w:u w:val="single"/>
        </w:rPr>
      </w:pPr>
      <w:r>
        <w:rPr>
          <w:rFonts w:hint="eastAsia" w:ascii="宋体" w:hAnsi="宋体" w:cs="宋体"/>
          <w:b/>
          <w:bCs/>
          <w:color w:val="auto"/>
          <w:sz w:val="24"/>
          <w:highlight w:val="none"/>
          <w:u w:val="single"/>
        </w:rPr>
        <w:t>经采购人和代理公司协商，本项目招标代理服务费由成交供应商支付，代理费为</w:t>
      </w:r>
      <w:r>
        <w:rPr>
          <w:rFonts w:hint="eastAsia" w:ascii="宋体" w:hAnsi="宋体" w:cs="宋体"/>
          <w:b/>
          <w:bCs/>
          <w:color w:val="auto"/>
          <w:sz w:val="24"/>
          <w:highlight w:val="none"/>
          <w:u w:val="single"/>
          <w:lang w:val="en-US" w:eastAsia="zh-CN"/>
        </w:rPr>
        <w:t>6500</w:t>
      </w:r>
      <w:r>
        <w:rPr>
          <w:rFonts w:hint="eastAsia" w:ascii="宋体" w:hAnsi="宋体" w:cs="宋体"/>
          <w:b/>
          <w:bCs/>
          <w:color w:val="auto"/>
          <w:sz w:val="24"/>
          <w:highlight w:val="none"/>
          <w:u w:val="single"/>
        </w:rPr>
        <w:t>元，请供应商综合考虑到投标报价中，在领取成交通知书时一次性支付给采购代理机构。</w:t>
      </w:r>
    </w:p>
    <w:p w14:paraId="7928D607">
      <w:pPr>
        <w:pStyle w:val="101"/>
        <w:spacing w:line="360" w:lineRule="auto"/>
        <w:ind w:firstLine="480"/>
        <w:rPr>
          <w:rFonts w:hint="eastAsia" w:ascii="宋体" w:hAnsi="宋体" w:cs="宋体"/>
          <w:color w:val="auto"/>
          <w:sz w:val="24"/>
          <w:szCs w:val="24"/>
          <w:highlight w:val="none"/>
          <w:lang w:val="zh-CN"/>
        </w:rPr>
      </w:pPr>
    </w:p>
    <w:p w14:paraId="124DB471">
      <w:pPr>
        <w:pStyle w:val="101"/>
        <w:spacing w:line="360" w:lineRule="auto"/>
        <w:ind w:firstLine="480"/>
        <w:rPr>
          <w:rFonts w:hint="eastAsia" w:ascii="宋体" w:hAnsi="宋体" w:cs="宋体"/>
          <w:color w:val="auto"/>
          <w:sz w:val="24"/>
          <w:szCs w:val="24"/>
          <w:highlight w:val="none"/>
          <w:lang w:val="zh-CN"/>
        </w:rPr>
      </w:pPr>
    </w:p>
    <w:p w14:paraId="0CDA2F50">
      <w:pPr>
        <w:pStyle w:val="101"/>
        <w:spacing w:line="360" w:lineRule="auto"/>
        <w:ind w:firstLine="480"/>
        <w:rPr>
          <w:rFonts w:hint="eastAsia" w:ascii="宋体" w:hAnsi="宋体" w:cs="宋体"/>
          <w:color w:val="auto"/>
          <w:sz w:val="24"/>
          <w:szCs w:val="24"/>
          <w:highlight w:val="none"/>
          <w:lang w:val="zh-CN"/>
        </w:rPr>
      </w:pPr>
    </w:p>
    <w:p w14:paraId="46538C77">
      <w:pPr>
        <w:pStyle w:val="101"/>
        <w:spacing w:line="360" w:lineRule="auto"/>
        <w:ind w:firstLine="480"/>
        <w:rPr>
          <w:rFonts w:hint="eastAsia" w:ascii="宋体" w:hAnsi="宋体" w:cs="宋体"/>
          <w:color w:val="auto"/>
          <w:sz w:val="24"/>
          <w:szCs w:val="24"/>
          <w:highlight w:val="none"/>
          <w:lang w:val="zh-CN"/>
        </w:rPr>
      </w:pPr>
    </w:p>
    <w:p w14:paraId="4346FD6E">
      <w:pPr>
        <w:pStyle w:val="101"/>
        <w:spacing w:line="360" w:lineRule="auto"/>
        <w:ind w:firstLine="480"/>
        <w:rPr>
          <w:rFonts w:hint="eastAsia" w:ascii="宋体" w:hAnsi="宋体" w:cs="宋体"/>
          <w:color w:val="auto"/>
          <w:sz w:val="24"/>
          <w:szCs w:val="24"/>
          <w:highlight w:val="none"/>
          <w:lang w:val="zh-CN"/>
        </w:rPr>
      </w:pPr>
    </w:p>
    <w:p w14:paraId="0BE5A7BE">
      <w:pPr>
        <w:pStyle w:val="101"/>
        <w:spacing w:line="360" w:lineRule="auto"/>
        <w:ind w:firstLine="480"/>
        <w:rPr>
          <w:rFonts w:hint="eastAsia" w:ascii="宋体" w:hAnsi="宋体" w:cs="宋体"/>
          <w:color w:val="auto"/>
          <w:sz w:val="24"/>
          <w:szCs w:val="24"/>
          <w:highlight w:val="none"/>
          <w:lang w:val="zh-CN"/>
        </w:rPr>
      </w:pPr>
    </w:p>
    <w:p w14:paraId="438826A1">
      <w:pPr>
        <w:pStyle w:val="101"/>
        <w:spacing w:line="360" w:lineRule="auto"/>
        <w:ind w:firstLine="480"/>
        <w:rPr>
          <w:rFonts w:hint="eastAsia" w:ascii="宋体" w:hAnsi="宋体" w:cs="宋体"/>
          <w:color w:val="auto"/>
          <w:sz w:val="24"/>
          <w:szCs w:val="24"/>
          <w:highlight w:val="none"/>
          <w:lang w:val="zh-CN"/>
        </w:rPr>
      </w:pPr>
    </w:p>
    <w:p w14:paraId="68C2ABF9">
      <w:pPr>
        <w:pStyle w:val="101"/>
        <w:spacing w:line="360" w:lineRule="auto"/>
        <w:ind w:firstLine="480"/>
        <w:rPr>
          <w:rFonts w:hint="eastAsia" w:ascii="宋体" w:hAnsi="宋体" w:cs="宋体"/>
          <w:color w:val="auto"/>
          <w:sz w:val="24"/>
          <w:szCs w:val="24"/>
          <w:highlight w:val="none"/>
          <w:lang w:val="zh-CN"/>
        </w:rPr>
      </w:pPr>
    </w:p>
    <w:p w14:paraId="44EF6D5D">
      <w:pPr>
        <w:pStyle w:val="101"/>
        <w:spacing w:line="360" w:lineRule="auto"/>
        <w:ind w:firstLine="480"/>
        <w:rPr>
          <w:rFonts w:hint="eastAsia" w:ascii="宋体" w:hAnsi="宋体" w:cs="宋体"/>
          <w:color w:val="auto"/>
          <w:sz w:val="24"/>
          <w:szCs w:val="24"/>
          <w:highlight w:val="none"/>
          <w:lang w:val="zh-CN"/>
        </w:rPr>
      </w:pPr>
    </w:p>
    <w:p w14:paraId="1BC3CED9">
      <w:pPr>
        <w:pStyle w:val="101"/>
        <w:spacing w:line="360" w:lineRule="auto"/>
        <w:ind w:firstLine="480"/>
        <w:rPr>
          <w:rFonts w:hint="eastAsia" w:ascii="宋体" w:hAnsi="宋体" w:cs="宋体"/>
          <w:color w:val="auto"/>
          <w:sz w:val="24"/>
          <w:szCs w:val="24"/>
          <w:highlight w:val="none"/>
          <w:lang w:val="zh-CN"/>
        </w:rPr>
      </w:pPr>
    </w:p>
    <w:p w14:paraId="262A27F5">
      <w:pPr>
        <w:pStyle w:val="13"/>
        <w:ind w:firstLine="0" w:firstLineChars="0"/>
        <w:rPr>
          <w:color w:val="auto"/>
          <w:highlight w:val="none"/>
        </w:rPr>
      </w:pPr>
    </w:p>
    <w:p w14:paraId="02F80B6E">
      <w:pPr>
        <w:spacing w:line="360" w:lineRule="auto"/>
        <w:jc w:val="center"/>
        <w:outlineLvl w:val="0"/>
        <w:rPr>
          <w:rFonts w:hint="eastAsia" w:ascii="黑体" w:hAnsi="黑体" w:eastAsia="黑体" w:cs="黑体"/>
          <w:b/>
          <w:color w:val="auto"/>
          <w:sz w:val="28"/>
          <w:szCs w:val="28"/>
          <w:highlight w:val="none"/>
        </w:rPr>
      </w:pPr>
    </w:p>
    <w:p w14:paraId="256836D2">
      <w:pPr>
        <w:spacing w:line="360" w:lineRule="auto"/>
        <w:jc w:val="center"/>
        <w:outlineLvl w:val="0"/>
        <w:rPr>
          <w:rFonts w:hint="eastAsia" w:ascii="黑体" w:hAnsi="黑体" w:eastAsia="黑体" w:cs="黑体"/>
          <w:b/>
          <w:color w:val="auto"/>
          <w:sz w:val="28"/>
          <w:szCs w:val="28"/>
          <w:highlight w:val="none"/>
        </w:rPr>
      </w:pPr>
    </w:p>
    <w:p w14:paraId="1550C481">
      <w:pPr>
        <w:spacing w:line="360" w:lineRule="auto"/>
        <w:jc w:val="center"/>
        <w:outlineLvl w:val="0"/>
        <w:rPr>
          <w:rFonts w:hint="eastAsia" w:ascii="黑体" w:hAnsi="黑体" w:eastAsia="黑体" w:cs="黑体"/>
          <w:b/>
          <w:color w:val="auto"/>
          <w:sz w:val="28"/>
          <w:szCs w:val="28"/>
          <w:highlight w:val="none"/>
        </w:rPr>
      </w:pPr>
    </w:p>
    <w:p w14:paraId="2A86E547">
      <w:pPr>
        <w:spacing w:line="360" w:lineRule="auto"/>
        <w:jc w:val="center"/>
        <w:outlineLvl w:val="0"/>
        <w:rPr>
          <w:rFonts w:hint="eastAsia" w:ascii="黑体" w:hAnsi="黑体" w:eastAsia="黑体" w:cs="黑体"/>
          <w:b/>
          <w:color w:val="auto"/>
          <w:sz w:val="28"/>
          <w:szCs w:val="28"/>
          <w:highlight w:val="none"/>
        </w:rPr>
      </w:pPr>
    </w:p>
    <w:p w14:paraId="27109E67">
      <w:pPr>
        <w:spacing w:line="360" w:lineRule="auto"/>
        <w:jc w:val="center"/>
        <w:outlineLvl w:val="0"/>
        <w:rPr>
          <w:rFonts w:hint="eastAsia" w:ascii="黑体" w:hAnsi="黑体" w:eastAsia="黑体" w:cs="黑体"/>
          <w:b/>
          <w:color w:val="auto"/>
          <w:sz w:val="28"/>
          <w:szCs w:val="28"/>
          <w:highlight w:val="none"/>
        </w:rPr>
      </w:pPr>
    </w:p>
    <w:p w14:paraId="350C0EE3">
      <w:pPr>
        <w:spacing w:line="360" w:lineRule="auto"/>
        <w:jc w:val="center"/>
        <w:outlineLvl w:val="0"/>
        <w:rPr>
          <w:rFonts w:hint="eastAsia" w:ascii="黑体" w:hAnsi="黑体" w:eastAsia="黑体" w:cs="黑体"/>
          <w:b/>
          <w:color w:val="auto"/>
          <w:sz w:val="28"/>
          <w:szCs w:val="28"/>
          <w:highlight w:val="none"/>
        </w:rPr>
      </w:pPr>
    </w:p>
    <w:p w14:paraId="03826066">
      <w:pPr>
        <w:spacing w:line="360" w:lineRule="auto"/>
        <w:jc w:val="center"/>
        <w:outlineLvl w:val="0"/>
        <w:rPr>
          <w:rFonts w:hint="eastAsia" w:ascii="黑体" w:hAnsi="黑体" w:eastAsia="黑体" w:cs="黑体"/>
          <w:b/>
          <w:color w:val="auto"/>
          <w:sz w:val="28"/>
          <w:szCs w:val="28"/>
          <w:highlight w:val="none"/>
        </w:rPr>
      </w:pPr>
    </w:p>
    <w:p w14:paraId="43264E89">
      <w:pPr>
        <w:spacing w:line="360" w:lineRule="auto"/>
        <w:jc w:val="center"/>
        <w:outlineLvl w:val="0"/>
        <w:rPr>
          <w:rFonts w:hint="eastAsia" w:ascii="黑体" w:hAnsi="黑体" w:eastAsia="黑体" w:cs="黑体"/>
          <w:b/>
          <w:color w:val="auto"/>
          <w:sz w:val="28"/>
          <w:szCs w:val="28"/>
          <w:highlight w:val="none"/>
        </w:rPr>
      </w:pPr>
    </w:p>
    <w:p w14:paraId="7403F603">
      <w:pPr>
        <w:spacing w:line="360" w:lineRule="auto"/>
        <w:jc w:val="center"/>
        <w:outlineLvl w:val="0"/>
        <w:rPr>
          <w:rFonts w:hint="eastAsia" w:ascii="黑体" w:hAnsi="黑体" w:eastAsia="黑体" w:cs="黑体"/>
          <w:b/>
          <w:color w:val="auto"/>
          <w:sz w:val="28"/>
          <w:szCs w:val="28"/>
          <w:highlight w:val="none"/>
        </w:rPr>
      </w:pPr>
    </w:p>
    <w:p w14:paraId="4D6E0B16">
      <w:pPr>
        <w:spacing w:line="360" w:lineRule="auto"/>
        <w:jc w:val="center"/>
        <w:outlineLvl w:val="0"/>
        <w:rPr>
          <w:rFonts w:hint="eastAsia" w:ascii="黑体" w:hAnsi="黑体" w:eastAsia="黑体" w:cs="黑体"/>
          <w:b/>
          <w:color w:val="auto"/>
          <w:sz w:val="28"/>
          <w:szCs w:val="28"/>
          <w:highlight w:val="none"/>
        </w:rPr>
      </w:pPr>
    </w:p>
    <w:p w14:paraId="61C11D91">
      <w:pPr>
        <w:spacing w:line="360" w:lineRule="auto"/>
        <w:jc w:val="center"/>
        <w:outlineLvl w:val="0"/>
        <w:rPr>
          <w:rFonts w:hint="eastAsia" w:ascii="黑体" w:hAnsi="黑体" w:eastAsia="黑体" w:cs="黑体"/>
          <w:b/>
          <w:color w:val="auto"/>
          <w:sz w:val="28"/>
          <w:szCs w:val="28"/>
          <w:highlight w:val="none"/>
        </w:rPr>
      </w:pPr>
    </w:p>
    <w:p w14:paraId="064F7D6C">
      <w:pPr>
        <w:spacing w:line="360" w:lineRule="auto"/>
        <w:jc w:val="center"/>
        <w:outlineLvl w:val="0"/>
        <w:rPr>
          <w:rFonts w:hint="eastAsia" w:ascii="黑体" w:hAnsi="黑体" w:eastAsia="黑体" w:cs="黑体"/>
          <w:b/>
          <w:color w:val="auto"/>
          <w:sz w:val="28"/>
          <w:szCs w:val="28"/>
          <w:highlight w:val="none"/>
        </w:rPr>
      </w:pPr>
    </w:p>
    <w:p w14:paraId="73A57B81">
      <w:pPr>
        <w:spacing w:line="360" w:lineRule="auto"/>
        <w:jc w:val="center"/>
        <w:outlineLvl w:val="0"/>
        <w:rPr>
          <w:rFonts w:hint="eastAsia" w:ascii="黑体" w:hAnsi="黑体" w:eastAsia="黑体" w:cs="黑体"/>
          <w:b/>
          <w:color w:val="auto"/>
          <w:sz w:val="28"/>
          <w:szCs w:val="28"/>
          <w:highlight w:val="none"/>
        </w:rPr>
      </w:pPr>
    </w:p>
    <w:p w14:paraId="2BA87A0D">
      <w:pPr>
        <w:spacing w:line="360" w:lineRule="auto"/>
        <w:jc w:val="both"/>
        <w:outlineLvl w:val="0"/>
        <w:rPr>
          <w:rFonts w:hint="eastAsia" w:ascii="黑体" w:hAnsi="黑体" w:eastAsia="黑体" w:cs="黑体"/>
          <w:b/>
          <w:color w:val="auto"/>
          <w:sz w:val="28"/>
          <w:szCs w:val="28"/>
          <w:highlight w:val="none"/>
        </w:rPr>
      </w:pPr>
    </w:p>
    <w:p w14:paraId="4470FC5C">
      <w:pPr>
        <w:spacing w:line="360" w:lineRule="auto"/>
        <w:jc w:val="center"/>
        <w:outlineLvl w:val="0"/>
        <w:rPr>
          <w:rFonts w:hint="eastAsia" w:ascii="黑体" w:hAnsi="黑体" w:eastAsia="黑体" w:cs="黑体"/>
          <w:b/>
          <w:color w:val="auto"/>
          <w:sz w:val="28"/>
          <w:szCs w:val="28"/>
          <w:highlight w:val="none"/>
        </w:rPr>
      </w:pPr>
    </w:p>
    <w:p w14:paraId="2D9BDFDF">
      <w:pPr>
        <w:spacing w:line="360" w:lineRule="auto"/>
        <w:jc w:val="center"/>
        <w:outlineLvl w:val="0"/>
        <w:rPr>
          <w:rFonts w:hint="eastAsia" w:ascii="黑体" w:hAnsi="黑体" w:eastAsia="黑体" w:cs="黑体"/>
          <w:b/>
          <w:color w:val="auto"/>
          <w:sz w:val="28"/>
          <w:szCs w:val="28"/>
          <w:highlight w:val="none"/>
        </w:rPr>
      </w:pPr>
    </w:p>
    <w:p w14:paraId="5C4B41C3">
      <w:pPr>
        <w:spacing w:line="360" w:lineRule="auto"/>
        <w:jc w:val="center"/>
        <w:outlineLvl w:val="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第四章  磋商办法和评分标准</w:t>
      </w:r>
    </w:p>
    <w:p w14:paraId="0D0938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为公正、公平、科学地选择成交供应商，根据《中华人民共和国政府采购法》、《政府采购竞争性磋商采购方式管理暂行办法》等有关法律法规的规定，并结合本项目的实际，制定本办法。</w:t>
      </w:r>
    </w:p>
    <w:p w14:paraId="572B29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长兴县市政基础设施资产会计核算分析服务项目</w:t>
      </w:r>
      <w:r>
        <w:rPr>
          <w:rFonts w:hint="eastAsia" w:ascii="宋体" w:hAnsi="宋体" w:cs="宋体"/>
          <w:color w:val="auto"/>
          <w:sz w:val="24"/>
          <w:highlight w:val="none"/>
        </w:rPr>
        <w:t>的评标。</w:t>
      </w:r>
    </w:p>
    <w:p w14:paraId="33A0A0B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一、总则</w:t>
      </w:r>
    </w:p>
    <w:p w14:paraId="3583429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1.本项目原则上采用政采云电子招投标开标及评审程序，如遇特殊情况按照《供应商须知前附表》进行处理。</w:t>
      </w:r>
    </w:p>
    <w:p w14:paraId="2F2226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2.步骤：</w:t>
      </w:r>
    </w:p>
    <w:p w14:paraId="518862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（1）资格审查；</w:t>
      </w:r>
    </w:p>
    <w:p w14:paraId="7BFE2D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（2）符合性审查；</w:t>
      </w:r>
    </w:p>
    <w:p w14:paraId="567885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磋商过程：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磋商响应文件，并加盖公章或者负责人（或委托代理人）签字确认。</w:t>
      </w:r>
    </w:p>
    <w:p w14:paraId="49E386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（4）电子招投标评审过程：</w:t>
      </w:r>
    </w:p>
    <w:p w14:paraId="0E4348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①磋商小组对商务、技术进行评审；</w:t>
      </w:r>
    </w:p>
    <w:p w14:paraId="2E6FC9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②在系统上公开资格和商务、技术评审结果；</w:t>
      </w:r>
    </w:p>
    <w:p w14:paraId="30686E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③在系统上最后报价及公开报价情况</w:t>
      </w:r>
    </w:p>
    <w:p w14:paraId="419189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④磋商小组对报价情况进行评审；</w:t>
      </w:r>
    </w:p>
    <w:p w14:paraId="3432EF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⑤在系统上公布评审结果。</w:t>
      </w:r>
    </w:p>
    <w:p w14:paraId="0232A02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特别说明：政采云公司如对电子化开标及评审程序有调整的，按调整后的程序操作。</w:t>
      </w:r>
    </w:p>
    <w:p w14:paraId="107185D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二、评标内容及标准</w:t>
      </w:r>
    </w:p>
    <w:p w14:paraId="65C51E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1.本次磋商采用综合评分法，</w:t>
      </w:r>
      <w:r>
        <w:rPr>
          <w:rFonts w:hint="eastAsia" w:ascii="宋体" w:hAnsi="宋体" w:cs="宋体"/>
          <w:b/>
          <w:color w:val="auto"/>
          <w:sz w:val="24"/>
          <w:highlight w:val="none"/>
        </w:rPr>
        <w:t>总分为100分，其中价格分10分，技术分、资信及商务分90分两部分。</w:t>
      </w:r>
      <w:r>
        <w:rPr>
          <w:rFonts w:hint="eastAsia" w:ascii="宋体" w:hAnsi="宋体" w:cs="宋体"/>
          <w:color w:val="auto"/>
          <w:sz w:val="24"/>
          <w:highlight w:val="none"/>
        </w:rPr>
        <w:t>合格供应商的评审得分为各项目汇总得分，磋商小组根据综合评分情况，按照评审得分从高到低推荐3名成交侯选供应商。评审得分相同的，按照最后报价由低到高顺序推荐；评审得分且最后报价相同的，按照技术指标优劣顺序推荐。排名第一的的供应商为第一成交候选供应商。评分过程中采用四舍五入法，并保留小数2位。</w:t>
      </w:r>
    </w:p>
    <w:p w14:paraId="483C4C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供应商评审综合得分=价格分+(技术分+资信及商务分)</w:t>
      </w:r>
    </w:p>
    <w:p w14:paraId="59ECE70E">
      <w:pPr>
        <w:tabs>
          <w:tab w:val="left" w:pos="108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 （一）价格分评定：10分</w:t>
      </w:r>
    </w:p>
    <w:p w14:paraId="58BD919C">
      <w:pPr>
        <w:tabs>
          <w:tab w:val="left" w:pos="1080"/>
          <w:tab w:val="left" w:pos="1436"/>
        </w:tabs>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价格分采用低价优先法计算，取所有有效供应商中满足磋商响应文件要求且最后报价最低的供应商的价格为评标基准价，其他供应商的价格分按照下列公式计算：</w:t>
      </w:r>
    </w:p>
    <w:p w14:paraId="72046C35">
      <w:pPr>
        <w:tabs>
          <w:tab w:val="left" w:pos="1080"/>
          <w:tab w:val="left" w:pos="1436"/>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价格分=（评标基准价/最后报价）×10%×100</w:t>
      </w:r>
    </w:p>
    <w:p w14:paraId="6D7DDAB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（二）技术、资信及商务评定</w:t>
      </w:r>
    </w:p>
    <w:p w14:paraId="064BE8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技术、资信及商务分按照磋商小组成员的独立评分结果汇总数的算术平均分计算，计算公式为：         </w:t>
      </w:r>
    </w:p>
    <w:p w14:paraId="57AAE3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技术、资信及商务分=磋商小组所有成员评分合计数/磋商小组组成人数（（精确到小数点后二位））</w:t>
      </w:r>
    </w:p>
    <w:p w14:paraId="75B2832E">
      <w:pPr>
        <w:spacing w:line="640" w:lineRule="exact"/>
        <w:outlineLvl w:val="2"/>
        <w:rPr>
          <w:rFonts w:hint="eastAsia" w:ascii="仿宋" w:hAnsi="仿宋" w:eastAsia="仿宋" w:cs="仿宋"/>
          <w:color w:val="auto"/>
          <w:highlight w:val="none"/>
        </w:rPr>
      </w:pPr>
      <w:r>
        <w:rPr>
          <w:rFonts w:hint="eastAsia" w:ascii="宋体" w:hAnsi="宋体" w:cs="宋体"/>
          <w:b/>
          <w:color w:val="auto"/>
          <w:sz w:val="24"/>
          <w:highlight w:val="none"/>
        </w:rPr>
        <w:t>附件：评分表格式（技术、资信及商务分，共90分）</w:t>
      </w:r>
      <w:bookmarkEnd w:id="52"/>
      <w:bookmarkEnd w:id="53"/>
      <w:bookmarkEnd w:id="54"/>
      <w:bookmarkEnd w:id="55"/>
      <w:bookmarkEnd w:id="56"/>
      <w:bookmarkEnd w:id="57"/>
      <w:bookmarkEnd w:id="58"/>
    </w:p>
    <w:tbl>
      <w:tblPr>
        <w:tblStyle w:val="4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8"/>
        <w:gridCol w:w="1401"/>
        <w:gridCol w:w="6658"/>
        <w:gridCol w:w="890"/>
      </w:tblGrid>
      <w:tr w14:paraId="7FE0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4FF76ECB">
            <w:pPr>
              <w:pStyle w:val="17"/>
              <w:autoSpaceDE w:val="0"/>
              <w:spacing w:line="360" w:lineRule="exact"/>
              <w:ind w:left="0" w:right="-69" w:rightChars="-33"/>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732" w:type="pct"/>
            <w:tcBorders>
              <w:top w:val="single" w:color="000000" w:sz="4" w:space="0"/>
              <w:left w:val="single" w:color="000000" w:sz="4" w:space="0"/>
              <w:bottom w:val="single" w:color="000000" w:sz="4" w:space="0"/>
              <w:right w:val="single" w:color="000000" w:sz="4" w:space="0"/>
            </w:tcBorders>
            <w:vAlign w:val="center"/>
          </w:tcPr>
          <w:p w14:paraId="6595FCFB">
            <w:pPr>
              <w:pStyle w:val="17"/>
              <w:autoSpaceDE w:val="0"/>
              <w:spacing w:line="360" w:lineRule="exact"/>
              <w:ind w:left="0" w:right="-65" w:rightChars="-31"/>
              <w:jc w:val="center"/>
              <w:rPr>
                <w:rFonts w:hint="eastAsia" w:ascii="宋体" w:hAnsi="宋体" w:eastAsia="宋体" w:cs="宋体"/>
                <w:b/>
                <w:color w:val="auto"/>
                <w:highlight w:val="none"/>
              </w:rPr>
            </w:pPr>
            <w:r>
              <w:rPr>
                <w:rFonts w:hint="eastAsia" w:ascii="宋体" w:hAnsi="宋体" w:eastAsia="宋体" w:cs="宋体"/>
                <w:b/>
                <w:color w:val="auto"/>
                <w:highlight w:val="none"/>
              </w:rPr>
              <w:t>评审内容</w:t>
            </w:r>
          </w:p>
        </w:tc>
        <w:tc>
          <w:tcPr>
            <w:tcW w:w="3478" w:type="pct"/>
            <w:tcBorders>
              <w:top w:val="single" w:color="000000" w:sz="4" w:space="0"/>
              <w:left w:val="single" w:color="000000" w:sz="4" w:space="0"/>
              <w:bottom w:val="single" w:color="000000" w:sz="4" w:space="0"/>
              <w:right w:val="single" w:color="000000" w:sz="4" w:space="0"/>
            </w:tcBorders>
            <w:vAlign w:val="center"/>
          </w:tcPr>
          <w:p w14:paraId="68A8B5FB">
            <w:pPr>
              <w:pStyle w:val="17"/>
              <w:autoSpaceDE w:val="0"/>
              <w:spacing w:line="360" w:lineRule="exact"/>
              <w:ind w:left="0" w:right="-250" w:rightChars="-119"/>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c>
          <w:tcPr>
            <w:tcW w:w="465" w:type="pct"/>
            <w:tcBorders>
              <w:top w:val="single" w:color="000000" w:sz="4" w:space="0"/>
              <w:left w:val="single" w:color="000000" w:sz="4" w:space="0"/>
              <w:bottom w:val="single" w:color="000000" w:sz="4" w:space="0"/>
              <w:right w:val="single" w:color="000000" w:sz="4" w:space="0"/>
            </w:tcBorders>
            <w:vAlign w:val="center"/>
          </w:tcPr>
          <w:p w14:paraId="01CA6500">
            <w:pPr>
              <w:pStyle w:val="17"/>
              <w:autoSpaceDE w:val="0"/>
              <w:spacing w:line="36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分值</w:t>
            </w:r>
          </w:p>
        </w:tc>
      </w:tr>
      <w:tr w14:paraId="36667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466ED0C4">
            <w:pPr>
              <w:pStyle w:val="17"/>
              <w:autoSpaceDE w:val="0"/>
              <w:spacing w:line="360" w:lineRule="exact"/>
              <w:ind w:left="0" w:right="-21" w:rightChars="-10"/>
              <w:jc w:val="center"/>
              <w:rPr>
                <w:rFonts w:hint="eastAsia" w:ascii="宋体" w:hAnsi="宋体" w:eastAsia="宋体" w:cs="宋体"/>
                <w:b/>
                <w:color w:val="auto"/>
                <w:highlight w:val="none"/>
              </w:rPr>
            </w:pPr>
            <w:r>
              <w:rPr>
                <w:rFonts w:hint="eastAsia" w:ascii="宋体" w:hAnsi="宋体" w:eastAsia="宋体" w:cs="宋体"/>
                <w:b/>
                <w:color w:val="auto"/>
                <w:highlight w:val="none"/>
              </w:rPr>
              <w:t>一</w:t>
            </w:r>
          </w:p>
        </w:tc>
        <w:tc>
          <w:tcPr>
            <w:tcW w:w="4210" w:type="pct"/>
            <w:gridSpan w:val="2"/>
            <w:tcBorders>
              <w:top w:val="single" w:color="000000" w:sz="4" w:space="0"/>
              <w:left w:val="single" w:color="000000" w:sz="4" w:space="0"/>
              <w:bottom w:val="single" w:color="000000" w:sz="4" w:space="0"/>
              <w:right w:val="single" w:color="000000" w:sz="4" w:space="0"/>
            </w:tcBorders>
            <w:vAlign w:val="center"/>
          </w:tcPr>
          <w:p w14:paraId="45F3BC42">
            <w:pPr>
              <w:pStyle w:val="17"/>
              <w:autoSpaceDE w:val="0"/>
              <w:spacing w:line="360" w:lineRule="exact"/>
              <w:ind w:left="0" w:right="1470"/>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技术分</w:t>
            </w:r>
          </w:p>
        </w:tc>
        <w:tc>
          <w:tcPr>
            <w:tcW w:w="465" w:type="pct"/>
            <w:tcBorders>
              <w:top w:val="single" w:color="000000" w:sz="4" w:space="0"/>
              <w:left w:val="single" w:color="000000" w:sz="4" w:space="0"/>
              <w:bottom w:val="single" w:color="000000" w:sz="4" w:space="0"/>
              <w:right w:val="single" w:color="000000" w:sz="4" w:space="0"/>
            </w:tcBorders>
            <w:vAlign w:val="center"/>
          </w:tcPr>
          <w:p w14:paraId="7CE7097C">
            <w:pPr>
              <w:pStyle w:val="32"/>
              <w:autoSpaceDE w:val="0"/>
              <w:spacing w:line="360" w:lineRule="exact"/>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80分</w:t>
            </w:r>
          </w:p>
        </w:tc>
      </w:tr>
      <w:tr w14:paraId="7E269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767259AA">
            <w:pPr>
              <w:widowControl/>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2" w:type="pct"/>
            <w:tcBorders>
              <w:top w:val="single" w:color="000000" w:sz="4" w:space="0"/>
              <w:left w:val="single" w:color="000000" w:sz="4" w:space="0"/>
              <w:bottom w:val="single" w:color="000000" w:sz="4" w:space="0"/>
              <w:right w:val="single" w:color="000000" w:sz="4" w:space="0"/>
            </w:tcBorders>
            <w:vAlign w:val="center"/>
          </w:tcPr>
          <w:p w14:paraId="61943050">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对本项目总体要求的理解</w:t>
            </w:r>
          </w:p>
        </w:tc>
        <w:tc>
          <w:tcPr>
            <w:tcW w:w="3478" w:type="pct"/>
            <w:tcBorders>
              <w:top w:val="single" w:color="000000" w:sz="4" w:space="0"/>
              <w:left w:val="single" w:color="000000" w:sz="4" w:space="0"/>
              <w:bottom w:val="single" w:color="000000" w:sz="4" w:space="0"/>
              <w:right w:val="single" w:color="000000" w:sz="4" w:space="0"/>
            </w:tcBorders>
            <w:vAlign w:val="center"/>
          </w:tcPr>
          <w:p w14:paraId="039383B0">
            <w:pPr>
              <w:autoSpaceDE w:val="0"/>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u w:val="none"/>
              </w:rPr>
              <w:t>对项目的理解准确、符合项目实际，切实可行的得分</w:t>
            </w:r>
            <w:r>
              <w:rPr>
                <w:rFonts w:hint="eastAsia" w:ascii="宋体" w:hAnsi="宋体" w:eastAsia="宋体" w:cs="宋体"/>
                <w:b w:val="0"/>
                <w:bCs w:val="0"/>
                <w:color w:val="auto"/>
                <w:sz w:val="24"/>
                <w:szCs w:val="24"/>
                <w:highlight w:val="none"/>
                <w:u w:val="none"/>
                <w:lang w:eastAsia="zh-CN"/>
              </w:rPr>
              <w:t>6</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eastAsia="zh-CN"/>
              </w:rPr>
              <w:t>9</w:t>
            </w:r>
            <w:r>
              <w:rPr>
                <w:rFonts w:hint="eastAsia" w:ascii="宋体" w:hAnsi="宋体" w:eastAsia="宋体" w:cs="宋体"/>
                <w:b w:val="0"/>
                <w:bCs w:val="0"/>
                <w:color w:val="auto"/>
                <w:sz w:val="24"/>
                <w:szCs w:val="24"/>
                <w:highlight w:val="none"/>
                <w:u w:val="none"/>
              </w:rPr>
              <w:t>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对本项目理解基本正确的得</w:t>
            </w:r>
            <w:r>
              <w:rPr>
                <w:rFonts w:hint="eastAsia" w:ascii="宋体" w:hAnsi="宋体" w:eastAsia="宋体" w:cs="宋体"/>
                <w:b w:val="0"/>
                <w:bCs w:val="0"/>
                <w:color w:val="auto"/>
                <w:sz w:val="24"/>
                <w:szCs w:val="24"/>
                <w:highlight w:val="none"/>
                <w:u w:val="none"/>
                <w:lang w:eastAsia="zh-CN"/>
              </w:rPr>
              <w:t>3</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eastAsia="zh-CN"/>
              </w:rPr>
              <w:t>6</w:t>
            </w:r>
            <w:r>
              <w:rPr>
                <w:rFonts w:hint="eastAsia" w:ascii="宋体" w:hAnsi="宋体" w:eastAsia="宋体" w:cs="宋体"/>
                <w:b w:val="0"/>
                <w:bCs w:val="0"/>
                <w:color w:val="auto"/>
                <w:sz w:val="24"/>
                <w:szCs w:val="24"/>
                <w:highlight w:val="none"/>
                <w:u w:val="none"/>
              </w:rPr>
              <w:t>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有内容提供但对本项目理解有偏差的得0-</w:t>
            </w:r>
            <w:r>
              <w:rPr>
                <w:rFonts w:hint="eastAsia" w:ascii="宋体" w:hAnsi="宋体" w:eastAsia="宋体" w:cs="宋体"/>
                <w:b w:val="0"/>
                <w:bCs w:val="0"/>
                <w:color w:val="auto"/>
                <w:sz w:val="24"/>
                <w:szCs w:val="24"/>
                <w:highlight w:val="none"/>
                <w:u w:val="none"/>
                <w:lang w:eastAsia="zh-CN"/>
              </w:rPr>
              <w:t>3</w:t>
            </w:r>
            <w:r>
              <w:rPr>
                <w:rFonts w:hint="eastAsia" w:ascii="宋体" w:hAnsi="宋体" w:eastAsia="宋体" w:cs="宋体"/>
                <w:b w:val="0"/>
                <w:bCs w:val="0"/>
                <w:color w:val="auto"/>
                <w:sz w:val="24"/>
                <w:szCs w:val="24"/>
                <w:highlight w:val="none"/>
                <w:u w:val="none"/>
              </w:rPr>
              <w:t>分</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未提供的不得分</w:t>
            </w:r>
            <w:r>
              <w:rPr>
                <w:rFonts w:hint="eastAsia" w:ascii="宋体" w:hAnsi="宋体" w:eastAsia="宋体" w:cs="宋体"/>
                <w:b w:val="0"/>
                <w:bCs w:val="0"/>
                <w:color w:val="auto"/>
                <w:sz w:val="24"/>
                <w:szCs w:val="24"/>
                <w:highlight w:val="none"/>
                <w:u w:val="none"/>
                <w:lang w:eastAsia="zh-CN"/>
              </w:rPr>
              <w:t>。</w:t>
            </w:r>
          </w:p>
        </w:tc>
        <w:tc>
          <w:tcPr>
            <w:tcW w:w="465" w:type="pct"/>
            <w:tcBorders>
              <w:top w:val="single" w:color="000000" w:sz="4" w:space="0"/>
              <w:left w:val="single" w:color="000000" w:sz="4" w:space="0"/>
              <w:bottom w:val="single" w:color="000000" w:sz="4" w:space="0"/>
              <w:right w:val="single" w:color="000000" w:sz="4" w:space="0"/>
            </w:tcBorders>
            <w:vAlign w:val="center"/>
          </w:tcPr>
          <w:p w14:paraId="30E839BD">
            <w:pPr>
              <w:autoSpaceDE/>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9分</w:t>
            </w:r>
          </w:p>
        </w:tc>
      </w:tr>
      <w:tr w14:paraId="169F6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9"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518451B2">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2" w:type="pct"/>
            <w:tcBorders>
              <w:top w:val="single" w:color="000000" w:sz="4" w:space="0"/>
              <w:left w:val="single" w:color="000000" w:sz="4" w:space="0"/>
              <w:bottom w:val="single" w:color="000000" w:sz="4" w:space="0"/>
              <w:right w:val="single" w:color="000000" w:sz="4" w:space="0"/>
            </w:tcBorders>
            <w:vAlign w:val="center"/>
          </w:tcPr>
          <w:p w14:paraId="15F27E34">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难点、重点分析方案</w:t>
            </w:r>
          </w:p>
        </w:tc>
        <w:tc>
          <w:tcPr>
            <w:tcW w:w="3478" w:type="pct"/>
            <w:tcBorders>
              <w:top w:val="single" w:color="000000" w:sz="4" w:space="0"/>
              <w:left w:val="single" w:color="000000" w:sz="4" w:space="0"/>
              <w:bottom w:val="single" w:color="000000" w:sz="4" w:space="0"/>
              <w:right w:val="single" w:color="000000" w:sz="4" w:space="0"/>
            </w:tcBorders>
            <w:vAlign w:val="center"/>
          </w:tcPr>
          <w:p w14:paraId="1D9A7942">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供应商针对项目现状、存在的问题和服务的难点、要点等问题提供的</w:t>
            </w:r>
            <w:r>
              <w:rPr>
                <w:rFonts w:hint="eastAsia" w:ascii="宋体" w:hAnsi="宋体" w:eastAsia="宋体" w:cs="宋体"/>
                <w:color w:val="auto"/>
                <w:sz w:val="24"/>
                <w:szCs w:val="24"/>
                <w:highlight w:val="none"/>
                <w:lang w:eastAsia="zh-CN"/>
              </w:rPr>
              <w:t>分析内容</w:t>
            </w:r>
            <w:r>
              <w:rPr>
                <w:rFonts w:hint="eastAsia" w:ascii="宋体" w:hAnsi="宋体" w:eastAsia="宋体" w:cs="宋体"/>
                <w:color w:val="auto"/>
                <w:sz w:val="24"/>
                <w:szCs w:val="24"/>
                <w:highlight w:val="none"/>
              </w:rPr>
              <w:t>的合理性、条理性等进行综合评分，</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科学合理、条理清晰的得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相对合理、</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相对清晰的得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简单有所欠缺的得0-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u w:val="none"/>
              </w:rPr>
              <w:t>未提供的不得分</w:t>
            </w:r>
            <w:r>
              <w:rPr>
                <w:rFonts w:hint="eastAsia" w:ascii="宋体" w:hAnsi="宋体" w:eastAsia="宋体" w:cs="宋体"/>
                <w:color w:val="auto"/>
                <w:sz w:val="24"/>
                <w:szCs w:val="24"/>
                <w:highlight w:val="none"/>
              </w:rPr>
              <w:t>。</w:t>
            </w:r>
          </w:p>
          <w:p w14:paraId="17B88B96">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供应商提供的克服难点、要点问题的针对性技术措施、应对举措和合理化建议等进行综合评分，内容科学合理、条理清晰的得4-6分；内容相对合理、内容相对清晰的得2-4分；内容简单有所欠缺的得0-2分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u w:val="none"/>
              </w:rPr>
              <w:t>未提供的不得分</w:t>
            </w:r>
            <w:r>
              <w:rPr>
                <w:rFonts w:hint="eastAsia" w:ascii="宋体" w:hAnsi="宋体" w:eastAsia="宋体" w:cs="宋体"/>
                <w:color w:val="auto"/>
                <w:sz w:val="24"/>
                <w:szCs w:val="24"/>
                <w:highlight w:val="none"/>
              </w:rPr>
              <w:t>。</w:t>
            </w:r>
          </w:p>
        </w:tc>
        <w:tc>
          <w:tcPr>
            <w:tcW w:w="465" w:type="pct"/>
            <w:tcBorders>
              <w:top w:val="single" w:color="000000" w:sz="4" w:space="0"/>
              <w:left w:val="single" w:color="000000" w:sz="4" w:space="0"/>
              <w:bottom w:val="single" w:color="000000" w:sz="4" w:space="0"/>
              <w:right w:val="single" w:color="000000" w:sz="4" w:space="0"/>
            </w:tcBorders>
            <w:vAlign w:val="center"/>
          </w:tcPr>
          <w:p w14:paraId="6F92C5B6">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12分</w:t>
            </w:r>
          </w:p>
        </w:tc>
      </w:tr>
      <w:tr w14:paraId="1063B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323" w:type="pct"/>
            <w:tcBorders>
              <w:top w:val="single" w:color="000000" w:sz="4" w:space="0"/>
              <w:left w:val="single" w:color="000000" w:sz="4" w:space="0"/>
              <w:bottom w:val="single" w:color="auto" w:sz="4" w:space="0"/>
              <w:right w:val="single" w:color="000000" w:sz="4" w:space="0"/>
            </w:tcBorders>
            <w:vAlign w:val="center"/>
          </w:tcPr>
          <w:p w14:paraId="44A184B5">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2" w:type="pct"/>
            <w:tcBorders>
              <w:top w:val="single" w:color="000000" w:sz="4" w:space="0"/>
              <w:left w:val="single" w:color="000000" w:sz="4" w:space="0"/>
              <w:bottom w:val="single" w:color="auto" w:sz="4" w:space="0"/>
              <w:right w:val="single" w:color="000000" w:sz="4" w:space="0"/>
            </w:tcBorders>
            <w:vAlign w:val="center"/>
          </w:tcPr>
          <w:p w14:paraId="129C16E7">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tc>
        <w:tc>
          <w:tcPr>
            <w:tcW w:w="3478" w:type="pct"/>
            <w:tcBorders>
              <w:top w:val="single" w:color="000000" w:sz="4" w:space="0"/>
              <w:left w:val="single" w:color="000000" w:sz="4" w:space="0"/>
              <w:bottom w:val="single" w:color="000000" w:sz="4" w:space="0"/>
              <w:right w:val="single" w:color="000000" w:sz="4" w:space="0"/>
            </w:tcBorders>
            <w:vAlign w:val="center"/>
          </w:tcPr>
          <w:p w14:paraId="25EC3A66">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供应商提供的服务思路和工作部署的完善程度等进行综合评分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内容科学合理、条理清晰的得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分；内容相对合理、内容相对清晰的得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分；内容简单有所欠缺的得0-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u w:val="none"/>
              </w:rPr>
              <w:t>未提供的不得分</w:t>
            </w:r>
            <w:r>
              <w:rPr>
                <w:rFonts w:hint="eastAsia" w:ascii="宋体" w:hAnsi="宋体" w:eastAsia="宋体" w:cs="宋体"/>
                <w:color w:val="auto"/>
                <w:sz w:val="24"/>
                <w:szCs w:val="24"/>
                <w:highlight w:val="none"/>
              </w:rPr>
              <w:t>。</w:t>
            </w:r>
          </w:p>
          <w:p w14:paraId="50CE6F27">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供应商所采取工作的方式、方法、及实现目标的手段等进进行综合评分，内容科学合理、条理清晰的得7-10分；内容相对合理、内容相对清晰的得3-7分；内容简单有所欠缺的得0-3分，未提供的不得分。</w:t>
            </w:r>
          </w:p>
          <w:p w14:paraId="0571317F">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提供的</w:t>
            </w:r>
            <w:r>
              <w:rPr>
                <w:rFonts w:hint="eastAsia" w:ascii="宋体" w:hAnsi="宋体" w:eastAsia="宋体" w:cs="宋体"/>
                <w:color w:val="auto"/>
                <w:sz w:val="24"/>
                <w:szCs w:val="24"/>
                <w:highlight w:val="none"/>
              </w:rPr>
              <w:t>工作量安排、目标实施进度计划和突发情况应急方案等进行综合评分。方案完整、科学合理的得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分；方案基本完整、相对合理的得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分；方案简单有所欠缺的得0-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分，未提供的不得分。</w:t>
            </w:r>
          </w:p>
        </w:tc>
        <w:tc>
          <w:tcPr>
            <w:tcW w:w="465" w:type="pct"/>
            <w:tcBorders>
              <w:top w:val="single" w:color="000000" w:sz="4" w:space="0"/>
              <w:left w:val="single" w:color="000000" w:sz="4" w:space="0"/>
              <w:bottom w:val="single" w:color="000000" w:sz="4" w:space="0"/>
              <w:right w:val="single" w:color="000000" w:sz="4" w:space="0"/>
            </w:tcBorders>
            <w:vAlign w:val="center"/>
          </w:tcPr>
          <w:p w14:paraId="18622D38">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29分</w:t>
            </w:r>
          </w:p>
        </w:tc>
      </w:tr>
      <w:tr w14:paraId="1AD8D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04AB7514">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32" w:type="pct"/>
            <w:tcBorders>
              <w:top w:val="single" w:color="auto" w:sz="4" w:space="0"/>
              <w:left w:val="single" w:color="000000" w:sz="4" w:space="0"/>
              <w:bottom w:val="single" w:color="000000" w:sz="4" w:space="0"/>
              <w:right w:val="single" w:color="000000" w:sz="4" w:space="0"/>
            </w:tcBorders>
            <w:vAlign w:val="center"/>
          </w:tcPr>
          <w:p w14:paraId="68003507">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项目实施的人员安排及服务团队情况</w:t>
            </w:r>
          </w:p>
        </w:tc>
        <w:tc>
          <w:tcPr>
            <w:tcW w:w="3478" w:type="pct"/>
            <w:tcBorders>
              <w:top w:val="single" w:color="auto" w:sz="4" w:space="0"/>
              <w:left w:val="single" w:color="000000" w:sz="4" w:space="0"/>
              <w:bottom w:val="single" w:color="auto" w:sz="4" w:space="0"/>
              <w:right w:val="single" w:color="000000" w:sz="4" w:space="0"/>
            </w:tcBorders>
            <w:vAlign w:val="center"/>
          </w:tcPr>
          <w:p w14:paraId="2E00B214">
            <w:pPr>
              <w:autoSpaceDE w:val="0"/>
              <w:spacing w:line="440" w:lineRule="exact"/>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拟派项目组成员情况：</w:t>
            </w:r>
          </w:p>
          <w:p w14:paraId="3F7D0D1A">
            <w:pPr>
              <w:autoSpaceDE w:val="0"/>
              <w:spacing w:line="440" w:lineRule="exact"/>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1.项目组成员有类似共基础设施政府会计核算项目经验的每位人员得</w:t>
            </w:r>
            <w:r>
              <w:rPr>
                <w:rFonts w:hint="eastAsia" w:ascii="宋体" w:hAnsi="宋体" w:cs="宋体"/>
                <w:color w:val="auto"/>
                <w:sz w:val="24"/>
                <w:highlight w:val="none"/>
                <w:lang w:val="zh-CN" w:eastAsia="zh-CN"/>
              </w:rPr>
              <w:t>1</w:t>
            </w:r>
            <w:r>
              <w:rPr>
                <w:rFonts w:hint="eastAsia" w:ascii="宋体" w:hAnsi="宋体" w:cs="宋体"/>
                <w:color w:val="auto"/>
                <w:sz w:val="24"/>
                <w:highlight w:val="none"/>
                <w:lang w:val="zh-CN"/>
              </w:rPr>
              <w:t>分，最高得</w:t>
            </w:r>
            <w:r>
              <w:rPr>
                <w:rFonts w:hint="eastAsia" w:ascii="宋体" w:hAnsi="宋体" w:cs="宋体"/>
                <w:color w:val="auto"/>
                <w:sz w:val="24"/>
                <w:highlight w:val="none"/>
                <w:lang w:val="zh-CN" w:eastAsia="zh-CN"/>
              </w:rPr>
              <w:t>3</w:t>
            </w:r>
            <w:r>
              <w:rPr>
                <w:rFonts w:hint="eastAsia" w:ascii="宋体" w:hAnsi="宋体" w:cs="宋体"/>
                <w:color w:val="auto"/>
                <w:sz w:val="24"/>
                <w:highlight w:val="none"/>
                <w:lang w:val="zh-CN"/>
              </w:rPr>
              <w:t>分。【注：需将相关证明材料（能够体现人员信息的合同或业主单位出具的证明材料等）复印，否则不得分】。</w:t>
            </w:r>
          </w:p>
          <w:p w14:paraId="52012EE6">
            <w:pPr>
              <w:autoSpaceDE w:val="0"/>
              <w:spacing w:line="440" w:lineRule="exact"/>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2.项目组成员有注册会计师的每个得2分，中级会计师的每个得1分，初级会计师的每个得0.5分，最多</w:t>
            </w:r>
            <w:r>
              <w:rPr>
                <w:rFonts w:hint="eastAsia" w:ascii="宋体" w:hAnsi="宋体" w:cs="宋体"/>
                <w:color w:val="auto"/>
                <w:sz w:val="24"/>
                <w:highlight w:val="none"/>
                <w:lang w:val="zh-CN" w:eastAsia="zh-CN"/>
              </w:rPr>
              <w:t>3</w:t>
            </w:r>
            <w:r>
              <w:rPr>
                <w:rFonts w:hint="eastAsia" w:ascii="宋体" w:hAnsi="宋体" w:cs="宋体"/>
                <w:color w:val="auto"/>
                <w:sz w:val="24"/>
                <w:highlight w:val="none"/>
                <w:lang w:val="zh-CN"/>
              </w:rPr>
              <w:t>分。</w:t>
            </w:r>
          </w:p>
          <w:p w14:paraId="38D50853">
            <w:pPr>
              <w:autoSpaceDE w:val="0"/>
              <w:spacing w:line="440" w:lineRule="exact"/>
              <w:jc w:val="left"/>
              <w:rPr>
                <w:rFonts w:hint="eastAsia" w:ascii="宋体" w:hAnsi="宋体" w:cs="宋体"/>
                <w:color w:val="auto"/>
                <w:sz w:val="24"/>
                <w:highlight w:val="none"/>
                <w:lang w:val="zh-CN"/>
              </w:rPr>
            </w:pPr>
            <w:r>
              <w:rPr>
                <w:rFonts w:hint="eastAsia" w:ascii="宋体" w:hAnsi="宋体" w:eastAsia="宋体" w:cs="宋体"/>
                <w:b w:val="0"/>
                <w:bCs w:val="0"/>
                <w:color w:val="auto"/>
                <w:sz w:val="24"/>
                <w:szCs w:val="24"/>
                <w:highlight w:val="none"/>
                <w:u w:val="none"/>
                <w:lang w:val="zh-CN"/>
              </w:rPr>
              <w:t>注：项目人员须提供截止开标之日止，近三个月本单位为其缴纳的社保证明材料，未提供不得分。</w:t>
            </w:r>
          </w:p>
        </w:tc>
        <w:tc>
          <w:tcPr>
            <w:tcW w:w="465" w:type="pct"/>
            <w:tcBorders>
              <w:top w:val="single" w:color="000000" w:sz="4" w:space="0"/>
              <w:left w:val="single" w:color="000000" w:sz="4" w:space="0"/>
              <w:bottom w:val="single" w:color="000000" w:sz="4" w:space="0"/>
              <w:right w:val="single" w:color="000000" w:sz="4" w:space="0"/>
            </w:tcBorders>
            <w:vAlign w:val="center"/>
          </w:tcPr>
          <w:p w14:paraId="57F287AA">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r>
      <w:tr w14:paraId="0214F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9"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6DF40F0A">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32" w:type="pct"/>
            <w:tcBorders>
              <w:top w:val="single" w:color="000000" w:sz="4" w:space="0"/>
              <w:left w:val="single" w:color="000000" w:sz="4" w:space="0"/>
              <w:bottom w:val="single" w:color="000000" w:sz="4" w:space="0"/>
              <w:right w:val="single" w:color="000000" w:sz="4" w:space="0"/>
            </w:tcBorders>
            <w:vAlign w:val="center"/>
          </w:tcPr>
          <w:p w14:paraId="7DF43ADD">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项目质量保证措施</w:t>
            </w:r>
          </w:p>
        </w:tc>
        <w:tc>
          <w:tcPr>
            <w:tcW w:w="3478" w:type="pct"/>
            <w:tcBorders>
              <w:top w:val="single" w:color="000000" w:sz="4" w:space="0"/>
              <w:left w:val="single" w:color="000000" w:sz="4" w:space="0"/>
              <w:bottom w:val="single" w:color="000000" w:sz="4" w:space="0"/>
              <w:right w:val="single" w:color="000000" w:sz="4" w:space="0"/>
            </w:tcBorders>
            <w:vAlign w:val="center"/>
          </w:tcPr>
          <w:p w14:paraId="5E5502ED">
            <w:pPr>
              <w:autoSpaceDE/>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w:t>
            </w:r>
            <w:r>
              <w:rPr>
                <w:rFonts w:hint="eastAsia" w:ascii="宋体" w:hAnsi="宋体" w:eastAsia="宋体" w:cs="宋体"/>
                <w:color w:val="auto"/>
                <w:sz w:val="24"/>
                <w:szCs w:val="24"/>
                <w:highlight w:val="none"/>
                <w:lang w:eastAsia="zh-CN"/>
              </w:rPr>
              <w:t>提供的</w:t>
            </w:r>
            <w:r>
              <w:rPr>
                <w:rFonts w:hint="eastAsia" w:ascii="宋体" w:hAnsi="宋体" w:eastAsia="宋体" w:cs="宋体"/>
                <w:color w:val="auto"/>
                <w:sz w:val="24"/>
                <w:szCs w:val="24"/>
                <w:highlight w:val="none"/>
              </w:rPr>
              <w:t>质量管理制度进行综合评分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质量管理制度的合理性、可实施性等进行综合评分，</w:t>
            </w:r>
            <w:r>
              <w:rPr>
                <w:rFonts w:hint="eastAsia" w:ascii="宋体" w:hAnsi="宋体" w:cs="宋体"/>
                <w:color w:val="auto"/>
                <w:sz w:val="24"/>
                <w:szCs w:val="24"/>
                <w:highlight w:val="none"/>
                <w:lang w:eastAsia="zh-CN"/>
              </w:rPr>
              <w:t>制度</w:t>
            </w:r>
            <w:r>
              <w:rPr>
                <w:rFonts w:hint="eastAsia" w:ascii="宋体" w:hAnsi="宋体" w:eastAsia="宋体" w:cs="宋体"/>
                <w:color w:val="auto"/>
                <w:sz w:val="24"/>
                <w:szCs w:val="24"/>
                <w:highlight w:val="none"/>
              </w:rPr>
              <w:t>科学合理、具有可实施性的得3-4分；</w:t>
            </w:r>
            <w:r>
              <w:rPr>
                <w:rFonts w:hint="eastAsia" w:ascii="宋体" w:hAnsi="宋体" w:cs="宋体"/>
                <w:color w:val="auto"/>
                <w:sz w:val="24"/>
                <w:szCs w:val="24"/>
                <w:highlight w:val="none"/>
                <w:lang w:eastAsia="zh-CN"/>
              </w:rPr>
              <w:t>制度</w:t>
            </w:r>
            <w:r>
              <w:rPr>
                <w:rFonts w:hint="eastAsia" w:ascii="宋体" w:hAnsi="宋体" w:eastAsia="宋体" w:cs="宋体"/>
                <w:color w:val="auto"/>
                <w:sz w:val="24"/>
                <w:szCs w:val="24"/>
                <w:highlight w:val="none"/>
              </w:rPr>
              <w:t>相对合理的得1-3分；</w:t>
            </w:r>
            <w:r>
              <w:rPr>
                <w:rFonts w:hint="eastAsia" w:ascii="宋体" w:hAnsi="宋体" w:cs="宋体"/>
                <w:color w:val="auto"/>
                <w:sz w:val="24"/>
                <w:szCs w:val="24"/>
                <w:highlight w:val="none"/>
                <w:lang w:eastAsia="zh-CN"/>
              </w:rPr>
              <w:t>制度</w:t>
            </w:r>
            <w:r>
              <w:rPr>
                <w:rFonts w:hint="eastAsia" w:ascii="宋体" w:hAnsi="宋体" w:eastAsia="宋体" w:cs="宋体"/>
                <w:color w:val="auto"/>
                <w:sz w:val="24"/>
                <w:szCs w:val="24"/>
                <w:highlight w:val="none"/>
              </w:rPr>
              <w:t>简单有所欠缺的得0-1分</w:t>
            </w:r>
            <w:r>
              <w:rPr>
                <w:rFonts w:hint="eastAsia" w:ascii="宋体" w:hAnsi="宋体" w:eastAsia="宋体" w:cs="宋体"/>
                <w:color w:val="auto"/>
                <w:sz w:val="24"/>
                <w:szCs w:val="24"/>
                <w:highlight w:val="none"/>
                <w:lang w:eastAsia="zh-CN"/>
              </w:rPr>
              <w:t>，未提供不得分</w:t>
            </w:r>
            <w:r>
              <w:rPr>
                <w:rFonts w:hint="eastAsia" w:ascii="宋体" w:hAnsi="宋体" w:eastAsia="宋体" w:cs="宋体"/>
                <w:color w:val="auto"/>
                <w:sz w:val="24"/>
                <w:szCs w:val="24"/>
                <w:highlight w:val="none"/>
              </w:rPr>
              <w:t>。</w:t>
            </w:r>
          </w:p>
          <w:p w14:paraId="0E41FF3A">
            <w:pPr>
              <w:autoSpaceDE/>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2.根据供应商完成本项目实施目标的质量保证方案以及服务质量保证措施进行综合评分。方案完整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服务质量保证措施</w:t>
            </w:r>
            <w:r>
              <w:rPr>
                <w:rFonts w:hint="eastAsia" w:ascii="宋体" w:hAnsi="宋体" w:eastAsia="宋体" w:cs="宋体"/>
                <w:color w:val="auto"/>
                <w:sz w:val="24"/>
                <w:szCs w:val="24"/>
                <w:highlight w:val="none"/>
                <w:lang w:eastAsia="zh-CN"/>
              </w:rPr>
              <w:t>合理的得</w:t>
            </w:r>
            <w:r>
              <w:rPr>
                <w:rFonts w:hint="eastAsia" w:ascii="宋体" w:hAnsi="宋体" w:eastAsia="宋体" w:cs="宋体"/>
                <w:color w:val="auto"/>
                <w:sz w:val="24"/>
                <w:szCs w:val="24"/>
                <w:highlight w:val="none"/>
                <w:lang w:val="en-US" w:eastAsia="zh-CN"/>
              </w:rPr>
              <w:t>3-4分，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相对</w:t>
            </w:r>
            <w:r>
              <w:rPr>
                <w:rFonts w:hint="eastAsia" w:ascii="宋体" w:hAnsi="宋体" w:eastAsia="宋体" w:cs="宋体"/>
                <w:color w:val="auto"/>
                <w:sz w:val="24"/>
                <w:szCs w:val="24"/>
                <w:highlight w:val="none"/>
              </w:rPr>
              <w:t>完整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服务质量保证措施</w:t>
            </w:r>
            <w:r>
              <w:rPr>
                <w:rFonts w:hint="eastAsia" w:ascii="宋体" w:hAnsi="宋体" w:eastAsia="宋体" w:cs="宋体"/>
                <w:color w:val="auto"/>
                <w:sz w:val="24"/>
                <w:szCs w:val="24"/>
                <w:highlight w:val="none"/>
                <w:lang w:eastAsia="zh-CN"/>
              </w:rPr>
              <w:t>相对合理的得</w:t>
            </w:r>
            <w:r>
              <w:rPr>
                <w:rFonts w:hint="eastAsia" w:ascii="宋体" w:hAnsi="宋体" w:eastAsia="宋体" w:cs="宋体"/>
                <w:color w:val="auto"/>
                <w:sz w:val="24"/>
                <w:szCs w:val="24"/>
                <w:highlight w:val="none"/>
                <w:lang w:val="en-US" w:eastAsia="zh-CN"/>
              </w:rPr>
              <w:t>1-3分，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服务质量保证措施</w:t>
            </w:r>
            <w:r>
              <w:rPr>
                <w:rFonts w:hint="eastAsia" w:ascii="宋体" w:hAnsi="宋体" w:eastAsia="宋体" w:cs="宋体"/>
                <w:color w:val="auto"/>
                <w:sz w:val="24"/>
                <w:szCs w:val="24"/>
                <w:highlight w:val="none"/>
                <w:lang w:eastAsia="zh-CN"/>
              </w:rPr>
              <w:t>内容简单有所欠缺的得</w:t>
            </w:r>
            <w:r>
              <w:rPr>
                <w:rFonts w:hint="eastAsia" w:ascii="宋体" w:hAnsi="宋体" w:eastAsia="宋体" w:cs="宋体"/>
                <w:color w:val="auto"/>
                <w:sz w:val="24"/>
                <w:szCs w:val="24"/>
                <w:highlight w:val="none"/>
                <w:lang w:val="en-US" w:eastAsia="zh-CN"/>
              </w:rPr>
              <w:t>0-1分，未提供不得分。</w:t>
            </w:r>
          </w:p>
          <w:p w14:paraId="217EC7E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3.根据供应商提供的服务费用测算方案与项目目标完成的匹配度及合理性方面进行综合评分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方案完整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合理的得3-4分，方案相对完整、合理的得1-3分，方案内容简单有所欠缺的得0-1分，未提供不得分。</w:t>
            </w:r>
          </w:p>
          <w:p w14:paraId="5FD51E0D">
            <w:pPr>
              <w:autoSpaceDE/>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4.根据供应商提供的服务费用测算方案与项目目标完成的匹配度及合理性方面进行综合评分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方案完整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合理的得3-4分，方案相对完整、合理的得1-3分，方案内容简单有所欠缺的得0-1分，未提供不得分。</w:t>
            </w:r>
          </w:p>
        </w:tc>
        <w:tc>
          <w:tcPr>
            <w:tcW w:w="465" w:type="pct"/>
            <w:tcBorders>
              <w:top w:val="single" w:color="000000" w:sz="4" w:space="0"/>
              <w:left w:val="single" w:color="000000" w:sz="4" w:space="0"/>
              <w:bottom w:val="single" w:color="000000" w:sz="4" w:space="0"/>
              <w:right w:val="single" w:color="000000" w:sz="4" w:space="0"/>
            </w:tcBorders>
            <w:vAlign w:val="center"/>
          </w:tcPr>
          <w:p w14:paraId="156FF8D2">
            <w:pPr>
              <w:autoSpaceDE w:val="0"/>
              <w:spacing w:line="440" w:lineRule="exact"/>
              <w:jc w:val="left"/>
              <w:rPr>
                <w:rFonts w:hint="eastAsia" w:ascii="宋体" w:hAnsi="宋体" w:eastAsia="宋体" w:cs="宋体"/>
                <w:color w:val="auto"/>
                <w:sz w:val="24"/>
                <w:szCs w:val="24"/>
                <w:highlight w:val="none"/>
              </w:rPr>
            </w:pPr>
          </w:p>
          <w:p w14:paraId="3A28D1DF">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16分</w:t>
            </w:r>
          </w:p>
        </w:tc>
      </w:tr>
      <w:tr w14:paraId="2D295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38B2BBBA">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32" w:type="pct"/>
            <w:tcBorders>
              <w:top w:val="single" w:color="000000" w:sz="4" w:space="0"/>
              <w:left w:val="single" w:color="000000" w:sz="4" w:space="0"/>
              <w:bottom w:val="single" w:color="000000" w:sz="4" w:space="0"/>
              <w:right w:val="single" w:color="000000" w:sz="4" w:space="0"/>
            </w:tcBorders>
            <w:vAlign w:val="center"/>
          </w:tcPr>
          <w:p w14:paraId="4B4E3053">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保密制度和措施</w:t>
            </w:r>
          </w:p>
        </w:tc>
        <w:tc>
          <w:tcPr>
            <w:tcW w:w="3478" w:type="pct"/>
            <w:tcBorders>
              <w:top w:val="single" w:color="000000" w:sz="4" w:space="0"/>
              <w:left w:val="single" w:color="000000" w:sz="4" w:space="0"/>
              <w:bottom w:val="single" w:color="000000" w:sz="4" w:space="0"/>
              <w:right w:val="single" w:color="000000" w:sz="4" w:space="0"/>
            </w:tcBorders>
            <w:vAlign w:val="center"/>
          </w:tcPr>
          <w:p w14:paraId="5EF41EAB">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根据供应商提供的保密制度等进行综合评分。制度科学合理、具有可实施性的得3-4分；制度相对合理的得1-3分；制度简单有所欠缺的得0-1分，未提供不得分。</w:t>
            </w:r>
          </w:p>
        </w:tc>
        <w:tc>
          <w:tcPr>
            <w:tcW w:w="465" w:type="pct"/>
            <w:tcBorders>
              <w:top w:val="single" w:color="000000" w:sz="4" w:space="0"/>
              <w:left w:val="single" w:color="000000" w:sz="4" w:space="0"/>
              <w:bottom w:val="single" w:color="000000" w:sz="4" w:space="0"/>
              <w:right w:val="single" w:color="000000" w:sz="4" w:space="0"/>
            </w:tcBorders>
            <w:vAlign w:val="center"/>
          </w:tcPr>
          <w:p w14:paraId="2CC4AD05">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r>
      <w:tr w14:paraId="35B55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100A5099">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32" w:type="pct"/>
            <w:tcBorders>
              <w:top w:val="single" w:color="000000" w:sz="4" w:space="0"/>
              <w:left w:val="single" w:color="000000" w:sz="4" w:space="0"/>
              <w:bottom w:val="single" w:color="000000" w:sz="4" w:space="0"/>
              <w:right w:val="single" w:color="000000" w:sz="4" w:space="0"/>
            </w:tcBorders>
            <w:vAlign w:val="center"/>
          </w:tcPr>
          <w:p w14:paraId="37F20408">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3478" w:type="pct"/>
            <w:tcBorders>
              <w:top w:val="single" w:color="000000" w:sz="4" w:space="0"/>
              <w:left w:val="single" w:color="000000" w:sz="4" w:space="0"/>
              <w:bottom w:val="single" w:color="000000" w:sz="4" w:space="0"/>
              <w:right w:val="single" w:color="000000" w:sz="4" w:space="0"/>
            </w:tcBorders>
            <w:vAlign w:val="center"/>
          </w:tcPr>
          <w:p w14:paraId="43F55282">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承诺接到采购人通知（电话、电传等）后2小时到现场响应得3分；承诺1.5小时现场响应得4分；无承诺不得分。本项最高得4分。</w:t>
            </w:r>
          </w:p>
          <w:p w14:paraId="19FA11A6">
            <w:pPr>
              <w:autoSpaceDE w:val="0"/>
              <w:spacing w:line="440" w:lineRule="exact"/>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未提供响应时间的不得分。</w:t>
            </w:r>
          </w:p>
        </w:tc>
        <w:tc>
          <w:tcPr>
            <w:tcW w:w="465" w:type="pct"/>
            <w:tcBorders>
              <w:top w:val="single" w:color="000000" w:sz="4" w:space="0"/>
              <w:left w:val="single" w:color="000000" w:sz="4" w:space="0"/>
              <w:bottom w:val="single" w:color="000000" w:sz="4" w:space="0"/>
              <w:right w:val="single" w:color="000000" w:sz="4" w:space="0"/>
            </w:tcBorders>
            <w:vAlign w:val="center"/>
          </w:tcPr>
          <w:p w14:paraId="664B50C7">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r>
      <w:tr w14:paraId="7A019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666EA666">
            <w:pPr>
              <w:pStyle w:val="17"/>
              <w:autoSpaceDE w:val="0"/>
              <w:spacing w:line="440" w:lineRule="exact"/>
              <w:ind w:left="0" w:right="-21" w:rightChars="-10"/>
              <w:jc w:val="center"/>
              <w:rPr>
                <w:rFonts w:hint="eastAsia" w:ascii="宋体" w:hAnsi="宋体" w:eastAsia="宋体" w:cs="宋体"/>
                <w:b/>
                <w:color w:val="auto"/>
                <w:highlight w:val="none"/>
              </w:rPr>
            </w:pPr>
            <w:r>
              <w:rPr>
                <w:rFonts w:hint="eastAsia" w:ascii="宋体" w:hAnsi="宋体" w:eastAsia="宋体" w:cs="宋体"/>
                <w:b/>
                <w:color w:val="auto"/>
                <w:highlight w:val="none"/>
              </w:rPr>
              <w:t>二</w:t>
            </w:r>
          </w:p>
        </w:tc>
        <w:tc>
          <w:tcPr>
            <w:tcW w:w="4210" w:type="pct"/>
            <w:gridSpan w:val="2"/>
            <w:tcBorders>
              <w:top w:val="single" w:color="000000" w:sz="4" w:space="0"/>
              <w:left w:val="single" w:color="000000" w:sz="4" w:space="0"/>
              <w:bottom w:val="single" w:color="000000" w:sz="4" w:space="0"/>
              <w:right w:val="single" w:color="000000" w:sz="4" w:space="0"/>
            </w:tcBorders>
            <w:vAlign w:val="center"/>
          </w:tcPr>
          <w:p w14:paraId="60EF6CFF">
            <w:pPr>
              <w:pStyle w:val="17"/>
              <w:autoSpaceDE w:val="0"/>
              <w:spacing w:line="440" w:lineRule="exact"/>
              <w:ind w:left="0" w:right="1470"/>
              <w:jc w:val="center"/>
              <w:rPr>
                <w:rFonts w:hint="eastAsia" w:ascii="宋体" w:hAnsi="宋体" w:eastAsia="宋体" w:cs="宋体"/>
                <w:b/>
                <w:color w:val="auto"/>
                <w:highlight w:val="none"/>
              </w:rPr>
            </w:pPr>
            <w:r>
              <w:rPr>
                <w:rFonts w:hint="eastAsia" w:ascii="宋体" w:hAnsi="宋体" w:eastAsia="宋体" w:cs="宋体"/>
                <w:b/>
                <w:color w:val="auto"/>
                <w:highlight w:val="none"/>
              </w:rPr>
              <w:t>商务、资信及其他分</w:t>
            </w:r>
          </w:p>
        </w:tc>
        <w:tc>
          <w:tcPr>
            <w:tcW w:w="465" w:type="pct"/>
            <w:tcBorders>
              <w:top w:val="single" w:color="000000" w:sz="4" w:space="0"/>
              <w:left w:val="single" w:color="000000" w:sz="4" w:space="0"/>
              <w:bottom w:val="single" w:color="000000" w:sz="4" w:space="0"/>
              <w:right w:val="single" w:color="000000" w:sz="4" w:space="0"/>
            </w:tcBorders>
            <w:vAlign w:val="center"/>
          </w:tcPr>
          <w:p w14:paraId="17F8E333">
            <w:pPr>
              <w:pStyle w:val="17"/>
              <w:autoSpaceDE w:val="0"/>
              <w:spacing w:line="440" w:lineRule="exact"/>
              <w:ind w:left="34" w:leftChars="16" w:right="-57" w:rightChars="-27"/>
              <w:jc w:val="center"/>
              <w:rPr>
                <w:rFonts w:hint="eastAsia" w:ascii="宋体" w:hAnsi="宋体" w:eastAsia="宋体" w:cs="宋体"/>
                <w:b/>
                <w:color w:val="auto"/>
                <w:highlight w:val="none"/>
              </w:rPr>
            </w:pPr>
            <w:r>
              <w:rPr>
                <w:rFonts w:hint="eastAsia" w:ascii="宋体" w:hAnsi="宋体" w:eastAsia="宋体" w:cs="宋体"/>
                <w:b/>
                <w:color w:val="auto"/>
                <w:highlight w:val="none"/>
              </w:rPr>
              <w:t>10分</w:t>
            </w:r>
          </w:p>
        </w:tc>
      </w:tr>
      <w:tr w14:paraId="14F2C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9"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5AEFAE7B">
            <w:pPr>
              <w:widowControl/>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32" w:type="pct"/>
            <w:tcBorders>
              <w:top w:val="single" w:color="000000" w:sz="4" w:space="0"/>
              <w:left w:val="single" w:color="000000" w:sz="4" w:space="0"/>
              <w:bottom w:val="single" w:color="000000" w:sz="4" w:space="0"/>
              <w:right w:val="single" w:color="000000" w:sz="4" w:space="0"/>
            </w:tcBorders>
            <w:vAlign w:val="center"/>
          </w:tcPr>
          <w:p w14:paraId="2AA16186">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企业认证</w:t>
            </w:r>
          </w:p>
        </w:tc>
        <w:tc>
          <w:tcPr>
            <w:tcW w:w="3478" w:type="pct"/>
            <w:tcBorders>
              <w:top w:val="single" w:color="000000" w:sz="4" w:space="0"/>
              <w:left w:val="single" w:color="000000" w:sz="4" w:space="0"/>
              <w:bottom w:val="single" w:color="000000" w:sz="4" w:space="0"/>
              <w:right w:val="single" w:color="000000" w:sz="4" w:space="0"/>
            </w:tcBorders>
            <w:vAlign w:val="center"/>
          </w:tcPr>
          <w:p w14:paraId="57FAE82A">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供应商具有有效的质量管理体系认证证书的得1分；</w:t>
            </w:r>
          </w:p>
          <w:p w14:paraId="220EDCD9">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供应商具有有效的信息技术服务管理体系认证证书的得1分；</w:t>
            </w:r>
          </w:p>
          <w:p w14:paraId="5E0D65A5">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供应商具有有效的信息安全管理体系认证证书的得1分；</w:t>
            </w:r>
          </w:p>
          <w:p w14:paraId="5B62F510">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本项最高得3分。</w:t>
            </w:r>
          </w:p>
          <w:p w14:paraId="3DA2B836">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注：以上证书需须提供复印件并加盖公章及国家认证认可官方网站截图，未提供不得分。</w:t>
            </w:r>
          </w:p>
        </w:tc>
        <w:tc>
          <w:tcPr>
            <w:tcW w:w="465" w:type="pct"/>
            <w:tcBorders>
              <w:top w:val="single" w:color="000000" w:sz="4" w:space="0"/>
              <w:left w:val="single" w:color="000000" w:sz="4" w:space="0"/>
              <w:bottom w:val="single" w:color="000000" w:sz="4" w:space="0"/>
              <w:right w:val="single" w:color="000000" w:sz="4" w:space="0"/>
            </w:tcBorders>
            <w:vAlign w:val="center"/>
          </w:tcPr>
          <w:p w14:paraId="5F10605E">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7334E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9"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0C0DE386">
            <w:pPr>
              <w:widowControl/>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32" w:type="pct"/>
            <w:tcBorders>
              <w:top w:val="single" w:color="000000" w:sz="4" w:space="0"/>
              <w:left w:val="single" w:color="000000" w:sz="4" w:space="0"/>
              <w:bottom w:val="single" w:color="000000" w:sz="4" w:space="0"/>
              <w:right w:val="single" w:color="000000" w:sz="4" w:space="0"/>
            </w:tcBorders>
            <w:vAlign w:val="center"/>
          </w:tcPr>
          <w:p w14:paraId="3591C109">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3478" w:type="pct"/>
            <w:tcBorders>
              <w:top w:val="single" w:color="000000" w:sz="4" w:space="0"/>
              <w:left w:val="single" w:color="000000" w:sz="4" w:space="0"/>
              <w:bottom w:val="single" w:color="000000" w:sz="4" w:space="0"/>
              <w:right w:val="single" w:color="000000" w:sz="4" w:space="0"/>
            </w:tcBorders>
            <w:vAlign w:val="center"/>
          </w:tcPr>
          <w:p w14:paraId="702EDE4E">
            <w:pPr>
              <w:autoSpaceDE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年1月1日起至今（以合同签订时间为准）相关基础设施会计核算的成功案例，每提供一份得0.5分，最高得1分。</w:t>
            </w:r>
          </w:p>
          <w:p w14:paraId="3E2B73D7">
            <w:pPr>
              <w:autoSpaceDE w:val="0"/>
              <w:spacing w:line="440" w:lineRule="exact"/>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注：须提供合同复印件并加盖公章，未提供不得分。</w:t>
            </w:r>
          </w:p>
        </w:tc>
        <w:tc>
          <w:tcPr>
            <w:tcW w:w="465" w:type="pct"/>
            <w:tcBorders>
              <w:top w:val="single" w:color="000000" w:sz="4" w:space="0"/>
              <w:left w:val="single" w:color="000000" w:sz="4" w:space="0"/>
              <w:bottom w:val="single" w:color="000000" w:sz="4" w:space="0"/>
              <w:right w:val="single" w:color="000000" w:sz="4" w:space="0"/>
            </w:tcBorders>
            <w:vAlign w:val="center"/>
          </w:tcPr>
          <w:p w14:paraId="55893577">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r>
      <w:tr w14:paraId="1D6B2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trPr>
        <w:tc>
          <w:tcPr>
            <w:tcW w:w="323" w:type="pct"/>
            <w:tcBorders>
              <w:top w:val="single" w:color="000000" w:sz="4" w:space="0"/>
              <w:left w:val="single" w:color="000000" w:sz="4" w:space="0"/>
              <w:bottom w:val="single" w:color="000000" w:sz="4" w:space="0"/>
              <w:right w:val="single" w:color="000000" w:sz="4" w:space="0"/>
            </w:tcBorders>
            <w:vAlign w:val="center"/>
          </w:tcPr>
          <w:p w14:paraId="44A12F21">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32" w:type="pct"/>
            <w:tcBorders>
              <w:top w:val="single" w:color="000000" w:sz="4" w:space="0"/>
              <w:left w:val="single" w:color="000000" w:sz="4" w:space="0"/>
              <w:bottom w:val="single" w:color="000000" w:sz="4" w:space="0"/>
              <w:right w:val="single" w:color="000000" w:sz="4" w:space="0"/>
            </w:tcBorders>
            <w:vAlign w:val="center"/>
          </w:tcPr>
          <w:p w14:paraId="76763E59">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企业专业</w:t>
            </w:r>
          </w:p>
          <w:p w14:paraId="62EB0377">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3478" w:type="pct"/>
            <w:tcBorders>
              <w:top w:val="single" w:color="000000" w:sz="4" w:space="0"/>
              <w:left w:val="single" w:color="000000" w:sz="4" w:space="0"/>
              <w:bottom w:val="single" w:color="000000" w:sz="4" w:space="0"/>
              <w:right w:val="single" w:color="000000" w:sz="4" w:space="0"/>
            </w:tcBorders>
            <w:vAlign w:val="center"/>
          </w:tcPr>
          <w:p w14:paraId="51D8B20F">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供应商具有国家版权局颁发且与以下功能相关的计算机软件著作权登记证书的，每项得1分，共6分。</w:t>
            </w:r>
          </w:p>
          <w:p w14:paraId="0421886E">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基础设施初始构建成本核算控制系统；②基础设施竣工资产卡片管理平台；③基础设施资产管理系统；④基础设施数据采集系统；⑤基础设施重置成本核算分析软件；⑥基础设施资产调查系统。</w:t>
            </w:r>
          </w:p>
          <w:p w14:paraId="19D08614">
            <w:pPr>
              <w:autoSpaceDE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注：须提供证书复印件并加盖公章，未提供不得分。</w:t>
            </w:r>
          </w:p>
        </w:tc>
        <w:tc>
          <w:tcPr>
            <w:tcW w:w="465" w:type="pct"/>
            <w:tcBorders>
              <w:top w:val="single" w:color="000000" w:sz="4" w:space="0"/>
              <w:left w:val="single" w:color="000000" w:sz="4" w:space="0"/>
              <w:bottom w:val="single" w:color="000000" w:sz="4" w:space="0"/>
              <w:right w:val="single" w:color="000000" w:sz="4" w:space="0"/>
            </w:tcBorders>
            <w:vAlign w:val="center"/>
          </w:tcPr>
          <w:p w14:paraId="2F19AD2C">
            <w:pPr>
              <w:autoSpaceDE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bl>
    <w:p w14:paraId="2B0922EC">
      <w:pPr>
        <w:spacing w:line="440" w:lineRule="exact"/>
        <w:ind w:right="420" w:rightChars="200" w:firstLine="0" w:firstLineChars="0"/>
        <w:rPr>
          <w:rFonts w:hint="eastAsia" w:ascii="宋体" w:hAnsi="宋体" w:eastAsia="宋体" w:cs="宋体"/>
          <w:color w:val="auto"/>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rPr>
        <w:t>应根据评分内容提供相应评分证书、合同、协议书及相关证明材料复印件并加盖单位公章。</w:t>
      </w:r>
    </w:p>
    <w:p w14:paraId="15FA67CE">
      <w:pPr>
        <w:spacing w:line="360" w:lineRule="auto"/>
        <w:jc w:val="center"/>
        <w:outlineLvl w:val="0"/>
        <w:rPr>
          <w:rFonts w:hint="eastAsia" w:ascii="黑体" w:hAnsi="黑体" w:eastAsia="黑体" w:cs="黑体"/>
          <w:b/>
          <w:color w:val="auto"/>
          <w:sz w:val="28"/>
          <w:szCs w:val="28"/>
          <w:highlight w:val="none"/>
        </w:rPr>
      </w:pPr>
    </w:p>
    <w:p w14:paraId="0D4CD6E1">
      <w:pPr>
        <w:spacing w:line="360" w:lineRule="auto"/>
        <w:jc w:val="center"/>
        <w:outlineLvl w:val="0"/>
        <w:rPr>
          <w:rFonts w:hint="eastAsia" w:ascii="黑体" w:hAnsi="黑体" w:eastAsia="黑体" w:cs="黑体"/>
          <w:b/>
          <w:color w:val="auto"/>
          <w:sz w:val="28"/>
          <w:szCs w:val="28"/>
          <w:highlight w:val="none"/>
        </w:rPr>
      </w:pPr>
    </w:p>
    <w:p w14:paraId="5EA8BCA0">
      <w:pPr>
        <w:spacing w:line="360" w:lineRule="auto"/>
        <w:jc w:val="center"/>
        <w:outlineLvl w:val="0"/>
        <w:rPr>
          <w:rFonts w:hint="eastAsia" w:ascii="黑体" w:hAnsi="黑体" w:eastAsia="黑体" w:cs="黑体"/>
          <w:b/>
          <w:color w:val="auto"/>
          <w:sz w:val="28"/>
          <w:szCs w:val="28"/>
          <w:highlight w:val="none"/>
        </w:rPr>
      </w:pPr>
    </w:p>
    <w:p w14:paraId="3A26A9EA">
      <w:pPr>
        <w:spacing w:line="360" w:lineRule="auto"/>
        <w:jc w:val="both"/>
        <w:outlineLvl w:val="0"/>
        <w:rPr>
          <w:rFonts w:hint="eastAsia" w:ascii="黑体" w:hAnsi="黑体" w:eastAsia="黑体" w:cs="黑体"/>
          <w:b/>
          <w:color w:val="auto"/>
          <w:sz w:val="28"/>
          <w:szCs w:val="28"/>
          <w:highlight w:val="none"/>
        </w:rPr>
      </w:pPr>
    </w:p>
    <w:p w14:paraId="01B6A14A">
      <w:pPr>
        <w:spacing w:line="360" w:lineRule="auto"/>
        <w:jc w:val="center"/>
        <w:outlineLvl w:val="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第五章 合同主要条款（格式）</w:t>
      </w:r>
    </w:p>
    <w:p w14:paraId="1B0C06CF">
      <w:pPr>
        <w:rPr>
          <w:color w:val="auto"/>
          <w:highlight w:val="none"/>
        </w:rPr>
      </w:pPr>
      <w:bookmarkStart w:id="84" w:name="_Toc256000030"/>
      <w:bookmarkStart w:id="85" w:name="_Toc256000027"/>
      <w:bookmarkStart w:id="86" w:name="_Toc256000032"/>
      <w:bookmarkStart w:id="87" w:name="_Toc256000028"/>
      <w:bookmarkStart w:id="88" w:name="_Toc351203652"/>
    </w:p>
    <w:bookmarkEnd w:id="84"/>
    <w:bookmarkEnd w:id="85"/>
    <w:bookmarkEnd w:id="86"/>
    <w:bookmarkEnd w:id="87"/>
    <w:bookmarkEnd w:id="88"/>
    <w:p w14:paraId="6D4B317D">
      <w:pPr>
        <w:pStyle w:val="2"/>
        <w:spacing w:line="500" w:lineRule="exact"/>
        <w:jc w:val="center"/>
        <w:rPr>
          <w:rFonts w:hint="eastAsia" w:ascii="仿宋" w:hAnsi="仿宋" w:eastAsia="仿宋" w:cs="仿宋"/>
          <w:b w:val="0"/>
          <w:bCs w:val="0"/>
          <w:snapToGrid w:val="0"/>
          <w:color w:val="auto"/>
          <w:sz w:val="36"/>
          <w:szCs w:val="36"/>
          <w:highlight w:val="none"/>
        </w:rPr>
      </w:pPr>
      <w:r>
        <w:rPr>
          <w:rFonts w:hint="eastAsia" w:ascii="仿宋" w:hAnsi="仿宋" w:eastAsia="仿宋" w:cs="仿宋"/>
          <w:color w:val="auto"/>
          <w:sz w:val="28"/>
          <w:szCs w:val="28"/>
          <w:highlight w:val="none"/>
        </w:rPr>
        <w:t>（仅供参考，以正式合同为准）</w:t>
      </w:r>
    </w:p>
    <w:p w14:paraId="01D6AFF6">
      <w:pPr>
        <w:spacing w:line="360" w:lineRule="auto"/>
        <w:ind w:firstLine="3120" w:firstLineChars="1300"/>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p>
    <w:p w14:paraId="5BE14F34">
      <w:pPr>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甲方（采购人）：</w:t>
      </w:r>
    </w:p>
    <w:p w14:paraId="5C4E8385">
      <w:pPr>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w:t>
      </w:r>
    </w:p>
    <w:p w14:paraId="2A51D1C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甲、乙双方根据</w:t>
      </w:r>
      <w:r>
        <w:rPr>
          <w:rFonts w:hint="eastAsia" w:ascii="宋体" w:hAnsi="宋体" w:eastAsia="宋体" w:cs="宋体"/>
          <w:color w:val="auto"/>
          <w:sz w:val="24"/>
          <w:highlight w:val="none"/>
          <w:u w:val="single"/>
          <w:lang w:eastAsia="zh-CN"/>
        </w:rPr>
        <w:t>浙江华元工程咨询有限公司</w:t>
      </w:r>
      <w:r>
        <w:rPr>
          <w:rFonts w:hint="eastAsia" w:ascii="宋体" w:hAnsi="宋体" w:eastAsia="宋体" w:cs="宋体"/>
          <w:color w:val="auto"/>
          <w:sz w:val="24"/>
          <w:highlight w:val="none"/>
        </w:rPr>
        <w:t>关于</w:t>
      </w:r>
      <w:r>
        <w:rPr>
          <w:rFonts w:hint="eastAsia" w:ascii="宋体" w:hAnsi="宋体" w:eastAsia="宋体" w:cs="宋体"/>
          <w:color w:val="auto"/>
          <w:sz w:val="24"/>
          <w:highlight w:val="none"/>
          <w:u w:val="single"/>
          <w:lang w:eastAsia="zh-CN"/>
        </w:rPr>
        <w:t>长兴县市政基础设施资产会计核算分析服务项目</w:t>
      </w:r>
      <w:r>
        <w:rPr>
          <w:rFonts w:hint="eastAsia" w:ascii="宋体" w:hAnsi="宋体" w:eastAsia="宋体" w:cs="宋体"/>
          <w:color w:val="auto"/>
          <w:sz w:val="24"/>
          <w:highlight w:val="none"/>
          <w:lang w:eastAsia="zh-CN"/>
        </w:rPr>
        <w:t>竞争性磋商</w:t>
      </w:r>
      <w:r>
        <w:rPr>
          <w:rFonts w:hint="eastAsia" w:ascii="宋体" w:hAnsi="宋体" w:eastAsia="宋体" w:cs="宋体"/>
          <w:color w:val="auto"/>
          <w:sz w:val="24"/>
          <w:highlight w:val="none"/>
        </w:rPr>
        <w:t>的结果，签署本合同。</w:t>
      </w:r>
    </w:p>
    <w:p w14:paraId="3E7F7B9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1.定义</w:t>
      </w:r>
    </w:p>
    <w:p w14:paraId="5560A41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本合同中的下列术语应解释为：</w:t>
      </w:r>
    </w:p>
    <w:p w14:paraId="58CCEB9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1.1“合同”系指供需双方签署的、合同格式中载明的供需双方所达成的协议，包括所有的附件、附录和构成合同的所有文件；</w:t>
      </w:r>
    </w:p>
    <w:p w14:paraId="64F6659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1.2“合同价”系指根据合同规定，甲方在供应商完全履行合同义务后应付给的价格；</w:t>
      </w:r>
    </w:p>
    <w:p w14:paraId="13E2E500">
      <w:pPr>
        <w:pStyle w:val="2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highlight w:val="none"/>
        </w:rPr>
      </w:pPr>
      <w:bookmarkStart w:id="89" w:name="_Toc293916922"/>
      <w:r>
        <w:rPr>
          <w:rFonts w:hint="eastAsia" w:ascii="宋体" w:hAnsi="宋体" w:eastAsia="宋体" w:cs="宋体"/>
          <w:i w:val="0"/>
          <w:iCs w:val="0"/>
          <w:color w:val="auto"/>
          <w:sz w:val="24"/>
          <w:szCs w:val="24"/>
          <w:highlight w:val="none"/>
        </w:rPr>
        <w:t>本合同金额为人民币（大写）：</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bookmarkEnd w:id="89"/>
    </w:p>
    <w:p w14:paraId="416A250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1.3“货物”系指乙方根据合同规定向采购人提供的一切货物、质量保证书和其他技术资料及技术参数；</w:t>
      </w:r>
    </w:p>
    <w:p w14:paraId="64A308E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1.4“服务”系指根据合同规定乙方承担与供货有关的辅助服务，如运输、装卸、安装、保险以及其他的服务，例如安装、调试提供技术援助、培训和其他类似的义务；</w:t>
      </w:r>
    </w:p>
    <w:p w14:paraId="08F6783F">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1.5“甲方”系指具体使用货物和接受服务的使用单位；</w:t>
      </w:r>
    </w:p>
    <w:p w14:paraId="08221AB1">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1.6“乙方”系指根据合同规定提供采购项目货物和服务的具有法人资格的公司、企业或实体；</w:t>
      </w:r>
    </w:p>
    <w:p w14:paraId="0059256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2.合同项目与内容</w:t>
      </w:r>
    </w:p>
    <w:p w14:paraId="7C8B08B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2.1合同项目：</w:t>
      </w:r>
      <w:r>
        <w:rPr>
          <w:rFonts w:hint="eastAsia" w:ascii="宋体" w:hAnsi="宋体" w:eastAsia="宋体" w:cs="宋体"/>
          <w:color w:val="auto"/>
          <w:sz w:val="24"/>
          <w:highlight w:val="none"/>
          <w:lang w:eastAsia="zh-CN"/>
        </w:rPr>
        <w:t>长兴县市政基础设施资产会计核算分析服务项目</w:t>
      </w:r>
    </w:p>
    <w:p w14:paraId="41FA8BD5">
      <w:pPr>
        <w:snapToGrid w:val="0"/>
        <w:spacing w:line="40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2.2内容：</w:t>
      </w:r>
      <w:r>
        <w:rPr>
          <w:rFonts w:hint="eastAsia" w:ascii="宋体" w:hAnsi="宋体" w:eastAsia="宋体" w:cs="宋体"/>
          <w:color w:val="auto"/>
          <w:sz w:val="24"/>
          <w:highlight w:val="none"/>
          <w:lang w:eastAsia="zh-CN"/>
        </w:rPr>
        <w:t>长兴县市政基础设施资产会计核算分析服务项目</w:t>
      </w:r>
    </w:p>
    <w:p w14:paraId="46E1530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3.服务时间与服务地点</w:t>
      </w:r>
    </w:p>
    <w:p w14:paraId="5664D9F3">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服务时间：由甲方指定。</w:t>
      </w:r>
    </w:p>
    <w:p w14:paraId="42104E8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服务地点：由甲方指定。</w:t>
      </w:r>
    </w:p>
    <w:p w14:paraId="5B2D5D51">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4.签署合同的要求</w:t>
      </w:r>
    </w:p>
    <w:p w14:paraId="282E9DD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4.1、乙方必须按照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文件和询标过程中承诺的条款以及</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通知书中规定的时间、地点与甲方签订合同；</w:t>
      </w:r>
    </w:p>
    <w:p w14:paraId="6B4D764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4.2、所签订的合同内容不得对</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文件和乙方的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文件作实质性修改；</w:t>
      </w:r>
    </w:p>
    <w:p w14:paraId="668F6C2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4.3、甲方不得向供应商提出任何不合理的要求，作为签订合同的条件，不得与乙方私下订立背离合同实质性内容的协议；</w:t>
      </w:r>
    </w:p>
    <w:p w14:paraId="76CC3050">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5.技术规范</w:t>
      </w:r>
    </w:p>
    <w:p w14:paraId="16C48F3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本合同执行国家及本省、市现行项目实施及验收规范及有关条例、实施办法等。</w:t>
      </w:r>
    </w:p>
    <w:p w14:paraId="177E3A8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提供和交付的服务技术规范应与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文件规定的技术规范相一致。</w:t>
      </w:r>
    </w:p>
    <w:p w14:paraId="4376274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6.知识产权</w:t>
      </w:r>
    </w:p>
    <w:p w14:paraId="2E0574A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乙方保证所提供的服务及货物均不存在知识产权纠纷。乙方应保证甲方在使用时不受第三方提出侵犯其专利权、商标权等知识产权的诉讼。</w:t>
      </w:r>
    </w:p>
    <w:p w14:paraId="3154C6F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7.工作考核及付款方式</w:t>
      </w:r>
    </w:p>
    <w:p w14:paraId="2754F2F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8.支付：</w:t>
      </w:r>
    </w:p>
    <w:p w14:paraId="001EFA87">
      <w:pPr>
        <w:widowControl w:val="0"/>
        <w:numPr>
          <w:ilvl w:val="0"/>
          <w:numId w:val="0"/>
        </w:numPr>
        <w:wordWrap/>
        <w:autoSpaceDE/>
        <w:snapToGrid/>
        <w:spacing w:line="360" w:lineRule="auto"/>
        <w:ind w:firstLine="480" w:firstLineChars="200"/>
        <w:jc w:val="left"/>
        <w:rPr>
          <w:rFonts w:hint="eastAsia" w:ascii="宋体" w:hAnsi="宋体" w:eastAsia="宋体" w:cs="宋体"/>
          <w:bCs/>
          <w:color w:val="auto"/>
          <w:kern w:val="2"/>
          <w:sz w:val="24"/>
          <w:highlight w:val="none"/>
          <w:lang w:val="en-US"/>
        </w:rPr>
      </w:pPr>
      <w:r>
        <w:rPr>
          <w:rFonts w:hint="eastAsia" w:ascii="宋体" w:hAnsi="宋体" w:eastAsia="宋体" w:cs="宋体"/>
          <w:bCs/>
          <w:color w:val="auto"/>
          <w:kern w:val="2"/>
          <w:sz w:val="24"/>
          <w:highlight w:val="none"/>
          <w:lang w:val="en-US" w:eastAsia="zh-CN"/>
        </w:rPr>
        <w:t>8.1</w:t>
      </w:r>
      <w:r>
        <w:rPr>
          <w:rFonts w:hint="eastAsia" w:ascii="宋体" w:hAnsi="宋体" w:eastAsia="宋体" w:cs="宋体"/>
          <w:bCs/>
          <w:color w:val="auto"/>
          <w:kern w:val="2"/>
          <w:sz w:val="24"/>
          <w:highlight w:val="none"/>
          <w:lang w:val="en-US"/>
        </w:rPr>
        <w:t>签订合同</w:t>
      </w:r>
      <w:r>
        <w:rPr>
          <w:rFonts w:hint="eastAsia" w:ascii="宋体" w:hAnsi="宋体" w:eastAsia="宋体" w:cs="宋体"/>
          <w:bCs/>
          <w:color w:val="auto"/>
          <w:kern w:val="2"/>
          <w:sz w:val="24"/>
          <w:highlight w:val="none"/>
          <w:lang w:val="en-US" w:eastAsia="zh-CN"/>
        </w:rPr>
        <w:t>后</w:t>
      </w:r>
      <w:r>
        <w:rPr>
          <w:rFonts w:hint="eastAsia" w:ascii="宋体" w:hAnsi="宋体" w:eastAsia="宋体" w:cs="宋体"/>
          <w:bCs/>
          <w:color w:val="auto"/>
          <w:kern w:val="2"/>
          <w:sz w:val="24"/>
          <w:highlight w:val="none"/>
          <w:lang w:val="en-US"/>
        </w:rPr>
        <w:t>7个工作日内，支付合同金额</w:t>
      </w:r>
      <w:r>
        <w:rPr>
          <w:rFonts w:hint="eastAsia" w:ascii="宋体" w:hAnsi="宋体" w:eastAsia="宋体" w:cs="宋体"/>
          <w:bCs/>
          <w:color w:val="auto"/>
          <w:kern w:val="2"/>
          <w:sz w:val="24"/>
          <w:highlight w:val="none"/>
        </w:rPr>
        <w:t>4</w:t>
      </w:r>
      <w:r>
        <w:rPr>
          <w:rFonts w:hint="eastAsia" w:ascii="宋体" w:hAnsi="宋体" w:eastAsia="宋体" w:cs="宋体"/>
          <w:bCs/>
          <w:color w:val="auto"/>
          <w:kern w:val="2"/>
          <w:sz w:val="24"/>
          <w:highlight w:val="none"/>
          <w:lang w:val="en-US"/>
        </w:rPr>
        <w:t>0%的预付款；</w:t>
      </w:r>
    </w:p>
    <w:p w14:paraId="7D375BAE">
      <w:pPr>
        <w:numPr>
          <w:ilvl w:val="0"/>
          <w:numId w:val="0"/>
        </w:num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kern w:val="2"/>
          <w:sz w:val="24"/>
          <w:highlight w:val="none"/>
          <w:lang w:val="en-US" w:eastAsia="zh-CN"/>
        </w:rPr>
        <w:t>8.2</w:t>
      </w:r>
      <w:r>
        <w:rPr>
          <w:rFonts w:hint="eastAsia" w:ascii="宋体" w:hAnsi="宋体" w:eastAsia="宋体" w:cs="宋体"/>
          <w:b w:val="0"/>
          <w:bCs/>
          <w:color w:val="auto"/>
          <w:sz w:val="24"/>
          <w:highlight w:val="none"/>
          <w:lang w:val="en-US" w:eastAsia="zh-CN"/>
        </w:rPr>
        <w:t>成交供应商提交项目成果报告并经采购人验收合格后，采购人支付剩余合同价款。</w:t>
      </w:r>
    </w:p>
    <w:p w14:paraId="105E946E">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采购人应自收到供应商开具的发票后7个工作日内将上述相关款项支付到合同约定的供应商账户</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如因供应商发票开具有误或延迟开票等原因造成的延迟付款，责任由供应商承担。</w:t>
      </w:r>
    </w:p>
    <w:p w14:paraId="71B2CCE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在签订合同时，供应商明确表示无需预付款或者主动要求降低预付款比例的，采购合同可不适用前述规定。</w:t>
      </w:r>
    </w:p>
    <w:p w14:paraId="7905A945">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9.技术服务</w:t>
      </w:r>
    </w:p>
    <w:p w14:paraId="489DF25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乙方应负责安排采购人相关人员进行操作、维修的培训。具体时间及培训内容在磋商时由供应商提出建议；</w:t>
      </w:r>
    </w:p>
    <w:p w14:paraId="422E2F80">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10.售后服务及承诺</w:t>
      </w:r>
    </w:p>
    <w:p w14:paraId="6D660F3F">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10.1乙方应明确承诺售后服务各项内容和措施，提供详细的服务地点、联系人、电话等有关资料；</w:t>
      </w:r>
    </w:p>
    <w:p w14:paraId="4A55AD5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lang w:eastAsia="zh-CN"/>
        </w:rPr>
        <w:t>售后</w:t>
      </w:r>
      <w:r>
        <w:rPr>
          <w:rFonts w:hint="eastAsia" w:ascii="宋体" w:hAnsi="宋体" w:eastAsia="宋体" w:cs="宋体"/>
          <w:color w:val="auto"/>
          <w:sz w:val="24"/>
          <w:highlight w:val="none"/>
        </w:rPr>
        <w:t>服务期：</w:t>
      </w:r>
    </w:p>
    <w:p w14:paraId="648263E8">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11.履约保证及后续服务</w:t>
      </w:r>
    </w:p>
    <w:p w14:paraId="16B556A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11.1 </w:t>
      </w:r>
      <w:r>
        <w:rPr>
          <w:rFonts w:hint="eastAsia" w:ascii="宋体" w:hAnsi="宋体" w:eastAsia="宋体" w:cs="宋体"/>
          <w:color w:val="auto"/>
          <w:sz w:val="24"/>
          <w:highlight w:val="none"/>
          <w:lang w:eastAsia="zh-CN"/>
        </w:rPr>
        <w:t>履约保证金：</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45BE7AE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11.2乙方应按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文件规定的服务标准向采购人提供服务。</w:t>
      </w:r>
    </w:p>
    <w:p w14:paraId="74A4DA14">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 如甲方检查发现供应商提供的服务服务不符合标准要求，乙方应立即进行整改，直到符合要求为止。甲方可根据考核标准中扣除供应商因检查不合格而应该扣罚的款项（扣罚款项在签订合同时明确）。</w:t>
      </w:r>
    </w:p>
    <w:p w14:paraId="75694276">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11.4乙方提供的服务人员不符合本合同约定的数额，乙方应当自接到甲方通知之日起2日内予以补足，甲方有权按照缺岗天数及缺岗人数扣除相应的违约金。</w:t>
      </w:r>
    </w:p>
    <w:p w14:paraId="1912F870">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 由于乙方服务人员原因在服务工作中给甲方的设施、材料造成损失，供应商应负责赔偿。</w:t>
      </w:r>
    </w:p>
    <w:p w14:paraId="08E0DE75">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 在使用过程中发生问题，乙方在接到甲方通知后在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小时内到达采购人现场。</w:t>
      </w:r>
    </w:p>
    <w:p w14:paraId="25D86D18">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 在服务质量保证期内，乙方应对出现的服务质量及安全问题负责处理解决并承担一切费用。</w:t>
      </w:r>
    </w:p>
    <w:p w14:paraId="1C2B42B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12.违约责任</w:t>
      </w:r>
    </w:p>
    <w:p w14:paraId="0ED0214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 甲方无正当理由拒收接受服务的，甲方向供应商偿付合同款项百分之五作为违约金。</w:t>
      </w:r>
    </w:p>
    <w:p w14:paraId="762A6C4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 甲方无故逾期验收和办理款项支付手续的,甲方应按逾期付款总额每日万分之五向乙方支付违约金。</w:t>
      </w:r>
    </w:p>
    <w:p w14:paraId="26540691">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D44DAD0">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12.4如乙方提供的服务或与服务相关的物品存在知识产权纠纷而导致本合同无法继续履行，在甲方发函要求解决相关知识产权问题后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日内仍未解决的，则甲方有权单方终止本合同的履行，并要求乙方承担相应赔偿责任。</w:t>
      </w:r>
    </w:p>
    <w:p w14:paraId="67152533">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13.不可抗力事件处理</w:t>
      </w:r>
    </w:p>
    <w:p w14:paraId="0F591B0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 在合同有效期内，任何一方因不可抗力事件导致不能履行合同，则合同履行期可延长，其延长期与不可抗力影响期相同。</w:t>
      </w:r>
    </w:p>
    <w:p w14:paraId="2EBEF708">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 不可抗力事件发生后，应立即通知对方，并寄送有关权威机构出具的证明。</w:t>
      </w:r>
    </w:p>
    <w:p w14:paraId="755FF1D0">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 不可抗力事件延续120天以上，双方应通过友好协商，确定是否继续履行合同。</w:t>
      </w:r>
    </w:p>
    <w:p w14:paraId="282A7E4A">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14.争议解决</w:t>
      </w:r>
    </w:p>
    <w:p w14:paraId="052989F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14.1在执行本合同中所发生的或与本合同有关的一切争端，合同双方应通过友好协商解决，经过协商仍不能解决，双方选择通过下列第x种方式解决：</w:t>
      </w:r>
    </w:p>
    <w:p w14:paraId="22BC44B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（1）将争端提交湖州仲裁委员会仲裁</w:t>
      </w:r>
    </w:p>
    <w:p w14:paraId="2E0A61C6">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（2）直接向采购人所在地有管辖权的人民法院起诉。</w:t>
      </w:r>
    </w:p>
    <w:p w14:paraId="2C1FCF97">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14.2仲裁费用或诉讼费用应由败诉方负担。</w:t>
      </w:r>
    </w:p>
    <w:p w14:paraId="38BCAAE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14.3在仲裁或诉讼期间，除进行仲裁或诉讼的部分外，本合同其它部分应继续执行。</w:t>
      </w:r>
    </w:p>
    <w:p w14:paraId="403048BD">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15.转让或分包</w:t>
      </w:r>
    </w:p>
    <w:p w14:paraId="799CD669">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15.1本合同范围的服务，应由乙方提供，不得转让他人供应；</w:t>
      </w:r>
    </w:p>
    <w:p w14:paraId="6F22B25E">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1B7AE76F">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15.3本合同全部或部分的分包不能减轻乙方承担的责任，乙方仍须将分包人的任何行动、错误或疏忽当作是自己完成的并负全责；</w:t>
      </w:r>
    </w:p>
    <w:p w14:paraId="0747C635">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15.4在任何分包合同中，须注明分包人按分包合同的范围履行，在乙方按本合同的履行终止时（不论任何原因），亦同时一并终止；</w:t>
      </w:r>
    </w:p>
    <w:p w14:paraId="0D529835">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15.5如有转让和未经甲方同意的分包行为，甲方有权给予终止合同。</w:t>
      </w:r>
    </w:p>
    <w:p w14:paraId="4AB8A2F5">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 xml:space="preserve">验收要求 </w:t>
      </w:r>
    </w:p>
    <w:p w14:paraId="77C5EB4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按照采购文件要求、乙方的响应文件（承诺）及签订的合同约定标准进行验收。 </w:t>
      </w:r>
    </w:p>
    <w:p w14:paraId="38068AEF">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适用法律</w:t>
      </w:r>
    </w:p>
    <w:p w14:paraId="6BD1D0E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合同适用法律有《中华人民共和国民法典》</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《中华人民共和国产品质量法》和浙江省有关条例等。</w:t>
      </w:r>
    </w:p>
    <w:p w14:paraId="218EF523">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合同生效及其它</w:t>
      </w:r>
    </w:p>
    <w:p w14:paraId="1025C38C">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合同经双方法定代表人或</w:t>
      </w:r>
      <w:r>
        <w:rPr>
          <w:rFonts w:hint="eastAsia" w:ascii="宋体" w:hAnsi="宋体" w:eastAsia="宋体" w:cs="宋体"/>
          <w:color w:val="auto"/>
          <w:sz w:val="24"/>
          <w:highlight w:val="none"/>
          <w:lang w:eastAsia="zh-CN"/>
        </w:rPr>
        <w:t>授权代理人</w:t>
      </w:r>
      <w:r>
        <w:rPr>
          <w:rFonts w:hint="eastAsia" w:ascii="宋体" w:hAnsi="宋体" w:eastAsia="宋体" w:cs="宋体"/>
          <w:color w:val="auto"/>
          <w:sz w:val="24"/>
          <w:highlight w:val="none"/>
        </w:rPr>
        <w:t>签字并加盖单位公章后生效。</w:t>
      </w:r>
    </w:p>
    <w:p w14:paraId="5C64A6D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合同执行中涉及采购资金和采购内容修改或补充的，须经财政部门审批，并签书面补充协议报政府采购监督管理部门备案，方可作为主合同不可分割的一部分。</w:t>
      </w:r>
    </w:p>
    <w:p w14:paraId="1D7C5B2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本合同未尽事宜，遵照《中华人民共和国民法典》有关条文执行。</w:t>
      </w:r>
    </w:p>
    <w:p w14:paraId="2A1CBD4A">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本合同一式六份，其中甲乙双方各执</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份。</w:t>
      </w:r>
    </w:p>
    <w:p w14:paraId="3606F09A">
      <w:pPr>
        <w:spacing w:line="440" w:lineRule="exact"/>
        <w:ind w:firstLine="480" w:firstLineChars="200"/>
        <w:rPr>
          <w:rFonts w:hint="eastAsia" w:ascii="宋体" w:hAnsi="宋体" w:eastAsia="宋体" w:cs="宋体"/>
          <w:bCs/>
          <w:color w:val="auto"/>
          <w:sz w:val="24"/>
          <w:highlight w:val="none"/>
        </w:rPr>
      </w:pPr>
    </w:p>
    <w:p w14:paraId="63007F8B">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甲方</w: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 xml:space="preserve">  乙方</w:t>
      </w:r>
      <w:r>
        <w:rPr>
          <w:rFonts w:hint="eastAsia" w:ascii="宋体" w:hAnsi="宋体" w:eastAsia="宋体" w:cs="宋体"/>
          <w:bCs/>
          <w:color w:val="auto"/>
          <w:sz w:val="24"/>
          <w:highlight w:val="none"/>
        </w:rPr>
        <w:t xml:space="preserve">： </w:t>
      </w:r>
    </w:p>
    <w:p w14:paraId="75961175">
      <w:pPr>
        <w:spacing w:line="440" w:lineRule="exact"/>
        <w:ind w:firstLine="480" w:firstLineChars="200"/>
        <w:rPr>
          <w:rFonts w:hint="eastAsia" w:ascii="宋体" w:hAnsi="宋体" w:eastAsia="宋体" w:cs="宋体"/>
          <w:bCs/>
          <w:color w:val="auto"/>
          <w:sz w:val="24"/>
          <w:highlight w:val="none"/>
        </w:rPr>
      </w:pPr>
    </w:p>
    <w:p w14:paraId="3002A9AB">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地址：                                   地址： </w:t>
      </w:r>
    </w:p>
    <w:p w14:paraId="3022258A">
      <w:pPr>
        <w:spacing w:line="440" w:lineRule="exact"/>
        <w:ind w:firstLine="480" w:firstLineChars="200"/>
        <w:rPr>
          <w:rFonts w:hint="eastAsia" w:ascii="宋体" w:hAnsi="宋体" w:eastAsia="宋体" w:cs="宋体"/>
          <w:bCs/>
          <w:color w:val="auto"/>
          <w:sz w:val="24"/>
          <w:highlight w:val="none"/>
        </w:rPr>
      </w:pPr>
    </w:p>
    <w:p w14:paraId="1D22BE50">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法定（或授权）代表人：                   法定（或授权）代表人：</w:t>
      </w:r>
    </w:p>
    <w:p w14:paraId="0867CE48">
      <w:pPr>
        <w:pStyle w:val="41"/>
        <w:tabs>
          <w:tab w:val="left" w:pos="0"/>
          <w:tab w:val="left" w:pos="993"/>
          <w:tab w:val="left" w:pos="1134"/>
        </w:tabs>
        <w:rPr>
          <w:rFonts w:hint="eastAsia" w:ascii="宋体" w:hAnsi="宋体" w:eastAsia="宋体" w:cs="宋体"/>
          <w:color w:val="auto"/>
          <w:highlight w:val="none"/>
        </w:rPr>
      </w:pPr>
    </w:p>
    <w:p w14:paraId="2CF1FB39">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签字日期：年  月  日                     签字日期：年  月  日</w:t>
      </w:r>
    </w:p>
    <w:p w14:paraId="5ECDAE60">
      <w:pPr>
        <w:spacing w:line="360" w:lineRule="auto"/>
        <w:jc w:val="center"/>
        <w:rPr>
          <w:rFonts w:hint="eastAsia" w:ascii="宋体" w:hAnsi="宋体" w:eastAsia="宋体" w:cs="宋体"/>
          <w:b/>
          <w:color w:val="auto"/>
          <w:sz w:val="28"/>
          <w:szCs w:val="28"/>
          <w:highlight w:val="none"/>
        </w:rPr>
      </w:pPr>
    </w:p>
    <w:p w14:paraId="1418F146">
      <w:pPr>
        <w:spacing w:line="360" w:lineRule="auto"/>
        <w:jc w:val="center"/>
        <w:rPr>
          <w:rFonts w:hint="eastAsia" w:ascii="黑体" w:hAnsi="黑体" w:eastAsia="黑体" w:cs="黑体"/>
          <w:b/>
          <w:color w:val="auto"/>
          <w:sz w:val="28"/>
          <w:szCs w:val="28"/>
          <w:highlight w:val="none"/>
        </w:rPr>
      </w:pPr>
    </w:p>
    <w:p w14:paraId="62630D83">
      <w:pPr>
        <w:spacing w:line="360" w:lineRule="auto"/>
        <w:jc w:val="center"/>
        <w:rPr>
          <w:rFonts w:hint="eastAsia" w:ascii="黑体" w:hAnsi="黑体" w:eastAsia="黑体" w:cs="黑体"/>
          <w:b/>
          <w:color w:val="auto"/>
          <w:sz w:val="28"/>
          <w:szCs w:val="28"/>
          <w:highlight w:val="none"/>
        </w:rPr>
      </w:pPr>
    </w:p>
    <w:p w14:paraId="6D1D32E3">
      <w:pPr>
        <w:spacing w:line="360" w:lineRule="auto"/>
        <w:jc w:val="center"/>
        <w:rPr>
          <w:rFonts w:hint="eastAsia" w:ascii="黑体" w:hAnsi="黑体" w:eastAsia="黑体" w:cs="黑体"/>
          <w:b/>
          <w:color w:val="auto"/>
          <w:sz w:val="28"/>
          <w:szCs w:val="28"/>
          <w:highlight w:val="none"/>
        </w:rPr>
      </w:pPr>
    </w:p>
    <w:p w14:paraId="5BDEDBD9">
      <w:pPr>
        <w:spacing w:line="360" w:lineRule="auto"/>
        <w:jc w:val="center"/>
        <w:rPr>
          <w:rFonts w:hint="eastAsia" w:ascii="黑体" w:hAnsi="黑体" w:eastAsia="黑体" w:cs="黑体"/>
          <w:b/>
          <w:color w:val="auto"/>
          <w:sz w:val="28"/>
          <w:szCs w:val="28"/>
          <w:highlight w:val="none"/>
        </w:rPr>
      </w:pPr>
    </w:p>
    <w:p w14:paraId="1665495B">
      <w:pPr>
        <w:spacing w:line="360" w:lineRule="auto"/>
        <w:jc w:val="center"/>
        <w:rPr>
          <w:rFonts w:hint="eastAsia" w:ascii="黑体" w:hAnsi="黑体" w:eastAsia="黑体" w:cs="黑体"/>
          <w:b/>
          <w:color w:val="auto"/>
          <w:sz w:val="28"/>
          <w:szCs w:val="28"/>
          <w:highlight w:val="none"/>
        </w:rPr>
      </w:pPr>
      <w:bookmarkStart w:id="90" w:name="_GoBack"/>
      <w:bookmarkEnd w:id="90"/>
    </w:p>
    <w:p w14:paraId="0F388A7C">
      <w:pPr>
        <w:spacing w:line="360" w:lineRule="auto"/>
        <w:jc w:val="center"/>
        <w:rPr>
          <w:rFonts w:hint="eastAsia" w:ascii="黑体" w:hAnsi="黑体" w:eastAsia="黑体" w:cs="黑体"/>
          <w:b/>
          <w:color w:val="auto"/>
          <w:sz w:val="24"/>
          <w:highlight w:val="none"/>
        </w:rPr>
      </w:pPr>
      <w:r>
        <w:rPr>
          <w:rFonts w:hint="eastAsia" w:ascii="黑体" w:hAnsi="黑体" w:eastAsia="黑体" w:cs="黑体"/>
          <w:b/>
          <w:color w:val="auto"/>
          <w:sz w:val="28"/>
          <w:szCs w:val="28"/>
          <w:highlight w:val="none"/>
        </w:rPr>
        <w:t>第六章  磋商响应文件格式</w:t>
      </w:r>
    </w:p>
    <w:p w14:paraId="2821CC1D">
      <w:pPr>
        <w:pStyle w:val="20"/>
        <w:adjustRightInd w:val="0"/>
        <w:snapToGrid w:val="0"/>
        <w:spacing w:line="360" w:lineRule="auto"/>
        <w:ind w:firstLine="482" w:firstLineChars="200"/>
        <w:jc w:val="center"/>
        <w:rPr>
          <w:rFonts w:hint="eastAsia" w:hAnsi="宋体" w:cs="宋体"/>
          <w:b/>
          <w:color w:val="auto"/>
          <w:sz w:val="24"/>
          <w:szCs w:val="24"/>
          <w:highlight w:val="none"/>
        </w:rPr>
      </w:pPr>
      <w:r>
        <w:rPr>
          <w:rFonts w:hint="eastAsia" w:hAnsi="宋体" w:cs="宋体"/>
          <w:b/>
          <w:color w:val="auto"/>
          <w:sz w:val="24"/>
          <w:szCs w:val="24"/>
          <w:highlight w:val="none"/>
        </w:rPr>
        <w:t>（本章仅提供了部分</w:t>
      </w:r>
      <w:r>
        <w:rPr>
          <w:rFonts w:hint="eastAsia" w:hAnsi="宋体" w:cs="宋体"/>
          <w:b/>
          <w:color w:val="auto"/>
          <w:sz w:val="24"/>
          <w:szCs w:val="24"/>
          <w:highlight w:val="none"/>
          <w:lang w:val="zh-CN"/>
        </w:rPr>
        <w:t>磋商</w:t>
      </w:r>
      <w:r>
        <w:rPr>
          <w:rFonts w:hint="eastAsia" w:hAnsi="宋体" w:cs="宋体"/>
          <w:b/>
          <w:color w:val="auto"/>
          <w:sz w:val="24"/>
          <w:szCs w:val="24"/>
          <w:highlight w:val="none"/>
        </w:rPr>
        <w:t>文件中所需的表格格式，供应商应根据第四章“磋商办法及评分标准”及第六章“</w:t>
      </w:r>
      <w:r>
        <w:rPr>
          <w:rFonts w:hint="eastAsia" w:hAnsi="宋体" w:cs="宋体"/>
          <w:b/>
          <w:color w:val="auto"/>
          <w:sz w:val="24"/>
          <w:szCs w:val="24"/>
          <w:highlight w:val="none"/>
          <w:lang w:val="zh-CN"/>
        </w:rPr>
        <w:t>磋商响应文件格式</w:t>
      </w:r>
      <w:r>
        <w:rPr>
          <w:rFonts w:hint="eastAsia" w:hAnsi="宋体" w:cs="宋体"/>
          <w:b/>
          <w:color w:val="auto"/>
          <w:sz w:val="24"/>
          <w:szCs w:val="24"/>
          <w:highlight w:val="none"/>
        </w:rPr>
        <w:t>”制作完整的响应的</w:t>
      </w:r>
      <w:r>
        <w:rPr>
          <w:rFonts w:hint="eastAsia" w:hAnsi="宋体" w:cs="宋体"/>
          <w:b/>
          <w:color w:val="auto"/>
          <w:sz w:val="24"/>
          <w:szCs w:val="24"/>
          <w:highlight w:val="none"/>
          <w:lang w:val="zh-CN"/>
        </w:rPr>
        <w:t>磋商响应</w:t>
      </w:r>
      <w:r>
        <w:rPr>
          <w:rFonts w:hint="eastAsia" w:hAnsi="宋体" w:cs="宋体"/>
          <w:b/>
          <w:color w:val="auto"/>
          <w:sz w:val="24"/>
          <w:szCs w:val="24"/>
          <w:highlight w:val="none"/>
        </w:rPr>
        <w:t>文件）</w:t>
      </w:r>
    </w:p>
    <w:p w14:paraId="7570DB03">
      <w:pPr>
        <w:adjustRightInd w:val="0"/>
        <w:snapToGrid w:val="0"/>
        <w:spacing w:line="360" w:lineRule="auto"/>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磋商响应文件</w:t>
      </w:r>
      <w:r>
        <w:rPr>
          <w:rFonts w:hint="eastAsia" w:ascii="宋体" w:hAnsi="宋体" w:cs="宋体"/>
          <w:b/>
          <w:bCs/>
          <w:color w:val="auto"/>
          <w:sz w:val="24"/>
          <w:highlight w:val="none"/>
        </w:rPr>
        <w:t>外层包装封面格式</w:t>
      </w:r>
    </w:p>
    <w:p w14:paraId="71D28C1F">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zh-CN"/>
        </w:rPr>
        <w:t>资信商务及技术文件</w:t>
      </w:r>
      <w:r>
        <w:rPr>
          <w:rFonts w:hint="eastAsia" w:ascii="宋体" w:hAnsi="宋体" w:cs="宋体"/>
          <w:b/>
          <w:bCs/>
          <w:color w:val="auto"/>
          <w:sz w:val="24"/>
          <w:highlight w:val="none"/>
        </w:rPr>
        <w:t>外包装封面格式:</w:t>
      </w:r>
    </w:p>
    <w:p w14:paraId="13AE9F68">
      <w:pPr>
        <w:adjustRightInd w:val="0"/>
        <w:snapToGrid w:val="0"/>
        <w:spacing w:line="360" w:lineRule="auto"/>
        <w:ind w:firstLine="482" w:firstLineChars="200"/>
        <w:jc w:val="center"/>
        <w:rPr>
          <w:rFonts w:hint="eastAsia" w:ascii="宋体" w:hAnsi="宋体" w:cs="宋体"/>
          <w:b/>
          <w:bCs/>
          <w:color w:val="auto"/>
          <w:sz w:val="24"/>
          <w:highlight w:val="none"/>
        </w:rPr>
      </w:pPr>
      <w:r>
        <w:rPr>
          <w:rFonts w:hint="eastAsia" w:ascii="宋体" w:hAnsi="宋体" w:cs="宋体"/>
          <w:b/>
          <w:color w:val="auto"/>
          <w:sz w:val="24"/>
          <w:highlight w:val="none"/>
          <w:lang w:val="zh-CN"/>
        </w:rPr>
        <w:t>资信商务及技术文件</w:t>
      </w:r>
    </w:p>
    <w:p w14:paraId="78593887">
      <w:pPr>
        <w:adjustRightInd w:val="0"/>
        <w:snapToGrid w:val="0"/>
        <w:spacing w:line="360" w:lineRule="auto"/>
        <w:ind w:firstLine="482" w:firstLineChars="200"/>
        <w:jc w:val="right"/>
        <w:rPr>
          <w:rFonts w:hint="eastAsia" w:ascii="宋体" w:hAnsi="宋体" w:cs="宋体"/>
          <w:bCs/>
          <w:color w:val="auto"/>
          <w:sz w:val="24"/>
          <w:highlight w:val="none"/>
        </w:rPr>
      </w:pPr>
      <w:r>
        <w:rPr>
          <w:rFonts w:hint="eastAsia" w:ascii="宋体" w:hAnsi="宋体" w:cs="宋体"/>
          <w:b/>
          <w:bCs/>
          <w:color w:val="auto"/>
          <w:sz w:val="24"/>
          <w:highlight w:val="none"/>
        </w:rPr>
        <w:t>正本/或副本</w:t>
      </w:r>
    </w:p>
    <w:p w14:paraId="673D45C9">
      <w:pPr>
        <w:adjustRightInd w:val="0"/>
        <w:snapToGrid w:val="0"/>
        <w:spacing w:line="360" w:lineRule="auto"/>
        <w:ind w:firstLine="1200" w:firstLineChars="500"/>
        <w:rPr>
          <w:rFonts w:hint="eastAsia" w:ascii="宋体" w:hAnsi="宋体" w:cs="宋体"/>
          <w:b/>
          <w:color w:val="auto"/>
          <w:sz w:val="24"/>
          <w:highlight w:val="none"/>
          <w:u w:val="single"/>
        </w:rPr>
      </w:pPr>
      <w:r>
        <w:rPr>
          <w:rFonts w:hint="eastAsia" w:ascii="宋体" w:hAnsi="宋体" w:cs="宋体"/>
          <w:bCs/>
          <w:color w:val="auto"/>
          <w:sz w:val="24"/>
          <w:highlight w:val="none"/>
        </w:rPr>
        <w:t>项目名称：</w:t>
      </w:r>
    </w:p>
    <w:p w14:paraId="2F909EBB">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0C60BEDF">
      <w:pPr>
        <w:pStyle w:val="9"/>
        <w:adjustRightInd w:val="0"/>
        <w:snapToGrid w:val="0"/>
        <w:spacing w:line="360" w:lineRule="auto"/>
        <w:ind w:firstLine="1200" w:firstLineChars="5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类型：以介质存储的数据电文形式的U盘备份磋商响应文件/纸质备份磋商响应文件</w:t>
      </w:r>
    </w:p>
    <w:p w14:paraId="2F31435F">
      <w:pPr>
        <w:pStyle w:val="9"/>
        <w:adjustRightInd w:val="0"/>
        <w:snapToGrid w:val="0"/>
        <w:spacing w:line="360" w:lineRule="auto"/>
        <w:ind w:firstLine="1200" w:firstLineChars="5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5F8BC504">
      <w:pPr>
        <w:pStyle w:val="9"/>
        <w:adjustRightInd w:val="0"/>
        <w:snapToGrid w:val="0"/>
        <w:spacing w:line="360" w:lineRule="auto"/>
        <w:ind w:firstLine="1200" w:firstLineChars="5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310AD469">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在  年  月  日  时  分之前不得启封</w:t>
      </w:r>
    </w:p>
    <w:p w14:paraId="4D52459C">
      <w:pPr>
        <w:pStyle w:val="13"/>
        <w:spacing w:after="0" w:line="360" w:lineRule="auto"/>
        <w:ind w:firstLine="240"/>
        <w:rPr>
          <w:color w:val="auto"/>
          <w:sz w:val="24"/>
          <w:highlight w:val="none"/>
        </w:rPr>
      </w:pPr>
    </w:p>
    <w:p w14:paraId="5513D3FE">
      <w:pPr>
        <w:adjustRightInd w:val="0"/>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2.报价文件外包装封面格式：</w:t>
      </w:r>
    </w:p>
    <w:p w14:paraId="1E4EF9AC">
      <w:pPr>
        <w:adjustRightInd w:val="0"/>
        <w:snapToGrid w:val="0"/>
        <w:spacing w:line="360" w:lineRule="auto"/>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报 价 文 件</w:t>
      </w:r>
    </w:p>
    <w:p w14:paraId="26840A22">
      <w:pPr>
        <w:adjustRightInd w:val="0"/>
        <w:snapToGrid w:val="0"/>
        <w:spacing w:line="360" w:lineRule="auto"/>
        <w:ind w:firstLine="482" w:firstLineChars="200"/>
        <w:jc w:val="right"/>
        <w:rPr>
          <w:rFonts w:hint="eastAsia" w:ascii="宋体" w:hAnsi="宋体" w:cs="宋体"/>
          <w:bCs/>
          <w:color w:val="auto"/>
          <w:sz w:val="24"/>
          <w:highlight w:val="none"/>
        </w:rPr>
      </w:pPr>
      <w:r>
        <w:rPr>
          <w:rFonts w:hint="eastAsia" w:ascii="宋体" w:hAnsi="宋体" w:cs="宋体"/>
          <w:b/>
          <w:bCs/>
          <w:color w:val="auto"/>
          <w:sz w:val="24"/>
          <w:highlight w:val="none"/>
        </w:rPr>
        <w:t>正本/或副本</w:t>
      </w:r>
    </w:p>
    <w:p w14:paraId="77D08EE2">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4834F244">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488D319F">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类型：以介质存储的数据电文形式的U盘备份磋商响应文件/纸质备份磋商响应文件</w:t>
      </w:r>
    </w:p>
    <w:p w14:paraId="72272B21">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供应商名称：</w:t>
      </w:r>
    </w:p>
    <w:p w14:paraId="523B03B2">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供应商地址：</w:t>
      </w:r>
    </w:p>
    <w:p w14:paraId="7CDCBB52">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在  年  月  日  时  分之前不得启封</w:t>
      </w:r>
    </w:p>
    <w:p w14:paraId="0CC5428F">
      <w:pPr>
        <w:pStyle w:val="13"/>
        <w:spacing w:after="0" w:line="360" w:lineRule="auto"/>
        <w:ind w:firstLine="240"/>
        <w:rPr>
          <w:color w:val="auto"/>
          <w:sz w:val="24"/>
          <w:highlight w:val="none"/>
        </w:rPr>
      </w:pPr>
    </w:p>
    <w:p w14:paraId="490F8C41">
      <w:pPr>
        <w:pStyle w:val="41"/>
        <w:rPr>
          <w:color w:val="auto"/>
          <w:highlight w:val="none"/>
        </w:rPr>
      </w:pPr>
    </w:p>
    <w:p w14:paraId="46842F93">
      <w:pPr>
        <w:adjustRightInd w:val="0"/>
        <w:snapToGrid w:val="0"/>
        <w:spacing w:line="360" w:lineRule="auto"/>
        <w:ind w:firstLine="482" w:firstLineChars="200"/>
        <w:rPr>
          <w:rFonts w:hint="eastAsia" w:ascii="宋体" w:hAnsi="宋体" w:cs="宋体"/>
          <w:b/>
          <w:color w:val="auto"/>
          <w:sz w:val="24"/>
          <w:highlight w:val="none"/>
          <w:lang w:val="zh-CN"/>
        </w:rPr>
      </w:pPr>
    </w:p>
    <w:p w14:paraId="2B32347E">
      <w:pPr>
        <w:adjustRightInd w:val="0"/>
        <w:snapToGrid w:val="0"/>
        <w:spacing w:line="360" w:lineRule="auto"/>
        <w:ind w:firstLine="482" w:firstLineChars="200"/>
        <w:rPr>
          <w:rFonts w:hint="eastAsia" w:ascii="宋体" w:hAnsi="宋体" w:cs="宋体"/>
          <w:b/>
          <w:color w:val="auto"/>
          <w:sz w:val="24"/>
          <w:highlight w:val="none"/>
          <w:lang w:val="zh-CN"/>
        </w:rPr>
      </w:pPr>
    </w:p>
    <w:p w14:paraId="504C0AF6">
      <w:pPr>
        <w:adjustRightInd w:val="0"/>
        <w:snapToGrid w:val="0"/>
        <w:spacing w:line="360" w:lineRule="auto"/>
        <w:ind w:firstLine="482" w:firstLineChars="200"/>
        <w:rPr>
          <w:rFonts w:hint="eastAsia" w:ascii="宋体" w:hAnsi="宋体" w:cs="宋体"/>
          <w:b/>
          <w:color w:val="auto"/>
          <w:sz w:val="24"/>
          <w:highlight w:val="none"/>
          <w:lang w:val="zh-CN"/>
        </w:rPr>
      </w:pPr>
    </w:p>
    <w:p w14:paraId="4BC0B5C7">
      <w:pPr>
        <w:adjustRightInd w:val="0"/>
        <w:snapToGrid w:val="0"/>
        <w:spacing w:line="360" w:lineRule="auto"/>
        <w:ind w:firstLine="482" w:firstLineChars="200"/>
        <w:rPr>
          <w:rFonts w:hint="eastAsia" w:ascii="宋体" w:hAnsi="宋体" w:cs="宋体"/>
          <w:b/>
          <w:color w:val="auto"/>
          <w:sz w:val="24"/>
          <w:highlight w:val="none"/>
          <w:lang w:val="zh-CN"/>
        </w:rPr>
      </w:pPr>
    </w:p>
    <w:p w14:paraId="53B29952">
      <w:pPr>
        <w:adjustRightInd w:val="0"/>
        <w:snapToGrid w:val="0"/>
        <w:spacing w:line="360" w:lineRule="auto"/>
        <w:ind w:firstLine="482" w:firstLineChars="200"/>
        <w:rPr>
          <w:rFonts w:hint="eastAsia" w:ascii="宋体" w:hAnsi="宋体" w:cs="宋体"/>
          <w:b/>
          <w:color w:val="auto"/>
          <w:sz w:val="24"/>
          <w:highlight w:val="none"/>
          <w:lang w:val="zh-CN"/>
        </w:rPr>
      </w:pPr>
    </w:p>
    <w:p w14:paraId="42881225">
      <w:pPr>
        <w:adjustRightInd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zh-CN"/>
        </w:rPr>
        <w:t>二、资信商务及技术文件</w:t>
      </w:r>
      <w:r>
        <w:rPr>
          <w:rFonts w:hint="eastAsia" w:ascii="宋体" w:hAnsi="宋体" w:cs="宋体"/>
          <w:b/>
          <w:color w:val="auto"/>
          <w:sz w:val="24"/>
          <w:highlight w:val="none"/>
        </w:rPr>
        <w:t>格式</w:t>
      </w:r>
    </w:p>
    <w:p w14:paraId="0F35FE8E">
      <w:pPr>
        <w:adjustRightInd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zh-CN"/>
        </w:rPr>
        <w:t>（一）资信商务及技术文件</w:t>
      </w:r>
      <w:r>
        <w:rPr>
          <w:rFonts w:hint="eastAsia" w:ascii="宋体" w:hAnsi="宋体" w:cs="宋体"/>
          <w:b/>
          <w:color w:val="auto"/>
          <w:sz w:val="24"/>
          <w:highlight w:val="none"/>
        </w:rPr>
        <w:t>封面及目录</w:t>
      </w:r>
    </w:p>
    <w:p w14:paraId="6C17D5BD">
      <w:pPr>
        <w:tabs>
          <w:tab w:val="left" w:pos="540"/>
        </w:tabs>
        <w:adjustRightInd w:val="0"/>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zh-CN"/>
        </w:rPr>
        <w:t>资信商务及技术文件</w:t>
      </w:r>
      <w:r>
        <w:rPr>
          <w:rFonts w:hint="eastAsia" w:ascii="宋体" w:hAnsi="宋体" w:cs="宋体"/>
          <w:b/>
          <w:bCs/>
          <w:color w:val="auto"/>
          <w:sz w:val="24"/>
          <w:highlight w:val="none"/>
        </w:rPr>
        <w:t>封面格式：</w:t>
      </w:r>
    </w:p>
    <w:p w14:paraId="5B3486AD">
      <w:pPr>
        <w:adjustRightInd w:val="0"/>
        <w:snapToGrid w:val="0"/>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lang w:val="zh-CN"/>
        </w:rPr>
        <w:t>资信商务及技术文件</w:t>
      </w:r>
    </w:p>
    <w:p w14:paraId="251BA80F">
      <w:pPr>
        <w:adjustRightInd w:val="0"/>
        <w:snapToGrid w:val="0"/>
        <w:spacing w:line="360" w:lineRule="auto"/>
        <w:ind w:firstLine="482" w:firstLineChars="200"/>
        <w:jc w:val="right"/>
        <w:rPr>
          <w:rFonts w:hint="eastAsia" w:ascii="宋体" w:hAnsi="宋体" w:cs="宋体"/>
          <w:bCs/>
          <w:color w:val="auto"/>
          <w:sz w:val="24"/>
          <w:highlight w:val="none"/>
        </w:rPr>
      </w:pPr>
      <w:r>
        <w:rPr>
          <w:rFonts w:hint="eastAsia" w:ascii="宋体" w:hAnsi="宋体" w:cs="宋体"/>
          <w:b/>
          <w:bCs/>
          <w:color w:val="auto"/>
          <w:sz w:val="24"/>
          <w:highlight w:val="none"/>
        </w:rPr>
        <w:t>正本/或副本</w:t>
      </w:r>
    </w:p>
    <w:p w14:paraId="470F6E9D">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0062566C">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1D7592FB">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供应商名称：</w:t>
      </w:r>
    </w:p>
    <w:p w14:paraId="0D9C3E60">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供应商地址：</w:t>
      </w:r>
    </w:p>
    <w:p w14:paraId="40A48120">
      <w:pPr>
        <w:adjustRightInd w:val="0"/>
        <w:snapToGrid w:val="0"/>
        <w:spacing w:line="360" w:lineRule="auto"/>
        <w:ind w:firstLine="1200" w:firstLineChars="500"/>
        <w:rPr>
          <w:rFonts w:hint="eastAsia" w:ascii="宋体" w:hAnsi="宋体" w:cs="宋体"/>
          <w:bCs/>
          <w:color w:val="auto"/>
          <w:sz w:val="24"/>
          <w:highlight w:val="none"/>
        </w:rPr>
      </w:pPr>
      <w:r>
        <w:rPr>
          <w:rFonts w:hint="eastAsia" w:ascii="宋体" w:hAnsi="宋体" w:cs="宋体"/>
          <w:bCs/>
          <w:color w:val="auto"/>
          <w:sz w:val="24"/>
          <w:highlight w:val="none"/>
        </w:rPr>
        <w:t>日期：   年   月   日</w:t>
      </w:r>
    </w:p>
    <w:p w14:paraId="73668CA5">
      <w:pPr>
        <w:pStyle w:val="13"/>
        <w:spacing w:after="0" w:line="360" w:lineRule="auto"/>
        <w:ind w:firstLine="240"/>
        <w:rPr>
          <w:color w:val="auto"/>
          <w:sz w:val="24"/>
          <w:highlight w:val="none"/>
        </w:rPr>
      </w:pPr>
    </w:p>
    <w:p w14:paraId="5C142068">
      <w:pPr>
        <w:autoSpaceDE w:val="0"/>
        <w:autoSpaceDN w:val="0"/>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lang w:val="zh-CN"/>
        </w:rPr>
        <w:t>资信商务及技术文件</w:t>
      </w:r>
      <w:r>
        <w:rPr>
          <w:rFonts w:hint="eastAsia" w:ascii="宋体" w:hAnsi="宋体" w:cs="宋体"/>
          <w:b/>
          <w:bCs/>
          <w:color w:val="auto"/>
          <w:sz w:val="24"/>
          <w:highlight w:val="none"/>
        </w:rPr>
        <w:t>目录格式：</w:t>
      </w:r>
    </w:p>
    <w:p w14:paraId="1384BCB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（1）磋商声明书————————</w:t>
      </w:r>
    </w:p>
    <w:p w14:paraId="2B169C2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（2）法定代表人（负责人）有效身份证明书————————</w:t>
      </w:r>
    </w:p>
    <w:p w14:paraId="55345A40">
      <w:pPr>
        <w:adjustRightInd w:val="0"/>
        <w:snapToGrid w:val="0"/>
        <w:spacing w:line="360" w:lineRule="auto"/>
        <w:ind w:firstLine="480" w:firstLineChars="200"/>
        <w:rPr>
          <w:color w:val="auto"/>
          <w:sz w:val="24"/>
          <w:highlight w:val="none"/>
        </w:rPr>
      </w:pPr>
      <w:r>
        <w:rPr>
          <w:rFonts w:hint="eastAsia" w:ascii="宋体" w:hAnsi="宋体" w:cs="宋体"/>
          <w:color w:val="auto"/>
          <w:sz w:val="24"/>
          <w:highlight w:val="none"/>
        </w:rPr>
        <w:t>（3）法定代表人（负责人）授权委托书————————</w:t>
      </w:r>
    </w:p>
    <w:p w14:paraId="518F04CD">
      <w:pPr>
        <w:autoSpaceDE w:val="0"/>
        <w:autoSpaceDN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磋商</w:t>
      </w:r>
      <w:r>
        <w:rPr>
          <w:rFonts w:ascii="宋体" w:hAnsi="宋体" w:cs="宋体"/>
          <w:color w:val="auto"/>
          <w:sz w:val="24"/>
          <w:highlight w:val="none"/>
          <w:lang w:val="zh-CN"/>
        </w:rPr>
        <w:t>资格</w:t>
      </w:r>
      <w:r>
        <w:rPr>
          <w:rFonts w:hint="eastAsia" w:ascii="宋体" w:hAnsi="宋体" w:cs="宋体"/>
          <w:color w:val="auto"/>
          <w:sz w:val="24"/>
          <w:highlight w:val="none"/>
          <w:lang w:val="zh-CN"/>
        </w:rPr>
        <w:t>证明材料</w:t>
      </w:r>
      <w:r>
        <w:rPr>
          <w:rFonts w:hint="eastAsia" w:ascii="宋体" w:hAnsi="宋体" w:cs="宋体"/>
          <w:color w:val="auto"/>
          <w:sz w:val="24"/>
          <w:highlight w:val="none"/>
        </w:rPr>
        <w:t>————————</w:t>
      </w:r>
    </w:p>
    <w:p w14:paraId="3FB940F5">
      <w:pPr>
        <w:spacing w:line="360" w:lineRule="auto"/>
        <w:ind w:left="420" w:leftChars="200"/>
        <w:rPr>
          <w:rFonts w:hint="eastAsia" w:ascii="宋体" w:hAnsi="宋体"/>
          <w:color w:val="auto"/>
          <w:sz w:val="24"/>
          <w:highlight w:val="none"/>
        </w:rPr>
      </w:pPr>
      <w:r>
        <w:rPr>
          <w:rFonts w:hint="eastAsia" w:ascii="宋体" w:hAnsi="宋体" w:cs="宋体"/>
          <w:color w:val="auto"/>
          <w:sz w:val="24"/>
          <w:highlight w:val="none"/>
        </w:rPr>
        <w:t>（5）供应</w:t>
      </w:r>
      <w:r>
        <w:rPr>
          <w:rFonts w:hint="eastAsia" w:ascii="宋体" w:hAnsi="宋体"/>
          <w:color w:val="auto"/>
          <w:sz w:val="24"/>
          <w:highlight w:val="none"/>
        </w:rPr>
        <w:t>商单位情况表————————</w:t>
      </w:r>
    </w:p>
    <w:p w14:paraId="042B006E">
      <w:pPr>
        <w:spacing w:line="360" w:lineRule="auto"/>
        <w:ind w:left="420" w:leftChars="200"/>
        <w:rPr>
          <w:color w:val="auto"/>
          <w:highlight w:val="none"/>
        </w:rPr>
      </w:pPr>
      <w:r>
        <w:rPr>
          <w:rFonts w:hint="eastAsia" w:ascii="宋体" w:hAnsi="宋体"/>
          <w:color w:val="auto"/>
          <w:sz w:val="24"/>
          <w:highlight w:val="none"/>
        </w:rPr>
        <w:t>（6）</w:t>
      </w:r>
      <w:r>
        <w:rPr>
          <w:rFonts w:hint="eastAsia" w:ascii="宋体" w:hAnsi="宋体" w:cs="宋体"/>
          <w:color w:val="auto"/>
          <w:sz w:val="24"/>
          <w:highlight w:val="none"/>
        </w:rPr>
        <w:t>供应商廉洁守信承诺书————————</w:t>
      </w:r>
    </w:p>
    <w:p w14:paraId="16019E30">
      <w:pPr>
        <w:spacing w:line="360" w:lineRule="auto"/>
        <w:ind w:left="420" w:leftChars="200"/>
        <w:rPr>
          <w:rFonts w:hint="eastAsia" w:ascii="宋体" w:hAnsi="宋体"/>
          <w:color w:val="auto"/>
          <w:sz w:val="24"/>
          <w:highlight w:val="none"/>
        </w:rPr>
      </w:pPr>
      <w:r>
        <w:rPr>
          <w:rFonts w:hint="eastAsia" w:ascii="宋体" w:hAnsi="宋体"/>
          <w:color w:val="auto"/>
          <w:sz w:val="24"/>
          <w:highlight w:val="none"/>
        </w:rPr>
        <w:t>（7）商务响应表</w:t>
      </w:r>
      <w:r>
        <w:rPr>
          <w:rFonts w:hint="eastAsia" w:ascii="宋体" w:hAnsi="宋体" w:cs="宋体"/>
          <w:color w:val="auto"/>
          <w:sz w:val="24"/>
          <w:highlight w:val="none"/>
        </w:rPr>
        <w:t>————————</w:t>
      </w:r>
    </w:p>
    <w:p w14:paraId="74BC6031">
      <w:pPr>
        <w:spacing w:line="360" w:lineRule="auto"/>
        <w:ind w:firstLine="480" w:firstLineChars="200"/>
        <w:jc w:val="left"/>
        <w:rPr>
          <w:rFonts w:hint="eastAsia" w:ascii="宋体" w:hAnsi="宋体" w:cs="宋体"/>
          <w:color w:val="auto"/>
          <w:kern w:val="0"/>
          <w:sz w:val="24"/>
          <w:highlight w:val="none"/>
        </w:rPr>
      </w:pPr>
      <w:r>
        <w:rPr>
          <w:rFonts w:hint="eastAsia" w:ascii="宋体" w:hAnsi="宋体"/>
          <w:color w:val="auto"/>
          <w:sz w:val="24"/>
          <w:highlight w:val="none"/>
        </w:rPr>
        <w:t>（8）</w:t>
      </w:r>
      <w:r>
        <w:rPr>
          <w:rFonts w:hint="eastAsia" w:ascii="宋体" w:hAnsi="宋体" w:cs="宋体"/>
          <w:color w:val="auto"/>
          <w:kern w:val="0"/>
          <w:sz w:val="24"/>
          <w:highlight w:val="none"/>
        </w:rPr>
        <w:t>技术偏离表</w:t>
      </w:r>
      <w:r>
        <w:rPr>
          <w:rFonts w:hint="eastAsia" w:ascii="宋体" w:hAnsi="宋体" w:cs="宋体"/>
          <w:color w:val="auto"/>
          <w:sz w:val="24"/>
          <w:highlight w:val="none"/>
        </w:rPr>
        <w:t>————————</w:t>
      </w:r>
    </w:p>
    <w:p w14:paraId="7DA7B05D">
      <w:pPr>
        <w:autoSpaceDE w:val="0"/>
        <w:autoSpaceDN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olor w:val="auto"/>
          <w:sz w:val="24"/>
          <w:highlight w:val="none"/>
        </w:rPr>
        <w:t>（9）</w:t>
      </w:r>
      <w:r>
        <w:rPr>
          <w:rFonts w:ascii="宋体" w:hAnsi="宋体" w:cs="宋体"/>
          <w:color w:val="auto"/>
          <w:sz w:val="24"/>
          <w:highlight w:val="none"/>
          <w:lang w:val="zh-CN"/>
        </w:rPr>
        <w:t>对本项目总体要求的理解</w:t>
      </w:r>
      <w:r>
        <w:rPr>
          <w:rFonts w:hint="eastAsia" w:ascii="宋体" w:hAnsi="宋体" w:cs="宋体"/>
          <w:color w:val="auto"/>
          <w:sz w:val="24"/>
          <w:highlight w:val="none"/>
        </w:rPr>
        <w:t>————————</w:t>
      </w:r>
    </w:p>
    <w:p w14:paraId="53370308">
      <w:pPr>
        <w:autoSpaceDE w:val="0"/>
        <w:autoSpaceDN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ascii="宋体" w:hAnsi="宋体" w:cs="宋体"/>
          <w:color w:val="auto"/>
          <w:sz w:val="24"/>
          <w:highlight w:val="none"/>
          <w:lang w:val="zh-CN"/>
        </w:rPr>
        <w:t>拟投入的人员配备表</w:t>
      </w:r>
      <w:r>
        <w:rPr>
          <w:rFonts w:hint="eastAsia" w:ascii="宋体" w:hAnsi="宋体" w:cs="宋体"/>
          <w:color w:val="auto"/>
          <w:sz w:val="24"/>
          <w:highlight w:val="none"/>
        </w:rPr>
        <w:t>————————</w:t>
      </w:r>
    </w:p>
    <w:p w14:paraId="74AB882C">
      <w:pPr>
        <w:autoSpaceDE w:val="0"/>
        <w:autoSpaceDN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ascii="宋体" w:hAnsi="宋体" w:cs="宋体"/>
          <w:color w:val="auto"/>
          <w:sz w:val="24"/>
          <w:highlight w:val="none"/>
          <w:lang w:val="zh-CN"/>
        </w:rPr>
        <w:t>评分规则中涉及的所需提交的材料</w:t>
      </w:r>
      <w:r>
        <w:rPr>
          <w:rFonts w:hint="eastAsia" w:ascii="宋体" w:hAnsi="宋体" w:cs="宋体"/>
          <w:color w:val="auto"/>
          <w:sz w:val="24"/>
          <w:highlight w:val="none"/>
        </w:rPr>
        <w:t>————————</w:t>
      </w:r>
    </w:p>
    <w:p w14:paraId="0D9EDCBB">
      <w:pPr>
        <w:autoSpaceDE w:val="0"/>
        <w:autoSpaceDN w:val="0"/>
        <w:adjustRightInd w:val="0"/>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ascii="宋体" w:hAnsi="宋体" w:cs="宋体"/>
          <w:color w:val="auto"/>
          <w:sz w:val="24"/>
          <w:highlight w:val="none"/>
          <w:lang w:val="zh-CN"/>
        </w:rPr>
        <w:t>供应商需要说明的其他文件和说明</w:t>
      </w:r>
      <w:r>
        <w:rPr>
          <w:rFonts w:hint="eastAsia" w:ascii="宋体" w:hAnsi="宋体" w:cs="宋体"/>
          <w:color w:val="auto"/>
          <w:sz w:val="24"/>
          <w:highlight w:val="none"/>
        </w:rPr>
        <w:t>————————</w:t>
      </w:r>
    </w:p>
    <w:p w14:paraId="2C930ACC">
      <w:pPr>
        <w:adjustRightInd w:val="0"/>
        <w:snapToGrid w:val="0"/>
        <w:spacing w:line="360" w:lineRule="auto"/>
        <w:ind w:firstLine="482" w:firstLineChars="200"/>
        <w:jc w:val="left"/>
        <w:rPr>
          <w:rFonts w:hint="eastAsia" w:ascii="宋体" w:hAnsi="宋体" w:cs="宋体"/>
          <w:b/>
          <w:color w:val="auto"/>
          <w:sz w:val="24"/>
          <w:highlight w:val="none"/>
          <w:lang w:val="zh-CN"/>
        </w:rPr>
      </w:pPr>
    </w:p>
    <w:p w14:paraId="08E95E1A">
      <w:pPr>
        <w:adjustRightInd w:val="0"/>
        <w:snapToGrid w:val="0"/>
        <w:spacing w:line="360" w:lineRule="auto"/>
        <w:ind w:firstLine="482" w:firstLineChars="200"/>
        <w:jc w:val="left"/>
        <w:rPr>
          <w:rFonts w:hint="eastAsia" w:ascii="宋体" w:hAnsi="宋体" w:cs="宋体"/>
          <w:b/>
          <w:color w:val="auto"/>
          <w:sz w:val="24"/>
          <w:highlight w:val="none"/>
          <w:lang w:val="zh-CN"/>
        </w:rPr>
      </w:pPr>
    </w:p>
    <w:p w14:paraId="2ED710CD">
      <w:pPr>
        <w:adjustRightInd w:val="0"/>
        <w:snapToGrid w:val="0"/>
        <w:spacing w:line="360" w:lineRule="auto"/>
        <w:ind w:firstLine="482" w:firstLineChars="200"/>
        <w:jc w:val="left"/>
        <w:rPr>
          <w:rFonts w:hint="eastAsia" w:ascii="宋体" w:hAnsi="宋体" w:cs="宋体"/>
          <w:b/>
          <w:color w:val="auto"/>
          <w:sz w:val="24"/>
          <w:highlight w:val="none"/>
          <w:lang w:val="zh-CN"/>
        </w:rPr>
      </w:pPr>
    </w:p>
    <w:p w14:paraId="2334A25D">
      <w:pPr>
        <w:adjustRightInd w:val="0"/>
        <w:snapToGrid w:val="0"/>
        <w:spacing w:line="360" w:lineRule="auto"/>
        <w:ind w:firstLine="482" w:firstLineChars="200"/>
        <w:jc w:val="left"/>
        <w:rPr>
          <w:rFonts w:hint="eastAsia" w:ascii="宋体" w:hAnsi="宋体" w:cs="宋体"/>
          <w:b/>
          <w:color w:val="auto"/>
          <w:sz w:val="24"/>
          <w:highlight w:val="none"/>
          <w:lang w:val="zh-CN"/>
        </w:rPr>
      </w:pPr>
    </w:p>
    <w:p w14:paraId="240D8B3D">
      <w:pPr>
        <w:adjustRightInd w:val="0"/>
        <w:snapToGrid w:val="0"/>
        <w:spacing w:line="360" w:lineRule="auto"/>
        <w:ind w:firstLine="482" w:firstLineChars="200"/>
        <w:jc w:val="left"/>
        <w:rPr>
          <w:rFonts w:hint="eastAsia" w:ascii="宋体" w:hAnsi="宋体" w:cs="宋体"/>
          <w:b/>
          <w:color w:val="auto"/>
          <w:sz w:val="24"/>
          <w:highlight w:val="none"/>
          <w:lang w:val="zh-CN"/>
        </w:rPr>
      </w:pPr>
    </w:p>
    <w:p w14:paraId="65D7013B">
      <w:pPr>
        <w:adjustRightInd w:val="0"/>
        <w:snapToGrid w:val="0"/>
        <w:spacing w:line="360" w:lineRule="auto"/>
        <w:ind w:firstLine="482" w:firstLineChars="200"/>
        <w:jc w:val="left"/>
        <w:rPr>
          <w:rFonts w:hint="eastAsia" w:ascii="宋体" w:hAnsi="宋体" w:cs="宋体"/>
          <w:b/>
          <w:color w:val="auto"/>
          <w:sz w:val="24"/>
          <w:highlight w:val="none"/>
          <w:lang w:val="zh-CN"/>
        </w:rPr>
      </w:pPr>
    </w:p>
    <w:p w14:paraId="2B19C7F1">
      <w:pPr>
        <w:adjustRightInd w:val="0"/>
        <w:snapToGrid w:val="0"/>
        <w:spacing w:line="360" w:lineRule="auto"/>
        <w:ind w:firstLine="482" w:firstLineChars="200"/>
        <w:jc w:val="left"/>
        <w:rPr>
          <w:rFonts w:hint="eastAsia" w:ascii="宋体" w:hAnsi="宋体" w:cs="宋体"/>
          <w:b/>
          <w:color w:val="auto"/>
          <w:sz w:val="24"/>
          <w:highlight w:val="none"/>
          <w:lang w:val="zh-CN"/>
        </w:rPr>
      </w:pPr>
    </w:p>
    <w:p w14:paraId="2713BCF6">
      <w:pPr>
        <w:adjustRightInd w:val="0"/>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lang w:val="zh-CN"/>
        </w:rPr>
        <w:t>（二）资信商务及技术文件</w:t>
      </w:r>
    </w:p>
    <w:p w14:paraId="1626E3E0">
      <w:pPr>
        <w:adjustRightInd w:val="0"/>
        <w:snapToGrid w:val="0"/>
        <w:spacing w:line="360" w:lineRule="auto"/>
        <w:rPr>
          <w:rFonts w:hint="eastAsia" w:ascii="宋体" w:hAnsi="宋体" w:cs="宋体"/>
          <w:b/>
          <w:color w:val="auto"/>
          <w:sz w:val="24"/>
          <w:highlight w:val="none"/>
        </w:rPr>
      </w:pPr>
      <w:r>
        <w:rPr>
          <w:rFonts w:hint="eastAsia" w:ascii="宋体" w:hAnsi="宋体" w:cs="宋体"/>
          <w:color w:val="auto"/>
          <w:spacing w:val="11"/>
          <w:sz w:val="24"/>
          <w:highlight w:val="none"/>
        </w:rPr>
        <w:t>1</w:t>
      </w:r>
      <w:r>
        <w:rPr>
          <w:rFonts w:hint="eastAsia" w:ascii="宋体" w:hAnsi="宋体" w:cs="宋体"/>
          <w:b/>
          <w:color w:val="auto"/>
          <w:sz w:val="24"/>
          <w:highlight w:val="none"/>
        </w:rPr>
        <w:t>.磋商声明书格式：</w:t>
      </w:r>
    </w:p>
    <w:p w14:paraId="0EBE2CBF">
      <w:pPr>
        <w:autoSpaceDE w:val="0"/>
        <w:autoSpaceDN w:val="0"/>
        <w:adjustRightInd w:val="0"/>
        <w:snapToGrid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磋商声明书</w:t>
      </w:r>
    </w:p>
    <w:p w14:paraId="7A236E78">
      <w:pPr>
        <w:autoSpaceDE w:val="0"/>
        <w:autoSpaceDN w:val="0"/>
        <w:adjustRightInd w:val="0"/>
        <w:snapToGrid w:val="0"/>
        <w:spacing w:line="360" w:lineRule="auto"/>
        <w:rPr>
          <w:rFonts w:hint="eastAsia" w:ascii="宋体" w:hAnsi="宋体" w:cs="宋体"/>
          <w:b/>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rPr>
        <w:t>（采购人名称）</w:t>
      </w:r>
    </w:p>
    <w:p w14:paraId="6820AC77">
      <w:pPr>
        <w:autoSpaceDE w:val="0"/>
        <w:autoSpaceDN w:val="0"/>
        <w:adjustRightInd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名称）系中华人民共和国合法企业，经营地址。我（姓名）系（供应商名称）的法定代表人（负责人），我方愿意参加贵方组织的项目（标项：（标项序号及标项名称））的磋商，为便于贵方公正、择优地确定成交供应商及其服务，我方就本次磋商有关事项郑重声明如下：</w:t>
      </w:r>
    </w:p>
    <w:p w14:paraId="5E2A7B0F">
      <w:pPr>
        <w:autoSpaceDE w:val="0"/>
        <w:autoSpaceDN w:val="0"/>
        <w:adjustRightInd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1.我方向贵方提交的所有磋商响应文件、资料都是准确的和真实的。</w:t>
      </w:r>
    </w:p>
    <w:p w14:paraId="1AE2B556">
      <w:pPr>
        <w:autoSpaceDE w:val="0"/>
        <w:autoSpaceDN w:val="0"/>
        <w:adjustRightInd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2.我方不是采购人的附属机构；在获知本项目采购信息后，与采购人聘请的为此项目提供咨询服务的公司及其附属机构没有任何联系。</w:t>
      </w:r>
    </w:p>
    <w:p w14:paraId="21DB9229">
      <w:pPr>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3.我方参与本项目前3年内的经营活动中没有重大违法记录。</w:t>
      </w:r>
    </w:p>
    <w:p w14:paraId="67BF23BA">
      <w:pPr>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4.我方通过“信用中国”网站（www.creditchina.gov.cn）、中国政府采购网（www.ccgp.gov.cn）查询，未被列入失信被执行人、重大税收违法失信主体、政府采购严重违法失信行为记录名单。</w:t>
      </w:r>
    </w:p>
    <w:p w14:paraId="0C60F94A">
      <w:pPr>
        <w:autoSpaceDE w:val="0"/>
        <w:autoSpaceDN w:val="0"/>
        <w:adjustRightInd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.以上事项如有虚假或隐瞒，我方愿意承担一切后果，并不再寻求任何旨在减轻或免除法律责任的辩解。</w:t>
      </w:r>
    </w:p>
    <w:p w14:paraId="4DD2964F">
      <w:pPr>
        <w:autoSpaceDE w:val="0"/>
        <w:autoSpaceDN w:val="0"/>
        <w:adjustRightInd w:val="0"/>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法定代表人（负责人）（签字或盖章）：</w:t>
      </w:r>
    </w:p>
    <w:p w14:paraId="695C9684">
      <w:pPr>
        <w:autoSpaceDE w:val="0"/>
        <w:autoSpaceDN w:val="0"/>
        <w:adjustRightInd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供应商公章：</w:t>
      </w:r>
    </w:p>
    <w:p w14:paraId="46042A21">
      <w:pPr>
        <w:autoSpaceDE w:val="0"/>
        <w:autoSpaceDN w:val="0"/>
        <w:adjustRightInd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年    月    日</w:t>
      </w:r>
    </w:p>
    <w:p w14:paraId="1245B9E3">
      <w:pPr>
        <w:pStyle w:val="41"/>
        <w:spacing w:line="360" w:lineRule="auto"/>
        <w:ind w:firstLine="480"/>
        <w:rPr>
          <w:color w:val="auto"/>
          <w:sz w:val="24"/>
          <w:highlight w:val="none"/>
          <w:lang w:val="zh-CN"/>
        </w:rPr>
      </w:pPr>
    </w:p>
    <w:p w14:paraId="147B361F">
      <w:pPr>
        <w:adjustRightInd w:val="0"/>
        <w:snapToGrid w:val="0"/>
        <w:spacing w:line="360" w:lineRule="auto"/>
        <w:rPr>
          <w:rFonts w:hint="eastAsia" w:ascii="宋体" w:hAnsi="宋体" w:cs="宋体"/>
          <w:b/>
          <w:color w:val="auto"/>
          <w:sz w:val="24"/>
          <w:highlight w:val="none"/>
        </w:rPr>
      </w:pPr>
    </w:p>
    <w:p w14:paraId="6AE8B85C">
      <w:pPr>
        <w:adjustRightInd w:val="0"/>
        <w:snapToGrid w:val="0"/>
        <w:spacing w:line="360" w:lineRule="auto"/>
        <w:rPr>
          <w:rFonts w:hint="eastAsia" w:ascii="宋体" w:hAnsi="宋体" w:cs="宋体"/>
          <w:b/>
          <w:color w:val="auto"/>
          <w:sz w:val="24"/>
          <w:highlight w:val="none"/>
        </w:rPr>
      </w:pPr>
    </w:p>
    <w:p w14:paraId="5A7640FA">
      <w:pPr>
        <w:adjustRightInd w:val="0"/>
        <w:snapToGrid w:val="0"/>
        <w:spacing w:line="360" w:lineRule="auto"/>
        <w:rPr>
          <w:rFonts w:hint="eastAsia" w:ascii="宋体" w:hAnsi="宋体" w:cs="宋体"/>
          <w:b/>
          <w:color w:val="auto"/>
          <w:sz w:val="24"/>
          <w:highlight w:val="none"/>
        </w:rPr>
      </w:pPr>
    </w:p>
    <w:p w14:paraId="7F825DE2">
      <w:pPr>
        <w:adjustRightInd w:val="0"/>
        <w:snapToGrid w:val="0"/>
        <w:spacing w:line="360" w:lineRule="auto"/>
        <w:rPr>
          <w:rFonts w:hint="eastAsia" w:ascii="宋体" w:hAnsi="宋体" w:cs="宋体"/>
          <w:b/>
          <w:color w:val="auto"/>
          <w:sz w:val="24"/>
          <w:highlight w:val="none"/>
        </w:rPr>
      </w:pPr>
    </w:p>
    <w:p w14:paraId="3D5443A4">
      <w:pPr>
        <w:adjustRightInd w:val="0"/>
        <w:snapToGrid w:val="0"/>
        <w:spacing w:line="360" w:lineRule="auto"/>
        <w:rPr>
          <w:rFonts w:hint="eastAsia" w:ascii="宋体" w:hAnsi="宋体" w:cs="宋体"/>
          <w:b/>
          <w:color w:val="auto"/>
          <w:sz w:val="24"/>
          <w:highlight w:val="none"/>
        </w:rPr>
      </w:pPr>
    </w:p>
    <w:p w14:paraId="784BD08E">
      <w:pPr>
        <w:adjustRightInd w:val="0"/>
        <w:snapToGrid w:val="0"/>
        <w:spacing w:line="360" w:lineRule="auto"/>
        <w:rPr>
          <w:rFonts w:hint="eastAsia" w:ascii="宋体" w:hAnsi="宋体" w:cs="宋体"/>
          <w:b/>
          <w:color w:val="auto"/>
          <w:sz w:val="24"/>
          <w:highlight w:val="none"/>
        </w:rPr>
      </w:pPr>
    </w:p>
    <w:p w14:paraId="0CA85784">
      <w:pPr>
        <w:adjustRightInd w:val="0"/>
        <w:snapToGrid w:val="0"/>
        <w:spacing w:line="360" w:lineRule="auto"/>
        <w:rPr>
          <w:rFonts w:hint="eastAsia" w:ascii="宋体" w:hAnsi="宋体" w:cs="宋体"/>
          <w:b/>
          <w:color w:val="auto"/>
          <w:sz w:val="24"/>
          <w:highlight w:val="none"/>
        </w:rPr>
      </w:pPr>
    </w:p>
    <w:p w14:paraId="74554E85">
      <w:pPr>
        <w:adjustRightInd w:val="0"/>
        <w:snapToGrid w:val="0"/>
        <w:spacing w:line="360" w:lineRule="auto"/>
        <w:rPr>
          <w:rFonts w:hint="eastAsia" w:ascii="宋体" w:hAnsi="宋体" w:cs="宋体"/>
          <w:b/>
          <w:color w:val="auto"/>
          <w:sz w:val="24"/>
          <w:highlight w:val="none"/>
        </w:rPr>
      </w:pPr>
    </w:p>
    <w:p w14:paraId="61A7A45F">
      <w:pPr>
        <w:pStyle w:val="13"/>
        <w:ind w:firstLine="210"/>
        <w:rPr>
          <w:color w:val="auto"/>
          <w:highlight w:val="none"/>
        </w:rPr>
      </w:pPr>
    </w:p>
    <w:p w14:paraId="2F8FC416">
      <w:pPr>
        <w:adjustRightInd w:val="0"/>
        <w:snapToGrid w:val="0"/>
        <w:spacing w:line="360" w:lineRule="auto"/>
        <w:rPr>
          <w:rFonts w:hint="eastAsia" w:ascii="宋体" w:hAnsi="宋体" w:cs="宋体"/>
          <w:b/>
          <w:color w:val="auto"/>
          <w:sz w:val="24"/>
          <w:highlight w:val="none"/>
        </w:rPr>
      </w:pPr>
    </w:p>
    <w:p w14:paraId="69A48645">
      <w:pPr>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2.法定代表人（负责人）有效身份证明书格式：</w:t>
      </w:r>
    </w:p>
    <w:p w14:paraId="0C208767">
      <w:pPr>
        <w:pStyle w:val="13"/>
        <w:adjustRightInd w:val="0"/>
        <w:snapToGrid w:val="0"/>
        <w:spacing w:after="0" w:line="360" w:lineRule="auto"/>
        <w:ind w:firstLine="0" w:firstLineChars="0"/>
        <w:jc w:val="center"/>
        <w:rPr>
          <w:rFonts w:hint="eastAsia" w:ascii="宋体" w:hAnsi="宋体" w:cs="宋体"/>
          <w:color w:val="auto"/>
          <w:sz w:val="24"/>
          <w:highlight w:val="none"/>
        </w:rPr>
      </w:pPr>
      <w:r>
        <w:rPr>
          <w:rFonts w:hint="eastAsia" w:ascii="宋体" w:hAnsi="宋体" w:cs="宋体"/>
          <w:b/>
          <w:color w:val="auto"/>
          <w:sz w:val="24"/>
          <w:highlight w:val="none"/>
        </w:rPr>
        <w:t>法定代表人（负责人）有效身份证明书</w:t>
      </w:r>
    </w:p>
    <w:p w14:paraId="15AB4BDC">
      <w:pPr>
        <w:pStyle w:val="9"/>
        <w:adjustRightInd w:val="0"/>
        <w:snapToGrid w:val="0"/>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（姓名）是（单位全称）的法定代表人（负责人），</w:t>
      </w:r>
    </w:p>
    <w:p w14:paraId="5D27BE89">
      <w:pPr>
        <w:pStyle w:val="9"/>
        <w:adjustRightInd w:val="0"/>
        <w:snapToGrid w:val="0"/>
        <w:spacing w:line="360" w:lineRule="auto"/>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身份证号码为。</w:t>
      </w:r>
    </w:p>
    <w:p w14:paraId="3921A5F9">
      <w:pPr>
        <w:pStyle w:val="9"/>
        <w:adjustRightInd w:val="0"/>
        <w:snapToGrid w:val="0"/>
        <w:spacing w:line="360" w:lineRule="auto"/>
        <w:ind w:firstLine="374" w:firstLineChars="15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特此证明！</w:t>
      </w:r>
    </w:p>
    <w:p w14:paraId="73807237">
      <w:pPr>
        <w:pStyle w:val="9"/>
        <w:adjustRightInd w:val="0"/>
        <w:snapToGrid w:val="0"/>
        <w:spacing w:line="360" w:lineRule="auto"/>
        <w:ind w:firstLine="374" w:firstLineChars="15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供应商：（盖章） </w:t>
      </w:r>
    </w:p>
    <w:p w14:paraId="676947C2">
      <w:pPr>
        <w:pStyle w:val="9"/>
        <w:adjustRightInd w:val="0"/>
        <w:snapToGrid w:val="0"/>
        <w:spacing w:line="360" w:lineRule="auto"/>
        <w:ind w:firstLine="2652" w:firstLineChars="1105"/>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法定代表人（负责人）或其授权代理人（签名或盖章）</w:t>
      </w:r>
    </w:p>
    <w:p w14:paraId="2227AA56">
      <w:pPr>
        <w:pStyle w:val="9"/>
        <w:adjustRightInd w:val="0"/>
        <w:snapToGrid w:val="0"/>
        <w:spacing w:line="360" w:lineRule="auto"/>
        <w:ind w:firstLine="374" w:firstLineChars="156"/>
        <w:jc w:val="center"/>
        <w:rPr>
          <w:rFonts w:hint="eastAsia" w:ascii="宋体" w:hAnsi="宋体" w:cs="宋体"/>
          <w:color w:val="auto"/>
          <w:sz w:val="24"/>
          <w:szCs w:val="24"/>
          <w:highlight w:val="none"/>
        </w:rPr>
      </w:pPr>
    </w:p>
    <w:p w14:paraId="3E9099C7">
      <w:pPr>
        <w:pStyle w:val="9"/>
        <w:adjustRightInd w:val="0"/>
        <w:snapToGrid w:val="0"/>
        <w:spacing w:line="360" w:lineRule="auto"/>
        <w:ind w:firstLine="374" w:firstLineChars="15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21FE5787">
      <w:pPr>
        <w:pStyle w:val="9"/>
        <w:adjustRightInd w:val="0"/>
        <w:snapToGrid w:val="0"/>
        <w:spacing w:line="360" w:lineRule="auto"/>
        <w:ind w:firstLine="972" w:firstLineChars="405"/>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1588EA10">
      <w:pPr>
        <w:pStyle w:val="9"/>
        <w:adjustRightInd w:val="0"/>
        <w:snapToGrid w:val="0"/>
        <w:spacing w:line="360" w:lineRule="auto"/>
        <w:ind w:firstLine="374" w:firstLineChars="156"/>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有效身份证明复印件粘贴处</w:t>
      </w:r>
    </w:p>
    <w:p w14:paraId="3089A992">
      <w:pPr>
        <w:pStyle w:val="9"/>
        <w:adjustRightInd w:val="0"/>
        <w:snapToGrid w:val="0"/>
        <w:spacing w:line="360" w:lineRule="auto"/>
        <w:ind w:firstLine="374" w:firstLineChars="156"/>
        <w:jc w:val="center"/>
        <w:rPr>
          <w:rFonts w:hint="eastAsia" w:ascii="宋体" w:hAnsi="宋体" w:cs="宋体"/>
          <w:color w:val="auto"/>
          <w:sz w:val="24"/>
          <w:szCs w:val="24"/>
          <w:highlight w:val="none"/>
        </w:rPr>
      </w:pPr>
    </w:p>
    <w:p w14:paraId="71458924">
      <w:pPr>
        <w:adjustRightInd w:val="0"/>
        <w:snapToGrid w:val="0"/>
        <w:spacing w:line="360" w:lineRule="auto"/>
        <w:rPr>
          <w:rFonts w:hint="eastAsia" w:ascii="宋体" w:hAnsi="宋体" w:cs="宋体"/>
          <w:b/>
          <w:color w:val="auto"/>
          <w:sz w:val="24"/>
          <w:highlight w:val="none"/>
        </w:rPr>
      </w:pPr>
    </w:p>
    <w:p w14:paraId="48E55ACB">
      <w:pPr>
        <w:adjustRightInd w:val="0"/>
        <w:snapToGrid w:val="0"/>
        <w:spacing w:line="360" w:lineRule="auto"/>
        <w:rPr>
          <w:rFonts w:hint="eastAsia" w:ascii="宋体" w:hAnsi="宋体" w:cs="宋体"/>
          <w:b/>
          <w:color w:val="auto"/>
          <w:sz w:val="24"/>
          <w:highlight w:val="none"/>
        </w:rPr>
      </w:pPr>
    </w:p>
    <w:p w14:paraId="2DF4DBA9">
      <w:pPr>
        <w:adjustRightInd w:val="0"/>
        <w:snapToGrid w:val="0"/>
        <w:spacing w:line="360" w:lineRule="auto"/>
        <w:rPr>
          <w:rFonts w:hint="eastAsia" w:ascii="宋体" w:hAnsi="宋体" w:cs="宋体"/>
          <w:b/>
          <w:color w:val="auto"/>
          <w:sz w:val="24"/>
          <w:highlight w:val="none"/>
        </w:rPr>
      </w:pPr>
    </w:p>
    <w:p w14:paraId="4ECFD9DE">
      <w:pPr>
        <w:adjustRightInd w:val="0"/>
        <w:snapToGrid w:val="0"/>
        <w:spacing w:line="360" w:lineRule="auto"/>
        <w:rPr>
          <w:rFonts w:hint="eastAsia" w:ascii="宋体" w:hAnsi="宋体" w:cs="宋体"/>
          <w:b/>
          <w:color w:val="auto"/>
          <w:sz w:val="24"/>
          <w:highlight w:val="none"/>
        </w:rPr>
      </w:pPr>
    </w:p>
    <w:p w14:paraId="3C7B90AB">
      <w:pPr>
        <w:adjustRightInd w:val="0"/>
        <w:snapToGrid w:val="0"/>
        <w:spacing w:line="360" w:lineRule="auto"/>
        <w:rPr>
          <w:rFonts w:hint="eastAsia" w:ascii="宋体" w:hAnsi="宋体" w:cs="宋体"/>
          <w:b/>
          <w:color w:val="auto"/>
          <w:sz w:val="24"/>
          <w:highlight w:val="none"/>
        </w:rPr>
      </w:pPr>
    </w:p>
    <w:p w14:paraId="3AB9618A">
      <w:pPr>
        <w:adjustRightInd w:val="0"/>
        <w:snapToGrid w:val="0"/>
        <w:spacing w:line="360" w:lineRule="auto"/>
        <w:rPr>
          <w:rFonts w:hint="eastAsia" w:ascii="宋体" w:hAnsi="宋体" w:cs="宋体"/>
          <w:b/>
          <w:color w:val="auto"/>
          <w:sz w:val="24"/>
          <w:highlight w:val="none"/>
        </w:rPr>
      </w:pPr>
    </w:p>
    <w:p w14:paraId="3A034C74">
      <w:pPr>
        <w:adjustRightInd w:val="0"/>
        <w:snapToGrid w:val="0"/>
        <w:spacing w:line="360" w:lineRule="auto"/>
        <w:rPr>
          <w:rFonts w:hint="eastAsia" w:ascii="宋体" w:hAnsi="宋体" w:cs="宋体"/>
          <w:b/>
          <w:color w:val="auto"/>
          <w:sz w:val="24"/>
          <w:highlight w:val="none"/>
        </w:rPr>
      </w:pPr>
    </w:p>
    <w:p w14:paraId="347F8801">
      <w:pPr>
        <w:adjustRightInd w:val="0"/>
        <w:snapToGrid w:val="0"/>
        <w:spacing w:line="360" w:lineRule="auto"/>
        <w:rPr>
          <w:rFonts w:hint="eastAsia" w:ascii="宋体" w:hAnsi="宋体" w:cs="宋体"/>
          <w:b/>
          <w:color w:val="auto"/>
          <w:sz w:val="24"/>
          <w:highlight w:val="none"/>
        </w:rPr>
      </w:pPr>
    </w:p>
    <w:p w14:paraId="703310A0">
      <w:pPr>
        <w:adjustRightInd w:val="0"/>
        <w:snapToGrid w:val="0"/>
        <w:spacing w:line="360" w:lineRule="auto"/>
        <w:rPr>
          <w:rFonts w:hint="eastAsia" w:ascii="宋体" w:hAnsi="宋体" w:cs="宋体"/>
          <w:b/>
          <w:color w:val="auto"/>
          <w:sz w:val="24"/>
          <w:highlight w:val="none"/>
        </w:rPr>
      </w:pPr>
    </w:p>
    <w:p w14:paraId="0EC57ABF">
      <w:pPr>
        <w:adjustRightInd w:val="0"/>
        <w:snapToGrid w:val="0"/>
        <w:spacing w:line="360" w:lineRule="auto"/>
        <w:rPr>
          <w:rFonts w:hint="eastAsia" w:ascii="宋体" w:hAnsi="宋体" w:cs="宋体"/>
          <w:b/>
          <w:color w:val="auto"/>
          <w:sz w:val="24"/>
          <w:highlight w:val="none"/>
        </w:rPr>
      </w:pPr>
    </w:p>
    <w:p w14:paraId="7FF3DCC0">
      <w:pPr>
        <w:adjustRightInd w:val="0"/>
        <w:snapToGrid w:val="0"/>
        <w:spacing w:line="360" w:lineRule="auto"/>
        <w:rPr>
          <w:rFonts w:hint="eastAsia" w:ascii="宋体" w:hAnsi="宋体" w:cs="宋体"/>
          <w:b/>
          <w:color w:val="auto"/>
          <w:sz w:val="24"/>
          <w:highlight w:val="none"/>
        </w:rPr>
      </w:pPr>
    </w:p>
    <w:p w14:paraId="6C1F69B8">
      <w:pPr>
        <w:adjustRightInd w:val="0"/>
        <w:snapToGrid w:val="0"/>
        <w:spacing w:line="360" w:lineRule="auto"/>
        <w:rPr>
          <w:rFonts w:hint="eastAsia" w:ascii="宋体" w:hAnsi="宋体" w:cs="宋体"/>
          <w:b/>
          <w:color w:val="auto"/>
          <w:sz w:val="24"/>
          <w:highlight w:val="none"/>
        </w:rPr>
      </w:pPr>
    </w:p>
    <w:p w14:paraId="606442E0">
      <w:pPr>
        <w:adjustRightInd w:val="0"/>
        <w:snapToGrid w:val="0"/>
        <w:spacing w:line="360" w:lineRule="auto"/>
        <w:rPr>
          <w:rFonts w:hint="eastAsia" w:ascii="宋体" w:hAnsi="宋体" w:cs="宋体"/>
          <w:b/>
          <w:color w:val="auto"/>
          <w:sz w:val="24"/>
          <w:highlight w:val="none"/>
        </w:rPr>
      </w:pPr>
    </w:p>
    <w:p w14:paraId="5664F9A7">
      <w:pPr>
        <w:adjustRightInd w:val="0"/>
        <w:snapToGrid w:val="0"/>
        <w:spacing w:line="360" w:lineRule="auto"/>
        <w:rPr>
          <w:rFonts w:hint="eastAsia" w:ascii="宋体" w:hAnsi="宋体" w:cs="宋体"/>
          <w:b/>
          <w:color w:val="auto"/>
          <w:sz w:val="24"/>
          <w:highlight w:val="none"/>
        </w:rPr>
      </w:pPr>
    </w:p>
    <w:p w14:paraId="4BF91253">
      <w:pPr>
        <w:adjustRightInd w:val="0"/>
        <w:snapToGrid w:val="0"/>
        <w:spacing w:line="360" w:lineRule="auto"/>
        <w:rPr>
          <w:rFonts w:hint="eastAsia" w:ascii="宋体" w:hAnsi="宋体" w:cs="宋体"/>
          <w:b/>
          <w:color w:val="auto"/>
          <w:sz w:val="24"/>
          <w:highlight w:val="none"/>
        </w:rPr>
      </w:pPr>
    </w:p>
    <w:p w14:paraId="0056BE40">
      <w:pPr>
        <w:adjustRightInd w:val="0"/>
        <w:snapToGrid w:val="0"/>
        <w:spacing w:line="360" w:lineRule="auto"/>
        <w:rPr>
          <w:rFonts w:hint="eastAsia" w:ascii="宋体" w:hAnsi="宋体" w:cs="宋体"/>
          <w:b/>
          <w:color w:val="auto"/>
          <w:sz w:val="24"/>
          <w:highlight w:val="none"/>
        </w:rPr>
      </w:pPr>
    </w:p>
    <w:p w14:paraId="0926BA22">
      <w:pPr>
        <w:adjustRightInd w:val="0"/>
        <w:snapToGrid w:val="0"/>
        <w:spacing w:line="360" w:lineRule="auto"/>
        <w:rPr>
          <w:rFonts w:hint="eastAsia" w:ascii="宋体" w:hAnsi="宋体" w:cs="宋体"/>
          <w:b/>
          <w:color w:val="auto"/>
          <w:sz w:val="24"/>
          <w:highlight w:val="none"/>
        </w:rPr>
      </w:pPr>
    </w:p>
    <w:p w14:paraId="29627CEA">
      <w:pPr>
        <w:pStyle w:val="13"/>
        <w:ind w:firstLine="210"/>
        <w:rPr>
          <w:color w:val="auto"/>
          <w:highlight w:val="none"/>
        </w:rPr>
      </w:pPr>
    </w:p>
    <w:p w14:paraId="67A282C1">
      <w:pPr>
        <w:adjustRightInd w:val="0"/>
        <w:snapToGrid w:val="0"/>
        <w:spacing w:line="360" w:lineRule="auto"/>
        <w:rPr>
          <w:rFonts w:hint="eastAsia" w:ascii="宋体" w:hAnsi="宋体" w:cs="宋体"/>
          <w:b/>
          <w:color w:val="auto"/>
          <w:sz w:val="24"/>
          <w:highlight w:val="none"/>
        </w:rPr>
      </w:pPr>
    </w:p>
    <w:p w14:paraId="4A332CCA">
      <w:pPr>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3.法定代表人（负责人）授权委托书格式：</w:t>
      </w:r>
    </w:p>
    <w:p w14:paraId="7D3CAC54">
      <w:pPr>
        <w:pStyle w:val="13"/>
        <w:adjustRightInd w:val="0"/>
        <w:snapToGrid w:val="0"/>
        <w:spacing w:after="0" w:line="360" w:lineRule="auto"/>
        <w:ind w:firstLine="0" w:firstLineChars="0"/>
        <w:jc w:val="center"/>
        <w:rPr>
          <w:rFonts w:hint="eastAsia" w:ascii="宋体" w:hAnsi="宋体" w:cs="宋体"/>
          <w:color w:val="auto"/>
          <w:sz w:val="24"/>
          <w:highlight w:val="none"/>
        </w:rPr>
      </w:pPr>
      <w:r>
        <w:rPr>
          <w:rFonts w:hint="eastAsia" w:ascii="宋体" w:hAnsi="宋体" w:cs="宋体"/>
          <w:b/>
          <w:color w:val="auto"/>
          <w:sz w:val="24"/>
          <w:highlight w:val="none"/>
        </w:rPr>
        <w:t>法定代表人（负责人）授权委托书</w:t>
      </w:r>
    </w:p>
    <w:p w14:paraId="1813A128">
      <w:pPr>
        <w:adjustRightInd w:val="0"/>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本授权委托书声明，我（姓名）系（供应商名称）的法定代表人（负责人），现授权委托本单位的在职职工（姓名）为我单位代理人，以本单位的名义参加（采购代理机构名称）的</w:t>
      </w:r>
    </w:p>
    <w:p w14:paraId="4DD75DE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w:t>
      </w:r>
      <w:r>
        <w:rPr>
          <w:rFonts w:hint="eastAsia" w:ascii="宋体" w:hAnsi="宋体" w:cs="宋体"/>
          <w:color w:val="auto"/>
          <w:sz w:val="24"/>
          <w:highlight w:val="none"/>
          <w:lang w:val="zh-CN"/>
        </w:rPr>
        <w:t>（标项：（标项序号及标项名称））</w:t>
      </w:r>
      <w:r>
        <w:rPr>
          <w:rFonts w:hint="eastAsia" w:ascii="宋体" w:hAnsi="宋体" w:cs="宋体"/>
          <w:color w:val="auto"/>
          <w:sz w:val="24"/>
          <w:highlight w:val="none"/>
        </w:rPr>
        <w:t>的磋商活动。被授权代理人在投标、开标、评标、合同谈判过程中所签署的一切文件和处理与之有关的一切事务，我均予以承认。</w:t>
      </w:r>
    </w:p>
    <w:p w14:paraId="504DFEE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14:paraId="5B0E3DD1">
      <w:pPr>
        <w:adjustRightInd w:val="0"/>
        <w:snapToGrid w:val="0"/>
        <w:spacing w:line="360" w:lineRule="auto"/>
        <w:rPr>
          <w:rFonts w:hint="eastAsia" w:ascii="宋体" w:hAnsi="宋体" w:cs="宋体"/>
          <w:b/>
          <w:color w:val="auto"/>
          <w:sz w:val="24"/>
          <w:highlight w:val="none"/>
        </w:rPr>
      </w:pPr>
    </w:p>
    <w:p w14:paraId="5989FC4F">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授权代理人：</w:t>
      </w:r>
      <w:r>
        <w:rPr>
          <w:rFonts w:hint="eastAsia" w:ascii="宋体" w:hAnsi="宋体" w:cs="宋体"/>
          <w:color w:val="auto"/>
          <w:sz w:val="24"/>
          <w:highlight w:val="none"/>
          <w:u w:val="single"/>
        </w:rPr>
        <w:t xml:space="preserve">        （签字）     </w:t>
      </w:r>
    </w:p>
    <w:p w14:paraId="3C0BF3C7">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身份证号码：</w:t>
      </w:r>
    </w:p>
    <w:p w14:paraId="08004227">
      <w:pPr>
        <w:adjustRightInd w:val="0"/>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职务：</w:t>
      </w:r>
    </w:p>
    <w:p w14:paraId="7E0FB55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（盖章）</w:t>
      </w:r>
    </w:p>
    <w:p w14:paraId="59CBBDF0">
      <w:pPr>
        <w:adjustRightInd w:val="0"/>
        <w:snapToGrid w:val="0"/>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法定代表人（负责人）：</w:t>
      </w:r>
      <w:r>
        <w:rPr>
          <w:rFonts w:hint="eastAsia" w:ascii="宋体" w:hAnsi="宋体" w:cs="宋体"/>
          <w:color w:val="auto"/>
          <w:sz w:val="24"/>
          <w:highlight w:val="none"/>
          <w:u w:val="single"/>
        </w:rPr>
        <w:t xml:space="preserve">                       （签名或盖章）</w:t>
      </w:r>
    </w:p>
    <w:p w14:paraId="333690F0">
      <w:pPr>
        <w:pStyle w:val="9"/>
        <w:adjustRightInd w:val="0"/>
        <w:snapToGrid w:val="0"/>
        <w:spacing w:line="360" w:lineRule="auto"/>
        <w:ind w:firstLine="3120" w:firstLineChars="1300"/>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4E792594">
      <w:pPr>
        <w:pStyle w:val="9"/>
        <w:adjustRightInd w:val="0"/>
        <w:snapToGrid w:val="0"/>
        <w:spacing w:line="360" w:lineRule="auto"/>
        <w:ind w:firstLine="972" w:firstLineChars="405"/>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67D8E0E">
      <w:pPr>
        <w:pStyle w:val="9"/>
        <w:adjustRightInd w:val="0"/>
        <w:snapToGrid w:val="0"/>
        <w:spacing w:line="360" w:lineRule="auto"/>
        <w:ind w:firstLine="374" w:firstLineChars="156"/>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授权代理人有效身份证明复印件粘贴处</w:t>
      </w:r>
    </w:p>
    <w:p w14:paraId="03965F70">
      <w:pPr>
        <w:snapToGrid w:val="0"/>
        <w:spacing w:line="360" w:lineRule="auto"/>
        <w:rPr>
          <w:rFonts w:hint="eastAsia" w:ascii="宋体" w:hAnsi="宋体" w:cs="宋体"/>
          <w:b/>
          <w:color w:val="auto"/>
          <w:sz w:val="24"/>
          <w:highlight w:val="none"/>
        </w:rPr>
      </w:pPr>
    </w:p>
    <w:p w14:paraId="73F2BBB1">
      <w:pPr>
        <w:adjustRightInd w:val="0"/>
        <w:snapToGrid w:val="0"/>
        <w:spacing w:line="360" w:lineRule="auto"/>
        <w:rPr>
          <w:rFonts w:hint="eastAsia" w:ascii="宋体" w:hAnsi="宋体" w:cs="宋体"/>
          <w:b/>
          <w:color w:val="auto"/>
          <w:sz w:val="24"/>
          <w:highlight w:val="none"/>
        </w:rPr>
      </w:pPr>
    </w:p>
    <w:p w14:paraId="237D2CE0">
      <w:pPr>
        <w:adjustRightInd w:val="0"/>
        <w:snapToGrid w:val="0"/>
        <w:spacing w:line="360" w:lineRule="auto"/>
        <w:rPr>
          <w:rFonts w:hint="eastAsia" w:ascii="宋体" w:hAnsi="宋体" w:cs="宋体"/>
          <w:b/>
          <w:color w:val="auto"/>
          <w:sz w:val="24"/>
          <w:highlight w:val="none"/>
        </w:rPr>
      </w:pPr>
    </w:p>
    <w:p w14:paraId="530A4AF7">
      <w:pPr>
        <w:adjustRightInd w:val="0"/>
        <w:snapToGrid w:val="0"/>
        <w:spacing w:line="360" w:lineRule="auto"/>
        <w:rPr>
          <w:rFonts w:hint="eastAsia" w:ascii="宋体" w:hAnsi="宋体" w:cs="宋体"/>
          <w:b/>
          <w:color w:val="auto"/>
          <w:sz w:val="24"/>
          <w:highlight w:val="none"/>
        </w:rPr>
      </w:pPr>
    </w:p>
    <w:p w14:paraId="33B0F402">
      <w:pPr>
        <w:adjustRightInd w:val="0"/>
        <w:snapToGrid w:val="0"/>
        <w:spacing w:line="360" w:lineRule="auto"/>
        <w:rPr>
          <w:rFonts w:hint="eastAsia" w:ascii="宋体" w:hAnsi="宋体" w:cs="宋体"/>
          <w:b/>
          <w:color w:val="auto"/>
          <w:sz w:val="24"/>
          <w:highlight w:val="none"/>
        </w:rPr>
      </w:pPr>
    </w:p>
    <w:p w14:paraId="0BBB883F">
      <w:pPr>
        <w:adjustRightInd w:val="0"/>
        <w:snapToGrid w:val="0"/>
        <w:spacing w:line="360" w:lineRule="auto"/>
        <w:rPr>
          <w:rFonts w:hint="eastAsia" w:ascii="宋体" w:hAnsi="宋体" w:cs="宋体"/>
          <w:b/>
          <w:color w:val="auto"/>
          <w:sz w:val="24"/>
          <w:highlight w:val="none"/>
        </w:rPr>
      </w:pPr>
    </w:p>
    <w:p w14:paraId="797C4314">
      <w:pPr>
        <w:adjustRightInd w:val="0"/>
        <w:snapToGrid w:val="0"/>
        <w:spacing w:line="360" w:lineRule="auto"/>
        <w:rPr>
          <w:rFonts w:hint="eastAsia" w:ascii="宋体" w:hAnsi="宋体" w:cs="宋体"/>
          <w:b/>
          <w:color w:val="auto"/>
          <w:sz w:val="24"/>
          <w:highlight w:val="none"/>
        </w:rPr>
      </w:pPr>
    </w:p>
    <w:p w14:paraId="47CEB07F">
      <w:pPr>
        <w:adjustRightInd w:val="0"/>
        <w:snapToGrid w:val="0"/>
        <w:spacing w:line="360" w:lineRule="auto"/>
        <w:rPr>
          <w:rFonts w:hint="eastAsia" w:ascii="宋体" w:hAnsi="宋体" w:cs="宋体"/>
          <w:b/>
          <w:color w:val="auto"/>
          <w:sz w:val="24"/>
          <w:highlight w:val="none"/>
        </w:rPr>
      </w:pPr>
    </w:p>
    <w:p w14:paraId="011F01A5">
      <w:pPr>
        <w:adjustRightInd w:val="0"/>
        <w:snapToGrid w:val="0"/>
        <w:spacing w:line="360" w:lineRule="auto"/>
        <w:rPr>
          <w:rFonts w:hint="eastAsia" w:ascii="宋体" w:hAnsi="宋体" w:cs="宋体"/>
          <w:b/>
          <w:color w:val="auto"/>
          <w:sz w:val="24"/>
          <w:highlight w:val="none"/>
        </w:rPr>
      </w:pPr>
    </w:p>
    <w:p w14:paraId="68BE5499">
      <w:pPr>
        <w:adjustRightInd w:val="0"/>
        <w:snapToGrid w:val="0"/>
        <w:spacing w:line="360" w:lineRule="auto"/>
        <w:rPr>
          <w:rFonts w:hint="eastAsia" w:ascii="宋体" w:hAnsi="宋体" w:cs="宋体"/>
          <w:b/>
          <w:color w:val="auto"/>
          <w:sz w:val="24"/>
          <w:highlight w:val="none"/>
        </w:rPr>
      </w:pPr>
    </w:p>
    <w:p w14:paraId="76354E12">
      <w:pPr>
        <w:pStyle w:val="13"/>
        <w:ind w:firstLine="241"/>
        <w:rPr>
          <w:rFonts w:hint="eastAsia" w:ascii="宋体" w:hAnsi="宋体" w:cs="宋体"/>
          <w:b/>
          <w:color w:val="auto"/>
          <w:sz w:val="24"/>
          <w:highlight w:val="none"/>
        </w:rPr>
      </w:pPr>
    </w:p>
    <w:p w14:paraId="2A0A8760">
      <w:pPr>
        <w:pStyle w:val="13"/>
        <w:ind w:firstLine="241"/>
        <w:rPr>
          <w:rFonts w:hint="eastAsia" w:ascii="宋体" w:hAnsi="宋体" w:cs="宋体"/>
          <w:b/>
          <w:color w:val="auto"/>
          <w:sz w:val="24"/>
          <w:highlight w:val="none"/>
        </w:rPr>
      </w:pPr>
    </w:p>
    <w:p w14:paraId="4AEDB762">
      <w:pPr>
        <w:pStyle w:val="13"/>
        <w:ind w:firstLine="241"/>
        <w:rPr>
          <w:rFonts w:hint="eastAsia" w:ascii="宋体" w:hAnsi="宋体" w:cs="宋体"/>
          <w:b/>
          <w:color w:val="auto"/>
          <w:sz w:val="24"/>
          <w:highlight w:val="none"/>
        </w:rPr>
      </w:pPr>
    </w:p>
    <w:p w14:paraId="70B75AA6">
      <w:pPr>
        <w:spacing w:line="360" w:lineRule="auto"/>
        <w:rPr>
          <w:rFonts w:hint="eastAsia" w:ascii="宋体" w:hAnsi="宋体" w:cs="宋体"/>
          <w:b/>
          <w:color w:val="auto"/>
          <w:sz w:val="24"/>
          <w:highlight w:val="none"/>
        </w:rPr>
      </w:pPr>
    </w:p>
    <w:p w14:paraId="72BFCDBC">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bCs/>
          <w:color w:val="auto"/>
          <w:sz w:val="24"/>
          <w:highlight w:val="none"/>
        </w:rPr>
        <w:t>4.</w:t>
      </w:r>
      <w:r>
        <w:rPr>
          <w:rFonts w:hint="eastAsia" w:ascii="宋体" w:hAnsi="宋体" w:cs="宋体"/>
          <w:b/>
          <w:bCs/>
          <w:color w:val="auto"/>
          <w:sz w:val="24"/>
          <w:highlight w:val="none"/>
          <w:lang w:val="zh-CN"/>
        </w:rPr>
        <w:t>磋商</w:t>
      </w:r>
      <w:r>
        <w:rPr>
          <w:rFonts w:ascii="宋体" w:hAnsi="宋体" w:cs="宋体"/>
          <w:b/>
          <w:bCs/>
          <w:color w:val="auto"/>
          <w:sz w:val="24"/>
          <w:highlight w:val="none"/>
          <w:lang w:val="zh-CN"/>
        </w:rPr>
        <w:t>资格</w:t>
      </w:r>
      <w:r>
        <w:rPr>
          <w:rFonts w:hint="eastAsia" w:ascii="宋体" w:hAnsi="宋体" w:cs="宋体"/>
          <w:b/>
          <w:bCs/>
          <w:color w:val="auto"/>
          <w:sz w:val="24"/>
          <w:highlight w:val="none"/>
          <w:lang w:val="zh-CN"/>
        </w:rPr>
        <w:t>证明材料</w:t>
      </w:r>
      <w:r>
        <w:rPr>
          <w:rFonts w:ascii="宋体" w:hAnsi="宋体" w:cs="宋体"/>
          <w:b/>
          <w:bCs/>
          <w:color w:val="auto"/>
          <w:sz w:val="24"/>
          <w:highlight w:val="none"/>
          <w:lang w:val="zh-CN"/>
        </w:rPr>
        <w:t>（复印件加盖公章）；</w:t>
      </w:r>
    </w:p>
    <w:p w14:paraId="642A4B88">
      <w:pPr>
        <w:pStyle w:val="13"/>
        <w:spacing w:after="0"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（1）符合参加政府采购活动应当具备条件的承诺函</w:t>
      </w:r>
    </w:p>
    <w:p w14:paraId="36FD70D3">
      <w:pPr>
        <w:pStyle w:val="13"/>
        <w:spacing w:after="0"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（2）有效的企业营业执照复印件；</w:t>
      </w:r>
    </w:p>
    <w:p w14:paraId="7A67F9DD">
      <w:pPr>
        <w:rPr>
          <w:rFonts w:hint="eastAsia" w:ascii="宋体" w:hAnsi="宋体" w:cs="宋体"/>
          <w:color w:val="auto"/>
          <w:sz w:val="24"/>
          <w:highlight w:val="none"/>
        </w:rPr>
      </w:pPr>
      <w:r>
        <w:rPr>
          <w:rFonts w:hint="eastAsia" w:ascii="宋体" w:hAnsi="宋体" w:cs="宋体"/>
          <w:color w:val="auto"/>
          <w:sz w:val="24"/>
          <w:highlight w:val="none"/>
        </w:rPr>
        <w:t>（3）自公告发布之日起至投标截止日前任意时间的“信用中国”（www.creditchina.gov.cn）、“中国政府采购网”（www.ccgp.gov.cn）供应商信用查询网页截图（网页截图加盖供应商公章）；</w:t>
      </w:r>
    </w:p>
    <w:p w14:paraId="6D9671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（4） 中小企业声明函（格式见附件）；</w:t>
      </w:r>
    </w:p>
    <w:p w14:paraId="454C8F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（5） 残疾人福利性单位声明函（格式见附件）；</w:t>
      </w:r>
    </w:p>
    <w:p w14:paraId="5894DA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（6） 属于监狱企业的证明文件（格式自拟）；</w:t>
      </w:r>
    </w:p>
    <w:p w14:paraId="0E475E50">
      <w:pPr>
        <w:pStyle w:val="13"/>
        <w:spacing w:after="0" w:line="360" w:lineRule="auto"/>
        <w:ind w:firstLine="0" w:firstLineChars="0"/>
        <w:rPr>
          <w:rFonts w:hint="eastAsia" w:ascii="宋体" w:hAnsi="宋体" w:cs="宋体"/>
          <w:b/>
          <w:bCs/>
          <w:color w:val="auto"/>
          <w:sz w:val="24"/>
          <w:highlight w:val="none"/>
        </w:rPr>
      </w:pPr>
    </w:p>
    <w:p w14:paraId="5B47B77E">
      <w:pPr>
        <w:spacing w:line="360" w:lineRule="auto"/>
        <w:rPr>
          <w:rFonts w:hint="eastAsia" w:ascii="宋体" w:hAnsi="宋体" w:cs="宋体"/>
          <w:b/>
          <w:color w:val="auto"/>
          <w:sz w:val="24"/>
          <w:highlight w:val="none"/>
        </w:rPr>
      </w:pPr>
    </w:p>
    <w:p w14:paraId="148FD65A">
      <w:pPr>
        <w:spacing w:line="360" w:lineRule="auto"/>
        <w:rPr>
          <w:rFonts w:hint="eastAsia" w:ascii="宋体" w:hAnsi="宋体" w:cs="宋体"/>
          <w:b/>
          <w:color w:val="auto"/>
          <w:sz w:val="24"/>
          <w:highlight w:val="none"/>
        </w:rPr>
      </w:pPr>
    </w:p>
    <w:p w14:paraId="3884552B">
      <w:pPr>
        <w:spacing w:line="360" w:lineRule="auto"/>
        <w:rPr>
          <w:rFonts w:hint="eastAsia" w:ascii="宋体" w:hAnsi="宋体" w:cs="宋体"/>
          <w:b/>
          <w:color w:val="auto"/>
          <w:sz w:val="24"/>
          <w:highlight w:val="none"/>
        </w:rPr>
      </w:pPr>
    </w:p>
    <w:p w14:paraId="673E4DBA">
      <w:pPr>
        <w:spacing w:line="360" w:lineRule="auto"/>
        <w:rPr>
          <w:rFonts w:hint="eastAsia" w:ascii="宋体" w:hAnsi="宋体" w:cs="宋体"/>
          <w:b/>
          <w:color w:val="auto"/>
          <w:sz w:val="24"/>
          <w:highlight w:val="none"/>
        </w:rPr>
      </w:pPr>
    </w:p>
    <w:p w14:paraId="242C181E">
      <w:pPr>
        <w:spacing w:line="360" w:lineRule="auto"/>
        <w:rPr>
          <w:rFonts w:hint="eastAsia" w:ascii="宋体" w:hAnsi="宋体" w:cs="宋体"/>
          <w:b/>
          <w:color w:val="auto"/>
          <w:sz w:val="24"/>
          <w:highlight w:val="none"/>
        </w:rPr>
      </w:pPr>
    </w:p>
    <w:p w14:paraId="776475A9">
      <w:pPr>
        <w:spacing w:line="360" w:lineRule="auto"/>
        <w:rPr>
          <w:rFonts w:hint="eastAsia" w:ascii="宋体" w:hAnsi="宋体" w:cs="宋体"/>
          <w:b/>
          <w:color w:val="auto"/>
          <w:sz w:val="24"/>
          <w:highlight w:val="none"/>
        </w:rPr>
      </w:pPr>
    </w:p>
    <w:p w14:paraId="60598AA0">
      <w:pPr>
        <w:spacing w:line="360" w:lineRule="auto"/>
        <w:rPr>
          <w:rFonts w:hint="eastAsia" w:ascii="宋体" w:hAnsi="宋体" w:cs="宋体"/>
          <w:b/>
          <w:color w:val="auto"/>
          <w:sz w:val="24"/>
          <w:highlight w:val="none"/>
        </w:rPr>
      </w:pPr>
    </w:p>
    <w:p w14:paraId="019408C2">
      <w:pPr>
        <w:spacing w:line="360" w:lineRule="auto"/>
        <w:rPr>
          <w:rFonts w:hint="eastAsia" w:ascii="宋体" w:hAnsi="宋体" w:cs="宋体"/>
          <w:b/>
          <w:color w:val="auto"/>
          <w:sz w:val="24"/>
          <w:highlight w:val="none"/>
        </w:rPr>
      </w:pPr>
    </w:p>
    <w:p w14:paraId="4BE8B4E2">
      <w:pPr>
        <w:spacing w:line="360" w:lineRule="auto"/>
        <w:rPr>
          <w:rFonts w:hint="eastAsia" w:ascii="宋体" w:hAnsi="宋体" w:cs="宋体"/>
          <w:b/>
          <w:color w:val="auto"/>
          <w:sz w:val="24"/>
          <w:highlight w:val="none"/>
        </w:rPr>
      </w:pPr>
    </w:p>
    <w:p w14:paraId="14FE3C10">
      <w:pPr>
        <w:spacing w:line="360" w:lineRule="auto"/>
        <w:rPr>
          <w:rFonts w:hint="eastAsia" w:ascii="宋体" w:hAnsi="宋体" w:cs="宋体"/>
          <w:b/>
          <w:color w:val="auto"/>
          <w:sz w:val="24"/>
          <w:highlight w:val="none"/>
        </w:rPr>
      </w:pPr>
    </w:p>
    <w:p w14:paraId="3675B626">
      <w:pPr>
        <w:spacing w:line="360" w:lineRule="auto"/>
        <w:rPr>
          <w:rFonts w:hint="eastAsia" w:ascii="宋体" w:hAnsi="宋体" w:cs="宋体"/>
          <w:b/>
          <w:color w:val="auto"/>
          <w:sz w:val="24"/>
          <w:highlight w:val="none"/>
        </w:rPr>
      </w:pPr>
    </w:p>
    <w:p w14:paraId="180AA2D6">
      <w:pPr>
        <w:spacing w:line="360" w:lineRule="auto"/>
        <w:rPr>
          <w:rFonts w:hint="eastAsia" w:ascii="宋体" w:hAnsi="宋体" w:cs="宋体"/>
          <w:b/>
          <w:color w:val="auto"/>
          <w:sz w:val="24"/>
          <w:highlight w:val="none"/>
        </w:rPr>
      </w:pPr>
    </w:p>
    <w:p w14:paraId="051B27BE">
      <w:pPr>
        <w:spacing w:line="360" w:lineRule="auto"/>
        <w:rPr>
          <w:rFonts w:hint="eastAsia" w:ascii="宋体" w:hAnsi="宋体" w:cs="宋体"/>
          <w:b/>
          <w:color w:val="auto"/>
          <w:sz w:val="24"/>
          <w:highlight w:val="none"/>
        </w:rPr>
      </w:pPr>
    </w:p>
    <w:p w14:paraId="50A742F2">
      <w:pPr>
        <w:spacing w:line="360" w:lineRule="auto"/>
        <w:rPr>
          <w:rFonts w:hint="eastAsia" w:ascii="宋体" w:hAnsi="宋体" w:cs="宋体"/>
          <w:b/>
          <w:color w:val="auto"/>
          <w:sz w:val="24"/>
          <w:highlight w:val="none"/>
        </w:rPr>
      </w:pPr>
    </w:p>
    <w:p w14:paraId="649D4B8C">
      <w:pPr>
        <w:spacing w:line="360" w:lineRule="auto"/>
        <w:rPr>
          <w:rFonts w:hint="eastAsia" w:ascii="宋体" w:hAnsi="宋体" w:cs="宋体"/>
          <w:b/>
          <w:color w:val="auto"/>
          <w:sz w:val="24"/>
          <w:highlight w:val="none"/>
        </w:rPr>
      </w:pPr>
    </w:p>
    <w:p w14:paraId="6BE23154">
      <w:pPr>
        <w:spacing w:line="360" w:lineRule="auto"/>
        <w:rPr>
          <w:rFonts w:hint="eastAsia" w:ascii="宋体" w:hAnsi="宋体" w:cs="宋体"/>
          <w:b/>
          <w:color w:val="auto"/>
          <w:sz w:val="24"/>
          <w:highlight w:val="none"/>
        </w:rPr>
      </w:pPr>
    </w:p>
    <w:p w14:paraId="5DBC156B">
      <w:pPr>
        <w:spacing w:line="360" w:lineRule="auto"/>
        <w:rPr>
          <w:rFonts w:hint="eastAsia" w:ascii="宋体" w:hAnsi="宋体" w:cs="宋体"/>
          <w:b/>
          <w:color w:val="auto"/>
          <w:sz w:val="24"/>
          <w:highlight w:val="none"/>
        </w:rPr>
      </w:pPr>
    </w:p>
    <w:p w14:paraId="5C45D48A">
      <w:pPr>
        <w:spacing w:line="360" w:lineRule="auto"/>
        <w:rPr>
          <w:rFonts w:hint="eastAsia" w:ascii="宋体" w:hAnsi="宋体" w:cs="宋体"/>
          <w:b/>
          <w:color w:val="auto"/>
          <w:sz w:val="24"/>
          <w:highlight w:val="none"/>
        </w:rPr>
      </w:pPr>
    </w:p>
    <w:p w14:paraId="12AD74A5">
      <w:pPr>
        <w:spacing w:line="360" w:lineRule="auto"/>
        <w:rPr>
          <w:rFonts w:hint="eastAsia" w:ascii="宋体" w:hAnsi="宋体" w:cs="宋体"/>
          <w:b/>
          <w:color w:val="auto"/>
          <w:sz w:val="24"/>
          <w:highlight w:val="none"/>
        </w:rPr>
      </w:pPr>
    </w:p>
    <w:p w14:paraId="77158BE9">
      <w:pPr>
        <w:spacing w:line="360" w:lineRule="auto"/>
        <w:rPr>
          <w:rFonts w:hint="eastAsia" w:ascii="宋体" w:hAnsi="宋体" w:cs="宋体"/>
          <w:b/>
          <w:color w:val="auto"/>
          <w:sz w:val="24"/>
          <w:highlight w:val="none"/>
        </w:rPr>
      </w:pPr>
    </w:p>
    <w:p w14:paraId="0EAB2188">
      <w:pPr>
        <w:spacing w:line="360" w:lineRule="auto"/>
        <w:rPr>
          <w:rFonts w:hint="eastAsia" w:ascii="宋体" w:hAnsi="宋体" w:cs="宋体"/>
          <w:b/>
          <w:color w:val="auto"/>
          <w:sz w:val="24"/>
          <w:highlight w:val="none"/>
        </w:rPr>
      </w:pPr>
    </w:p>
    <w:p w14:paraId="57305CF5">
      <w:pPr>
        <w:spacing w:line="360" w:lineRule="auto"/>
        <w:rPr>
          <w:rFonts w:hint="eastAsia" w:ascii="宋体" w:hAnsi="宋体" w:cs="宋体"/>
          <w:b/>
          <w:color w:val="auto"/>
          <w:sz w:val="24"/>
          <w:highlight w:val="none"/>
        </w:rPr>
      </w:pPr>
    </w:p>
    <w:p w14:paraId="59E3C9B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（1）符合参加政府采购活动应当具备条件的承诺函</w:t>
      </w:r>
    </w:p>
    <w:p w14:paraId="22BD4D5C">
      <w:pPr>
        <w:adjustRightInd w:val="0"/>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符合参加政府采购活动应当具备条件的承诺函</w:t>
      </w:r>
    </w:p>
    <w:p w14:paraId="05D71B00">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（采购单位、招标代理机构）：</w:t>
      </w:r>
    </w:p>
    <w:p w14:paraId="5E6B7385">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我方参与（项目名称）【项目编号：】政府采购活动，郑重承诺：</w:t>
      </w:r>
    </w:p>
    <w:p w14:paraId="1A288236">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14:paraId="3C563F05">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14:paraId="7AC9550A">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2、具有良好的商业信誉和健全的财务会计制度； </w:t>
      </w:r>
    </w:p>
    <w:p w14:paraId="1695C2CD">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14:paraId="2DF07809">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14:paraId="532E5561">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16718EE0">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14:paraId="3A578721">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（二）未被信用中国（www.creditchina.gov.cn)、中国政府采购网（www.ccgp.gov.cn）列入失信被执行人、重大税收违法失信主体、政府采购严重违法失信行为记录名单。</w:t>
      </w:r>
    </w:p>
    <w:p w14:paraId="1666619C">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（三）不存在以下情况：</w:t>
      </w:r>
    </w:p>
    <w:p w14:paraId="6345AB72">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1、单位负责人为同一人或者存在直接控股、管理关系的不同供应商参加同一合同项下的政府采购活动的；</w:t>
      </w:r>
    </w:p>
    <w:p w14:paraId="595D6CA9">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14:paraId="3E8AA6BA">
      <w:pPr>
        <w:tabs>
          <w:tab w:val="left" w:pos="1650"/>
        </w:tabs>
        <w:spacing w:line="360" w:lineRule="auto"/>
        <w:ind w:firstLine="630"/>
        <w:rPr>
          <w:rFonts w:hint="eastAsia" w:ascii="宋体" w:hAnsi="宋体" w:cs="宋体"/>
          <w:color w:val="auto"/>
          <w:kern w:val="0"/>
          <w:sz w:val="24"/>
          <w:highlight w:val="none"/>
          <w:lang w:val="zh-CN"/>
        </w:rPr>
      </w:pPr>
    </w:p>
    <w:p w14:paraId="56EF9DD4">
      <w:pPr>
        <w:tabs>
          <w:tab w:val="left" w:pos="1650"/>
        </w:tabs>
        <w:spacing w:line="360" w:lineRule="auto"/>
        <w:ind w:firstLine="630"/>
        <w:rPr>
          <w:rFonts w:hint="eastAsia" w:ascii="宋体" w:hAnsi="宋体" w:cs="宋体"/>
          <w:color w:val="auto"/>
          <w:kern w:val="0"/>
          <w:sz w:val="24"/>
          <w:highlight w:val="none"/>
          <w:lang w:val="zh-CN"/>
        </w:rPr>
      </w:pPr>
    </w:p>
    <w:p w14:paraId="2B11548B">
      <w:pPr>
        <w:tabs>
          <w:tab w:val="left" w:pos="1650"/>
        </w:tabs>
        <w:spacing w:line="360" w:lineRule="auto"/>
        <w:ind w:firstLine="630"/>
        <w:rPr>
          <w:rFonts w:hint="eastAsia" w:ascii="宋体" w:hAnsi="宋体" w:cs="宋体"/>
          <w:color w:val="auto"/>
          <w:kern w:val="0"/>
          <w:sz w:val="24"/>
          <w:highlight w:val="none"/>
          <w:lang w:val="zh-CN"/>
        </w:rPr>
      </w:pPr>
    </w:p>
    <w:p w14:paraId="11F70D2F">
      <w:pPr>
        <w:tabs>
          <w:tab w:val="left" w:pos="1650"/>
        </w:tabs>
        <w:spacing w:line="360" w:lineRule="auto"/>
        <w:ind w:firstLine="63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供应商名称(加盖公章)：</w:t>
      </w:r>
    </w:p>
    <w:p w14:paraId="11ADD881">
      <w:pPr>
        <w:tabs>
          <w:tab w:val="left" w:pos="1650"/>
        </w:tabs>
        <w:spacing w:line="360" w:lineRule="auto"/>
        <w:ind w:firstLine="63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B886D4C">
      <w:pPr>
        <w:pStyle w:val="13"/>
        <w:spacing w:after="0" w:line="360" w:lineRule="auto"/>
        <w:ind w:firstLine="0" w:firstLineChars="0"/>
        <w:rPr>
          <w:rFonts w:hint="eastAsia" w:ascii="宋体" w:hAnsi="宋体" w:cs="宋体"/>
          <w:b/>
          <w:bCs/>
          <w:color w:val="auto"/>
          <w:sz w:val="24"/>
          <w:highlight w:val="none"/>
        </w:rPr>
      </w:pPr>
    </w:p>
    <w:p w14:paraId="626297C8">
      <w:pPr>
        <w:rPr>
          <w:rFonts w:hint="eastAsia" w:ascii="宋体" w:hAnsi="宋体" w:cs="宋体"/>
          <w:b/>
          <w:bCs/>
          <w:color w:val="auto"/>
          <w:sz w:val="24"/>
          <w:highlight w:val="none"/>
        </w:rPr>
      </w:pPr>
    </w:p>
    <w:p w14:paraId="59FE75A7">
      <w:pPr>
        <w:pStyle w:val="12"/>
        <w:rPr>
          <w:rFonts w:hint="eastAsia" w:ascii="宋体" w:hAnsi="宋体" w:cs="宋体"/>
          <w:b/>
          <w:bCs/>
          <w:color w:val="auto"/>
          <w:sz w:val="24"/>
          <w:highlight w:val="none"/>
        </w:rPr>
      </w:pPr>
    </w:p>
    <w:p w14:paraId="1DEB8D0D">
      <w:pPr>
        <w:rPr>
          <w:rFonts w:hint="eastAsia" w:ascii="宋体" w:hAnsi="宋体" w:cs="宋体"/>
          <w:b/>
          <w:bCs/>
          <w:color w:val="auto"/>
          <w:sz w:val="24"/>
          <w:highlight w:val="none"/>
        </w:rPr>
      </w:pPr>
    </w:p>
    <w:p w14:paraId="6462D497">
      <w:pPr>
        <w:pStyle w:val="12"/>
        <w:rPr>
          <w:rFonts w:hint="eastAsia" w:ascii="宋体" w:hAnsi="宋体" w:cs="宋体"/>
          <w:b/>
          <w:bCs/>
          <w:color w:val="auto"/>
          <w:sz w:val="24"/>
          <w:highlight w:val="none"/>
        </w:rPr>
      </w:pPr>
    </w:p>
    <w:p w14:paraId="226BB42B">
      <w:pPr>
        <w:rPr>
          <w:rFonts w:hint="eastAsia" w:ascii="宋体" w:hAnsi="宋体" w:cs="宋体"/>
          <w:b/>
          <w:bCs/>
          <w:color w:val="auto"/>
          <w:sz w:val="24"/>
          <w:highlight w:val="none"/>
        </w:rPr>
      </w:pPr>
    </w:p>
    <w:p w14:paraId="76D0A24C">
      <w:pPr>
        <w:pStyle w:val="12"/>
        <w:rPr>
          <w:rFonts w:hint="eastAsia" w:ascii="宋体" w:hAnsi="宋体" w:cs="宋体"/>
          <w:b/>
          <w:bCs/>
          <w:color w:val="auto"/>
          <w:sz w:val="24"/>
          <w:highlight w:val="none"/>
        </w:rPr>
      </w:pPr>
    </w:p>
    <w:p w14:paraId="28A01811">
      <w:pPr>
        <w:rPr>
          <w:rFonts w:hint="eastAsia" w:ascii="宋体" w:hAnsi="宋体" w:cs="宋体"/>
          <w:b/>
          <w:bCs/>
          <w:color w:val="auto"/>
          <w:sz w:val="24"/>
          <w:highlight w:val="none"/>
        </w:rPr>
      </w:pPr>
    </w:p>
    <w:p w14:paraId="4273847C">
      <w:pPr>
        <w:pStyle w:val="12"/>
        <w:rPr>
          <w:rFonts w:hint="eastAsia" w:ascii="宋体" w:hAnsi="宋体" w:cs="宋体"/>
          <w:b/>
          <w:bCs/>
          <w:color w:val="auto"/>
          <w:sz w:val="24"/>
          <w:highlight w:val="none"/>
        </w:rPr>
      </w:pPr>
    </w:p>
    <w:p w14:paraId="744F1E84">
      <w:pPr>
        <w:spacing w:line="360" w:lineRule="auto"/>
        <w:rPr>
          <w:rFonts w:hint="eastAsia" w:ascii="宋体" w:hAnsi="宋体" w:cs="宋体"/>
          <w:b/>
          <w:color w:val="auto"/>
          <w:sz w:val="24"/>
          <w:highlight w:val="none"/>
        </w:rPr>
      </w:pPr>
    </w:p>
    <w:p w14:paraId="5333FDA2">
      <w:pPr>
        <w:spacing w:line="360" w:lineRule="auto"/>
        <w:rPr>
          <w:rFonts w:hint="eastAsia" w:ascii="宋体" w:hAnsi="宋体" w:cs="宋体"/>
          <w:b/>
          <w:color w:val="auto"/>
          <w:sz w:val="24"/>
          <w:highlight w:val="none"/>
        </w:rPr>
      </w:pPr>
    </w:p>
    <w:p w14:paraId="56E21B7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（2）中小企业声明函格式： （供应商必须在声明函中如实填写服务承接企业相关情况； 若不符合可不提</w:t>
      </w:r>
    </w:p>
    <w:p w14:paraId="2FD8EFA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供。）</w:t>
      </w:r>
    </w:p>
    <w:p w14:paraId="01F83365">
      <w:pPr>
        <w:spacing w:line="360" w:lineRule="auto"/>
        <w:ind w:firstLine="3549"/>
        <w:rPr>
          <w:rFonts w:hint="eastAsia" w:ascii="宋体" w:hAnsi="宋体" w:cs="宋体"/>
          <w:color w:val="auto"/>
          <w:sz w:val="24"/>
          <w:highlight w:val="none"/>
        </w:rPr>
      </w:pPr>
      <w:r>
        <w:rPr>
          <w:rFonts w:hint="eastAsia" w:ascii="宋体" w:hAnsi="宋体" w:cs="宋体"/>
          <w:color w:val="auto"/>
          <w:spacing w:val="-3"/>
          <w:sz w:val="24"/>
          <w:highlight w:val="none"/>
        </w:rPr>
        <w:t>中小企业声明函（服务）</w:t>
      </w:r>
    </w:p>
    <w:p w14:paraId="4A123C58">
      <w:pPr>
        <w:spacing w:line="360" w:lineRule="auto"/>
        <w:ind w:left="24" w:firstLine="403"/>
        <w:rPr>
          <w:rFonts w:hint="eastAsia" w:ascii="宋体" w:hAnsi="宋体" w:cs="宋体"/>
          <w:color w:val="auto"/>
          <w:sz w:val="24"/>
          <w:highlight w:val="none"/>
        </w:rPr>
      </w:pPr>
      <w:r>
        <w:rPr>
          <w:rFonts w:hint="eastAsia" w:ascii="宋体" w:hAnsi="宋体" w:cs="宋体"/>
          <w:color w:val="auto"/>
          <w:spacing w:val="-14"/>
          <w:sz w:val="24"/>
          <w:highlight w:val="none"/>
        </w:rPr>
        <w:t>本公司（联合体）郑重声明，根据《政府采购促进中小企业发展管理办法》（财库﹝2020﹞46号）</w:t>
      </w:r>
      <w:r>
        <w:rPr>
          <w:rFonts w:hint="eastAsia" w:ascii="宋体" w:hAnsi="宋体" w:cs="宋体"/>
          <w:color w:val="auto"/>
          <w:spacing w:val="-9"/>
          <w:sz w:val="24"/>
          <w:highlight w:val="none"/>
        </w:rPr>
        <w:t>的规定，本公司（联合体）参加</w:t>
      </w:r>
      <w:r>
        <w:rPr>
          <w:rFonts w:hint="eastAsia" w:ascii="宋体" w:hAnsi="宋体" w:cs="宋体"/>
          <w:color w:val="auto"/>
          <w:spacing w:val="-9"/>
          <w:sz w:val="24"/>
          <w:highlight w:val="none"/>
          <w:u w:val="single"/>
        </w:rPr>
        <w:t>（单位名称）</w:t>
      </w:r>
      <w:r>
        <w:rPr>
          <w:rFonts w:hint="eastAsia" w:ascii="宋体" w:hAnsi="宋体" w:cs="宋体"/>
          <w:color w:val="auto"/>
          <w:spacing w:val="-9"/>
          <w:sz w:val="24"/>
          <w:highlight w:val="none"/>
        </w:rPr>
        <w:t>的</w:t>
      </w:r>
      <w:r>
        <w:rPr>
          <w:rFonts w:hint="eastAsia" w:ascii="宋体" w:hAnsi="宋体" w:cs="宋体"/>
          <w:color w:val="auto"/>
          <w:spacing w:val="-9"/>
          <w:sz w:val="24"/>
          <w:highlight w:val="none"/>
          <w:u w:val="single"/>
        </w:rPr>
        <w:t>（项目名称）</w:t>
      </w:r>
      <w:r>
        <w:rPr>
          <w:rFonts w:hint="eastAsia" w:ascii="宋体" w:hAnsi="宋体" w:cs="宋体"/>
          <w:color w:val="auto"/>
          <w:spacing w:val="-9"/>
          <w:sz w:val="24"/>
          <w:highlight w:val="none"/>
        </w:rPr>
        <w:t>采购活动，服务全部由符合政策要求的中</w:t>
      </w:r>
    </w:p>
    <w:p w14:paraId="2E498C8D">
      <w:pPr>
        <w:spacing w:line="360" w:lineRule="auto"/>
        <w:ind w:firstLine="12"/>
        <w:rPr>
          <w:rFonts w:hint="eastAsia" w:ascii="宋体" w:hAnsi="宋体" w:cs="宋体"/>
          <w:color w:val="auto"/>
          <w:sz w:val="24"/>
          <w:highlight w:val="none"/>
        </w:rPr>
      </w:pPr>
      <w:r>
        <w:rPr>
          <w:rFonts w:hint="eastAsia" w:ascii="宋体" w:hAnsi="宋体" w:cs="宋体"/>
          <w:color w:val="auto"/>
          <w:spacing w:val="-5"/>
          <w:sz w:val="24"/>
          <w:highlight w:val="none"/>
        </w:rPr>
        <w:t>小企业承接。相关企业（含联合体中的中小企业、签订分包意向协议的中小企业）的具体情况如下：</w:t>
      </w:r>
    </w:p>
    <w:p w14:paraId="3CB33359">
      <w:pPr>
        <w:spacing w:line="360" w:lineRule="auto"/>
        <w:ind w:firstLine="442"/>
        <w:rPr>
          <w:rFonts w:hint="eastAsia" w:ascii="宋体" w:hAnsi="宋体" w:cs="宋体"/>
          <w:color w:val="auto"/>
          <w:sz w:val="24"/>
          <w:highlight w:val="none"/>
        </w:rPr>
      </w:pPr>
      <w:r>
        <w:rPr>
          <w:rFonts w:hint="eastAsia" w:ascii="宋体" w:hAnsi="宋体" w:cs="宋体"/>
          <w:color w:val="auto"/>
          <w:spacing w:val="-7"/>
          <w:position w:val="25"/>
          <w:sz w:val="24"/>
          <w:highlight w:val="none"/>
        </w:rPr>
        <w:t>1.</w:t>
      </w:r>
      <w:r>
        <w:rPr>
          <w:rFonts w:hint="eastAsia" w:ascii="宋体" w:hAnsi="宋体" w:cs="宋体"/>
          <w:color w:val="auto"/>
          <w:spacing w:val="-7"/>
          <w:position w:val="25"/>
          <w:sz w:val="24"/>
          <w:highlight w:val="none"/>
          <w:u w:val="single"/>
        </w:rPr>
        <w:t>（标的名称</w:t>
      </w:r>
      <w:r>
        <w:rPr>
          <w:rFonts w:hint="eastAsia" w:ascii="宋体" w:hAnsi="宋体" w:cs="宋体"/>
          <w:color w:val="auto"/>
          <w:spacing w:val="-69"/>
          <w:position w:val="25"/>
          <w:sz w:val="24"/>
          <w:highlight w:val="none"/>
          <w:u w:val="single"/>
        </w:rPr>
        <w:t>）</w:t>
      </w:r>
      <w:r>
        <w:rPr>
          <w:rFonts w:hint="eastAsia" w:ascii="宋体" w:hAnsi="宋体" w:cs="宋体"/>
          <w:color w:val="auto"/>
          <w:spacing w:val="-69"/>
          <w:position w:val="25"/>
          <w:sz w:val="24"/>
          <w:highlight w:val="none"/>
        </w:rPr>
        <w:t>，</w:t>
      </w:r>
      <w:r>
        <w:rPr>
          <w:rFonts w:hint="eastAsia" w:ascii="宋体" w:hAnsi="宋体" w:cs="宋体"/>
          <w:color w:val="auto"/>
          <w:spacing w:val="-7"/>
          <w:position w:val="25"/>
          <w:sz w:val="24"/>
          <w:highlight w:val="none"/>
        </w:rPr>
        <w:t>属于</w:t>
      </w:r>
      <w:r>
        <w:rPr>
          <w:rFonts w:hint="eastAsia" w:ascii="宋体" w:hAnsi="宋体" w:cs="宋体"/>
          <w:color w:val="auto"/>
          <w:spacing w:val="-7"/>
          <w:position w:val="25"/>
          <w:sz w:val="24"/>
          <w:highlight w:val="none"/>
          <w:u w:val="single"/>
        </w:rPr>
        <w:t>（采购文件中明确的所属行业）</w:t>
      </w:r>
      <w:r>
        <w:rPr>
          <w:rFonts w:hint="eastAsia" w:ascii="宋体" w:hAnsi="宋体" w:cs="宋体"/>
          <w:color w:val="auto"/>
          <w:spacing w:val="-7"/>
          <w:position w:val="25"/>
          <w:sz w:val="24"/>
          <w:highlight w:val="none"/>
        </w:rPr>
        <w:t>行业；承接企业为</w:t>
      </w:r>
      <w:r>
        <w:rPr>
          <w:rFonts w:hint="eastAsia" w:ascii="宋体" w:hAnsi="宋体" w:cs="宋体"/>
          <w:color w:val="auto"/>
          <w:spacing w:val="-7"/>
          <w:position w:val="25"/>
          <w:sz w:val="24"/>
          <w:highlight w:val="none"/>
          <w:u w:val="single"/>
        </w:rPr>
        <w:t>（企业名称</w:t>
      </w:r>
      <w:r>
        <w:rPr>
          <w:rFonts w:hint="eastAsia" w:ascii="宋体" w:hAnsi="宋体" w:cs="宋体"/>
          <w:color w:val="auto"/>
          <w:spacing w:val="-69"/>
          <w:position w:val="25"/>
          <w:sz w:val="24"/>
          <w:highlight w:val="none"/>
          <w:u w:val="single"/>
        </w:rPr>
        <w:t>）</w:t>
      </w:r>
      <w:r>
        <w:rPr>
          <w:rFonts w:hint="eastAsia" w:ascii="宋体" w:hAnsi="宋体" w:cs="宋体"/>
          <w:color w:val="auto"/>
          <w:spacing w:val="-69"/>
          <w:position w:val="25"/>
          <w:sz w:val="24"/>
          <w:highlight w:val="none"/>
        </w:rPr>
        <w:t>，</w:t>
      </w:r>
      <w:r>
        <w:rPr>
          <w:rFonts w:hint="eastAsia" w:ascii="宋体" w:hAnsi="宋体" w:cs="宋体"/>
          <w:color w:val="auto"/>
          <w:spacing w:val="-7"/>
          <w:position w:val="25"/>
          <w:sz w:val="24"/>
          <w:highlight w:val="none"/>
        </w:rPr>
        <w:t>从业人</w:t>
      </w:r>
    </w:p>
    <w:p w14:paraId="6EE9D7D7">
      <w:pPr>
        <w:spacing w:line="360" w:lineRule="auto"/>
        <w:ind w:firstLine="15"/>
        <w:rPr>
          <w:rFonts w:hint="eastAsia" w:ascii="宋体" w:hAnsi="宋体" w:cs="宋体"/>
          <w:color w:val="auto"/>
          <w:sz w:val="24"/>
          <w:highlight w:val="none"/>
        </w:rPr>
      </w:pPr>
      <w:r>
        <w:rPr>
          <w:rFonts w:hint="eastAsia" w:ascii="宋体" w:hAnsi="宋体" w:cs="宋体"/>
          <w:color w:val="auto"/>
          <w:spacing w:val="-5"/>
          <w:w w:val="98"/>
          <w:sz w:val="24"/>
          <w:highlight w:val="none"/>
        </w:rPr>
        <w:t>员人，营业收入为万元，资产总额为万元</w:t>
      </w:r>
      <w:r>
        <w:rPr>
          <w:rFonts w:hint="eastAsia" w:ascii="宋体" w:hAnsi="宋体" w:cs="宋体"/>
          <w:color w:val="auto"/>
          <w:spacing w:val="-5"/>
          <w:w w:val="98"/>
          <w:position w:val="10"/>
          <w:sz w:val="24"/>
          <w:highlight w:val="none"/>
        </w:rPr>
        <w:t>1</w:t>
      </w:r>
      <w:r>
        <w:rPr>
          <w:rFonts w:hint="eastAsia" w:ascii="宋体" w:hAnsi="宋体" w:cs="宋体"/>
          <w:color w:val="auto"/>
          <w:spacing w:val="-5"/>
          <w:w w:val="98"/>
          <w:sz w:val="24"/>
          <w:highlight w:val="none"/>
        </w:rPr>
        <w:t>，属于</w:t>
      </w:r>
      <w:r>
        <w:rPr>
          <w:rFonts w:hint="eastAsia" w:ascii="宋体" w:hAnsi="宋体" w:cs="宋体"/>
          <w:color w:val="auto"/>
          <w:spacing w:val="-5"/>
          <w:w w:val="98"/>
          <w:sz w:val="24"/>
          <w:highlight w:val="none"/>
          <w:u w:val="single"/>
        </w:rPr>
        <w:t>（中型企业、小型企业、微型企业</w:t>
      </w:r>
      <w:r>
        <w:rPr>
          <w:rFonts w:hint="eastAsia" w:ascii="宋体" w:hAnsi="宋体" w:cs="宋体"/>
          <w:color w:val="auto"/>
          <w:spacing w:val="-28"/>
          <w:sz w:val="24"/>
          <w:highlight w:val="none"/>
          <w:u w:val="single"/>
        </w:rPr>
        <w:t>）</w:t>
      </w:r>
      <w:r>
        <w:rPr>
          <w:rFonts w:hint="eastAsia" w:ascii="宋体" w:hAnsi="宋体" w:cs="宋体"/>
          <w:color w:val="auto"/>
          <w:spacing w:val="-28"/>
          <w:sz w:val="24"/>
          <w:highlight w:val="none"/>
        </w:rPr>
        <w:t>；</w:t>
      </w:r>
    </w:p>
    <w:p w14:paraId="3ED2CE3A">
      <w:pPr>
        <w:spacing w:line="360" w:lineRule="auto"/>
        <w:ind w:left="15" w:right="34" w:firstLine="414"/>
        <w:rPr>
          <w:rFonts w:hint="eastAsia" w:ascii="宋体" w:hAnsi="宋体" w:cs="宋体"/>
          <w:color w:val="auto"/>
          <w:sz w:val="24"/>
          <w:highlight w:val="none"/>
        </w:rPr>
      </w:pPr>
      <w:r>
        <w:rPr>
          <w:rFonts w:hint="eastAsia" w:ascii="宋体" w:hAnsi="宋体" w:cs="宋体"/>
          <w:color w:val="auto"/>
          <w:spacing w:val="-7"/>
          <w:sz w:val="24"/>
          <w:highlight w:val="none"/>
        </w:rPr>
        <w:t>2.</w:t>
      </w:r>
      <w:r>
        <w:rPr>
          <w:rFonts w:hint="eastAsia" w:ascii="宋体" w:hAnsi="宋体" w:cs="宋体"/>
          <w:color w:val="auto"/>
          <w:spacing w:val="-7"/>
          <w:sz w:val="24"/>
          <w:highlight w:val="none"/>
          <w:u w:val="single"/>
        </w:rPr>
        <w:t>（标的名称</w:t>
      </w:r>
      <w:r>
        <w:rPr>
          <w:rFonts w:hint="eastAsia" w:ascii="宋体" w:hAnsi="宋体" w:cs="宋体"/>
          <w:color w:val="auto"/>
          <w:spacing w:val="-66"/>
          <w:sz w:val="24"/>
          <w:highlight w:val="none"/>
          <w:u w:val="single"/>
        </w:rPr>
        <w:t>）</w:t>
      </w:r>
      <w:r>
        <w:rPr>
          <w:rFonts w:hint="eastAsia" w:ascii="宋体" w:hAnsi="宋体" w:cs="宋体"/>
          <w:color w:val="auto"/>
          <w:spacing w:val="-66"/>
          <w:sz w:val="24"/>
          <w:highlight w:val="none"/>
        </w:rPr>
        <w:t>，</w:t>
      </w:r>
      <w:r>
        <w:rPr>
          <w:rFonts w:hint="eastAsia" w:ascii="宋体" w:hAnsi="宋体" w:cs="宋体"/>
          <w:color w:val="auto"/>
          <w:spacing w:val="-7"/>
          <w:sz w:val="24"/>
          <w:highlight w:val="none"/>
        </w:rPr>
        <w:t>属于</w:t>
      </w:r>
      <w:r>
        <w:rPr>
          <w:rFonts w:hint="eastAsia" w:ascii="宋体" w:hAnsi="宋体" w:cs="宋体"/>
          <w:color w:val="auto"/>
          <w:spacing w:val="-7"/>
          <w:sz w:val="24"/>
          <w:highlight w:val="none"/>
          <w:u w:val="single"/>
        </w:rPr>
        <w:t>（采购文件中明确的所属行业）</w:t>
      </w:r>
      <w:r>
        <w:rPr>
          <w:rFonts w:hint="eastAsia" w:ascii="宋体" w:hAnsi="宋体" w:cs="宋体"/>
          <w:color w:val="auto"/>
          <w:spacing w:val="-7"/>
          <w:sz w:val="24"/>
          <w:highlight w:val="none"/>
        </w:rPr>
        <w:t>行业；承接企业为</w:t>
      </w:r>
      <w:r>
        <w:rPr>
          <w:rFonts w:hint="eastAsia" w:ascii="宋体" w:hAnsi="宋体" w:cs="宋体"/>
          <w:color w:val="auto"/>
          <w:spacing w:val="-7"/>
          <w:sz w:val="24"/>
          <w:highlight w:val="none"/>
          <w:u w:val="single"/>
        </w:rPr>
        <w:t>（企业名称</w:t>
      </w:r>
      <w:r>
        <w:rPr>
          <w:rFonts w:hint="eastAsia" w:ascii="宋体" w:hAnsi="宋体" w:cs="宋体"/>
          <w:color w:val="auto"/>
          <w:spacing w:val="-66"/>
          <w:sz w:val="24"/>
          <w:highlight w:val="none"/>
          <w:u w:val="single"/>
        </w:rPr>
        <w:t>）</w:t>
      </w:r>
      <w:r>
        <w:rPr>
          <w:rFonts w:hint="eastAsia" w:ascii="宋体" w:hAnsi="宋体" w:cs="宋体"/>
          <w:color w:val="auto"/>
          <w:spacing w:val="-66"/>
          <w:sz w:val="24"/>
          <w:highlight w:val="none"/>
        </w:rPr>
        <w:t>，</w:t>
      </w:r>
      <w:r>
        <w:rPr>
          <w:rFonts w:hint="eastAsia" w:ascii="宋体" w:hAnsi="宋体" w:cs="宋体"/>
          <w:color w:val="auto"/>
          <w:spacing w:val="-7"/>
          <w:sz w:val="24"/>
          <w:highlight w:val="none"/>
        </w:rPr>
        <w:t>从业人</w:t>
      </w:r>
      <w:r>
        <w:rPr>
          <w:rFonts w:hint="eastAsia" w:ascii="宋体" w:hAnsi="宋体" w:cs="宋体"/>
          <w:color w:val="auto"/>
          <w:spacing w:val="-5"/>
          <w:sz w:val="24"/>
          <w:highlight w:val="none"/>
        </w:rPr>
        <w:t>员人，营业收入为万元，资产总额为万元，属于</w:t>
      </w:r>
      <w:r>
        <w:rPr>
          <w:rFonts w:hint="eastAsia" w:ascii="宋体" w:hAnsi="宋体" w:cs="宋体"/>
          <w:color w:val="auto"/>
          <w:spacing w:val="-5"/>
          <w:sz w:val="24"/>
          <w:highlight w:val="none"/>
          <w:u w:val="single"/>
        </w:rPr>
        <w:t>（中型企业、小型企业、微型企业</w:t>
      </w:r>
      <w:r>
        <w:rPr>
          <w:rFonts w:hint="eastAsia" w:ascii="宋体" w:hAnsi="宋体" w:cs="宋体"/>
          <w:color w:val="auto"/>
          <w:spacing w:val="-62"/>
          <w:sz w:val="24"/>
          <w:highlight w:val="none"/>
          <w:u w:val="single"/>
        </w:rPr>
        <w:t>）</w:t>
      </w:r>
      <w:r>
        <w:rPr>
          <w:rFonts w:hint="eastAsia" w:ascii="宋体" w:hAnsi="宋体" w:cs="宋体"/>
          <w:color w:val="auto"/>
          <w:spacing w:val="-62"/>
          <w:sz w:val="24"/>
          <w:highlight w:val="none"/>
        </w:rPr>
        <w:t>；</w:t>
      </w:r>
    </w:p>
    <w:p w14:paraId="4A3B2998">
      <w:pPr>
        <w:spacing w:line="360" w:lineRule="auto"/>
        <w:ind w:firstLine="545"/>
        <w:rPr>
          <w:rFonts w:hint="eastAsia" w:ascii="宋体" w:hAnsi="宋体" w:cs="宋体"/>
          <w:color w:val="auto"/>
          <w:sz w:val="24"/>
          <w:highlight w:val="none"/>
        </w:rPr>
      </w:pPr>
      <w:r>
        <w:rPr>
          <w:rFonts w:hint="eastAsia" w:ascii="宋体" w:hAnsi="宋体" w:cs="宋体"/>
          <w:color w:val="auto"/>
          <w:spacing w:val="-12"/>
          <w:sz w:val="24"/>
          <w:highlight w:val="none"/>
        </w:rPr>
        <w:t>……</w:t>
      </w:r>
    </w:p>
    <w:p w14:paraId="38DCA3CE">
      <w:pPr>
        <w:spacing w:line="360" w:lineRule="auto"/>
        <w:ind w:left="8" w:right="92" w:firstLine="441"/>
        <w:rPr>
          <w:rFonts w:hint="eastAsia" w:ascii="宋体" w:hAnsi="宋体" w:cs="宋体"/>
          <w:color w:val="auto"/>
          <w:sz w:val="24"/>
          <w:highlight w:val="none"/>
        </w:rPr>
      </w:pPr>
      <w:r>
        <w:rPr>
          <w:rFonts w:hint="eastAsia" w:ascii="宋体" w:hAnsi="宋体" w:cs="宋体"/>
          <w:color w:val="auto"/>
          <w:spacing w:val="-3"/>
          <w:sz w:val="24"/>
          <w:highlight w:val="none"/>
        </w:rPr>
        <w:t>以上企业，不属于大企业的分支机构，不存在控股股东为大企业的情形，也不存在与大企业的负责</w:t>
      </w:r>
      <w:r>
        <w:rPr>
          <w:rFonts w:hint="eastAsia" w:ascii="宋体" w:hAnsi="宋体" w:cs="宋体"/>
          <w:color w:val="auto"/>
          <w:spacing w:val="-2"/>
          <w:sz w:val="24"/>
          <w:highlight w:val="none"/>
        </w:rPr>
        <w:t>人为同一人的情形。</w:t>
      </w:r>
    </w:p>
    <w:p w14:paraId="037ADEEA">
      <w:pPr>
        <w:spacing w:line="360" w:lineRule="auto"/>
        <w:ind w:firstLine="427"/>
        <w:rPr>
          <w:rFonts w:hint="eastAsia" w:ascii="宋体" w:hAnsi="宋体" w:cs="宋体"/>
          <w:color w:val="auto"/>
          <w:sz w:val="24"/>
          <w:highlight w:val="none"/>
        </w:rPr>
      </w:pPr>
      <w:r>
        <w:rPr>
          <w:rFonts w:hint="eastAsia" w:ascii="宋体" w:hAnsi="宋体" w:cs="宋体"/>
          <w:color w:val="auto"/>
          <w:spacing w:val="-1"/>
          <w:sz w:val="24"/>
          <w:highlight w:val="none"/>
        </w:rPr>
        <w:t>本企业对上述声明内容的真实性负责。如有虚假，将依法承担相应责任。</w:t>
      </w:r>
    </w:p>
    <w:p w14:paraId="2B68E425">
      <w:pPr>
        <w:spacing w:line="360" w:lineRule="auto"/>
        <w:ind w:firstLine="3581"/>
        <w:rPr>
          <w:rFonts w:hint="eastAsia" w:ascii="宋体" w:hAnsi="宋体" w:cs="宋体"/>
          <w:color w:val="auto"/>
          <w:sz w:val="24"/>
          <w:highlight w:val="none"/>
        </w:rPr>
      </w:pPr>
      <w:r>
        <w:rPr>
          <w:rFonts w:hint="eastAsia" w:ascii="宋体" w:hAnsi="宋体" w:cs="宋体"/>
          <w:color w:val="auto"/>
          <w:spacing w:val="2"/>
          <w:position w:val="25"/>
          <w:sz w:val="24"/>
          <w:highlight w:val="none"/>
        </w:rPr>
        <w:t>企业名称（盖章</w:t>
      </w:r>
      <w:r>
        <w:rPr>
          <w:rFonts w:hint="eastAsia" w:ascii="宋体" w:hAnsi="宋体" w:cs="宋体"/>
          <w:color w:val="auto"/>
          <w:spacing w:val="-58"/>
          <w:position w:val="25"/>
          <w:sz w:val="24"/>
          <w:highlight w:val="none"/>
        </w:rPr>
        <w:t>）：</w:t>
      </w:r>
    </w:p>
    <w:p w14:paraId="3535362F">
      <w:pPr>
        <w:spacing w:line="360" w:lineRule="auto"/>
        <w:ind w:firstLine="3614"/>
        <w:rPr>
          <w:rFonts w:hint="eastAsia" w:ascii="宋体" w:hAnsi="宋体" w:cs="宋体"/>
          <w:color w:val="auto"/>
          <w:sz w:val="24"/>
          <w:highlight w:val="none"/>
        </w:rPr>
      </w:pPr>
      <w:r>
        <w:rPr>
          <w:rFonts w:hint="eastAsia" w:ascii="宋体" w:hAnsi="宋体" w:cs="宋体"/>
          <w:color w:val="auto"/>
          <w:spacing w:val="-19"/>
          <w:sz w:val="24"/>
          <w:highlight w:val="none"/>
        </w:rPr>
        <w:t>日期：</w:t>
      </w:r>
    </w:p>
    <w:p w14:paraId="27B8419A">
      <w:pPr>
        <w:spacing w:line="360" w:lineRule="auto"/>
        <w:rPr>
          <w:rFonts w:hint="eastAsia" w:ascii="宋体" w:hAnsi="宋体" w:cs="宋体"/>
          <w:color w:val="auto"/>
          <w:sz w:val="24"/>
          <w:highlight w:val="none"/>
        </w:rPr>
      </w:pPr>
    </w:p>
    <w:p w14:paraId="37375DE9">
      <w:pPr>
        <w:spacing w:line="360" w:lineRule="auto"/>
        <w:rPr>
          <w:rFonts w:hint="eastAsia" w:ascii="宋体" w:hAnsi="宋体" w:cs="宋体"/>
          <w:color w:val="auto"/>
          <w:sz w:val="24"/>
          <w:highlight w:val="none"/>
        </w:rPr>
      </w:pPr>
      <w:r>
        <w:rPr>
          <w:rFonts w:hint="eastAsia" w:ascii="宋体" w:hAnsi="宋体" w:cs="宋体"/>
          <w:color w:val="auto"/>
          <w:spacing w:val="2"/>
          <w:position w:val="10"/>
          <w:sz w:val="24"/>
          <w:highlight w:val="none"/>
        </w:rPr>
        <w:t>1</w:t>
      </w:r>
      <w:r>
        <w:rPr>
          <w:rFonts w:hint="eastAsia" w:ascii="宋体" w:hAnsi="宋体" w:cs="宋体"/>
          <w:color w:val="auto"/>
          <w:spacing w:val="2"/>
          <w:sz w:val="24"/>
          <w:highlight w:val="none"/>
        </w:rPr>
        <w:t>从业人员、营业收入、资产总额填报上一年度数据，无上一年度数据的新成立企业可不填报。</w:t>
      </w:r>
    </w:p>
    <w:p w14:paraId="3876D57E">
      <w:pPr>
        <w:spacing w:line="360" w:lineRule="auto"/>
        <w:ind w:firstLine="428"/>
        <w:rPr>
          <w:rFonts w:hint="eastAsia" w:ascii="宋体" w:hAnsi="宋体" w:cs="宋体"/>
          <w:color w:val="auto"/>
          <w:sz w:val="24"/>
          <w:highlight w:val="none"/>
        </w:rPr>
      </w:pPr>
      <w:r>
        <w:rPr>
          <w:rFonts w:hint="eastAsia" w:ascii="宋体" w:hAnsi="宋体" w:cs="宋体"/>
          <w:color w:val="auto"/>
          <w:spacing w:val="-3"/>
          <w:sz w:val="24"/>
          <w:highlight w:val="none"/>
        </w:rPr>
        <w:t>填写说明：</w:t>
      </w:r>
    </w:p>
    <w:p w14:paraId="4528B63F">
      <w:pPr>
        <w:spacing w:line="360" w:lineRule="auto"/>
        <w:ind w:firstLine="432"/>
        <w:rPr>
          <w:rFonts w:hint="eastAsia" w:ascii="宋体" w:hAnsi="宋体" w:cs="宋体"/>
          <w:color w:val="auto"/>
          <w:sz w:val="24"/>
          <w:highlight w:val="none"/>
        </w:rPr>
      </w:pPr>
      <w:r>
        <w:rPr>
          <w:rFonts w:hint="eastAsia" w:ascii="宋体" w:hAnsi="宋体" w:cs="宋体"/>
          <w:color w:val="auto"/>
          <w:spacing w:val="-5"/>
          <w:sz w:val="24"/>
          <w:highlight w:val="none"/>
        </w:rPr>
        <w:t>服务承接企业为中型、小型、微型企业的提供此函。</w:t>
      </w:r>
    </w:p>
    <w:p w14:paraId="4B9ED81A">
      <w:pPr>
        <w:spacing w:line="360" w:lineRule="auto"/>
        <w:rPr>
          <w:rFonts w:hint="eastAsia" w:ascii="宋体" w:hAnsi="宋体" w:cs="宋体"/>
          <w:b/>
          <w:bCs/>
          <w:color w:val="auto"/>
          <w:spacing w:val="1"/>
          <w:sz w:val="24"/>
          <w:highlight w:val="none"/>
        </w:rPr>
      </w:pPr>
    </w:p>
    <w:p w14:paraId="0A472962">
      <w:pPr>
        <w:pStyle w:val="13"/>
        <w:ind w:firstLine="243"/>
        <w:rPr>
          <w:rFonts w:hint="eastAsia" w:ascii="宋体" w:hAnsi="宋体" w:cs="宋体"/>
          <w:b/>
          <w:bCs/>
          <w:color w:val="auto"/>
          <w:spacing w:val="1"/>
          <w:sz w:val="24"/>
          <w:highlight w:val="none"/>
        </w:rPr>
      </w:pPr>
    </w:p>
    <w:p w14:paraId="14643A92">
      <w:pPr>
        <w:pStyle w:val="13"/>
        <w:ind w:firstLine="243"/>
        <w:rPr>
          <w:rFonts w:hint="eastAsia" w:ascii="宋体" w:hAnsi="宋体" w:cs="宋体"/>
          <w:b/>
          <w:bCs/>
          <w:color w:val="auto"/>
          <w:spacing w:val="1"/>
          <w:sz w:val="24"/>
          <w:highlight w:val="none"/>
        </w:rPr>
      </w:pPr>
    </w:p>
    <w:p w14:paraId="2E7E2BFA">
      <w:pPr>
        <w:spacing w:line="360" w:lineRule="auto"/>
        <w:rPr>
          <w:rFonts w:hint="eastAsia" w:ascii="宋体" w:hAnsi="宋体" w:cs="宋体"/>
          <w:b/>
          <w:bCs/>
          <w:color w:val="auto"/>
          <w:spacing w:val="1"/>
          <w:sz w:val="24"/>
          <w:highlight w:val="none"/>
        </w:rPr>
      </w:pPr>
    </w:p>
    <w:p w14:paraId="0D47746D">
      <w:pPr>
        <w:spacing w:line="360" w:lineRule="auto"/>
        <w:rPr>
          <w:rFonts w:hint="eastAsia" w:ascii="宋体" w:hAnsi="宋体" w:cs="宋体"/>
          <w:b/>
          <w:bCs/>
          <w:color w:val="auto"/>
          <w:sz w:val="24"/>
          <w:highlight w:val="none"/>
        </w:rPr>
      </w:pPr>
      <w:r>
        <w:rPr>
          <w:rFonts w:ascii="宋体" w:hAnsi="宋体" w:cs="宋体"/>
          <w:b/>
          <w:bCs/>
          <w:color w:val="auto"/>
          <w:spacing w:val="1"/>
          <w:sz w:val="24"/>
          <w:highlight w:val="none"/>
        </w:rPr>
        <w:t>残疾人福利性单位声明函格式</w:t>
      </w:r>
      <w:r>
        <w:rPr>
          <w:rFonts w:ascii="宋体" w:hAnsi="宋体" w:cs="宋体"/>
          <w:b/>
          <w:bCs/>
          <w:color w:val="auto"/>
          <w:spacing w:val="-79"/>
          <w:sz w:val="24"/>
          <w:highlight w:val="none"/>
        </w:rPr>
        <w:t>：（</w:t>
      </w:r>
      <w:r>
        <w:rPr>
          <w:rFonts w:ascii="宋体" w:hAnsi="宋体" w:cs="宋体"/>
          <w:b/>
          <w:bCs/>
          <w:color w:val="auto"/>
          <w:spacing w:val="1"/>
          <w:sz w:val="24"/>
          <w:highlight w:val="none"/>
        </w:rPr>
        <w:t>若不符合可不提供。）</w:t>
      </w:r>
    </w:p>
    <w:p w14:paraId="3DABAB92">
      <w:pPr>
        <w:spacing w:line="360" w:lineRule="auto"/>
        <w:rPr>
          <w:rFonts w:ascii="宋体"/>
          <w:color w:val="auto"/>
          <w:sz w:val="24"/>
          <w:highlight w:val="none"/>
        </w:rPr>
      </w:pPr>
    </w:p>
    <w:p w14:paraId="7C37BF71">
      <w:pPr>
        <w:spacing w:line="360" w:lineRule="auto"/>
        <w:rPr>
          <w:rFonts w:ascii="宋体"/>
          <w:color w:val="auto"/>
          <w:sz w:val="24"/>
          <w:highlight w:val="none"/>
        </w:rPr>
      </w:pPr>
    </w:p>
    <w:p w14:paraId="5A1DAF38">
      <w:pPr>
        <w:spacing w:line="360" w:lineRule="auto"/>
        <w:ind w:firstLine="3456"/>
        <w:rPr>
          <w:rFonts w:hint="eastAsia" w:ascii="宋体" w:hAnsi="宋体" w:cs="宋体"/>
          <w:color w:val="auto"/>
          <w:sz w:val="24"/>
          <w:highlight w:val="none"/>
        </w:rPr>
      </w:pPr>
      <w:r>
        <w:rPr>
          <w:rFonts w:ascii="宋体" w:hAnsi="宋体" w:cs="宋体"/>
          <w:color w:val="auto"/>
          <w:spacing w:val="10"/>
          <w:sz w:val="24"/>
          <w:highlight w:val="none"/>
        </w:rPr>
        <w:t>残疾人福利性单位声明函</w:t>
      </w:r>
    </w:p>
    <w:p w14:paraId="6894ECD1">
      <w:pPr>
        <w:spacing w:line="360" w:lineRule="auto"/>
        <w:rPr>
          <w:rFonts w:ascii="宋体"/>
          <w:color w:val="auto"/>
          <w:sz w:val="24"/>
          <w:highlight w:val="none"/>
        </w:rPr>
      </w:pPr>
    </w:p>
    <w:p w14:paraId="3FF4A508">
      <w:pPr>
        <w:spacing w:line="360" w:lineRule="auto"/>
        <w:rPr>
          <w:rFonts w:ascii="宋体"/>
          <w:color w:val="auto"/>
          <w:sz w:val="24"/>
          <w:highlight w:val="none"/>
        </w:rPr>
      </w:pPr>
    </w:p>
    <w:p w14:paraId="5CC152F6">
      <w:pPr>
        <w:spacing w:line="360" w:lineRule="auto"/>
        <w:ind w:firstLine="421"/>
        <w:rPr>
          <w:rFonts w:hint="eastAsia" w:ascii="宋体" w:hAnsi="宋体" w:cs="宋体"/>
          <w:color w:val="auto"/>
          <w:sz w:val="24"/>
          <w:highlight w:val="none"/>
        </w:rPr>
      </w:pPr>
      <w:r>
        <w:rPr>
          <w:rFonts w:ascii="宋体" w:hAnsi="宋体" w:cs="宋体"/>
          <w:color w:val="auto"/>
          <w:spacing w:val="-4"/>
          <w:sz w:val="24"/>
          <w:highlight w:val="none"/>
        </w:rPr>
        <w:t>本单位郑重声明，根据《财政部民政部中国残疾人联合会关于促进残疾人就业政府采购政策的通</w:t>
      </w:r>
      <w:r>
        <w:rPr>
          <w:rFonts w:ascii="宋体" w:hAnsi="宋体" w:cs="宋体"/>
          <w:color w:val="auto"/>
          <w:spacing w:val="-8"/>
          <w:sz w:val="24"/>
          <w:highlight w:val="none"/>
        </w:rPr>
        <w:t>知》（财库〔2017〕141号）的规定，本单位为符合条件的残疾人福利性单位，且本单位参加______</w:t>
      </w:r>
      <w:r>
        <w:rPr>
          <w:rFonts w:ascii="宋体" w:hAnsi="宋体" w:cs="宋体"/>
          <w:color w:val="auto"/>
          <w:sz w:val="24"/>
          <w:highlight w:val="none"/>
        </w:rPr>
        <w:t xml:space="preserve"> 单位的______项目采购活动提供本单位制造的货物（由本单位承担工程/提供服务</w:t>
      </w:r>
      <w:r>
        <w:rPr>
          <w:rFonts w:ascii="宋体" w:hAnsi="宋体" w:cs="宋体"/>
          <w:color w:val="auto"/>
          <w:spacing w:val="-55"/>
          <w:sz w:val="24"/>
          <w:highlight w:val="none"/>
        </w:rPr>
        <w:t>），</w:t>
      </w:r>
      <w:r>
        <w:rPr>
          <w:rFonts w:ascii="宋体" w:hAnsi="宋体" w:cs="宋体"/>
          <w:color w:val="auto"/>
          <w:sz w:val="24"/>
          <w:highlight w:val="none"/>
        </w:rPr>
        <w:t xml:space="preserve">或者提供其他残 </w:t>
      </w:r>
      <w:r>
        <w:rPr>
          <w:rFonts w:ascii="宋体" w:hAnsi="宋体" w:cs="宋体"/>
          <w:color w:val="auto"/>
          <w:spacing w:val="-3"/>
          <w:sz w:val="24"/>
          <w:highlight w:val="none"/>
        </w:rPr>
        <w:t>疾人福利性单位制造的货物（不包括使用非残疾人福利性单位注册商标的货物）。</w:t>
      </w:r>
    </w:p>
    <w:p w14:paraId="7B126592">
      <w:pPr>
        <w:spacing w:line="360" w:lineRule="auto"/>
        <w:ind w:firstLine="421"/>
        <w:rPr>
          <w:rFonts w:hint="eastAsia" w:ascii="宋体" w:hAnsi="宋体" w:cs="宋体"/>
          <w:color w:val="auto"/>
          <w:sz w:val="24"/>
          <w:highlight w:val="none"/>
        </w:rPr>
      </w:pPr>
      <w:r>
        <w:rPr>
          <w:rFonts w:ascii="宋体" w:hAnsi="宋体" w:cs="宋体"/>
          <w:color w:val="auto"/>
          <w:spacing w:val="-1"/>
          <w:sz w:val="24"/>
          <w:highlight w:val="none"/>
        </w:rPr>
        <w:t>本单位对上述声明的真实性负责。如有虚假，将依法承担相应责任。</w:t>
      </w:r>
    </w:p>
    <w:p w14:paraId="2D98E4E8">
      <w:pPr>
        <w:spacing w:line="360" w:lineRule="auto"/>
        <w:ind w:left="7468" w:right="48"/>
        <w:jc w:val="right"/>
        <w:rPr>
          <w:rFonts w:hint="eastAsia" w:ascii="宋体" w:hAnsi="宋体" w:cs="宋体"/>
          <w:color w:val="auto"/>
          <w:sz w:val="24"/>
          <w:highlight w:val="none"/>
        </w:rPr>
      </w:pPr>
      <w:r>
        <w:rPr>
          <w:rFonts w:ascii="宋体" w:hAnsi="宋体" w:cs="宋体"/>
          <w:color w:val="auto"/>
          <w:spacing w:val="2"/>
          <w:sz w:val="24"/>
          <w:highlight w:val="none"/>
        </w:rPr>
        <w:t>单位名称（盖章</w:t>
      </w:r>
      <w:r>
        <w:rPr>
          <w:rFonts w:ascii="宋体" w:hAnsi="宋体" w:cs="宋体"/>
          <w:color w:val="auto"/>
          <w:spacing w:val="-82"/>
          <w:sz w:val="24"/>
          <w:highlight w:val="none"/>
        </w:rPr>
        <w:t>）：</w:t>
      </w:r>
      <w:r>
        <w:rPr>
          <w:rFonts w:ascii="宋体" w:hAnsi="宋体" w:cs="宋体"/>
          <w:color w:val="auto"/>
          <w:spacing w:val="-19"/>
          <w:sz w:val="24"/>
          <w:highlight w:val="none"/>
        </w:rPr>
        <w:t>日期：</w:t>
      </w:r>
    </w:p>
    <w:p w14:paraId="2C500EAE">
      <w:pPr>
        <w:spacing w:line="360" w:lineRule="auto"/>
        <w:rPr>
          <w:rFonts w:hint="eastAsia" w:ascii="宋体" w:hAnsi="宋体" w:cs="宋体"/>
          <w:b/>
          <w:bCs/>
          <w:color w:val="auto"/>
          <w:sz w:val="24"/>
          <w:highlight w:val="none"/>
        </w:rPr>
      </w:pPr>
    </w:p>
    <w:p w14:paraId="78864FE3">
      <w:pPr>
        <w:spacing w:line="360" w:lineRule="auto"/>
        <w:rPr>
          <w:rFonts w:hint="eastAsia" w:ascii="宋体" w:hAnsi="宋体" w:cs="宋体"/>
          <w:b/>
          <w:bCs/>
          <w:color w:val="auto"/>
          <w:sz w:val="24"/>
          <w:highlight w:val="none"/>
        </w:rPr>
      </w:pPr>
      <w:r>
        <w:rPr>
          <w:rFonts w:ascii="宋体" w:hAnsi="宋体" w:cs="宋体"/>
          <w:b/>
          <w:bCs/>
          <w:color w:val="auto"/>
          <w:sz w:val="24"/>
          <w:highlight w:val="none"/>
        </w:rPr>
        <w:t>属于监狱企业的证明文件（格式自拟，若不符合可不提供。）</w:t>
      </w:r>
    </w:p>
    <w:p w14:paraId="32C8E425">
      <w:pPr>
        <w:autoSpaceDE w:val="0"/>
        <w:autoSpaceDN w:val="0"/>
        <w:spacing w:line="360" w:lineRule="auto"/>
        <w:rPr>
          <w:rFonts w:hint="eastAsia" w:ascii="宋体" w:hAnsi="宋体" w:cs="宋体"/>
          <w:b/>
          <w:color w:val="auto"/>
          <w:sz w:val="24"/>
          <w:highlight w:val="none"/>
        </w:rPr>
      </w:pPr>
    </w:p>
    <w:p w14:paraId="104C36BD">
      <w:pPr>
        <w:autoSpaceDE w:val="0"/>
        <w:autoSpaceDN w:val="0"/>
        <w:spacing w:line="360" w:lineRule="auto"/>
        <w:rPr>
          <w:rFonts w:hint="eastAsia" w:ascii="宋体" w:hAnsi="宋体" w:cs="宋体"/>
          <w:b/>
          <w:color w:val="auto"/>
          <w:sz w:val="24"/>
          <w:highlight w:val="none"/>
        </w:rPr>
      </w:pPr>
    </w:p>
    <w:p w14:paraId="62B08578">
      <w:pPr>
        <w:autoSpaceDE w:val="0"/>
        <w:autoSpaceDN w:val="0"/>
        <w:spacing w:line="360" w:lineRule="auto"/>
        <w:rPr>
          <w:rFonts w:hint="eastAsia" w:ascii="宋体" w:hAnsi="宋体" w:cs="宋体"/>
          <w:b/>
          <w:color w:val="auto"/>
          <w:sz w:val="24"/>
          <w:highlight w:val="none"/>
        </w:rPr>
      </w:pPr>
    </w:p>
    <w:p w14:paraId="5639CB30">
      <w:pPr>
        <w:autoSpaceDE w:val="0"/>
        <w:autoSpaceDN w:val="0"/>
        <w:spacing w:line="360" w:lineRule="auto"/>
        <w:rPr>
          <w:rFonts w:hint="eastAsia" w:ascii="宋体" w:hAnsi="宋体" w:cs="宋体"/>
          <w:b/>
          <w:color w:val="auto"/>
          <w:sz w:val="24"/>
          <w:highlight w:val="none"/>
        </w:rPr>
      </w:pPr>
    </w:p>
    <w:p w14:paraId="2621B9B3">
      <w:pPr>
        <w:autoSpaceDE w:val="0"/>
        <w:autoSpaceDN w:val="0"/>
        <w:spacing w:line="360" w:lineRule="auto"/>
        <w:rPr>
          <w:rFonts w:hint="eastAsia" w:ascii="宋体" w:hAnsi="宋体" w:cs="宋体"/>
          <w:b/>
          <w:color w:val="auto"/>
          <w:sz w:val="24"/>
          <w:highlight w:val="none"/>
        </w:rPr>
      </w:pPr>
    </w:p>
    <w:p w14:paraId="53EE22C7">
      <w:pPr>
        <w:autoSpaceDE w:val="0"/>
        <w:autoSpaceDN w:val="0"/>
        <w:spacing w:line="360" w:lineRule="auto"/>
        <w:rPr>
          <w:rFonts w:hint="eastAsia" w:ascii="宋体" w:hAnsi="宋体" w:cs="宋体"/>
          <w:b/>
          <w:color w:val="auto"/>
          <w:sz w:val="24"/>
          <w:highlight w:val="none"/>
        </w:rPr>
      </w:pPr>
    </w:p>
    <w:p w14:paraId="5CED115D">
      <w:pPr>
        <w:autoSpaceDE w:val="0"/>
        <w:autoSpaceDN w:val="0"/>
        <w:spacing w:line="360" w:lineRule="auto"/>
        <w:rPr>
          <w:rFonts w:hint="eastAsia" w:ascii="宋体" w:hAnsi="宋体" w:cs="宋体"/>
          <w:b/>
          <w:color w:val="auto"/>
          <w:sz w:val="24"/>
          <w:highlight w:val="none"/>
        </w:rPr>
      </w:pPr>
    </w:p>
    <w:p w14:paraId="3CC8271E">
      <w:pPr>
        <w:autoSpaceDE w:val="0"/>
        <w:autoSpaceDN w:val="0"/>
        <w:spacing w:line="360" w:lineRule="auto"/>
        <w:rPr>
          <w:rFonts w:hint="eastAsia" w:ascii="宋体" w:hAnsi="宋体" w:cs="宋体"/>
          <w:b/>
          <w:color w:val="auto"/>
          <w:sz w:val="24"/>
          <w:highlight w:val="none"/>
        </w:rPr>
      </w:pPr>
    </w:p>
    <w:p w14:paraId="6C608551">
      <w:pPr>
        <w:autoSpaceDE w:val="0"/>
        <w:autoSpaceDN w:val="0"/>
        <w:spacing w:line="360" w:lineRule="auto"/>
        <w:rPr>
          <w:rFonts w:hint="eastAsia" w:ascii="宋体" w:hAnsi="宋体" w:cs="宋体"/>
          <w:b/>
          <w:color w:val="auto"/>
          <w:sz w:val="24"/>
          <w:highlight w:val="none"/>
        </w:rPr>
      </w:pPr>
    </w:p>
    <w:p w14:paraId="1F6D745B">
      <w:pPr>
        <w:pStyle w:val="13"/>
        <w:spacing w:after="0" w:line="360" w:lineRule="auto"/>
        <w:ind w:firstLine="0" w:firstLineChars="0"/>
        <w:rPr>
          <w:rFonts w:hint="eastAsia" w:ascii="宋体" w:hAnsi="宋体" w:cs="宋体"/>
          <w:b/>
          <w:bCs/>
          <w:color w:val="auto"/>
          <w:sz w:val="24"/>
          <w:highlight w:val="none"/>
        </w:rPr>
      </w:pPr>
    </w:p>
    <w:p w14:paraId="4B9AE641">
      <w:pPr>
        <w:pStyle w:val="13"/>
        <w:spacing w:after="0" w:line="360" w:lineRule="auto"/>
        <w:ind w:firstLine="0" w:firstLineChars="0"/>
        <w:rPr>
          <w:rFonts w:hint="eastAsia" w:ascii="宋体" w:hAnsi="宋体" w:cs="宋体"/>
          <w:b/>
          <w:bCs/>
          <w:color w:val="auto"/>
          <w:sz w:val="24"/>
          <w:highlight w:val="none"/>
        </w:rPr>
      </w:pPr>
    </w:p>
    <w:p w14:paraId="7A426E25">
      <w:pPr>
        <w:pStyle w:val="13"/>
        <w:spacing w:after="0" w:line="360" w:lineRule="auto"/>
        <w:ind w:firstLine="0" w:firstLineChars="0"/>
        <w:rPr>
          <w:rFonts w:hint="eastAsia" w:ascii="宋体" w:hAnsi="宋体" w:cs="宋体"/>
          <w:b/>
          <w:bCs/>
          <w:color w:val="auto"/>
          <w:sz w:val="24"/>
          <w:highlight w:val="none"/>
        </w:rPr>
      </w:pPr>
    </w:p>
    <w:p w14:paraId="5B6F1178">
      <w:pPr>
        <w:pStyle w:val="13"/>
        <w:spacing w:after="0" w:line="360" w:lineRule="auto"/>
        <w:ind w:firstLine="0" w:firstLineChars="0"/>
        <w:rPr>
          <w:rFonts w:hint="eastAsia" w:ascii="宋体" w:hAnsi="宋体" w:cs="宋体"/>
          <w:b/>
          <w:bCs/>
          <w:color w:val="auto"/>
          <w:sz w:val="24"/>
          <w:highlight w:val="none"/>
        </w:rPr>
      </w:pPr>
    </w:p>
    <w:p w14:paraId="7ECE8E14">
      <w:pPr>
        <w:pStyle w:val="13"/>
        <w:spacing w:after="0" w:line="360" w:lineRule="auto"/>
        <w:ind w:firstLine="0" w:firstLineChars="0"/>
        <w:rPr>
          <w:rFonts w:hint="eastAsia" w:ascii="宋体" w:hAnsi="宋体" w:cs="宋体"/>
          <w:b/>
          <w:bCs/>
          <w:color w:val="auto"/>
          <w:sz w:val="24"/>
          <w:highlight w:val="none"/>
        </w:rPr>
      </w:pPr>
    </w:p>
    <w:p w14:paraId="49E39AF2">
      <w:pPr>
        <w:pStyle w:val="13"/>
        <w:spacing w:after="0" w:line="360" w:lineRule="auto"/>
        <w:ind w:firstLine="0" w:firstLineChars="0"/>
        <w:rPr>
          <w:rFonts w:hint="eastAsia" w:ascii="宋体" w:hAnsi="宋体" w:cs="宋体"/>
          <w:b/>
          <w:bCs/>
          <w:color w:val="auto"/>
          <w:sz w:val="24"/>
          <w:highlight w:val="none"/>
        </w:rPr>
      </w:pPr>
    </w:p>
    <w:p w14:paraId="59C7D7BC">
      <w:pPr>
        <w:pStyle w:val="13"/>
        <w:spacing w:after="0" w:line="360" w:lineRule="auto"/>
        <w:ind w:firstLine="0" w:firstLineChars="0"/>
        <w:rPr>
          <w:rFonts w:hint="eastAsia" w:ascii="宋体" w:hAnsi="宋体" w:cs="宋体"/>
          <w:b/>
          <w:bCs/>
          <w:color w:val="auto"/>
          <w:sz w:val="24"/>
          <w:highlight w:val="none"/>
        </w:rPr>
      </w:pPr>
    </w:p>
    <w:p w14:paraId="5853514F">
      <w:pPr>
        <w:pStyle w:val="13"/>
        <w:spacing w:after="0" w:line="360" w:lineRule="auto"/>
        <w:ind w:firstLine="0" w:firstLineChars="0"/>
        <w:rPr>
          <w:rFonts w:hint="eastAsia" w:ascii="宋体" w:hAnsi="宋体" w:cs="宋体"/>
          <w:b/>
          <w:bCs/>
          <w:color w:val="auto"/>
          <w:sz w:val="24"/>
          <w:highlight w:val="none"/>
        </w:rPr>
      </w:pPr>
    </w:p>
    <w:p w14:paraId="7B85D033">
      <w:pPr>
        <w:pStyle w:val="13"/>
        <w:spacing w:after="0" w:line="360" w:lineRule="auto"/>
        <w:ind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5.供应商单位情况表格式：</w:t>
      </w:r>
    </w:p>
    <w:p w14:paraId="7268F8C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供应商情况表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960"/>
        <w:gridCol w:w="825"/>
        <w:gridCol w:w="457"/>
        <w:gridCol w:w="578"/>
        <w:gridCol w:w="495"/>
        <w:gridCol w:w="465"/>
        <w:gridCol w:w="818"/>
        <w:gridCol w:w="1086"/>
        <w:gridCol w:w="256"/>
        <w:gridCol w:w="1133"/>
      </w:tblGrid>
      <w:tr w14:paraId="42A6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467" w:type="dxa"/>
            <w:gridSpan w:val="11"/>
            <w:tcBorders>
              <w:top w:val="single" w:color="auto" w:sz="4" w:space="0"/>
              <w:left w:val="single" w:color="auto" w:sz="4" w:space="0"/>
              <w:bottom w:val="single" w:color="auto" w:sz="4" w:space="0"/>
              <w:right w:val="single" w:color="auto" w:sz="4" w:space="0"/>
            </w:tcBorders>
            <w:noWrap/>
            <w:vAlign w:val="center"/>
          </w:tcPr>
          <w:p w14:paraId="45D57A5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企业情况</w:t>
            </w:r>
          </w:p>
        </w:tc>
      </w:tr>
      <w:tr w14:paraId="2135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ign w:val="center"/>
          </w:tcPr>
          <w:p w14:paraId="754746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单位名称</w:t>
            </w:r>
          </w:p>
        </w:tc>
        <w:tc>
          <w:tcPr>
            <w:tcW w:w="7073" w:type="dxa"/>
            <w:gridSpan w:val="10"/>
            <w:tcBorders>
              <w:top w:val="single" w:color="auto" w:sz="4" w:space="0"/>
              <w:left w:val="single" w:color="auto" w:sz="4" w:space="0"/>
              <w:bottom w:val="single" w:color="auto" w:sz="4" w:space="0"/>
              <w:right w:val="single" w:color="auto" w:sz="4" w:space="0"/>
            </w:tcBorders>
            <w:noWrap/>
            <w:vAlign w:val="center"/>
          </w:tcPr>
          <w:p w14:paraId="3CE4582A">
            <w:pPr>
              <w:spacing w:line="360" w:lineRule="auto"/>
              <w:jc w:val="center"/>
              <w:rPr>
                <w:rFonts w:hint="eastAsia" w:ascii="宋体" w:hAnsi="宋体" w:cs="宋体"/>
                <w:color w:val="auto"/>
                <w:sz w:val="24"/>
                <w:highlight w:val="none"/>
              </w:rPr>
            </w:pPr>
          </w:p>
        </w:tc>
      </w:tr>
      <w:tr w14:paraId="086E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ign w:val="center"/>
          </w:tcPr>
          <w:p w14:paraId="70F9C70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地  址</w:t>
            </w:r>
          </w:p>
        </w:tc>
        <w:tc>
          <w:tcPr>
            <w:tcW w:w="3315" w:type="dxa"/>
            <w:gridSpan w:val="5"/>
            <w:tcBorders>
              <w:top w:val="single" w:color="auto" w:sz="4" w:space="0"/>
              <w:left w:val="single" w:color="auto" w:sz="4" w:space="0"/>
              <w:bottom w:val="single" w:color="auto" w:sz="4" w:space="0"/>
              <w:right w:val="single" w:color="auto" w:sz="4" w:space="0"/>
            </w:tcBorders>
            <w:noWrap/>
            <w:vAlign w:val="center"/>
          </w:tcPr>
          <w:p w14:paraId="0081873F">
            <w:pPr>
              <w:spacing w:line="360" w:lineRule="auto"/>
              <w:jc w:val="center"/>
              <w:rPr>
                <w:rFonts w:hint="eastAsia" w:ascii="宋体" w:hAnsi="宋体" w:cs="宋体"/>
                <w:color w:val="auto"/>
                <w:sz w:val="24"/>
                <w:highlight w:val="none"/>
              </w:rPr>
            </w:pPr>
          </w:p>
        </w:tc>
        <w:tc>
          <w:tcPr>
            <w:tcW w:w="2625" w:type="dxa"/>
            <w:gridSpan w:val="4"/>
            <w:tcBorders>
              <w:top w:val="single" w:color="auto" w:sz="4" w:space="0"/>
              <w:left w:val="single" w:color="auto" w:sz="4" w:space="0"/>
              <w:bottom w:val="single" w:color="auto" w:sz="4" w:space="0"/>
              <w:right w:val="single" w:color="auto" w:sz="4" w:space="0"/>
            </w:tcBorders>
            <w:noWrap/>
            <w:vAlign w:val="center"/>
          </w:tcPr>
          <w:p w14:paraId="622D8AD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法定代表人（负责人）</w:t>
            </w:r>
          </w:p>
        </w:tc>
        <w:tc>
          <w:tcPr>
            <w:tcW w:w="1133" w:type="dxa"/>
            <w:tcBorders>
              <w:top w:val="single" w:color="auto" w:sz="4" w:space="0"/>
              <w:left w:val="single" w:color="auto" w:sz="4" w:space="0"/>
              <w:bottom w:val="single" w:color="auto" w:sz="4" w:space="0"/>
              <w:right w:val="single" w:color="auto" w:sz="4" w:space="0"/>
            </w:tcBorders>
            <w:noWrap/>
            <w:vAlign w:val="center"/>
          </w:tcPr>
          <w:p w14:paraId="48387783">
            <w:pPr>
              <w:spacing w:line="360" w:lineRule="auto"/>
              <w:jc w:val="center"/>
              <w:rPr>
                <w:rFonts w:hint="eastAsia" w:ascii="宋体" w:hAnsi="宋体" w:cs="宋体"/>
                <w:color w:val="auto"/>
                <w:sz w:val="24"/>
                <w:highlight w:val="none"/>
              </w:rPr>
            </w:pPr>
          </w:p>
        </w:tc>
      </w:tr>
      <w:tr w14:paraId="56E2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ign w:val="center"/>
          </w:tcPr>
          <w:p w14:paraId="16BD8D3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3315" w:type="dxa"/>
            <w:gridSpan w:val="5"/>
            <w:tcBorders>
              <w:top w:val="single" w:color="auto" w:sz="4" w:space="0"/>
              <w:left w:val="single" w:color="auto" w:sz="4" w:space="0"/>
              <w:bottom w:val="single" w:color="auto" w:sz="4" w:space="0"/>
              <w:right w:val="single" w:color="auto" w:sz="4" w:space="0"/>
            </w:tcBorders>
            <w:noWrap/>
            <w:vAlign w:val="center"/>
          </w:tcPr>
          <w:p w14:paraId="45650E60">
            <w:pPr>
              <w:spacing w:line="360" w:lineRule="auto"/>
              <w:jc w:val="center"/>
              <w:rPr>
                <w:rFonts w:hint="eastAsia" w:ascii="宋体" w:hAnsi="宋体" w:cs="宋体"/>
                <w:color w:val="auto"/>
                <w:sz w:val="24"/>
                <w:highlight w:val="none"/>
              </w:rPr>
            </w:pPr>
          </w:p>
        </w:tc>
        <w:tc>
          <w:tcPr>
            <w:tcW w:w="2625" w:type="dxa"/>
            <w:gridSpan w:val="4"/>
            <w:tcBorders>
              <w:top w:val="single" w:color="auto" w:sz="4" w:space="0"/>
              <w:left w:val="single" w:color="auto" w:sz="4" w:space="0"/>
              <w:bottom w:val="single" w:color="auto" w:sz="4" w:space="0"/>
              <w:right w:val="single" w:color="auto" w:sz="4" w:space="0"/>
            </w:tcBorders>
            <w:noWrap/>
            <w:vAlign w:val="center"/>
          </w:tcPr>
          <w:p w14:paraId="6CB3C26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注册资本</w:t>
            </w:r>
          </w:p>
        </w:tc>
        <w:tc>
          <w:tcPr>
            <w:tcW w:w="1133" w:type="dxa"/>
            <w:tcBorders>
              <w:top w:val="single" w:color="auto" w:sz="4" w:space="0"/>
              <w:left w:val="single" w:color="auto" w:sz="4" w:space="0"/>
              <w:bottom w:val="single" w:color="auto" w:sz="4" w:space="0"/>
              <w:right w:val="single" w:color="auto" w:sz="4" w:space="0"/>
            </w:tcBorders>
            <w:noWrap/>
            <w:vAlign w:val="center"/>
          </w:tcPr>
          <w:p w14:paraId="5C065F4B">
            <w:pPr>
              <w:spacing w:line="360" w:lineRule="auto"/>
              <w:jc w:val="center"/>
              <w:rPr>
                <w:rFonts w:hint="eastAsia" w:ascii="宋体" w:hAnsi="宋体" w:cs="宋体"/>
                <w:color w:val="auto"/>
                <w:sz w:val="24"/>
                <w:highlight w:val="none"/>
              </w:rPr>
            </w:pPr>
          </w:p>
        </w:tc>
      </w:tr>
      <w:tr w14:paraId="69C5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ign w:val="center"/>
          </w:tcPr>
          <w:p w14:paraId="460F4D3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2242" w:type="dxa"/>
            <w:gridSpan w:val="3"/>
            <w:tcBorders>
              <w:top w:val="single" w:color="auto" w:sz="4" w:space="0"/>
              <w:left w:val="single" w:color="auto" w:sz="4" w:space="0"/>
              <w:bottom w:val="single" w:color="auto" w:sz="4" w:space="0"/>
              <w:right w:val="single" w:color="auto" w:sz="4" w:space="0"/>
            </w:tcBorders>
            <w:noWrap/>
            <w:vAlign w:val="center"/>
          </w:tcPr>
          <w:p w14:paraId="72F352BA">
            <w:pPr>
              <w:spacing w:line="360" w:lineRule="auto"/>
              <w:jc w:val="center"/>
              <w:rPr>
                <w:rFonts w:hint="eastAsia" w:ascii="宋体" w:hAnsi="宋体" w:cs="宋体"/>
                <w:color w:val="auto"/>
                <w:sz w:val="24"/>
                <w:highlight w:val="none"/>
              </w:rPr>
            </w:pPr>
          </w:p>
        </w:tc>
        <w:tc>
          <w:tcPr>
            <w:tcW w:w="1073" w:type="dxa"/>
            <w:gridSpan w:val="2"/>
            <w:tcBorders>
              <w:top w:val="single" w:color="auto" w:sz="4" w:space="0"/>
              <w:left w:val="single" w:color="auto" w:sz="4" w:space="0"/>
              <w:bottom w:val="single" w:color="auto" w:sz="4" w:space="0"/>
              <w:right w:val="single" w:color="auto" w:sz="4" w:space="0"/>
            </w:tcBorders>
            <w:noWrap/>
            <w:vAlign w:val="center"/>
          </w:tcPr>
          <w:p w14:paraId="7EE86D0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帐  号</w:t>
            </w:r>
          </w:p>
        </w:tc>
        <w:tc>
          <w:tcPr>
            <w:tcW w:w="3758" w:type="dxa"/>
            <w:gridSpan w:val="5"/>
            <w:tcBorders>
              <w:top w:val="single" w:color="auto" w:sz="4" w:space="0"/>
              <w:left w:val="single" w:color="auto" w:sz="4" w:space="0"/>
              <w:bottom w:val="single" w:color="auto" w:sz="4" w:space="0"/>
              <w:right w:val="single" w:color="auto" w:sz="4" w:space="0"/>
            </w:tcBorders>
            <w:noWrap/>
            <w:vAlign w:val="center"/>
          </w:tcPr>
          <w:p w14:paraId="4FAACC73">
            <w:pPr>
              <w:spacing w:line="360" w:lineRule="auto"/>
              <w:jc w:val="center"/>
              <w:rPr>
                <w:rFonts w:hint="eastAsia" w:ascii="宋体" w:hAnsi="宋体" w:cs="宋体"/>
                <w:color w:val="auto"/>
                <w:sz w:val="24"/>
                <w:highlight w:val="none"/>
              </w:rPr>
            </w:pPr>
          </w:p>
        </w:tc>
      </w:tr>
      <w:tr w14:paraId="720F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ign w:val="center"/>
          </w:tcPr>
          <w:p w14:paraId="7341B33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7073" w:type="dxa"/>
            <w:gridSpan w:val="10"/>
            <w:tcBorders>
              <w:top w:val="single" w:color="auto" w:sz="4" w:space="0"/>
              <w:left w:val="single" w:color="auto" w:sz="4" w:space="0"/>
              <w:bottom w:val="single" w:color="auto" w:sz="4" w:space="0"/>
              <w:right w:val="single" w:color="auto" w:sz="4" w:space="0"/>
            </w:tcBorders>
            <w:noWrap/>
            <w:vAlign w:val="center"/>
          </w:tcPr>
          <w:p w14:paraId="4E6AD7A1">
            <w:pPr>
              <w:spacing w:line="360" w:lineRule="auto"/>
              <w:jc w:val="center"/>
              <w:rPr>
                <w:rFonts w:hint="eastAsia" w:ascii="宋体" w:hAnsi="宋体" w:cs="宋体"/>
                <w:color w:val="auto"/>
                <w:sz w:val="24"/>
                <w:highlight w:val="none"/>
              </w:rPr>
            </w:pPr>
          </w:p>
        </w:tc>
      </w:tr>
      <w:tr w14:paraId="7775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ign w:val="center"/>
          </w:tcPr>
          <w:p w14:paraId="0851D74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企业总人数</w:t>
            </w:r>
          </w:p>
        </w:tc>
        <w:tc>
          <w:tcPr>
            <w:tcW w:w="960" w:type="dxa"/>
            <w:tcBorders>
              <w:top w:val="single" w:color="auto" w:sz="4" w:space="0"/>
              <w:left w:val="single" w:color="auto" w:sz="4" w:space="0"/>
              <w:bottom w:val="single" w:color="auto" w:sz="4" w:space="0"/>
              <w:right w:val="single" w:color="auto" w:sz="4" w:space="0"/>
            </w:tcBorders>
            <w:noWrap/>
            <w:vAlign w:val="center"/>
          </w:tcPr>
          <w:p w14:paraId="4F2C186C">
            <w:pPr>
              <w:spacing w:line="360" w:lineRule="auto"/>
              <w:jc w:val="center"/>
              <w:rPr>
                <w:rFonts w:hint="eastAsia" w:ascii="宋体" w:hAnsi="宋体" w:cs="宋体"/>
                <w:color w:val="auto"/>
                <w:sz w:val="24"/>
                <w:highlight w:val="none"/>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21FDC78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管理</w:t>
            </w:r>
          </w:p>
          <w:p w14:paraId="720D55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人员</w:t>
            </w:r>
          </w:p>
        </w:tc>
        <w:tc>
          <w:tcPr>
            <w:tcW w:w="1035" w:type="dxa"/>
            <w:gridSpan w:val="2"/>
            <w:tcBorders>
              <w:top w:val="single" w:color="auto" w:sz="4" w:space="0"/>
              <w:left w:val="single" w:color="auto" w:sz="4" w:space="0"/>
              <w:bottom w:val="single" w:color="auto" w:sz="4" w:space="0"/>
              <w:right w:val="single" w:color="auto" w:sz="4" w:space="0"/>
            </w:tcBorders>
            <w:noWrap/>
            <w:vAlign w:val="center"/>
          </w:tcPr>
          <w:p w14:paraId="5EAD8523">
            <w:pPr>
              <w:spacing w:line="360" w:lineRule="auto"/>
              <w:jc w:val="center"/>
              <w:rPr>
                <w:rFonts w:hint="eastAsia" w:ascii="宋体" w:hAnsi="宋体" w:cs="宋体"/>
                <w:color w:val="auto"/>
                <w:sz w:val="24"/>
                <w:highlight w:val="none"/>
              </w:rPr>
            </w:pPr>
          </w:p>
        </w:tc>
        <w:tc>
          <w:tcPr>
            <w:tcW w:w="960" w:type="dxa"/>
            <w:gridSpan w:val="2"/>
            <w:tcBorders>
              <w:top w:val="single" w:color="auto" w:sz="4" w:space="0"/>
              <w:left w:val="single" w:color="auto" w:sz="4" w:space="0"/>
              <w:bottom w:val="single" w:color="auto" w:sz="4" w:space="0"/>
              <w:right w:val="single" w:color="auto" w:sz="4" w:space="0"/>
            </w:tcBorders>
            <w:noWrap/>
            <w:vAlign w:val="center"/>
          </w:tcPr>
          <w:p w14:paraId="3D9F524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w:t>
            </w:r>
          </w:p>
          <w:p w14:paraId="20A7FBD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人员</w:t>
            </w:r>
          </w:p>
        </w:tc>
        <w:tc>
          <w:tcPr>
            <w:tcW w:w="818" w:type="dxa"/>
            <w:tcBorders>
              <w:top w:val="single" w:color="auto" w:sz="4" w:space="0"/>
              <w:left w:val="single" w:color="auto" w:sz="4" w:space="0"/>
              <w:bottom w:val="single" w:color="auto" w:sz="4" w:space="0"/>
              <w:right w:val="single" w:color="auto" w:sz="4" w:space="0"/>
            </w:tcBorders>
            <w:noWrap/>
            <w:vAlign w:val="center"/>
          </w:tcPr>
          <w:p w14:paraId="6E0B7574">
            <w:pPr>
              <w:spacing w:line="360" w:lineRule="auto"/>
              <w:jc w:val="center"/>
              <w:rPr>
                <w:rFonts w:hint="eastAsia" w:ascii="宋体" w:hAnsi="宋体" w:cs="宋体"/>
                <w:color w:val="auto"/>
                <w:sz w:val="24"/>
                <w:highlight w:val="none"/>
              </w:rPr>
            </w:pPr>
          </w:p>
        </w:tc>
        <w:tc>
          <w:tcPr>
            <w:tcW w:w="1086" w:type="dxa"/>
            <w:tcBorders>
              <w:top w:val="single" w:color="auto" w:sz="4" w:space="0"/>
              <w:left w:val="single" w:color="auto" w:sz="4" w:space="0"/>
              <w:bottom w:val="single" w:color="auto" w:sz="4" w:space="0"/>
              <w:right w:val="single" w:color="auto" w:sz="4" w:space="0"/>
            </w:tcBorders>
            <w:noWrap/>
            <w:vAlign w:val="center"/>
          </w:tcPr>
          <w:p w14:paraId="0AC9F90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职工</w:t>
            </w:r>
          </w:p>
          <w:p w14:paraId="3A56CEB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人员</w:t>
            </w:r>
          </w:p>
        </w:tc>
        <w:tc>
          <w:tcPr>
            <w:tcW w:w="1389" w:type="dxa"/>
            <w:gridSpan w:val="2"/>
            <w:tcBorders>
              <w:top w:val="single" w:color="auto" w:sz="4" w:space="0"/>
              <w:left w:val="single" w:color="auto" w:sz="4" w:space="0"/>
              <w:bottom w:val="single" w:color="auto" w:sz="4" w:space="0"/>
              <w:right w:val="single" w:color="auto" w:sz="4" w:space="0"/>
            </w:tcBorders>
            <w:noWrap/>
            <w:vAlign w:val="center"/>
          </w:tcPr>
          <w:p w14:paraId="5F4F4109">
            <w:pPr>
              <w:spacing w:line="360" w:lineRule="auto"/>
              <w:jc w:val="center"/>
              <w:rPr>
                <w:rFonts w:hint="eastAsia" w:ascii="宋体" w:hAnsi="宋体" w:cs="宋体"/>
                <w:color w:val="auto"/>
                <w:sz w:val="24"/>
                <w:highlight w:val="none"/>
              </w:rPr>
            </w:pPr>
          </w:p>
        </w:tc>
      </w:tr>
      <w:tr w14:paraId="2F6E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394" w:type="dxa"/>
            <w:tcBorders>
              <w:top w:val="single" w:color="auto" w:sz="4" w:space="0"/>
              <w:left w:val="single" w:color="auto" w:sz="4" w:space="0"/>
              <w:bottom w:val="single" w:color="auto" w:sz="4" w:space="0"/>
              <w:right w:val="single" w:color="auto" w:sz="4" w:space="0"/>
            </w:tcBorders>
            <w:noWrap/>
            <w:vAlign w:val="center"/>
          </w:tcPr>
          <w:p w14:paraId="2FEF5A9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7073" w:type="dxa"/>
            <w:gridSpan w:val="10"/>
            <w:tcBorders>
              <w:top w:val="single" w:color="auto" w:sz="4" w:space="0"/>
              <w:left w:val="single" w:color="auto" w:sz="4" w:space="0"/>
              <w:bottom w:val="single" w:color="auto" w:sz="4" w:space="0"/>
              <w:right w:val="single" w:color="auto" w:sz="4" w:space="0"/>
            </w:tcBorders>
            <w:noWrap/>
            <w:vAlign w:val="center"/>
          </w:tcPr>
          <w:p w14:paraId="3C5BA28A">
            <w:pPr>
              <w:spacing w:line="360" w:lineRule="auto"/>
              <w:jc w:val="center"/>
              <w:rPr>
                <w:rFonts w:hint="eastAsia" w:ascii="宋体" w:hAnsi="宋体" w:cs="宋体"/>
                <w:color w:val="auto"/>
                <w:sz w:val="24"/>
                <w:highlight w:val="none"/>
              </w:rPr>
            </w:pPr>
          </w:p>
        </w:tc>
      </w:tr>
      <w:tr w14:paraId="6822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394" w:type="dxa"/>
            <w:tcBorders>
              <w:top w:val="single" w:color="auto" w:sz="4" w:space="0"/>
              <w:left w:val="single" w:color="auto" w:sz="4" w:space="0"/>
              <w:bottom w:val="single" w:color="auto" w:sz="4" w:space="0"/>
              <w:right w:val="single" w:color="auto" w:sz="4" w:space="0"/>
            </w:tcBorders>
            <w:noWrap/>
            <w:vAlign w:val="center"/>
          </w:tcPr>
          <w:p w14:paraId="45F1AB4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企业现有的资质证书</w:t>
            </w:r>
          </w:p>
        </w:tc>
        <w:tc>
          <w:tcPr>
            <w:tcW w:w="7073" w:type="dxa"/>
            <w:gridSpan w:val="10"/>
            <w:tcBorders>
              <w:top w:val="single" w:color="auto" w:sz="4" w:space="0"/>
              <w:left w:val="single" w:color="auto" w:sz="4" w:space="0"/>
              <w:bottom w:val="single" w:color="auto" w:sz="4" w:space="0"/>
              <w:right w:val="single" w:color="auto" w:sz="4" w:space="0"/>
            </w:tcBorders>
            <w:noWrap/>
            <w:vAlign w:val="center"/>
          </w:tcPr>
          <w:p w14:paraId="10DE66E6">
            <w:pPr>
              <w:spacing w:line="360" w:lineRule="auto"/>
              <w:jc w:val="center"/>
              <w:rPr>
                <w:rFonts w:hint="eastAsia" w:ascii="宋体" w:hAnsi="宋体" w:cs="宋体"/>
                <w:color w:val="auto"/>
                <w:sz w:val="24"/>
                <w:highlight w:val="none"/>
              </w:rPr>
            </w:pPr>
          </w:p>
        </w:tc>
      </w:tr>
    </w:tbl>
    <w:p w14:paraId="65D678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注：表格不能满足时可自行增加。</w:t>
      </w:r>
    </w:p>
    <w:p w14:paraId="0F1B2BD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法定代表人（负责人）或授权代表签字：</w:t>
      </w:r>
    </w:p>
    <w:p w14:paraId="2F15AB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供应商公章：</w:t>
      </w:r>
    </w:p>
    <w:p w14:paraId="244D5AE8">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00E6DAB3">
      <w:pPr>
        <w:pStyle w:val="4"/>
        <w:adjustRightInd w:val="0"/>
        <w:snapToGrid w:val="0"/>
        <w:spacing w:line="360" w:lineRule="auto"/>
        <w:rPr>
          <w:rFonts w:hint="eastAsia" w:ascii="宋体" w:hAnsi="宋体" w:cs="宋体"/>
          <w:color w:val="auto"/>
          <w:sz w:val="24"/>
          <w:szCs w:val="24"/>
          <w:highlight w:val="none"/>
        </w:rPr>
      </w:pPr>
    </w:p>
    <w:p w14:paraId="01F9E2C1">
      <w:pPr>
        <w:pStyle w:val="4"/>
        <w:adjustRightInd w:val="0"/>
        <w:snapToGrid w:val="0"/>
        <w:spacing w:line="360" w:lineRule="auto"/>
        <w:rPr>
          <w:rFonts w:hint="eastAsia" w:ascii="宋体" w:hAnsi="宋体" w:cs="宋体"/>
          <w:color w:val="auto"/>
          <w:sz w:val="24"/>
          <w:szCs w:val="24"/>
          <w:highlight w:val="none"/>
        </w:rPr>
      </w:pPr>
    </w:p>
    <w:p w14:paraId="6504777E">
      <w:pPr>
        <w:pStyle w:val="4"/>
        <w:adjustRightInd w:val="0"/>
        <w:snapToGrid w:val="0"/>
        <w:spacing w:line="360" w:lineRule="auto"/>
        <w:rPr>
          <w:rFonts w:hint="eastAsia" w:ascii="宋体" w:hAnsi="宋体" w:cs="宋体"/>
          <w:color w:val="auto"/>
          <w:sz w:val="24"/>
          <w:szCs w:val="24"/>
          <w:highlight w:val="none"/>
        </w:rPr>
      </w:pPr>
    </w:p>
    <w:p w14:paraId="3F778198">
      <w:pPr>
        <w:pStyle w:val="4"/>
        <w:adjustRightInd w:val="0"/>
        <w:snapToGrid w:val="0"/>
        <w:spacing w:line="360" w:lineRule="auto"/>
        <w:rPr>
          <w:rFonts w:hint="eastAsia" w:ascii="宋体" w:hAnsi="宋体" w:cs="宋体"/>
          <w:color w:val="auto"/>
          <w:sz w:val="24"/>
          <w:szCs w:val="24"/>
          <w:highlight w:val="none"/>
        </w:rPr>
      </w:pPr>
    </w:p>
    <w:p w14:paraId="77731DDD">
      <w:pPr>
        <w:pStyle w:val="4"/>
        <w:adjustRightInd w:val="0"/>
        <w:snapToGrid w:val="0"/>
        <w:spacing w:line="360" w:lineRule="auto"/>
        <w:rPr>
          <w:rFonts w:hint="eastAsia" w:ascii="宋体" w:hAnsi="宋体" w:cs="宋体"/>
          <w:color w:val="auto"/>
          <w:sz w:val="24"/>
          <w:szCs w:val="24"/>
          <w:highlight w:val="none"/>
        </w:rPr>
      </w:pPr>
    </w:p>
    <w:p w14:paraId="5023585D">
      <w:pPr>
        <w:pStyle w:val="4"/>
        <w:adjustRightInd w:val="0"/>
        <w:snapToGrid w:val="0"/>
        <w:spacing w:line="360" w:lineRule="auto"/>
        <w:rPr>
          <w:rFonts w:hint="eastAsia" w:ascii="宋体" w:hAnsi="宋体" w:cs="宋体"/>
          <w:color w:val="auto"/>
          <w:sz w:val="24"/>
          <w:szCs w:val="24"/>
          <w:highlight w:val="none"/>
        </w:rPr>
      </w:pPr>
    </w:p>
    <w:p w14:paraId="0642B47B">
      <w:pPr>
        <w:pStyle w:val="4"/>
        <w:adjustRightInd w:val="0"/>
        <w:snapToGrid w:val="0"/>
        <w:spacing w:line="360" w:lineRule="auto"/>
        <w:rPr>
          <w:rFonts w:hint="eastAsia" w:ascii="宋体" w:hAnsi="宋体" w:cs="宋体"/>
          <w:color w:val="auto"/>
          <w:sz w:val="24"/>
          <w:szCs w:val="24"/>
          <w:highlight w:val="none"/>
        </w:rPr>
      </w:pPr>
    </w:p>
    <w:p w14:paraId="68E3D3A0">
      <w:pPr>
        <w:pStyle w:val="4"/>
        <w:adjustRightInd w:val="0"/>
        <w:snapToGrid w:val="0"/>
        <w:spacing w:line="360" w:lineRule="auto"/>
        <w:rPr>
          <w:rFonts w:hint="eastAsia" w:ascii="宋体" w:hAnsi="宋体" w:cs="宋体"/>
          <w:color w:val="auto"/>
          <w:sz w:val="24"/>
          <w:szCs w:val="24"/>
          <w:highlight w:val="none"/>
        </w:rPr>
      </w:pPr>
    </w:p>
    <w:p w14:paraId="49319E1B">
      <w:pPr>
        <w:rPr>
          <w:color w:val="auto"/>
          <w:highlight w:val="none"/>
        </w:rPr>
      </w:pPr>
    </w:p>
    <w:p w14:paraId="28ED31FF">
      <w:pPr>
        <w:rPr>
          <w:color w:val="auto"/>
          <w:highlight w:val="none"/>
        </w:rPr>
      </w:pPr>
    </w:p>
    <w:p w14:paraId="08AE74A1">
      <w:pPr>
        <w:rPr>
          <w:color w:val="auto"/>
          <w:highlight w:val="none"/>
        </w:rPr>
      </w:pPr>
    </w:p>
    <w:p w14:paraId="201119F3">
      <w:pPr>
        <w:rPr>
          <w:color w:val="auto"/>
          <w:highlight w:val="none"/>
        </w:rPr>
      </w:pPr>
    </w:p>
    <w:p w14:paraId="1ECC2007">
      <w:pPr>
        <w:rPr>
          <w:color w:val="auto"/>
          <w:highlight w:val="none"/>
        </w:rPr>
      </w:pPr>
    </w:p>
    <w:p w14:paraId="6B1D5A7A">
      <w:pPr>
        <w:rPr>
          <w:color w:val="auto"/>
          <w:highlight w:val="none"/>
        </w:rPr>
      </w:pPr>
    </w:p>
    <w:p w14:paraId="63DC225C">
      <w:pPr>
        <w:pStyle w:val="4"/>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w:t>
      </w:r>
      <w:r>
        <w:rPr>
          <w:rFonts w:hint="eastAsia" w:ascii="宋体" w:hAnsi="宋体" w:cs="宋体"/>
          <w:color w:val="auto"/>
          <w:sz w:val="24"/>
          <w:szCs w:val="24"/>
          <w:highlight w:val="none"/>
        </w:rPr>
        <w:t>供应商廉洁守信承诺书格式</w:t>
      </w:r>
      <w:r>
        <w:rPr>
          <w:rFonts w:hint="eastAsia" w:ascii="宋体" w:hAnsi="宋体" w:cs="宋体"/>
          <w:color w:val="auto"/>
          <w:sz w:val="24"/>
          <w:szCs w:val="24"/>
          <w:highlight w:val="none"/>
          <w:lang w:val="zh-CN"/>
        </w:rPr>
        <w:t>：</w:t>
      </w:r>
    </w:p>
    <w:p w14:paraId="4B516F3D">
      <w:pPr>
        <w:pStyle w:val="4"/>
        <w:adjustRightInd w:val="0"/>
        <w:snapToGrid w:val="0"/>
        <w:spacing w:line="360" w:lineRule="auto"/>
        <w:jc w:val="center"/>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供应商廉洁守信承诺书</w:t>
      </w:r>
    </w:p>
    <w:p w14:paraId="3B951FE3">
      <w:pPr>
        <w:rPr>
          <w:color w:val="auto"/>
          <w:highlight w:val="none"/>
          <w:lang w:val="zh-CN"/>
        </w:rPr>
      </w:pPr>
    </w:p>
    <w:p w14:paraId="075925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本公司决定参加  　                       项目磋商。为维护公平竞争的市场秩序，促进企业廉洁从业、诚实守信，特承诺如下：</w:t>
      </w:r>
    </w:p>
    <w:p w14:paraId="1B427A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一、严格遵守《中华人民共和国招标投标法》、《中华人民共和国政府采购法》等法律法规，决不发生以下行为：</w:t>
      </w:r>
    </w:p>
    <w:p w14:paraId="53038F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1.以他人名义磋商，允许其他单位或个人使用本单位资质磋商；</w:t>
      </w:r>
    </w:p>
    <w:p w14:paraId="099260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2.提供虚假材料，或以其他方式弄虚作假骗取成交；</w:t>
      </w:r>
    </w:p>
    <w:p w14:paraId="0D19EF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3.与采购单位或者其他供应商相互串通磋商；</w:t>
      </w:r>
    </w:p>
    <w:p w14:paraId="038F3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4.成交后将项目转包，或违法分包；</w:t>
      </w:r>
    </w:p>
    <w:p w14:paraId="77ED0C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5.成交后与采购单位签订背离磋商响应文件及合同实质性内容的私下协议；</w:t>
      </w:r>
    </w:p>
    <w:p w14:paraId="3F1B60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6.其他违反招标投标、政府采购等法律法规的行为。</w:t>
      </w:r>
    </w:p>
    <w:p w14:paraId="06BC07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二、不以任何理由给予建设单位、主管部门、相关单位及其工作人员、专家评委以下好处：</w:t>
      </w:r>
    </w:p>
    <w:p w14:paraId="134E0B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1.赠送礼金、有价证券、贵重物品，或给予回扣、感谢费、劳务费等各种名目的经费；</w:t>
      </w:r>
    </w:p>
    <w:p w14:paraId="23F229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2.报销应由上述单位或个人支付的费用；</w:t>
      </w:r>
    </w:p>
    <w:p w14:paraId="2ACD4B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3.赠送或提供通讯工具、交通工具和高档办公用品等；</w:t>
      </w:r>
    </w:p>
    <w:p w14:paraId="7F089D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4.提供宴请、健身、旅游、娱乐等高消费活动；</w:t>
      </w:r>
    </w:p>
    <w:p w14:paraId="6CE630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5.无偿或明显低于市场价装修住房。</w:t>
      </w:r>
    </w:p>
    <w:p w14:paraId="2650BE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三、不以任何理由为建设单位、主管部门、相关单位的工作人员及其配偶、子女等亲属的工作安排以及出国（境）等提供方便。</w:t>
      </w:r>
    </w:p>
    <w:p w14:paraId="606BAC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四、自觉接受有关部门和派驻廉政监察组等机构的监督，积极配合建设单位开展廉政文化进工程工作，加强廉洁从业环境宣传、项目管理制度建设，多种形式开展廉洁教育。</w:t>
      </w:r>
    </w:p>
    <w:p w14:paraId="3FE3CB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上述承诺如有违反，愿接受录入诚信档案的处理，构成违纪违法的，由相关部门依纪依法作出处理。</w:t>
      </w:r>
    </w:p>
    <w:p w14:paraId="06DB39E2">
      <w:pPr>
        <w:spacing w:line="360" w:lineRule="auto"/>
        <w:ind w:firstLine="480" w:firstLineChars="200"/>
        <w:rPr>
          <w:rFonts w:hint="eastAsia" w:ascii="宋体" w:hAnsi="宋体" w:cs="宋体"/>
          <w:color w:val="auto"/>
          <w:sz w:val="24"/>
          <w:highlight w:val="none"/>
        </w:rPr>
      </w:pPr>
    </w:p>
    <w:p w14:paraId="79B4C3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法定代表人或授权代表（签字或盖章）：             </w:t>
      </w:r>
    </w:p>
    <w:p w14:paraId="21D225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供应商公章：                                   </w:t>
      </w:r>
    </w:p>
    <w:p w14:paraId="783639B8">
      <w:pPr>
        <w:spacing w:line="360" w:lineRule="auto"/>
        <w:ind w:firstLine="480" w:firstLineChars="200"/>
        <w:rPr>
          <w:rFonts w:hint="eastAsia" w:ascii="宋体" w:hAnsi="宋体" w:cs="宋体"/>
          <w:color w:val="auto"/>
          <w:sz w:val="24"/>
          <w:highlight w:val="none"/>
        </w:rPr>
      </w:pPr>
    </w:p>
    <w:p w14:paraId="01BB92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年    月    日</w:t>
      </w:r>
    </w:p>
    <w:p w14:paraId="480D15D2">
      <w:pPr>
        <w:pStyle w:val="4"/>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商务响应表格式：</w:t>
      </w:r>
    </w:p>
    <w:p w14:paraId="1DBA8412">
      <w:pPr>
        <w:adjustRightInd w:val="0"/>
        <w:snapToGrid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商务响应表</w:t>
      </w:r>
    </w:p>
    <w:tbl>
      <w:tblPr>
        <w:tblStyle w:val="43"/>
        <w:tblW w:w="9237" w:type="dxa"/>
        <w:jc w:val="center"/>
        <w:tblLayout w:type="fixed"/>
        <w:tblCellMar>
          <w:top w:w="0" w:type="dxa"/>
          <w:left w:w="10" w:type="dxa"/>
          <w:bottom w:w="0" w:type="dxa"/>
          <w:right w:w="10" w:type="dxa"/>
        </w:tblCellMar>
      </w:tblPr>
      <w:tblGrid>
        <w:gridCol w:w="2520"/>
        <w:gridCol w:w="3162"/>
        <w:gridCol w:w="1200"/>
        <w:gridCol w:w="2355"/>
      </w:tblGrid>
      <w:tr w14:paraId="1DFC9A9B">
        <w:tblPrEx>
          <w:tblCellMar>
            <w:top w:w="0" w:type="dxa"/>
            <w:left w:w="10" w:type="dxa"/>
            <w:bottom w:w="0" w:type="dxa"/>
            <w:right w:w="10" w:type="dxa"/>
          </w:tblCellMar>
        </w:tblPrEx>
        <w:trPr>
          <w:trHeight w:val="353" w:hRule="exact"/>
          <w:jc w:val="center"/>
        </w:trPr>
        <w:tc>
          <w:tcPr>
            <w:tcW w:w="2520" w:type="dxa"/>
            <w:tcBorders>
              <w:top w:val="single" w:color="auto" w:sz="6" w:space="0"/>
              <w:left w:val="single" w:color="auto" w:sz="6" w:space="0"/>
              <w:bottom w:val="single" w:color="auto" w:sz="6" w:space="0"/>
              <w:right w:val="single" w:color="auto" w:sz="6" w:space="0"/>
            </w:tcBorders>
            <w:noWrap/>
            <w:vAlign w:val="center"/>
          </w:tcPr>
          <w:p w14:paraId="5368695E">
            <w:pPr>
              <w:autoSpaceDE w:val="0"/>
              <w:autoSpaceDN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项目</w:t>
            </w:r>
          </w:p>
        </w:tc>
        <w:tc>
          <w:tcPr>
            <w:tcW w:w="3162" w:type="dxa"/>
            <w:tcBorders>
              <w:top w:val="single" w:color="auto" w:sz="6" w:space="0"/>
              <w:left w:val="single" w:color="auto" w:sz="6" w:space="0"/>
              <w:bottom w:val="single" w:color="auto" w:sz="6" w:space="0"/>
              <w:right w:val="single" w:color="auto" w:sz="6" w:space="0"/>
            </w:tcBorders>
            <w:noWrap/>
            <w:vAlign w:val="center"/>
          </w:tcPr>
          <w:p w14:paraId="045A4985">
            <w:pPr>
              <w:autoSpaceDE w:val="0"/>
              <w:autoSpaceDN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磋商文件要求</w:t>
            </w:r>
          </w:p>
        </w:tc>
        <w:tc>
          <w:tcPr>
            <w:tcW w:w="1200" w:type="dxa"/>
            <w:tcBorders>
              <w:top w:val="single" w:color="auto" w:sz="6" w:space="0"/>
              <w:left w:val="single" w:color="auto" w:sz="6" w:space="0"/>
              <w:bottom w:val="single" w:color="auto" w:sz="6" w:space="0"/>
              <w:right w:val="single" w:color="auto" w:sz="6" w:space="0"/>
            </w:tcBorders>
            <w:noWrap/>
            <w:vAlign w:val="center"/>
          </w:tcPr>
          <w:p w14:paraId="5FDA7DC4">
            <w:pPr>
              <w:autoSpaceDE w:val="0"/>
              <w:autoSpaceDN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是否响应</w:t>
            </w:r>
          </w:p>
        </w:tc>
        <w:tc>
          <w:tcPr>
            <w:tcW w:w="2355" w:type="dxa"/>
            <w:tcBorders>
              <w:top w:val="single" w:color="auto" w:sz="6" w:space="0"/>
              <w:left w:val="single" w:color="auto" w:sz="6" w:space="0"/>
              <w:bottom w:val="single" w:color="auto" w:sz="6" w:space="0"/>
              <w:right w:val="single" w:color="auto" w:sz="6" w:space="0"/>
            </w:tcBorders>
            <w:noWrap/>
            <w:vAlign w:val="center"/>
          </w:tcPr>
          <w:p w14:paraId="04D2EAFF">
            <w:pPr>
              <w:autoSpaceDE w:val="0"/>
              <w:autoSpaceDN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供应商的承诺或说明</w:t>
            </w:r>
          </w:p>
        </w:tc>
      </w:tr>
      <w:tr w14:paraId="68A7A333">
        <w:tblPrEx>
          <w:tblCellMar>
            <w:top w:w="0" w:type="dxa"/>
            <w:left w:w="10" w:type="dxa"/>
            <w:bottom w:w="0" w:type="dxa"/>
            <w:right w:w="10" w:type="dxa"/>
          </w:tblCellMar>
        </w:tblPrEx>
        <w:trPr>
          <w:trHeight w:val="805" w:hRule="exact"/>
          <w:jc w:val="center"/>
        </w:trPr>
        <w:tc>
          <w:tcPr>
            <w:tcW w:w="2520" w:type="dxa"/>
            <w:tcBorders>
              <w:top w:val="single" w:color="auto" w:sz="6" w:space="0"/>
              <w:left w:val="single" w:color="auto" w:sz="6" w:space="0"/>
              <w:bottom w:val="single" w:color="auto" w:sz="6" w:space="0"/>
              <w:right w:val="single" w:color="auto" w:sz="6" w:space="0"/>
            </w:tcBorders>
            <w:noWrap/>
            <w:vAlign w:val="center"/>
          </w:tcPr>
          <w:p w14:paraId="5CC8934B">
            <w:pPr>
              <w:autoSpaceDE w:val="0"/>
              <w:autoSpaceDN w:val="0"/>
              <w:spacing w:line="360" w:lineRule="auto"/>
              <w:jc w:val="center"/>
              <w:rPr>
                <w:rFonts w:hint="eastAsia" w:ascii="宋体" w:hAnsi="宋体" w:cs="宋体"/>
                <w:color w:val="auto"/>
                <w:sz w:val="24"/>
                <w:highlight w:val="none"/>
                <w:lang w:val="zh-CN"/>
              </w:rPr>
            </w:pPr>
          </w:p>
        </w:tc>
        <w:tc>
          <w:tcPr>
            <w:tcW w:w="3162" w:type="dxa"/>
            <w:tcBorders>
              <w:top w:val="single" w:color="auto" w:sz="6" w:space="0"/>
              <w:left w:val="single" w:color="auto" w:sz="6" w:space="0"/>
              <w:bottom w:val="single" w:color="auto" w:sz="6" w:space="0"/>
              <w:right w:val="single" w:color="auto" w:sz="6" w:space="0"/>
            </w:tcBorders>
            <w:noWrap/>
            <w:vAlign w:val="center"/>
          </w:tcPr>
          <w:p w14:paraId="2ADD7198">
            <w:pPr>
              <w:autoSpaceDE w:val="0"/>
              <w:autoSpaceDN w:val="0"/>
              <w:spacing w:line="360" w:lineRule="auto"/>
              <w:jc w:val="center"/>
              <w:rPr>
                <w:rFonts w:hint="eastAsia" w:ascii="宋体" w:hAnsi="宋体" w:cs="宋体"/>
                <w:color w:val="auto"/>
                <w:sz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ign w:val="center"/>
          </w:tcPr>
          <w:p w14:paraId="35B1B5AE">
            <w:pPr>
              <w:autoSpaceDE w:val="0"/>
              <w:autoSpaceDN w:val="0"/>
              <w:spacing w:line="360" w:lineRule="auto"/>
              <w:jc w:val="center"/>
              <w:rPr>
                <w:rFonts w:hint="eastAsia" w:ascii="宋体" w:hAnsi="宋体" w:cs="宋体"/>
                <w:color w:val="auto"/>
                <w:sz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ign w:val="center"/>
          </w:tcPr>
          <w:p w14:paraId="7DF4E87C">
            <w:pPr>
              <w:autoSpaceDE w:val="0"/>
              <w:autoSpaceDN w:val="0"/>
              <w:spacing w:line="360" w:lineRule="auto"/>
              <w:jc w:val="center"/>
              <w:rPr>
                <w:rFonts w:hint="eastAsia" w:ascii="宋体" w:hAnsi="宋体" w:cs="宋体"/>
                <w:color w:val="auto"/>
                <w:sz w:val="24"/>
                <w:highlight w:val="none"/>
                <w:lang w:val="zh-CN"/>
              </w:rPr>
            </w:pPr>
          </w:p>
        </w:tc>
      </w:tr>
      <w:tr w14:paraId="5094525C">
        <w:tblPrEx>
          <w:tblCellMar>
            <w:top w:w="0" w:type="dxa"/>
            <w:left w:w="10" w:type="dxa"/>
            <w:bottom w:w="0" w:type="dxa"/>
            <w:right w:w="10" w:type="dxa"/>
          </w:tblCellMar>
        </w:tblPrEx>
        <w:trPr>
          <w:trHeight w:val="625" w:hRule="exact"/>
          <w:jc w:val="center"/>
        </w:trPr>
        <w:tc>
          <w:tcPr>
            <w:tcW w:w="2520" w:type="dxa"/>
            <w:tcBorders>
              <w:top w:val="single" w:color="auto" w:sz="6" w:space="0"/>
              <w:left w:val="single" w:color="auto" w:sz="6" w:space="0"/>
              <w:bottom w:val="single" w:color="auto" w:sz="6" w:space="0"/>
              <w:right w:val="single" w:color="auto" w:sz="6" w:space="0"/>
            </w:tcBorders>
            <w:noWrap/>
            <w:vAlign w:val="center"/>
          </w:tcPr>
          <w:p w14:paraId="3BF125C7">
            <w:pPr>
              <w:autoSpaceDE w:val="0"/>
              <w:autoSpaceDN w:val="0"/>
              <w:spacing w:line="360" w:lineRule="auto"/>
              <w:jc w:val="center"/>
              <w:rPr>
                <w:rFonts w:hint="eastAsia" w:ascii="宋体" w:hAnsi="宋体" w:cs="宋体"/>
                <w:color w:val="auto"/>
                <w:sz w:val="24"/>
                <w:highlight w:val="none"/>
                <w:lang w:val="zh-CN"/>
              </w:rPr>
            </w:pPr>
          </w:p>
        </w:tc>
        <w:tc>
          <w:tcPr>
            <w:tcW w:w="3162" w:type="dxa"/>
            <w:tcBorders>
              <w:top w:val="single" w:color="auto" w:sz="6" w:space="0"/>
              <w:left w:val="single" w:color="auto" w:sz="6" w:space="0"/>
              <w:bottom w:val="single" w:color="auto" w:sz="6" w:space="0"/>
              <w:right w:val="single" w:color="auto" w:sz="6" w:space="0"/>
            </w:tcBorders>
            <w:noWrap/>
            <w:vAlign w:val="center"/>
          </w:tcPr>
          <w:p w14:paraId="1E055143">
            <w:pPr>
              <w:autoSpaceDE w:val="0"/>
              <w:autoSpaceDN w:val="0"/>
              <w:spacing w:line="360" w:lineRule="auto"/>
              <w:jc w:val="center"/>
              <w:rPr>
                <w:rFonts w:hint="eastAsia" w:ascii="宋体" w:hAnsi="宋体" w:cs="宋体"/>
                <w:color w:val="auto"/>
                <w:sz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ign w:val="center"/>
          </w:tcPr>
          <w:p w14:paraId="4E0DE26B">
            <w:pPr>
              <w:autoSpaceDE w:val="0"/>
              <w:autoSpaceDN w:val="0"/>
              <w:spacing w:line="360" w:lineRule="auto"/>
              <w:jc w:val="center"/>
              <w:rPr>
                <w:rFonts w:hint="eastAsia" w:ascii="宋体" w:hAnsi="宋体" w:cs="宋体"/>
                <w:color w:val="auto"/>
                <w:sz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ign w:val="center"/>
          </w:tcPr>
          <w:p w14:paraId="2EBB667B">
            <w:pPr>
              <w:autoSpaceDE w:val="0"/>
              <w:autoSpaceDN w:val="0"/>
              <w:spacing w:line="360" w:lineRule="auto"/>
              <w:jc w:val="center"/>
              <w:rPr>
                <w:rFonts w:hint="eastAsia" w:ascii="宋体" w:hAnsi="宋体" w:cs="宋体"/>
                <w:color w:val="auto"/>
                <w:sz w:val="24"/>
                <w:highlight w:val="none"/>
                <w:lang w:val="zh-CN"/>
              </w:rPr>
            </w:pPr>
          </w:p>
        </w:tc>
      </w:tr>
      <w:tr w14:paraId="633F7BEB">
        <w:tblPrEx>
          <w:tblCellMar>
            <w:top w:w="0" w:type="dxa"/>
            <w:left w:w="10" w:type="dxa"/>
            <w:bottom w:w="0" w:type="dxa"/>
            <w:right w:w="10" w:type="dxa"/>
          </w:tblCellMar>
        </w:tblPrEx>
        <w:trPr>
          <w:trHeight w:val="760" w:hRule="exact"/>
          <w:jc w:val="center"/>
        </w:trPr>
        <w:tc>
          <w:tcPr>
            <w:tcW w:w="2520" w:type="dxa"/>
            <w:tcBorders>
              <w:top w:val="single" w:color="auto" w:sz="6" w:space="0"/>
              <w:left w:val="single" w:color="auto" w:sz="6" w:space="0"/>
              <w:bottom w:val="single" w:color="auto" w:sz="6" w:space="0"/>
              <w:right w:val="single" w:color="auto" w:sz="6" w:space="0"/>
            </w:tcBorders>
            <w:noWrap/>
            <w:vAlign w:val="center"/>
          </w:tcPr>
          <w:p w14:paraId="650A3834">
            <w:pPr>
              <w:autoSpaceDE w:val="0"/>
              <w:autoSpaceDN w:val="0"/>
              <w:spacing w:line="360" w:lineRule="auto"/>
              <w:jc w:val="center"/>
              <w:rPr>
                <w:rFonts w:hint="eastAsia" w:ascii="宋体" w:hAnsi="宋体" w:cs="宋体"/>
                <w:color w:val="auto"/>
                <w:sz w:val="24"/>
                <w:highlight w:val="none"/>
                <w:lang w:val="zh-CN"/>
              </w:rPr>
            </w:pPr>
          </w:p>
        </w:tc>
        <w:tc>
          <w:tcPr>
            <w:tcW w:w="3162" w:type="dxa"/>
            <w:tcBorders>
              <w:top w:val="single" w:color="auto" w:sz="6" w:space="0"/>
              <w:left w:val="single" w:color="auto" w:sz="6" w:space="0"/>
              <w:bottom w:val="single" w:color="auto" w:sz="6" w:space="0"/>
              <w:right w:val="single" w:color="auto" w:sz="6" w:space="0"/>
            </w:tcBorders>
            <w:noWrap/>
            <w:vAlign w:val="center"/>
          </w:tcPr>
          <w:p w14:paraId="69EFD011">
            <w:pPr>
              <w:autoSpaceDE w:val="0"/>
              <w:autoSpaceDN w:val="0"/>
              <w:spacing w:line="360" w:lineRule="auto"/>
              <w:jc w:val="center"/>
              <w:rPr>
                <w:rFonts w:hint="eastAsia" w:ascii="宋体" w:hAnsi="宋体" w:cs="宋体"/>
                <w:color w:val="auto"/>
                <w:sz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ign w:val="center"/>
          </w:tcPr>
          <w:p w14:paraId="3F20228C">
            <w:pPr>
              <w:autoSpaceDE w:val="0"/>
              <w:autoSpaceDN w:val="0"/>
              <w:spacing w:line="360" w:lineRule="auto"/>
              <w:jc w:val="center"/>
              <w:rPr>
                <w:rFonts w:hint="eastAsia" w:ascii="宋体" w:hAnsi="宋体" w:cs="宋体"/>
                <w:color w:val="auto"/>
                <w:sz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ign w:val="center"/>
          </w:tcPr>
          <w:p w14:paraId="5682E140">
            <w:pPr>
              <w:autoSpaceDE w:val="0"/>
              <w:autoSpaceDN w:val="0"/>
              <w:spacing w:line="360" w:lineRule="auto"/>
              <w:jc w:val="center"/>
              <w:rPr>
                <w:rFonts w:hint="eastAsia" w:ascii="宋体" w:hAnsi="宋体" w:cs="宋体"/>
                <w:color w:val="auto"/>
                <w:sz w:val="24"/>
                <w:highlight w:val="none"/>
                <w:lang w:val="zh-CN"/>
              </w:rPr>
            </w:pPr>
          </w:p>
        </w:tc>
      </w:tr>
      <w:tr w14:paraId="003FF2CA">
        <w:tblPrEx>
          <w:tblCellMar>
            <w:top w:w="0" w:type="dxa"/>
            <w:left w:w="10" w:type="dxa"/>
            <w:bottom w:w="0" w:type="dxa"/>
            <w:right w:w="10" w:type="dxa"/>
          </w:tblCellMar>
        </w:tblPrEx>
        <w:trPr>
          <w:trHeight w:val="895" w:hRule="exact"/>
          <w:jc w:val="center"/>
        </w:trPr>
        <w:tc>
          <w:tcPr>
            <w:tcW w:w="2520" w:type="dxa"/>
            <w:tcBorders>
              <w:top w:val="single" w:color="auto" w:sz="6" w:space="0"/>
              <w:left w:val="single" w:color="auto" w:sz="6" w:space="0"/>
              <w:bottom w:val="single" w:color="auto" w:sz="6" w:space="0"/>
              <w:right w:val="single" w:color="auto" w:sz="6" w:space="0"/>
            </w:tcBorders>
            <w:noWrap/>
            <w:vAlign w:val="center"/>
          </w:tcPr>
          <w:p w14:paraId="42AF04A0">
            <w:pPr>
              <w:autoSpaceDE w:val="0"/>
              <w:autoSpaceDN w:val="0"/>
              <w:spacing w:line="360" w:lineRule="auto"/>
              <w:jc w:val="center"/>
              <w:rPr>
                <w:rFonts w:hint="eastAsia" w:ascii="宋体" w:hAnsi="宋体" w:cs="宋体"/>
                <w:color w:val="auto"/>
                <w:sz w:val="24"/>
                <w:highlight w:val="none"/>
                <w:lang w:val="zh-CN"/>
              </w:rPr>
            </w:pPr>
          </w:p>
        </w:tc>
        <w:tc>
          <w:tcPr>
            <w:tcW w:w="3162" w:type="dxa"/>
            <w:tcBorders>
              <w:top w:val="single" w:color="auto" w:sz="6" w:space="0"/>
              <w:left w:val="single" w:color="auto" w:sz="6" w:space="0"/>
              <w:bottom w:val="single" w:color="auto" w:sz="6" w:space="0"/>
              <w:right w:val="single" w:color="auto" w:sz="6" w:space="0"/>
            </w:tcBorders>
            <w:noWrap/>
            <w:vAlign w:val="center"/>
          </w:tcPr>
          <w:p w14:paraId="18F75B68">
            <w:pPr>
              <w:autoSpaceDE w:val="0"/>
              <w:autoSpaceDN w:val="0"/>
              <w:spacing w:line="360" w:lineRule="auto"/>
              <w:jc w:val="center"/>
              <w:rPr>
                <w:rFonts w:hint="eastAsia" w:ascii="宋体" w:hAnsi="宋体" w:cs="宋体"/>
                <w:color w:val="auto"/>
                <w:sz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ign w:val="center"/>
          </w:tcPr>
          <w:p w14:paraId="6098E0DE">
            <w:pPr>
              <w:autoSpaceDE w:val="0"/>
              <w:autoSpaceDN w:val="0"/>
              <w:spacing w:line="360" w:lineRule="auto"/>
              <w:jc w:val="center"/>
              <w:rPr>
                <w:rFonts w:hint="eastAsia" w:ascii="宋体" w:hAnsi="宋体" w:cs="宋体"/>
                <w:color w:val="auto"/>
                <w:sz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ign w:val="center"/>
          </w:tcPr>
          <w:p w14:paraId="751B7BDB">
            <w:pPr>
              <w:autoSpaceDE w:val="0"/>
              <w:autoSpaceDN w:val="0"/>
              <w:spacing w:line="360" w:lineRule="auto"/>
              <w:jc w:val="center"/>
              <w:rPr>
                <w:rFonts w:hint="eastAsia" w:ascii="宋体" w:hAnsi="宋体" w:cs="宋体"/>
                <w:color w:val="auto"/>
                <w:sz w:val="24"/>
                <w:highlight w:val="none"/>
                <w:lang w:val="zh-CN"/>
              </w:rPr>
            </w:pPr>
          </w:p>
        </w:tc>
      </w:tr>
      <w:tr w14:paraId="34666F07">
        <w:tblPrEx>
          <w:tblCellMar>
            <w:top w:w="0" w:type="dxa"/>
            <w:left w:w="10" w:type="dxa"/>
            <w:bottom w:w="0" w:type="dxa"/>
            <w:right w:w="10" w:type="dxa"/>
          </w:tblCellMar>
        </w:tblPrEx>
        <w:trPr>
          <w:trHeight w:val="655" w:hRule="exact"/>
          <w:jc w:val="center"/>
        </w:trPr>
        <w:tc>
          <w:tcPr>
            <w:tcW w:w="2520" w:type="dxa"/>
            <w:tcBorders>
              <w:top w:val="single" w:color="auto" w:sz="6" w:space="0"/>
              <w:left w:val="single" w:color="auto" w:sz="6" w:space="0"/>
              <w:bottom w:val="single" w:color="auto" w:sz="6" w:space="0"/>
              <w:right w:val="single" w:color="auto" w:sz="6" w:space="0"/>
            </w:tcBorders>
            <w:noWrap/>
            <w:vAlign w:val="center"/>
          </w:tcPr>
          <w:p w14:paraId="04DA9CFE">
            <w:pPr>
              <w:autoSpaceDE w:val="0"/>
              <w:autoSpaceDN w:val="0"/>
              <w:spacing w:line="360" w:lineRule="auto"/>
              <w:jc w:val="center"/>
              <w:rPr>
                <w:rFonts w:hint="eastAsia" w:ascii="宋体" w:hAnsi="宋体" w:cs="宋体"/>
                <w:color w:val="auto"/>
                <w:sz w:val="24"/>
                <w:highlight w:val="none"/>
                <w:lang w:val="zh-CN"/>
              </w:rPr>
            </w:pPr>
          </w:p>
        </w:tc>
        <w:tc>
          <w:tcPr>
            <w:tcW w:w="3162" w:type="dxa"/>
            <w:tcBorders>
              <w:top w:val="single" w:color="auto" w:sz="6" w:space="0"/>
              <w:left w:val="single" w:color="auto" w:sz="6" w:space="0"/>
              <w:bottom w:val="single" w:color="auto" w:sz="6" w:space="0"/>
              <w:right w:val="single" w:color="auto" w:sz="6" w:space="0"/>
            </w:tcBorders>
            <w:noWrap/>
            <w:vAlign w:val="center"/>
          </w:tcPr>
          <w:p w14:paraId="5DFD687E">
            <w:pPr>
              <w:autoSpaceDE w:val="0"/>
              <w:autoSpaceDN w:val="0"/>
              <w:spacing w:line="360" w:lineRule="auto"/>
              <w:jc w:val="center"/>
              <w:rPr>
                <w:rFonts w:hint="eastAsia" w:ascii="宋体" w:hAnsi="宋体" w:cs="宋体"/>
                <w:color w:val="auto"/>
                <w:sz w:val="24"/>
                <w:highlight w:val="none"/>
                <w:lang w:val="zh-CN"/>
              </w:rPr>
            </w:pPr>
          </w:p>
        </w:tc>
        <w:tc>
          <w:tcPr>
            <w:tcW w:w="1200" w:type="dxa"/>
            <w:tcBorders>
              <w:top w:val="single" w:color="auto" w:sz="6" w:space="0"/>
              <w:left w:val="single" w:color="auto" w:sz="6" w:space="0"/>
              <w:bottom w:val="single" w:color="auto" w:sz="6" w:space="0"/>
              <w:right w:val="single" w:color="auto" w:sz="6" w:space="0"/>
            </w:tcBorders>
            <w:noWrap/>
            <w:vAlign w:val="center"/>
          </w:tcPr>
          <w:p w14:paraId="61674F56">
            <w:pPr>
              <w:autoSpaceDE w:val="0"/>
              <w:autoSpaceDN w:val="0"/>
              <w:spacing w:line="360" w:lineRule="auto"/>
              <w:jc w:val="center"/>
              <w:rPr>
                <w:rFonts w:hint="eastAsia" w:ascii="宋体" w:hAnsi="宋体" w:cs="宋体"/>
                <w:color w:val="auto"/>
                <w:sz w:val="24"/>
                <w:highlight w:val="none"/>
                <w:lang w:val="zh-CN"/>
              </w:rPr>
            </w:pPr>
          </w:p>
        </w:tc>
        <w:tc>
          <w:tcPr>
            <w:tcW w:w="2355" w:type="dxa"/>
            <w:tcBorders>
              <w:top w:val="single" w:color="auto" w:sz="6" w:space="0"/>
              <w:left w:val="single" w:color="auto" w:sz="6" w:space="0"/>
              <w:bottom w:val="single" w:color="auto" w:sz="6" w:space="0"/>
              <w:right w:val="single" w:color="auto" w:sz="6" w:space="0"/>
            </w:tcBorders>
            <w:noWrap/>
            <w:vAlign w:val="center"/>
          </w:tcPr>
          <w:p w14:paraId="0D244DFD">
            <w:pPr>
              <w:autoSpaceDE w:val="0"/>
              <w:autoSpaceDN w:val="0"/>
              <w:spacing w:line="360" w:lineRule="auto"/>
              <w:jc w:val="center"/>
              <w:rPr>
                <w:rFonts w:hint="eastAsia" w:ascii="宋体" w:hAnsi="宋体" w:cs="宋体"/>
                <w:color w:val="auto"/>
                <w:sz w:val="24"/>
                <w:highlight w:val="none"/>
                <w:lang w:val="zh-CN"/>
              </w:rPr>
            </w:pPr>
          </w:p>
        </w:tc>
      </w:tr>
    </w:tbl>
    <w:p w14:paraId="453347B7">
      <w:pPr>
        <w:autoSpaceDE/>
        <w:autoSpaceDN/>
        <w:spacing w:line="360" w:lineRule="auto"/>
        <w:ind w:right="-21" w:rightChars="-10"/>
        <w:rPr>
          <w:rFonts w:hint="eastAsia" w:ascii="宋体" w:hAnsi="宋体" w:cs="宋体"/>
          <w:color w:val="auto"/>
          <w:sz w:val="24"/>
          <w:highlight w:val="none"/>
          <w:lang w:val="zh-CN"/>
        </w:rPr>
      </w:pPr>
      <w:r>
        <w:rPr>
          <w:rFonts w:hint="eastAsia" w:ascii="宋体" w:hAnsi="宋体" w:cs="宋体"/>
          <w:color w:val="auto"/>
          <w:spacing w:val="11"/>
          <w:szCs w:val="21"/>
          <w:highlight w:val="none"/>
        </w:rPr>
        <w:t>注：如不填写，则视为完全响应竞争性磋商文件；如有偏离请如实填写，偏离情况可按实际响应情况填写正偏离、负偏离或无偏离。</w:t>
      </w:r>
    </w:p>
    <w:p w14:paraId="02EFC274">
      <w:pPr>
        <w:autoSpaceDE w:val="0"/>
        <w:autoSpaceDN w:val="0"/>
        <w:spacing w:line="360" w:lineRule="auto"/>
        <w:rPr>
          <w:rFonts w:hint="eastAsia" w:ascii="宋体" w:hAnsi="宋体" w:cs="宋体"/>
          <w:color w:val="auto"/>
          <w:sz w:val="24"/>
          <w:highlight w:val="none"/>
          <w:lang w:val="zh-CN"/>
        </w:rPr>
      </w:pPr>
    </w:p>
    <w:p w14:paraId="10D7E2C5">
      <w:pPr>
        <w:autoSpaceDE w:val="0"/>
        <w:autoSpaceDN w:val="0"/>
        <w:spacing w:line="360" w:lineRule="auto"/>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授权代表签字：</w:t>
      </w:r>
      <w:r>
        <w:rPr>
          <w:rFonts w:hint="eastAsia" w:ascii="宋体" w:hAnsi="宋体" w:cs="宋体"/>
          <w:color w:val="auto"/>
          <w:sz w:val="24"/>
          <w:highlight w:val="none"/>
          <w:u w:val="single"/>
          <w:lang w:val="zh-CN"/>
        </w:rPr>
        <w:t>　　　　　</w:t>
      </w:r>
    </w:p>
    <w:p w14:paraId="44D066AD">
      <w:pPr>
        <w:autoSpaceDE w:val="0"/>
        <w:autoSpaceDN w:val="0"/>
        <w:spacing w:line="360" w:lineRule="auto"/>
        <w:rPr>
          <w:rFonts w:hint="eastAsia" w:ascii="宋体" w:hAnsi="宋体" w:cs="宋体"/>
          <w:color w:val="auto"/>
          <w:sz w:val="24"/>
          <w:highlight w:val="none"/>
          <w:u w:val="single"/>
          <w:lang w:val="zh-CN"/>
        </w:rPr>
      </w:pPr>
      <w:r>
        <w:rPr>
          <w:rFonts w:hint="eastAsia" w:ascii="宋体" w:hAnsi="宋体" w:cs="宋体"/>
          <w:color w:val="auto"/>
          <w:sz w:val="24"/>
          <w:highlight w:val="none"/>
          <w:lang w:val="zh-CN"/>
        </w:rPr>
        <w:t>供应商公章：                　 日  期：</w:t>
      </w:r>
    </w:p>
    <w:p w14:paraId="6DDC489E">
      <w:pPr>
        <w:spacing w:line="360" w:lineRule="auto"/>
        <w:ind w:left="420" w:leftChars="200"/>
        <w:rPr>
          <w:rFonts w:hint="eastAsia" w:ascii="宋体" w:hAnsi="宋体" w:cs="宋体"/>
          <w:b/>
          <w:bCs/>
          <w:color w:val="auto"/>
          <w:sz w:val="24"/>
          <w:highlight w:val="none"/>
        </w:rPr>
      </w:pPr>
    </w:p>
    <w:p w14:paraId="228D86DF">
      <w:pPr>
        <w:spacing w:line="360" w:lineRule="auto"/>
        <w:ind w:left="420" w:leftChars="200"/>
        <w:rPr>
          <w:rFonts w:hint="eastAsia" w:ascii="宋体" w:hAnsi="宋体" w:cs="宋体"/>
          <w:b/>
          <w:bCs/>
          <w:color w:val="auto"/>
          <w:sz w:val="24"/>
          <w:highlight w:val="none"/>
        </w:rPr>
      </w:pPr>
    </w:p>
    <w:p w14:paraId="7B66EE13">
      <w:pPr>
        <w:spacing w:line="360" w:lineRule="auto"/>
        <w:ind w:left="420" w:leftChars="200"/>
        <w:rPr>
          <w:rFonts w:hint="eastAsia" w:ascii="宋体" w:hAnsi="宋体" w:cs="宋体"/>
          <w:b/>
          <w:bCs/>
          <w:color w:val="auto"/>
          <w:sz w:val="24"/>
          <w:highlight w:val="none"/>
        </w:rPr>
      </w:pPr>
    </w:p>
    <w:p w14:paraId="60787368">
      <w:pPr>
        <w:spacing w:line="360" w:lineRule="auto"/>
        <w:ind w:left="420" w:leftChars="200"/>
        <w:rPr>
          <w:rFonts w:hint="eastAsia" w:ascii="宋体" w:hAnsi="宋体" w:cs="宋体"/>
          <w:b/>
          <w:bCs/>
          <w:color w:val="auto"/>
          <w:sz w:val="24"/>
          <w:highlight w:val="none"/>
        </w:rPr>
      </w:pPr>
    </w:p>
    <w:p w14:paraId="04F41BA5">
      <w:pPr>
        <w:pStyle w:val="3"/>
        <w:rPr>
          <w:rFonts w:hint="eastAsia" w:cs="宋体"/>
          <w:color w:val="auto"/>
          <w:kern w:val="2"/>
          <w:highlight w:val="none"/>
          <w:lang w:val="en-US"/>
        </w:rPr>
      </w:pPr>
    </w:p>
    <w:p w14:paraId="6AFA5741">
      <w:pPr>
        <w:rPr>
          <w:rFonts w:hint="eastAsia" w:ascii="宋体" w:hAnsi="宋体" w:cs="宋体"/>
          <w:b/>
          <w:bCs/>
          <w:color w:val="auto"/>
          <w:sz w:val="24"/>
          <w:highlight w:val="none"/>
        </w:rPr>
      </w:pPr>
    </w:p>
    <w:p w14:paraId="5C35F3D2">
      <w:pPr>
        <w:pStyle w:val="3"/>
        <w:rPr>
          <w:rFonts w:hint="eastAsia" w:cs="宋体"/>
          <w:color w:val="auto"/>
          <w:kern w:val="2"/>
          <w:highlight w:val="none"/>
          <w:lang w:val="en-US"/>
        </w:rPr>
      </w:pPr>
    </w:p>
    <w:p w14:paraId="364BB313">
      <w:pPr>
        <w:rPr>
          <w:rFonts w:hint="eastAsia" w:ascii="宋体" w:hAnsi="宋体" w:cs="宋体"/>
          <w:b/>
          <w:bCs/>
          <w:color w:val="auto"/>
          <w:sz w:val="24"/>
          <w:highlight w:val="none"/>
        </w:rPr>
      </w:pPr>
    </w:p>
    <w:p w14:paraId="05C053B0">
      <w:pPr>
        <w:pStyle w:val="3"/>
        <w:rPr>
          <w:rFonts w:hint="eastAsia" w:cs="宋体"/>
          <w:color w:val="auto"/>
          <w:kern w:val="2"/>
          <w:highlight w:val="none"/>
          <w:lang w:val="en-US"/>
        </w:rPr>
      </w:pPr>
    </w:p>
    <w:p w14:paraId="2D226E61">
      <w:pPr>
        <w:rPr>
          <w:rFonts w:hint="eastAsia" w:ascii="宋体" w:hAnsi="宋体" w:cs="宋体"/>
          <w:b/>
          <w:bCs/>
          <w:color w:val="auto"/>
          <w:sz w:val="24"/>
          <w:highlight w:val="none"/>
        </w:rPr>
      </w:pPr>
    </w:p>
    <w:p w14:paraId="135ECE4F">
      <w:pPr>
        <w:pStyle w:val="3"/>
        <w:rPr>
          <w:rFonts w:hint="eastAsia" w:cs="宋体"/>
          <w:color w:val="auto"/>
          <w:kern w:val="2"/>
          <w:highlight w:val="none"/>
          <w:lang w:val="en-US"/>
        </w:rPr>
      </w:pPr>
    </w:p>
    <w:p w14:paraId="6780718A">
      <w:pPr>
        <w:rPr>
          <w:rFonts w:hint="eastAsia" w:ascii="宋体" w:hAnsi="宋体" w:cs="宋体"/>
          <w:b/>
          <w:bCs/>
          <w:color w:val="auto"/>
          <w:sz w:val="24"/>
          <w:highlight w:val="none"/>
        </w:rPr>
      </w:pPr>
    </w:p>
    <w:p w14:paraId="30ECCA02">
      <w:pPr>
        <w:pStyle w:val="3"/>
        <w:rPr>
          <w:rFonts w:hint="eastAsia" w:cs="宋体"/>
          <w:color w:val="auto"/>
          <w:kern w:val="2"/>
          <w:highlight w:val="none"/>
          <w:lang w:val="en-US"/>
        </w:rPr>
      </w:pPr>
    </w:p>
    <w:p w14:paraId="44CC9AFE">
      <w:pPr>
        <w:rPr>
          <w:rFonts w:hint="eastAsia" w:ascii="宋体" w:hAnsi="宋体" w:cs="宋体"/>
          <w:b/>
          <w:bCs/>
          <w:color w:val="auto"/>
          <w:sz w:val="24"/>
          <w:highlight w:val="none"/>
        </w:rPr>
      </w:pPr>
    </w:p>
    <w:p w14:paraId="03770118">
      <w:pPr>
        <w:pStyle w:val="3"/>
        <w:rPr>
          <w:rFonts w:hint="eastAsia" w:cs="宋体"/>
          <w:color w:val="auto"/>
          <w:kern w:val="2"/>
          <w:highlight w:val="none"/>
          <w:lang w:val="en-US"/>
        </w:rPr>
      </w:pPr>
    </w:p>
    <w:p w14:paraId="7F687FB9">
      <w:pPr>
        <w:pStyle w:val="3"/>
        <w:ind w:firstLine="0" w:firstLineChars="0"/>
        <w:rPr>
          <w:rFonts w:hint="eastAsia"/>
          <w:color w:val="auto"/>
          <w:highlight w:val="none"/>
          <w:lang w:val="en-US"/>
        </w:rPr>
      </w:pPr>
    </w:p>
    <w:p w14:paraId="43F20770">
      <w:pPr>
        <w:spacing w:line="360" w:lineRule="auto"/>
        <w:ind w:left="420" w:leftChars="200"/>
        <w:rPr>
          <w:rFonts w:hint="eastAsia" w:ascii="宋体" w:hAnsi="宋体" w:cs="宋体"/>
          <w:b/>
          <w:bCs/>
          <w:color w:val="auto"/>
          <w:sz w:val="24"/>
          <w:highlight w:val="none"/>
        </w:rPr>
      </w:pPr>
    </w:p>
    <w:p w14:paraId="15792419">
      <w:pPr>
        <w:pStyle w:val="4"/>
        <w:jc w:val="left"/>
        <w:rPr>
          <w:rFonts w:hint="eastAsia" w:ascii="宋体" w:hAnsi="宋体"/>
          <w:color w:val="auto"/>
          <w:sz w:val="24"/>
          <w:highlight w:val="none"/>
        </w:rPr>
      </w:pPr>
      <w:r>
        <w:rPr>
          <w:rFonts w:hint="eastAsia" w:ascii="宋体" w:hAnsi="宋体"/>
          <w:color w:val="auto"/>
          <w:sz w:val="24"/>
          <w:highlight w:val="none"/>
        </w:rPr>
        <w:t>8.技术偏离表</w:t>
      </w:r>
    </w:p>
    <w:p w14:paraId="72777AF6">
      <w:pPr>
        <w:pStyle w:val="4"/>
        <w:jc w:val="center"/>
        <w:rPr>
          <w:rFonts w:hint="eastAsia" w:ascii="宋体" w:hAnsi="宋体" w:cs="宋体"/>
          <w:color w:val="auto"/>
          <w:szCs w:val="21"/>
          <w:highlight w:val="none"/>
        </w:rPr>
      </w:pPr>
      <w:r>
        <w:rPr>
          <w:rFonts w:hint="eastAsia" w:ascii="宋体" w:hAnsi="宋体" w:cs="宋体"/>
          <w:bCs w:val="0"/>
          <w:color w:val="auto"/>
          <w:spacing w:val="11"/>
          <w:highlight w:val="none"/>
        </w:rPr>
        <w:t>技术偏离表</w:t>
      </w:r>
    </w:p>
    <w:tbl>
      <w:tblPr>
        <w:tblStyle w:val="43"/>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7F274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noWrap/>
            <w:vAlign w:val="center"/>
          </w:tcPr>
          <w:p w14:paraId="158E35F9">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029" w:type="dxa"/>
            <w:tcBorders>
              <w:top w:val="single" w:color="auto" w:sz="4" w:space="0"/>
              <w:left w:val="single" w:color="auto" w:sz="4" w:space="0"/>
              <w:bottom w:val="single" w:color="auto" w:sz="4" w:space="0"/>
              <w:right w:val="single" w:color="auto" w:sz="4" w:space="0"/>
            </w:tcBorders>
            <w:noWrap/>
            <w:vAlign w:val="center"/>
          </w:tcPr>
          <w:p w14:paraId="0EC4699F">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竞争性磋商文件</w:t>
            </w:r>
          </w:p>
          <w:p w14:paraId="1E3BCAC9">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技术条款</w:t>
            </w:r>
          </w:p>
        </w:tc>
        <w:tc>
          <w:tcPr>
            <w:tcW w:w="2173" w:type="dxa"/>
            <w:tcBorders>
              <w:top w:val="single" w:color="auto" w:sz="4" w:space="0"/>
              <w:left w:val="single" w:color="auto" w:sz="4" w:space="0"/>
              <w:bottom w:val="single" w:color="auto" w:sz="4" w:space="0"/>
              <w:right w:val="single" w:color="auto" w:sz="4" w:space="0"/>
            </w:tcBorders>
            <w:noWrap/>
            <w:vAlign w:val="center"/>
          </w:tcPr>
          <w:p w14:paraId="74A24792">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磋商响应文件</w:t>
            </w:r>
          </w:p>
          <w:p w14:paraId="710FF61C">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技术条款</w:t>
            </w:r>
          </w:p>
        </w:tc>
        <w:tc>
          <w:tcPr>
            <w:tcW w:w="1230" w:type="dxa"/>
            <w:tcBorders>
              <w:top w:val="single" w:color="auto" w:sz="4" w:space="0"/>
              <w:left w:val="single" w:color="auto" w:sz="4" w:space="0"/>
              <w:bottom w:val="single" w:color="auto" w:sz="4" w:space="0"/>
              <w:right w:val="single" w:color="auto" w:sz="4" w:space="0"/>
            </w:tcBorders>
            <w:noWrap/>
            <w:vAlign w:val="center"/>
          </w:tcPr>
          <w:p w14:paraId="68CC40DB">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2948" w:type="dxa"/>
            <w:tcBorders>
              <w:top w:val="single" w:color="auto" w:sz="4" w:space="0"/>
              <w:left w:val="single" w:color="auto" w:sz="4" w:space="0"/>
              <w:bottom w:val="single" w:color="auto" w:sz="4" w:space="0"/>
              <w:right w:val="single" w:color="auto" w:sz="4" w:space="0"/>
            </w:tcBorders>
            <w:noWrap/>
            <w:vAlign w:val="center"/>
          </w:tcPr>
          <w:p w14:paraId="1037C2A6">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偏离说明</w:t>
            </w:r>
          </w:p>
        </w:tc>
      </w:tr>
      <w:tr w14:paraId="1472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noWrap/>
            <w:vAlign w:val="center"/>
          </w:tcPr>
          <w:p w14:paraId="5EE74C17">
            <w:pPr>
              <w:snapToGrid w:val="0"/>
              <w:spacing w:line="460" w:lineRule="exact"/>
              <w:jc w:val="center"/>
              <w:rPr>
                <w:rFonts w:hint="eastAsia" w:ascii="宋体" w:hAnsi="宋体" w:cs="宋体"/>
                <w:color w:val="auto"/>
                <w:sz w:val="24"/>
                <w:highlight w:val="none"/>
              </w:rPr>
            </w:pPr>
          </w:p>
        </w:tc>
        <w:tc>
          <w:tcPr>
            <w:tcW w:w="2029" w:type="dxa"/>
            <w:tcBorders>
              <w:top w:val="single" w:color="auto" w:sz="4" w:space="0"/>
              <w:left w:val="single" w:color="auto" w:sz="4" w:space="0"/>
              <w:bottom w:val="single" w:color="auto" w:sz="4" w:space="0"/>
              <w:right w:val="single" w:color="auto" w:sz="4" w:space="0"/>
            </w:tcBorders>
            <w:noWrap/>
            <w:vAlign w:val="center"/>
          </w:tcPr>
          <w:p w14:paraId="71BFD2DC">
            <w:pPr>
              <w:snapToGrid w:val="0"/>
              <w:spacing w:line="460" w:lineRule="exact"/>
              <w:jc w:val="center"/>
              <w:rPr>
                <w:rFonts w:hint="eastAsia" w:ascii="宋体" w:hAnsi="宋体" w:cs="宋体"/>
                <w:color w:val="auto"/>
                <w:sz w:val="24"/>
                <w:highlight w:val="none"/>
              </w:rPr>
            </w:pPr>
          </w:p>
        </w:tc>
        <w:tc>
          <w:tcPr>
            <w:tcW w:w="2173" w:type="dxa"/>
            <w:tcBorders>
              <w:top w:val="single" w:color="auto" w:sz="4" w:space="0"/>
              <w:left w:val="single" w:color="auto" w:sz="4" w:space="0"/>
              <w:bottom w:val="single" w:color="auto" w:sz="4" w:space="0"/>
              <w:right w:val="single" w:color="auto" w:sz="4" w:space="0"/>
            </w:tcBorders>
            <w:noWrap/>
            <w:vAlign w:val="center"/>
          </w:tcPr>
          <w:p w14:paraId="30E85EBB">
            <w:pPr>
              <w:snapToGrid w:val="0"/>
              <w:spacing w:before="120" w:beforeLines="50" w:line="460" w:lineRule="exact"/>
              <w:jc w:val="center"/>
              <w:rPr>
                <w:rFonts w:hint="eastAsia"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378CCCF2">
            <w:pPr>
              <w:snapToGrid w:val="0"/>
              <w:spacing w:before="120" w:beforeLines="50" w:line="460" w:lineRule="exact"/>
              <w:jc w:val="center"/>
              <w:rPr>
                <w:rFonts w:hint="eastAsia" w:ascii="宋体" w:hAnsi="宋体" w:cs="宋体"/>
                <w:color w:val="auto"/>
                <w:sz w:val="24"/>
                <w:highlight w:val="none"/>
              </w:rPr>
            </w:pPr>
          </w:p>
        </w:tc>
        <w:tc>
          <w:tcPr>
            <w:tcW w:w="2948" w:type="dxa"/>
            <w:tcBorders>
              <w:top w:val="single" w:color="auto" w:sz="4" w:space="0"/>
              <w:left w:val="single" w:color="auto" w:sz="4" w:space="0"/>
              <w:bottom w:val="single" w:color="auto" w:sz="4" w:space="0"/>
              <w:right w:val="single" w:color="auto" w:sz="4" w:space="0"/>
            </w:tcBorders>
            <w:noWrap/>
            <w:vAlign w:val="center"/>
          </w:tcPr>
          <w:p w14:paraId="0F8228CA">
            <w:pPr>
              <w:snapToGrid w:val="0"/>
              <w:spacing w:before="120" w:beforeLines="50" w:line="460" w:lineRule="exact"/>
              <w:jc w:val="center"/>
              <w:rPr>
                <w:rFonts w:hint="eastAsia" w:ascii="宋体" w:hAnsi="宋体" w:cs="宋体"/>
                <w:color w:val="auto"/>
                <w:sz w:val="24"/>
                <w:highlight w:val="none"/>
              </w:rPr>
            </w:pPr>
          </w:p>
        </w:tc>
      </w:tr>
      <w:tr w14:paraId="67400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noWrap/>
            <w:vAlign w:val="center"/>
          </w:tcPr>
          <w:p w14:paraId="053FCCAD">
            <w:pPr>
              <w:snapToGrid w:val="0"/>
              <w:spacing w:before="120" w:beforeLines="50" w:line="460" w:lineRule="exact"/>
              <w:jc w:val="center"/>
              <w:rPr>
                <w:rFonts w:hint="eastAsia" w:ascii="宋体" w:hAnsi="宋体" w:cs="宋体"/>
                <w:color w:val="auto"/>
                <w:sz w:val="24"/>
                <w:highlight w:val="none"/>
              </w:rPr>
            </w:pPr>
          </w:p>
        </w:tc>
        <w:tc>
          <w:tcPr>
            <w:tcW w:w="2029" w:type="dxa"/>
            <w:tcBorders>
              <w:top w:val="single" w:color="auto" w:sz="4" w:space="0"/>
              <w:left w:val="single" w:color="auto" w:sz="4" w:space="0"/>
              <w:bottom w:val="single" w:color="auto" w:sz="4" w:space="0"/>
              <w:right w:val="single" w:color="auto" w:sz="4" w:space="0"/>
            </w:tcBorders>
            <w:noWrap/>
            <w:vAlign w:val="center"/>
          </w:tcPr>
          <w:p w14:paraId="1D5C4D89">
            <w:pPr>
              <w:snapToGrid w:val="0"/>
              <w:spacing w:line="460" w:lineRule="exact"/>
              <w:jc w:val="center"/>
              <w:rPr>
                <w:rFonts w:hint="eastAsia" w:ascii="宋体" w:hAnsi="宋体" w:cs="宋体"/>
                <w:color w:val="auto"/>
                <w:sz w:val="24"/>
                <w:highlight w:val="none"/>
              </w:rPr>
            </w:pPr>
          </w:p>
        </w:tc>
        <w:tc>
          <w:tcPr>
            <w:tcW w:w="2173" w:type="dxa"/>
            <w:tcBorders>
              <w:top w:val="single" w:color="auto" w:sz="4" w:space="0"/>
              <w:left w:val="single" w:color="auto" w:sz="4" w:space="0"/>
              <w:bottom w:val="single" w:color="auto" w:sz="4" w:space="0"/>
              <w:right w:val="single" w:color="auto" w:sz="4" w:space="0"/>
            </w:tcBorders>
            <w:noWrap/>
            <w:vAlign w:val="center"/>
          </w:tcPr>
          <w:p w14:paraId="79B400D0">
            <w:pPr>
              <w:snapToGrid w:val="0"/>
              <w:spacing w:before="120" w:beforeLines="50" w:line="460" w:lineRule="exact"/>
              <w:jc w:val="center"/>
              <w:rPr>
                <w:rFonts w:hint="eastAsia"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217983B2">
            <w:pPr>
              <w:snapToGrid w:val="0"/>
              <w:spacing w:before="120" w:beforeLines="50" w:line="460" w:lineRule="exact"/>
              <w:jc w:val="center"/>
              <w:rPr>
                <w:rFonts w:hint="eastAsia" w:ascii="宋体" w:hAnsi="宋体" w:cs="宋体"/>
                <w:color w:val="auto"/>
                <w:sz w:val="24"/>
                <w:highlight w:val="none"/>
              </w:rPr>
            </w:pPr>
          </w:p>
        </w:tc>
        <w:tc>
          <w:tcPr>
            <w:tcW w:w="2948" w:type="dxa"/>
            <w:tcBorders>
              <w:top w:val="single" w:color="auto" w:sz="4" w:space="0"/>
              <w:left w:val="single" w:color="auto" w:sz="4" w:space="0"/>
              <w:bottom w:val="single" w:color="auto" w:sz="4" w:space="0"/>
              <w:right w:val="single" w:color="auto" w:sz="4" w:space="0"/>
            </w:tcBorders>
            <w:noWrap/>
            <w:vAlign w:val="center"/>
          </w:tcPr>
          <w:p w14:paraId="33B45AAE">
            <w:pPr>
              <w:snapToGrid w:val="0"/>
              <w:spacing w:before="120" w:beforeLines="50" w:line="460" w:lineRule="exact"/>
              <w:jc w:val="center"/>
              <w:rPr>
                <w:rFonts w:hint="eastAsia" w:ascii="宋体" w:hAnsi="宋体" w:cs="宋体"/>
                <w:color w:val="auto"/>
                <w:sz w:val="24"/>
                <w:highlight w:val="none"/>
              </w:rPr>
            </w:pPr>
          </w:p>
        </w:tc>
      </w:tr>
      <w:tr w14:paraId="0F9BD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noWrap/>
            <w:vAlign w:val="center"/>
          </w:tcPr>
          <w:p w14:paraId="761189F1">
            <w:pPr>
              <w:snapToGrid w:val="0"/>
              <w:spacing w:before="120" w:beforeLines="50" w:line="460" w:lineRule="exact"/>
              <w:jc w:val="center"/>
              <w:rPr>
                <w:rFonts w:hint="eastAsia" w:ascii="宋体" w:hAnsi="宋体" w:cs="宋体"/>
                <w:color w:val="auto"/>
                <w:sz w:val="24"/>
                <w:highlight w:val="none"/>
              </w:rPr>
            </w:pPr>
          </w:p>
        </w:tc>
        <w:tc>
          <w:tcPr>
            <w:tcW w:w="2029" w:type="dxa"/>
            <w:tcBorders>
              <w:top w:val="single" w:color="auto" w:sz="4" w:space="0"/>
              <w:left w:val="single" w:color="auto" w:sz="4" w:space="0"/>
              <w:bottom w:val="single" w:color="auto" w:sz="4" w:space="0"/>
              <w:right w:val="single" w:color="auto" w:sz="4" w:space="0"/>
            </w:tcBorders>
            <w:noWrap/>
            <w:vAlign w:val="center"/>
          </w:tcPr>
          <w:p w14:paraId="7CE7CE12">
            <w:pPr>
              <w:snapToGrid w:val="0"/>
              <w:spacing w:line="460" w:lineRule="exact"/>
              <w:jc w:val="center"/>
              <w:rPr>
                <w:rFonts w:hint="eastAsia" w:ascii="宋体" w:hAnsi="宋体" w:cs="宋体"/>
                <w:color w:val="auto"/>
                <w:sz w:val="24"/>
                <w:highlight w:val="none"/>
              </w:rPr>
            </w:pPr>
          </w:p>
        </w:tc>
        <w:tc>
          <w:tcPr>
            <w:tcW w:w="2173" w:type="dxa"/>
            <w:tcBorders>
              <w:top w:val="single" w:color="auto" w:sz="4" w:space="0"/>
              <w:left w:val="single" w:color="auto" w:sz="4" w:space="0"/>
              <w:bottom w:val="single" w:color="auto" w:sz="4" w:space="0"/>
              <w:right w:val="single" w:color="auto" w:sz="4" w:space="0"/>
            </w:tcBorders>
            <w:noWrap/>
            <w:vAlign w:val="center"/>
          </w:tcPr>
          <w:p w14:paraId="403B2863">
            <w:pPr>
              <w:snapToGrid w:val="0"/>
              <w:spacing w:before="120" w:beforeLines="50" w:line="460" w:lineRule="exact"/>
              <w:jc w:val="center"/>
              <w:rPr>
                <w:rFonts w:hint="eastAsia"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3CB33759">
            <w:pPr>
              <w:snapToGrid w:val="0"/>
              <w:spacing w:before="120" w:beforeLines="50" w:line="460" w:lineRule="exact"/>
              <w:jc w:val="center"/>
              <w:rPr>
                <w:rFonts w:hint="eastAsia" w:ascii="宋体" w:hAnsi="宋体" w:cs="宋体"/>
                <w:color w:val="auto"/>
                <w:sz w:val="24"/>
                <w:highlight w:val="none"/>
              </w:rPr>
            </w:pPr>
          </w:p>
        </w:tc>
        <w:tc>
          <w:tcPr>
            <w:tcW w:w="2948" w:type="dxa"/>
            <w:tcBorders>
              <w:top w:val="single" w:color="auto" w:sz="4" w:space="0"/>
              <w:left w:val="single" w:color="auto" w:sz="4" w:space="0"/>
              <w:bottom w:val="single" w:color="auto" w:sz="4" w:space="0"/>
              <w:right w:val="single" w:color="auto" w:sz="4" w:space="0"/>
            </w:tcBorders>
            <w:noWrap/>
            <w:vAlign w:val="center"/>
          </w:tcPr>
          <w:p w14:paraId="266D4B8C">
            <w:pPr>
              <w:snapToGrid w:val="0"/>
              <w:spacing w:before="120" w:beforeLines="50" w:line="460" w:lineRule="exact"/>
              <w:jc w:val="center"/>
              <w:rPr>
                <w:rFonts w:hint="eastAsia" w:ascii="宋体" w:hAnsi="宋体" w:cs="宋体"/>
                <w:color w:val="auto"/>
                <w:sz w:val="24"/>
                <w:highlight w:val="none"/>
              </w:rPr>
            </w:pPr>
          </w:p>
        </w:tc>
      </w:tr>
      <w:tr w14:paraId="1F029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noWrap/>
            <w:vAlign w:val="center"/>
          </w:tcPr>
          <w:p w14:paraId="6E8A62DE">
            <w:pPr>
              <w:snapToGrid w:val="0"/>
              <w:spacing w:before="120" w:beforeLines="50" w:line="460" w:lineRule="exact"/>
              <w:jc w:val="center"/>
              <w:rPr>
                <w:rFonts w:hint="eastAsia" w:ascii="宋体" w:hAnsi="宋体" w:cs="宋体"/>
                <w:color w:val="auto"/>
                <w:sz w:val="24"/>
                <w:highlight w:val="none"/>
              </w:rPr>
            </w:pPr>
          </w:p>
        </w:tc>
        <w:tc>
          <w:tcPr>
            <w:tcW w:w="2029" w:type="dxa"/>
            <w:tcBorders>
              <w:top w:val="single" w:color="auto" w:sz="4" w:space="0"/>
              <w:left w:val="single" w:color="auto" w:sz="4" w:space="0"/>
              <w:bottom w:val="single" w:color="auto" w:sz="4" w:space="0"/>
              <w:right w:val="single" w:color="auto" w:sz="4" w:space="0"/>
            </w:tcBorders>
            <w:noWrap/>
            <w:vAlign w:val="center"/>
          </w:tcPr>
          <w:p w14:paraId="27B0BC19">
            <w:pPr>
              <w:snapToGrid w:val="0"/>
              <w:spacing w:line="460" w:lineRule="exact"/>
              <w:jc w:val="center"/>
              <w:rPr>
                <w:rFonts w:hint="eastAsia" w:ascii="宋体" w:hAnsi="宋体" w:cs="宋体"/>
                <w:color w:val="auto"/>
                <w:sz w:val="24"/>
                <w:highlight w:val="none"/>
              </w:rPr>
            </w:pPr>
          </w:p>
        </w:tc>
        <w:tc>
          <w:tcPr>
            <w:tcW w:w="2173" w:type="dxa"/>
            <w:tcBorders>
              <w:top w:val="single" w:color="auto" w:sz="4" w:space="0"/>
              <w:left w:val="single" w:color="auto" w:sz="4" w:space="0"/>
              <w:bottom w:val="single" w:color="auto" w:sz="4" w:space="0"/>
              <w:right w:val="single" w:color="auto" w:sz="4" w:space="0"/>
            </w:tcBorders>
            <w:noWrap/>
            <w:vAlign w:val="center"/>
          </w:tcPr>
          <w:p w14:paraId="1D273278">
            <w:pPr>
              <w:snapToGrid w:val="0"/>
              <w:spacing w:before="120" w:beforeLines="50" w:line="460" w:lineRule="exact"/>
              <w:jc w:val="center"/>
              <w:rPr>
                <w:rFonts w:hint="eastAsia"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6FB1D6F6">
            <w:pPr>
              <w:snapToGrid w:val="0"/>
              <w:spacing w:before="120" w:beforeLines="50" w:line="460" w:lineRule="exact"/>
              <w:jc w:val="center"/>
              <w:rPr>
                <w:rFonts w:hint="eastAsia" w:ascii="宋体" w:hAnsi="宋体" w:cs="宋体"/>
                <w:color w:val="auto"/>
                <w:sz w:val="24"/>
                <w:highlight w:val="none"/>
              </w:rPr>
            </w:pPr>
          </w:p>
        </w:tc>
        <w:tc>
          <w:tcPr>
            <w:tcW w:w="2948" w:type="dxa"/>
            <w:tcBorders>
              <w:top w:val="single" w:color="auto" w:sz="4" w:space="0"/>
              <w:left w:val="single" w:color="auto" w:sz="4" w:space="0"/>
              <w:bottom w:val="single" w:color="auto" w:sz="4" w:space="0"/>
              <w:right w:val="single" w:color="auto" w:sz="4" w:space="0"/>
            </w:tcBorders>
            <w:noWrap/>
            <w:vAlign w:val="center"/>
          </w:tcPr>
          <w:p w14:paraId="2EA1BECC">
            <w:pPr>
              <w:snapToGrid w:val="0"/>
              <w:spacing w:before="120" w:beforeLines="50" w:line="460" w:lineRule="exact"/>
              <w:jc w:val="center"/>
              <w:rPr>
                <w:rFonts w:hint="eastAsia" w:ascii="宋体" w:hAnsi="宋体" w:cs="宋体"/>
                <w:color w:val="auto"/>
                <w:sz w:val="24"/>
                <w:highlight w:val="none"/>
              </w:rPr>
            </w:pPr>
          </w:p>
        </w:tc>
      </w:tr>
      <w:tr w14:paraId="31619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noWrap/>
            <w:vAlign w:val="center"/>
          </w:tcPr>
          <w:p w14:paraId="422C3496">
            <w:pPr>
              <w:snapToGrid w:val="0"/>
              <w:spacing w:before="120" w:beforeLines="50" w:line="460" w:lineRule="exact"/>
              <w:jc w:val="center"/>
              <w:rPr>
                <w:rFonts w:hint="eastAsia" w:ascii="宋体" w:hAnsi="宋体" w:cs="宋体"/>
                <w:color w:val="auto"/>
                <w:sz w:val="24"/>
                <w:highlight w:val="none"/>
              </w:rPr>
            </w:pPr>
          </w:p>
        </w:tc>
        <w:tc>
          <w:tcPr>
            <w:tcW w:w="2029" w:type="dxa"/>
            <w:tcBorders>
              <w:top w:val="single" w:color="auto" w:sz="4" w:space="0"/>
              <w:left w:val="single" w:color="auto" w:sz="4" w:space="0"/>
              <w:bottom w:val="single" w:color="auto" w:sz="4" w:space="0"/>
              <w:right w:val="single" w:color="auto" w:sz="4" w:space="0"/>
            </w:tcBorders>
            <w:noWrap/>
            <w:vAlign w:val="center"/>
          </w:tcPr>
          <w:p w14:paraId="00BE4801">
            <w:pPr>
              <w:snapToGrid w:val="0"/>
              <w:spacing w:line="460" w:lineRule="exact"/>
              <w:jc w:val="center"/>
              <w:rPr>
                <w:rFonts w:hint="eastAsia" w:ascii="宋体" w:hAnsi="宋体" w:cs="宋体"/>
                <w:color w:val="auto"/>
                <w:sz w:val="24"/>
                <w:highlight w:val="none"/>
              </w:rPr>
            </w:pPr>
          </w:p>
        </w:tc>
        <w:tc>
          <w:tcPr>
            <w:tcW w:w="2173" w:type="dxa"/>
            <w:tcBorders>
              <w:top w:val="single" w:color="auto" w:sz="4" w:space="0"/>
              <w:left w:val="single" w:color="auto" w:sz="4" w:space="0"/>
              <w:bottom w:val="single" w:color="auto" w:sz="4" w:space="0"/>
              <w:right w:val="single" w:color="auto" w:sz="4" w:space="0"/>
            </w:tcBorders>
            <w:noWrap/>
            <w:vAlign w:val="center"/>
          </w:tcPr>
          <w:p w14:paraId="3262DEB0">
            <w:pPr>
              <w:snapToGrid w:val="0"/>
              <w:spacing w:before="120" w:beforeLines="50" w:line="460" w:lineRule="exact"/>
              <w:jc w:val="center"/>
              <w:rPr>
                <w:rFonts w:hint="eastAsia"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59F05698">
            <w:pPr>
              <w:snapToGrid w:val="0"/>
              <w:spacing w:before="120" w:beforeLines="50" w:line="460" w:lineRule="exact"/>
              <w:jc w:val="center"/>
              <w:rPr>
                <w:rFonts w:hint="eastAsia" w:ascii="宋体" w:hAnsi="宋体" w:cs="宋体"/>
                <w:color w:val="auto"/>
                <w:sz w:val="24"/>
                <w:highlight w:val="none"/>
              </w:rPr>
            </w:pPr>
          </w:p>
        </w:tc>
        <w:tc>
          <w:tcPr>
            <w:tcW w:w="2948" w:type="dxa"/>
            <w:tcBorders>
              <w:top w:val="single" w:color="auto" w:sz="4" w:space="0"/>
              <w:left w:val="single" w:color="auto" w:sz="4" w:space="0"/>
              <w:bottom w:val="single" w:color="auto" w:sz="4" w:space="0"/>
              <w:right w:val="single" w:color="auto" w:sz="4" w:space="0"/>
            </w:tcBorders>
            <w:noWrap/>
            <w:vAlign w:val="center"/>
          </w:tcPr>
          <w:p w14:paraId="3287E637">
            <w:pPr>
              <w:snapToGrid w:val="0"/>
              <w:spacing w:before="120" w:beforeLines="50" w:line="460" w:lineRule="exact"/>
              <w:jc w:val="center"/>
              <w:rPr>
                <w:rFonts w:hint="eastAsia" w:ascii="宋体" w:hAnsi="宋体" w:cs="宋体"/>
                <w:color w:val="auto"/>
                <w:sz w:val="24"/>
                <w:highlight w:val="none"/>
              </w:rPr>
            </w:pPr>
          </w:p>
        </w:tc>
      </w:tr>
      <w:tr w14:paraId="489BF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noWrap/>
            <w:vAlign w:val="center"/>
          </w:tcPr>
          <w:p w14:paraId="3AAD7ACC">
            <w:pPr>
              <w:snapToGrid w:val="0"/>
              <w:spacing w:before="120" w:beforeLines="50" w:line="460" w:lineRule="exact"/>
              <w:jc w:val="center"/>
              <w:rPr>
                <w:rFonts w:hint="eastAsia" w:ascii="宋体" w:hAnsi="宋体" w:cs="宋体"/>
                <w:color w:val="auto"/>
                <w:sz w:val="24"/>
                <w:highlight w:val="none"/>
              </w:rPr>
            </w:pPr>
          </w:p>
        </w:tc>
        <w:tc>
          <w:tcPr>
            <w:tcW w:w="2029" w:type="dxa"/>
            <w:tcBorders>
              <w:top w:val="single" w:color="auto" w:sz="4" w:space="0"/>
              <w:left w:val="single" w:color="auto" w:sz="4" w:space="0"/>
              <w:bottom w:val="single" w:color="auto" w:sz="4" w:space="0"/>
              <w:right w:val="single" w:color="auto" w:sz="4" w:space="0"/>
            </w:tcBorders>
            <w:noWrap/>
            <w:vAlign w:val="center"/>
          </w:tcPr>
          <w:p w14:paraId="51A1A0F2">
            <w:pPr>
              <w:snapToGrid w:val="0"/>
              <w:spacing w:line="460" w:lineRule="exact"/>
              <w:jc w:val="center"/>
              <w:rPr>
                <w:rFonts w:hint="eastAsia" w:ascii="宋体" w:hAnsi="宋体" w:cs="宋体"/>
                <w:color w:val="auto"/>
                <w:sz w:val="24"/>
                <w:highlight w:val="none"/>
              </w:rPr>
            </w:pPr>
          </w:p>
        </w:tc>
        <w:tc>
          <w:tcPr>
            <w:tcW w:w="2173" w:type="dxa"/>
            <w:tcBorders>
              <w:top w:val="single" w:color="auto" w:sz="4" w:space="0"/>
              <w:left w:val="single" w:color="auto" w:sz="4" w:space="0"/>
              <w:bottom w:val="single" w:color="auto" w:sz="4" w:space="0"/>
              <w:right w:val="single" w:color="auto" w:sz="4" w:space="0"/>
            </w:tcBorders>
            <w:noWrap/>
            <w:vAlign w:val="center"/>
          </w:tcPr>
          <w:p w14:paraId="00B7F8FD">
            <w:pPr>
              <w:snapToGrid w:val="0"/>
              <w:spacing w:before="120" w:beforeLines="50" w:line="460" w:lineRule="exact"/>
              <w:jc w:val="center"/>
              <w:rPr>
                <w:rFonts w:hint="eastAsia"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79BE57DD">
            <w:pPr>
              <w:snapToGrid w:val="0"/>
              <w:spacing w:before="120" w:beforeLines="50" w:line="460" w:lineRule="exact"/>
              <w:jc w:val="center"/>
              <w:rPr>
                <w:rFonts w:hint="eastAsia" w:ascii="宋体" w:hAnsi="宋体" w:cs="宋体"/>
                <w:color w:val="auto"/>
                <w:sz w:val="24"/>
                <w:highlight w:val="none"/>
              </w:rPr>
            </w:pPr>
          </w:p>
        </w:tc>
        <w:tc>
          <w:tcPr>
            <w:tcW w:w="2948" w:type="dxa"/>
            <w:tcBorders>
              <w:top w:val="single" w:color="auto" w:sz="4" w:space="0"/>
              <w:left w:val="single" w:color="auto" w:sz="4" w:space="0"/>
              <w:bottom w:val="single" w:color="auto" w:sz="4" w:space="0"/>
              <w:right w:val="single" w:color="auto" w:sz="4" w:space="0"/>
            </w:tcBorders>
            <w:noWrap/>
            <w:vAlign w:val="center"/>
          </w:tcPr>
          <w:p w14:paraId="06B18956">
            <w:pPr>
              <w:snapToGrid w:val="0"/>
              <w:spacing w:before="120" w:beforeLines="50" w:line="460" w:lineRule="exact"/>
              <w:jc w:val="center"/>
              <w:rPr>
                <w:rFonts w:hint="eastAsia" w:ascii="宋体" w:hAnsi="宋体" w:cs="宋体"/>
                <w:color w:val="auto"/>
                <w:sz w:val="24"/>
                <w:highlight w:val="none"/>
              </w:rPr>
            </w:pPr>
          </w:p>
        </w:tc>
      </w:tr>
    </w:tbl>
    <w:p w14:paraId="2C2B13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注1.供应商应根据文件技术要求、对照竞争性磋商文件要求在“偏离情况”栏注明“正偏离”、“负偏离”或“无偏离”。</w:t>
      </w:r>
    </w:p>
    <w:p w14:paraId="0A6AB910">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.没有填写此表视为完全响应竞争性磋商文件要求。</w:t>
      </w:r>
    </w:p>
    <w:p w14:paraId="778636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3.如出现偏离，供应商务必如实填写此表，否则存在的风险由供应商自行承担。</w:t>
      </w:r>
    </w:p>
    <w:p w14:paraId="048FE9C2">
      <w:pPr>
        <w:spacing w:line="360" w:lineRule="auto"/>
        <w:ind w:right="-21" w:rightChars="-10"/>
        <w:rPr>
          <w:rFonts w:hint="eastAsia" w:ascii="宋体" w:hAnsi="宋体" w:cs="宋体"/>
          <w:color w:val="auto"/>
          <w:sz w:val="24"/>
          <w:highlight w:val="none"/>
        </w:rPr>
      </w:pPr>
    </w:p>
    <w:p w14:paraId="2F22A280">
      <w:pPr>
        <w:spacing w:line="360" w:lineRule="auto"/>
        <w:ind w:right="-21" w:rightChars="-10"/>
        <w:rPr>
          <w:rFonts w:hint="eastAsia" w:ascii="宋体" w:hAnsi="宋体" w:cs="宋体"/>
          <w:color w:val="auto"/>
          <w:sz w:val="24"/>
          <w:highlight w:val="none"/>
        </w:rPr>
      </w:pPr>
    </w:p>
    <w:p w14:paraId="760A2C06">
      <w:pPr>
        <w:spacing w:line="360" w:lineRule="auto"/>
        <w:ind w:right="-21" w:rightChars="-10"/>
        <w:rPr>
          <w:rFonts w:hint="eastAsia" w:ascii="宋体" w:hAnsi="宋体" w:cs="宋体"/>
          <w:color w:val="auto"/>
          <w:sz w:val="24"/>
          <w:highlight w:val="none"/>
        </w:rPr>
      </w:pPr>
    </w:p>
    <w:p w14:paraId="45F70BE9">
      <w:pPr>
        <w:spacing w:line="360" w:lineRule="auto"/>
        <w:ind w:right="-21" w:rightChars="-10"/>
        <w:rPr>
          <w:rFonts w:hint="eastAsia" w:ascii="宋体" w:hAnsi="宋体" w:cs="宋体"/>
          <w:color w:val="auto"/>
          <w:sz w:val="24"/>
          <w:highlight w:val="none"/>
          <w:u w:val="single"/>
        </w:rPr>
      </w:pPr>
      <w:r>
        <w:rPr>
          <w:rFonts w:hint="eastAsia" w:ascii="宋体" w:hAnsi="宋体" w:cs="宋体"/>
          <w:color w:val="auto"/>
          <w:sz w:val="24"/>
          <w:highlight w:val="none"/>
        </w:rPr>
        <w:t>供应商全称（公章）：</w:t>
      </w:r>
    </w:p>
    <w:p w14:paraId="6EF3B8C5">
      <w:pPr>
        <w:spacing w:line="360" w:lineRule="auto"/>
        <w:ind w:right="-10"/>
        <w:rPr>
          <w:rFonts w:hint="eastAsia" w:ascii="宋体" w:hAnsi="宋体" w:cs="宋体"/>
          <w:color w:val="auto"/>
          <w:sz w:val="24"/>
          <w:highlight w:val="none"/>
        </w:rPr>
      </w:pPr>
    </w:p>
    <w:p w14:paraId="2EB1BBBD">
      <w:pPr>
        <w:spacing w:line="360" w:lineRule="auto"/>
        <w:ind w:right="-10"/>
        <w:rPr>
          <w:rFonts w:hint="eastAsia" w:ascii="宋体" w:hAnsi="宋体" w:cs="宋体"/>
          <w:color w:val="auto"/>
          <w:sz w:val="24"/>
          <w:highlight w:val="none"/>
          <w:u w:val="single"/>
        </w:rPr>
      </w:pPr>
      <w:r>
        <w:rPr>
          <w:rFonts w:hint="eastAsia" w:ascii="宋体" w:hAnsi="宋体" w:cs="宋体"/>
          <w:color w:val="auto"/>
          <w:sz w:val="24"/>
          <w:highlight w:val="none"/>
        </w:rPr>
        <w:t>法定代表人或授权代表（签字或盖章）：</w:t>
      </w:r>
    </w:p>
    <w:p w14:paraId="331CA816">
      <w:pPr>
        <w:spacing w:line="360" w:lineRule="auto"/>
        <w:rPr>
          <w:rFonts w:hint="eastAsia" w:ascii="宋体" w:hAnsi="宋体" w:cs="宋体"/>
          <w:color w:val="auto"/>
          <w:sz w:val="24"/>
          <w:highlight w:val="none"/>
        </w:rPr>
      </w:pPr>
    </w:p>
    <w:p w14:paraId="4410F1F7">
      <w:pPr>
        <w:spacing w:line="360" w:lineRule="auto"/>
        <w:ind w:right="-21" w:rightChars="-10"/>
        <w:rPr>
          <w:rFonts w:hint="eastAsia" w:ascii="宋体" w:hAnsi="宋体" w:cs="宋体"/>
          <w:color w:val="auto"/>
          <w:sz w:val="24"/>
          <w:highlight w:val="none"/>
          <w:u w:val="single"/>
        </w:rPr>
      </w:pPr>
      <w:r>
        <w:rPr>
          <w:rFonts w:hint="eastAsia" w:ascii="宋体" w:hAnsi="宋体" w:cs="宋体"/>
          <w:color w:val="auto"/>
          <w:sz w:val="24"/>
          <w:highlight w:val="none"/>
        </w:rPr>
        <w:t>日期：</w:t>
      </w:r>
    </w:p>
    <w:p w14:paraId="27351971">
      <w:pPr>
        <w:snapToGrid w:val="0"/>
        <w:spacing w:before="120" w:beforeLines="50" w:after="50"/>
        <w:jc w:val="center"/>
        <w:rPr>
          <w:rFonts w:hint="eastAsia" w:ascii="宋体" w:hAnsi="宋体" w:cs="宋体"/>
          <w:b/>
          <w:bCs/>
          <w:color w:val="auto"/>
          <w:spacing w:val="11"/>
          <w:sz w:val="24"/>
          <w:highlight w:val="none"/>
        </w:rPr>
      </w:pPr>
    </w:p>
    <w:p w14:paraId="50C4EA23">
      <w:pPr>
        <w:spacing w:line="360" w:lineRule="auto"/>
        <w:ind w:firstLine="480" w:firstLineChars="200"/>
        <w:jc w:val="left"/>
        <w:rPr>
          <w:rFonts w:hint="eastAsia" w:ascii="宋体" w:hAnsi="宋体"/>
          <w:color w:val="auto"/>
          <w:sz w:val="24"/>
          <w:highlight w:val="none"/>
        </w:rPr>
      </w:pPr>
    </w:p>
    <w:p w14:paraId="7D7D23F2">
      <w:pPr>
        <w:spacing w:line="360" w:lineRule="auto"/>
        <w:ind w:firstLine="480" w:firstLineChars="200"/>
        <w:jc w:val="left"/>
        <w:rPr>
          <w:rFonts w:hint="eastAsia" w:ascii="宋体" w:hAnsi="宋体"/>
          <w:color w:val="auto"/>
          <w:sz w:val="24"/>
          <w:highlight w:val="none"/>
        </w:rPr>
      </w:pPr>
    </w:p>
    <w:p w14:paraId="48F94999">
      <w:pPr>
        <w:spacing w:line="360" w:lineRule="auto"/>
        <w:ind w:firstLine="480" w:firstLineChars="200"/>
        <w:jc w:val="left"/>
        <w:rPr>
          <w:rFonts w:hint="eastAsia" w:ascii="宋体" w:hAnsi="宋体"/>
          <w:color w:val="auto"/>
          <w:sz w:val="24"/>
          <w:highlight w:val="none"/>
        </w:rPr>
      </w:pPr>
    </w:p>
    <w:p w14:paraId="5380C75F">
      <w:pPr>
        <w:spacing w:line="360" w:lineRule="auto"/>
        <w:ind w:firstLine="480" w:firstLineChars="200"/>
        <w:jc w:val="left"/>
        <w:rPr>
          <w:rFonts w:hint="eastAsia" w:ascii="宋体" w:hAnsi="宋体"/>
          <w:color w:val="auto"/>
          <w:sz w:val="24"/>
          <w:highlight w:val="none"/>
        </w:rPr>
      </w:pPr>
    </w:p>
    <w:p w14:paraId="15EE9AA5">
      <w:pPr>
        <w:spacing w:line="360" w:lineRule="auto"/>
        <w:jc w:val="left"/>
        <w:rPr>
          <w:rFonts w:hint="eastAsia" w:ascii="宋体" w:hAnsi="宋体"/>
          <w:color w:val="auto"/>
          <w:sz w:val="24"/>
          <w:highlight w:val="none"/>
        </w:rPr>
      </w:pPr>
    </w:p>
    <w:p w14:paraId="2AF90B4F">
      <w:pPr>
        <w:spacing w:line="360" w:lineRule="auto"/>
        <w:ind w:firstLine="480" w:firstLineChars="200"/>
        <w:jc w:val="left"/>
        <w:rPr>
          <w:rFonts w:hint="eastAsia" w:ascii="宋体" w:hAnsi="宋体"/>
          <w:color w:val="auto"/>
          <w:sz w:val="24"/>
          <w:highlight w:val="none"/>
        </w:rPr>
      </w:pPr>
    </w:p>
    <w:p w14:paraId="02A770E1">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9.对本项目总体要求的理解</w:t>
      </w:r>
    </w:p>
    <w:p w14:paraId="4E72A67C">
      <w:pPr>
        <w:spacing w:line="360" w:lineRule="auto"/>
        <w:ind w:firstLine="480" w:firstLineChars="200"/>
        <w:jc w:val="left"/>
        <w:rPr>
          <w:rFonts w:hint="eastAsia" w:ascii="宋体" w:hAnsi="宋体" w:cs="宋体"/>
          <w:b/>
          <w:color w:val="auto"/>
          <w:spacing w:val="11"/>
          <w:sz w:val="32"/>
          <w:szCs w:val="32"/>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.拟投入的人员配备表格式：</w:t>
      </w:r>
    </w:p>
    <w:p w14:paraId="7851D790">
      <w:pPr>
        <w:pStyle w:val="41"/>
        <w:ind w:firstLine="687"/>
        <w:jc w:val="center"/>
        <w:rPr>
          <w:rFonts w:hint="eastAsia" w:ascii="宋体" w:hAnsi="宋体" w:cs="宋体"/>
          <w:b/>
          <w:color w:val="auto"/>
          <w:spacing w:val="11"/>
          <w:sz w:val="32"/>
          <w:szCs w:val="32"/>
          <w:highlight w:val="none"/>
        </w:rPr>
      </w:pPr>
      <w:r>
        <w:rPr>
          <w:rFonts w:hint="eastAsia" w:ascii="宋体" w:hAnsi="宋体" w:cs="宋体"/>
          <w:b/>
          <w:color w:val="auto"/>
          <w:spacing w:val="11"/>
          <w:sz w:val="32"/>
          <w:szCs w:val="32"/>
          <w:highlight w:val="none"/>
        </w:rPr>
        <w:t>拟投入的人员配备表</w:t>
      </w:r>
    </w:p>
    <w:tbl>
      <w:tblPr>
        <w:tblStyle w:val="4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990"/>
        <w:gridCol w:w="830"/>
        <w:gridCol w:w="1334"/>
        <w:gridCol w:w="1313"/>
        <w:gridCol w:w="1297"/>
        <w:gridCol w:w="1340"/>
        <w:gridCol w:w="1150"/>
      </w:tblGrid>
      <w:tr w14:paraId="0EEF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8" w:type="dxa"/>
            <w:noWrap/>
            <w:vAlign w:val="center"/>
          </w:tcPr>
          <w:p w14:paraId="3A52F37B">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拟任岗位</w:t>
            </w:r>
          </w:p>
        </w:tc>
        <w:tc>
          <w:tcPr>
            <w:tcW w:w="990" w:type="dxa"/>
            <w:noWrap/>
            <w:vAlign w:val="center"/>
          </w:tcPr>
          <w:p w14:paraId="517D6164">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姓名</w:t>
            </w:r>
          </w:p>
        </w:tc>
        <w:tc>
          <w:tcPr>
            <w:tcW w:w="830" w:type="dxa"/>
            <w:noWrap/>
            <w:vAlign w:val="center"/>
          </w:tcPr>
          <w:p w14:paraId="5C53B591">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性别</w:t>
            </w:r>
          </w:p>
        </w:tc>
        <w:tc>
          <w:tcPr>
            <w:tcW w:w="1334" w:type="dxa"/>
            <w:noWrap/>
            <w:vAlign w:val="center"/>
          </w:tcPr>
          <w:p w14:paraId="3A98AB18">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专业学历</w:t>
            </w:r>
          </w:p>
        </w:tc>
        <w:tc>
          <w:tcPr>
            <w:tcW w:w="1313" w:type="dxa"/>
            <w:noWrap/>
            <w:vAlign w:val="center"/>
          </w:tcPr>
          <w:p w14:paraId="3A02956E">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专业年限</w:t>
            </w:r>
          </w:p>
        </w:tc>
        <w:tc>
          <w:tcPr>
            <w:tcW w:w="1297" w:type="dxa"/>
            <w:noWrap/>
            <w:vAlign w:val="center"/>
          </w:tcPr>
          <w:p w14:paraId="116202CA">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技术等级证书</w:t>
            </w:r>
          </w:p>
          <w:p w14:paraId="373149F4">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（如有）</w:t>
            </w:r>
          </w:p>
        </w:tc>
        <w:tc>
          <w:tcPr>
            <w:tcW w:w="1340" w:type="dxa"/>
            <w:noWrap/>
            <w:vAlign w:val="center"/>
          </w:tcPr>
          <w:p w14:paraId="2DDD31E2">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职称</w:t>
            </w:r>
          </w:p>
          <w:p w14:paraId="563A6326">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（如有）</w:t>
            </w:r>
          </w:p>
        </w:tc>
        <w:tc>
          <w:tcPr>
            <w:tcW w:w="1150" w:type="dxa"/>
            <w:noWrap/>
            <w:vAlign w:val="center"/>
          </w:tcPr>
          <w:p w14:paraId="4ECFFFA6">
            <w:pPr>
              <w:spacing w:line="360" w:lineRule="auto"/>
              <w:jc w:val="center"/>
              <w:rPr>
                <w:rFonts w:hint="eastAsia" w:ascii="宋体" w:hAnsi="宋体" w:cs="宋体"/>
                <w:color w:val="auto"/>
                <w:spacing w:val="11"/>
                <w:sz w:val="24"/>
                <w:highlight w:val="none"/>
              </w:rPr>
            </w:pPr>
            <w:r>
              <w:rPr>
                <w:rFonts w:hint="eastAsia" w:ascii="宋体" w:hAnsi="宋体" w:cs="宋体"/>
                <w:color w:val="auto"/>
                <w:spacing w:val="11"/>
                <w:sz w:val="24"/>
                <w:highlight w:val="none"/>
              </w:rPr>
              <w:t>备注</w:t>
            </w:r>
          </w:p>
        </w:tc>
      </w:tr>
      <w:tr w14:paraId="595C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ign w:val="center"/>
          </w:tcPr>
          <w:p w14:paraId="0D2D06B9">
            <w:pPr>
              <w:spacing w:line="360" w:lineRule="auto"/>
              <w:jc w:val="center"/>
              <w:rPr>
                <w:rFonts w:hint="eastAsia" w:ascii="宋体" w:hAnsi="宋体" w:cs="宋体"/>
                <w:color w:val="auto"/>
                <w:spacing w:val="11"/>
                <w:sz w:val="24"/>
                <w:highlight w:val="none"/>
              </w:rPr>
            </w:pPr>
          </w:p>
        </w:tc>
        <w:tc>
          <w:tcPr>
            <w:tcW w:w="990" w:type="dxa"/>
            <w:noWrap/>
            <w:vAlign w:val="center"/>
          </w:tcPr>
          <w:p w14:paraId="0FD09101">
            <w:pPr>
              <w:spacing w:line="360" w:lineRule="auto"/>
              <w:jc w:val="center"/>
              <w:rPr>
                <w:rFonts w:hint="eastAsia" w:ascii="宋体" w:hAnsi="宋体" w:cs="宋体"/>
                <w:color w:val="auto"/>
                <w:spacing w:val="11"/>
                <w:sz w:val="24"/>
                <w:highlight w:val="none"/>
              </w:rPr>
            </w:pPr>
          </w:p>
        </w:tc>
        <w:tc>
          <w:tcPr>
            <w:tcW w:w="830" w:type="dxa"/>
            <w:noWrap/>
            <w:vAlign w:val="center"/>
          </w:tcPr>
          <w:p w14:paraId="128C8DBE">
            <w:pPr>
              <w:spacing w:line="360" w:lineRule="auto"/>
              <w:jc w:val="center"/>
              <w:rPr>
                <w:rFonts w:hint="eastAsia" w:ascii="宋体" w:hAnsi="宋体" w:cs="宋体"/>
                <w:color w:val="auto"/>
                <w:spacing w:val="11"/>
                <w:sz w:val="24"/>
                <w:highlight w:val="none"/>
              </w:rPr>
            </w:pPr>
          </w:p>
        </w:tc>
        <w:tc>
          <w:tcPr>
            <w:tcW w:w="1334" w:type="dxa"/>
            <w:noWrap/>
            <w:vAlign w:val="center"/>
          </w:tcPr>
          <w:p w14:paraId="4B029E5E">
            <w:pPr>
              <w:spacing w:line="360" w:lineRule="auto"/>
              <w:jc w:val="center"/>
              <w:rPr>
                <w:rFonts w:hint="eastAsia" w:ascii="宋体" w:hAnsi="宋体" w:cs="宋体"/>
                <w:color w:val="auto"/>
                <w:spacing w:val="11"/>
                <w:sz w:val="24"/>
                <w:highlight w:val="none"/>
              </w:rPr>
            </w:pPr>
          </w:p>
        </w:tc>
        <w:tc>
          <w:tcPr>
            <w:tcW w:w="1313" w:type="dxa"/>
            <w:noWrap/>
            <w:vAlign w:val="center"/>
          </w:tcPr>
          <w:p w14:paraId="487BECFB">
            <w:pPr>
              <w:spacing w:line="360" w:lineRule="auto"/>
              <w:jc w:val="center"/>
              <w:rPr>
                <w:rFonts w:hint="eastAsia" w:ascii="宋体" w:hAnsi="宋体" w:cs="宋体"/>
                <w:color w:val="auto"/>
                <w:spacing w:val="11"/>
                <w:sz w:val="24"/>
                <w:highlight w:val="none"/>
              </w:rPr>
            </w:pPr>
          </w:p>
        </w:tc>
        <w:tc>
          <w:tcPr>
            <w:tcW w:w="1297" w:type="dxa"/>
            <w:noWrap/>
            <w:vAlign w:val="center"/>
          </w:tcPr>
          <w:p w14:paraId="6C149B48">
            <w:pPr>
              <w:spacing w:line="360" w:lineRule="auto"/>
              <w:jc w:val="center"/>
              <w:rPr>
                <w:rFonts w:hint="eastAsia" w:ascii="宋体" w:hAnsi="宋体" w:cs="宋体"/>
                <w:color w:val="auto"/>
                <w:spacing w:val="11"/>
                <w:sz w:val="24"/>
                <w:highlight w:val="none"/>
              </w:rPr>
            </w:pPr>
          </w:p>
        </w:tc>
        <w:tc>
          <w:tcPr>
            <w:tcW w:w="1340" w:type="dxa"/>
            <w:noWrap/>
            <w:vAlign w:val="center"/>
          </w:tcPr>
          <w:p w14:paraId="79DABE79">
            <w:pPr>
              <w:spacing w:line="360" w:lineRule="auto"/>
              <w:jc w:val="center"/>
              <w:rPr>
                <w:rFonts w:hint="eastAsia" w:ascii="宋体" w:hAnsi="宋体" w:cs="宋体"/>
                <w:color w:val="auto"/>
                <w:spacing w:val="11"/>
                <w:sz w:val="24"/>
                <w:highlight w:val="none"/>
              </w:rPr>
            </w:pPr>
          </w:p>
        </w:tc>
        <w:tc>
          <w:tcPr>
            <w:tcW w:w="1150" w:type="dxa"/>
            <w:noWrap/>
            <w:vAlign w:val="center"/>
          </w:tcPr>
          <w:p w14:paraId="026508BB">
            <w:pPr>
              <w:spacing w:line="360" w:lineRule="auto"/>
              <w:jc w:val="center"/>
              <w:rPr>
                <w:rFonts w:hint="eastAsia" w:ascii="宋体" w:hAnsi="宋体" w:cs="宋体"/>
                <w:color w:val="auto"/>
                <w:spacing w:val="11"/>
                <w:sz w:val="24"/>
                <w:highlight w:val="none"/>
              </w:rPr>
            </w:pPr>
          </w:p>
        </w:tc>
      </w:tr>
      <w:tr w14:paraId="4B6A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ign w:val="center"/>
          </w:tcPr>
          <w:p w14:paraId="19A304AD">
            <w:pPr>
              <w:spacing w:line="360" w:lineRule="auto"/>
              <w:jc w:val="center"/>
              <w:rPr>
                <w:rFonts w:hint="eastAsia" w:ascii="宋体" w:hAnsi="宋体" w:cs="宋体"/>
                <w:color w:val="auto"/>
                <w:spacing w:val="11"/>
                <w:sz w:val="24"/>
                <w:highlight w:val="none"/>
              </w:rPr>
            </w:pPr>
          </w:p>
        </w:tc>
        <w:tc>
          <w:tcPr>
            <w:tcW w:w="990" w:type="dxa"/>
            <w:noWrap/>
            <w:vAlign w:val="center"/>
          </w:tcPr>
          <w:p w14:paraId="7A040401">
            <w:pPr>
              <w:spacing w:line="360" w:lineRule="auto"/>
              <w:jc w:val="center"/>
              <w:rPr>
                <w:rFonts w:hint="eastAsia" w:ascii="宋体" w:hAnsi="宋体" w:cs="宋体"/>
                <w:color w:val="auto"/>
                <w:spacing w:val="11"/>
                <w:sz w:val="24"/>
                <w:highlight w:val="none"/>
              </w:rPr>
            </w:pPr>
          </w:p>
        </w:tc>
        <w:tc>
          <w:tcPr>
            <w:tcW w:w="830" w:type="dxa"/>
            <w:noWrap/>
            <w:vAlign w:val="center"/>
          </w:tcPr>
          <w:p w14:paraId="74D993A7">
            <w:pPr>
              <w:spacing w:line="360" w:lineRule="auto"/>
              <w:jc w:val="center"/>
              <w:rPr>
                <w:rFonts w:hint="eastAsia" w:ascii="宋体" w:hAnsi="宋体" w:cs="宋体"/>
                <w:color w:val="auto"/>
                <w:spacing w:val="11"/>
                <w:sz w:val="24"/>
                <w:highlight w:val="none"/>
              </w:rPr>
            </w:pPr>
          </w:p>
        </w:tc>
        <w:tc>
          <w:tcPr>
            <w:tcW w:w="1334" w:type="dxa"/>
            <w:noWrap/>
            <w:vAlign w:val="center"/>
          </w:tcPr>
          <w:p w14:paraId="0D50C7A1">
            <w:pPr>
              <w:spacing w:line="360" w:lineRule="auto"/>
              <w:jc w:val="center"/>
              <w:rPr>
                <w:rFonts w:hint="eastAsia" w:ascii="宋体" w:hAnsi="宋体" w:cs="宋体"/>
                <w:color w:val="auto"/>
                <w:spacing w:val="11"/>
                <w:sz w:val="24"/>
                <w:highlight w:val="none"/>
              </w:rPr>
            </w:pPr>
          </w:p>
        </w:tc>
        <w:tc>
          <w:tcPr>
            <w:tcW w:w="1313" w:type="dxa"/>
            <w:noWrap/>
            <w:vAlign w:val="center"/>
          </w:tcPr>
          <w:p w14:paraId="4E7DF7AA">
            <w:pPr>
              <w:spacing w:line="360" w:lineRule="auto"/>
              <w:jc w:val="center"/>
              <w:rPr>
                <w:rFonts w:hint="eastAsia" w:ascii="宋体" w:hAnsi="宋体" w:cs="宋体"/>
                <w:color w:val="auto"/>
                <w:spacing w:val="11"/>
                <w:sz w:val="24"/>
                <w:highlight w:val="none"/>
              </w:rPr>
            </w:pPr>
          </w:p>
        </w:tc>
        <w:tc>
          <w:tcPr>
            <w:tcW w:w="1297" w:type="dxa"/>
            <w:noWrap/>
            <w:vAlign w:val="center"/>
          </w:tcPr>
          <w:p w14:paraId="74333F07">
            <w:pPr>
              <w:spacing w:line="360" w:lineRule="auto"/>
              <w:jc w:val="center"/>
              <w:rPr>
                <w:rFonts w:hint="eastAsia" w:ascii="宋体" w:hAnsi="宋体" w:cs="宋体"/>
                <w:color w:val="auto"/>
                <w:spacing w:val="11"/>
                <w:sz w:val="24"/>
                <w:highlight w:val="none"/>
              </w:rPr>
            </w:pPr>
          </w:p>
        </w:tc>
        <w:tc>
          <w:tcPr>
            <w:tcW w:w="1340" w:type="dxa"/>
            <w:noWrap/>
            <w:vAlign w:val="center"/>
          </w:tcPr>
          <w:p w14:paraId="4ABF1684">
            <w:pPr>
              <w:spacing w:line="360" w:lineRule="auto"/>
              <w:jc w:val="center"/>
              <w:rPr>
                <w:rFonts w:hint="eastAsia" w:ascii="宋体" w:hAnsi="宋体" w:cs="宋体"/>
                <w:color w:val="auto"/>
                <w:spacing w:val="11"/>
                <w:sz w:val="24"/>
                <w:highlight w:val="none"/>
              </w:rPr>
            </w:pPr>
          </w:p>
        </w:tc>
        <w:tc>
          <w:tcPr>
            <w:tcW w:w="1150" w:type="dxa"/>
            <w:noWrap/>
            <w:vAlign w:val="center"/>
          </w:tcPr>
          <w:p w14:paraId="703FCE09">
            <w:pPr>
              <w:spacing w:line="360" w:lineRule="auto"/>
              <w:jc w:val="center"/>
              <w:rPr>
                <w:rFonts w:hint="eastAsia" w:ascii="宋体" w:hAnsi="宋体" w:cs="宋体"/>
                <w:color w:val="auto"/>
                <w:spacing w:val="11"/>
                <w:sz w:val="24"/>
                <w:highlight w:val="none"/>
              </w:rPr>
            </w:pPr>
          </w:p>
        </w:tc>
      </w:tr>
      <w:tr w14:paraId="69F5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ign w:val="center"/>
          </w:tcPr>
          <w:p w14:paraId="411628F2">
            <w:pPr>
              <w:spacing w:line="360" w:lineRule="auto"/>
              <w:jc w:val="center"/>
              <w:rPr>
                <w:rFonts w:hint="eastAsia" w:ascii="宋体" w:hAnsi="宋体" w:cs="宋体"/>
                <w:color w:val="auto"/>
                <w:spacing w:val="11"/>
                <w:sz w:val="24"/>
                <w:highlight w:val="none"/>
              </w:rPr>
            </w:pPr>
          </w:p>
        </w:tc>
        <w:tc>
          <w:tcPr>
            <w:tcW w:w="990" w:type="dxa"/>
            <w:noWrap/>
            <w:vAlign w:val="center"/>
          </w:tcPr>
          <w:p w14:paraId="473BEA4C">
            <w:pPr>
              <w:spacing w:line="360" w:lineRule="auto"/>
              <w:jc w:val="center"/>
              <w:rPr>
                <w:rFonts w:hint="eastAsia" w:ascii="宋体" w:hAnsi="宋体" w:cs="宋体"/>
                <w:color w:val="auto"/>
                <w:spacing w:val="11"/>
                <w:sz w:val="24"/>
                <w:highlight w:val="none"/>
              </w:rPr>
            </w:pPr>
          </w:p>
        </w:tc>
        <w:tc>
          <w:tcPr>
            <w:tcW w:w="830" w:type="dxa"/>
            <w:noWrap/>
            <w:vAlign w:val="center"/>
          </w:tcPr>
          <w:p w14:paraId="2CFFDD56">
            <w:pPr>
              <w:spacing w:line="360" w:lineRule="auto"/>
              <w:jc w:val="center"/>
              <w:rPr>
                <w:rFonts w:hint="eastAsia" w:ascii="宋体" w:hAnsi="宋体" w:cs="宋体"/>
                <w:color w:val="auto"/>
                <w:spacing w:val="11"/>
                <w:sz w:val="24"/>
                <w:highlight w:val="none"/>
              </w:rPr>
            </w:pPr>
          </w:p>
        </w:tc>
        <w:tc>
          <w:tcPr>
            <w:tcW w:w="1334" w:type="dxa"/>
            <w:noWrap/>
            <w:vAlign w:val="center"/>
          </w:tcPr>
          <w:p w14:paraId="1FA33D8C">
            <w:pPr>
              <w:spacing w:line="360" w:lineRule="auto"/>
              <w:jc w:val="center"/>
              <w:rPr>
                <w:rFonts w:hint="eastAsia" w:ascii="宋体" w:hAnsi="宋体" w:cs="宋体"/>
                <w:color w:val="auto"/>
                <w:spacing w:val="11"/>
                <w:sz w:val="24"/>
                <w:highlight w:val="none"/>
              </w:rPr>
            </w:pPr>
          </w:p>
        </w:tc>
        <w:tc>
          <w:tcPr>
            <w:tcW w:w="1313" w:type="dxa"/>
            <w:noWrap/>
            <w:vAlign w:val="center"/>
          </w:tcPr>
          <w:p w14:paraId="04448CD4">
            <w:pPr>
              <w:spacing w:line="360" w:lineRule="auto"/>
              <w:jc w:val="center"/>
              <w:rPr>
                <w:rFonts w:hint="eastAsia" w:ascii="宋体" w:hAnsi="宋体" w:cs="宋体"/>
                <w:color w:val="auto"/>
                <w:spacing w:val="11"/>
                <w:sz w:val="24"/>
                <w:highlight w:val="none"/>
              </w:rPr>
            </w:pPr>
          </w:p>
        </w:tc>
        <w:tc>
          <w:tcPr>
            <w:tcW w:w="1297" w:type="dxa"/>
            <w:noWrap/>
            <w:vAlign w:val="center"/>
          </w:tcPr>
          <w:p w14:paraId="77FD3A1F">
            <w:pPr>
              <w:spacing w:line="360" w:lineRule="auto"/>
              <w:jc w:val="center"/>
              <w:rPr>
                <w:rFonts w:hint="eastAsia" w:ascii="宋体" w:hAnsi="宋体" w:cs="宋体"/>
                <w:color w:val="auto"/>
                <w:spacing w:val="11"/>
                <w:sz w:val="24"/>
                <w:highlight w:val="none"/>
              </w:rPr>
            </w:pPr>
          </w:p>
        </w:tc>
        <w:tc>
          <w:tcPr>
            <w:tcW w:w="1340" w:type="dxa"/>
            <w:noWrap/>
            <w:vAlign w:val="center"/>
          </w:tcPr>
          <w:p w14:paraId="5E9EACF7">
            <w:pPr>
              <w:spacing w:line="360" w:lineRule="auto"/>
              <w:jc w:val="center"/>
              <w:rPr>
                <w:rFonts w:hint="eastAsia" w:ascii="宋体" w:hAnsi="宋体" w:cs="宋体"/>
                <w:color w:val="auto"/>
                <w:spacing w:val="11"/>
                <w:sz w:val="24"/>
                <w:highlight w:val="none"/>
              </w:rPr>
            </w:pPr>
          </w:p>
        </w:tc>
        <w:tc>
          <w:tcPr>
            <w:tcW w:w="1150" w:type="dxa"/>
            <w:noWrap/>
            <w:vAlign w:val="center"/>
          </w:tcPr>
          <w:p w14:paraId="06088DB1">
            <w:pPr>
              <w:spacing w:line="360" w:lineRule="auto"/>
              <w:jc w:val="center"/>
              <w:rPr>
                <w:rFonts w:hint="eastAsia" w:ascii="宋体" w:hAnsi="宋体" w:cs="宋体"/>
                <w:color w:val="auto"/>
                <w:spacing w:val="11"/>
                <w:sz w:val="24"/>
                <w:highlight w:val="none"/>
              </w:rPr>
            </w:pPr>
          </w:p>
        </w:tc>
      </w:tr>
      <w:tr w14:paraId="7D51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ign w:val="center"/>
          </w:tcPr>
          <w:p w14:paraId="305174B2">
            <w:pPr>
              <w:spacing w:line="360" w:lineRule="auto"/>
              <w:jc w:val="center"/>
              <w:rPr>
                <w:rFonts w:hint="eastAsia" w:ascii="宋体" w:hAnsi="宋体" w:cs="宋体"/>
                <w:color w:val="auto"/>
                <w:spacing w:val="11"/>
                <w:sz w:val="24"/>
                <w:highlight w:val="none"/>
              </w:rPr>
            </w:pPr>
          </w:p>
        </w:tc>
        <w:tc>
          <w:tcPr>
            <w:tcW w:w="990" w:type="dxa"/>
            <w:noWrap/>
            <w:vAlign w:val="center"/>
          </w:tcPr>
          <w:p w14:paraId="260FD036">
            <w:pPr>
              <w:spacing w:line="360" w:lineRule="auto"/>
              <w:jc w:val="center"/>
              <w:rPr>
                <w:rFonts w:hint="eastAsia" w:ascii="宋体" w:hAnsi="宋体" w:cs="宋体"/>
                <w:color w:val="auto"/>
                <w:spacing w:val="11"/>
                <w:sz w:val="24"/>
                <w:highlight w:val="none"/>
              </w:rPr>
            </w:pPr>
          </w:p>
        </w:tc>
        <w:tc>
          <w:tcPr>
            <w:tcW w:w="830" w:type="dxa"/>
            <w:noWrap/>
            <w:vAlign w:val="center"/>
          </w:tcPr>
          <w:p w14:paraId="2E41E1CD">
            <w:pPr>
              <w:spacing w:line="360" w:lineRule="auto"/>
              <w:jc w:val="center"/>
              <w:rPr>
                <w:rFonts w:hint="eastAsia" w:ascii="宋体" w:hAnsi="宋体" w:cs="宋体"/>
                <w:color w:val="auto"/>
                <w:spacing w:val="11"/>
                <w:sz w:val="24"/>
                <w:highlight w:val="none"/>
              </w:rPr>
            </w:pPr>
          </w:p>
        </w:tc>
        <w:tc>
          <w:tcPr>
            <w:tcW w:w="1334" w:type="dxa"/>
            <w:noWrap/>
            <w:vAlign w:val="center"/>
          </w:tcPr>
          <w:p w14:paraId="5B7B791F">
            <w:pPr>
              <w:spacing w:line="360" w:lineRule="auto"/>
              <w:jc w:val="center"/>
              <w:rPr>
                <w:rFonts w:hint="eastAsia" w:ascii="宋体" w:hAnsi="宋体" w:cs="宋体"/>
                <w:color w:val="auto"/>
                <w:spacing w:val="11"/>
                <w:sz w:val="24"/>
                <w:highlight w:val="none"/>
              </w:rPr>
            </w:pPr>
          </w:p>
        </w:tc>
        <w:tc>
          <w:tcPr>
            <w:tcW w:w="1313" w:type="dxa"/>
            <w:noWrap/>
            <w:vAlign w:val="center"/>
          </w:tcPr>
          <w:p w14:paraId="4B8EF20C">
            <w:pPr>
              <w:spacing w:line="360" w:lineRule="auto"/>
              <w:jc w:val="center"/>
              <w:rPr>
                <w:rFonts w:hint="eastAsia" w:ascii="宋体" w:hAnsi="宋体" w:cs="宋体"/>
                <w:color w:val="auto"/>
                <w:spacing w:val="11"/>
                <w:sz w:val="24"/>
                <w:highlight w:val="none"/>
              </w:rPr>
            </w:pPr>
          </w:p>
        </w:tc>
        <w:tc>
          <w:tcPr>
            <w:tcW w:w="1297" w:type="dxa"/>
            <w:noWrap/>
            <w:vAlign w:val="center"/>
          </w:tcPr>
          <w:p w14:paraId="0443AA9E">
            <w:pPr>
              <w:spacing w:line="360" w:lineRule="auto"/>
              <w:jc w:val="center"/>
              <w:rPr>
                <w:rFonts w:hint="eastAsia" w:ascii="宋体" w:hAnsi="宋体" w:cs="宋体"/>
                <w:color w:val="auto"/>
                <w:spacing w:val="11"/>
                <w:sz w:val="24"/>
                <w:highlight w:val="none"/>
              </w:rPr>
            </w:pPr>
          </w:p>
        </w:tc>
        <w:tc>
          <w:tcPr>
            <w:tcW w:w="1340" w:type="dxa"/>
            <w:noWrap/>
            <w:vAlign w:val="center"/>
          </w:tcPr>
          <w:p w14:paraId="7193A4BC">
            <w:pPr>
              <w:spacing w:line="360" w:lineRule="auto"/>
              <w:jc w:val="center"/>
              <w:rPr>
                <w:rFonts w:hint="eastAsia" w:ascii="宋体" w:hAnsi="宋体" w:cs="宋体"/>
                <w:color w:val="auto"/>
                <w:spacing w:val="11"/>
                <w:sz w:val="24"/>
                <w:highlight w:val="none"/>
              </w:rPr>
            </w:pPr>
          </w:p>
        </w:tc>
        <w:tc>
          <w:tcPr>
            <w:tcW w:w="1150" w:type="dxa"/>
            <w:noWrap/>
            <w:vAlign w:val="center"/>
          </w:tcPr>
          <w:p w14:paraId="13BD27DA">
            <w:pPr>
              <w:spacing w:line="360" w:lineRule="auto"/>
              <w:jc w:val="center"/>
              <w:rPr>
                <w:rFonts w:hint="eastAsia" w:ascii="宋体" w:hAnsi="宋体" w:cs="宋体"/>
                <w:color w:val="auto"/>
                <w:spacing w:val="11"/>
                <w:sz w:val="24"/>
                <w:highlight w:val="none"/>
              </w:rPr>
            </w:pPr>
          </w:p>
        </w:tc>
      </w:tr>
      <w:tr w14:paraId="22C7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ign w:val="center"/>
          </w:tcPr>
          <w:p w14:paraId="524FD790">
            <w:pPr>
              <w:spacing w:line="360" w:lineRule="auto"/>
              <w:jc w:val="center"/>
              <w:rPr>
                <w:rFonts w:hint="eastAsia" w:ascii="宋体" w:hAnsi="宋体" w:cs="宋体"/>
                <w:color w:val="auto"/>
                <w:spacing w:val="11"/>
                <w:sz w:val="24"/>
                <w:highlight w:val="none"/>
              </w:rPr>
            </w:pPr>
          </w:p>
        </w:tc>
        <w:tc>
          <w:tcPr>
            <w:tcW w:w="990" w:type="dxa"/>
            <w:noWrap/>
            <w:vAlign w:val="center"/>
          </w:tcPr>
          <w:p w14:paraId="2A5C291B">
            <w:pPr>
              <w:spacing w:line="360" w:lineRule="auto"/>
              <w:jc w:val="center"/>
              <w:rPr>
                <w:rFonts w:hint="eastAsia" w:ascii="宋体" w:hAnsi="宋体" w:cs="宋体"/>
                <w:color w:val="auto"/>
                <w:spacing w:val="11"/>
                <w:sz w:val="24"/>
                <w:highlight w:val="none"/>
              </w:rPr>
            </w:pPr>
          </w:p>
        </w:tc>
        <w:tc>
          <w:tcPr>
            <w:tcW w:w="830" w:type="dxa"/>
            <w:noWrap/>
            <w:vAlign w:val="center"/>
          </w:tcPr>
          <w:p w14:paraId="3C1D0070">
            <w:pPr>
              <w:spacing w:line="360" w:lineRule="auto"/>
              <w:jc w:val="center"/>
              <w:rPr>
                <w:rFonts w:hint="eastAsia" w:ascii="宋体" w:hAnsi="宋体" w:cs="宋体"/>
                <w:color w:val="auto"/>
                <w:spacing w:val="11"/>
                <w:sz w:val="24"/>
                <w:highlight w:val="none"/>
              </w:rPr>
            </w:pPr>
          </w:p>
        </w:tc>
        <w:tc>
          <w:tcPr>
            <w:tcW w:w="1334" w:type="dxa"/>
            <w:noWrap/>
            <w:vAlign w:val="center"/>
          </w:tcPr>
          <w:p w14:paraId="677AE10C">
            <w:pPr>
              <w:spacing w:line="360" w:lineRule="auto"/>
              <w:jc w:val="center"/>
              <w:rPr>
                <w:rFonts w:hint="eastAsia" w:ascii="宋体" w:hAnsi="宋体" w:cs="宋体"/>
                <w:color w:val="auto"/>
                <w:spacing w:val="11"/>
                <w:sz w:val="24"/>
                <w:highlight w:val="none"/>
              </w:rPr>
            </w:pPr>
          </w:p>
        </w:tc>
        <w:tc>
          <w:tcPr>
            <w:tcW w:w="1313" w:type="dxa"/>
            <w:noWrap/>
            <w:vAlign w:val="center"/>
          </w:tcPr>
          <w:p w14:paraId="30B61C93">
            <w:pPr>
              <w:spacing w:line="360" w:lineRule="auto"/>
              <w:jc w:val="center"/>
              <w:rPr>
                <w:rFonts w:hint="eastAsia" w:ascii="宋体" w:hAnsi="宋体" w:cs="宋体"/>
                <w:color w:val="auto"/>
                <w:spacing w:val="11"/>
                <w:sz w:val="24"/>
                <w:highlight w:val="none"/>
              </w:rPr>
            </w:pPr>
          </w:p>
        </w:tc>
        <w:tc>
          <w:tcPr>
            <w:tcW w:w="1297" w:type="dxa"/>
            <w:noWrap/>
            <w:vAlign w:val="center"/>
          </w:tcPr>
          <w:p w14:paraId="5A2B6DD5">
            <w:pPr>
              <w:spacing w:line="360" w:lineRule="auto"/>
              <w:jc w:val="center"/>
              <w:rPr>
                <w:rFonts w:hint="eastAsia" w:ascii="宋体" w:hAnsi="宋体" w:cs="宋体"/>
                <w:color w:val="auto"/>
                <w:spacing w:val="11"/>
                <w:sz w:val="24"/>
                <w:highlight w:val="none"/>
              </w:rPr>
            </w:pPr>
          </w:p>
        </w:tc>
        <w:tc>
          <w:tcPr>
            <w:tcW w:w="1340" w:type="dxa"/>
            <w:noWrap/>
            <w:vAlign w:val="center"/>
          </w:tcPr>
          <w:p w14:paraId="30EA4F57">
            <w:pPr>
              <w:spacing w:line="360" w:lineRule="auto"/>
              <w:jc w:val="center"/>
              <w:rPr>
                <w:rFonts w:hint="eastAsia" w:ascii="宋体" w:hAnsi="宋体" w:cs="宋体"/>
                <w:color w:val="auto"/>
                <w:spacing w:val="11"/>
                <w:sz w:val="24"/>
                <w:highlight w:val="none"/>
              </w:rPr>
            </w:pPr>
          </w:p>
        </w:tc>
        <w:tc>
          <w:tcPr>
            <w:tcW w:w="1150" w:type="dxa"/>
            <w:noWrap/>
            <w:vAlign w:val="center"/>
          </w:tcPr>
          <w:p w14:paraId="5E335B72">
            <w:pPr>
              <w:spacing w:line="360" w:lineRule="auto"/>
              <w:jc w:val="center"/>
              <w:rPr>
                <w:rFonts w:hint="eastAsia" w:ascii="宋体" w:hAnsi="宋体" w:cs="宋体"/>
                <w:color w:val="auto"/>
                <w:spacing w:val="11"/>
                <w:sz w:val="24"/>
                <w:highlight w:val="none"/>
              </w:rPr>
            </w:pPr>
          </w:p>
        </w:tc>
      </w:tr>
      <w:tr w14:paraId="3AFA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ign w:val="center"/>
          </w:tcPr>
          <w:p w14:paraId="667B25DD">
            <w:pPr>
              <w:spacing w:line="360" w:lineRule="auto"/>
              <w:jc w:val="center"/>
              <w:rPr>
                <w:rFonts w:hint="eastAsia" w:ascii="宋体" w:hAnsi="宋体" w:cs="宋体"/>
                <w:color w:val="auto"/>
                <w:spacing w:val="11"/>
                <w:sz w:val="24"/>
                <w:highlight w:val="none"/>
              </w:rPr>
            </w:pPr>
          </w:p>
        </w:tc>
        <w:tc>
          <w:tcPr>
            <w:tcW w:w="990" w:type="dxa"/>
            <w:noWrap/>
            <w:vAlign w:val="center"/>
          </w:tcPr>
          <w:p w14:paraId="5080BE20">
            <w:pPr>
              <w:spacing w:line="360" w:lineRule="auto"/>
              <w:jc w:val="center"/>
              <w:rPr>
                <w:rFonts w:hint="eastAsia" w:ascii="宋体" w:hAnsi="宋体" w:cs="宋体"/>
                <w:color w:val="auto"/>
                <w:spacing w:val="11"/>
                <w:sz w:val="24"/>
                <w:highlight w:val="none"/>
              </w:rPr>
            </w:pPr>
          </w:p>
        </w:tc>
        <w:tc>
          <w:tcPr>
            <w:tcW w:w="830" w:type="dxa"/>
            <w:noWrap/>
            <w:vAlign w:val="center"/>
          </w:tcPr>
          <w:p w14:paraId="31B194C7">
            <w:pPr>
              <w:spacing w:line="360" w:lineRule="auto"/>
              <w:jc w:val="center"/>
              <w:rPr>
                <w:rFonts w:hint="eastAsia" w:ascii="宋体" w:hAnsi="宋体" w:cs="宋体"/>
                <w:color w:val="auto"/>
                <w:spacing w:val="11"/>
                <w:sz w:val="24"/>
                <w:highlight w:val="none"/>
              </w:rPr>
            </w:pPr>
          </w:p>
        </w:tc>
        <w:tc>
          <w:tcPr>
            <w:tcW w:w="1334" w:type="dxa"/>
            <w:noWrap/>
            <w:vAlign w:val="center"/>
          </w:tcPr>
          <w:p w14:paraId="6A12DC25">
            <w:pPr>
              <w:spacing w:line="360" w:lineRule="auto"/>
              <w:jc w:val="center"/>
              <w:rPr>
                <w:rFonts w:hint="eastAsia" w:ascii="宋体" w:hAnsi="宋体" w:cs="宋体"/>
                <w:color w:val="auto"/>
                <w:spacing w:val="11"/>
                <w:sz w:val="24"/>
                <w:highlight w:val="none"/>
              </w:rPr>
            </w:pPr>
          </w:p>
        </w:tc>
        <w:tc>
          <w:tcPr>
            <w:tcW w:w="1313" w:type="dxa"/>
            <w:noWrap/>
            <w:vAlign w:val="center"/>
          </w:tcPr>
          <w:p w14:paraId="78674539">
            <w:pPr>
              <w:spacing w:line="360" w:lineRule="auto"/>
              <w:jc w:val="center"/>
              <w:rPr>
                <w:rFonts w:hint="eastAsia" w:ascii="宋体" w:hAnsi="宋体" w:cs="宋体"/>
                <w:color w:val="auto"/>
                <w:spacing w:val="11"/>
                <w:sz w:val="24"/>
                <w:highlight w:val="none"/>
              </w:rPr>
            </w:pPr>
          </w:p>
        </w:tc>
        <w:tc>
          <w:tcPr>
            <w:tcW w:w="1297" w:type="dxa"/>
            <w:noWrap/>
            <w:vAlign w:val="center"/>
          </w:tcPr>
          <w:p w14:paraId="6DF6FCB1">
            <w:pPr>
              <w:spacing w:line="360" w:lineRule="auto"/>
              <w:jc w:val="center"/>
              <w:rPr>
                <w:rFonts w:hint="eastAsia" w:ascii="宋体" w:hAnsi="宋体" w:cs="宋体"/>
                <w:color w:val="auto"/>
                <w:spacing w:val="11"/>
                <w:sz w:val="24"/>
                <w:highlight w:val="none"/>
              </w:rPr>
            </w:pPr>
          </w:p>
        </w:tc>
        <w:tc>
          <w:tcPr>
            <w:tcW w:w="1340" w:type="dxa"/>
            <w:noWrap/>
            <w:vAlign w:val="center"/>
          </w:tcPr>
          <w:p w14:paraId="1ACD4FCD">
            <w:pPr>
              <w:spacing w:line="360" w:lineRule="auto"/>
              <w:jc w:val="center"/>
              <w:rPr>
                <w:rFonts w:hint="eastAsia" w:ascii="宋体" w:hAnsi="宋体" w:cs="宋体"/>
                <w:color w:val="auto"/>
                <w:spacing w:val="11"/>
                <w:sz w:val="24"/>
                <w:highlight w:val="none"/>
              </w:rPr>
            </w:pPr>
          </w:p>
        </w:tc>
        <w:tc>
          <w:tcPr>
            <w:tcW w:w="1150" w:type="dxa"/>
            <w:noWrap/>
            <w:vAlign w:val="center"/>
          </w:tcPr>
          <w:p w14:paraId="0C0889F7">
            <w:pPr>
              <w:spacing w:line="360" w:lineRule="auto"/>
              <w:jc w:val="center"/>
              <w:rPr>
                <w:rFonts w:hint="eastAsia" w:ascii="宋体" w:hAnsi="宋体" w:cs="宋体"/>
                <w:color w:val="auto"/>
                <w:spacing w:val="11"/>
                <w:sz w:val="24"/>
                <w:highlight w:val="none"/>
              </w:rPr>
            </w:pPr>
          </w:p>
        </w:tc>
      </w:tr>
      <w:tr w14:paraId="0FC0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ign w:val="center"/>
          </w:tcPr>
          <w:p w14:paraId="145F40EE">
            <w:pPr>
              <w:spacing w:line="360" w:lineRule="auto"/>
              <w:jc w:val="center"/>
              <w:rPr>
                <w:rFonts w:hint="eastAsia" w:ascii="宋体" w:hAnsi="宋体" w:cs="宋体"/>
                <w:color w:val="auto"/>
                <w:spacing w:val="11"/>
                <w:sz w:val="24"/>
                <w:highlight w:val="none"/>
              </w:rPr>
            </w:pPr>
          </w:p>
        </w:tc>
        <w:tc>
          <w:tcPr>
            <w:tcW w:w="990" w:type="dxa"/>
            <w:noWrap/>
            <w:vAlign w:val="center"/>
          </w:tcPr>
          <w:p w14:paraId="4D9E2D13">
            <w:pPr>
              <w:spacing w:line="360" w:lineRule="auto"/>
              <w:jc w:val="center"/>
              <w:rPr>
                <w:rFonts w:hint="eastAsia" w:ascii="宋体" w:hAnsi="宋体" w:cs="宋体"/>
                <w:color w:val="auto"/>
                <w:spacing w:val="11"/>
                <w:sz w:val="24"/>
                <w:highlight w:val="none"/>
              </w:rPr>
            </w:pPr>
          </w:p>
        </w:tc>
        <w:tc>
          <w:tcPr>
            <w:tcW w:w="830" w:type="dxa"/>
            <w:noWrap/>
            <w:vAlign w:val="center"/>
          </w:tcPr>
          <w:p w14:paraId="4A47D3D9">
            <w:pPr>
              <w:spacing w:line="360" w:lineRule="auto"/>
              <w:jc w:val="center"/>
              <w:rPr>
                <w:rFonts w:hint="eastAsia" w:ascii="宋体" w:hAnsi="宋体" w:cs="宋体"/>
                <w:color w:val="auto"/>
                <w:spacing w:val="11"/>
                <w:sz w:val="24"/>
                <w:highlight w:val="none"/>
              </w:rPr>
            </w:pPr>
          </w:p>
        </w:tc>
        <w:tc>
          <w:tcPr>
            <w:tcW w:w="1334" w:type="dxa"/>
            <w:noWrap/>
            <w:vAlign w:val="center"/>
          </w:tcPr>
          <w:p w14:paraId="734B0583">
            <w:pPr>
              <w:spacing w:line="360" w:lineRule="auto"/>
              <w:jc w:val="center"/>
              <w:rPr>
                <w:rFonts w:hint="eastAsia" w:ascii="宋体" w:hAnsi="宋体" w:cs="宋体"/>
                <w:color w:val="auto"/>
                <w:spacing w:val="11"/>
                <w:sz w:val="24"/>
                <w:highlight w:val="none"/>
              </w:rPr>
            </w:pPr>
          </w:p>
        </w:tc>
        <w:tc>
          <w:tcPr>
            <w:tcW w:w="1313" w:type="dxa"/>
            <w:noWrap/>
            <w:vAlign w:val="center"/>
          </w:tcPr>
          <w:p w14:paraId="04FCFC44">
            <w:pPr>
              <w:spacing w:line="360" w:lineRule="auto"/>
              <w:jc w:val="center"/>
              <w:rPr>
                <w:rFonts w:hint="eastAsia" w:ascii="宋体" w:hAnsi="宋体" w:cs="宋体"/>
                <w:color w:val="auto"/>
                <w:spacing w:val="11"/>
                <w:sz w:val="24"/>
                <w:highlight w:val="none"/>
              </w:rPr>
            </w:pPr>
          </w:p>
        </w:tc>
        <w:tc>
          <w:tcPr>
            <w:tcW w:w="1297" w:type="dxa"/>
            <w:noWrap/>
            <w:vAlign w:val="center"/>
          </w:tcPr>
          <w:p w14:paraId="684C3B50">
            <w:pPr>
              <w:spacing w:line="360" w:lineRule="auto"/>
              <w:jc w:val="center"/>
              <w:rPr>
                <w:rFonts w:hint="eastAsia" w:ascii="宋体" w:hAnsi="宋体" w:cs="宋体"/>
                <w:color w:val="auto"/>
                <w:spacing w:val="11"/>
                <w:sz w:val="24"/>
                <w:highlight w:val="none"/>
              </w:rPr>
            </w:pPr>
          </w:p>
        </w:tc>
        <w:tc>
          <w:tcPr>
            <w:tcW w:w="1340" w:type="dxa"/>
            <w:noWrap/>
            <w:vAlign w:val="center"/>
          </w:tcPr>
          <w:p w14:paraId="3ABEF799">
            <w:pPr>
              <w:spacing w:line="360" w:lineRule="auto"/>
              <w:jc w:val="center"/>
              <w:rPr>
                <w:rFonts w:hint="eastAsia" w:ascii="宋体" w:hAnsi="宋体" w:cs="宋体"/>
                <w:color w:val="auto"/>
                <w:spacing w:val="11"/>
                <w:sz w:val="24"/>
                <w:highlight w:val="none"/>
              </w:rPr>
            </w:pPr>
          </w:p>
        </w:tc>
        <w:tc>
          <w:tcPr>
            <w:tcW w:w="1150" w:type="dxa"/>
            <w:noWrap/>
            <w:vAlign w:val="center"/>
          </w:tcPr>
          <w:p w14:paraId="65E74682">
            <w:pPr>
              <w:spacing w:line="360" w:lineRule="auto"/>
              <w:jc w:val="center"/>
              <w:rPr>
                <w:rFonts w:hint="eastAsia" w:ascii="宋体" w:hAnsi="宋体" w:cs="宋体"/>
                <w:color w:val="auto"/>
                <w:spacing w:val="11"/>
                <w:sz w:val="24"/>
                <w:highlight w:val="none"/>
              </w:rPr>
            </w:pPr>
          </w:p>
        </w:tc>
      </w:tr>
      <w:tr w14:paraId="7426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ign w:val="center"/>
          </w:tcPr>
          <w:p w14:paraId="0250A4F8">
            <w:pPr>
              <w:spacing w:line="360" w:lineRule="auto"/>
              <w:jc w:val="center"/>
              <w:rPr>
                <w:rFonts w:hint="eastAsia" w:ascii="宋体" w:hAnsi="宋体" w:cs="宋体"/>
                <w:color w:val="auto"/>
                <w:spacing w:val="11"/>
                <w:sz w:val="24"/>
                <w:highlight w:val="none"/>
              </w:rPr>
            </w:pPr>
          </w:p>
        </w:tc>
        <w:tc>
          <w:tcPr>
            <w:tcW w:w="990" w:type="dxa"/>
            <w:noWrap/>
            <w:vAlign w:val="center"/>
          </w:tcPr>
          <w:p w14:paraId="4DEB3BD4">
            <w:pPr>
              <w:spacing w:line="360" w:lineRule="auto"/>
              <w:jc w:val="center"/>
              <w:rPr>
                <w:rFonts w:hint="eastAsia" w:ascii="宋体" w:hAnsi="宋体" w:cs="宋体"/>
                <w:color w:val="auto"/>
                <w:spacing w:val="11"/>
                <w:sz w:val="24"/>
                <w:highlight w:val="none"/>
              </w:rPr>
            </w:pPr>
          </w:p>
        </w:tc>
        <w:tc>
          <w:tcPr>
            <w:tcW w:w="830" w:type="dxa"/>
            <w:noWrap/>
            <w:vAlign w:val="center"/>
          </w:tcPr>
          <w:p w14:paraId="1EFCBF1D">
            <w:pPr>
              <w:spacing w:line="360" w:lineRule="auto"/>
              <w:jc w:val="center"/>
              <w:rPr>
                <w:rFonts w:hint="eastAsia" w:ascii="宋体" w:hAnsi="宋体" w:cs="宋体"/>
                <w:color w:val="auto"/>
                <w:spacing w:val="11"/>
                <w:sz w:val="24"/>
                <w:highlight w:val="none"/>
              </w:rPr>
            </w:pPr>
          </w:p>
        </w:tc>
        <w:tc>
          <w:tcPr>
            <w:tcW w:w="1334" w:type="dxa"/>
            <w:noWrap/>
            <w:vAlign w:val="center"/>
          </w:tcPr>
          <w:p w14:paraId="26B9FD73">
            <w:pPr>
              <w:spacing w:line="360" w:lineRule="auto"/>
              <w:jc w:val="center"/>
              <w:rPr>
                <w:rFonts w:hint="eastAsia" w:ascii="宋体" w:hAnsi="宋体" w:cs="宋体"/>
                <w:color w:val="auto"/>
                <w:spacing w:val="11"/>
                <w:sz w:val="24"/>
                <w:highlight w:val="none"/>
              </w:rPr>
            </w:pPr>
          </w:p>
        </w:tc>
        <w:tc>
          <w:tcPr>
            <w:tcW w:w="1313" w:type="dxa"/>
            <w:noWrap/>
            <w:vAlign w:val="center"/>
          </w:tcPr>
          <w:p w14:paraId="05772DB5">
            <w:pPr>
              <w:spacing w:line="360" w:lineRule="auto"/>
              <w:jc w:val="center"/>
              <w:rPr>
                <w:rFonts w:hint="eastAsia" w:ascii="宋体" w:hAnsi="宋体" w:cs="宋体"/>
                <w:color w:val="auto"/>
                <w:spacing w:val="11"/>
                <w:sz w:val="24"/>
                <w:highlight w:val="none"/>
              </w:rPr>
            </w:pPr>
          </w:p>
        </w:tc>
        <w:tc>
          <w:tcPr>
            <w:tcW w:w="1297" w:type="dxa"/>
            <w:noWrap/>
            <w:vAlign w:val="center"/>
          </w:tcPr>
          <w:p w14:paraId="76271C5C">
            <w:pPr>
              <w:spacing w:line="360" w:lineRule="auto"/>
              <w:jc w:val="center"/>
              <w:rPr>
                <w:rFonts w:hint="eastAsia" w:ascii="宋体" w:hAnsi="宋体" w:cs="宋体"/>
                <w:color w:val="auto"/>
                <w:spacing w:val="11"/>
                <w:sz w:val="24"/>
                <w:highlight w:val="none"/>
              </w:rPr>
            </w:pPr>
          </w:p>
        </w:tc>
        <w:tc>
          <w:tcPr>
            <w:tcW w:w="1340" w:type="dxa"/>
            <w:noWrap/>
            <w:vAlign w:val="center"/>
          </w:tcPr>
          <w:p w14:paraId="2501B328">
            <w:pPr>
              <w:spacing w:line="360" w:lineRule="auto"/>
              <w:jc w:val="center"/>
              <w:rPr>
                <w:rFonts w:hint="eastAsia" w:ascii="宋体" w:hAnsi="宋体" w:cs="宋体"/>
                <w:color w:val="auto"/>
                <w:spacing w:val="11"/>
                <w:sz w:val="24"/>
                <w:highlight w:val="none"/>
              </w:rPr>
            </w:pPr>
          </w:p>
        </w:tc>
        <w:tc>
          <w:tcPr>
            <w:tcW w:w="1150" w:type="dxa"/>
            <w:noWrap/>
            <w:vAlign w:val="center"/>
          </w:tcPr>
          <w:p w14:paraId="6D68BF4B">
            <w:pPr>
              <w:spacing w:line="360" w:lineRule="auto"/>
              <w:jc w:val="center"/>
              <w:rPr>
                <w:rFonts w:hint="eastAsia" w:ascii="宋体" w:hAnsi="宋体" w:cs="宋体"/>
                <w:color w:val="auto"/>
                <w:spacing w:val="11"/>
                <w:sz w:val="24"/>
                <w:highlight w:val="none"/>
              </w:rPr>
            </w:pPr>
          </w:p>
        </w:tc>
      </w:tr>
    </w:tbl>
    <w:p w14:paraId="1508617D">
      <w:pPr>
        <w:spacing w:line="360" w:lineRule="auto"/>
        <w:ind w:left="86" w:leftChars="41"/>
        <w:jc w:val="left"/>
        <w:rPr>
          <w:rFonts w:hint="eastAsia" w:ascii="宋体" w:hAnsi="宋体" w:cs="宋体"/>
          <w:bCs/>
          <w:color w:val="auto"/>
          <w:spacing w:val="11"/>
          <w:sz w:val="24"/>
          <w:highlight w:val="none"/>
        </w:rPr>
      </w:pPr>
    </w:p>
    <w:p w14:paraId="287E101B">
      <w:pPr>
        <w:spacing w:line="360" w:lineRule="auto"/>
        <w:ind w:left="86" w:leftChars="41"/>
        <w:jc w:val="left"/>
        <w:rPr>
          <w:rFonts w:hint="eastAsia" w:ascii="宋体" w:hAnsi="宋体" w:cs="宋体"/>
          <w:color w:val="auto"/>
          <w:spacing w:val="11"/>
          <w:sz w:val="24"/>
          <w:highlight w:val="none"/>
        </w:rPr>
      </w:pPr>
      <w:r>
        <w:rPr>
          <w:rFonts w:hint="eastAsia" w:ascii="宋体" w:hAnsi="宋体" w:cs="宋体"/>
          <w:color w:val="auto"/>
          <w:spacing w:val="11"/>
          <w:sz w:val="24"/>
          <w:highlight w:val="none"/>
        </w:rPr>
        <w:t>注：</w:t>
      </w:r>
      <w:r>
        <w:rPr>
          <w:rFonts w:hint="eastAsia" w:ascii="宋体" w:hAnsi="宋体" w:cs="宋体"/>
          <w:bCs/>
          <w:color w:val="auto"/>
          <w:spacing w:val="11"/>
          <w:sz w:val="24"/>
          <w:highlight w:val="none"/>
        </w:rPr>
        <w:t>供应商根据采购文件要求及工作方案自行配备相关工作人员，后附相关人员证书扫描件及社保证明。</w:t>
      </w:r>
    </w:p>
    <w:p w14:paraId="01B0478F">
      <w:pPr>
        <w:snapToGrid w:val="0"/>
        <w:spacing w:before="120" w:beforeLines="50" w:line="360" w:lineRule="auto"/>
        <w:rPr>
          <w:rFonts w:hint="eastAsia" w:ascii="宋体" w:hAnsi="宋体" w:cs="宋体"/>
          <w:color w:val="auto"/>
          <w:spacing w:val="11"/>
          <w:sz w:val="24"/>
          <w:highlight w:val="none"/>
          <w:u w:val="single"/>
        </w:rPr>
      </w:pPr>
      <w:r>
        <w:rPr>
          <w:rFonts w:hint="eastAsia" w:ascii="宋体" w:hAnsi="宋体" w:cs="宋体"/>
          <w:color w:val="auto"/>
          <w:spacing w:val="11"/>
          <w:sz w:val="24"/>
          <w:highlight w:val="none"/>
        </w:rPr>
        <w:t>法定代表人或授权代表（签字或盖章）：</w:t>
      </w:r>
    </w:p>
    <w:p w14:paraId="136E6CFC">
      <w:pPr>
        <w:snapToGrid w:val="0"/>
        <w:spacing w:before="120" w:beforeLines="50" w:line="360" w:lineRule="auto"/>
        <w:rPr>
          <w:rFonts w:hint="eastAsia" w:ascii="宋体" w:hAnsi="宋体" w:cs="宋体"/>
          <w:color w:val="auto"/>
          <w:spacing w:val="11"/>
          <w:sz w:val="24"/>
          <w:highlight w:val="none"/>
        </w:rPr>
      </w:pPr>
      <w:r>
        <w:rPr>
          <w:rFonts w:hint="eastAsia" w:ascii="宋体" w:hAnsi="宋体" w:cs="宋体"/>
          <w:color w:val="auto"/>
          <w:spacing w:val="11"/>
          <w:sz w:val="24"/>
          <w:highlight w:val="none"/>
        </w:rPr>
        <w:t>供应商公章：</w:t>
      </w:r>
    </w:p>
    <w:p w14:paraId="60880095">
      <w:pPr>
        <w:snapToGrid w:val="0"/>
        <w:spacing w:before="120" w:beforeLines="50" w:after="50" w:line="360" w:lineRule="auto"/>
        <w:ind w:firstLine="6812" w:firstLineChars="2600"/>
        <w:rPr>
          <w:rFonts w:hint="eastAsia" w:ascii="宋体" w:hAnsi="宋体" w:cs="宋体"/>
          <w:color w:val="auto"/>
          <w:spacing w:val="11"/>
          <w:szCs w:val="21"/>
          <w:highlight w:val="none"/>
        </w:rPr>
      </w:pPr>
      <w:r>
        <w:rPr>
          <w:rFonts w:hint="eastAsia" w:ascii="宋体" w:hAnsi="宋体" w:cs="宋体"/>
          <w:color w:val="auto"/>
          <w:spacing w:val="11"/>
          <w:sz w:val="24"/>
          <w:highlight w:val="none"/>
        </w:rPr>
        <w:t>年    月    日</w:t>
      </w:r>
    </w:p>
    <w:p w14:paraId="60790E78">
      <w:pPr>
        <w:pStyle w:val="41"/>
        <w:rPr>
          <w:color w:val="auto"/>
          <w:highlight w:val="none"/>
        </w:rPr>
      </w:pPr>
    </w:p>
    <w:p w14:paraId="07970C4C">
      <w:pPr>
        <w:spacing w:line="360" w:lineRule="auto"/>
        <w:ind w:firstLine="480" w:firstLineChars="200"/>
        <w:jc w:val="left"/>
        <w:rPr>
          <w:rFonts w:hint="eastAsia" w:ascii="宋体" w:hAnsi="宋体"/>
          <w:color w:val="auto"/>
          <w:sz w:val="24"/>
          <w:highlight w:val="none"/>
        </w:rPr>
      </w:pPr>
    </w:p>
    <w:p w14:paraId="301F7CD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.评分规则中涉及的所需提交的材料</w:t>
      </w:r>
    </w:p>
    <w:p w14:paraId="0F18B09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.供应商需要说明的其他文件和说明</w:t>
      </w:r>
    </w:p>
    <w:p w14:paraId="133026F0">
      <w:pPr>
        <w:spacing w:line="360" w:lineRule="auto"/>
        <w:ind w:firstLine="480" w:firstLineChars="200"/>
        <w:jc w:val="left"/>
        <w:rPr>
          <w:rFonts w:hint="eastAsia" w:ascii="宋体" w:hAnsi="宋体"/>
          <w:color w:val="auto"/>
          <w:sz w:val="24"/>
          <w:highlight w:val="none"/>
        </w:rPr>
      </w:pPr>
    </w:p>
    <w:p w14:paraId="7D240BC6">
      <w:pPr>
        <w:spacing w:line="360" w:lineRule="auto"/>
        <w:rPr>
          <w:rFonts w:hint="eastAsia" w:ascii="宋体" w:hAnsi="宋体" w:cs="宋体"/>
          <w:b/>
          <w:bCs/>
          <w:color w:val="auto"/>
          <w:sz w:val="24"/>
          <w:highlight w:val="none"/>
        </w:rPr>
      </w:pPr>
    </w:p>
    <w:p w14:paraId="2835C528">
      <w:pPr>
        <w:spacing w:line="360" w:lineRule="auto"/>
        <w:rPr>
          <w:rFonts w:hint="eastAsia" w:ascii="宋体" w:hAnsi="宋体" w:cs="宋体"/>
          <w:b/>
          <w:bCs/>
          <w:color w:val="auto"/>
          <w:sz w:val="24"/>
          <w:highlight w:val="none"/>
        </w:rPr>
      </w:pPr>
    </w:p>
    <w:p w14:paraId="3D877C9B">
      <w:pPr>
        <w:spacing w:line="360" w:lineRule="auto"/>
        <w:rPr>
          <w:rFonts w:hint="eastAsia" w:ascii="宋体" w:hAnsi="宋体" w:cs="宋体"/>
          <w:b/>
          <w:bCs/>
          <w:color w:val="auto"/>
          <w:sz w:val="24"/>
          <w:highlight w:val="none"/>
        </w:rPr>
      </w:pPr>
    </w:p>
    <w:p w14:paraId="783C3697">
      <w:pPr>
        <w:spacing w:line="360" w:lineRule="auto"/>
        <w:rPr>
          <w:rFonts w:hint="eastAsia" w:ascii="宋体" w:hAnsi="宋体" w:cs="宋体"/>
          <w:b/>
          <w:bCs/>
          <w:color w:val="auto"/>
          <w:sz w:val="24"/>
          <w:highlight w:val="none"/>
        </w:rPr>
      </w:pPr>
    </w:p>
    <w:p w14:paraId="32A65E72">
      <w:pPr>
        <w:spacing w:line="360" w:lineRule="auto"/>
        <w:rPr>
          <w:rFonts w:hint="eastAsia" w:ascii="宋体" w:hAnsi="宋体" w:cs="宋体"/>
          <w:b/>
          <w:bCs/>
          <w:color w:val="auto"/>
          <w:sz w:val="24"/>
          <w:highlight w:val="none"/>
        </w:rPr>
      </w:pPr>
    </w:p>
    <w:p w14:paraId="6CE4B0DE">
      <w:pPr>
        <w:spacing w:line="360" w:lineRule="auto"/>
        <w:rPr>
          <w:rFonts w:hint="eastAsia" w:ascii="宋体" w:hAnsi="宋体" w:cs="宋体"/>
          <w:b/>
          <w:bCs/>
          <w:color w:val="auto"/>
          <w:sz w:val="24"/>
          <w:highlight w:val="none"/>
        </w:rPr>
      </w:pPr>
    </w:p>
    <w:p w14:paraId="3AFCFD29">
      <w:pPr>
        <w:spacing w:line="360" w:lineRule="auto"/>
        <w:rPr>
          <w:rFonts w:hint="eastAsia" w:ascii="宋体" w:hAnsi="宋体" w:cs="宋体"/>
          <w:b/>
          <w:bCs/>
          <w:color w:val="auto"/>
          <w:sz w:val="24"/>
          <w:highlight w:val="none"/>
        </w:rPr>
      </w:pPr>
    </w:p>
    <w:p w14:paraId="353A22DC">
      <w:pPr>
        <w:spacing w:line="360" w:lineRule="auto"/>
        <w:rPr>
          <w:rFonts w:hint="eastAsia" w:ascii="宋体" w:hAnsi="宋体" w:cs="宋体"/>
          <w:b/>
          <w:bCs/>
          <w:color w:val="auto"/>
          <w:sz w:val="24"/>
          <w:highlight w:val="none"/>
        </w:rPr>
      </w:pPr>
    </w:p>
    <w:p w14:paraId="60CD96D5">
      <w:pPr>
        <w:spacing w:line="360" w:lineRule="auto"/>
        <w:rPr>
          <w:rFonts w:hint="eastAsia" w:ascii="宋体" w:hAnsi="宋体" w:cs="宋体"/>
          <w:b/>
          <w:bCs/>
          <w:color w:val="auto"/>
          <w:sz w:val="24"/>
          <w:highlight w:val="none"/>
        </w:rPr>
      </w:pPr>
    </w:p>
    <w:p w14:paraId="17827F4E">
      <w:pPr>
        <w:spacing w:line="360" w:lineRule="auto"/>
        <w:rPr>
          <w:rFonts w:hint="eastAsia" w:ascii="宋体" w:hAnsi="宋体" w:cs="宋体"/>
          <w:b/>
          <w:bCs/>
          <w:color w:val="auto"/>
          <w:sz w:val="24"/>
          <w:highlight w:val="none"/>
        </w:rPr>
      </w:pPr>
    </w:p>
    <w:p w14:paraId="63A11A41">
      <w:pPr>
        <w:spacing w:line="360" w:lineRule="auto"/>
        <w:rPr>
          <w:rFonts w:hint="eastAsia" w:ascii="宋体" w:hAnsi="宋体" w:cs="宋体"/>
          <w:b/>
          <w:bCs/>
          <w:color w:val="auto"/>
          <w:sz w:val="24"/>
          <w:highlight w:val="none"/>
        </w:rPr>
      </w:pPr>
    </w:p>
    <w:p w14:paraId="7A9AC5EF">
      <w:pPr>
        <w:spacing w:line="360" w:lineRule="auto"/>
        <w:rPr>
          <w:rFonts w:hint="eastAsia" w:ascii="宋体" w:hAnsi="宋体" w:cs="宋体"/>
          <w:b/>
          <w:bCs/>
          <w:color w:val="auto"/>
          <w:sz w:val="24"/>
          <w:highlight w:val="none"/>
        </w:rPr>
      </w:pPr>
    </w:p>
    <w:p w14:paraId="0BA51C8C">
      <w:pPr>
        <w:spacing w:line="360" w:lineRule="auto"/>
        <w:rPr>
          <w:rFonts w:hint="eastAsia" w:ascii="宋体" w:hAnsi="宋体" w:cs="宋体"/>
          <w:b/>
          <w:bCs/>
          <w:color w:val="auto"/>
          <w:sz w:val="24"/>
          <w:highlight w:val="none"/>
        </w:rPr>
      </w:pPr>
    </w:p>
    <w:p w14:paraId="5398AE90">
      <w:pPr>
        <w:spacing w:line="360" w:lineRule="auto"/>
        <w:rPr>
          <w:rFonts w:hint="eastAsia" w:ascii="宋体" w:hAnsi="宋体" w:cs="宋体"/>
          <w:b/>
          <w:bCs/>
          <w:color w:val="auto"/>
          <w:sz w:val="24"/>
          <w:highlight w:val="none"/>
        </w:rPr>
      </w:pPr>
    </w:p>
    <w:p w14:paraId="41A667EF">
      <w:pPr>
        <w:spacing w:line="360" w:lineRule="auto"/>
        <w:rPr>
          <w:rFonts w:hint="eastAsia" w:ascii="宋体" w:hAnsi="宋体" w:cs="宋体"/>
          <w:b/>
          <w:bCs/>
          <w:color w:val="auto"/>
          <w:sz w:val="24"/>
          <w:highlight w:val="none"/>
        </w:rPr>
      </w:pPr>
    </w:p>
    <w:p w14:paraId="11BB3ECA">
      <w:pPr>
        <w:spacing w:line="360" w:lineRule="auto"/>
        <w:rPr>
          <w:rFonts w:hint="eastAsia" w:ascii="宋体" w:hAnsi="宋体" w:cs="宋体"/>
          <w:b/>
          <w:bCs/>
          <w:color w:val="auto"/>
          <w:sz w:val="24"/>
          <w:highlight w:val="none"/>
        </w:rPr>
      </w:pPr>
    </w:p>
    <w:p w14:paraId="3B523F17">
      <w:pPr>
        <w:spacing w:line="360" w:lineRule="auto"/>
        <w:rPr>
          <w:rFonts w:hint="eastAsia" w:ascii="宋体" w:hAnsi="宋体" w:cs="宋体"/>
          <w:b/>
          <w:bCs/>
          <w:color w:val="auto"/>
          <w:sz w:val="24"/>
          <w:highlight w:val="none"/>
        </w:rPr>
      </w:pPr>
    </w:p>
    <w:p w14:paraId="3828E2F7">
      <w:pPr>
        <w:spacing w:line="360" w:lineRule="auto"/>
        <w:rPr>
          <w:rFonts w:hint="eastAsia" w:ascii="宋体" w:hAnsi="宋体" w:cs="宋体"/>
          <w:b/>
          <w:bCs/>
          <w:color w:val="auto"/>
          <w:sz w:val="24"/>
          <w:highlight w:val="none"/>
        </w:rPr>
      </w:pPr>
    </w:p>
    <w:p w14:paraId="7C814372">
      <w:pPr>
        <w:pStyle w:val="12"/>
        <w:rPr>
          <w:color w:val="auto"/>
          <w:highlight w:val="none"/>
        </w:rPr>
      </w:pPr>
    </w:p>
    <w:p w14:paraId="52922DF8">
      <w:pPr>
        <w:spacing w:line="360" w:lineRule="auto"/>
        <w:rPr>
          <w:rFonts w:hint="eastAsia" w:ascii="宋体" w:hAnsi="宋体" w:cs="宋体"/>
          <w:b/>
          <w:bCs/>
          <w:color w:val="auto"/>
          <w:sz w:val="24"/>
          <w:highlight w:val="none"/>
        </w:rPr>
      </w:pPr>
    </w:p>
    <w:p w14:paraId="1BE70515">
      <w:pPr>
        <w:autoSpaceDE w:val="0"/>
        <w:autoSpaceDN w:val="0"/>
        <w:spacing w:line="480" w:lineRule="auto"/>
        <w:rPr>
          <w:rFonts w:ascii="宋体"/>
          <w:color w:val="auto"/>
          <w:sz w:val="24"/>
          <w:highlight w:val="none"/>
          <w:u w:val="single"/>
        </w:rPr>
      </w:pPr>
    </w:p>
    <w:p w14:paraId="43E0EFE4">
      <w:pPr>
        <w:spacing w:line="360" w:lineRule="auto"/>
        <w:rPr>
          <w:rFonts w:hint="eastAsia" w:ascii="宋体" w:hAnsi="宋体" w:cs="宋体"/>
          <w:b/>
          <w:bCs/>
          <w:color w:val="auto"/>
          <w:sz w:val="24"/>
          <w:highlight w:val="none"/>
        </w:rPr>
      </w:pPr>
    </w:p>
    <w:p w14:paraId="39F5DB2F">
      <w:pPr>
        <w:spacing w:line="360" w:lineRule="auto"/>
        <w:ind w:left="420" w:leftChars="200"/>
        <w:rPr>
          <w:rFonts w:hint="eastAsia" w:ascii="宋体" w:hAnsi="宋体" w:cs="宋体"/>
          <w:b/>
          <w:bCs/>
          <w:color w:val="auto"/>
          <w:sz w:val="24"/>
          <w:highlight w:val="none"/>
        </w:rPr>
      </w:pPr>
    </w:p>
    <w:p w14:paraId="43E2FD5A">
      <w:pPr>
        <w:spacing w:line="360" w:lineRule="auto"/>
        <w:jc w:val="left"/>
        <w:rPr>
          <w:rFonts w:hint="eastAsia" w:ascii="宋体" w:hAnsi="宋体" w:cs="宋体"/>
          <w:b/>
          <w:bCs/>
          <w:color w:val="auto"/>
          <w:sz w:val="24"/>
          <w:highlight w:val="none"/>
        </w:rPr>
      </w:pPr>
    </w:p>
    <w:p w14:paraId="4EE22251">
      <w:pPr>
        <w:spacing w:line="360" w:lineRule="auto"/>
        <w:jc w:val="left"/>
        <w:rPr>
          <w:rFonts w:hint="eastAsia" w:ascii="宋体" w:hAnsi="宋体" w:cs="宋体"/>
          <w:b/>
          <w:bCs/>
          <w:color w:val="auto"/>
          <w:sz w:val="24"/>
          <w:highlight w:val="none"/>
        </w:rPr>
      </w:pPr>
    </w:p>
    <w:p w14:paraId="6D891213">
      <w:pPr>
        <w:spacing w:line="360" w:lineRule="auto"/>
        <w:jc w:val="left"/>
        <w:rPr>
          <w:rFonts w:hint="eastAsia" w:ascii="宋体" w:hAnsi="宋体" w:cs="宋体"/>
          <w:b/>
          <w:bCs/>
          <w:color w:val="auto"/>
          <w:sz w:val="24"/>
          <w:highlight w:val="none"/>
        </w:rPr>
      </w:pPr>
    </w:p>
    <w:p w14:paraId="1F14B3B4">
      <w:pPr>
        <w:spacing w:line="360" w:lineRule="auto"/>
        <w:jc w:val="left"/>
        <w:rPr>
          <w:rFonts w:hint="eastAsia" w:ascii="宋体" w:hAnsi="宋体" w:cs="宋体"/>
          <w:b/>
          <w:bCs/>
          <w:color w:val="auto"/>
          <w:sz w:val="24"/>
          <w:highlight w:val="none"/>
        </w:rPr>
      </w:pPr>
    </w:p>
    <w:p w14:paraId="420DAA69">
      <w:pPr>
        <w:spacing w:line="360" w:lineRule="auto"/>
        <w:jc w:val="left"/>
        <w:rPr>
          <w:rFonts w:hint="eastAsia" w:ascii="宋体" w:hAnsi="宋体" w:cs="宋体"/>
          <w:b/>
          <w:bCs/>
          <w:color w:val="auto"/>
          <w:sz w:val="24"/>
          <w:highlight w:val="none"/>
        </w:rPr>
      </w:pPr>
    </w:p>
    <w:p w14:paraId="30DA2BFD">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三、报价文件格式</w:t>
      </w:r>
    </w:p>
    <w:p w14:paraId="5E18A89A">
      <w:pPr>
        <w:spacing w:line="360" w:lineRule="auto"/>
        <w:jc w:val="left"/>
        <w:rPr>
          <w:rFonts w:hint="eastAsia" w:ascii="宋体" w:hAnsi="宋体" w:cs="宋体"/>
          <w:color w:val="auto"/>
          <w:sz w:val="24"/>
          <w:highlight w:val="none"/>
        </w:rPr>
      </w:pPr>
      <w:r>
        <w:rPr>
          <w:rFonts w:hint="eastAsia" w:ascii="宋体" w:hAnsi="宋体" w:cs="宋体"/>
          <w:b/>
          <w:color w:val="auto"/>
          <w:sz w:val="24"/>
          <w:highlight w:val="none"/>
          <w:lang w:val="zh-CN"/>
        </w:rPr>
        <w:t>（一）报价文件文件封面及目录</w:t>
      </w:r>
    </w:p>
    <w:p w14:paraId="23F39A49">
      <w:pPr>
        <w:tabs>
          <w:tab w:val="left" w:pos="540"/>
        </w:tabs>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1.报价文件</w:t>
      </w:r>
      <w:r>
        <w:rPr>
          <w:rFonts w:hint="eastAsia" w:ascii="宋体" w:hAnsi="宋体" w:cs="宋体"/>
          <w:b/>
          <w:bCs/>
          <w:color w:val="auto"/>
          <w:sz w:val="24"/>
          <w:highlight w:val="none"/>
        </w:rPr>
        <w:t>封面格式：</w:t>
      </w:r>
    </w:p>
    <w:p w14:paraId="4EE4A4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报价文件</w:t>
      </w:r>
    </w:p>
    <w:p w14:paraId="7A517EFD">
      <w:pPr>
        <w:spacing w:line="360" w:lineRule="auto"/>
        <w:jc w:val="right"/>
        <w:rPr>
          <w:rFonts w:hint="eastAsia" w:ascii="宋体" w:hAnsi="宋体" w:cs="宋体"/>
          <w:bCs/>
          <w:color w:val="auto"/>
          <w:sz w:val="24"/>
          <w:highlight w:val="none"/>
        </w:rPr>
      </w:pPr>
      <w:r>
        <w:rPr>
          <w:rFonts w:hint="eastAsia" w:ascii="宋体" w:hAnsi="宋体" w:cs="宋体"/>
          <w:b/>
          <w:bCs/>
          <w:color w:val="auto"/>
          <w:sz w:val="24"/>
          <w:highlight w:val="none"/>
        </w:rPr>
        <w:t>正本/或副本</w:t>
      </w:r>
    </w:p>
    <w:p w14:paraId="3981BB6E">
      <w:pPr>
        <w:spacing w:line="360" w:lineRule="auto"/>
        <w:ind w:firstLine="1200" w:firstLineChars="500"/>
        <w:rPr>
          <w:rFonts w:hint="eastAsia" w:ascii="宋体" w:hAnsi="宋体" w:cs="宋体"/>
          <w:color w:val="auto"/>
          <w:sz w:val="24"/>
          <w:highlight w:val="none"/>
        </w:rPr>
      </w:pPr>
      <w:r>
        <w:rPr>
          <w:rFonts w:hint="eastAsia" w:ascii="宋体" w:hAnsi="宋体" w:cs="宋体"/>
          <w:bCs/>
          <w:color w:val="auto"/>
          <w:sz w:val="24"/>
          <w:highlight w:val="none"/>
        </w:rPr>
        <w:t>项目名称：</w:t>
      </w:r>
    </w:p>
    <w:p w14:paraId="1078D58A">
      <w:pPr>
        <w:spacing w:line="360" w:lineRule="auto"/>
        <w:rPr>
          <w:rFonts w:hint="eastAsia" w:ascii="宋体" w:hAnsi="宋体" w:cs="宋体"/>
          <w:color w:val="auto"/>
          <w:sz w:val="24"/>
          <w:highlight w:val="none"/>
        </w:rPr>
      </w:pPr>
      <w:r>
        <w:rPr>
          <w:rFonts w:hint="eastAsia" w:ascii="宋体" w:hAnsi="宋体" w:cs="宋体"/>
          <w:bCs/>
          <w:color w:val="auto"/>
          <w:sz w:val="24"/>
          <w:highlight w:val="none"/>
        </w:rPr>
        <w:t xml:space="preserve">          项目编号：</w:t>
      </w:r>
    </w:p>
    <w:p w14:paraId="09446163">
      <w:pPr>
        <w:pStyle w:val="9"/>
        <w:spacing w:line="360" w:lineRule="auto"/>
        <w:ind w:firstLine="1200" w:firstLineChars="5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7358F933">
      <w:pPr>
        <w:pStyle w:val="9"/>
        <w:spacing w:line="360" w:lineRule="auto"/>
        <w:ind w:firstLine="1200" w:firstLineChars="5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6998C893">
      <w:pPr>
        <w:spacing w:line="360" w:lineRule="auto"/>
        <w:jc w:val="left"/>
        <w:rPr>
          <w:rFonts w:hint="eastAsia" w:ascii="宋体" w:hAnsi="宋体" w:cs="宋体"/>
          <w:b/>
          <w:bCs/>
          <w:color w:val="auto"/>
          <w:sz w:val="24"/>
          <w:highlight w:val="none"/>
        </w:rPr>
      </w:pPr>
      <w:r>
        <w:rPr>
          <w:rFonts w:hint="eastAsia" w:ascii="宋体" w:hAnsi="宋体" w:cs="宋体"/>
          <w:color w:val="auto"/>
          <w:sz w:val="24"/>
          <w:highlight w:val="none"/>
        </w:rPr>
        <w:t xml:space="preserve">          日期：   年   月   日</w:t>
      </w:r>
    </w:p>
    <w:p w14:paraId="65D59B77">
      <w:pPr>
        <w:spacing w:line="360" w:lineRule="auto"/>
        <w:jc w:val="left"/>
        <w:rPr>
          <w:rFonts w:hint="eastAsia" w:ascii="宋体" w:hAnsi="宋体" w:cs="宋体"/>
          <w:b/>
          <w:bCs/>
          <w:color w:val="auto"/>
          <w:sz w:val="24"/>
          <w:highlight w:val="none"/>
        </w:rPr>
      </w:pPr>
    </w:p>
    <w:p w14:paraId="50CC812C">
      <w:pPr>
        <w:spacing w:line="360" w:lineRule="auto"/>
        <w:jc w:val="left"/>
        <w:rPr>
          <w:rFonts w:hint="eastAsia" w:ascii="宋体" w:hAnsi="宋体" w:cs="宋体"/>
          <w:b/>
          <w:bCs/>
          <w:color w:val="auto"/>
          <w:sz w:val="24"/>
          <w:highlight w:val="none"/>
        </w:rPr>
      </w:pPr>
    </w:p>
    <w:p w14:paraId="75345F5A">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2.报价文件目录格式：</w:t>
      </w:r>
    </w:p>
    <w:p w14:paraId="15D1C76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 磋商函————————页码</w:t>
      </w:r>
    </w:p>
    <w:p w14:paraId="5FC461F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 磋商报价一览表————————</w:t>
      </w:r>
    </w:p>
    <w:p w14:paraId="13B9DDC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（3）供应商针对报价需要说明的其他文件和说明————————</w:t>
      </w:r>
    </w:p>
    <w:p w14:paraId="722A0B03">
      <w:pPr>
        <w:spacing w:line="360" w:lineRule="auto"/>
        <w:jc w:val="left"/>
        <w:rPr>
          <w:rFonts w:hint="eastAsia" w:ascii="宋体" w:hAnsi="宋体" w:cs="宋体"/>
          <w:b/>
          <w:color w:val="auto"/>
          <w:sz w:val="24"/>
          <w:highlight w:val="none"/>
          <w:lang w:val="zh-CN"/>
        </w:rPr>
      </w:pPr>
    </w:p>
    <w:p w14:paraId="68F0E481">
      <w:pPr>
        <w:spacing w:line="360" w:lineRule="auto"/>
        <w:jc w:val="left"/>
        <w:rPr>
          <w:rFonts w:hint="eastAsia" w:ascii="宋体" w:hAnsi="宋体" w:cs="宋体"/>
          <w:b/>
          <w:color w:val="auto"/>
          <w:sz w:val="24"/>
          <w:highlight w:val="none"/>
          <w:lang w:val="zh-CN"/>
        </w:rPr>
      </w:pPr>
    </w:p>
    <w:p w14:paraId="3EC2EC30">
      <w:pPr>
        <w:spacing w:line="360" w:lineRule="auto"/>
        <w:jc w:val="left"/>
        <w:rPr>
          <w:rFonts w:hint="eastAsia" w:ascii="宋体" w:hAnsi="宋体" w:cs="宋体"/>
          <w:b/>
          <w:color w:val="auto"/>
          <w:sz w:val="24"/>
          <w:highlight w:val="none"/>
          <w:lang w:val="zh-CN"/>
        </w:rPr>
      </w:pPr>
    </w:p>
    <w:p w14:paraId="2F79AED4">
      <w:pPr>
        <w:spacing w:line="360" w:lineRule="auto"/>
        <w:jc w:val="left"/>
        <w:rPr>
          <w:rFonts w:hint="eastAsia" w:ascii="宋体" w:hAnsi="宋体" w:cs="宋体"/>
          <w:b/>
          <w:color w:val="auto"/>
          <w:sz w:val="24"/>
          <w:highlight w:val="none"/>
          <w:lang w:val="zh-CN"/>
        </w:rPr>
      </w:pPr>
    </w:p>
    <w:p w14:paraId="47F667C2">
      <w:pPr>
        <w:spacing w:line="360" w:lineRule="auto"/>
        <w:jc w:val="left"/>
        <w:rPr>
          <w:rFonts w:hint="eastAsia" w:ascii="宋体" w:hAnsi="宋体" w:cs="宋体"/>
          <w:b/>
          <w:color w:val="auto"/>
          <w:sz w:val="24"/>
          <w:highlight w:val="none"/>
          <w:lang w:val="zh-CN"/>
        </w:rPr>
      </w:pPr>
    </w:p>
    <w:p w14:paraId="2A9CC190">
      <w:pPr>
        <w:spacing w:line="360" w:lineRule="auto"/>
        <w:jc w:val="left"/>
        <w:rPr>
          <w:rFonts w:hint="eastAsia" w:ascii="宋体" w:hAnsi="宋体" w:cs="宋体"/>
          <w:b/>
          <w:color w:val="auto"/>
          <w:sz w:val="24"/>
          <w:highlight w:val="none"/>
          <w:lang w:val="zh-CN"/>
        </w:rPr>
      </w:pPr>
    </w:p>
    <w:p w14:paraId="7F9D07B7">
      <w:pPr>
        <w:spacing w:line="360" w:lineRule="auto"/>
        <w:jc w:val="left"/>
        <w:rPr>
          <w:rFonts w:hint="eastAsia" w:ascii="宋体" w:hAnsi="宋体" w:cs="宋体"/>
          <w:b/>
          <w:color w:val="auto"/>
          <w:sz w:val="24"/>
          <w:highlight w:val="none"/>
          <w:lang w:val="zh-CN"/>
        </w:rPr>
      </w:pPr>
    </w:p>
    <w:p w14:paraId="3C79E265">
      <w:pPr>
        <w:spacing w:line="360" w:lineRule="auto"/>
        <w:jc w:val="left"/>
        <w:rPr>
          <w:rFonts w:hint="eastAsia" w:ascii="宋体" w:hAnsi="宋体" w:cs="宋体"/>
          <w:b/>
          <w:color w:val="auto"/>
          <w:sz w:val="24"/>
          <w:highlight w:val="none"/>
          <w:lang w:val="zh-CN"/>
        </w:rPr>
      </w:pPr>
    </w:p>
    <w:p w14:paraId="4AD3603F">
      <w:pPr>
        <w:spacing w:line="360" w:lineRule="auto"/>
        <w:jc w:val="left"/>
        <w:rPr>
          <w:rFonts w:hint="eastAsia" w:ascii="宋体" w:hAnsi="宋体" w:cs="宋体"/>
          <w:b/>
          <w:color w:val="auto"/>
          <w:sz w:val="24"/>
          <w:highlight w:val="none"/>
          <w:lang w:val="zh-CN"/>
        </w:rPr>
      </w:pPr>
    </w:p>
    <w:p w14:paraId="37471BDA">
      <w:pPr>
        <w:spacing w:line="360" w:lineRule="auto"/>
        <w:jc w:val="left"/>
        <w:rPr>
          <w:rFonts w:hint="eastAsia" w:ascii="宋体" w:hAnsi="宋体" w:cs="宋体"/>
          <w:b/>
          <w:color w:val="auto"/>
          <w:sz w:val="24"/>
          <w:highlight w:val="none"/>
          <w:lang w:val="zh-CN"/>
        </w:rPr>
      </w:pPr>
    </w:p>
    <w:p w14:paraId="3E11DD39">
      <w:pPr>
        <w:pStyle w:val="12"/>
        <w:rPr>
          <w:rFonts w:hint="eastAsia" w:ascii="宋体" w:hAnsi="宋体" w:cs="宋体"/>
          <w:b/>
          <w:color w:val="auto"/>
          <w:sz w:val="24"/>
          <w:highlight w:val="none"/>
          <w:lang w:val="zh-CN"/>
        </w:rPr>
      </w:pPr>
    </w:p>
    <w:p w14:paraId="5E06B512">
      <w:pPr>
        <w:pStyle w:val="13"/>
        <w:ind w:firstLine="241"/>
        <w:rPr>
          <w:rFonts w:hint="eastAsia" w:ascii="宋体" w:hAnsi="宋体" w:cs="宋体"/>
          <w:b/>
          <w:color w:val="auto"/>
          <w:sz w:val="24"/>
          <w:highlight w:val="none"/>
          <w:lang w:val="zh-CN"/>
        </w:rPr>
      </w:pPr>
    </w:p>
    <w:p w14:paraId="0D0942A6">
      <w:pPr>
        <w:pStyle w:val="12"/>
        <w:rPr>
          <w:color w:val="auto"/>
          <w:highlight w:val="none"/>
          <w:lang w:val="zh-CN"/>
        </w:rPr>
      </w:pPr>
    </w:p>
    <w:p w14:paraId="292D0B03">
      <w:pPr>
        <w:spacing w:line="360" w:lineRule="auto"/>
        <w:jc w:val="left"/>
        <w:rPr>
          <w:rFonts w:hint="eastAsia" w:ascii="宋体" w:hAnsi="宋体" w:cs="宋体"/>
          <w:b/>
          <w:color w:val="auto"/>
          <w:sz w:val="24"/>
          <w:highlight w:val="none"/>
          <w:lang w:val="zh-CN"/>
        </w:rPr>
      </w:pPr>
    </w:p>
    <w:p w14:paraId="2F14C95D">
      <w:pPr>
        <w:pStyle w:val="13"/>
        <w:rPr>
          <w:rFonts w:hint="eastAsia" w:ascii="宋体" w:hAnsi="宋体" w:cs="宋体"/>
          <w:b/>
          <w:color w:val="auto"/>
          <w:sz w:val="24"/>
          <w:highlight w:val="none"/>
          <w:lang w:val="zh-CN"/>
        </w:rPr>
      </w:pPr>
    </w:p>
    <w:p w14:paraId="0000E7FB">
      <w:pPr>
        <w:pStyle w:val="13"/>
        <w:rPr>
          <w:rFonts w:hint="eastAsia" w:ascii="宋体" w:hAnsi="宋体" w:cs="宋体"/>
          <w:b/>
          <w:color w:val="auto"/>
          <w:sz w:val="24"/>
          <w:highlight w:val="none"/>
          <w:lang w:val="zh-CN"/>
        </w:rPr>
      </w:pPr>
    </w:p>
    <w:p w14:paraId="22C417C6">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lang w:val="zh-CN"/>
        </w:rPr>
        <w:t>（二）报价文件</w:t>
      </w:r>
    </w:p>
    <w:p w14:paraId="4C34B6C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1.磋商函格式：</w:t>
      </w:r>
    </w:p>
    <w:p w14:paraId="7656C9D7">
      <w:pPr>
        <w:autoSpaceDE w:val="0"/>
        <w:autoSpaceDN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磋 商 函</w:t>
      </w:r>
    </w:p>
    <w:p w14:paraId="2FB310F7">
      <w:pPr>
        <w:autoSpaceDE w:val="0"/>
        <w:autoSpaceDN w:val="0"/>
        <w:spacing w:line="360" w:lineRule="auto"/>
        <w:rPr>
          <w:rFonts w:hint="eastAsia" w:ascii="宋体" w:hAnsi="宋体"/>
          <w:color w:val="auto"/>
          <w:sz w:val="24"/>
          <w:highlight w:val="none"/>
          <w:lang w:val="zh-CN"/>
        </w:rPr>
      </w:pPr>
      <w:r>
        <w:rPr>
          <w:rFonts w:ascii="宋体" w:hAnsi="宋体"/>
          <w:color w:val="auto"/>
          <w:sz w:val="24"/>
          <w:highlight w:val="none"/>
          <w:lang w:val="zh-CN"/>
        </w:rPr>
        <w:t>致：</w:t>
      </w:r>
      <w:r>
        <w:rPr>
          <w:rFonts w:hint="eastAsia" w:ascii="宋体" w:hAnsi="宋体"/>
          <w:color w:val="auto"/>
          <w:sz w:val="24"/>
          <w:highlight w:val="none"/>
        </w:rPr>
        <w:t>（采购人名称）</w:t>
      </w:r>
    </w:p>
    <w:p w14:paraId="15A45A78">
      <w:pPr>
        <w:autoSpaceDE w:val="0"/>
        <w:autoSpaceDN w:val="0"/>
        <w:spacing w:line="360" w:lineRule="auto"/>
        <w:rPr>
          <w:rFonts w:hint="eastAsia" w:ascii="宋体" w:hAnsi="宋体"/>
          <w:color w:val="auto"/>
          <w:sz w:val="24"/>
          <w:highlight w:val="none"/>
          <w:lang w:val="zh-CN"/>
        </w:rPr>
      </w:pPr>
      <w:r>
        <w:rPr>
          <w:rFonts w:ascii="宋体" w:hAnsi="宋体"/>
          <w:color w:val="auto"/>
          <w:sz w:val="24"/>
          <w:highlight w:val="none"/>
          <w:lang w:val="zh-CN"/>
        </w:rPr>
        <w:t>根据贵方为</w:t>
      </w:r>
      <w:r>
        <w:rPr>
          <w:rFonts w:hint="eastAsia" w:hAnsi="宋体"/>
          <w:color w:val="auto"/>
          <w:sz w:val="24"/>
          <w:highlight w:val="none"/>
        </w:rPr>
        <w:t>项目</w:t>
      </w:r>
      <w:r>
        <w:rPr>
          <w:rFonts w:ascii="宋体" w:hAnsi="宋体"/>
          <w:color w:val="auto"/>
          <w:sz w:val="24"/>
          <w:highlight w:val="none"/>
          <w:lang w:val="zh-CN"/>
        </w:rPr>
        <w:t>的</w:t>
      </w:r>
      <w:r>
        <w:rPr>
          <w:rFonts w:hint="eastAsia" w:ascii="宋体" w:hAnsi="宋体"/>
          <w:color w:val="auto"/>
          <w:sz w:val="24"/>
          <w:highlight w:val="none"/>
          <w:lang w:val="zh-CN"/>
        </w:rPr>
        <w:t>磋商</w:t>
      </w:r>
      <w:r>
        <w:rPr>
          <w:rFonts w:ascii="宋体" w:hAnsi="宋体"/>
          <w:color w:val="auto"/>
          <w:sz w:val="24"/>
          <w:highlight w:val="none"/>
          <w:lang w:val="zh-CN"/>
        </w:rPr>
        <w:t>公告（项目编号：），签字代表（全名）经正式授权并代表供应商（供应商名称）</w:t>
      </w:r>
      <w:r>
        <w:rPr>
          <w:rFonts w:hint="eastAsia" w:ascii="宋体" w:hAnsi="宋体"/>
          <w:color w:val="auto"/>
          <w:sz w:val="24"/>
          <w:highlight w:val="none"/>
          <w:lang w:val="zh-CN"/>
        </w:rPr>
        <w:t>磋商响应文件</w:t>
      </w:r>
      <w:r>
        <w:rPr>
          <w:rFonts w:ascii="宋体" w:hAnsi="宋体"/>
          <w:color w:val="auto"/>
          <w:sz w:val="24"/>
          <w:highlight w:val="none"/>
          <w:lang w:val="zh-CN"/>
        </w:rPr>
        <w:t>。</w:t>
      </w:r>
    </w:p>
    <w:p w14:paraId="55AE413C">
      <w:pPr>
        <w:autoSpaceDE w:val="0"/>
        <w:autoSpaceDN w:val="0"/>
        <w:spacing w:line="360" w:lineRule="auto"/>
        <w:ind w:firstLine="480"/>
        <w:rPr>
          <w:rFonts w:hint="eastAsia" w:ascii="宋体" w:hAnsi="宋体"/>
          <w:color w:val="auto"/>
          <w:sz w:val="24"/>
          <w:highlight w:val="none"/>
          <w:lang w:val="zh-CN"/>
        </w:rPr>
      </w:pPr>
      <w:r>
        <w:rPr>
          <w:rFonts w:ascii="宋体" w:hAnsi="宋体"/>
          <w:color w:val="auto"/>
          <w:sz w:val="24"/>
          <w:highlight w:val="none"/>
          <w:lang w:val="zh-CN"/>
        </w:rPr>
        <w:t>据此函，签字代表宣布同意如下：</w:t>
      </w:r>
    </w:p>
    <w:p w14:paraId="1D9FC0E9">
      <w:pPr>
        <w:autoSpaceDE w:val="0"/>
        <w:autoSpaceDN w:val="0"/>
        <w:spacing w:line="360" w:lineRule="auto"/>
        <w:ind w:firstLine="480"/>
        <w:rPr>
          <w:rFonts w:hint="eastAsia" w:ascii="宋体" w:hAnsi="宋体"/>
          <w:color w:val="auto"/>
          <w:sz w:val="24"/>
          <w:highlight w:val="none"/>
          <w:lang w:val="zh-CN"/>
        </w:rPr>
      </w:pPr>
      <w:r>
        <w:rPr>
          <w:rFonts w:ascii="宋体" w:hAnsi="宋体"/>
          <w:color w:val="auto"/>
          <w:sz w:val="24"/>
          <w:highlight w:val="none"/>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1258A26B">
      <w:pPr>
        <w:autoSpaceDE w:val="0"/>
        <w:autoSpaceDN w:val="0"/>
        <w:spacing w:line="360" w:lineRule="auto"/>
        <w:ind w:firstLine="480"/>
        <w:rPr>
          <w:rFonts w:hint="eastAsia" w:ascii="宋体" w:hAnsi="宋体"/>
          <w:color w:val="auto"/>
          <w:sz w:val="24"/>
          <w:highlight w:val="none"/>
          <w:lang w:val="zh-CN"/>
        </w:rPr>
      </w:pPr>
      <w:r>
        <w:rPr>
          <w:rFonts w:ascii="宋体" w:hAnsi="宋体"/>
          <w:color w:val="auto"/>
          <w:sz w:val="24"/>
          <w:highlight w:val="none"/>
          <w:lang w:val="zh-CN"/>
        </w:rPr>
        <w:t>2.供应商在磋商之前已经与贵方进行了充分的沟通，完全理解并接受磋商文件的各项规定和要求，对磋商文件的合理性、合法性不再有异议。</w:t>
      </w:r>
    </w:p>
    <w:p w14:paraId="1A2B23A0">
      <w:pPr>
        <w:autoSpaceDE w:val="0"/>
        <w:autoSpaceDN w:val="0"/>
        <w:spacing w:line="360" w:lineRule="auto"/>
        <w:ind w:firstLine="480"/>
        <w:rPr>
          <w:rFonts w:hint="eastAsia" w:ascii="宋体" w:hAnsi="宋体"/>
          <w:color w:val="auto"/>
          <w:sz w:val="24"/>
          <w:highlight w:val="none"/>
          <w:lang w:val="zh-CN"/>
        </w:rPr>
      </w:pPr>
      <w:r>
        <w:rPr>
          <w:rFonts w:ascii="宋体" w:hAnsi="宋体"/>
          <w:color w:val="auto"/>
          <w:sz w:val="24"/>
          <w:highlight w:val="none"/>
          <w:lang w:val="zh-CN"/>
        </w:rPr>
        <w:t>3.本磋商有效期</w:t>
      </w:r>
      <w:r>
        <w:rPr>
          <w:rFonts w:hint="eastAsia" w:ascii="宋体" w:hAnsi="宋体"/>
          <w:color w:val="auto"/>
          <w:sz w:val="24"/>
          <w:highlight w:val="none"/>
          <w:lang w:val="zh-CN"/>
        </w:rPr>
        <w:t>自</w:t>
      </w:r>
      <w:r>
        <w:rPr>
          <w:rFonts w:hint="eastAsia" w:ascii="宋体" w:hAnsi="宋体"/>
          <w:color w:val="auto"/>
          <w:kern w:val="0"/>
          <w:sz w:val="24"/>
          <w:highlight w:val="none"/>
        </w:rPr>
        <w:t>响应文件提交截止时间起</w:t>
      </w:r>
      <w:r>
        <w:rPr>
          <w:rFonts w:hint="eastAsia" w:ascii="宋体" w:hAnsi="宋体"/>
          <w:color w:val="auto"/>
          <w:spacing w:val="5"/>
          <w:kern w:val="0"/>
          <w:sz w:val="24"/>
          <w:highlight w:val="none"/>
        </w:rPr>
        <w:t>60个日历天</w:t>
      </w:r>
      <w:r>
        <w:rPr>
          <w:rFonts w:ascii="宋体" w:hAnsi="宋体"/>
          <w:color w:val="auto"/>
          <w:sz w:val="24"/>
          <w:highlight w:val="none"/>
          <w:lang w:val="zh-CN"/>
        </w:rPr>
        <w:t>。</w:t>
      </w:r>
    </w:p>
    <w:p w14:paraId="511873B0">
      <w:pPr>
        <w:autoSpaceDE w:val="0"/>
        <w:autoSpaceDN w:val="0"/>
        <w:spacing w:line="360" w:lineRule="auto"/>
        <w:ind w:firstLine="480"/>
        <w:rPr>
          <w:rFonts w:hint="eastAsia" w:ascii="宋体" w:hAnsi="宋体"/>
          <w:color w:val="auto"/>
          <w:sz w:val="24"/>
          <w:highlight w:val="none"/>
          <w:lang w:val="zh-CN"/>
        </w:rPr>
      </w:pPr>
      <w:r>
        <w:rPr>
          <w:rFonts w:ascii="宋体" w:hAnsi="宋体"/>
          <w:color w:val="auto"/>
          <w:sz w:val="24"/>
          <w:highlight w:val="none"/>
          <w:lang w:val="zh-CN"/>
        </w:rPr>
        <w:t>4.如成交，本磋商响应文件至本项目合同履行完毕止均保持有效，本供应商将按“磋商文件”及政府采购法律、法规的规定履行合同责任和义务。</w:t>
      </w:r>
    </w:p>
    <w:p w14:paraId="4722CC1D">
      <w:pPr>
        <w:autoSpaceDE w:val="0"/>
        <w:autoSpaceDN w:val="0"/>
        <w:spacing w:line="360" w:lineRule="auto"/>
        <w:ind w:firstLine="480"/>
        <w:rPr>
          <w:rFonts w:hint="eastAsia" w:ascii="宋体" w:hAnsi="宋体"/>
          <w:color w:val="auto"/>
          <w:sz w:val="24"/>
          <w:highlight w:val="none"/>
          <w:lang w:val="zh-CN"/>
        </w:rPr>
      </w:pPr>
      <w:r>
        <w:rPr>
          <w:rFonts w:ascii="宋体" w:hAnsi="宋体"/>
          <w:color w:val="auto"/>
          <w:sz w:val="24"/>
          <w:highlight w:val="none"/>
          <w:lang w:val="zh-CN"/>
        </w:rPr>
        <w:t>5.供应商同意按照贵方要求提供与磋商有关的一切数据或资料。</w:t>
      </w:r>
    </w:p>
    <w:p w14:paraId="03F48381">
      <w:pPr>
        <w:autoSpaceDE w:val="0"/>
        <w:autoSpaceDN w:val="0"/>
        <w:spacing w:line="360" w:lineRule="auto"/>
        <w:ind w:firstLine="480"/>
        <w:rPr>
          <w:rFonts w:hint="eastAsia" w:ascii="宋体" w:hAnsi="宋体"/>
          <w:color w:val="auto"/>
          <w:sz w:val="24"/>
          <w:highlight w:val="none"/>
          <w:lang w:val="zh-CN"/>
        </w:rPr>
      </w:pPr>
      <w:r>
        <w:rPr>
          <w:rFonts w:ascii="宋体" w:hAnsi="宋体"/>
          <w:color w:val="auto"/>
          <w:sz w:val="24"/>
          <w:highlight w:val="none"/>
          <w:lang w:val="zh-CN"/>
        </w:rPr>
        <w:t>6.与本磋商有关的一切正式往来信函请寄：</w:t>
      </w:r>
    </w:p>
    <w:p w14:paraId="1B4EA505">
      <w:pPr>
        <w:autoSpaceDE w:val="0"/>
        <w:autoSpaceDN w:val="0"/>
        <w:spacing w:line="360" w:lineRule="auto"/>
        <w:rPr>
          <w:rFonts w:hint="eastAsia" w:ascii="宋体" w:hAnsi="宋体"/>
          <w:color w:val="auto"/>
          <w:sz w:val="24"/>
          <w:highlight w:val="none"/>
          <w:lang w:val="zh-CN"/>
        </w:rPr>
      </w:pPr>
      <w:r>
        <w:rPr>
          <w:rFonts w:ascii="宋体" w:hAnsi="宋体"/>
          <w:color w:val="auto"/>
          <w:sz w:val="24"/>
          <w:highlight w:val="none"/>
          <w:lang w:val="zh-CN"/>
        </w:rPr>
        <w:t>地址：邮编：   电话：</w:t>
      </w:r>
    </w:p>
    <w:p w14:paraId="3875C6F8">
      <w:pPr>
        <w:autoSpaceDE w:val="0"/>
        <w:autoSpaceDN w:val="0"/>
        <w:spacing w:line="360" w:lineRule="auto"/>
        <w:rPr>
          <w:rFonts w:hint="eastAsia" w:ascii="宋体" w:hAnsi="宋体"/>
          <w:color w:val="auto"/>
          <w:sz w:val="24"/>
          <w:highlight w:val="none"/>
          <w:lang w:val="zh-CN"/>
        </w:rPr>
      </w:pPr>
      <w:r>
        <w:rPr>
          <w:rFonts w:ascii="宋体" w:hAnsi="宋体"/>
          <w:color w:val="auto"/>
          <w:sz w:val="24"/>
          <w:highlight w:val="none"/>
          <w:lang w:val="zh-CN"/>
        </w:rPr>
        <w:t>传真：供应商代表姓名</w:t>
      </w:r>
      <w:r>
        <w:rPr>
          <w:rFonts w:hint="eastAsia" w:ascii="宋体" w:hAnsi="宋体"/>
          <w:color w:val="auto"/>
          <w:sz w:val="24"/>
          <w:highlight w:val="none"/>
        </w:rPr>
        <w:t>:</w:t>
      </w:r>
      <w:r>
        <w:rPr>
          <w:rFonts w:ascii="宋体" w:hAnsi="宋体"/>
          <w:color w:val="auto"/>
          <w:sz w:val="24"/>
          <w:highlight w:val="none"/>
          <w:lang w:val="zh-CN"/>
        </w:rPr>
        <w:t xml:space="preserve"> 职务：</w:t>
      </w:r>
    </w:p>
    <w:p w14:paraId="1E39343D">
      <w:pPr>
        <w:autoSpaceDE w:val="0"/>
        <w:autoSpaceDN w:val="0"/>
        <w:spacing w:line="360" w:lineRule="auto"/>
        <w:rPr>
          <w:rFonts w:hint="eastAsia" w:ascii="宋体" w:hAnsi="宋体"/>
          <w:color w:val="auto"/>
          <w:sz w:val="24"/>
          <w:highlight w:val="none"/>
          <w:lang w:val="zh-CN"/>
        </w:rPr>
      </w:pPr>
      <w:r>
        <w:rPr>
          <w:rFonts w:ascii="宋体" w:hAnsi="宋体"/>
          <w:color w:val="auto"/>
          <w:sz w:val="24"/>
          <w:highlight w:val="none"/>
          <w:lang w:val="zh-CN"/>
        </w:rPr>
        <w:t>供应商名称(公章):</w:t>
      </w:r>
    </w:p>
    <w:p w14:paraId="45478ABF">
      <w:pPr>
        <w:autoSpaceDE w:val="0"/>
        <w:autoSpaceDN w:val="0"/>
        <w:spacing w:line="360" w:lineRule="auto"/>
        <w:rPr>
          <w:rFonts w:hint="eastAsia" w:ascii="宋体" w:hAnsi="宋体"/>
          <w:color w:val="auto"/>
          <w:sz w:val="24"/>
          <w:highlight w:val="none"/>
          <w:lang w:val="zh-CN"/>
        </w:rPr>
      </w:pPr>
      <w:r>
        <w:rPr>
          <w:rFonts w:ascii="宋体" w:hAnsi="宋体"/>
          <w:color w:val="auto"/>
          <w:sz w:val="24"/>
          <w:highlight w:val="none"/>
          <w:lang w:val="zh-CN"/>
        </w:rPr>
        <w:t>开户银行：   银行帐号：</w:t>
      </w:r>
    </w:p>
    <w:p w14:paraId="25361600">
      <w:pPr>
        <w:autoSpaceDE w:val="0"/>
        <w:autoSpaceDN w:val="0"/>
        <w:spacing w:line="360" w:lineRule="auto"/>
        <w:rPr>
          <w:rFonts w:hint="eastAsia" w:ascii="宋体" w:hAnsi="宋体"/>
          <w:color w:val="auto"/>
          <w:sz w:val="24"/>
          <w:highlight w:val="none"/>
          <w:lang w:val="zh-CN"/>
        </w:rPr>
      </w:pPr>
      <w:r>
        <w:rPr>
          <w:rFonts w:ascii="宋体" w:hAnsi="宋体"/>
          <w:color w:val="auto"/>
          <w:sz w:val="24"/>
          <w:highlight w:val="none"/>
          <w:lang w:val="zh-CN"/>
        </w:rPr>
        <w:t xml:space="preserve">授权代表签字:___________                      </w:t>
      </w:r>
    </w:p>
    <w:p w14:paraId="764B2BF4">
      <w:pPr>
        <w:autoSpaceDE w:val="0"/>
        <w:autoSpaceDN w:val="0"/>
        <w:spacing w:line="360" w:lineRule="auto"/>
        <w:rPr>
          <w:rFonts w:hint="eastAsia" w:ascii="宋体" w:hAnsi="宋体"/>
          <w:color w:val="auto"/>
          <w:sz w:val="24"/>
          <w:highlight w:val="none"/>
          <w:u w:val="single"/>
        </w:rPr>
      </w:pPr>
      <w:r>
        <w:rPr>
          <w:rFonts w:ascii="宋体" w:hAnsi="宋体"/>
          <w:color w:val="auto"/>
          <w:sz w:val="24"/>
          <w:highlight w:val="none"/>
          <w:lang w:val="zh-CN"/>
        </w:rPr>
        <w:t>日        期:</w:t>
      </w:r>
    </w:p>
    <w:p w14:paraId="1B1ABD16">
      <w:pPr>
        <w:autoSpaceDE w:val="0"/>
        <w:autoSpaceDN w:val="0"/>
        <w:spacing w:line="360" w:lineRule="auto"/>
        <w:rPr>
          <w:rFonts w:ascii="宋体"/>
          <w:color w:val="auto"/>
          <w:sz w:val="24"/>
          <w:highlight w:val="none"/>
          <w:u w:val="single"/>
        </w:rPr>
      </w:pPr>
    </w:p>
    <w:p w14:paraId="263C8949">
      <w:pPr>
        <w:spacing w:line="360" w:lineRule="auto"/>
        <w:rPr>
          <w:rFonts w:hint="eastAsia" w:ascii="宋体" w:hAnsi="宋体" w:cs="宋体"/>
          <w:b/>
          <w:color w:val="auto"/>
          <w:sz w:val="24"/>
          <w:highlight w:val="none"/>
        </w:rPr>
      </w:pPr>
    </w:p>
    <w:p w14:paraId="6E515624">
      <w:pPr>
        <w:spacing w:line="360" w:lineRule="auto"/>
        <w:rPr>
          <w:rFonts w:hint="eastAsia" w:ascii="宋体" w:hAnsi="宋体" w:cs="宋体"/>
          <w:b/>
          <w:color w:val="auto"/>
          <w:sz w:val="24"/>
          <w:highlight w:val="none"/>
        </w:rPr>
      </w:pPr>
    </w:p>
    <w:p w14:paraId="0E57058D">
      <w:pPr>
        <w:spacing w:line="360" w:lineRule="auto"/>
        <w:rPr>
          <w:rFonts w:hint="eastAsia" w:ascii="宋体" w:hAnsi="宋体" w:cs="宋体"/>
          <w:b/>
          <w:color w:val="auto"/>
          <w:sz w:val="24"/>
          <w:highlight w:val="none"/>
        </w:rPr>
      </w:pPr>
    </w:p>
    <w:p w14:paraId="6AD5B064">
      <w:pPr>
        <w:spacing w:line="360" w:lineRule="auto"/>
        <w:rPr>
          <w:rFonts w:hint="eastAsia" w:ascii="宋体" w:hAnsi="宋体" w:cs="宋体"/>
          <w:b/>
          <w:color w:val="auto"/>
          <w:sz w:val="24"/>
          <w:highlight w:val="none"/>
        </w:rPr>
      </w:pPr>
    </w:p>
    <w:p w14:paraId="17B109F4">
      <w:pPr>
        <w:spacing w:line="360" w:lineRule="auto"/>
        <w:rPr>
          <w:rFonts w:hint="eastAsia" w:ascii="宋体" w:hAnsi="宋体" w:cs="宋体"/>
          <w:b/>
          <w:color w:val="auto"/>
          <w:sz w:val="24"/>
          <w:highlight w:val="none"/>
        </w:rPr>
      </w:pPr>
    </w:p>
    <w:p w14:paraId="5311352F">
      <w:pPr>
        <w:autoSpaceDE w:val="0"/>
        <w:autoSpaceDN w:val="0"/>
        <w:spacing w:line="360" w:lineRule="auto"/>
        <w:rPr>
          <w:rFonts w:hint="eastAsia" w:ascii="宋体" w:hAnsi="宋体" w:cs="宋体"/>
          <w:b/>
          <w:color w:val="auto"/>
          <w:sz w:val="24"/>
          <w:highlight w:val="none"/>
        </w:rPr>
      </w:pPr>
    </w:p>
    <w:p w14:paraId="2ECB6780">
      <w:pPr>
        <w:autoSpaceDE w:val="0"/>
        <w:autoSpaceDN w:val="0"/>
        <w:spacing w:line="360" w:lineRule="auto"/>
        <w:rPr>
          <w:rFonts w:hint="eastAsia" w:ascii="宋体" w:hAnsi="宋体" w:cs="宋体"/>
          <w:b/>
          <w:color w:val="auto"/>
          <w:sz w:val="24"/>
          <w:highlight w:val="none"/>
        </w:rPr>
      </w:pPr>
    </w:p>
    <w:p w14:paraId="18F583B4">
      <w:pPr>
        <w:autoSpaceDE w:val="0"/>
        <w:autoSpaceDN w:val="0"/>
        <w:spacing w:line="360" w:lineRule="auto"/>
        <w:rPr>
          <w:rFonts w:hint="eastAsia" w:ascii="宋体" w:hAnsi="宋体" w:cs="宋体"/>
          <w:b/>
          <w:color w:val="auto"/>
          <w:spacing w:val="14"/>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zh-CN"/>
        </w:rPr>
        <w:t>磋商报价一览表</w:t>
      </w:r>
      <w:r>
        <w:rPr>
          <w:rFonts w:hint="eastAsia" w:ascii="宋体" w:hAnsi="宋体" w:cs="宋体"/>
          <w:b/>
          <w:color w:val="auto"/>
          <w:spacing w:val="14"/>
          <w:sz w:val="24"/>
          <w:highlight w:val="none"/>
        </w:rPr>
        <w:t>格式：</w:t>
      </w:r>
    </w:p>
    <w:p w14:paraId="3AE420CB">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磋商报价一览表（首次报价）</w:t>
      </w:r>
    </w:p>
    <w:tbl>
      <w:tblPr>
        <w:tblStyle w:val="43"/>
        <w:tblW w:w="5000" w:type="pct"/>
        <w:tblInd w:w="0" w:type="dxa"/>
        <w:tblLayout w:type="autofit"/>
        <w:tblCellMar>
          <w:top w:w="0" w:type="dxa"/>
          <w:left w:w="108" w:type="dxa"/>
          <w:bottom w:w="0" w:type="dxa"/>
          <w:right w:w="108" w:type="dxa"/>
        </w:tblCellMar>
      </w:tblPr>
      <w:tblGrid>
        <w:gridCol w:w="839"/>
        <w:gridCol w:w="2352"/>
        <w:gridCol w:w="1733"/>
        <w:gridCol w:w="1278"/>
        <w:gridCol w:w="1784"/>
        <w:gridCol w:w="1585"/>
      </w:tblGrid>
      <w:tr w14:paraId="61113D82">
        <w:tblPrEx>
          <w:tblCellMar>
            <w:top w:w="0" w:type="dxa"/>
            <w:left w:w="108" w:type="dxa"/>
            <w:bottom w:w="0" w:type="dxa"/>
            <w:right w:w="108" w:type="dxa"/>
          </w:tblCellMar>
        </w:tblPrEx>
        <w:trPr>
          <w:trHeight w:val="666"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14:paraId="7562504D">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453" w:type="dxa"/>
            <w:tcBorders>
              <w:top w:val="single" w:color="000000" w:sz="4" w:space="0"/>
              <w:bottom w:val="single" w:color="000000" w:sz="4" w:space="0"/>
              <w:right w:val="single" w:color="000000" w:sz="4" w:space="0"/>
            </w:tcBorders>
            <w:noWrap/>
            <w:vAlign w:val="center"/>
          </w:tcPr>
          <w:p w14:paraId="46E5935E">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805" w:type="dxa"/>
            <w:tcBorders>
              <w:top w:val="single" w:color="000000" w:sz="4" w:space="0"/>
              <w:bottom w:val="single" w:color="000000" w:sz="4" w:space="0"/>
              <w:right w:val="single" w:color="000000" w:sz="4" w:space="0"/>
            </w:tcBorders>
            <w:noWrap/>
            <w:vAlign w:val="center"/>
          </w:tcPr>
          <w:p w14:paraId="22D3C1DE">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328" w:type="dxa"/>
            <w:tcBorders>
              <w:top w:val="single" w:color="000000" w:sz="4" w:space="0"/>
              <w:bottom w:val="single" w:color="000000" w:sz="4" w:space="0"/>
              <w:right w:val="single" w:color="000000" w:sz="4" w:space="0"/>
            </w:tcBorders>
            <w:noWrap/>
            <w:vAlign w:val="center"/>
          </w:tcPr>
          <w:p w14:paraId="6474A0DF">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858" w:type="dxa"/>
            <w:tcBorders>
              <w:top w:val="single" w:color="000000" w:sz="4" w:space="0"/>
              <w:bottom w:val="single" w:color="000000" w:sz="4" w:space="0"/>
              <w:right w:val="single" w:color="000000" w:sz="4" w:space="0"/>
            </w:tcBorders>
            <w:noWrap/>
            <w:vAlign w:val="center"/>
          </w:tcPr>
          <w:p w14:paraId="01821322">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磋商报价（元）</w:t>
            </w:r>
          </w:p>
        </w:tc>
        <w:tc>
          <w:tcPr>
            <w:tcW w:w="1650" w:type="dxa"/>
            <w:tcBorders>
              <w:top w:val="single" w:color="000000" w:sz="4" w:space="0"/>
              <w:bottom w:val="single" w:color="000000" w:sz="4" w:space="0"/>
              <w:right w:val="single" w:color="000000" w:sz="4" w:space="0"/>
            </w:tcBorders>
            <w:noWrap/>
            <w:vAlign w:val="center"/>
          </w:tcPr>
          <w:p w14:paraId="17A4E3D1">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6F9AA276">
        <w:tblPrEx>
          <w:tblCellMar>
            <w:top w:w="0" w:type="dxa"/>
            <w:left w:w="108" w:type="dxa"/>
            <w:bottom w:w="0" w:type="dxa"/>
            <w:right w:w="108" w:type="dxa"/>
          </w:tblCellMar>
        </w:tblPrEx>
        <w:trPr>
          <w:cantSplit/>
          <w:trHeight w:val="1400" w:hRule="atLeast"/>
        </w:trPr>
        <w:tc>
          <w:tcPr>
            <w:tcW w:w="868" w:type="dxa"/>
            <w:tcBorders>
              <w:left w:val="single" w:color="000000" w:sz="4" w:space="0"/>
              <w:bottom w:val="single" w:color="auto" w:sz="4" w:space="0"/>
              <w:right w:val="single" w:color="000000" w:sz="4" w:space="0"/>
            </w:tcBorders>
            <w:noWrap/>
            <w:vAlign w:val="center"/>
          </w:tcPr>
          <w:p w14:paraId="1C4740BF">
            <w:pPr>
              <w:widowControl/>
              <w:spacing w:line="380" w:lineRule="exact"/>
              <w:ind w:left="60" w:right="6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53" w:type="dxa"/>
            <w:tcBorders>
              <w:bottom w:val="single" w:color="auto" w:sz="4" w:space="0"/>
              <w:right w:val="single" w:color="000000" w:sz="4" w:space="0"/>
            </w:tcBorders>
            <w:noWrap/>
            <w:vAlign w:val="center"/>
          </w:tcPr>
          <w:p w14:paraId="7B96EA99">
            <w:pPr>
              <w:spacing w:line="380" w:lineRule="exact"/>
              <w:jc w:val="center"/>
              <w:rPr>
                <w:rFonts w:hint="eastAsia" w:ascii="宋体" w:hAnsi="宋体" w:eastAsia="宋体" w:cs="宋体"/>
                <w:color w:val="auto"/>
                <w:kern w:val="1"/>
                <w:szCs w:val="21"/>
                <w:highlight w:val="none"/>
                <w:lang w:eastAsia="zh-CN"/>
              </w:rPr>
            </w:pPr>
            <w:r>
              <w:rPr>
                <w:rFonts w:hint="eastAsia" w:ascii="宋体" w:hAnsi="宋体" w:cs="宋体"/>
                <w:color w:val="auto"/>
                <w:szCs w:val="21"/>
                <w:highlight w:val="none"/>
                <w:lang w:eastAsia="zh-CN"/>
              </w:rPr>
              <w:t>长兴县市政基础设施资产会计核算分析服务项目</w:t>
            </w:r>
          </w:p>
        </w:tc>
        <w:tc>
          <w:tcPr>
            <w:tcW w:w="1805" w:type="dxa"/>
            <w:tcBorders>
              <w:bottom w:val="single" w:color="auto" w:sz="4" w:space="0"/>
              <w:right w:val="single" w:color="000000" w:sz="4" w:space="0"/>
            </w:tcBorders>
            <w:noWrap/>
            <w:vAlign w:val="center"/>
          </w:tcPr>
          <w:p w14:paraId="106FF71C">
            <w:pPr>
              <w:tabs>
                <w:tab w:val="left" w:pos="720"/>
              </w:tabs>
              <w:spacing w:line="380" w:lineRule="exact"/>
              <w:ind w:left="67" w:right="67"/>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项</w:t>
            </w:r>
          </w:p>
        </w:tc>
        <w:tc>
          <w:tcPr>
            <w:tcW w:w="1328" w:type="dxa"/>
            <w:tcBorders>
              <w:bottom w:val="single" w:color="auto" w:sz="4" w:space="0"/>
              <w:right w:val="single" w:color="000000" w:sz="4" w:space="0"/>
            </w:tcBorders>
            <w:noWrap/>
            <w:vAlign w:val="center"/>
          </w:tcPr>
          <w:p w14:paraId="780DFE5E">
            <w:pPr>
              <w:spacing w:line="380" w:lineRule="exact"/>
              <w:ind w:right="67"/>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w:t>
            </w:r>
          </w:p>
        </w:tc>
        <w:tc>
          <w:tcPr>
            <w:tcW w:w="1858" w:type="dxa"/>
            <w:tcBorders>
              <w:bottom w:val="single" w:color="auto" w:sz="4" w:space="0"/>
              <w:right w:val="single" w:color="000000" w:sz="4" w:space="0"/>
            </w:tcBorders>
            <w:noWrap/>
            <w:vAlign w:val="center"/>
          </w:tcPr>
          <w:p w14:paraId="5D62B0E3">
            <w:pPr>
              <w:tabs>
                <w:tab w:val="left" w:pos="720"/>
              </w:tabs>
              <w:spacing w:line="380" w:lineRule="exact"/>
              <w:ind w:right="67"/>
              <w:jc w:val="center"/>
              <w:rPr>
                <w:rFonts w:hint="eastAsia" w:ascii="宋体" w:hAnsi="宋体" w:cs="宋体"/>
                <w:color w:val="auto"/>
                <w:kern w:val="1"/>
                <w:szCs w:val="21"/>
                <w:highlight w:val="none"/>
              </w:rPr>
            </w:pPr>
          </w:p>
        </w:tc>
        <w:tc>
          <w:tcPr>
            <w:tcW w:w="1650" w:type="dxa"/>
            <w:tcBorders>
              <w:bottom w:val="single" w:color="auto" w:sz="4" w:space="0"/>
              <w:right w:val="single" w:color="000000" w:sz="4" w:space="0"/>
            </w:tcBorders>
            <w:noWrap/>
            <w:vAlign w:val="center"/>
          </w:tcPr>
          <w:p w14:paraId="75828754">
            <w:pPr>
              <w:tabs>
                <w:tab w:val="left" w:pos="720"/>
              </w:tabs>
              <w:spacing w:line="380" w:lineRule="exact"/>
              <w:ind w:right="67"/>
              <w:jc w:val="center"/>
              <w:rPr>
                <w:rFonts w:hint="eastAsia" w:ascii="宋体" w:hAnsi="宋体" w:cs="宋体"/>
                <w:color w:val="auto"/>
                <w:kern w:val="1"/>
                <w:szCs w:val="21"/>
                <w:highlight w:val="none"/>
              </w:rPr>
            </w:pPr>
          </w:p>
        </w:tc>
      </w:tr>
    </w:tbl>
    <w:p w14:paraId="3EFA15C8">
      <w:pPr>
        <w:snapToGrid w:val="0"/>
        <w:spacing w:line="400" w:lineRule="exact"/>
        <w:rPr>
          <w:rFonts w:hint="eastAsia" w:ascii="宋体" w:hAnsi="宋体" w:cs="宋体"/>
          <w:color w:val="auto"/>
          <w:spacing w:val="11"/>
          <w:szCs w:val="21"/>
          <w:highlight w:val="none"/>
        </w:rPr>
      </w:pPr>
      <w:r>
        <w:rPr>
          <w:rFonts w:hint="eastAsia" w:ascii="宋体" w:hAnsi="宋体" w:cs="宋体"/>
          <w:color w:val="auto"/>
          <w:spacing w:val="11"/>
          <w:szCs w:val="21"/>
          <w:highlight w:val="none"/>
        </w:rPr>
        <w:t>注: ▲1.报价一经涂改，应在涂改处加盖单位公章或由法定代表人或委托代理人签字或盖章，否则其磋商作无效标处理。</w:t>
      </w:r>
    </w:p>
    <w:p w14:paraId="547A6FD0">
      <w:pPr>
        <w:snapToGrid w:val="0"/>
        <w:spacing w:line="400" w:lineRule="exact"/>
        <w:ind w:firstLine="464" w:firstLineChars="200"/>
        <w:rPr>
          <w:rFonts w:hint="eastAsia" w:ascii="宋体" w:hAnsi="宋体" w:cs="宋体"/>
          <w:color w:val="auto"/>
          <w:spacing w:val="11"/>
          <w:szCs w:val="21"/>
          <w:highlight w:val="none"/>
        </w:rPr>
      </w:pPr>
      <w:r>
        <w:rPr>
          <w:rFonts w:hint="eastAsia" w:ascii="宋体" w:hAnsi="宋体" w:cs="宋体"/>
          <w:color w:val="auto"/>
          <w:spacing w:val="11"/>
          <w:szCs w:val="21"/>
          <w:highlight w:val="none"/>
        </w:rPr>
        <w:t>▲2.不提供此表格的将视为没有实质性响应磋商文件。</w:t>
      </w:r>
    </w:p>
    <w:p w14:paraId="1F68779E">
      <w:pPr>
        <w:snapToGrid w:val="0"/>
        <w:spacing w:line="180" w:lineRule="exact"/>
        <w:rPr>
          <w:rFonts w:hint="eastAsia" w:ascii="宋体" w:hAnsi="宋体" w:cs="宋体"/>
          <w:color w:val="auto"/>
          <w:spacing w:val="11"/>
          <w:szCs w:val="21"/>
          <w:highlight w:val="none"/>
        </w:rPr>
      </w:pPr>
    </w:p>
    <w:p w14:paraId="4FB030C9">
      <w:pPr>
        <w:snapToGrid w:val="0"/>
        <w:spacing w:before="120" w:beforeLines="50"/>
        <w:rPr>
          <w:rFonts w:hint="eastAsia"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p>
    <w:p w14:paraId="3A1D23D4">
      <w:pPr>
        <w:snapToGrid w:val="0"/>
        <w:spacing w:before="120" w:beforeLines="50"/>
        <w:rPr>
          <w:rFonts w:hint="eastAsia" w:ascii="宋体" w:hAnsi="宋体" w:cs="宋体"/>
          <w:color w:val="auto"/>
          <w:spacing w:val="11"/>
          <w:szCs w:val="21"/>
          <w:highlight w:val="none"/>
        </w:rPr>
      </w:pPr>
      <w:r>
        <w:rPr>
          <w:rFonts w:hint="eastAsia" w:ascii="宋体" w:hAnsi="宋体" w:cs="宋体"/>
          <w:color w:val="auto"/>
          <w:spacing w:val="11"/>
          <w:szCs w:val="21"/>
          <w:highlight w:val="none"/>
        </w:rPr>
        <w:t>供应商公章：</w:t>
      </w:r>
    </w:p>
    <w:p w14:paraId="7F6D6EAF">
      <w:pPr>
        <w:snapToGrid w:val="0"/>
        <w:spacing w:before="120" w:beforeLines="50" w:after="50"/>
        <w:ind w:firstLine="6032" w:firstLineChars="2600"/>
        <w:rPr>
          <w:rFonts w:hint="eastAsia" w:ascii="宋体" w:hAnsi="宋体" w:cs="宋体"/>
          <w:color w:val="auto"/>
          <w:spacing w:val="11"/>
          <w:szCs w:val="21"/>
          <w:highlight w:val="none"/>
        </w:rPr>
      </w:pPr>
      <w:r>
        <w:rPr>
          <w:rFonts w:hint="eastAsia" w:ascii="宋体" w:hAnsi="宋体" w:cs="宋体"/>
          <w:color w:val="auto"/>
          <w:spacing w:val="11"/>
          <w:szCs w:val="21"/>
          <w:highlight w:val="none"/>
        </w:rPr>
        <w:t>年    月    日</w:t>
      </w:r>
    </w:p>
    <w:p w14:paraId="2598CB8C">
      <w:pPr>
        <w:spacing w:line="360" w:lineRule="auto"/>
        <w:ind w:firstLine="3089" w:firstLineChars="900"/>
        <w:rPr>
          <w:rFonts w:hint="eastAsia" w:ascii="宋体" w:hAnsi="宋体" w:cs="宋体"/>
          <w:b/>
          <w:bCs/>
          <w:color w:val="auto"/>
          <w:spacing w:val="11"/>
          <w:sz w:val="32"/>
          <w:szCs w:val="32"/>
          <w:highlight w:val="none"/>
        </w:rPr>
      </w:pPr>
      <w:r>
        <w:rPr>
          <w:rFonts w:hint="eastAsia" w:ascii="宋体" w:hAnsi="宋体" w:cs="宋体"/>
          <w:b/>
          <w:bCs/>
          <w:color w:val="auto"/>
          <w:spacing w:val="11"/>
          <w:sz w:val="32"/>
          <w:szCs w:val="32"/>
          <w:highlight w:val="none"/>
        </w:rPr>
        <w:t>磋商报价一览表（最终报价）</w:t>
      </w:r>
    </w:p>
    <w:tbl>
      <w:tblPr>
        <w:tblStyle w:val="43"/>
        <w:tblW w:w="5000" w:type="pct"/>
        <w:tblInd w:w="0" w:type="dxa"/>
        <w:tblLayout w:type="autofit"/>
        <w:tblCellMar>
          <w:top w:w="0" w:type="dxa"/>
          <w:left w:w="108" w:type="dxa"/>
          <w:bottom w:w="0" w:type="dxa"/>
          <w:right w:w="108" w:type="dxa"/>
        </w:tblCellMar>
      </w:tblPr>
      <w:tblGrid>
        <w:gridCol w:w="839"/>
        <w:gridCol w:w="2352"/>
        <w:gridCol w:w="1733"/>
        <w:gridCol w:w="1278"/>
        <w:gridCol w:w="1784"/>
        <w:gridCol w:w="1585"/>
      </w:tblGrid>
      <w:tr w14:paraId="463FE347">
        <w:tblPrEx>
          <w:tblCellMar>
            <w:top w:w="0" w:type="dxa"/>
            <w:left w:w="108" w:type="dxa"/>
            <w:bottom w:w="0" w:type="dxa"/>
            <w:right w:w="108" w:type="dxa"/>
          </w:tblCellMar>
        </w:tblPrEx>
        <w:trPr>
          <w:trHeight w:val="666"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14:paraId="6CE7F14A">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453" w:type="dxa"/>
            <w:tcBorders>
              <w:top w:val="single" w:color="000000" w:sz="4" w:space="0"/>
              <w:bottom w:val="single" w:color="000000" w:sz="4" w:space="0"/>
              <w:right w:val="single" w:color="000000" w:sz="4" w:space="0"/>
            </w:tcBorders>
            <w:noWrap/>
            <w:vAlign w:val="center"/>
          </w:tcPr>
          <w:p w14:paraId="509F4D94">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805" w:type="dxa"/>
            <w:tcBorders>
              <w:top w:val="single" w:color="000000" w:sz="4" w:space="0"/>
              <w:bottom w:val="single" w:color="000000" w:sz="4" w:space="0"/>
              <w:right w:val="single" w:color="000000" w:sz="4" w:space="0"/>
            </w:tcBorders>
            <w:noWrap/>
            <w:vAlign w:val="center"/>
          </w:tcPr>
          <w:p w14:paraId="2E2F9E17">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328" w:type="dxa"/>
            <w:tcBorders>
              <w:top w:val="single" w:color="000000" w:sz="4" w:space="0"/>
              <w:bottom w:val="single" w:color="000000" w:sz="4" w:space="0"/>
              <w:right w:val="single" w:color="000000" w:sz="4" w:space="0"/>
            </w:tcBorders>
            <w:noWrap/>
            <w:vAlign w:val="center"/>
          </w:tcPr>
          <w:p w14:paraId="1714AD65">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858" w:type="dxa"/>
            <w:tcBorders>
              <w:top w:val="single" w:color="000000" w:sz="4" w:space="0"/>
              <w:bottom w:val="single" w:color="000000" w:sz="4" w:space="0"/>
              <w:right w:val="single" w:color="000000" w:sz="4" w:space="0"/>
            </w:tcBorders>
            <w:noWrap/>
            <w:vAlign w:val="center"/>
          </w:tcPr>
          <w:p w14:paraId="42BB1269">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磋商报价（元）</w:t>
            </w:r>
          </w:p>
        </w:tc>
        <w:tc>
          <w:tcPr>
            <w:tcW w:w="1650" w:type="dxa"/>
            <w:tcBorders>
              <w:top w:val="single" w:color="000000" w:sz="4" w:space="0"/>
              <w:bottom w:val="single" w:color="000000" w:sz="4" w:space="0"/>
              <w:right w:val="single" w:color="000000" w:sz="4" w:space="0"/>
            </w:tcBorders>
            <w:noWrap/>
            <w:vAlign w:val="center"/>
          </w:tcPr>
          <w:p w14:paraId="45086438">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16D0CED">
        <w:tblPrEx>
          <w:tblCellMar>
            <w:top w:w="0" w:type="dxa"/>
            <w:left w:w="108" w:type="dxa"/>
            <w:bottom w:w="0" w:type="dxa"/>
            <w:right w:w="108" w:type="dxa"/>
          </w:tblCellMar>
        </w:tblPrEx>
        <w:trPr>
          <w:cantSplit/>
          <w:trHeight w:val="1400" w:hRule="atLeast"/>
        </w:trPr>
        <w:tc>
          <w:tcPr>
            <w:tcW w:w="868" w:type="dxa"/>
            <w:tcBorders>
              <w:left w:val="single" w:color="000000" w:sz="4" w:space="0"/>
              <w:bottom w:val="single" w:color="auto" w:sz="4" w:space="0"/>
              <w:right w:val="single" w:color="000000" w:sz="4" w:space="0"/>
            </w:tcBorders>
            <w:noWrap/>
            <w:vAlign w:val="center"/>
          </w:tcPr>
          <w:p w14:paraId="36F51530">
            <w:pPr>
              <w:widowControl/>
              <w:spacing w:line="380" w:lineRule="exact"/>
              <w:ind w:left="60" w:right="6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53" w:type="dxa"/>
            <w:tcBorders>
              <w:bottom w:val="single" w:color="auto" w:sz="4" w:space="0"/>
              <w:right w:val="single" w:color="000000" w:sz="4" w:space="0"/>
            </w:tcBorders>
            <w:noWrap/>
            <w:vAlign w:val="center"/>
          </w:tcPr>
          <w:p w14:paraId="3337D867">
            <w:pPr>
              <w:spacing w:line="380" w:lineRule="exact"/>
              <w:jc w:val="center"/>
              <w:rPr>
                <w:rFonts w:hint="eastAsia" w:ascii="宋体" w:hAnsi="宋体" w:eastAsia="宋体" w:cs="宋体"/>
                <w:color w:val="auto"/>
                <w:kern w:val="1"/>
                <w:szCs w:val="21"/>
                <w:highlight w:val="none"/>
                <w:lang w:eastAsia="zh-CN"/>
              </w:rPr>
            </w:pPr>
            <w:r>
              <w:rPr>
                <w:rFonts w:hint="eastAsia" w:ascii="宋体" w:hAnsi="宋体" w:cs="宋体"/>
                <w:color w:val="auto"/>
                <w:szCs w:val="21"/>
                <w:highlight w:val="none"/>
                <w:lang w:eastAsia="zh-CN"/>
              </w:rPr>
              <w:t>长兴县市政基础设施资产会计核算分析服务项目</w:t>
            </w:r>
          </w:p>
        </w:tc>
        <w:tc>
          <w:tcPr>
            <w:tcW w:w="1805" w:type="dxa"/>
            <w:tcBorders>
              <w:bottom w:val="single" w:color="auto" w:sz="4" w:space="0"/>
              <w:right w:val="single" w:color="000000" w:sz="4" w:space="0"/>
            </w:tcBorders>
            <w:noWrap/>
            <w:vAlign w:val="center"/>
          </w:tcPr>
          <w:p w14:paraId="36681C24">
            <w:pPr>
              <w:tabs>
                <w:tab w:val="left" w:pos="720"/>
              </w:tabs>
              <w:spacing w:line="380" w:lineRule="exact"/>
              <w:ind w:left="67" w:right="67"/>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项</w:t>
            </w:r>
          </w:p>
        </w:tc>
        <w:tc>
          <w:tcPr>
            <w:tcW w:w="1328" w:type="dxa"/>
            <w:tcBorders>
              <w:bottom w:val="single" w:color="auto" w:sz="4" w:space="0"/>
              <w:right w:val="single" w:color="000000" w:sz="4" w:space="0"/>
            </w:tcBorders>
            <w:noWrap/>
            <w:vAlign w:val="center"/>
          </w:tcPr>
          <w:p w14:paraId="65C1020A">
            <w:pPr>
              <w:spacing w:line="380" w:lineRule="exact"/>
              <w:ind w:right="67"/>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w:t>
            </w:r>
          </w:p>
        </w:tc>
        <w:tc>
          <w:tcPr>
            <w:tcW w:w="1858" w:type="dxa"/>
            <w:tcBorders>
              <w:bottom w:val="single" w:color="auto" w:sz="4" w:space="0"/>
              <w:right w:val="single" w:color="000000" w:sz="4" w:space="0"/>
            </w:tcBorders>
            <w:noWrap/>
            <w:vAlign w:val="center"/>
          </w:tcPr>
          <w:p w14:paraId="682227FF">
            <w:pPr>
              <w:tabs>
                <w:tab w:val="left" w:pos="720"/>
              </w:tabs>
              <w:spacing w:line="380" w:lineRule="exact"/>
              <w:ind w:right="67"/>
              <w:jc w:val="center"/>
              <w:rPr>
                <w:rFonts w:hint="eastAsia" w:ascii="宋体" w:hAnsi="宋体" w:cs="宋体"/>
                <w:color w:val="auto"/>
                <w:kern w:val="1"/>
                <w:szCs w:val="21"/>
                <w:highlight w:val="none"/>
              </w:rPr>
            </w:pPr>
          </w:p>
        </w:tc>
        <w:tc>
          <w:tcPr>
            <w:tcW w:w="1650" w:type="dxa"/>
            <w:tcBorders>
              <w:bottom w:val="single" w:color="auto" w:sz="4" w:space="0"/>
              <w:right w:val="single" w:color="000000" w:sz="4" w:space="0"/>
            </w:tcBorders>
            <w:noWrap/>
            <w:vAlign w:val="center"/>
          </w:tcPr>
          <w:p w14:paraId="6AD531F9">
            <w:pPr>
              <w:tabs>
                <w:tab w:val="left" w:pos="720"/>
              </w:tabs>
              <w:spacing w:line="380" w:lineRule="exact"/>
              <w:ind w:right="67"/>
              <w:jc w:val="center"/>
              <w:rPr>
                <w:rFonts w:hint="eastAsia" w:ascii="宋体" w:hAnsi="宋体" w:cs="宋体"/>
                <w:color w:val="auto"/>
                <w:kern w:val="1"/>
                <w:szCs w:val="21"/>
                <w:highlight w:val="none"/>
              </w:rPr>
            </w:pPr>
          </w:p>
        </w:tc>
      </w:tr>
    </w:tbl>
    <w:p w14:paraId="1D268C7D">
      <w:pPr>
        <w:autoSpaceDE w:val="0"/>
        <w:autoSpaceDN w:val="0"/>
        <w:adjustRightIn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注：1.此表在政采云在线最终报价异常时提供，磋商响应文件中无需提供。</w:t>
      </w:r>
    </w:p>
    <w:p w14:paraId="714EFD90">
      <w:pPr>
        <w:snapToGrid w:val="0"/>
        <w:spacing w:line="180" w:lineRule="exact"/>
        <w:rPr>
          <w:rFonts w:hint="eastAsia" w:ascii="宋体" w:hAnsi="宋体" w:cs="宋体"/>
          <w:color w:val="auto"/>
          <w:spacing w:val="11"/>
          <w:szCs w:val="21"/>
          <w:highlight w:val="none"/>
        </w:rPr>
      </w:pPr>
    </w:p>
    <w:p w14:paraId="66A4BA7E">
      <w:pPr>
        <w:snapToGrid w:val="0"/>
        <w:spacing w:before="120" w:beforeLines="50"/>
        <w:rPr>
          <w:rFonts w:hint="eastAsia"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p>
    <w:p w14:paraId="096509E1">
      <w:pPr>
        <w:snapToGrid w:val="0"/>
        <w:spacing w:before="120" w:beforeLines="50"/>
        <w:rPr>
          <w:rFonts w:hint="eastAsia" w:ascii="宋体" w:hAnsi="宋体" w:cs="宋体"/>
          <w:color w:val="auto"/>
          <w:spacing w:val="11"/>
          <w:szCs w:val="21"/>
          <w:highlight w:val="none"/>
        </w:rPr>
      </w:pPr>
      <w:r>
        <w:rPr>
          <w:rFonts w:hint="eastAsia" w:ascii="宋体" w:hAnsi="宋体" w:cs="宋体"/>
          <w:color w:val="auto"/>
          <w:spacing w:val="11"/>
          <w:szCs w:val="21"/>
          <w:highlight w:val="none"/>
        </w:rPr>
        <w:t>供应商公章：</w:t>
      </w:r>
    </w:p>
    <w:p w14:paraId="742A6FB2">
      <w:pPr>
        <w:snapToGrid w:val="0"/>
        <w:spacing w:before="120" w:beforeLines="50"/>
        <w:rPr>
          <w:rFonts w:hint="eastAsia" w:ascii="宋体" w:hAnsi="宋体" w:cs="宋体"/>
          <w:color w:val="auto"/>
          <w:spacing w:val="11"/>
          <w:szCs w:val="21"/>
          <w:highlight w:val="none"/>
        </w:rPr>
      </w:pPr>
    </w:p>
    <w:p w14:paraId="1EAF5B47">
      <w:pPr>
        <w:snapToGrid w:val="0"/>
        <w:spacing w:before="120" w:beforeLines="50" w:after="50"/>
        <w:ind w:firstLine="6812" w:firstLineChars="2600"/>
        <w:rPr>
          <w:rFonts w:hint="eastAsia" w:ascii="宋体" w:hAnsi="宋体" w:cs="宋体"/>
          <w:color w:val="auto"/>
          <w:spacing w:val="11"/>
          <w:sz w:val="24"/>
          <w:highlight w:val="none"/>
        </w:rPr>
      </w:pPr>
    </w:p>
    <w:p w14:paraId="64B858F4">
      <w:pPr>
        <w:snapToGrid w:val="0"/>
        <w:spacing w:before="120" w:beforeLines="50" w:after="50"/>
        <w:ind w:firstLine="6812" w:firstLineChars="2600"/>
        <w:jc w:val="left"/>
        <w:rPr>
          <w:rFonts w:hint="eastAsia" w:ascii="宋体" w:hAnsi="宋体" w:cs="宋体"/>
          <w:color w:val="auto"/>
          <w:spacing w:val="11"/>
          <w:sz w:val="24"/>
          <w:highlight w:val="none"/>
        </w:rPr>
      </w:pPr>
      <w:r>
        <w:rPr>
          <w:rFonts w:hint="eastAsia" w:ascii="宋体" w:hAnsi="宋体" w:cs="宋体"/>
          <w:color w:val="auto"/>
          <w:spacing w:val="11"/>
          <w:sz w:val="24"/>
          <w:highlight w:val="none"/>
        </w:rPr>
        <w:t>年    月    日</w:t>
      </w:r>
    </w:p>
    <w:p w14:paraId="52E743B4">
      <w:pPr>
        <w:pStyle w:val="15"/>
        <w:spacing w:line="360" w:lineRule="auto"/>
        <w:ind w:left="0" w:leftChars="0"/>
        <w:rPr>
          <w:color w:val="auto"/>
          <w:sz w:val="24"/>
          <w:highlight w:val="none"/>
        </w:rPr>
      </w:pPr>
    </w:p>
    <w:p w14:paraId="41E329F9">
      <w:pPr>
        <w:pStyle w:val="15"/>
        <w:spacing w:line="360" w:lineRule="auto"/>
        <w:ind w:left="0" w:leftChars="0"/>
        <w:rPr>
          <w:color w:val="auto"/>
          <w:sz w:val="24"/>
          <w:highlight w:val="none"/>
        </w:rPr>
      </w:pPr>
    </w:p>
    <w:p w14:paraId="1521BF10">
      <w:pPr>
        <w:pStyle w:val="15"/>
        <w:spacing w:line="360" w:lineRule="auto"/>
        <w:ind w:left="0" w:leftChars="0"/>
        <w:rPr>
          <w:color w:val="auto"/>
          <w:sz w:val="24"/>
          <w:highlight w:val="none"/>
        </w:rPr>
      </w:pPr>
    </w:p>
    <w:p w14:paraId="42538C6A">
      <w:pPr>
        <w:pStyle w:val="15"/>
        <w:spacing w:line="360" w:lineRule="auto"/>
        <w:ind w:left="0" w:leftChars="0"/>
        <w:rPr>
          <w:color w:val="auto"/>
          <w:sz w:val="24"/>
          <w:highlight w:val="none"/>
        </w:rPr>
      </w:pPr>
    </w:p>
    <w:p w14:paraId="301F14AD">
      <w:pPr>
        <w:pStyle w:val="15"/>
        <w:spacing w:line="360" w:lineRule="auto"/>
        <w:ind w:left="0" w:leftChars="0"/>
        <w:rPr>
          <w:color w:val="auto"/>
          <w:sz w:val="24"/>
          <w:highlight w:val="none"/>
        </w:rPr>
      </w:pPr>
    </w:p>
    <w:p w14:paraId="6D1F58CD">
      <w:pPr>
        <w:pStyle w:val="15"/>
        <w:spacing w:line="360" w:lineRule="auto"/>
        <w:ind w:left="0" w:leftChars="0"/>
        <w:rPr>
          <w:color w:val="auto"/>
          <w:sz w:val="24"/>
          <w:highlight w:val="none"/>
        </w:rPr>
      </w:pPr>
    </w:p>
    <w:p w14:paraId="71A97AE4">
      <w:pPr>
        <w:pStyle w:val="15"/>
        <w:spacing w:line="360" w:lineRule="auto"/>
        <w:ind w:left="0" w:leftChars="0"/>
        <w:rPr>
          <w:color w:val="auto"/>
          <w:sz w:val="24"/>
          <w:highlight w:val="none"/>
        </w:rPr>
      </w:pPr>
    </w:p>
    <w:p w14:paraId="6BE4ACAB">
      <w:pPr>
        <w:pStyle w:val="39"/>
        <w:jc w:val="left"/>
        <w:rPr>
          <w:rFonts w:hint="eastAsia" w:ascii="宋体" w:hAnsi="宋体" w:cs="宋体"/>
          <w:color w:val="auto"/>
          <w:sz w:val="24"/>
          <w:szCs w:val="24"/>
          <w:highlight w:val="none"/>
        </w:rPr>
      </w:pPr>
    </w:p>
    <w:p w14:paraId="6619D670">
      <w:pPr>
        <w:pStyle w:val="3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highlight w:val="none"/>
        </w:rPr>
        <w:t>供应商针对报价需要说明的其他文件和说明</w:t>
      </w:r>
    </w:p>
    <w:p w14:paraId="307CF558">
      <w:pPr>
        <w:pStyle w:val="41"/>
        <w:ind w:left="840" w:leftChars="400" w:firstLine="0" w:firstLineChars="0"/>
      </w:pPr>
    </w:p>
    <w:sectPr>
      <w:headerReference r:id="rId6" w:type="default"/>
      <w:footerReference r:id="rId7" w:type="default"/>
      <w:footerReference r:id="rId8" w:type="even"/>
      <w:pgSz w:w="11906" w:h="16838"/>
      <w:pgMar w:top="1134" w:right="1134" w:bottom="1134" w:left="1417" w:header="850" w:footer="850"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61D11">
    <w:pPr>
      <w:pStyle w:val="25"/>
      <w:tabs>
        <w:tab w:val="center" w:pos="5130"/>
        <w:tab w:val="right" w:pos="9300"/>
      </w:tabs>
      <w:rPr>
        <w:rStyle w:val="47"/>
      </w:rPr>
    </w:pPr>
    <w:r>
      <w:rPr>
        <w:rStyle w:val="47"/>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B0EF">
    <w:pPr>
      <w:pStyle w:val="25"/>
      <w:framePr w:wrap="around" w:vAnchor="text" w:hAnchor="margin" w:xAlign="right" w:y="1"/>
      <w:rPr>
        <w:rStyle w:val="47"/>
      </w:rPr>
    </w:pPr>
    <w:r>
      <w:fldChar w:fldCharType="begin"/>
    </w:r>
    <w:r>
      <w:rPr>
        <w:rStyle w:val="47"/>
      </w:rPr>
      <w:instrText xml:space="preserve">PAGE  </w:instrText>
    </w:r>
    <w:r>
      <w:fldChar w:fldCharType="end"/>
    </w:r>
  </w:p>
  <w:p w14:paraId="6CE1B365">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6847">
    <w:pPr>
      <w:pStyle w:val="25"/>
      <w:framePr w:wrap="around" w:vAnchor="text" w:hAnchor="margin" w:xAlign="right" w:y="1"/>
      <w:ind w:firstLine="360" w:firstLineChars="200"/>
      <w:jc w:val="center"/>
      <w:rPr>
        <w:rStyle w:val="4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D2001">
                          <w:pPr>
                            <w:pStyle w:val="25"/>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264D2001">
                    <w:pPr>
                      <w:pStyle w:val="2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111DF">
    <w:pPr>
      <w:pStyle w:val="25"/>
      <w:framePr w:wrap="around" w:vAnchor="text" w:hAnchor="margin" w:xAlign="right" w:y="1"/>
      <w:rPr>
        <w:rStyle w:val="47"/>
      </w:rPr>
    </w:pPr>
    <w:r>
      <w:fldChar w:fldCharType="begin"/>
    </w:r>
    <w:r>
      <w:rPr>
        <w:rStyle w:val="47"/>
      </w:rPr>
      <w:instrText xml:space="preserve">PAGE  </w:instrText>
    </w:r>
    <w:r>
      <w:fldChar w:fldCharType="end"/>
    </w:r>
  </w:p>
  <w:p w14:paraId="02542AAD">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18CE">
    <w:pPr>
      <w:tabs>
        <w:tab w:val="left" w:pos="0"/>
      </w:tabs>
      <w:adjustRightInd w:val="0"/>
      <w:snapToGrid w:val="0"/>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5167">
    <w:pPr>
      <w:tabs>
        <w:tab w:val="left" w:pos="0"/>
      </w:tabs>
      <w:adjustRightInd w:val="0"/>
      <w:snapToGrid w:val="0"/>
      <w:ind w:left="11083" w:hanging="8280" w:hangingChars="4600"/>
      <w:jc w:val="left"/>
      <w:rPr>
        <w:rFonts w:hint="default" w:eastAsia="宋体"/>
        <w:u w:val="single"/>
        <w:lang w:val="en-US" w:eastAsia="zh-CN"/>
      </w:rPr>
    </w:pPr>
    <w:r>
      <w:rPr>
        <w:rFonts w:hint="eastAsia" w:ascii="宋体" w:hAnsi="宋体" w:cs="宋体"/>
        <w:b w:val="0"/>
        <w:bCs w:val="0"/>
        <w:snapToGrid/>
        <w:kern w:val="2"/>
        <w:sz w:val="18"/>
        <w:szCs w:val="18"/>
        <w:u w:val="single"/>
        <w:lang w:val="zh-CN"/>
      </w:rPr>
      <w:t>长兴县市政基础设施资产会计核算分析服务项目</w:t>
    </w:r>
    <w:r>
      <w:rPr>
        <w:rFonts w:hint="eastAsia" w:ascii="宋体" w:hAnsi="宋体" w:cs="宋体"/>
        <w:b w:val="0"/>
        <w:bCs w:val="0"/>
        <w:snapToGrid/>
        <w:kern w:val="2"/>
        <w:sz w:val="18"/>
        <w:szCs w:val="18"/>
        <w:u w:val="single"/>
        <w:lang w:val="en-US" w:eastAsia="zh-CN"/>
      </w:rPr>
      <w:t xml:space="preserve">                                               </w:t>
    </w:r>
    <w:r>
      <w:rPr>
        <w:rFonts w:hint="eastAsia" w:ascii="宋体" w:hAnsi="宋体" w:cs="宋体"/>
        <w:sz w:val="18"/>
        <w:szCs w:val="18"/>
        <w:u w:val="single"/>
      </w:rPr>
      <w:t>竞争性磋商文件</w:t>
    </w:r>
    <w:r>
      <w:rPr>
        <w:rFonts w:hint="eastAsia" w:ascii="宋体" w:hAnsi="宋体" w:cs="宋体"/>
        <w:sz w:val="18"/>
        <w:szCs w:val="18"/>
        <w:u w:val="none"/>
        <w:lang w:val="en-US" w:eastAsia="zh-CN"/>
      </w:rPr>
      <w:t xml:space="preserve">   </w:t>
    </w:r>
    <w:r>
      <w:rPr>
        <w:rFonts w:hint="eastAsia" w:ascii="宋体" w:hAnsi="宋体" w:cs="宋体"/>
        <w:sz w:val="18"/>
        <w:szCs w:val="18"/>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A0871"/>
    <w:multiLevelType w:val="singleLevel"/>
    <w:tmpl w:val="D54A0871"/>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pStyle w:val="107"/>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0000002"/>
    <w:multiLevelType w:val="singleLevel"/>
    <w:tmpl w:val="00000002"/>
    <w:lvl w:ilvl="0" w:tentative="0">
      <w:start w:val="2"/>
      <w:numFmt w:val="decimal"/>
      <w:pStyle w:val="75"/>
      <w:suff w:val="nothing"/>
      <w:lvlText w:val="（%1）"/>
      <w:lvlJc w:val="left"/>
    </w:lvl>
  </w:abstractNum>
  <w:abstractNum w:abstractNumId="3">
    <w:nsid w:val="00000004"/>
    <w:multiLevelType w:val="multilevel"/>
    <w:tmpl w:val="00000004"/>
    <w:lvl w:ilvl="0" w:tentative="0">
      <w:start w:val="1"/>
      <w:numFmt w:val="chineseCountingThousand"/>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2693"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pStyle w:val="6"/>
      <w:isLgl/>
      <w:lvlText w:val="%1.%2.%3.%4.%5."/>
      <w:lvlJc w:val="left"/>
      <w:pPr>
        <w:ind w:left="992" w:hanging="992"/>
      </w:pPr>
      <w:rPr>
        <w:rFonts w:hint="eastAsia" w:ascii="宋体" w:hAnsi="宋体" w:eastAsia="宋体"/>
      </w:rPr>
    </w:lvl>
    <w:lvl w:ilvl="5" w:tentative="0">
      <w:start w:val="1"/>
      <w:numFmt w:val="decimal"/>
      <w:isLgl/>
      <w:lvlText w:val="%1.%2.%3.%4.%5.%6."/>
      <w:lvlJc w:val="left"/>
      <w:pPr>
        <w:ind w:left="1134" w:hanging="1134"/>
      </w:pPr>
      <w:rPr>
        <w:rFonts w:hint="eastAsia"/>
        <w:b/>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4">
    <w:nsid w:val="00000006"/>
    <w:multiLevelType w:val="singleLevel"/>
    <w:tmpl w:val="00000006"/>
    <w:lvl w:ilvl="0" w:tentative="0">
      <w:start w:val="2"/>
      <w:numFmt w:val="chineseCounting"/>
      <w:suff w:val="space"/>
      <w:lvlText w:val="第%1章"/>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GM2YTgwNWNhZDBmMWFkNDMyZTA3OGVlNzNiOWEifQ=="/>
  </w:docVars>
  <w:rsids>
    <w:rsidRoot w:val="00172A27"/>
    <w:rsid w:val="000020FD"/>
    <w:rsid w:val="00011749"/>
    <w:rsid w:val="00015DA4"/>
    <w:rsid w:val="00022B62"/>
    <w:rsid w:val="00030C3D"/>
    <w:rsid w:val="0003357E"/>
    <w:rsid w:val="00037BEA"/>
    <w:rsid w:val="00040DF9"/>
    <w:rsid w:val="00045825"/>
    <w:rsid w:val="0005286D"/>
    <w:rsid w:val="000542B0"/>
    <w:rsid w:val="00076A5C"/>
    <w:rsid w:val="00077F69"/>
    <w:rsid w:val="00080845"/>
    <w:rsid w:val="00082350"/>
    <w:rsid w:val="00084A5D"/>
    <w:rsid w:val="00084BF7"/>
    <w:rsid w:val="000907D8"/>
    <w:rsid w:val="00091BD0"/>
    <w:rsid w:val="00092509"/>
    <w:rsid w:val="00095118"/>
    <w:rsid w:val="000B0954"/>
    <w:rsid w:val="000B212A"/>
    <w:rsid w:val="000C0718"/>
    <w:rsid w:val="000C3873"/>
    <w:rsid w:val="000C4129"/>
    <w:rsid w:val="000C6A73"/>
    <w:rsid w:val="000D11A7"/>
    <w:rsid w:val="000D226E"/>
    <w:rsid w:val="000D26AD"/>
    <w:rsid w:val="000F1BD4"/>
    <w:rsid w:val="000F2B7B"/>
    <w:rsid w:val="000F48D5"/>
    <w:rsid w:val="001023B4"/>
    <w:rsid w:val="001069C5"/>
    <w:rsid w:val="00107E15"/>
    <w:rsid w:val="001113BD"/>
    <w:rsid w:val="00114852"/>
    <w:rsid w:val="001152D9"/>
    <w:rsid w:val="001205F8"/>
    <w:rsid w:val="00122C76"/>
    <w:rsid w:val="00122F60"/>
    <w:rsid w:val="001231BA"/>
    <w:rsid w:val="0012704A"/>
    <w:rsid w:val="001467FB"/>
    <w:rsid w:val="00150CA7"/>
    <w:rsid w:val="00150F48"/>
    <w:rsid w:val="0015196E"/>
    <w:rsid w:val="001561AB"/>
    <w:rsid w:val="001579AB"/>
    <w:rsid w:val="001613BC"/>
    <w:rsid w:val="001644C0"/>
    <w:rsid w:val="00172A27"/>
    <w:rsid w:val="001830D4"/>
    <w:rsid w:val="00183132"/>
    <w:rsid w:val="00197960"/>
    <w:rsid w:val="001A062F"/>
    <w:rsid w:val="001A64C4"/>
    <w:rsid w:val="001B052A"/>
    <w:rsid w:val="001B05C6"/>
    <w:rsid w:val="001B069F"/>
    <w:rsid w:val="001B1B3C"/>
    <w:rsid w:val="001C2409"/>
    <w:rsid w:val="001C2675"/>
    <w:rsid w:val="001D1750"/>
    <w:rsid w:val="001E3E3E"/>
    <w:rsid w:val="001E77B9"/>
    <w:rsid w:val="001F309D"/>
    <w:rsid w:val="001F338E"/>
    <w:rsid w:val="001F394A"/>
    <w:rsid w:val="002021A7"/>
    <w:rsid w:val="00202EE2"/>
    <w:rsid w:val="00207ECD"/>
    <w:rsid w:val="00213EDD"/>
    <w:rsid w:val="00216900"/>
    <w:rsid w:val="002307D2"/>
    <w:rsid w:val="00243C7E"/>
    <w:rsid w:val="002640C7"/>
    <w:rsid w:val="00282715"/>
    <w:rsid w:val="002859C6"/>
    <w:rsid w:val="002A0DAB"/>
    <w:rsid w:val="002B2CDC"/>
    <w:rsid w:val="002D58C9"/>
    <w:rsid w:val="002F1BD1"/>
    <w:rsid w:val="002F41E8"/>
    <w:rsid w:val="002F6CE7"/>
    <w:rsid w:val="00313B99"/>
    <w:rsid w:val="00314E7A"/>
    <w:rsid w:val="00324411"/>
    <w:rsid w:val="00326621"/>
    <w:rsid w:val="00326CA1"/>
    <w:rsid w:val="003309C6"/>
    <w:rsid w:val="00332414"/>
    <w:rsid w:val="00334573"/>
    <w:rsid w:val="0034709E"/>
    <w:rsid w:val="00353A1D"/>
    <w:rsid w:val="00357205"/>
    <w:rsid w:val="00357C2C"/>
    <w:rsid w:val="00360857"/>
    <w:rsid w:val="003650E3"/>
    <w:rsid w:val="003709F4"/>
    <w:rsid w:val="0037340C"/>
    <w:rsid w:val="00375EC8"/>
    <w:rsid w:val="00385179"/>
    <w:rsid w:val="0038640D"/>
    <w:rsid w:val="003976BD"/>
    <w:rsid w:val="003A2E40"/>
    <w:rsid w:val="003B10E3"/>
    <w:rsid w:val="003B35D0"/>
    <w:rsid w:val="003B7511"/>
    <w:rsid w:val="003C0B72"/>
    <w:rsid w:val="003C3E9A"/>
    <w:rsid w:val="003D34B6"/>
    <w:rsid w:val="003D3C59"/>
    <w:rsid w:val="003D58E5"/>
    <w:rsid w:val="003F1A34"/>
    <w:rsid w:val="003F68D8"/>
    <w:rsid w:val="003F6D02"/>
    <w:rsid w:val="004069BA"/>
    <w:rsid w:val="00406E7C"/>
    <w:rsid w:val="00417D1D"/>
    <w:rsid w:val="00432A5D"/>
    <w:rsid w:val="004431B9"/>
    <w:rsid w:val="0044450B"/>
    <w:rsid w:val="0045200A"/>
    <w:rsid w:val="0045524A"/>
    <w:rsid w:val="004613AD"/>
    <w:rsid w:val="00476762"/>
    <w:rsid w:val="00484E23"/>
    <w:rsid w:val="004860A0"/>
    <w:rsid w:val="004871DA"/>
    <w:rsid w:val="0049330D"/>
    <w:rsid w:val="00494AA7"/>
    <w:rsid w:val="004A168A"/>
    <w:rsid w:val="004A3441"/>
    <w:rsid w:val="004A3F74"/>
    <w:rsid w:val="004B3AEA"/>
    <w:rsid w:val="004B6D4C"/>
    <w:rsid w:val="004B7C26"/>
    <w:rsid w:val="004C1880"/>
    <w:rsid w:val="004C5470"/>
    <w:rsid w:val="004C6EF1"/>
    <w:rsid w:val="004F198A"/>
    <w:rsid w:val="0051000A"/>
    <w:rsid w:val="005133FD"/>
    <w:rsid w:val="00516E1E"/>
    <w:rsid w:val="00521FEE"/>
    <w:rsid w:val="00524585"/>
    <w:rsid w:val="00537603"/>
    <w:rsid w:val="00562FE4"/>
    <w:rsid w:val="005714D8"/>
    <w:rsid w:val="005754DD"/>
    <w:rsid w:val="00594108"/>
    <w:rsid w:val="005A135C"/>
    <w:rsid w:val="005A71FC"/>
    <w:rsid w:val="005B45D0"/>
    <w:rsid w:val="005D5DED"/>
    <w:rsid w:val="005D7A10"/>
    <w:rsid w:val="005E11B8"/>
    <w:rsid w:val="005E39C2"/>
    <w:rsid w:val="005E3D2A"/>
    <w:rsid w:val="005E57C9"/>
    <w:rsid w:val="005E62AF"/>
    <w:rsid w:val="005E6B9A"/>
    <w:rsid w:val="005F6DD6"/>
    <w:rsid w:val="00600EE3"/>
    <w:rsid w:val="00604959"/>
    <w:rsid w:val="006132BC"/>
    <w:rsid w:val="00620B5F"/>
    <w:rsid w:val="0062192B"/>
    <w:rsid w:val="00622D06"/>
    <w:rsid w:val="00624C86"/>
    <w:rsid w:val="00624D40"/>
    <w:rsid w:val="006347B8"/>
    <w:rsid w:val="00646C1D"/>
    <w:rsid w:val="00654578"/>
    <w:rsid w:val="00664CFF"/>
    <w:rsid w:val="00665B04"/>
    <w:rsid w:val="006713E3"/>
    <w:rsid w:val="0067486B"/>
    <w:rsid w:val="00676464"/>
    <w:rsid w:val="00677CFA"/>
    <w:rsid w:val="006814E7"/>
    <w:rsid w:val="006869D2"/>
    <w:rsid w:val="006940B6"/>
    <w:rsid w:val="0069744B"/>
    <w:rsid w:val="006A3075"/>
    <w:rsid w:val="006B36CB"/>
    <w:rsid w:val="006B7638"/>
    <w:rsid w:val="006D59FB"/>
    <w:rsid w:val="006E3767"/>
    <w:rsid w:val="006F0991"/>
    <w:rsid w:val="006F2BF4"/>
    <w:rsid w:val="006F4604"/>
    <w:rsid w:val="00702F80"/>
    <w:rsid w:val="00704FAF"/>
    <w:rsid w:val="00707347"/>
    <w:rsid w:val="0071177D"/>
    <w:rsid w:val="00714973"/>
    <w:rsid w:val="007149A5"/>
    <w:rsid w:val="0072374B"/>
    <w:rsid w:val="00725F35"/>
    <w:rsid w:val="0073210B"/>
    <w:rsid w:val="00734F60"/>
    <w:rsid w:val="00735252"/>
    <w:rsid w:val="007358B9"/>
    <w:rsid w:val="007404D1"/>
    <w:rsid w:val="00743932"/>
    <w:rsid w:val="007439B3"/>
    <w:rsid w:val="007468A9"/>
    <w:rsid w:val="00750745"/>
    <w:rsid w:val="00750E34"/>
    <w:rsid w:val="00756EAC"/>
    <w:rsid w:val="00762E4B"/>
    <w:rsid w:val="00762FD1"/>
    <w:rsid w:val="00764648"/>
    <w:rsid w:val="0076486F"/>
    <w:rsid w:val="0076544F"/>
    <w:rsid w:val="00771CDF"/>
    <w:rsid w:val="00776A87"/>
    <w:rsid w:val="00776C26"/>
    <w:rsid w:val="00777417"/>
    <w:rsid w:val="00780A3A"/>
    <w:rsid w:val="0078156E"/>
    <w:rsid w:val="00781655"/>
    <w:rsid w:val="00796029"/>
    <w:rsid w:val="007A17D4"/>
    <w:rsid w:val="007A1950"/>
    <w:rsid w:val="007A1980"/>
    <w:rsid w:val="007B1DE0"/>
    <w:rsid w:val="007B59BD"/>
    <w:rsid w:val="007C1D50"/>
    <w:rsid w:val="007E49B8"/>
    <w:rsid w:val="007F16F9"/>
    <w:rsid w:val="007F2238"/>
    <w:rsid w:val="007F5DFC"/>
    <w:rsid w:val="00801A60"/>
    <w:rsid w:val="00806905"/>
    <w:rsid w:val="0080732F"/>
    <w:rsid w:val="00810051"/>
    <w:rsid w:val="00825BAC"/>
    <w:rsid w:val="008270AD"/>
    <w:rsid w:val="00836379"/>
    <w:rsid w:val="008416E8"/>
    <w:rsid w:val="00846A07"/>
    <w:rsid w:val="00855438"/>
    <w:rsid w:val="00855D34"/>
    <w:rsid w:val="008610D3"/>
    <w:rsid w:val="00861361"/>
    <w:rsid w:val="00866EFA"/>
    <w:rsid w:val="0087481F"/>
    <w:rsid w:val="008922F6"/>
    <w:rsid w:val="00896FC2"/>
    <w:rsid w:val="008B5EBE"/>
    <w:rsid w:val="008C7E69"/>
    <w:rsid w:val="008D3225"/>
    <w:rsid w:val="008D6108"/>
    <w:rsid w:val="008E0654"/>
    <w:rsid w:val="008E0707"/>
    <w:rsid w:val="008F1A41"/>
    <w:rsid w:val="00911003"/>
    <w:rsid w:val="00916EA1"/>
    <w:rsid w:val="00917D62"/>
    <w:rsid w:val="009279CA"/>
    <w:rsid w:val="00934BD8"/>
    <w:rsid w:val="00936CC8"/>
    <w:rsid w:val="00945FF1"/>
    <w:rsid w:val="00951B98"/>
    <w:rsid w:val="009545E7"/>
    <w:rsid w:val="00956C2C"/>
    <w:rsid w:val="00961371"/>
    <w:rsid w:val="00964152"/>
    <w:rsid w:val="00971AE6"/>
    <w:rsid w:val="00974592"/>
    <w:rsid w:val="00975709"/>
    <w:rsid w:val="009854A8"/>
    <w:rsid w:val="00987C03"/>
    <w:rsid w:val="009927CA"/>
    <w:rsid w:val="009A401C"/>
    <w:rsid w:val="009B1DB1"/>
    <w:rsid w:val="009B33D9"/>
    <w:rsid w:val="009D0CB1"/>
    <w:rsid w:val="009D148E"/>
    <w:rsid w:val="009D1AAA"/>
    <w:rsid w:val="009E1905"/>
    <w:rsid w:val="009F1987"/>
    <w:rsid w:val="009F31FD"/>
    <w:rsid w:val="00A2145C"/>
    <w:rsid w:val="00A23713"/>
    <w:rsid w:val="00A27117"/>
    <w:rsid w:val="00A3171B"/>
    <w:rsid w:val="00A323DE"/>
    <w:rsid w:val="00A34F65"/>
    <w:rsid w:val="00A57770"/>
    <w:rsid w:val="00A70801"/>
    <w:rsid w:val="00A72CB6"/>
    <w:rsid w:val="00A75909"/>
    <w:rsid w:val="00A8218C"/>
    <w:rsid w:val="00A853D3"/>
    <w:rsid w:val="00A909DC"/>
    <w:rsid w:val="00A9179C"/>
    <w:rsid w:val="00A930FC"/>
    <w:rsid w:val="00AA48F2"/>
    <w:rsid w:val="00AC02B5"/>
    <w:rsid w:val="00AC0A06"/>
    <w:rsid w:val="00AC740A"/>
    <w:rsid w:val="00AD086C"/>
    <w:rsid w:val="00AD15DB"/>
    <w:rsid w:val="00AD44FB"/>
    <w:rsid w:val="00AE3E4D"/>
    <w:rsid w:val="00AF0AC6"/>
    <w:rsid w:val="00AF29AE"/>
    <w:rsid w:val="00AF4554"/>
    <w:rsid w:val="00AF72DB"/>
    <w:rsid w:val="00AF7D22"/>
    <w:rsid w:val="00B20684"/>
    <w:rsid w:val="00B23F85"/>
    <w:rsid w:val="00B279D4"/>
    <w:rsid w:val="00B34FA5"/>
    <w:rsid w:val="00B37C83"/>
    <w:rsid w:val="00B4030F"/>
    <w:rsid w:val="00B66292"/>
    <w:rsid w:val="00B76C68"/>
    <w:rsid w:val="00B817B1"/>
    <w:rsid w:val="00BD0959"/>
    <w:rsid w:val="00BD385F"/>
    <w:rsid w:val="00BD60E6"/>
    <w:rsid w:val="00BD71CC"/>
    <w:rsid w:val="00BE7E7D"/>
    <w:rsid w:val="00BF1D90"/>
    <w:rsid w:val="00BF3457"/>
    <w:rsid w:val="00C03CD2"/>
    <w:rsid w:val="00C0638C"/>
    <w:rsid w:val="00C074D9"/>
    <w:rsid w:val="00C211CD"/>
    <w:rsid w:val="00C2408F"/>
    <w:rsid w:val="00C2461A"/>
    <w:rsid w:val="00C26055"/>
    <w:rsid w:val="00C330F0"/>
    <w:rsid w:val="00C45518"/>
    <w:rsid w:val="00C53EDC"/>
    <w:rsid w:val="00C5539F"/>
    <w:rsid w:val="00C55F93"/>
    <w:rsid w:val="00C72888"/>
    <w:rsid w:val="00C72A93"/>
    <w:rsid w:val="00C73B23"/>
    <w:rsid w:val="00C8187D"/>
    <w:rsid w:val="00CB111B"/>
    <w:rsid w:val="00CB14C1"/>
    <w:rsid w:val="00CB38F8"/>
    <w:rsid w:val="00CB4B78"/>
    <w:rsid w:val="00CC013B"/>
    <w:rsid w:val="00CC417F"/>
    <w:rsid w:val="00CC4AD7"/>
    <w:rsid w:val="00CC5858"/>
    <w:rsid w:val="00CC6F74"/>
    <w:rsid w:val="00CD37A0"/>
    <w:rsid w:val="00CD5359"/>
    <w:rsid w:val="00CD6788"/>
    <w:rsid w:val="00CE1F06"/>
    <w:rsid w:val="00CE2E38"/>
    <w:rsid w:val="00CF4613"/>
    <w:rsid w:val="00CF7D71"/>
    <w:rsid w:val="00D010AD"/>
    <w:rsid w:val="00D02735"/>
    <w:rsid w:val="00D07567"/>
    <w:rsid w:val="00D20679"/>
    <w:rsid w:val="00D22B5E"/>
    <w:rsid w:val="00D27A64"/>
    <w:rsid w:val="00D31948"/>
    <w:rsid w:val="00D43C14"/>
    <w:rsid w:val="00D526BD"/>
    <w:rsid w:val="00D55026"/>
    <w:rsid w:val="00D6165E"/>
    <w:rsid w:val="00D62E99"/>
    <w:rsid w:val="00D71B2E"/>
    <w:rsid w:val="00D84609"/>
    <w:rsid w:val="00D85CCD"/>
    <w:rsid w:val="00D9128F"/>
    <w:rsid w:val="00D9228E"/>
    <w:rsid w:val="00D93F84"/>
    <w:rsid w:val="00DC299C"/>
    <w:rsid w:val="00DD2C99"/>
    <w:rsid w:val="00DE36E1"/>
    <w:rsid w:val="00DF40E6"/>
    <w:rsid w:val="00DF4FEE"/>
    <w:rsid w:val="00DF699D"/>
    <w:rsid w:val="00E12696"/>
    <w:rsid w:val="00E14BD6"/>
    <w:rsid w:val="00E1739E"/>
    <w:rsid w:val="00E20188"/>
    <w:rsid w:val="00E21CFA"/>
    <w:rsid w:val="00E23BEF"/>
    <w:rsid w:val="00E240CE"/>
    <w:rsid w:val="00E240EF"/>
    <w:rsid w:val="00E350EA"/>
    <w:rsid w:val="00E37900"/>
    <w:rsid w:val="00E45CD1"/>
    <w:rsid w:val="00E5313C"/>
    <w:rsid w:val="00E645F8"/>
    <w:rsid w:val="00E649B0"/>
    <w:rsid w:val="00E67465"/>
    <w:rsid w:val="00E70ABB"/>
    <w:rsid w:val="00E72FA2"/>
    <w:rsid w:val="00E76A9D"/>
    <w:rsid w:val="00E936BF"/>
    <w:rsid w:val="00EA188D"/>
    <w:rsid w:val="00EA510B"/>
    <w:rsid w:val="00EB4212"/>
    <w:rsid w:val="00EC0D56"/>
    <w:rsid w:val="00EC52A0"/>
    <w:rsid w:val="00ED370E"/>
    <w:rsid w:val="00EE3B3A"/>
    <w:rsid w:val="00F01C64"/>
    <w:rsid w:val="00F179F3"/>
    <w:rsid w:val="00F23D1F"/>
    <w:rsid w:val="00F31B88"/>
    <w:rsid w:val="00F3447D"/>
    <w:rsid w:val="00F479E1"/>
    <w:rsid w:val="00F47E15"/>
    <w:rsid w:val="00F76763"/>
    <w:rsid w:val="00F86555"/>
    <w:rsid w:val="00F9098B"/>
    <w:rsid w:val="00F94265"/>
    <w:rsid w:val="00F96377"/>
    <w:rsid w:val="00F9665C"/>
    <w:rsid w:val="00FA33F7"/>
    <w:rsid w:val="00FA4E50"/>
    <w:rsid w:val="00FB079D"/>
    <w:rsid w:val="00FB2504"/>
    <w:rsid w:val="00FB2BAD"/>
    <w:rsid w:val="00FD3AA3"/>
    <w:rsid w:val="00FD6D86"/>
    <w:rsid w:val="00FF2DEE"/>
    <w:rsid w:val="00FF5A35"/>
    <w:rsid w:val="010E4F6E"/>
    <w:rsid w:val="0112048C"/>
    <w:rsid w:val="011B2BC5"/>
    <w:rsid w:val="011B5CC5"/>
    <w:rsid w:val="011C06C0"/>
    <w:rsid w:val="011D76FB"/>
    <w:rsid w:val="0125197E"/>
    <w:rsid w:val="012D3107"/>
    <w:rsid w:val="01396B52"/>
    <w:rsid w:val="0159411B"/>
    <w:rsid w:val="015C2B0C"/>
    <w:rsid w:val="01815825"/>
    <w:rsid w:val="0183728A"/>
    <w:rsid w:val="018E7169"/>
    <w:rsid w:val="018F6616"/>
    <w:rsid w:val="019404F8"/>
    <w:rsid w:val="0199024D"/>
    <w:rsid w:val="01A24252"/>
    <w:rsid w:val="01B43B2F"/>
    <w:rsid w:val="01B808A1"/>
    <w:rsid w:val="01B813E3"/>
    <w:rsid w:val="01CA3F41"/>
    <w:rsid w:val="01CD253D"/>
    <w:rsid w:val="01CE6BE4"/>
    <w:rsid w:val="01D931B0"/>
    <w:rsid w:val="01D96302"/>
    <w:rsid w:val="01E56AA8"/>
    <w:rsid w:val="01E77066"/>
    <w:rsid w:val="01F01AFD"/>
    <w:rsid w:val="01F21673"/>
    <w:rsid w:val="01F43ACE"/>
    <w:rsid w:val="020D0247"/>
    <w:rsid w:val="021935DF"/>
    <w:rsid w:val="022E6257"/>
    <w:rsid w:val="022F45B7"/>
    <w:rsid w:val="024B4591"/>
    <w:rsid w:val="02531D3E"/>
    <w:rsid w:val="025F4CAD"/>
    <w:rsid w:val="02685C52"/>
    <w:rsid w:val="026B09D9"/>
    <w:rsid w:val="026E45AE"/>
    <w:rsid w:val="027352EB"/>
    <w:rsid w:val="027618B5"/>
    <w:rsid w:val="02800730"/>
    <w:rsid w:val="02866093"/>
    <w:rsid w:val="02883851"/>
    <w:rsid w:val="02934505"/>
    <w:rsid w:val="02D462DD"/>
    <w:rsid w:val="02DB63F2"/>
    <w:rsid w:val="02EC467B"/>
    <w:rsid w:val="02F177A2"/>
    <w:rsid w:val="03010E40"/>
    <w:rsid w:val="030225DF"/>
    <w:rsid w:val="03212FA5"/>
    <w:rsid w:val="032405E8"/>
    <w:rsid w:val="03253E43"/>
    <w:rsid w:val="03362153"/>
    <w:rsid w:val="033A1CD7"/>
    <w:rsid w:val="033C50A8"/>
    <w:rsid w:val="033D1150"/>
    <w:rsid w:val="034026E5"/>
    <w:rsid w:val="03575C81"/>
    <w:rsid w:val="038D0C62"/>
    <w:rsid w:val="039013C8"/>
    <w:rsid w:val="0393170C"/>
    <w:rsid w:val="039B7597"/>
    <w:rsid w:val="03A67D02"/>
    <w:rsid w:val="03A94B87"/>
    <w:rsid w:val="03B22EB7"/>
    <w:rsid w:val="03BD3FBB"/>
    <w:rsid w:val="03C275FD"/>
    <w:rsid w:val="03DF6CE7"/>
    <w:rsid w:val="03E73841"/>
    <w:rsid w:val="03F2045E"/>
    <w:rsid w:val="04043A92"/>
    <w:rsid w:val="040E28DA"/>
    <w:rsid w:val="042E5F12"/>
    <w:rsid w:val="04414147"/>
    <w:rsid w:val="04544D48"/>
    <w:rsid w:val="045C17AE"/>
    <w:rsid w:val="045C445A"/>
    <w:rsid w:val="04610B65"/>
    <w:rsid w:val="046973F8"/>
    <w:rsid w:val="046A6100"/>
    <w:rsid w:val="047A4E2C"/>
    <w:rsid w:val="047F0CCF"/>
    <w:rsid w:val="04804A18"/>
    <w:rsid w:val="048A3E35"/>
    <w:rsid w:val="048F308B"/>
    <w:rsid w:val="04A23FD7"/>
    <w:rsid w:val="04BA0BFA"/>
    <w:rsid w:val="04BD3E7A"/>
    <w:rsid w:val="04D2439B"/>
    <w:rsid w:val="04F01FD6"/>
    <w:rsid w:val="04F27A9E"/>
    <w:rsid w:val="04FC79A6"/>
    <w:rsid w:val="05166B80"/>
    <w:rsid w:val="051F7696"/>
    <w:rsid w:val="05214BE3"/>
    <w:rsid w:val="05277F57"/>
    <w:rsid w:val="05294725"/>
    <w:rsid w:val="052D5C3F"/>
    <w:rsid w:val="052E17C2"/>
    <w:rsid w:val="053705D0"/>
    <w:rsid w:val="053B02BE"/>
    <w:rsid w:val="053C2C12"/>
    <w:rsid w:val="054774DE"/>
    <w:rsid w:val="054E40A6"/>
    <w:rsid w:val="055305AF"/>
    <w:rsid w:val="0563090D"/>
    <w:rsid w:val="057F19D7"/>
    <w:rsid w:val="058A6352"/>
    <w:rsid w:val="058B1526"/>
    <w:rsid w:val="058C3099"/>
    <w:rsid w:val="05982421"/>
    <w:rsid w:val="05A43FC1"/>
    <w:rsid w:val="05A70A57"/>
    <w:rsid w:val="05A926F4"/>
    <w:rsid w:val="05B97BC2"/>
    <w:rsid w:val="05C113E5"/>
    <w:rsid w:val="05C4038A"/>
    <w:rsid w:val="05CA6D53"/>
    <w:rsid w:val="05D461FC"/>
    <w:rsid w:val="05DB767F"/>
    <w:rsid w:val="05E76245"/>
    <w:rsid w:val="060604C4"/>
    <w:rsid w:val="060A3786"/>
    <w:rsid w:val="0613097A"/>
    <w:rsid w:val="06130987"/>
    <w:rsid w:val="06145CAD"/>
    <w:rsid w:val="062875A5"/>
    <w:rsid w:val="062F39A0"/>
    <w:rsid w:val="06314567"/>
    <w:rsid w:val="06376A66"/>
    <w:rsid w:val="064A3462"/>
    <w:rsid w:val="064D1529"/>
    <w:rsid w:val="06532354"/>
    <w:rsid w:val="06544A2C"/>
    <w:rsid w:val="0658123F"/>
    <w:rsid w:val="06585BA8"/>
    <w:rsid w:val="067130A6"/>
    <w:rsid w:val="067458B3"/>
    <w:rsid w:val="06755AB4"/>
    <w:rsid w:val="068764EA"/>
    <w:rsid w:val="0690672C"/>
    <w:rsid w:val="069C2D9B"/>
    <w:rsid w:val="069C7CC4"/>
    <w:rsid w:val="06C55F02"/>
    <w:rsid w:val="06C93A48"/>
    <w:rsid w:val="06CF0D0F"/>
    <w:rsid w:val="06D01413"/>
    <w:rsid w:val="06D856EF"/>
    <w:rsid w:val="06DB1AE5"/>
    <w:rsid w:val="06DC0CF1"/>
    <w:rsid w:val="06EE3593"/>
    <w:rsid w:val="06F75767"/>
    <w:rsid w:val="070E7C1B"/>
    <w:rsid w:val="07154455"/>
    <w:rsid w:val="07170E5F"/>
    <w:rsid w:val="07174743"/>
    <w:rsid w:val="071A4767"/>
    <w:rsid w:val="072808FF"/>
    <w:rsid w:val="07373DFF"/>
    <w:rsid w:val="073E3ABC"/>
    <w:rsid w:val="074309F6"/>
    <w:rsid w:val="07462A2D"/>
    <w:rsid w:val="0753269A"/>
    <w:rsid w:val="07623838"/>
    <w:rsid w:val="076C50B1"/>
    <w:rsid w:val="077964BA"/>
    <w:rsid w:val="078D6040"/>
    <w:rsid w:val="078F66AA"/>
    <w:rsid w:val="07923DF0"/>
    <w:rsid w:val="07933D9B"/>
    <w:rsid w:val="079C3D54"/>
    <w:rsid w:val="07A5298E"/>
    <w:rsid w:val="07A6274A"/>
    <w:rsid w:val="07A94AB0"/>
    <w:rsid w:val="07B76CEE"/>
    <w:rsid w:val="07BB058C"/>
    <w:rsid w:val="07C050E5"/>
    <w:rsid w:val="07CD00CA"/>
    <w:rsid w:val="07D23255"/>
    <w:rsid w:val="07D7113E"/>
    <w:rsid w:val="07E42864"/>
    <w:rsid w:val="07E86EA8"/>
    <w:rsid w:val="07EC2E3C"/>
    <w:rsid w:val="07F16D5B"/>
    <w:rsid w:val="07FC5051"/>
    <w:rsid w:val="07FE29FE"/>
    <w:rsid w:val="07FE66CB"/>
    <w:rsid w:val="080241E5"/>
    <w:rsid w:val="0816211E"/>
    <w:rsid w:val="08175C8B"/>
    <w:rsid w:val="0834732B"/>
    <w:rsid w:val="08440990"/>
    <w:rsid w:val="086E53E2"/>
    <w:rsid w:val="08777D85"/>
    <w:rsid w:val="0891156D"/>
    <w:rsid w:val="08A824D1"/>
    <w:rsid w:val="08B10300"/>
    <w:rsid w:val="08C65D05"/>
    <w:rsid w:val="08D213A3"/>
    <w:rsid w:val="08D7738C"/>
    <w:rsid w:val="08E27EEB"/>
    <w:rsid w:val="08E6156B"/>
    <w:rsid w:val="08E6198D"/>
    <w:rsid w:val="08EF4884"/>
    <w:rsid w:val="08FD12A2"/>
    <w:rsid w:val="09054827"/>
    <w:rsid w:val="09062317"/>
    <w:rsid w:val="09091EF7"/>
    <w:rsid w:val="090F621D"/>
    <w:rsid w:val="09156E07"/>
    <w:rsid w:val="09170325"/>
    <w:rsid w:val="0931714F"/>
    <w:rsid w:val="09322109"/>
    <w:rsid w:val="093F042E"/>
    <w:rsid w:val="09436A8B"/>
    <w:rsid w:val="094445B2"/>
    <w:rsid w:val="09515F97"/>
    <w:rsid w:val="09595545"/>
    <w:rsid w:val="09654E76"/>
    <w:rsid w:val="0966277A"/>
    <w:rsid w:val="09663085"/>
    <w:rsid w:val="09712C83"/>
    <w:rsid w:val="09795E3E"/>
    <w:rsid w:val="0983157E"/>
    <w:rsid w:val="0994433E"/>
    <w:rsid w:val="09A40700"/>
    <w:rsid w:val="09B53C4F"/>
    <w:rsid w:val="09B96992"/>
    <w:rsid w:val="09BA4874"/>
    <w:rsid w:val="09C86414"/>
    <w:rsid w:val="09DA542D"/>
    <w:rsid w:val="09E8112E"/>
    <w:rsid w:val="09EA2369"/>
    <w:rsid w:val="09F763E8"/>
    <w:rsid w:val="09FB2F7F"/>
    <w:rsid w:val="09FF76E0"/>
    <w:rsid w:val="0A2E5E6C"/>
    <w:rsid w:val="0A3A32C6"/>
    <w:rsid w:val="0A4F62A5"/>
    <w:rsid w:val="0A550F4A"/>
    <w:rsid w:val="0A570314"/>
    <w:rsid w:val="0A591925"/>
    <w:rsid w:val="0A6A50EC"/>
    <w:rsid w:val="0A6B0409"/>
    <w:rsid w:val="0A7060E2"/>
    <w:rsid w:val="0A7217BF"/>
    <w:rsid w:val="0A7B1858"/>
    <w:rsid w:val="0A7E1F0A"/>
    <w:rsid w:val="0A837FB5"/>
    <w:rsid w:val="0AB03FA0"/>
    <w:rsid w:val="0AB30BE2"/>
    <w:rsid w:val="0AB7062C"/>
    <w:rsid w:val="0AC10A4A"/>
    <w:rsid w:val="0ACE38C0"/>
    <w:rsid w:val="0AD100C7"/>
    <w:rsid w:val="0AD41818"/>
    <w:rsid w:val="0ADA5D14"/>
    <w:rsid w:val="0ADB29ED"/>
    <w:rsid w:val="0ADD6A6C"/>
    <w:rsid w:val="0AFE4B89"/>
    <w:rsid w:val="0B044EC3"/>
    <w:rsid w:val="0B047F84"/>
    <w:rsid w:val="0B06488E"/>
    <w:rsid w:val="0B09160F"/>
    <w:rsid w:val="0B0D506F"/>
    <w:rsid w:val="0B1821D6"/>
    <w:rsid w:val="0B1F7DC5"/>
    <w:rsid w:val="0B217EBC"/>
    <w:rsid w:val="0B275F39"/>
    <w:rsid w:val="0B2B77D7"/>
    <w:rsid w:val="0B3664E0"/>
    <w:rsid w:val="0B4157D1"/>
    <w:rsid w:val="0B4334B7"/>
    <w:rsid w:val="0B4B60CB"/>
    <w:rsid w:val="0B504412"/>
    <w:rsid w:val="0B552AA6"/>
    <w:rsid w:val="0B5759A2"/>
    <w:rsid w:val="0B5C10F6"/>
    <w:rsid w:val="0B5F31EF"/>
    <w:rsid w:val="0B5F4AC9"/>
    <w:rsid w:val="0B624A7C"/>
    <w:rsid w:val="0B7550BB"/>
    <w:rsid w:val="0B7F2C98"/>
    <w:rsid w:val="0B8135B7"/>
    <w:rsid w:val="0B8C37DC"/>
    <w:rsid w:val="0B8C446A"/>
    <w:rsid w:val="0B9464D7"/>
    <w:rsid w:val="0B96112E"/>
    <w:rsid w:val="0B9A48B7"/>
    <w:rsid w:val="0BA1575D"/>
    <w:rsid w:val="0BA65441"/>
    <w:rsid w:val="0BA76855"/>
    <w:rsid w:val="0BC55B0E"/>
    <w:rsid w:val="0BCC577D"/>
    <w:rsid w:val="0BD06FDC"/>
    <w:rsid w:val="0BD7556B"/>
    <w:rsid w:val="0BDE60B6"/>
    <w:rsid w:val="0BE30662"/>
    <w:rsid w:val="0BE3679E"/>
    <w:rsid w:val="0BF05BB9"/>
    <w:rsid w:val="0C124871"/>
    <w:rsid w:val="0C18124E"/>
    <w:rsid w:val="0C1C5A68"/>
    <w:rsid w:val="0C2255DA"/>
    <w:rsid w:val="0C231730"/>
    <w:rsid w:val="0C2E5321"/>
    <w:rsid w:val="0C3A60D6"/>
    <w:rsid w:val="0C3C30B5"/>
    <w:rsid w:val="0C3E41A3"/>
    <w:rsid w:val="0C447872"/>
    <w:rsid w:val="0C484691"/>
    <w:rsid w:val="0C504E45"/>
    <w:rsid w:val="0C5415EB"/>
    <w:rsid w:val="0C70753D"/>
    <w:rsid w:val="0C863E1C"/>
    <w:rsid w:val="0C9C7750"/>
    <w:rsid w:val="0CAE7683"/>
    <w:rsid w:val="0CB02378"/>
    <w:rsid w:val="0CB25F9E"/>
    <w:rsid w:val="0CB40468"/>
    <w:rsid w:val="0CB611B0"/>
    <w:rsid w:val="0CBB1EB4"/>
    <w:rsid w:val="0CBD19F1"/>
    <w:rsid w:val="0CC318AF"/>
    <w:rsid w:val="0CCD628A"/>
    <w:rsid w:val="0CCD6C7C"/>
    <w:rsid w:val="0CE4048B"/>
    <w:rsid w:val="0CE4563F"/>
    <w:rsid w:val="0CE826C4"/>
    <w:rsid w:val="0CF07409"/>
    <w:rsid w:val="0CF775BB"/>
    <w:rsid w:val="0CFC6CF7"/>
    <w:rsid w:val="0CFD1647"/>
    <w:rsid w:val="0CFF3C90"/>
    <w:rsid w:val="0D163129"/>
    <w:rsid w:val="0D19681F"/>
    <w:rsid w:val="0D233E62"/>
    <w:rsid w:val="0D295C14"/>
    <w:rsid w:val="0D3A3377"/>
    <w:rsid w:val="0D410D7D"/>
    <w:rsid w:val="0D4F70B2"/>
    <w:rsid w:val="0D517B0E"/>
    <w:rsid w:val="0D5A7B9C"/>
    <w:rsid w:val="0D5F5E5E"/>
    <w:rsid w:val="0D635706"/>
    <w:rsid w:val="0D6735A5"/>
    <w:rsid w:val="0D686C0F"/>
    <w:rsid w:val="0D793DCB"/>
    <w:rsid w:val="0D7A67F4"/>
    <w:rsid w:val="0D7C082F"/>
    <w:rsid w:val="0D801B99"/>
    <w:rsid w:val="0D835F71"/>
    <w:rsid w:val="0D8D7D54"/>
    <w:rsid w:val="0D9C13D8"/>
    <w:rsid w:val="0DAE0D59"/>
    <w:rsid w:val="0DB12BE4"/>
    <w:rsid w:val="0DC3019B"/>
    <w:rsid w:val="0DC31B55"/>
    <w:rsid w:val="0DC444A6"/>
    <w:rsid w:val="0DCE3F26"/>
    <w:rsid w:val="0DEC3EA9"/>
    <w:rsid w:val="0DF10D7B"/>
    <w:rsid w:val="0DF25FC5"/>
    <w:rsid w:val="0DFA433B"/>
    <w:rsid w:val="0E0B4025"/>
    <w:rsid w:val="0E122ED0"/>
    <w:rsid w:val="0E1356E5"/>
    <w:rsid w:val="0E186434"/>
    <w:rsid w:val="0E1B1D1D"/>
    <w:rsid w:val="0E1C4DF8"/>
    <w:rsid w:val="0E1E7E9E"/>
    <w:rsid w:val="0E211365"/>
    <w:rsid w:val="0E250E55"/>
    <w:rsid w:val="0E263E55"/>
    <w:rsid w:val="0E264752"/>
    <w:rsid w:val="0E295109"/>
    <w:rsid w:val="0E457387"/>
    <w:rsid w:val="0E4647FB"/>
    <w:rsid w:val="0E4906AC"/>
    <w:rsid w:val="0E591116"/>
    <w:rsid w:val="0E5B38A4"/>
    <w:rsid w:val="0E6059EA"/>
    <w:rsid w:val="0E6648CA"/>
    <w:rsid w:val="0E890C0E"/>
    <w:rsid w:val="0E944B22"/>
    <w:rsid w:val="0EAE3928"/>
    <w:rsid w:val="0EBE68BC"/>
    <w:rsid w:val="0EC07A7C"/>
    <w:rsid w:val="0EC6467B"/>
    <w:rsid w:val="0ECA29A1"/>
    <w:rsid w:val="0ECA7307"/>
    <w:rsid w:val="0ED213A2"/>
    <w:rsid w:val="0EE36AD1"/>
    <w:rsid w:val="0EE5692C"/>
    <w:rsid w:val="0EF23B39"/>
    <w:rsid w:val="0EF436CA"/>
    <w:rsid w:val="0F003731"/>
    <w:rsid w:val="0F0A004B"/>
    <w:rsid w:val="0F0F11E9"/>
    <w:rsid w:val="0F143510"/>
    <w:rsid w:val="0F175737"/>
    <w:rsid w:val="0F20182E"/>
    <w:rsid w:val="0F220902"/>
    <w:rsid w:val="0F241969"/>
    <w:rsid w:val="0F274D51"/>
    <w:rsid w:val="0F3779FA"/>
    <w:rsid w:val="0F64606C"/>
    <w:rsid w:val="0F6B241C"/>
    <w:rsid w:val="0F6C7C5D"/>
    <w:rsid w:val="0F736E99"/>
    <w:rsid w:val="0F7B1A6E"/>
    <w:rsid w:val="0F84395A"/>
    <w:rsid w:val="0F895644"/>
    <w:rsid w:val="0F907C65"/>
    <w:rsid w:val="0F9648F7"/>
    <w:rsid w:val="0F980B43"/>
    <w:rsid w:val="0FC1695C"/>
    <w:rsid w:val="0FC74096"/>
    <w:rsid w:val="0FDA1BA1"/>
    <w:rsid w:val="0FDF0019"/>
    <w:rsid w:val="0FDF4E4F"/>
    <w:rsid w:val="0FE25917"/>
    <w:rsid w:val="0FE871AD"/>
    <w:rsid w:val="0FF022A4"/>
    <w:rsid w:val="0FF44A17"/>
    <w:rsid w:val="0FFB2505"/>
    <w:rsid w:val="101912C4"/>
    <w:rsid w:val="10551F9C"/>
    <w:rsid w:val="10595EF3"/>
    <w:rsid w:val="105D3036"/>
    <w:rsid w:val="10650752"/>
    <w:rsid w:val="10737344"/>
    <w:rsid w:val="10826AE4"/>
    <w:rsid w:val="10981430"/>
    <w:rsid w:val="10A10D40"/>
    <w:rsid w:val="10AA01B3"/>
    <w:rsid w:val="10AC0C4F"/>
    <w:rsid w:val="10AD5EF3"/>
    <w:rsid w:val="10AF7E09"/>
    <w:rsid w:val="10BE2B62"/>
    <w:rsid w:val="10BE4C49"/>
    <w:rsid w:val="10C32EAA"/>
    <w:rsid w:val="10C74559"/>
    <w:rsid w:val="10CB1F56"/>
    <w:rsid w:val="10CC1C19"/>
    <w:rsid w:val="10FA27F6"/>
    <w:rsid w:val="10FF7692"/>
    <w:rsid w:val="11064A09"/>
    <w:rsid w:val="11147432"/>
    <w:rsid w:val="111B60A5"/>
    <w:rsid w:val="112847B9"/>
    <w:rsid w:val="1130652A"/>
    <w:rsid w:val="11307256"/>
    <w:rsid w:val="11314F87"/>
    <w:rsid w:val="1144434E"/>
    <w:rsid w:val="114A623F"/>
    <w:rsid w:val="11501208"/>
    <w:rsid w:val="11673CA1"/>
    <w:rsid w:val="116840B2"/>
    <w:rsid w:val="11733C86"/>
    <w:rsid w:val="11763776"/>
    <w:rsid w:val="117F48B3"/>
    <w:rsid w:val="11872375"/>
    <w:rsid w:val="11960117"/>
    <w:rsid w:val="11A2456B"/>
    <w:rsid w:val="11A90D1D"/>
    <w:rsid w:val="11C20769"/>
    <w:rsid w:val="11C664AC"/>
    <w:rsid w:val="11DF1F87"/>
    <w:rsid w:val="11E20E0C"/>
    <w:rsid w:val="11E251E6"/>
    <w:rsid w:val="11E85F34"/>
    <w:rsid w:val="11E93F48"/>
    <w:rsid w:val="11EE7D79"/>
    <w:rsid w:val="11F03419"/>
    <w:rsid w:val="11F168E1"/>
    <w:rsid w:val="12033ACC"/>
    <w:rsid w:val="12037559"/>
    <w:rsid w:val="120D4C94"/>
    <w:rsid w:val="120F256F"/>
    <w:rsid w:val="1219607C"/>
    <w:rsid w:val="12197DC4"/>
    <w:rsid w:val="12213C06"/>
    <w:rsid w:val="122D7F5B"/>
    <w:rsid w:val="122E36B1"/>
    <w:rsid w:val="122E5DFF"/>
    <w:rsid w:val="12301C05"/>
    <w:rsid w:val="12302E92"/>
    <w:rsid w:val="12372984"/>
    <w:rsid w:val="12377BA4"/>
    <w:rsid w:val="123B5204"/>
    <w:rsid w:val="123C1019"/>
    <w:rsid w:val="123C3FD6"/>
    <w:rsid w:val="123C49C0"/>
    <w:rsid w:val="123E315A"/>
    <w:rsid w:val="1268012C"/>
    <w:rsid w:val="126E51E3"/>
    <w:rsid w:val="126F15CC"/>
    <w:rsid w:val="12855762"/>
    <w:rsid w:val="12884DC0"/>
    <w:rsid w:val="128961E4"/>
    <w:rsid w:val="1294765F"/>
    <w:rsid w:val="12AA5FAC"/>
    <w:rsid w:val="12AC0395"/>
    <w:rsid w:val="12B00A8F"/>
    <w:rsid w:val="12BA5CEB"/>
    <w:rsid w:val="12C25DEB"/>
    <w:rsid w:val="12C5389D"/>
    <w:rsid w:val="12D33DA2"/>
    <w:rsid w:val="12D86717"/>
    <w:rsid w:val="12DE76E4"/>
    <w:rsid w:val="12E1350D"/>
    <w:rsid w:val="12E61ED2"/>
    <w:rsid w:val="12E75CD4"/>
    <w:rsid w:val="12F6691D"/>
    <w:rsid w:val="130466E3"/>
    <w:rsid w:val="1305653B"/>
    <w:rsid w:val="13081372"/>
    <w:rsid w:val="130C25E4"/>
    <w:rsid w:val="130C7C99"/>
    <w:rsid w:val="131944BB"/>
    <w:rsid w:val="13251D5B"/>
    <w:rsid w:val="13271EFB"/>
    <w:rsid w:val="13285944"/>
    <w:rsid w:val="135328B0"/>
    <w:rsid w:val="13552D53"/>
    <w:rsid w:val="135630D0"/>
    <w:rsid w:val="135B509C"/>
    <w:rsid w:val="136118FD"/>
    <w:rsid w:val="13613CD6"/>
    <w:rsid w:val="136213F4"/>
    <w:rsid w:val="13761EC9"/>
    <w:rsid w:val="137A198D"/>
    <w:rsid w:val="137A6DD7"/>
    <w:rsid w:val="137B65DC"/>
    <w:rsid w:val="138B33AC"/>
    <w:rsid w:val="13AF4D1D"/>
    <w:rsid w:val="13B81909"/>
    <w:rsid w:val="13BB0A85"/>
    <w:rsid w:val="13C53F3B"/>
    <w:rsid w:val="13DC48A9"/>
    <w:rsid w:val="13F63607"/>
    <w:rsid w:val="13FB360E"/>
    <w:rsid w:val="13FD20A3"/>
    <w:rsid w:val="13FE1181"/>
    <w:rsid w:val="141302B5"/>
    <w:rsid w:val="14424B80"/>
    <w:rsid w:val="14476276"/>
    <w:rsid w:val="144B7892"/>
    <w:rsid w:val="14504752"/>
    <w:rsid w:val="14505BE5"/>
    <w:rsid w:val="148D70B9"/>
    <w:rsid w:val="14B36F10"/>
    <w:rsid w:val="14D50BA2"/>
    <w:rsid w:val="14D5589A"/>
    <w:rsid w:val="14DF5214"/>
    <w:rsid w:val="14E92BF5"/>
    <w:rsid w:val="14F34155"/>
    <w:rsid w:val="14F74BCE"/>
    <w:rsid w:val="15033573"/>
    <w:rsid w:val="15083E06"/>
    <w:rsid w:val="150B241D"/>
    <w:rsid w:val="150D731E"/>
    <w:rsid w:val="1511232A"/>
    <w:rsid w:val="1518067C"/>
    <w:rsid w:val="151B305E"/>
    <w:rsid w:val="15224FB3"/>
    <w:rsid w:val="152A18A5"/>
    <w:rsid w:val="152F1178"/>
    <w:rsid w:val="15391A36"/>
    <w:rsid w:val="153D4784"/>
    <w:rsid w:val="154402CB"/>
    <w:rsid w:val="1544701D"/>
    <w:rsid w:val="15512530"/>
    <w:rsid w:val="155473C7"/>
    <w:rsid w:val="15567B46"/>
    <w:rsid w:val="1557566D"/>
    <w:rsid w:val="155D1E3A"/>
    <w:rsid w:val="156F1BBC"/>
    <w:rsid w:val="15774F52"/>
    <w:rsid w:val="158F0ADB"/>
    <w:rsid w:val="15B34F99"/>
    <w:rsid w:val="15BA0DB8"/>
    <w:rsid w:val="15D06B22"/>
    <w:rsid w:val="15E07297"/>
    <w:rsid w:val="15E45994"/>
    <w:rsid w:val="15F1786F"/>
    <w:rsid w:val="16075686"/>
    <w:rsid w:val="160D6EE5"/>
    <w:rsid w:val="16162A15"/>
    <w:rsid w:val="16231DB9"/>
    <w:rsid w:val="163440E3"/>
    <w:rsid w:val="16502059"/>
    <w:rsid w:val="165D20B6"/>
    <w:rsid w:val="16640551"/>
    <w:rsid w:val="16663DB9"/>
    <w:rsid w:val="16783AEC"/>
    <w:rsid w:val="167C2E2D"/>
    <w:rsid w:val="167C309E"/>
    <w:rsid w:val="16826B5E"/>
    <w:rsid w:val="168406E3"/>
    <w:rsid w:val="168B028A"/>
    <w:rsid w:val="169A3A63"/>
    <w:rsid w:val="169C1389"/>
    <w:rsid w:val="16C9382E"/>
    <w:rsid w:val="16D34CF3"/>
    <w:rsid w:val="16D6022D"/>
    <w:rsid w:val="17170BE2"/>
    <w:rsid w:val="172229E2"/>
    <w:rsid w:val="1728752D"/>
    <w:rsid w:val="173D7C14"/>
    <w:rsid w:val="173E1963"/>
    <w:rsid w:val="173F5C6C"/>
    <w:rsid w:val="17405867"/>
    <w:rsid w:val="17444F4D"/>
    <w:rsid w:val="174F6E9E"/>
    <w:rsid w:val="17593F9F"/>
    <w:rsid w:val="176F48DC"/>
    <w:rsid w:val="17793FC0"/>
    <w:rsid w:val="177A3932"/>
    <w:rsid w:val="177D2D6F"/>
    <w:rsid w:val="1784245A"/>
    <w:rsid w:val="17852434"/>
    <w:rsid w:val="178D75A4"/>
    <w:rsid w:val="179536A2"/>
    <w:rsid w:val="17A27710"/>
    <w:rsid w:val="17AC085D"/>
    <w:rsid w:val="17B60321"/>
    <w:rsid w:val="17B65954"/>
    <w:rsid w:val="17C538BA"/>
    <w:rsid w:val="17CE6912"/>
    <w:rsid w:val="17D31FDD"/>
    <w:rsid w:val="17DA6E34"/>
    <w:rsid w:val="17E21F84"/>
    <w:rsid w:val="17E514A0"/>
    <w:rsid w:val="17E75E45"/>
    <w:rsid w:val="18006DBD"/>
    <w:rsid w:val="18041312"/>
    <w:rsid w:val="1814464E"/>
    <w:rsid w:val="18161287"/>
    <w:rsid w:val="1836252C"/>
    <w:rsid w:val="18392A5D"/>
    <w:rsid w:val="183D51FC"/>
    <w:rsid w:val="183D72B8"/>
    <w:rsid w:val="184445D7"/>
    <w:rsid w:val="18446DD1"/>
    <w:rsid w:val="184D2B82"/>
    <w:rsid w:val="185365BF"/>
    <w:rsid w:val="186453D5"/>
    <w:rsid w:val="18784278"/>
    <w:rsid w:val="188C1E56"/>
    <w:rsid w:val="188E3B62"/>
    <w:rsid w:val="18A927B1"/>
    <w:rsid w:val="18C00F75"/>
    <w:rsid w:val="18C16222"/>
    <w:rsid w:val="18DF1FB9"/>
    <w:rsid w:val="18E55DFF"/>
    <w:rsid w:val="18EE2228"/>
    <w:rsid w:val="18F5621D"/>
    <w:rsid w:val="18FA2EDF"/>
    <w:rsid w:val="190B78E8"/>
    <w:rsid w:val="19180D51"/>
    <w:rsid w:val="193078F0"/>
    <w:rsid w:val="19331AD4"/>
    <w:rsid w:val="19623410"/>
    <w:rsid w:val="196271DF"/>
    <w:rsid w:val="19704F4F"/>
    <w:rsid w:val="197131A1"/>
    <w:rsid w:val="19727830"/>
    <w:rsid w:val="1988254D"/>
    <w:rsid w:val="19897A3B"/>
    <w:rsid w:val="198E2F10"/>
    <w:rsid w:val="19906AA9"/>
    <w:rsid w:val="19921369"/>
    <w:rsid w:val="199758C0"/>
    <w:rsid w:val="1998580B"/>
    <w:rsid w:val="19993DF0"/>
    <w:rsid w:val="199C6EAA"/>
    <w:rsid w:val="199F4C59"/>
    <w:rsid w:val="19A4184A"/>
    <w:rsid w:val="19A548E0"/>
    <w:rsid w:val="19AF0A4A"/>
    <w:rsid w:val="19B5650F"/>
    <w:rsid w:val="19B951BF"/>
    <w:rsid w:val="19BC6F5B"/>
    <w:rsid w:val="19BD0194"/>
    <w:rsid w:val="19C21797"/>
    <w:rsid w:val="19C332D1"/>
    <w:rsid w:val="19D11E91"/>
    <w:rsid w:val="19D328C3"/>
    <w:rsid w:val="19DB4769"/>
    <w:rsid w:val="19DB64D3"/>
    <w:rsid w:val="19EE6A59"/>
    <w:rsid w:val="19FC4C3B"/>
    <w:rsid w:val="1A0948B8"/>
    <w:rsid w:val="1A0C4C78"/>
    <w:rsid w:val="1A0D6233"/>
    <w:rsid w:val="1A1D6E85"/>
    <w:rsid w:val="1A214E3D"/>
    <w:rsid w:val="1A2C356C"/>
    <w:rsid w:val="1A382FB6"/>
    <w:rsid w:val="1A681A8A"/>
    <w:rsid w:val="1A6968EA"/>
    <w:rsid w:val="1A727BD8"/>
    <w:rsid w:val="1A78055F"/>
    <w:rsid w:val="1A7F1052"/>
    <w:rsid w:val="1A81133E"/>
    <w:rsid w:val="1A85214E"/>
    <w:rsid w:val="1A852C04"/>
    <w:rsid w:val="1A887741"/>
    <w:rsid w:val="1A8E25C7"/>
    <w:rsid w:val="1A91517D"/>
    <w:rsid w:val="1AA26CD6"/>
    <w:rsid w:val="1AA41FA6"/>
    <w:rsid w:val="1AA7737C"/>
    <w:rsid w:val="1AAF39EA"/>
    <w:rsid w:val="1ABC51E1"/>
    <w:rsid w:val="1ACD3C1E"/>
    <w:rsid w:val="1AD273E5"/>
    <w:rsid w:val="1AE235E2"/>
    <w:rsid w:val="1AEF7001"/>
    <w:rsid w:val="1AF315F0"/>
    <w:rsid w:val="1AFB7651"/>
    <w:rsid w:val="1B046165"/>
    <w:rsid w:val="1B060E4F"/>
    <w:rsid w:val="1B1538D7"/>
    <w:rsid w:val="1B1738D4"/>
    <w:rsid w:val="1B196761"/>
    <w:rsid w:val="1B1C3EC8"/>
    <w:rsid w:val="1B2579B0"/>
    <w:rsid w:val="1B2E5A82"/>
    <w:rsid w:val="1B3100F4"/>
    <w:rsid w:val="1B38034C"/>
    <w:rsid w:val="1B3D44AB"/>
    <w:rsid w:val="1B453BC4"/>
    <w:rsid w:val="1B4A0580"/>
    <w:rsid w:val="1B4A180E"/>
    <w:rsid w:val="1B515A46"/>
    <w:rsid w:val="1B5178D5"/>
    <w:rsid w:val="1B6746EA"/>
    <w:rsid w:val="1B6779D7"/>
    <w:rsid w:val="1B9C7BA1"/>
    <w:rsid w:val="1BC862D0"/>
    <w:rsid w:val="1BD35A12"/>
    <w:rsid w:val="1BD3706B"/>
    <w:rsid w:val="1BEB2B7A"/>
    <w:rsid w:val="1BF6456F"/>
    <w:rsid w:val="1BF85F8C"/>
    <w:rsid w:val="1BF9684D"/>
    <w:rsid w:val="1C0D2F4B"/>
    <w:rsid w:val="1C124DA7"/>
    <w:rsid w:val="1C1F4FC0"/>
    <w:rsid w:val="1C27398D"/>
    <w:rsid w:val="1C3B5755"/>
    <w:rsid w:val="1C3D55EF"/>
    <w:rsid w:val="1C4A424A"/>
    <w:rsid w:val="1C4D17AF"/>
    <w:rsid w:val="1C4E1401"/>
    <w:rsid w:val="1C573500"/>
    <w:rsid w:val="1C590AC0"/>
    <w:rsid w:val="1C6D1D05"/>
    <w:rsid w:val="1C763FBC"/>
    <w:rsid w:val="1C9A2808"/>
    <w:rsid w:val="1C9C4A5D"/>
    <w:rsid w:val="1CAA40AC"/>
    <w:rsid w:val="1CAB696E"/>
    <w:rsid w:val="1CBC5194"/>
    <w:rsid w:val="1CC730D8"/>
    <w:rsid w:val="1CC80EC6"/>
    <w:rsid w:val="1CC82332"/>
    <w:rsid w:val="1CDF48C5"/>
    <w:rsid w:val="1CE46541"/>
    <w:rsid w:val="1CED65A2"/>
    <w:rsid w:val="1D114B3F"/>
    <w:rsid w:val="1D2C114E"/>
    <w:rsid w:val="1D2F3DAE"/>
    <w:rsid w:val="1D5022F9"/>
    <w:rsid w:val="1D5161D7"/>
    <w:rsid w:val="1D686FF4"/>
    <w:rsid w:val="1D740DF9"/>
    <w:rsid w:val="1D866639"/>
    <w:rsid w:val="1DA02A5D"/>
    <w:rsid w:val="1DB9298C"/>
    <w:rsid w:val="1DCD62C0"/>
    <w:rsid w:val="1DD43CFE"/>
    <w:rsid w:val="1DE03786"/>
    <w:rsid w:val="1DE85DCF"/>
    <w:rsid w:val="1DED69DA"/>
    <w:rsid w:val="1DF728A0"/>
    <w:rsid w:val="1E080265"/>
    <w:rsid w:val="1E1D7B86"/>
    <w:rsid w:val="1E32101C"/>
    <w:rsid w:val="1E334EC9"/>
    <w:rsid w:val="1E382337"/>
    <w:rsid w:val="1E3B47AD"/>
    <w:rsid w:val="1E445AC2"/>
    <w:rsid w:val="1E4D4C68"/>
    <w:rsid w:val="1E504A4D"/>
    <w:rsid w:val="1E58492F"/>
    <w:rsid w:val="1E595FEE"/>
    <w:rsid w:val="1E5A5AC9"/>
    <w:rsid w:val="1E5C59CE"/>
    <w:rsid w:val="1E5C6585"/>
    <w:rsid w:val="1E5C7B34"/>
    <w:rsid w:val="1E5E3718"/>
    <w:rsid w:val="1E65485B"/>
    <w:rsid w:val="1E6D4864"/>
    <w:rsid w:val="1E764F65"/>
    <w:rsid w:val="1E7C078B"/>
    <w:rsid w:val="1E862C8B"/>
    <w:rsid w:val="1E8C282B"/>
    <w:rsid w:val="1E8E62AF"/>
    <w:rsid w:val="1E8F138C"/>
    <w:rsid w:val="1E9E3902"/>
    <w:rsid w:val="1E9F1F32"/>
    <w:rsid w:val="1EB26B1A"/>
    <w:rsid w:val="1EB466FB"/>
    <w:rsid w:val="1EC51899"/>
    <w:rsid w:val="1ED538A4"/>
    <w:rsid w:val="1ED832CE"/>
    <w:rsid w:val="1EE77BF5"/>
    <w:rsid w:val="1EEB610E"/>
    <w:rsid w:val="1F070103"/>
    <w:rsid w:val="1F1305E3"/>
    <w:rsid w:val="1F226D9A"/>
    <w:rsid w:val="1F26058A"/>
    <w:rsid w:val="1F2C51DE"/>
    <w:rsid w:val="1F3160BC"/>
    <w:rsid w:val="1F3B1435"/>
    <w:rsid w:val="1F4A7D90"/>
    <w:rsid w:val="1F5573EF"/>
    <w:rsid w:val="1F5D12D4"/>
    <w:rsid w:val="1F5D48FD"/>
    <w:rsid w:val="1F5E211C"/>
    <w:rsid w:val="1F616B40"/>
    <w:rsid w:val="1F7929AE"/>
    <w:rsid w:val="1F7F44B2"/>
    <w:rsid w:val="1F833C2E"/>
    <w:rsid w:val="1F851517"/>
    <w:rsid w:val="1F926F6E"/>
    <w:rsid w:val="1F995CAF"/>
    <w:rsid w:val="1F9E569C"/>
    <w:rsid w:val="1FB14253"/>
    <w:rsid w:val="1FD323F2"/>
    <w:rsid w:val="1FD72015"/>
    <w:rsid w:val="1FD763CD"/>
    <w:rsid w:val="1FE57399"/>
    <w:rsid w:val="1FEC0E40"/>
    <w:rsid w:val="1FF57B35"/>
    <w:rsid w:val="20060407"/>
    <w:rsid w:val="200C041C"/>
    <w:rsid w:val="200D1524"/>
    <w:rsid w:val="20111071"/>
    <w:rsid w:val="201D15F2"/>
    <w:rsid w:val="202637A2"/>
    <w:rsid w:val="20346CE8"/>
    <w:rsid w:val="203B0683"/>
    <w:rsid w:val="204D20E6"/>
    <w:rsid w:val="20631F7A"/>
    <w:rsid w:val="20640426"/>
    <w:rsid w:val="20643A76"/>
    <w:rsid w:val="20726306"/>
    <w:rsid w:val="20736E44"/>
    <w:rsid w:val="20996EE0"/>
    <w:rsid w:val="20AF226E"/>
    <w:rsid w:val="20C21652"/>
    <w:rsid w:val="20CA0CB6"/>
    <w:rsid w:val="20D14264"/>
    <w:rsid w:val="20D344C2"/>
    <w:rsid w:val="20DD3991"/>
    <w:rsid w:val="20E66024"/>
    <w:rsid w:val="20E71289"/>
    <w:rsid w:val="20EA5FF8"/>
    <w:rsid w:val="20ED539E"/>
    <w:rsid w:val="20EE4442"/>
    <w:rsid w:val="20F87E82"/>
    <w:rsid w:val="20F905FC"/>
    <w:rsid w:val="20FE3481"/>
    <w:rsid w:val="20FF5258"/>
    <w:rsid w:val="21020B82"/>
    <w:rsid w:val="21085D1D"/>
    <w:rsid w:val="2125221D"/>
    <w:rsid w:val="212C3EE5"/>
    <w:rsid w:val="21325389"/>
    <w:rsid w:val="21377850"/>
    <w:rsid w:val="213E7B50"/>
    <w:rsid w:val="213F5933"/>
    <w:rsid w:val="21402373"/>
    <w:rsid w:val="21455D81"/>
    <w:rsid w:val="214B392B"/>
    <w:rsid w:val="21545DD6"/>
    <w:rsid w:val="21643C48"/>
    <w:rsid w:val="21666F2B"/>
    <w:rsid w:val="216B6A56"/>
    <w:rsid w:val="217B46FD"/>
    <w:rsid w:val="21871572"/>
    <w:rsid w:val="218B09AA"/>
    <w:rsid w:val="218B4000"/>
    <w:rsid w:val="218E2416"/>
    <w:rsid w:val="219C0FD7"/>
    <w:rsid w:val="219C250D"/>
    <w:rsid w:val="219D08AB"/>
    <w:rsid w:val="21A12149"/>
    <w:rsid w:val="21A51A6E"/>
    <w:rsid w:val="21B531FF"/>
    <w:rsid w:val="21BE744E"/>
    <w:rsid w:val="21C30312"/>
    <w:rsid w:val="21C4012E"/>
    <w:rsid w:val="21C4408A"/>
    <w:rsid w:val="21C64FF2"/>
    <w:rsid w:val="21C978F2"/>
    <w:rsid w:val="21CC7646"/>
    <w:rsid w:val="21CF2CC2"/>
    <w:rsid w:val="21D127E1"/>
    <w:rsid w:val="21E464EC"/>
    <w:rsid w:val="21E47736"/>
    <w:rsid w:val="21EB6E03"/>
    <w:rsid w:val="21FF472B"/>
    <w:rsid w:val="220A14CC"/>
    <w:rsid w:val="220A315F"/>
    <w:rsid w:val="222A786D"/>
    <w:rsid w:val="223034CD"/>
    <w:rsid w:val="22335E0B"/>
    <w:rsid w:val="22406037"/>
    <w:rsid w:val="2247520E"/>
    <w:rsid w:val="2248677C"/>
    <w:rsid w:val="224E4BE0"/>
    <w:rsid w:val="224E672F"/>
    <w:rsid w:val="22503182"/>
    <w:rsid w:val="225320DB"/>
    <w:rsid w:val="22586EF6"/>
    <w:rsid w:val="225E5F98"/>
    <w:rsid w:val="22641DA1"/>
    <w:rsid w:val="22645EEA"/>
    <w:rsid w:val="226E0803"/>
    <w:rsid w:val="226E7118"/>
    <w:rsid w:val="22703190"/>
    <w:rsid w:val="2273603F"/>
    <w:rsid w:val="2278374B"/>
    <w:rsid w:val="22785E7A"/>
    <w:rsid w:val="22786FC7"/>
    <w:rsid w:val="228B1F05"/>
    <w:rsid w:val="228E0305"/>
    <w:rsid w:val="229E3E70"/>
    <w:rsid w:val="22AA315D"/>
    <w:rsid w:val="22BF2B7E"/>
    <w:rsid w:val="22CB7FD3"/>
    <w:rsid w:val="22D168C4"/>
    <w:rsid w:val="22DC2986"/>
    <w:rsid w:val="22E5304C"/>
    <w:rsid w:val="22E60307"/>
    <w:rsid w:val="22EB3FC4"/>
    <w:rsid w:val="230517B2"/>
    <w:rsid w:val="230902DB"/>
    <w:rsid w:val="230B6414"/>
    <w:rsid w:val="230E2AF0"/>
    <w:rsid w:val="230F2D48"/>
    <w:rsid w:val="23155F57"/>
    <w:rsid w:val="231A1A29"/>
    <w:rsid w:val="23226F19"/>
    <w:rsid w:val="233073D3"/>
    <w:rsid w:val="233A0E5B"/>
    <w:rsid w:val="234922CB"/>
    <w:rsid w:val="235B73EA"/>
    <w:rsid w:val="236B37E5"/>
    <w:rsid w:val="23771D12"/>
    <w:rsid w:val="237C0037"/>
    <w:rsid w:val="237F7745"/>
    <w:rsid w:val="23847F75"/>
    <w:rsid w:val="23852EBB"/>
    <w:rsid w:val="239900B4"/>
    <w:rsid w:val="23AF792B"/>
    <w:rsid w:val="23B157E1"/>
    <w:rsid w:val="23B15C46"/>
    <w:rsid w:val="23B76C1D"/>
    <w:rsid w:val="23BB5D13"/>
    <w:rsid w:val="23CD32C1"/>
    <w:rsid w:val="23D43166"/>
    <w:rsid w:val="23D47E2F"/>
    <w:rsid w:val="23DC5C1E"/>
    <w:rsid w:val="23E513F9"/>
    <w:rsid w:val="23E94B31"/>
    <w:rsid w:val="23F16FD2"/>
    <w:rsid w:val="23F359C2"/>
    <w:rsid w:val="23FC67E0"/>
    <w:rsid w:val="23FD34AD"/>
    <w:rsid w:val="24036C8A"/>
    <w:rsid w:val="240544AB"/>
    <w:rsid w:val="24091EDE"/>
    <w:rsid w:val="240B787C"/>
    <w:rsid w:val="240D378A"/>
    <w:rsid w:val="240D4CE6"/>
    <w:rsid w:val="24174716"/>
    <w:rsid w:val="241E1A6B"/>
    <w:rsid w:val="241F19FC"/>
    <w:rsid w:val="24222438"/>
    <w:rsid w:val="2425014F"/>
    <w:rsid w:val="242545BC"/>
    <w:rsid w:val="242552B4"/>
    <w:rsid w:val="24293977"/>
    <w:rsid w:val="2438361A"/>
    <w:rsid w:val="243F695D"/>
    <w:rsid w:val="24442DA6"/>
    <w:rsid w:val="245D06AA"/>
    <w:rsid w:val="2461011D"/>
    <w:rsid w:val="24624C75"/>
    <w:rsid w:val="2463234F"/>
    <w:rsid w:val="24663504"/>
    <w:rsid w:val="24756E02"/>
    <w:rsid w:val="2478236F"/>
    <w:rsid w:val="248A5117"/>
    <w:rsid w:val="249239A7"/>
    <w:rsid w:val="249A4E68"/>
    <w:rsid w:val="24A22A47"/>
    <w:rsid w:val="24B8158E"/>
    <w:rsid w:val="24BE0658"/>
    <w:rsid w:val="24C0052A"/>
    <w:rsid w:val="24C30B81"/>
    <w:rsid w:val="24CC79C5"/>
    <w:rsid w:val="24D740D4"/>
    <w:rsid w:val="24DD65C8"/>
    <w:rsid w:val="24E60506"/>
    <w:rsid w:val="24F4213A"/>
    <w:rsid w:val="24FA0BDE"/>
    <w:rsid w:val="24FD0EE4"/>
    <w:rsid w:val="25025572"/>
    <w:rsid w:val="250955C6"/>
    <w:rsid w:val="250B2DD6"/>
    <w:rsid w:val="250B3CE7"/>
    <w:rsid w:val="251C0261"/>
    <w:rsid w:val="251D2B13"/>
    <w:rsid w:val="2529418D"/>
    <w:rsid w:val="25296D38"/>
    <w:rsid w:val="253239AE"/>
    <w:rsid w:val="25381F95"/>
    <w:rsid w:val="254F4B43"/>
    <w:rsid w:val="25553977"/>
    <w:rsid w:val="25673754"/>
    <w:rsid w:val="25766C69"/>
    <w:rsid w:val="257D6B74"/>
    <w:rsid w:val="258133D2"/>
    <w:rsid w:val="25815467"/>
    <w:rsid w:val="25815AFB"/>
    <w:rsid w:val="25912711"/>
    <w:rsid w:val="25B27B44"/>
    <w:rsid w:val="25BC57A4"/>
    <w:rsid w:val="25C40AFC"/>
    <w:rsid w:val="25CC6869"/>
    <w:rsid w:val="25D61421"/>
    <w:rsid w:val="25E76ADE"/>
    <w:rsid w:val="25F45124"/>
    <w:rsid w:val="2612716D"/>
    <w:rsid w:val="261C223D"/>
    <w:rsid w:val="26240170"/>
    <w:rsid w:val="26291DDB"/>
    <w:rsid w:val="26344855"/>
    <w:rsid w:val="26493234"/>
    <w:rsid w:val="26504B57"/>
    <w:rsid w:val="26610F71"/>
    <w:rsid w:val="26687F47"/>
    <w:rsid w:val="266E0E85"/>
    <w:rsid w:val="2674150A"/>
    <w:rsid w:val="267D2385"/>
    <w:rsid w:val="268A077E"/>
    <w:rsid w:val="268B08FA"/>
    <w:rsid w:val="2693701C"/>
    <w:rsid w:val="269404CF"/>
    <w:rsid w:val="26A812D4"/>
    <w:rsid w:val="26AE5E3F"/>
    <w:rsid w:val="26B5276F"/>
    <w:rsid w:val="26BA1C55"/>
    <w:rsid w:val="26BB28BF"/>
    <w:rsid w:val="26C86B64"/>
    <w:rsid w:val="26C906A8"/>
    <w:rsid w:val="26CB2395"/>
    <w:rsid w:val="26CD54FE"/>
    <w:rsid w:val="26D905D7"/>
    <w:rsid w:val="26F6316A"/>
    <w:rsid w:val="26F66E53"/>
    <w:rsid w:val="27022B66"/>
    <w:rsid w:val="27046EBA"/>
    <w:rsid w:val="270C569C"/>
    <w:rsid w:val="27117D71"/>
    <w:rsid w:val="27132CC6"/>
    <w:rsid w:val="271C194A"/>
    <w:rsid w:val="271E2C8E"/>
    <w:rsid w:val="271F410C"/>
    <w:rsid w:val="27251659"/>
    <w:rsid w:val="272D4C99"/>
    <w:rsid w:val="273572EF"/>
    <w:rsid w:val="27403F34"/>
    <w:rsid w:val="274E68CF"/>
    <w:rsid w:val="274F51C3"/>
    <w:rsid w:val="27514612"/>
    <w:rsid w:val="275A23B4"/>
    <w:rsid w:val="277D0F63"/>
    <w:rsid w:val="278A1889"/>
    <w:rsid w:val="279D1605"/>
    <w:rsid w:val="27A50ED0"/>
    <w:rsid w:val="27A87982"/>
    <w:rsid w:val="27B97BA8"/>
    <w:rsid w:val="27D00D4E"/>
    <w:rsid w:val="27DE48A1"/>
    <w:rsid w:val="27F828EF"/>
    <w:rsid w:val="28003842"/>
    <w:rsid w:val="28087EBE"/>
    <w:rsid w:val="280B36FA"/>
    <w:rsid w:val="280F1CC6"/>
    <w:rsid w:val="28133675"/>
    <w:rsid w:val="28304B5A"/>
    <w:rsid w:val="2843500C"/>
    <w:rsid w:val="28441C0E"/>
    <w:rsid w:val="28442BFC"/>
    <w:rsid w:val="285A2DB3"/>
    <w:rsid w:val="28706E3E"/>
    <w:rsid w:val="287246F0"/>
    <w:rsid w:val="28853DC7"/>
    <w:rsid w:val="288B674C"/>
    <w:rsid w:val="288D3A2E"/>
    <w:rsid w:val="288F3D8B"/>
    <w:rsid w:val="28A30E9D"/>
    <w:rsid w:val="28BE3D4C"/>
    <w:rsid w:val="28C01A4F"/>
    <w:rsid w:val="28D47337"/>
    <w:rsid w:val="28DB0AD8"/>
    <w:rsid w:val="28E20B43"/>
    <w:rsid w:val="28F473A5"/>
    <w:rsid w:val="28FB2A87"/>
    <w:rsid w:val="28FC5065"/>
    <w:rsid w:val="290A5ABA"/>
    <w:rsid w:val="290B0F15"/>
    <w:rsid w:val="290B6241"/>
    <w:rsid w:val="290D4559"/>
    <w:rsid w:val="29246E90"/>
    <w:rsid w:val="29267D4E"/>
    <w:rsid w:val="293023E0"/>
    <w:rsid w:val="29304001"/>
    <w:rsid w:val="29356DB1"/>
    <w:rsid w:val="293772D7"/>
    <w:rsid w:val="293D309F"/>
    <w:rsid w:val="294570CB"/>
    <w:rsid w:val="294B1CF9"/>
    <w:rsid w:val="29506789"/>
    <w:rsid w:val="2956366F"/>
    <w:rsid w:val="295757E3"/>
    <w:rsid w:val="2962799E"/>
    <w:rsid w:val="29646924"/>
    <w:rsid w:val="296A5757"/>
    <w:rsid w:val="2971075E"/>
    <w:rsid w:val="298546A7"/>
    <w:rsid w:val="299407E6"/>
    <w:rsid w:val="299D5BC7"/>
    <w:rsid w:val="299D7462"/>
    <w:rsid w:val="29AF561F"/>
    <w:rsid w:val="29B05203"/>
    <w:rsid w:val="29B76D60"/>
    <w:rsid w:val="29D3591D"/>
    <w:rsid w:val="29D60DFE"/>
    <w:rsid w:val="29E66E99"/>
    <w:rsid w:val="29E67FC6"/>
    <w:rsid w:val="29EF535A"/>
    <w:rsid w:val="29FC03DC"/>
    <w:rsid w:val="2A01384E"/>
    <w:rsid w:val="2A0C1EE7"/>
    <w:rsid w:val="2A0D1E04"/>
    <w:rsid w:val="2A134094"/>
    <w:rsid w:val="2A135110"/>
    <w:rsid w:val="2A1E06A6"/>
    <w:rsid w:val="2A2C709C"/>
    <w:rsid w:val="2A3B6B1E"/>
    <w:rsid w:val="2A3D0F00"/>
    <w:rsid w:val="2A4421C9"/>
    <w:rsid w:val="2A604276"/>
    <w:rsid w:val="2A660F6F"/>
    <w:rsid w:val="2A686131"/>
    <w:rsid w:val="2A6D1A33"/>
    <w:rsid w:val="2A70573A"/>
    <w:rsid w:val="2A720B27"/>
    <w:rsid w:val="2A871710"/>
    <w:rsid w:val="2A8A2314"/>
    <w:rsid w:val="2A8D5E68"/>
    <w:rsid w:val="2A9179EC"/>
    <w:rsid w:val="2AA1088F"/>
    <w:rsid w:val="2AA21150"/>
    <w:rsid w:val="2AB33977"/>
    <w:rsid w:val="2AB83158"/>
    <w:rsid w:val="2AB833CE"/>
    <w:rsid w:val="2ABA427C"/>
    <w:rsid w:val="2AC21A47"/>
    <w:rsid w:val="2AC6771E"/>
    <w:rsid w:val="2ADC2444"/>
    <w:rsid w:val="2ADE4657"/>
    <w:rsid w:val="2AEC59FE"/>
    <w:rsid w:val="2AF8679E"/>
    <w:rsid w:val="2B093E06"/>
    <w:rsid w:val="2B1C72E6"/>
    <w:rsid w:val="2B267B9F"/>
    <w:rsid w:val="2B2B0300"/>
    <w:rsid w:val="2B2F07C6"/>
    <w:rsid w:val="2B321BB0"/>
    <w:rsid w:val="2B395EA4"/>
    <w:rsid w:val="2B3D64E5"/>
    <w:rsid w:val="2B4104F9"/>
    <w:rsid w:val="2B586292"/>
    <w:rsid w:val="2B653AC4"/>
    <w:rsid w:val="2B6737E0"/>
    <w:rsid w:val="2B680525"/>
    <w:rsid w:val="2B761A1E"/>
    <w:rsid w:val="2B792CCA"/>
    <w:rsid w:val="2B805A6C"/>
    <w:rsid w:val="2B890CC8"/>
    <w:rsid w:val="2B9A15CB"/>
    <w:rsid w:val="2B9C6BD6"/>
    <w:rsid w:val="2B9D55D2"/>
    <w:rsid w:val="2BAE68EC"/>
    <w:rsid w:val="2BB05C27"/>
    <w:rsid w:val="2BC62A0D"/>
    <w:rsid w:val="2BCC7848"/>
    <w:rsid w:val="2BD42C8B"/>
    <w:rsid w:val="2BD94A85"/>
    <w:rsid w:val="2BEB6DE3"/>
    <w:rsid w:val="2C034269"/>
    <w:rsid w:val="2C043A01"/>
    <w:rsid w:val="2C0573BE"/>
    <w:rsid w:val="2C11611D"/>
    <w:rsid w:val="2C267E1B"/>
    <w:rsid w:val="2C2E0C28"/>
    <w:rsid w:val="2C312A36"/>
    <w:rsid w:val="2C3574C0"/>
    <w:rsid w:val="2C39284C"/>
    <w:rsid w:val="2C45115E"/>
    <w:rsid w:val="2C4F6300"/>
    <w:rsid w:val="2C571D95"/>
    <w:rsid w:val="2C5B51F5"/>
    <w:rsid w:val="2C5D5807"/>
    <w:rsid w:val="2C6377AD"/>
    <w:rsid w:val="2C646A72"/>
    <w:rsid w:val="2C68474C"/>
    <w:rsid w:val="2C686355"/>
    <w:rsid w:val="2C687C78"/>
    <w:rsid w:val="2C6A7016"/>
    <w:rsid w:val="2C721631"/>
    <w:rsid w:val="2C7222BA"/>
    <w:rsid w:val="2C783E64"/>
    <w:rsid w:val="2C7C5C8D"/>
    <w:rsid w:val="2C7F577D"/>
    <w:rsid w:val="2C884632"/>
    <w:rsid w:val="2C8D534B"/>
    <w:rsid w:val="2C903E38"/>
    <w:rsid w:val="2C9258EF"/>
    <w:rsid w:val="2C9F7973"/>
    <w:rsid w:val="2CBA0563"/>
    <w:rsid w:val="2CCC54D9"/>
    <w:rsid w:val="2CD634E0"/>
    <w:rsid w:val="2CDE4259"/>
    <w:rsid w:val="2CE216CB"/>
    <w:rsid w:val="2CEA52EC"/>
    <w:rsid w:val="2CFA3E09"/>
    <w:rsid w:val="2CFD7BFE"/>
    <w:rsid w:val="2D01585B"/>
    <w:rsid w:val="2D054DD2"/>
    <w:rsid w:val="2D101356"/>
    <w:rsid w:val="2D1069F1"/>
    <w:rsid w:val="2D1765E8"/>
    <w:rsid w:val="2D201D05"/>
    <w:rsid w:val="2D255B09"/>
    <w:rsid w:val="2D330BEA"/>
    <w:rsid w:val="2D627FCD"/>
    <w:rsid w:val="2D671D00"/>
    <w:rsid w:val="2D724E96"/>
    <w:rsid w:val="2D8545F9"/>
    <w:rsid w:val="2D856971"/>
    <w:rsid w:val="2D8E2942"/>
    <w:rsid w:val="2D9E1C33"/>
    <w:rsid w:val="2D9F76AE"/>
    <w:rsid w:val="2DA336ED"/>
    <w:rsid w:val="2DAB0A19"/>
    <w:rsid w:val="2DB317B9"/>
    <w:rsid w:val="2DB461F4"/>
    <w:rsid w:val="2DB90772"/>
    <w:rsid w:val="2DBB5E0C"/>
    <w:rsid w:val="2DBC3E98"/>
    <w:rsid w:val="2DC34599"/>
    <w:rsid w:val="2DC5549E"/>
    <w:rsid w:val="2DD11B4B"/>
    <w:rsid w:val="2DD16E79"/>
    <w:rsid w:val="2DD809C7"/>
    <w:rsid w:val="2DD9710F"/>
    <w:rsid w:val="2DDC1B7A"/>
    <w:rsid w:val="2DDE7A1F"/>
    <w:rsid w:val="2DE06385"/>
    <w:rsid w:val="2DE64934"/>
    <w:rsid w:val="2DF17B01"/>
    <w:rsid w:val="2DF348C2"/>
    <w:rsid w:val="2DFB2AC4"/>
    <w:rsid w:val="2E027BC5"/>
    <w:rsid w:val="2E035D94"/>
    <w:rsid w:val="2E044A89"/>
    <w:rsid w:val="2E19367E"/>
    <w:rsid w:val="2E2E3C50"/>
    <w:rsid w:val="2E2E67F5"/>
    <w:rsid w:val="2E334891"/>
    <w:rsid w:val="2E392941"/>
    <w:rsid w:val="2E396FB4"/>
    <w:rsid w:val="2E47214C"/>
    <w:rsid w:val="2E501619"/>
    <w:rsid w:val="2E561F3A"/>
    <w:rsid w:val="2E67361F"/>
    <w:rsid w:val="2E826CF4"/>
    <w:rsid w:val="2E8A471C"/>
    <w:rsid w:val="2E904BDF"/>
    <w:rsid w:val="2EAB0F70"/>
    <w:rsid w:val="2EAC5EEC"/>
    <w:rsid w:val="2EAD4AC0"/>
    <w:rsid w:val="2EB471E9"/>
    <w:rsid w:val="2EBB615B"/>
    <w:rsid w:val="2EBE07DF"/>
    <w:rsid w:val="2EDF2503"/>
    <w:rsid w:val="2EE0430D"/>
    <w:rsid w:val="2EF33AD6"/>
    <w:rsid w:val="2F187545"/>
    <w:rsid w:val="2F3F0B03"/>
    <w:rsid w:val="2F402D15"/>
    <w:rsid w:val="2F4B198D"/>
    <w:rsid w:val="2F4C3517"/>
    <w:rsid w:val="2F4E4E18"/>
    <w:rsid w:val="2F601896"/>
    <w:rsid w:val="2F6623EF"/>
    <w:rsid w:val="2F6644B4"/>
    <w:rsid w:val="2F691D83"/>
    <w:rsid w:val="2F6B0218"/>
    <w:rsid w:val="2F884949"/>
    <w:rsid w:val="2F8915AB"/>
    <w:rsid w:val="2F8D41C7"/>
    <w:rsid w:val="2F9257C7"/>
    <w:rsid w:val="2F950A3E"/>
    <w:rsid w:val="2F953217"/>
    <w:rsid w:val="2F95594C"/>
    <w:rsid w:val="2F964696"/>
    <w:rsid w:val="2F997BEF"/>
    <w:rsid w:val="2FAD3670"/>
    <w:rsid w:val="2FAE33E0"/>
    <w:rsid w:val="2FB10EB0"/>
    <w:rsid w:val="2FB37D63"/>
    <w:rsid w:val="2FB74FA7"/>
    <w:rsid w:val="2FBE6A49"/>
    <w:rsid w:val="2FC143C3"/>
    <w:rsid w:val="2FC50BC3"/>
    <w:rsid w:val="2FD253FE"/>
    <w:rsid w:val="2FD44426"/>
    <w:rsid w:val="2FD66209"/>
    <w:rsid w:val="2FDD6085"/>
    <w:rsid w:val="2FEC5509"/>
    <w:rsid w:val="2FFB511A"/>
    <w:rsid w:val="300710F0"/>
    <w:rsid w:val="3008609D"/>
    <w:rsid w:val="30231BDB"/>
    <w:rsid w:val="30280256"/>
    <w:rsid w:val="30281C88"/>
    <w:rsid w:val="30307707"/>
    <w:rsid w:val="30415EC2"/>
    <w:rsid w:val="304801F5"/>
    <w:rsid w:val="305456C2"/>
    <w:rsid w:val="30600440"/>
    <w:rsid w:val="306359C9"/>
    <w:rsid w:val="30640173"/>
    <w:rsid w:val="30695CC2"/>
    <w:rsid w:val="30713033"/>
    <w:rsid w:val="307F11D1"/>
    <w:rsid w:val="308F5519"/>
    <w:rsid w:val="309573B7"/>
    <w:rsid w:val="30A9726C"/>
    <w:rsid w:val="30BC3428"/>
    <w:rsid w:val="30C840E5"/>
    <w:rsid w:val="30CE7F1D"/>
    <w:rsid w:val="30D2528C"/>
    <w:rsid w:val="30D51BCA"/>
    <w:rsid w:val="30E75CC6"/>
    <w:rsid w:val="310D0FEF"/>
    <w:rsid w:val="31223C29"/>
    <w:rsid w:val="31350B94"/>
    <w:rsid w:val="313C59EB"/>
    <w:rsid w:val="3141344A"/>
    <w:rsid w:val="31486127"/>
    <w:rsid w:val="31523C19"/>
    <w:rsid w:val="316B066B"/>
    <w:rsid w:val="316B62D0"/>
    <w:rsid w:val="3175528F"/>
    <w:rsid w:val="317A73D5"/>
    <w:rsid w:val="317D0093"/>
    <w:rsid w:val="31943A79"/>
    <w:rsid w:val="319C72CB"/>
    <w:rsid w:val="31A122B4"/>
    <w:rsid w:val="31A51794"/>
    <w:rsid w:val="31AB4290"/>
    <w:rsid w:val="31B14FE1"/>
    <w:rsid w:val="31B2186B"/>
    <w:rsid w:val="31B54A8C"/>
    <w:rsid w:val="31B577AF"/>
    <w:rsid w:val="31BF7BF6"/>
    <w:rsid w:val="31C12394"/>
    <w:rsid w:val="31CF5B31"/>
    <w:rsid w:val="31D20C5F"/>
    <w:rsid w:val="31E805BE"/>
    <w:rsid w:val="31EC7A6C"/>
    <w:rsid w:val="31F75982"/>
    <w:rsid w:val="31FD2455"/>
    <w:rsid w:val="32017127"/>
    <w:rsid w:val="320A6DAD"/>
    <w:rsid w:val="321131D3"/>
    <w:rsid w:val="321270D2"/>
    <w:rsid w:val="321E47E2"/>
    <w:rsid w:val="321E77E6"/>
    <w:rsid w:val="322045A7"/>
    <w:rsid w:val="322470B7"/>
    <w:rsid w:val="32294C2B"/>
    <w:rsid w:val="322E3BA5"/>
    <w:rsid w:val="32355E32"/>
    <w:rsid w:val="323C133A"/>
    <w:rsid w:val="32410DC6"/>
    <w:rsid w:val="324F5CBD"/>
    <w:rsid w:val="326304BF"/>
    <w:rsid w:val="326466FE"/>
    <w:rsid w:val="326C68A7"/>
    <w:rsid w:val="32787257"/>
    <w:rsid w:val="327C2632"/>
    <w:rsid w:val="328C11BA"/>
    <w:rsid w:val="32942A38"/>
    <w:rsid w:val="32A6036F"/>
    <w:rsid w:val="32B4692C"/>
    <w:rsid w:val="32BA306B"/>
    <w:rsid w:val="32BA7481"/>
    <w:rsid w:val="32C22440"/>
    <w:rsid w:val="32C51F2F"/>
    <w:rsid w:val="32D70E48"/>
    <w:rsid w:val="32E270DC"/>
    <w:rsid w:val="32EB3A7E"/>
    <w:rsid w:val="32FA2D59"/>
    <w:rsid w:val="33150AAF"/>
    <w:rsid w:val="33234295"/>
    <w:rsid w:val="3328091C"/>
    <w:rsid w:val="334442D4"/>
    <w:rsid w:val="334D4971"/>
    <w:rsid w:val="33536B89"/>
    <w:rsid w:val="335D1541"/>
    <w:rsid w:val="335D1543"/>
    <w:rsid w:val="337119DD"/>
    <w:rsid w:val="33831A17"/>
    <w:rsid w:val="338330D0"/>
    <w:rsid w:val="33A1045B"/>
    <w:rsid w:val="33A1275E"/>
    <w:rsid w:val="33B95A18"/>
    <w:rsid w:val="33C543BD"/>
    <w:rsid w:val="33CE6D8B"/>
    <w:rsid w:val="33D20888"/>
    <w:rsid w:val="33D5439E"/>
    <w:rsid w:val="33D6581E"/>
    <w:rsid w:val="33DC6FDE"/>
    <w:rsid w:val="33DD1794"/>
    <w:rsid w:val="33DD6476"/>
    <w:rsid w:val="33DE1B09"/>
    <w:rsid w:val="33DE1F0F"/>
    <w:rsid w:val="33E51836"/>
    <w:rsid w:val="33F702EF"/>
    <w:rsid w:val="340F5638"/>
    <w:rsid w:val="342253D8"/>
    <w:rsid w:val="342D5E23"/>
    <w:rsid w:val="342F02D3"/>
    <w:rsid w:val="343B30F7"/>
    <w:rsid w:val="343E76A2"/>
    <w:rsid w:val="3442156A"/>
    <w:rsid w:val="34426562"/>
    <w:rsid w:val="34560C32"/>
    <w:rsid w:val="345968B4"/>
    <w:rsid w:val="345F498C"/>
    <w:rsid w:val="34613598"/>
    <w:rsid w:val="346200DD"/>
    <w:rsid w:val="34650FBD"/>
    <w:rsid w:val="347513EE"/>
    <w:rsid w:val="348873BD"/>
    <w:rsid w:val="348A1163"/>
    <w:rsid w:val="348E797C"/>
    <w:rsid w:val="349048A0"/>
    <w:rsid w:val="34B306BA"/>
    <w:rsid w:val="34CF34BC"/>
    <w:rsid w:val="34E10D9D"/>
    <w:rsid w:val="34EB32EC"/>
    <w:rsid w:val="34EF7755"/>
    <w:rsid w:val="34F528F0"/>
    <w:rsid w:val="34F617F6"/>
    <w:rsid w:val="34FD1EFB"/>
    <w:rsid w:val="35093B54"/>
    <w:rsid w:val="350D534E"/>
    <w:rsid w:val="350E3E24"/>
    <w:rsid w:val="3512084B"/>
    <w:rsid w:val="351337D2"/>
    <w:rsid w:val="351C1B2C"/>
    <w:rsid w:val="35231E34"/>
    <w:rsid w:val="35333559"/>
    <w:rsid w:val="35345770"/>
    <w:rsid w:val="353561B1"/>
    <w:rsid w:val="353E4427"/>
    <w:rsid w:val="354938D8"/>
    <w:rsid w:val="35535683"/>
    <w:rsid w:val="355377A7"/>
    <w:rsid w:val="355D049F"/>
    <w:rsid w:val="35650251"/>
    <w:rsid w:val="3574766A"/>
    <w:rsid w:val="357E28B3"/>
    <w:rsid w:val="35854B14"/>
    <w:rsid w:val="35943047"/>
    <w:rsid w:val="359629CF"/>
    <w:rsid w:val="359A6E82"/>
    <w:rsid w:val="359B444D"/>
    <w:rsid w:val="35A701DC"/>
    <w:rsid w:val="35A807B3"/>
    <w:rsid w:val="35A83F84"/>
    <w:rsid w:val="35B50668"/>
    <w:rsid w:val="35BB3166"/>
    <w:rsid w:val="35C33139"/>
    <w:rsid w:val="35C71AF8"/>
    <w:rsid w:val="35CB529E"/>
    <w:rsid w:val="35CB5AA8"/>
    <w:rsid w:val="35CF09D7"/>
    <w:rsid w:val="35E54AD7"/>
    <w:rsid w:val="35EC76E8"/>
    <w:rsid w:val="35ED7558"/>
    <w:rsid w:val="35F324D5"/>
    <w:rsid w:val="360C5464"/>
    <w:rsid w:val="361A64E0"/>
    <w:rsid w:val="362236F1"/>
    <w:rsid w:val="36235AA6"/>
    <w:rsid w:val="362D1DA6"/>
    <w:rsid w:val="363F670F"/>
    <w:rsid w:val="36567DDC"/>
    <w:rsid w:val="36592B9B"/>
    <w:rsid w:val="36602589"/>
    <w:rsid w:val="36722B94"/>
    <w:rsid w:val="367A715F"/>
    <w:rsid w:val="36814C98"/>
    <w:rsid w:val="36836F02"/>
    <w:rsid w:val="3694146D"/>
    <w:rsid w:val="3698626D"/>
    <w:rsid w:val="3699667B"/>
    <w:rsid w:val="369C0158"/>
    <w:rsid w:val="36C2588E"/>
    <w:rsid w:val="36C3670A"/>
    <w:rsid w:val="36D60CA9"/>
    <w:rsid w:val="36EE4AC7"/>
    <w:rsid w:val="36F61B19"/>
    <w:rsid w:val="36F816C3"/>
    <w:rsid w:val="36FC67B3"/>
    <w:rsid w:val="36FD2AC5"/>
    <w:rsid w:val="36FE5834"/>
    <w:rsid w:val="3701395E"/>
    <w:rsid w:val="3726173F"/>
    <w:rsid w:val="372A5532"/>
    <w:rsid w:val="372F1B4E"/>
    <w:rsid w:val="37304857"/>
    <w:rsid w:val="37353608"/>
    <w:rsid w:val="373E52A6"/>
    <w:rsid w:val="37534E4A"/>
    <w:rsid w:val="37550297"/>
    <w:rsid w:val="375C4F9F"/>
    <w:rsid w:val="37675053"/>
    <w:rsid w:val="377B50B0"/>
    <w:rsid w:val="37812BC0"/>
    <w:rsid w:val="378A3849"/>
    <w:rsid w:val="37993C0C"/>
    <w:rsid w:val="379E5C32"/>
    <w:rsid w:val="37A00504"/>
    <w:rsid w:val="37A42034"/>
    <w:rsid w:val="37B354EC"/>
    <w:rsid w:val="37B508E5"/>
    <w:rsid w:val="37C67ED2"/>
    <w:rsid w:val="37E65001"/>
    <w:rsid w:val="37E96FAD"/>
    <w:rsid w:val="37F214F9"/>
    <w:rsid w:val="37F64DA1"/>
    <w:rsid w:val="380B515B"/>
    <w:rsid w:val="38107C59"/>
    <w:rsid w:val="38232167"/>
    <w:rsid w:val="3826443C"/>
    <w:rsid w:val="382A50FA"/>
    <w:rsid w:val="382A709B"/>
    <w:rsid w:val="383D2B96"/>
    <w:rsid w:val="383E0C4E"/>
    <w:rsid w:val="38481119"/>
    <w:rsid w:val="384D0658"/>
    <w:rsid w:val="384E10EC"/>
    <w:rsid w:val="3851701B"/>
    <w:rsid w:val="385B13F7"/>
    <w:rsid w:val="38601D0C"/>
    <w:rsid w:val="386861CF"/>
    <w:rsid w:val="386A72E1"/>
    <w:rsid w:val="3880055C"/>
    <w:rsid w:val="38832151"/>
    <w:rsid w:val="38952686"/>
    <w:rsid w:val="38981079"/>
    <w:rsid w:val="38AD76E2"/>
    <w:rsid w:val="38B126BF"/>
    <w:rsid w:val="38B26B18"/>
    <w:rsid w:val="38B57CD0"/>
    <w:rsid w:val="38C22C79"/>
    <w:rsid w:val="38C658B1"/>
    <w:rsid w:val="38C74734"/>
    <w:rsid w:val="38CA0174"/>
    <w:rsid w:val="38CF35E8"/>
    <w:rsid w:val="38DC6E18"/>
    <w:rsid w:val="38EE1753"/>
    <w:rsid w:val="38F87F46"/>
    <w:rsid w:val="38F90665"/>
    <w:rsid w:val="38FB3FFF"/>
    <w:rsid w:val="38FC78A7"/>
    <w:rsid w:val="390636BE"/>
    <w:rsid w:val="39184F21"/>
    <w:rsid w:val="392F2FF4"/>
    <w:rsid w:val="3934352A"/>
    <w:rsid w:val="39387629"/>
    <w:rsid w:val="394262D4"/>
    <w:rsid w:val="395D6438"/>
    <w:rsid w:val="39607752"/>
    <w:rsid w:val="3962768B"/>
    <w:rsid w:val="397851C1"/>
    <w:rsid w:val="39786FFC"/>
    <w:rsid w:val="399E0328"/>
    <w:rsid w:val="39A3497A"/>
    <w:rsid w:val="39B04C3F"/>
    <w:rsid w:val="39C71DE1"/>
    <w:rsid w:val="39C83639"/>
    <w:rsid w:val="39CE7365"/>
    <w:rsid w:val="39D41E68"/>
    <w:rsid w:val="39D97B44"/>
    <w:rsid w:val="39DF3D30"/>
    <w:rsid w:val="39F12765"/>
    <w:rsid w:val="39FB05AA"/>
    <w:rsid w:val="3A00766A"/>
    <w:rsid w:val="3A091D0B"/>
    <w:rsid w:val="3A10234C"/>
    <w:rsid w:val="3A1532AC"/>
    <w:rsid w:val="3A1C5889"/>
    <w:rsid w:val="3A211510"/>
    <w:rsid w:val="3A233BEC"/>
    <w:rsid w:val="3A3054F2"/>
    <w:rsid w:val="3A582042"/>
    <w:rsid w:val="3A5F260A"/>
    <w:rsid w:val="3A6611A2"/>
    <w:rsid w:val="3A75757A"/>
    <w:rsid w:val="3A77719B"/>
    <w:rsid w:val="3A854DD7"/>
    <w:rsid w:val="3A890E8D"/>
    <w:rsid w:val="3A8D3AAF"/>
    <w:rsid w:val="3A8D481C"/>
    <w:rsid w:val="3A954ED9"/>
    <w:rsid w:val="3A980D17"/>
    <w:rsid w:val="3A9A5788"/>
    <w:rsid w:val="3A9B5E31"/>
    <w:rsid w:val="3AA84E24"/>
    <w:rsid w:val="3AAC4EDC"/>
    <w:rsid w:val="3AD06762"/>
    <w:rsid w:val="3AE710BD"/>
    <w:rsid w:val="3AEA6922"/>
    <w:rsid w:val="3AF65807"/>
    <w:rsid w:val="3B085573"/>
    <w:rsid w:val="3B0950ED"/>
    <w:rsid w:val="3B0D3F7D"/>
    <w:rsid w:val="3B114581"/>
    <w:rsid w:val="3B186116"/>
    <w:rsid w:val="3B1D688D"/>
    <w:rsid w:val="3B250AAC"/>
    <w:rsid w:val="3B2D45F6"/>
    <w:rsid w:val="3B333086"/>
    <w:rsid w:val="3B5B1B61"/>
    <w:rsid w:val="3B6138B4"/>
    <w:rsid w:val="3B773516"/>
    <w:rsid w:val="3B797164"/>
    <w:rsid w:val="3B7C52D2"/>
    <w:rsid w:val="3B7D5833"/>
    <w:rsid w:val="3B824C51"/>
    <w:rsid w:val="3B8561E0"/>
    <w:rsid w:val="3B905C01"/>
    <w:rsid w:val="3B9308FD"/>
    <w:rsid w:val="3B983259"/>
    <w:rsid w:val="3B9C18B7"/>
    <w:rsid w:val="3B9D24D8"/>
    <w:rsid w:val="3B9F201A"/>
    <w:rsid w:val="3BA007E2"/>
    <w:rsid w:val="3BB762E4"/>
    <w:rsid w:val="3BBB7E54"/>
    <w:rsid w:val="3BC6219E"/>
    <w:rsid w:val="3BC7703E"/>
    <w:rsid w:val="3BC7779B"/>
    <w:rsid w:val="3BD86275"/>
    <w:rsid w:val="3BE0608E"/>
    <w:rsid w:val="3BE73D8C"/>
    <w:rsid w:val="3BEF1165"/>
    <w:rsid w:val="3BF42AEB"/>
    <w:rsid w:val="3BF67790"/>
    <w:rsid w:val="3C0149A4"/>
    <w:rsid w:val="3C071409"/>
    <w:rsid w:val="3C0755B3"/>
    <w:rsid w:val="3C086C09"/>
    <w:rsid w:val="3C123CF5"/>
    <w:rsid w:val="3C1D5173"/>
    <w:rsid w:val="3C347088"/>
    <w:rsid w:val="3C3B5051"/>
    <w:rsid w:val="3C507967"/>
    <w:rsid w:val="3C5942BB"/>
    <w:rsid w:val="3C6127A9"/>
    <w:rsid w:val="3C6F6BC9"/>
    <w:rsid w:val="3C765E2D"/>
    <w:rsid w:val="3C7B0D94"/>
    <w:rsid w:val="3C8705BD"/>
    <w:rsid w:val="3C881411"/>
    <w:rsid w:val="3C8A49A0"/>
    <w:rsid w:val="3C917AD6"/>
    <w:rsid w:val="3C964F61"/>
    <w:rsid w:val="3C9D3869"/>
    <w:rsid w:val="3CA47433"/>
    <w:rsid w:val="3CAA620D"/>
    <w:rsid w:val="3CBC6E0D"/>
    <w:rsid w:val="3CBE1213"/>
    <w:rsid w:val="3CC1528B"/>
    <w:rsid w:val="3CCE7D86"/>
    <w:rsid w:val="3CD1291C"/>
    <w:rsid w:val="3CD45FD0"/>
    <w:rsid w:val="3CDC0257"/>
    <w:rsid w:val="3CF55005"/>
    <w:rsid w:val="3D17730C"/>
    <w:rsid w:val="3D1D0120"/>
    <w:rsid w:val="3D3E6DA0"/>
    <w:rsid w:val="3D5642D8"/>
    <w:rsid w:val="3D575D14"/>
    <w:rsid w:val="3D602059"/>
    <w:rsid w:val="3D6B5B3C"/>
    <w:rsid w:val="3D85183A"/>
    <w:rsid w:val="3D8B38DA"/>
    <w:rsid w:val="3D8B5DDA"/>
    <w:rsid w:val="3D8E04D9"/>
    <w:rsid w:val="3D8F1B24"/>
    <w:rsid w:val="3D9D3CB5"/>
    <w:rsid w:val="3DA1738D"/>
    <w:rsid w:val="3DA618B2"/>
    <w:rsid w:val="3DB90AD0"/>
    <w:rsid w:val="3DC874FE"/>
    <w:rsid w:val="3DD83F80"/>
    <w:rsid w:val="3DE03515"/>
    <w:rsid w:val="3DEE0417"/>
    <w:rsid w:val="3DF10BAC"/>
    <w:rsid w:val="3DF64C07"/>
    <w:rsid w:val="3DF85610"/>
    <w:rsid w:val="3DFD6F27"/>
    <w:rsid w:val="3DFE58BB"/>
    <w:rsid w:val="3E087C75"/>
    <w:rsid w:val="3E191DEE"/>
    <w:rsid w:val="3E1937F8"/>
    <w:rsid w:val="3E1B3EF5"/>
    <w:rsid w:val="3E1C71F2"/>
    <w:rsid w:val="3E1E5F84"/>
    <w:rsid w:val="3E1F2527"/>
    <w:rsid w:val="3E201931"/>
    <w:rsid w:val="3E263682"/>
    <w:rsid w:val="3E2D33D2"/>
    <w:rsid w:val="3E352CE3"/>
    <w:rsid w:val="3E357AF4"/>
    <w:rsid w:val="3E382DB2"/>
    <w:rsid w:val="3E384525"/>
    <w:rsid w:val="3E3C6E2B"/>
    <w:rsid w:val="3E643FFE"/>
    <w:rsid w:val="3E672C68"/>
    <w:rsid w:val="3E68312B"/>
    <w:rsid w:val="3E6E4FC6"/>
    <w:rsid w:val="3E721FAF"/>
    <w:rsid w:val="3E784103"/>
    <w:rsid w:val="3E7C1F41"/>
    <w:rsid w:val="3E861905"/>
    <w:rsid w:val="3E8928A2"/>
    <w:rsid w:val="3E8A062E"/>
    <w:rsid w:val="3E9867BA"/>
    <w:rsid w:val="3E9C246E"/>
    <w:rsid w:val="3EAB6597"/>
    <w:rsid w:val="3EAD43CC"/>
    <w:rsid w:val="3EAD6F0F"/>
    <w:rsid w:val="3EB03852"/>
    <w:rsid w:val="3EB27058"/>
    <w:rsid w:val="3EB5242D"/>
    <w:rsid w:val="3EB968CD"/>
    <w:rsid w:val="3EC77A6A"/>
    <w:rsid w:val="3ED44120"/>
    <w:rsid w:val="3ED74544"/>
    <w:rsid w:val="3EDC6A5F"/>
    <w:rsid w:val="3EE80E6E"/>
    <w:rsid w:val="3EF43400"/>
    <w:rsid w:val="3EFE5264"/>
    <w:rsid w:val="3F112DC7"/>
    <w:rsid w:val="3F16052E"/>
    <w:rsid w:val="3F1F1A69"/>
    <w:rsid w:val="3F2C3D64"/>
    <w:rsid w:val="3F312E62"/>
    <w:rsid w:val="3F3B3785"/>
    <w:rsid w:val="3F4168C2"/>
    <w:rsid w:val="3F4742F0"/>
    <w:rsid w:val="3F47451D"/>
    <w:rsid w:val="3F484961"/>
    <w:rsid w:val="3F5D7BA0"/>
    <w:rsid w:val="3F747526"/>
    <w:rsid w:val="3F7A06B3"/>
    <w:rsid w:val="3F7A696D"/>
    <w:rsid w:val="3F8E30ED"/>
    <w:rsid w:val="3F907DA8"/>
    <w:rsid w:val="3F98506C"/>
    <w:rsid w:val="3F9B104D"/>
    <w:rsid w:val="3FB6105E"/>
    <w:rsid w:val="3FB86B84"/>
    <w:rsid w:val="3FC419CD"/>
    <w:rsid w:val="3FC55D31"/>
    <w:rsid w:val="3FE22305"/>
    <w:rsid w:val="3FE50A6F"/>
    <w:rsid w:val="3FEC26C8"/>
    <w:rsid w:val="3FED4365"/>
    <w:rsid w:val="3FFB3BA4"/>
    <w:rsid w:val="40022CFD"/>
    <w:rsid w:val="40066A99"/>
    <w:rsid w:val="401566DF"/>
    <w:rsid w:val="401C7D85"/>
    <w:rsid w:val="40251D6F"/>
    <w:rsid w:val="402C0D07"/>
    <w:rsid w:val="402C53E6"/>
    <w:rsid w:val="403473A1"/>
    <w:rsid w:val="40371301"/>
    <w:rsid w:val="40384084"/>
    <w:rsid w:val="403D46F7"/>
    <w:rsid w:val="40402447"/>
    <w:rsid w:val="404E74E8"/>
    <w:rsid w:val="40574AC0"/>
    <w:rsid w:val="40612368"/>
    <w:rsid w:val="40647E9D"/>
    <w:rsid w:val="406964D3"/>
    <w:rsid w:val="40705682"/>
    <w:rsid w:val="4077259B"/>
    <w:rsid w:val="40847473"/>
    <w:rsid w:val="40892691"/>
    <w:rsid w:val="408E22EA"/>
    <w:rsid w:val="4093027D"/>
    <w:rsid w:val="40A22905"/>
    <w:rsid w:val="40A70E2A"/>
    <w:rsid w:val="40C10133"/>
    <w:rsid w:val="40D40F1B"/>
    <w:rsid w:val="40DB05BA"/>
    <w:rsid w:val="40E46C60"/>
    <w:rsid w:val="40EC585F"/>
    <w:rsid w:val="41016309"/>
    <w:rsid w:val="410269DB"/>
    <w:rsid w:val="4105188B"/>
    <w:rsid w:val="410C65FE"/>
    <w:rsid w:val="41155E46"/>
    <w:rsid w:val="412138D0"/>
    <w:rsid w:val="413675BE"/>
    <w:rsid w:val="41445B4F"/>
    <w:rsid w:val="414870C5"/>
    <w:rsid w:val="41582F4C"/>
    <w:rsid w:val="41585ECE"/>
    <w:rsid w:val="415D1D86"/>
    <w:rsid w:val="41654AEA"/>
    <w:rsid w:val="41696A07"/>
    <w:rsid w:val="416C49AD"/>
    <w:rsid w:val="41783AAB"/>
    <w:rsid w:val="417D0085"/>
    <w:rsid w:val="41AB7375"/>
    <w:rsid w:val="41AC3208"/>
    <w:rsid w:val="41B4265E"/>
    <w:rsid w:val="41B81AFF"/>
    <w:rsid w:val="41B82E6B"/>
    <w:rsid w:val="41BA084C"/>
    <w:rsid w:val="41BC32B5"/>
    <w:rsid w:val="41BD2B78"/>
    <w:rsid w:val="41BE24F6"/>
    <w:rsid w:val="41D901FD"/>
    <w:rsid w:val="41DB4A47"/>
    <w:rsid w:val="41DD2592"/>
    <w:rsid w:val="41E542F9"/>
    <w:rsid w:val="41F11F09"/>
    <w:rsid w:val="41F63FCF"/>
    <w:rsid w:val="41FF23C4"/>
    <w:rsid w:val="42052465"/>
    <w:rsid w:val="42064FC0"/>
    <w:rsid w:val="42163390"/>
    <w:rsid w:val="421D36C6"/>
    <w:rsid w:val="42365779"/>
    <w:rsid w:val="423873AD"/>
    <w:rsid w:val="42390BB8"/>
    <w:rsid w:val="42393595"/>
    <w:rsid w:val="423F5649"/>
    <w:rsid w:val="42465C04"/>
    <w:rsid w:val="424F50AC"/>
    <w:rsid w:val="425A03C6"/>
    <w:rsid w:val="42672AE3"/>
    <w:rsid w:val="4267459E"/>
    <w:rsid w:val="426C09FE"/>
    <w:rsid w:val="42805AA5"/>
    <w:rsid w:val="429C4EDD"/>
    <w:rsid w:val="429F5DD9"/>
    <w:rsid w:val="42A30F2A"/>
    <w:rsid w:val="42C3192F"/>
    <w:rsid w:val="42CB333A"/>
    <w:rsid w:val="42D33D4D"/>
    <w:rsid w:val="42D97B95"/>
    <w:rsid w:val="42DD41B5"/>
    <w:rsid w:val="42E87780"/>
    <w:rsid w:val="42EA3852"/>
    <w:rsid w:val="42EE7DB0"/>
    <w:rsid w:val="42F63BB2"/>
    <w:rsid w:val="4309011E"/>
    <w:rsid w:val="432C4E05"/>
    <w:rsid w:val="432C63F6"/>
    <w:rsid w:val="43320E9C"/>
    <w:rsid w:val="433C6F5D"/>
    <w:rsid w:val="43415351"/>
    <w:rsid w:val="434C0386"/>
    <w:rsid w:val="43527A1A"/>
    <w:rsid w:val="4354679B"/>
    <w:rsid w:val="436A288B"/>
    <w:rsid w:val="437745A2"/>
    <w:rsid w:val="43911BC6"/>
    <w:rsid w:val="439E42E3"/>
    <w:rsid w:val="43A11F1E"/>
    <w:rsid w:val="43A248B6"/>
    <w:rsid w:val="43A7494F"/>
    <w:rsid w:val="43A9297A"/>
    <w:rsid w:val="43B32643"/>
    <w:rsid w:val="43B75FA0"/>
    <w:rsid w:val="43B92ECB"/>
    <w:rsid w:val="43CA1EC3"/>
    <w:rsid w:val="43CB7FA1"/>
    <w:rsid w:val="43D539B7"/>
    <w:rsid w:val="43DB5537"/>
    <w:rsid w:val="43E263CC"/>
    <w:rsid w:val="43E54DAE"/>
    <w:rsid w:val="43E610A4"/>
    <w:rsid w:val="43FA6B78"/>
    <w:rsid w:val="43FB1735"/>
    <w:rsid w:val="44027FE8"/>
    <w:rsid w:val="4407040C"/>
    <w:rsid w:val="44140CC3"/>
    <w:rsid w:val="44251EDA"/>
    <w:rsid w:val="44253DF8"/>
    <w:rsid w:val="442A7074"/>
    <w:rsid w:val="44457653"/>
    <w:rsid w:val="44484272"/>
    <w:rsid w:val="44673457"/>
    <w:rsid w:val="446969F4"/>
    <w:rsid w:val="447520E5"/>
    <w:rsid w:val="447822A1"/>
    <w:rsid w:val="447D18C2"/>
    <w:rsid w:val="44867251"/>
    <w:rsid w:val="449760BA"/>
    <w:rsid w:val="449C3B98"/>
    <w:rsid w:val="44A32FB2"/>
    <w:rsid w:val="44A97253"/>
    <w:rsid w:val="44B813CF"/>
    <w:rsid w:val="44D1201D"/>
    <w:rsid w:val="44D14EA9"/>
    <w:rsid w:val="44D25347"/>
    <w:rsid w:val="44D443A4"/>
    <w:rsid w:val="44D83825"/>
    <w:rsid w:val="44DE0ABE"/>
    <w:rsid w:val="44E53859"/>
    <w:rsid w:val="44EB1C6D"/>
    <w:rsid w:val="44EB1F0E"/>
    <w:rsid w:val="44EC1DC1"/>
    <w:rsid w:val="44F016F2"/>
    <w:rsid w:val="45061384"/>
    <w:rsid w:val="450953EB"/>
    <w:rsid w:val="450A13D3"/>
    <w:rsid w:val="45126D36"/>
    <w:rsid w:val="451E387C"/>
    <w:rsid w:val="453777DF"/>
    <w:rsid w:val="453F38A4"/>
    <w:rsid w:val="45443C55"/>
    <w:rsid w:val="455400E8"/>
    <w:rsid w:val="45544EBD"/>
    <w:rsid w:val="455C6204"/>
    <w:rsid w:val="45757ED9"/>
    <w:rsid w:val="45885F07"/>
    <w:rsid w:val="458D6B4B"/>
    <w:rsid w:val="459C3F9B"/>
    <w:rsid w:val="45AF4A22"/>
    <w:rsid w:val="45C946DD"/>
    <w:rsid w:val="45CE5353"/>
    <w:rsid w:val="45D04ED9"/>
    <w:rsid w:val="45D670BC"/>
    <w:rsid w:val="45EC11A3"/>
    <w:rsid w:val="460348D1"/>
    <w:rsid w:val="4607616F"/>
    <w:rsid w:val="460E760B"/>
    <w:rsid w:val="46140AAA"/>
    <w:rsid w:val="46152C3A"/>
    <w:rsid w:val="461C765F"/>
    <w:rsid w:val="461E63BF"/>
    <w:rsid w:val="462578E6"/>
    <w:rsid w:val="46265C2E"/>
    <w:rsid w:val="4627144D"/>
    <w:rsid w:val="4629280C"/>
    <w:rsid w:val="462B1DD2"/>
    <w:rsid w:val="462D6098"/>
    <w:rsid w:val="462E5BAF"/>
    <w:rsid w:val="463D6035"/>
    <w:rsid w:val="464A50FD"/>
    <w:rsid w:val="46584C1D"/>
    <w:rsid w:val="465A7FDB"/>
    <w:rsid w:val="46612E96"/>
    <w:rsid w:val="466331C0"/>
    <w:rsid w:val="46653B71"/>
    <w:rsid w:val="46674273"/>
    <w:rsid w:val="4678220F"/>
    <w:rsid w:val="467D28D5"/>
    <w:rsid w:val="46811C9F"/>
    <w:rsid w:val="4683083E"/>
    <w:rsid w:val="46A92A04"/>
    <w:rsid w:val="46AF3A52"/>
    <w:rsid w:val="46B22259"/>
    <w:rsid w:val="46B545BB"/>
    <w:rsid w:val="46B564DB"/>
    <w:rsid w:val="46BF09AB"/>
    <w:rsid w:val="46C439BD"/>
    <w:rsid w:val="46C73B51"/>
    <w:rsid w:val="46C77128"/>
    <w:rsid w:val="46C91943"/>
    <w:rsid w:val="46D6746C"/>
    <w:rsid w:val="46D845B2"/>
    <w:rsid w:val="46E377D1"/>
    <w:rsid w:val="46E458E6"/>
    <w:rsid w:val="46E602F3"/>
    <w:rsid w:val="46E65E81"/>
    <w:rsid w:val="46E952A4"/>
    <w:rsid w:val="46EC4182"/>
    <w:rsid w:val="46F26C6F"/>
    <w:rsid w:val="46FA0586"/>
    <w:rsid w:val="470073B5"/>
    <w:rsid w:val="471310B4"/>
    <w:rsid w:val="47136056"/>
    <w:rsid w:val="472C224D"/>
    <w:rsid w:val="472F7CE4"/>
    <w:rsid w:val="473073DF"/>
    <w:rsid w:val="47341C33"/>
    <w:rsid w:val="47351CE1"/>
    <w:rsid w:val="4741361B"/>
    <w:rsid w:val="47475688"/>
    <w:rsid w:val="475353E4"/>
    <w:rsid w:val="475B244F"/>
    <w:rsid w:val="475C4DFC"/>
    <w:rsid w:val="47723228"/>
    <w:rsid w:val="477D7FAE"/>
    <w:rsid w:val="477E7804"/>
    <w:rsid w:val="47837D63"/>
    <w:rsid w:val="478B1022"/>
    <w:rsid w:val="478D1C4E"/>
    <w:rsid w:val="479040CE"/>
    <w:rsid w:val="479729DA"/>
    <w:rsid w:val="47A0154A"/>
    <w:rsid w:val="47A3275F"/>
    <w:rsid w:val="47A87C62"/>
    <w:rsid w:val="47B056BF"/>
    <w:rsid w:val="47B6653B"/>
    <w:rsid w:val="47BC7DE4"/>
    <w:rsid w:val="47C00CCC"/>
    <w:rsid w:val="47CB3373"/>
    <w:rsid w:val="47E6666F"/>
    <w:rsid w:val="47F067DE"/>
    <w:rsid w:val="47F32ED6"/>
    <w:rsid w:val="47FE7EBF"/>
    <w:rsid w:val="4803448F"/>
    <w:rsid w:val="48065580"/>
    <w:rsid w:val="480A1AB1"/>
    <w:rsid w:val="480E3D1A"/>
    <w:rsid w:val="481D611E"/>
    <w:rsid w:val="48257629"/>
    <w:rsid w:val="482E2C83"/>
    <w:rsid w:val="48421198"/>
    <w:rsid w:val="484D3378"/>
    <w:rsid w:val="48545964"/>
    <w:rsid w:val="48575F29"/>
    <w:rsid w:val="48646B75"/>
    <w:rsid w:val="48680326"/>
    <w:rsid w:val="48683451"/>
    <w:rsid w:val="48731C6C"/>
    <w:rsid w:val="48907D03"/>
    <w:rsid w:val="48967411"/>
    <w:rsid w:val="489C5E6A"/>
    <w:rsid w:val="48AD0F4E"/>
    <w:rsid w:val="48AD18A4"/>
    <w:rsid w:val="48B5492C"/>
    <w:rsid w:val="48C1343A"/>
    <w:rsid w:val="48D1639B"/>
    <w:rsid w:val="48D31228"/>
    <w:rsid w:val="48DA1340"/>
    <w:rsid w:val="48DF33D4"/>
    <w:rsid w:val="48E54E64"/>
    <w:rsid w:val="48E826A5"/>
    <w:rsid w:val="48FB5D34"/>
    <w:rsid w:val="49042346"/>
    <w:rsid w:val="49042FF5"/>
    <w:rsid w:val="491D1458"/>
    <w:rsid w:val="49247038"/>
    <w:rsid w:val="49283381"/>
    <w:rsid w:val="49294C63"/>
    <w:rsid w:val="49392550"/>
    <w:rsid w:val="493F3E72"/>
    <w:rsid w:val="494112D4"/>
    <w:rsid w:val="494640AF"/>
    <w:rsid w:val="49494CF1"/>
    <w:rsid w:val="4953791E"/>
    <w:rsid w:val="49546C59"/>
    <w:rsid w:val="4957678F"/>
    <w:rsid w:val="495C0F8B"/>
    <w:rsid w:val="495F2766"/>
    <w:rsid w:val="49631C20"/>
    <w:rsid w:val="49643247"/>
    <w:rsid w:val="496F7A11"/>
    <w:rsid w:val="49724248"/>
    <w:rsid w:val="49724E24"/>
    <w:rsid w:val="497D33FF"/>
    <w:rsid w:val="49871556"/>
    <w:rsid w:val="4987194D"/>
    <w:rsid w:val="49943061"/>
    <w:rsid w:val="4997184B"/>
    <w:rsid w:val="49B033D5"/>
    <w:rsid w:val="49B07649"/>
    <w:rsid w:val="49B94735"/>
    <w:rsid w:val="49BC3958"/>
    <w:rsid w:val="49C5081B"/>
    <w:rsid w:val="49C70339"/>
    <w:rsid w:val="49CD76D0"/>
    <w:rsid w:val="49D677B4"/>
    <w:rsid w:val="49E16C70"/>
    <w:rsid w:val="49E949DE"/>
    <w:rsid w:val="49F5580D"/>
    <w:rsid w:val="49FD79AF"/>
    <w:rsid w:val="4A0D3F70"/>
    <w:rsid w:val="4A12502D"/>
    <w:rsid w:val="4A1946C3"/>
    <w:rsid w:val="4A194B62"/>
    <w:rsid w:val="4A3043B6"/>
    <w:rsid w:val="4A351316"/>
    <w:rsid w:val="4A381C26"/>
    <w:rsid w:val="4A3952A3"/>
    <w:rsid w:val="4A4B71F3"/>
    <w:rsid w:val="4A5928A1"/>
    <w:rsid w:val="4A633B8B"/>
    <w:rsid w:val="4A6A789C"/>
    <w:rsid w:val="4A6D297F"/>
    <w:rsid w:val="4A6F0787"/>
    <w:rsid w:val="4A7C2851"/>
    <w:rsid w:val="4A857ED8"/>
    <w:rsid w:val="4A8B38B3"/>
    <w:rsid w:val="4A9D68EA"/>
    <w:rsid w:val="4AA118B3"/>
    <w:rsid w:val="4AB732D2"/>
    <w:rsid w:val="4AB73C07"/>
    <w:rsid w:val="4AB754E7"/>
    <w:rsid w:val="4AB8212E"/>
    <w:rsid w:val="4AC8083E"/>
    <w:rsid w:val="4AE37F5B"/>
    <w:rsid w:val="4AF35DE0"/>
    <w:rsid w:val="4AF80A3E"/>
    <w:rsid w:val="4AF80DAF"/>
    <w:rsid w:val="4AFD5D93"/>
    <w:rsid w:val="4B0852CF"/>
    <w:rsid w:val="4B0F510D"/>
    <w:rsid w:val="4B0F6C42"/>
    <w:rsid w:val="4B31442E"/>
    <w:rsid w:val="4B3A59A0"/>
    <w:rsid w:val="4B432795"/>
    <w:rsid w:val="4B591C66"/>
    <w:rsid w:val="4B745650"/>
    <w:rsid w:val="4B8D37A2"/>
    <w:rsid w:val="4B9117CC"/>
    <w:rsid w:val="4BAA2020"/>
    <w:rsid w:val="4BB70B01"/>
    <w:rsid w:val="4BB80945"/>
    <w:rsid w:val="4BBE4EC4"/>
    <w:rsid w:val="4BCA4BD3"/>
    <w:rsid w:val="4BCD7EA2"/>
    <w:rsid w:val="4BDB4236"/>
    <w:rsid w:val="4BE7326A"/>
    <w:rsid w:val="4BFF333D"/>
    <w:rsid w:val="4C176F5D"/>
    <w:rsid w:val="4C2138D4"/>
    <w:rsid w:val="4C2F6420"/>
    <w:rsid w:val="4C3B58A3"/>
    <w:rsid w:val="4C524D17"/>
    <w:rsid w:val="4C612E21"/>
    <w:rsid w:val="4C67441C"/>
    <w:rsid w:val="4C754829"/>
    <w:rsid w:val="4C79196D"/>
    <w:rsid w:val="4C8F4ED7"/>
    <w:rsid w:val="4C9D15DC"/>
    <w:rsid w:val="4CA2427E"/>
    <w:rsid w:val="4CA67529"/>
    <w:rsid w:val="4CA713AC"/>
    <w:rsid w:val="4CAA4465"/>
    <w:rsid w:val="4CC40C1B"/>
    <w:rsid w:val="4CD17A13"/>
    <w:rsid w:val="4CD30AC7"/>
    <w:rsid w:val="4CDD4345"/>
    <w:rsid w:val="4CDE4328"/>
    <w:rsid w:val="4CDE5DF0"/>
    <w:rsid w:val="4CED28C1"/>
    <w:rsid w:val="4CF84A64"/>
    <w:rsid w:val="4D0F1DAD"/>
    <w:rsid w:val="4D1B28DF"/>
    <w:rsid w:val="4D1E053C"/>
    <w:rsid w:val="4D28283B"/>
    <w:rsid w:val="4D2A5CCC"/>
    <w:rsid w:val="4D39352C"/>
    <w:rsid w:val="4D495637"/>
    <w:rsid w:val="4D700A9E"/>
    <w:rsid w:val="4D752939"/>
    <w:rsid w:val="4D806598"/>
    <w:rsid w:val="4D810EFD"/>
    <w:rsid w:val="4D9C3514"/>
    <w:rsid w:val="4DAF4BC1"/>
    <w:rsid w:val="4DB34E2F"/>
    <w:rsid w:val="4DB54089"/>
    <w:rsid w:val="4DCB03CA"/>
    <w:rsid w:val="4DD0778F"/>
    <w:rsid w:val="4DDA6DAB"/>
    <w:rsid w:val="4DDE6EA3"/>
    <w:rsid w:val="4DE81188"/>
    <w:rsid w:val="4DE85803"/>
    <w:rsid w:val="4DF04CDD"/>
    <w:rsid w:val="4DF439B6"/>
    <w:rsid w:val="4E044C73"/>
    <w:rsid w:val="4E0E7336"/>
    <w:rsid w:val="4E2758B0"/>
    <w:rsid w:val="4E3C3076"/>
    <w:rsid w:val="4E433011"/>
    <w:rsid w:val="4E4E4FC3"/>
    <w:rsid w:val="4E5260B9"/>
    <w:rsid w:val="4E533603"/>
    <w:rsid w:val="4E533ABC"/>
    <w:rsid w:val="4E551722"/>
    <w:rsid w:val="4E552373"/>
    <w:rsid w:val="4E562C68"/>
    <w:rsid w:val="4E563503"/>
    <w:rsid w:val="4E5C1217"/>
    <w:rsid w:val="4E661F86"/>
    <w:rsid w:val="4E6C5709"/>
    <w:rsid w:val="4E7B76FB"/>
    <w:rsid w:val="4E9274F5"/>
    <w:rsid w:val="4E955130"/>
    <w:rsid w:val="4E982239"/>
    <w:rsid w:val="4EAF6982"/>
    <w:rsid w:val="4EC071CC"/>
    <w:rsid w:val="4EC33DC9"/>
    <w:rsid w:val="4EC84B37"/>
    <w:rsid w:val="4ECA1E97"/>
    <w:rsid w:val="4EDB250D"/>
    <w:rsid w:val="4EE2504F"/>
    <w:rsid w:val="4EE755AD"/>
    <w:rsid w:val="4EE964B4"/>
    <w:rsid w:val="4EEC4B89"/>
    <w:rsid w:val="4F0C75E2"/>
    <w:rsid w:val="4F1F74F1"/>
    <w:rsid w:val="4F230CA5"/>
    <w:rsid w:val="4F2A2ECF"/>
    <w:rsid w:val="4F3022DE"/>
    <w:rsid w:val="4F385ED7"/>
    <w:rsid w:val="4F467B27"/>
    <w:rsid w:val="4F4B51DE"/>
    <w:rsid w:val="4F514F8B"/>
    <w:rsid w:val="4F7019C6"/>
    <w:rsid w:val="4F703FC2"/>
    <w:rsid w:val="4F7470D4"/>
    <w:rsid w:val="4F8E493C"/>
    <w:rsid w:val="4FC90855"/>
    <w:rsid w:val="4FCE32FD"/>
    <w:rsid w:val="4FD13426"/>
    <w:rsid w:val="4FEA4FDE"/>
    <w:rsid w:val="500167AE"/>
    <w:rsid w:val="50033461"/>
    <w:rsid w:val="500B7B10"/>
    <w:rsid w:val="5015452E"/>
    <w:rsid w:val="50192EBF"/>
    <w:rsid w:val="501A1195"/>
    <w:rsid w:val="502B6EFE"/>
    <w:rsid w:val="502E69EF"/>
    <w:rsid w:val="50341FFD"/>
    <w:rsid w:val="503B1F0D"/>
    <w:rsid w:val="503C5FFF"/>
    <w:rsid w:val="5051105B"/>
    <w:rsid w:val="506131F4"/>
    <w:rsid w:val="50694000"/>
    <w:rsid w:val="506A5716"/>
    <w:rsid w:val="507235ED"/>
    <w:rsid w:val="508123E4"/>
    <w:rsid w:val="508D57C3"/>
    <w:rsid w:val="509458CB"/>
    <w:rsid w:val="50950F54"/>
    <w:rsid w:val="509C5651"/>
    <w:rsid w:val="50A447BD"/>
    <w:rsid w:val="50A868DE"/>
    <w:rsid w:val="50AD015D"/>
    <w:rsid w:val="50AD4548"/>
    <w:rsid w:val="50AF514E"/>
    <w:rsid w:val="50B519E7"/>
    <w:rsid w:val="50C0218F"/>
    <w:rsid w:val="50CB47D7"/>
    <w:rsid w:val="50CF49F7"/>
    <w:rsid w:val="50D83D69"/>
    <w:rsid w:val="50D97ADB"/>
    <w:rsid w:val="50DA5C9B"/>
    <w:rsid w:val="50E67D33"/>
    <w:rsid w:val="50E74B6B"/>
    <w:rsid w:val="50E95145"/>
    <w:rsid w:val="50EF43D0"/>
    <w:rsid w:val="50F57D90"/>
    <w:rsid w:val="50FB5D8E"/>
    <w:rsid w:val="51096383"/>
    <w:rsid w:val="511255E8"/>
    <w:rsid w:val="51145AA3"/>
    <w:rsid w:val="511469AD"/>
    <w:rsid w:val="512814ED"/>
    <w:rsid w:val="513D1611"/>
    <w:rsid w:val="5143368D"/>
    <w:rsid w:val="5145344C"/>
    <w:rsid w:val="514967D8"/>
    <w:rsid w:val="51553EC7"/>
    <w:rsid w:val="515B1252"/>
    <w:rsid w:val="515E6850"/>
    <w:rsid w:val="51665BA3"/>
    <w:rsid w:val="51793FF1"/>
    <w:rsid w:val="51804686"/>
    <w:rsid w:val="51A1024C"/>
    <w:rsid w:val="51A32C78"/>
    <w:rsid w:val="51AD5F50"/>
    <w:rsid w:val="51C42606"/>
    <w:rsid w:val="51D00C3B"/>
    <w:rsid w:val="51E717F3"/>
    <w:rsid w:val="51E87C1C"/>
    <w:rsid w:val="51EB0F2E"/>
    <w:rsid w:val="51EB4FD6"/>
    <w:rsid w:val="51EB51A2"/>
    <w:rsid w:val="51F1740C"/>
    <w:rsid w:val="51F65C7D"/>
    <w:rsid w:val="51F8274E"/>
    <w:rsid w:val="51FB3908"/>
    <w:rsid w:val="520358CA"/>
    <w:rsid w:val="52041367"/>
    <w:rsid w:val="521E2BBF"/>
    <w:rsid w:val="52490D46"/>
    <w:rsid w:val="524927DF"/>
    <w:rsid w:val="524F6E24"/>
    <w:rsid w:val="52553490"/>
    <w:rsid w:val="52642B2C"/>
    <w:rsid w:val="52687025"/>
    <w:rsid w:val="5269686F"/>
    <w:rsid w:val="526C7CD0"/>
    <w:rsid w:val="5282388B"/>
    <w:rsid w:val="529152EA"/>
    <w:rsid w:val="52955CD9"/>
    <w:rsid w:val="529A4541"/>
    <w:rsid w:val="52A16730"/>
    <w:rsid w:val="52AE70EF"/>
    <w:rsid w:val="52BE7457"/>
    <w:rsid w:val="52E53807"/>
    <w:rsid w:val="52EC6E19"/>
    <w:rsid w:val="52F627F4"/>
    <w:rsid w:val="530B20BB"/>
    <w:rsid w:val="531E008F"/>
    <w:rsid w:val="53244135"/>
    <w:rsid w:val="532F66EF"/>
    <w:rsid w:val="53543FB8"/>
    <w:rsid w:val="535827B0"/>
    <w:rsid w:val="536B1645"/>
    <w:rsid w:val="536D782E"/>
    <w:rsid w:val="53714B25"/>
    <w:rsid w:val="5372781B"/>
    <w:rsid w:val="53755B80"/>
    <w:rsid w:val="537A6E58"/>
    <w:rsid w:val="537B2F7C"/>
    <w:rsid w:val="5391176E"/>
    <w:rsid w:val="53B36147"/>
    <w:rsid w:val="53D77BCD"/>
    <w:rsid w:val="53DF6507"/>
    <w:rsid w:val="53F728D8"/>
    <w:rsid w:val="540637E5"/>
    <w:rsid w:val="540F191B"/>
    <w:rsid w:val="5410069F"/>
    <w:rsid w:val="541C25CC"/>
    <w:rsid w:val="54297543"/>
    <w:rsid w:val="543233FF"/>
    <w:rsid w:val="54380DA2"/>
    <w:rsid w:val="54396C84"/>
    <w:rsid w:val="543B5047"/>
    <w:rsid w:val="543C74AB"/>
    <w:rsid w:val="544231D4"/>
    <w:rsid w:val="544946C7"/>
    <w:rsid w:val="54524AD5"/>
    <w:rsid w:val="545578D3"/>
    <w:rsid w:val="5457452B"/>
    <w:rsid w:val="54624256"/>
    <w:rsid w:val="5464491B"/>
    <w:rsid w:val="54706354"/>
    <w:rsid w:val="54750DF4"/>
    <w:rsid w:val="54804AA5"/>
    <w:rsid w:val="54830A21"/>
    <w:rsid w:val="548403A7"/>
    <w:rsid w:val="54A65C3C"/>
    <w:rsid w:val="54A66464"/>
    <w:rsid w:val="54A87A54"/>
    <w:rsid w:val="54B83F67"/>
    <w:rsid w:val="54BA4247"/>
    <w:rsid w:val="54BB7E0B"/>
    <w:rsid w:val="54C77040"/>
    <w:rsid w:val="54C95F79"/>
    <w:rsid w:val="54CB4361"/>
    <w:rsid w:val="54CD460D"/>
    <w:rsid w:val="54EA46A6"/>
    <w:rsid w:val="54EA5B57"/>
    <w:rsid w:val="54F031AB"/>
    <w:rsid w:val="54F14BBA"/>
    <w:rsid w:val="54F42BA1"/>
    <w:rsid w:val="54F45C65"/>
    <w:rsid w:val="54FF2E9B"/>
    <w:rsid w:val="550A64FA"/>
    <w:rsid w:val="55107147"/>
    <w:rsid w:val="551118BE"/>
    <w:rsid w:val="5512068D"/>
    <w:rsid w:val="5521372F"/>
    <w:rsid w:val="55281E3D"/>
    <w:rsid w:val="553A6972"/>
    <w:rsid w:val="553D5ADA"/>
    <w:rsid w:val="55474FF1"/>
    <w:rsid w:val="5547540F"/>
    <w:rsid w:val="554D2EC4"/>
    <w:rsid w:val="555F1A65"/>
    <w:rsid w:val="556139C9"/>
    <w:rsid w:val="55697E15"/>
    <w:rsid w:val="556D70BD"/>
    <w:rsid w:val="55790D37"/>
    <w:rsid w:val="55841DD8"/>
    <w:rsid w:val="558A6E7A"/>
    <w:rsid w:val="55951FC3"/>
    <w:rsid w:val="559D3ADE"/>
    <w:rsid w:val="55A1712A"/>
    <w:rsid w:val="55A276BE"/>
    <w:rsid w:val="55B86619"/>
    <w:rsid w:val="55BD0CF0"/>
    <w:rsid w:val="55C2171F"/>
    <w:rsid w:val="55C239A2"/>
    <w:rsid w:val="55C34E5F"/>
    <w:rsid w:val="55CF173D"/>
    <w:rsid w:val="55D65EA6"/>
    <w:rsid w:val="55DA73FC"/>
    <w:rsid w:val="55E275EC"/>
    <w:rsid w:val="55E7749C"/>
    <w:rsid w:val="55EB57DE"/>
    <w:rsid w:val="55F14746"/>
    <w:rsid w:val="56095F34"/>
    <w:rsid w:val="560A5808"/>
    <w:rsid w:val="560E4D66"/>
    <w:rsid w:val="561E0EE9"/>
    <w:rsid w:val="5627200C"/>
    <w:rsid w:val="56317DC6"/>
    <w:rsid w:val="56321D83"/>
    <w:rsid w:val="563639FD"/>
    <w:rsid w:val="563D6B37"/>
    <w:rsid w:val="563E799D"/>
    <w:rsid w:val="565D3B8A"/>
    <w:rsid w:val="565F48D7"/>
    <w:rsid w:val="56614686"/>
    <w:rsid w:val="5663150F"/>
    <w:rsid w:val="566D5B17"/>
    <w:rsid w:val="566E6365"/>
    <w:rsid w:val="56845BF6"/>
    <w:rsid w:val="56876E58"/>
    <w:rsid w:val="568927D3"/>
    <w:rsid w:val="568A5BE7"/>
    <w:rsid w:val="56975F28"/>
    <w:rsid w:val="56A711D3"/>
    <w:rsid w:val="56AF1F23"/>
    <w:rsid w:val="56B2274A"/>
    <w:rsid w:val="56CE4C62"/>
    <w:rsid w:val="56D4209E"/>
    <w:rsid w:val="56DF785A"/>
    <w:rsid w:val="56EF512A"/>
    <w:rsid w:val="56F037AF"/>
    <w:rsid w:val="56FF612F"/>
    <w:rsid w:val="57086DF3"/>
    <w:rsid w:val="570D57E8"/>
    <w:rsid w:val="57140B67"/>
    <w:rsid w:val="571B16C3"/>
    <w:rsid w:val="572329C4"/>
    <w:rsid w:val="57375F5B"/>
    <w:rsid w:val="573C579E"/>
    <w:rsid w:val="575A628B"/>
    <w:rsid w:val="575C6E13"/>
    <w:rsid w:val="575E51ED"/>
    <w:rsid w:val="576C4201"/>
    <w:rsid w:val="57715A15"/>
    <w:rsid w:val="577B5DE7"/>
    <w:rsid w:val="577E599C"/>
    <w:rsid w:val="577F481A"/>
    <w:rsid w:val="57800A0E"/>
    <w:rsid w:val="57816C89"/>
    <w:rsid w:val="578257FC"/>
    <w:rsid w:val="57A02FB2"/>
    <w:rsid w:val="57A852D8"/>
    <w:rsid w:val="57D4443E"/>
    <w:rsid w:val="57DA7B74"/>
    <w:rsid w:val="5804032D"/>
    <w:rsid w:val="580937FE"/>
    <w:rsid w:val="580F27E1"/>
    <w:rsid w:val="58174CAD"/>
    <w:rsid w:val="58207309"/>
    <w:rsid w:val="58242BB1"/>
    <w:rsid w:val="582B58D4"/>
    <w:rsid w:val="5839758E"/>
    <w:rsid w:val="584C578F"/>
    <w:rsid w:val="584E17D8"/>
    <w:rsid w:val="58692CBA"/>
    <w:rsid w:val="587B4C31"/>
    <w:rsid w:val="588D5BCB"/>
    <w:rsid w:val="58920EE7"/>
    <w:rsid w:val="589578E5"/>
    <w:rsid w:val="589A0A14"/>
    <w:rsid w:val="589B5298"/>
    <w:rsid w:val="589E71FE"/>
    <w:rsid w:val="58A059D8"/>
    <w:rsid w:val="58A71311"/>
    <w:rsid w:val="58C160D7"/>
    <w:rsid w:val="58C21E2E"/>
    <w:rsid w:val="58C84925"/>
    <w:rsid w:val="58CE0D6F"/>
    <w:rsid w:val="58D2260D"/>
    <w:rsid w:val="58D95D4E"/>
    <w:rsid w:val="58DC047C"/>
    <w:rsid w:val="58E75793"/>
    <w:rsid w:val="58E81E30"/>
    <w:rsid w:val="58F57042"/>
    <w:rsid w:val="58F94A8E"/>
    <w:rsid w:val="58FC6967"/>
    <w:rsid w:val="58FD1AAC"/>
    <w:rsid w:val="590647CC"/>
    <w:rsid w:val="59171736"/>
    <w:rsid w:val="592833D6"/>
    <w:rsid w:val="59321526"/>
    <w:rsid w:val="593307DD"/>
    <w:rsid w:val="593D38A5"/>
    <w:rsid w:val="5954577B"/>
    <w:rsid w:val="5955458A"/>
    <w:rsid w:val="59637709"/>
    <w:rsid w:val="59713D43"/>
    <w:rsid w:val="598E4805"/>
    <w:rsid w:val="59963D04"/>
    <w:rsid w:val="599B6B07"/>
    <w:rsid w:val="59A163DD"/>
    <w:rsid w:val="59B06B77"/>
    <w:rsid w:val="59B4005C"/>
    <w:rsid w:val="59B620C0"/>
    <w:rsid w:val="59B915E8"/>
    <w:rsid w:val="59B9341B"/>
    <w:rsid w:val="59C201B8"/>
    <w:rsid w:val="59C27963"/>
    <w:rsid w:val="59C40901"/>
    <w:rsid w:val="59CA220A"/>
    <w:rsid w:val="59D06876"/>
    <w:rsid w:val="5A000286"/>
    <w:rsid w:val="5A042B42"/>
    <w:rsid w:val="5A0556A4"/>
    <w:rsid w:val="5A0667DB"/>
    <w:rsid w:val="5A0A0DB3"/>
    <w:rsid w:val="5A0A2C3C"/>
    <w:rsid w:val="5A0D02F2"/>
    <w:rsid w:val="5A152DC7"/>
    <w:rsid w:val="5A1F6D47"/>
    <w:rsid w:val="5A2C0443"/>
    <w:rsid w:val="5A33237D"/>
    <w:rsid w:val="5A48117B"/>
    <w:rsid w:val="5A4C7AD0"/>
    <w:rsid w:val="5A5D3898"/>
    <w:rsid w:val="5A690D8C"/>
    <w:rsid w:val="5A7523DF"/>
    <w:rsid w:val="5A7B5A4C"/>
    <w:rsid w:val="5A8573C1"/>
    <w:rsid w:val="5A89319F"/>
    <w:rsid w:val="5A9329E0"/>
    <w:rsid w:val="5A9F063B"/>
    <w:rsid w:val="5A9F29C3"/>
    <w:rsid w:val="5AA86ED3"/>
    <w:rsid w:val="5ACA150F"/>
    <w:rsid w:val="5ACB22C3"/>
    <w:rsid w:val="5ACE581D"/>
    <w:rsid w:val="5AD1649C"/>
    <w:rsid w:val="5ADD02FD"/>
    <w:rsid w:val="5ADF1351"/>
    <w:rsid w:val="5AED73C4"/>
    <w:rsid w:val="5B022F52"/>
    <w:rsid w:val="5B1C5C72"/>
    <w:rsid w:val="5B2E2AFC"/>
    <w:rsid w:val="5B4771A5"/>
    <w:rsid w:val="5B480904"/>
    <w:rsid w:val="5B554B9F"/>
    <w:rsid w:val="5B57504B"/>
    <w:rsid w:val="5B720D05"/>
    <w:rsid w:val="5B7E1B6A"/>
    <w:rsid w:val="5B814D33"/>
    <w:rsid w:val="5B8D1774"/>
    <w:rsid w:val="5B8F2A37"/>
    <w:rsid w:val="5BA26C0E"/>
    <w:rsid w:val="5BA84484"/>
    <w:rsid w:val="5BAC7FF6"/>
    <w:rsid w:val="5BAF6022"/>
    <w:rsid w:val="5BBC1190"/>
    <w:rsid w:val="5BC12DD0"/>
    <w:rsid w:val="5BC833A3"/>
    <w:rsid w:val="5BD014E9"/>
    <w:rsid w:val="5BD839BE"/>
    <w:rsid w:val="5BD97429"/>
    <w:rsid w:val="5BE17C86"/>
    <w:rsid w:val="5BE4647D"/>
    <w:rsid w:val="5BEE05B8"/>
    <w:rsid w:val="5BEF6143"/>
    <w:rsid w:val="5BF3149E"/>
    <w:rsid w:val="5BF73DEC"/>
    <w:rsid w:val="5BFA765C"/>
    <w:rsid w:val="5BFC2A7A"/>
    <w:rsid w:val="5C0472B3"/>
    <w:rsid w:val="5C0A122A"/>
    <w:rsid w:val="5C1C5BA0"/>
    <w:rsid w:val="5C1E3DBB"/>
    <w:rsid w:val="5C1E7759"/>
    <w:rsid w:val="5C21334E"/>
    <w:rsid w:val="5C2A3F51"/>
    <w:rsid w:val="5C4106CB"/>
    <w:rsid w:val="5C414330"/>
    <w:rsid w:val="5C6A1244"/>
    <w:rsid w:val="5C7659A5"/>
    <w:rsid w:val="5C7B7CD2"/>
    <w:rsid w:val="5C8927FA"/>
    <w:rsid w:val="5C903058"/>
    <w:rsid w:val="5C952B53"/>
    <w:rsid w:val="5CA117CD"/>
    <w:rsid w:val="5CAB5385"/>
    <w:rsid w:val="5CB23222"/>
    <w:rsid w:val="5CB27C34"/>
    <w:rsid w:val="5CB91DC8"/>
    <w:rsid w:val="5CCB77F0"/>
    <w:rsid w:val="5CD66444"/>
    <w:rsid w:val="5CE2057E"/>
    <w:rsid w:val="5CE3610B"/>
    <w:rsid w:val="5CF52097"/>
    <w:rsid w:val="5CF67225"/>
    <w:rsid w:val="5CF97074"/>
    <w:rsid w:val="5CFE60C6"/>
    <w:rsid w:val="5D03249B"/>
    <w:rsid w:val="5D096D75"/>
    <w:rsid w:val="5D0C734E"/>
    <w:rsid w:val="5D0D7F23"/>
    <w:rsid w:val="5D2C5656"/>
    <w:rsid w:val="5D2E5155"/>
    <w:rsid w:val="5D30277E"/>
    <w:rsid w:val="5D43486E"/>
    <w:rsid w:val="5D660A29"/>
    <w:rsid w:val="5D6A7D0C"/>
    <w:rsid w:val="5D6D02E1"/>
    <w:rsid w:val="5D7C595A"/>
    <w:rsid w:val="5D7D05FE"/>
    <w:rsid w:val="5D885990"/>
    <w:rsid w:val="5D894D2E"/>
    <w:rsid w:val="5DAC1347"/>
    <w:rsid w:val="5DAC1AE5"/>
    <w:rsid w:val="5DAF318E"/>
    <w:rsid w:val="5DB30DA0"/>
    <w:rsid w:val="5DB500DA"/>
    <w:rsid w:val="5DBA7B13"/>
    <w:rsid w:val="5DF1365A"/>
    <w:rsid w:val="5DFD1D2C"/>
    <w:rsid w:val="5E0C5266"/>
    <w:rsid w:val="5E115A91"/>
    <w:rsid w:val="5E1B6477"/>
    <w:rsid w:val="5E3B17D1"/>
    <w:rsid w:val="5E3D37D7"/>
    <w:rsid w:val="5E3D4236"/>
    <w:rsid w:val="5E40626B"/>
    <w:rsid w:val="5E4256C2"/>
    <w:rsid w:val="5E4C4C10"/>
    <w:rsid w:val="5E526BA2"/>
    <w:rsid w:val="5E571EB3"/>
    <w:rsid w:val="5E5D02B9"/>
    <w:rsid w:val="5E5D203D"/>
    <w:rsid w:val="5E6127E1"/>
    <w:rsid w:val="5E6127EE"/>
    <w:rsid w:val="5E655721"/>
    <w:rsid w:val="5E656198"/>
    <w:rsid w:val="5E777DC7"/>
    <w:rsid w:val="5E856C8F"/>
    <w:rsid w:val="5E8601A4"/>
    <w:rsid w:val="5EA21C2F"/>
    <w:rsid w:val="5EAF226C"/>
    <w:rsid w:val="5EC3213D"/>
    <w:rsid w:val="5F0221D5"/>
    <w:rsid w:val="5F040F2F"/>
    <w:rsid w:val="5F0F5162"/>
    <w:rsid w:val="5F0F7C12"/>
    <w:rsid w:val="5F1B34E9"/>
    <w:rsid w:val="5F1B67F3"/>
    <w:rsid w:val="5F1D05FF"/>
    <w:rsid w:val="5F242F7C"/>
    <w:rsid w:val="5F3758C0"/>
    <w:rsid w:val="5F3B146F"/>
    <w:rsid w:val="5F460256"/>
    <w:rsid w:val="5F49351A"/>
    <w:rsid w:val="5F4F390B"/>
    <w:rsid w:val="5F700DD2"/>
    <w:rsid w:val="5F72713B"/>
    <w:rsid w:val="5F88598C"/>
    <w:rsid w:val="5F8A431F"/>
    <w:rsid w:val="5F991BFE"/>
    <w:rsid w:val="5FA0732C"/>
    <w:rsid w:val="5FA20E88"/>
    <w:rsid w:val="5FA711CF"/>
    <w:rsid w:val="5FA83436"/>
    <w:rsid w:val="5FAD12D4"/>
    <w:rsid w:val="5FAE4078"/>
    <w:rsid w:val="5FB00433"/>
    <w:rsid w:val="5FB9411A"/>
    <w:rsid w:val="5FBD367C"/>
    <w:rsid w:val="5FCF005A"/>
    <w:rsid w:val="5FD864BF"/>
    <w:rsid w:val="5FEC5B47"/>
    <w:rsid w:val="5FFE3589"/>
    <w:rsid w:val="6003302B"/>
    <w:rsid w:val="600F0525"/>
    <w:rsid w:val="601A7A8C"/>
    <w:rsid w:val="601E3334"/>
    <w:rsid w:val="601F118C"/>
    <w:rsid w:val="60205851"/>
    <w:rsid w:val="60242BF9"/>
    <w:rsid w:val="602B0E85"/>
    <w:rsid w:val="60302D52"/>
    <w:rsid w:val="60483ACF"/>
    <w:rsid w:val="60762418"/>
    <w:rsid w:val="608233F4"/>
    <w:rsid w:val="608E350F"/>
    <w:rsid w:val="6095676F"/>
    <w:rsid w:val="60B558D9"/>
    <w:rsid w:val="60C34F31"/>
    <w:rsid w:val="60D84096"/>
    <w:rsid w:val="60DD7F2A"/>
    <w:rsid w:val="60EB489F"/>
    <w:rsid w:val="61073E6C"/>
    <w:rsid w:val="61080FFC"/>
    <w:rsid w:val="61261B63"/>
    <w:rsid w:val="61274851"/>
    <w:rsid w:val="61352308"/>
    <w:rsid w:val="613E6327"/>
    <w:rsid w:val="6157407D"/>
    <w:rsid w:val="61613EB7"/>
    <w:rsid w:val="616673B0"/>
    <w:rsid w:val="616B7AA3"/>
    <w:rsid w:val="616D67D0"/>
    <w:rsid w:val="617739D4"/>
    <w:rsid w:val="61825845"/>
    <w:rsid w:val="61875EE9"/>
    <w:rsid w:val="618B4673"/>
    <w:rsid w:val="618C45C8"/>
    <w:rsid w:val="618D4A73"/>
    <w:rsid w:val="619A10B7"/>
    <w:rsid w:val="61A2659A"/>
    <w:rsid w:val="61BC12FD"/>
    <w:rsid w:val="61C80748"/>
    <w:rsid w:val="61D0440C"/>
    <w:rsid w:val="61D250B2"/>
    <w:rsid w:val="61EB473F"/>
    <w:rsid w:val="62043EC2"/>
    <w:rsid w:val="621565CE"/>
    <w:rsid w:val="621C5B02"/>
    <w:rsid w:val="621E2E72"/>
    <w:rsid w:val="62223C8B"/>
    <w:rsid w:val="622E6C42"/>
    <w:rsid w:val="62313072"/>
    <w:rsid w:val="62336680"/>
    <w:rsid w:val="623E03E8"/>
    <w:rsid w:val="62425B9F"/>
    <w:rsid w:val="62452F20"/>
    <w:rsid w:val="624900B1"/>
    <w:rsid w:val="62512893"/>
    <w:rsid w:val="6252595C"/>
    <w:rsid w:val="625B663F"/>
    <w:rsid w:val="625E7607"/>
    <w:rsid w:val="6261663B"/>
    <w:rsid w:val="62657AF4"/>
    <w:rsid w:val="626C7ECC"/>
    <w:rsid w:val="628C5F22"/>
    <w:rsid w:val="628D6CF4"/>
    <w:rsid w:val="628E34DE"/>
    <w:rsid w:val="628F10BB"/>
    <w:rsid w:val="629C096A"/>
    <w:rsid w:val="629E09C9"/>
    <w:rsid w:val="62A64CE7"/>
    <w:rsid w:val="62A93B83"/>
    <w:rsid w:val="62AE4E31"/>
    <w:rsid w:val="62CD14C5"/>
    <w:rsid w:val="63007C37"/>
    <w:rsid w:val="63103707"/>
    <w:rsid w:val="631D301E"/>
    <w:rsid w:val="631F2409"/>
    <w:rsid w:val="633304D8"/>
    <w:rsid w:val="635E604A"/>
    <w:rsid w:val="636248E2"/>
    <w:rsid w:val="636448CC"/>
    <w:rsid w:val="63833D1C"/>
    <w:rsid w:val="63841A14"/>
    <w:rsid w:val="639A01CB"/>
    <w:rsid w:val="63A454EE"/>
    <w:rsid w:val="63AF2AFC"/>
    <w:rsid w:val="63B76F10"/>
    <w:rsid w:val="63B80BFB"/>
    <w:rsid w:val="63BA5096"/>
    <w:rsid w:val="63BB0C5E"/>
    <w:rsid w:val="63BE013F"/>
    <w:rsid w:val="63BE24D9"/>
    <w:rsid w:val="63BF7C32"/>
    <w:rsid w:val="63C87B70"/>
    <w:rsid w:val="63CA7C95"/>
    <w:rsid w:val="63CC5188"/>
    <w:rsid w:val="63D94268"/>
    <w:rsid w:val="63DA0F0F"/>
    <w:rsid w:val="640C2783"/>
    <w:rsid w:val="64197C22"/>
    <w:rsid w:val="64430863"/>
    <w:rsid w:val="64480E5B"/>
    <w:rsid w:val="64587349"/>
    <w:rsid w:val="6469062F"/>
    <w:rsid w:val="646F5EFB"/>
    <w:rsid w:val="6473626E"/>
    <w:rsid w:val="647911E5"/>
    <w:rsid w:val="647D13F9"/>
    <w:rsid w:val="64803B91"/>
    <w:rsid w:val="648C1022"/>
    <w:rsid w:val="64A00E5A"/>
    <w:rsid w:val="64A15109"/>
    <w:rsid w:val="64A21F50"/>
    <w:rsid w:val="64A611BB"/>
    <w:rsid w:val="64A752DA"/>
    <w:rsid w:val="64AE4800"/>
    <w:rsid w:val="64B117DD"/>
    <w:rsid w:val="64F658D5"/>
    <w:rsid w:val="64FA64BB"/>
    <w:rsid w:val="64FC20C3"/>
    <w:rsid w:val="64FD6B64"/>
    <w:rsid w:val="65034C12"/>
    <w:rsid w:val="65110ED1"/>
    <w:rsid w:val="6511318B"/>
    <w:rsid w:val="65157BDE"/>
    <w:rsid w:val="652C5C00"/>
    <w:rsid w:val="654D4B19"/>
    <w:rsid w:val="655F01DD"/>
    <w:rsid w:val="656109B7"/>
    <w:rsid w:val="65646CE3"/>
    <w:rsid w:val="65674A25"/>
    <w:rsid w:val="657B7524"/>
    <w:rsid w:val="657C6339"/>
    <w:rsid w:val="658C23AB"/>
    <w:rsid w:val="65952418"/>
    <w:rsid w:val="6596429B"/>
    <w:rsid w:val="659A2704"/>
    <w:rsid w:val="659A29CB"/>
    <w:rsid w:val="659F7D1B"/>
    <w:rsid w:val="65A40D13"/>
    <w:rsid w:val="65A951D0"/>
    <w:rsid w:val="65B31E66"/>
    <w:rsid w:val="65B35B1E"/>
    <w:rsid w:val="65BE5B8A"/>
    <w:rsid w:val="65CB6D62"/>
    <w:rsid w:val="65D57C96"/>
    <w:rsid w:val="65DA07B9"/>
    <w:rsid w:val="65DF2EB7"/>
    <w:rsid w:val="65E06841"/>
    <w:rsid w:val="65F173D4"/>
    <w:rsid w:val="65F5361E"/>
    <w:rsid w:val="65FE3D56"/>
    <w:rsid w:val="660539C9"/>
    <w:rsid w:val="66061D13"/>
    <w:rsid w:val="66063DD6"/>
    <w:rsid w:val="660C0398"/>
    <w:rsid w:val="660F7F82"/>
    <w:rsid w:val="66187FC7"/>
    <w:rsid w:val="661F0E5C"/>
    <w:rsid w:val="66217DE0"/>
    <w:rsid w:val="662232CC"/>
    <w:rsid w:val="66292F6F"/>
    <w:rsid w:val="66313AFA"/>
    <w:rsid w:val="663D67C7"/>
    <w:rsid w:val="66442670"/>
    <w:rsid w:val="664850BB"/>
    <w:rsid w:val="665E10A0"/>
    <w:rsid w:val="6661421D"/>
    <w:rsid w:val="66751EBA"/>
    <w:rsid w:val="66876B1C"/>
    <w:rsid w:val="668C4FDE"/>
    <w:rsid w:val="668F40A6"/>
    <w:rsid w:val="66917CCD"/>
    <w:rsid w:val="669D53F7"/>
    <w:rsid w:val="669E0F6F"/>
    <w:rsid w:val="66A06889"/>
    <w:rsid w:val="66A21D71"/>
    <w:rsid w:val="66B56114"/>
    <w:rsid w:val="66B74C8D"/>
    <w:rsid w:val="66B94520"/>
    <w:rsid w:val="66C16799"/>
    <w:rsid w:val="66C759C5"/>
    <w:rsid w:val="66CB214B"/>
    <w:rsid w:val="66D150C7"/>
    <w:rsid w:val="66D57903"/>
    <w:rsid w:val="66D75652"/>
    <w:rsid w:val="66E05E71"/>
    <w:rsid w:val="66F347C2"/>
    <w:rsid w:val="67002F76"/>
    <w:rsid w:val="671169F6"/>
    <w:rsid w:val="67153CCB"/>
    <w:rsid w:val="67192A32"/>
    <w:rsid w:val="67247992"/>
    <w:rsid w:val="6728496F"/>
    <w:rsid w:val="673342D2"/>
    <w:rsid w:val="674946E6"/>
    <w:rsid w:val="6750784F"/>
    <w:rsid w:val="675A6417"/>
    <w:rsid w:val="67610984"/>
    <w:rsid w:val="67787159"/>
    <w:rsid w:val="67850A57"/>
    <w:rsid w:val="67892A30"/>
    <w:rsid w:val="678B49FB"/>
    <w:rsid w:val="678D22C4"/>
    <w:rsid w:val="678E3C0F"/>
    <w:rsid w:val="67915D89"/>
    <w:rsid w:val="679B398C"/>
    <w:rsid w:val="679F459F"/>
    <w:rsid w:val="679F46C6"/>
    <w:rsid w:val="67AC671F"/>
    <w:rsid w:val="67C0219F"/>
    <w:rsid w:val="67CC19B7"/>
    <w:rsid w:val="67D3121E"/>
    <w:rsid w:val="67D852E9"/>
    <w:rsid w:val="67D93685"/>
    <w:rsid w:val="67E4235D"/>
    <w:rsid w:val="67F0128F"/>
    <w:rsid w:val="67F14898"/>
    <w:rsid w:val="67F30E1E"/>
    <w:rsid w:val="67F32594"/>
    <w:rsid w:val="67F76910"/>
    <w:rsid w:val="68016E59"/>
    <w:rsid w:val="68112A26"/>
    <w:rsid w:val="681C5834"/>
    <w:rsid w:val="6823531A"/>
    <w:rsid w:val="68310CFF"/>
    <w:rsid w:val="683B3E84"/>
    <w:rsid w:val="684E2429"/>
    <w:rsid w:val="6850187F"/>
    <w:rsid w:val="68606FD3"/>
    <w:rsid w:val="68653A91"/>
    <w:rsid w:val="686B5C38"/>
    <w:rsid w:val="68730CEB"/>
    <w:rsid w:val="68750952"/>
    <w:rsid w:val="6875149F"/>
    <w:rsid w:val="68777806"/>
    <w:rsid w:val="68802C97"/>
    <w:rsid w:val="68992D7E"/>
    <w:rsid w:val="689E2127"/>
    <w:rsid w:val="68A964A9"/>
    <w:rsid w:val="68B340E5"/>
    <w:rsid w:val="68BD016A"/>
    <w:rsid w:val="68D21A54"/>
    <w:rsid w:val="68D90FF7"/>
    <w:rsid w:val="68DE6680"/>
    <w:rsid w:val="68E110D2"/>
    <w:rsid w:val="68E1780B"/>
    <w:rsid w:val="68E36170"/>
    <w:rsid w:val="6909338C"/>
    <w:rsid w:val="690A7477"/>
    <w:rsid w:val="690D79EA"/>
    <w:rsid w:val="690F4ED6"/>
    <w:rsid w:val="69152FDB"/>
    <w:rsid w:val="69172C17"/>
    <w:rsid w:val="6919071E"/>
    <w:rsid w:val="69247D15"/>
    <w:rsid w:val="69286EE4"/>
    <w:rsid w:val="692B5299"/>
    <w:rsid w:val="693371D4"/>
    <w:rsid w:val="69443989"/>
    <w:rsid w:val="69484DB7"/>
    <w:rsid w:val="69641EB4"/>
    <w:rsid w:val="69684A2F"/>
    <w:rsid w:val="696A1183"/>
    <w:rsid w:val="69B33D95"/>
    <w:rsid w:val="69BB69A8"/>
    <w:rsid w:val="69BE47C0"/>
    <w:rsid w:val="69C63668"/>
    <w:rsid w:val="69CF257B"/>
    <w:rsid w:val="69DA20DC"/>
    <w:rsid w:val="69DB153D"/>
    <w:rsid w:val="69E66585"/>
    <w:rsid w:val="69F078CE"/>
    <w:rsid w:val="69FA38E5"/>
    <w:rsid w:val="6A105C13"/>
    <w:rsid w:val="6A173BEB"/>
    <w:rsid w:val="6A1B7B8C"/>
    <w:rsid w:val="6A26781F"/>
    <w:rsid w:val="6A2E06E9"/>
    <w:rsid w:val="6A321083"/>
    <w:rsid w:val="6A3256A0"/>
    <w:rsid w:val="6A3A455D"/>
    <w:rsid w:val="6A44373D"/>
    <w:rsid w:val="6A456644"/>
    <w:rsid w:val="6A4671C2"/>
    <w:rsid w:val="6A51263B"/>
    <w:rsid w:val="6A53037F"/>
    <w:rsid w:val="6A553B1C"/>
    <w:rsid w:val="6A5E0699"/>
    <w:rsid w:val="6A6B38CF"/>
    <w:rsid w:val="6A784C42"/>
    <w:rsid w:val="6AA6096E"/>
    <w:rsid w:val="6AA61B4B"/>
    <w:rsid w:val="6AA70355"/>
    <w:rsid w:val="6AB37234"/>
    <w:rsid w:val="6ABE2AC5"/>
    <w:rsid w:val="6AC14E2C"/>
    <w:rsid w:val="6AC30FAE"/>
    <w:rsid w:val="6AC47688"/>
    <w:rsid w:val="6AD26D5E"/>
    <w:rsid w:val="6AD80C2B"/>
    <w:rsid w:val="6AEA30D0"/>
    <w:rsid w:val="6AFF0172"/>
    <w:rsid w:val="6B022014"/>
    <w:rsid w:val="6B104585"/>
    <w:rsid w:val="6B1116BB"/>
    <w:rsid w:val="6B1A7B7D"/>
    <w:rsid w:val="6B2018FE"/>
    <w:rsid w:val="6B2D0532"/>
    <w:rsid w:val="6B2D3673"/>
    <w:rsid w:val="6B3533EB"/>
    <w:rsid w:val="6B3A7520"/>
    <w:rsid w:val="6B3D7470"/>
    <w:rsid w:val="6B3F06B5"/>
    <w:rsid w:val="6B4859EA"/>
    <w:rsid w:val="6B4F3A4F"/>
    <w:rsid w:val="6B562694"/>
    <w:rsid w:val="6B5D2B6A"/>
    <w:rsid w:val="6B5F25E2"/>
    <w:rsid w:val="6B6366B9"/>
    <w:rsid w:val="6B67035E"/>
    <w:rsid w:val="6B7942C0"/>
    <w:rsid w:val="6B803D98"/>
    <w:rsid w:val="6B8B1F7C"/>
    <w:rsid w:val="6BA77CE4"/>
    <w:rsid w:val="6BAD0DBF"/>
    <w:rsid w:val="6BAD7308"/>
    <w:rsid w:val="6BB169FA"/>
    <w:rsid w:val="6BB22B22"/>
    <w:rsid w:val="6BBA592C"/>
    <w:rsid w:val="6BC310AA"/>
    <w:rsid w:val="6BC46DA3"/>
    <w:rsid w:val="6BCE46DB"/>
    <w:rsid w:val="6BCF09F3"/>
    <w:rsid w:val="6BD026FA"/>
    <w:rsid w:val="6BD42C0C"/>
    <w:rsid w:val="6BE141A7"/>
    <w:rsid w:val="6BEC5075"/>
    <w:rsid w:val="6C040B0E"/>
    <w:rsid w:val="6C0F6CF6"/>
    <w:rsid w:val="6C141610"/>
    <w:rsid w:val="6C2A714D"/>
    <w:rsid w:val="6C331365"/>
    <w:rsid w:val="6C3D786A"/>
    <w:rsid w:val="6C4A69A4"/>
    <w:rsid w:val="6C501C60"/>
    <w:rsid w:val="6C524FB2"/>
    <w:rsid w:val="6C55143A"/>
    <w:rsid w:val="6C811D3D"/>
    <w:rsid w:val="6C8C08A8"/>
    <w:rsid w:val="6C8F133F"/>
    <w:rsid w:val="6CA26FBE"/>
    <w:rsid w:val="6CB77D78"/>
    <w:rsid w:val="6CB877BA"/>
    <w:rsid w:val="6CBC6B37"/>
    <w:rsid w:val="6CC36C39"/>
    <w:rsid w:val="6CC5085A"/>
    <w:rsid w:val="6CD2143D"/>
    <w:rsid w:val="6CD41DFB"/>
    <w:rsid w:val="6CED7BC6"/>
    <w:rsid w:val="6CEE121C"/>
    <w:rsid w:val="6CF917E6"/>
    <w:rsid w:val="6D04010A"/>
    <w:rsid w:val="6D04647D"/>
    <w:rsid w:val="6D087BDD"/>
    <w:rsid w:val="6D0A6D01"/>
    <w:rsid w:val="6D0C71F3"/>
    <w:rsid w:val="6D13118C"/>
    <w:rsid w:val="6D245B5C"/>
    <w:rsid w:val="6D272045"/>
    <w:rsid w:val="6D3A4961"/>
    <w:rsid w:val="6D3C58EF"/>
    <w:rsid w:val="6D667370"/>
    <w:rsid w:val="6D673814"/>
    <w:rsid w:val="6D7572F2"/>
    <w:rsid w:val="6D7B616D"/>
    <w:rsid w:val="6D7D4C0D"/>
    <w:rsid w:val="6D7F1CE8"/>
    <w:rsid w:val="6D826FE4"/>
    <w:rsid w:val="6D873074"/>
    <w:rsid w:val="6D8A3135"/>
    <w:rsid w:val="6D8C0B84"/>
    <w:rsid w:val="6D8C4EF3"/>
    <w:rsid w:val="6D9A1491"/>
    <w:rsid w:val="6D9D402C"/>
    <w:rsid w:val="6DA02DF6"/>
    <w:rsid w:val="6DA75A6A"/>
    <w:rsid w:val="6DA871A9"/>
    <w:rsid w:val="6DB344D1"/>
    <w:rsid w:val="6DC005DA"/>
    <w:rsid w:val="6DD870D9"/>
    <w:rsid w:val="6DE06AD0"/>
    <w:rsid w:val="6DE92364"/>
    <w:rsid w:val="6DFD1A82"/>
    <w:rsid w:val="6E1B63AC"/>
    <w:rsid w:val="6E424713"/>
    <w:rsid w:val="6E46764F"/>
    <w:rsid w:val="6E48158D"/>
    <w:rsid w:val="6E492962"/>
    <w:rsid w:val="6E512784"/>
    <w:rsid w:val="6E5402BB"/>
    <w:rsid w:val="6E566833"/>
    <w:rsid w:val="6E600263"/>
    <w:rsid w:val="6E602E52"/>
    <w:rsid w:val="6E604AB7"/>
    <w:rsid w:val="6E6765D2"/>
    <w:rsid w:val="6E837C96"/>
    <w:rsid w:val="6E8B6572"/>
    <w:rsid w:val="6E8E2C95"/>
    <w:rsid w:val="6E94668D"/>
    <w:rsid w:val="6EA3208C"/>
    <w:rsid w:val="6EA776BF"/>
    <w:rsid w:val="6EB33854"/>
    <w:rsid w:val="6EB377BC"/>
    <w:rsid w:val="6EC727EE"/>
    <w:rsid w:val="6ED4317A"/>
    <w:rsid w:val="6ED60488"/>
    <w:rsid w:val="6EDA4D2C"/>
    <w:rsid w:val="6EE175F6"/>
    <w:rsid w:val="6EED7ECF"/>
    <w:rsid w:val="6EF635F3"/>
    <w:rsid w:val="6EF67ED7"/>
    <w:rsid w:val="6EFF3538"/>
    <w:rsid w:val="6F1034E5"/>
    <w:rsid w:val="6F1036F0"/>
    <w:rsid w:val="6F1A3E94"/>
    <w:rsid w:val="6F2E7ABA"/>
    <w:rsid w:val="6F413BF1"/>
    <w:rsid w:val="6F546A5C"/>
    <w:rsid w:val="6F5E47A3"/>
    <w:rsid w:val="6F602D79"/>
    <w:rsid w:val="6F747504"/>
    <w:rsid w:val="6F7A3757"/>
    <w:rsid w:val="6F847183"/>
    <w:rsid w:val="6F8D6A6A"/>
    <w:rsid w:val="6F9B1553"/>
    <w:rsid w:val="6F9C49D2"/>
    <w:rsid w:val="6FB572E6"/>
    <w:rsid w:val="6FB77016"/>
    <w:rsid w:val="6FBB7A88"/>
    <w:rsid w:val="6FCA150D"/>
    <w:rsid w:val="6FCB4071"/>
    <w:rsid w:val="6FD64240"/>
    <w:rsid w:val="6FDB01B0"/>
    <w:rsid w:val="6FE26C75"/>
    <w:rsid w:val="6FE959C8"/>
    <w:rsid w:val="6FED5B27"/>
    <w:rsid w:val="6FF6144A"/>
    <w:rsid w:val="6FF62C2D"/>
    <w:rsid w:val="6FFD554A"/>
    <w:rsid w:val="70026709"/>
    <w:rsid w:val="70105DF8"/>
    <w:rsid w:val="701D0108"/>
    <w:rsid w:val="704231AC"/>
    <w:rsid w:val="7044465C"/>
    <w:rsid w:val="704B752C"/>
    <w:rsid w:val="704D7913"/>
    <w:rsid w:val="70613D21"/>
    <w:rsid w:val="70624EE6"/>
    <w:rsid w:val="70634F7F"/>
    <w:rsid w:val="70697889"/>
    <w:rsid w:val="706B3B43"/>
    <w:rsid w:val="70723490"/>
    <w:rsid w:val="707D0225"/>
    <w:rsid w:val="70834681"/>
    <w:rsid w:val="70853D44"/>
    <w:rsid w:val="70867A83"/>
    <w:rsid w:val="708B1BA4"/>
    <w:rsid w:val="70922B32"/>
    <w:rsid w:val="70974410"/>
    <w:rsid w:val="70A16A15"/>
    <w:rsid w:val="70A53419"/>
    <w:rsid w:val="70A538E2"/>
    <w:rsid w:val="70B47572"/>
    <w:rsid w:val="70B54896"/>
    <w:rsid w:val="70D11E60"/>
    <w:rsid w:val="70DA443D"/>
    <w:rsid w:val="70DD5B9B"/>
    <w:rsid w:val="70E21403"/>
    <w:rsid w:val="70F705FD"/>
    <w:rsid w:val="710479FC"/>
    <w:rsid w:val="71080E6A"/>
    <w:rsid w:val="71114724"/>
    <w:rsid w:val="7116310C"/>
    <w:rsid w:val="7117425A"/>
    <w:rsid w:val="712B03A7"/>
    <w:rsid w:val="71320F08"/>
    <w:rsid w:val="713920DC"/>
    <w:rsid w:val="713A3FEC"/>
    <w:rsid w:val="713E039F"/>
    <w:rsid w:val="713E2F27"/>
    <w:rsid w:val="71421394"/>
    <w:rsid w:val="714A76D4"/>
    <w:rsid w:val="71530654"/>
    <w:rsid w:val="715440AF"/>
    <w:rsid w:val="71585425"/>
    <w:rsid w:val="715C2F64"/>
    <w:rsid w:val="7178316E"/>
    <w:rsid w:val="71806174"/>
    <w:rsid w:val="71837C8C"/>
    <w:rsid w:val="718417DA"/>
    <w:rsid w:val="71A05705"/>
    <w:rsid w:val="71A21563"/>
    <w:rsid w:val="71A8697F"/>
    <w:rsid w:val="71C62135"/>
    <w:rsid w:val="71C86C58"/>
    <w:rsid w:val="71CA611F"/>
    <w:rsid w:val="71DA4C1A"/>
    <w:rsid w:val="71DD0E7B"/>
    <w:rsid w:val="71ED1B4B"/>
    <w:rsid w:val="71FD5767"/>
    <w:rsid w:val="72034DB0"/>
    <w:rsid w:val="7204074E"/>
    <w:rsid w:val="72205373"/>
    <w:rsid w:val="722215A2"/>
    <w:rsid w:val="72284B4A"/>
    <w:rsid w:val="7247323B"/>
    <w:rsid w:val="724A34C0"/>
    <w:rsid w:val="724A3704"/>
    <w:rsid w:val="724F2ED2"/>
    <w:rsid w:val="725B7A0B"/>
    <w:rsid w:val="72703AA8"/>
    <w:rsid w:val="727D67E6"/>
    <w:rsid w:val="72820A94"/>
    <w:rsid w:val="728E7C82"/>
    <w:rsid w:val="729460FE"/>
    <w:rsid w:val="729B5FAC"/>
    <w:rsid w:val="72A30D97"/>
    <w:rsid w:val="72A5768C"/>
    <w:rsid w:val="72A93F87"/>
    <w:rsid w:val="72AC0DAF"/>
    <w:rsid w:val="72B34E05"/>
    <w:rsid w:val="72B84BC2"/>
    <w:rsid w:val="72D33393"/>
    <w:rsid w:val="72D51B23"/>
    <w:rsid w:val="72DE4F00"/>
    <w:rsid w:val="72E74C7E"/>
    <w:rsid w:val="72F85AF2"/>
    <w:rsid w:val="73035259"/>
    <w:rsid w:val="730F085C"/>
    <w:rsid w:val="7312126C"/>
    <w:rsid w:val="73147429"/>
    <w:rsid w:val="73177CC3"/>
    <w:rsid w:val="732405B0"/>
    <w:rsid w:val="732B7426"/>
    <w:rsid w:val="7338355D"/>
    <w:rsid w:val="736B1B84"/>
    <w:rsid w:val="73955EE0"/>
    <w:rsid w:val="73A61BE7"/>
    <w:rsid w:val="73D67C57"/>
    <w:rsid w:val="73D90E74"/>
    <w:rsid w:val="73E7007B"/>
    <w:rsid w:val="73E831D5"/>
    <w:rsid w:val="73F46447"/>
    <w:rsid w:val="73F5097B"/>
    <w:rsid w:val="73F73418"/>
    <w:rsid w:val="74075999"/>
    <w:rsid w:val="74173C57"/>
    <w:rsid w:val="74323585"/>
    <w:rsid w:val="74365015"/>
    <w:rsid w:val="743B7A47"/>
    <w:rsid w:val="743D52CE"/>
    <w:rsid w:val="744123BA"/>
    <w:rsid w:val="744F5D03"/>
    <w:rsid w:val="7452493A"/>
    <w:rsid w:val="745514BA"/>
    <w:rsid w:val="745D327B"/>
    <w:rsid w:val="7464604F"/>
    <w:rsid w:val="74663B13"/>
    <w:rsid w:val="746667AE"/>
    <w:rsid w:val="746D1410"/>
    <w:rsid w:val="746E4FAA"/>
    <w:rsid w:val="746F7722"/>
    <w:rsid w:val="74764AEF"/>
    <w:rsid w:val="748E60A8"/>
    <w:rsid w:val="748F3F4D"/>
    <w:rsid w:val="749215A5"/>
    <w:rsid w:val="749628CD"/>
    <w:rsid w:val="74B17A6A"/>
    <w:rsid w:val="74B578E2"/>
    <w:rsid w:val="74BB4E94"/>
    <w:rsid w:val="74BE2A2C"/>
    <w:rsid w:val="74BF7ECC"/>
    <w:rsid w:val="74C72247"/>
    <w:rsid w:val="74CE7BF2"/>
    <w:rsid w:val="74D12536"/>
    <w:rsid w:val="74D3353D"/>
    <w:rsid w:val="751314F0"/>
    <w:rsid w:val="75157FF9"/>
    <w:rsid w:val="75165A25"/>
    <w:rsid w:val="75183466"/>
    <w:rsid w:val="752020F6"/>
    <w:rsid w:val="752035D2"/>
    <w:rsid w:val="752B3E08"/>
    <w:rsid w:val="7534438F"/>
    <w:rsid w:val="753C691D"/>
    <w:rsid w:val="753D2986"/>
    <w:rsid w:val="754C5609"/>
    <w:rsid w:val="755B2C17"/>
    <w:rsid w:val="755C214D"/>
    <w:rsid w:val="755C2963"/>
    <w:rsid w:val="75673DC7"/>
    <w:rsid w:val="7573495B"/>
    <w:rsid w:val="75787912"/>
    <w:rsid w:val="7581743D"/>
    <w:rsid w:val="759A2EF5"/>
    <w:rsid w:val="75B6095B"/>
    <w:rsid w:val="75CE030E"/>
    <w:rsid w:val="75D85B05"/>
    <w:rsid w:val="75DA1836"/>
    <w:rsid w:val="75DB01B8"/>
    <w:rsid w:val="75E81942"/>
    <w:rsid w:val="75E930A6"/>
    <w:rsid w:val="75F830CD"/>
    <w:rsid w:val="75FB3AFE"/>
    <w:rsid w:val="760435A5"/>
    <w:rsid w:val="76085468"/>
    <w:rsid w:val="7612334B"/>
    <w:rsid w:val="761A519B"/>
    <w:rsid w:val="7634625D"/>
    <w:rsid w:val="763E70DC"/>
    <w:rsid w:val="76442C27"/>
    <w:rsid w:val="764451B1"/>
    <w:rsid w:val="7650151A"/>
    <w:rsid w:val="765D69A9"/>
    <w:rsid w:val="76647419"/>
    <w:rsid w:val="76681411"/>
    <w:rsid w:val="766A524D"/>
    <w:rsid w:val="76782FDB"/>
    <w:rsid w:val="767B5ED6"/>
    <w:rsid w:val="767B7E8A"/>
    <w:rsid w:val="767E572A"/>
    <w:rsid w:val="769409A8"/>
    <w:rsid w:val="7694471B"/>
    <w:rsid w:val="76954F45"/>
    <w:rsid w:val="769C15D3"/>
    <w:rsid w:val="76A435EB"/>
    <w:rsid w:val="76A5069D"/>
    <w:rsid w:val="76C27860"/>
    <w:rsid w:val="76C84BF7"/>
    <w:rsid w:val="76D637B8"/>
    <w:rsid w:val="76DB4086"/>
    <w:rsid w:val="76DB57CE"/>
    <w:rsid w:val="76E801D5"/>
    <w:rsid w:val="76EF4649"/>
    <w:rsid w:val="77057CD6"/>
    <w:rsid w:val="770A7419"/>
    <w:rsid w:val="7712563A"/>
    <w:rsid w:val="7716668F"/>
    <w:rsid w:val="771F7217"/>
    <w:rsid w:val="772C41F8"/>
    <w:rsid w:val="773A3943"/>
    <w:rsid w:val="77484754"/>
    <w:rsid w:val="774A58B3"/>
    <w:rsid w:val="774B04E0"/>
    <w:rsid w:val="7755777A"/>
    <w:rsid w:val="775B022B"/>
    <w:rsid w:val="77677FCA"/>
    <w:rsid w:val="776B5EBC"/>
    <w:rsid w:val="777B026E"/>
    <w:rsid w:val="777E121A"/>
    <w:rsid w:val="7793032B"/>
    <w:rsid w:val="77B2758B"/>
    <w:rsid w:val="77B27D81"/>
    <w:rsid w:val="77D1756D"/>
    <w:rsid w:val="77DF36E0"/>
    <w:rsid w:val="77E605DE"/>
    <w:rsid w:val="77EB18D4"/>
    <w:rsid w:val="77EE0D1F"/>
    <w:rsid w:val="78135786"/>
    <w:rsid w:val="78215922"/>
    <w:rsid w:val="782642CC"/>
    <w:rsid w:val="78336877"/>
    <w:rsid w:val="783C6CB7"/>
    <w:rsid w:val="784144AC"/>
    <w:rsid w:val="78462041"/>
    <w:rsid w:val="785014BA"/>
    <w:rsid w:val="785512D1"/>
    <w:rsid w:val="78561DC6"/>
    <w:rsid w:val="78595405"/>
    <w:rsid w:val="785B1793"/>
    <w:rsid w:val="7860158C"/>
    <w:rsid w:val="78782921"/>
    <w:rsid w:val="78807E30"/>
    <w:rsid w:val="788A4F96"/>
    <w:rsid w:val="78906C36"/>
    <w:rsid w:val="78994B65"/>
    <w:rsid w:val="789C0D83"/>
    <w:rsid w:val="78BA568F"/>
    <w:rsid w:val="78EF46BD"/>
    <w:rsid w:val="78F10B1C"/>
    <w:rsid w:val="78F77D1E"/>
    <w:rsid w:val="78FB7506"/>
    <w:rsid w:val="79025277"/>
    <w:rsid w:val="7902750B"/>
    <w:rsid w:val="791339D7"/>
    <w:rsid w:val="79134948"/>
    <w:rsid w:val="793236F3"/>
    <w:rsid w:val="7943163B"/>
    <w:rsid w:val="79614327"/>
    <w:rsid w:val="797B2CCA"/>
    <w:rsid w:val="797E1EC6"/>
    <w:rsid w:val="799D5421"/>
    <w:rsid w:val="79A02498"/>
    <w:rsid w:val="79A54BFF"/>
    <w:rsid w:val="79A86B4F"/>
    <w:rsid w:val="79AD6A52"/>
    <w:rsid w:val="79B21FFA"/>
    <w:rsid w:val="79B84B3C"/>
    <w:rsid w:val="79BA24FB"/>
    <w:rsid w:val="79BD4C1A"/>
    <w:rsid w:val="79CA69B1"/>
    <w:rsid w:val="79CB3B5E"/>
    <w:rsid w:val="79CB4A45"/>
    <w:rsid w:val="79E01F16"/>
    <w:rsid w:val="79E350B8"/>
    <w:rsid w:val="79E43618"/>
    <w:rsid w:val="79E5181C"/>
    <w:rsid w:val="79F41AED"/>
    <w:rsid w:val="79F87060"/>
    <w:rsid w:val="79FC7479"/>
    <w:rsid w:val="79FE6995"/>
    <w:rsid w:val="7A0547FF"/>
    <w:rsid w:val="7A0704BC"/>
    <w:rsid w:val="7A1C44B3"/>
    <w:rsid w:val="7A2B5261"/>
    <w:rsid w:val="7A363E75"/>
    <w:rsid w:val="7A401D81"/>
    <w:rsid w:val="7A447730"/>
    <w:rsid w:val="7A475061"/>
    <w:rsid w:val="7A4A3633"/>
    <w:rsid w:val="7A684685"/>
    <w:rsid w:val="7A7F6023"/>
    <w:rsid w:val="7A816ED8"/>
    <w:rsid w:val="7A835A05"/>
    <w:rsid w:val="7A955F9E"/>
    <w:rsid w:val="7A9C1628"/>
    <w:rsid w:val="7AA7692F"/>
    <w:rsid w:val="7AAA4F5B"/>
    <w:rsid w:val="7AB71091"/>
    <w:rsid w:val="7AB85583"/>
    <w:rsid w:val="7ABB4295"/>
    <w:rsid w:val="7ABC4DC5"/>
    <w:rsid w:val="7ABE07EB"/>
    <w:rsid w:val="7ACA5F45"/>
    <w:rsid w:val="7AD23820"/>
    <w:rsid w:val="7AD97DDD"/>
    <w:rsid w:val="7AE01DF6"/>
    <w:rsid w:val="7B1E1DBD"/>
    <w:rsid w:val="7B216B34"/>
    <w:rsid w:val="7B220D7A"/>
    <w:rsid w:val="7B2A0C92"/>
    <w:rsid w:val="7B2C3E50"/>
    <w:rsid w:val="7B457074"/>
    <w:rsid w:val="7B4B23C8"/>
    <w:rsid w:val="7B4B3E83"/>
    <w:rsid w:val="7B52691D"/>
    <w:rsid w:val="7B5573A2"/>
    <w:rsid w:val="7B6651D9"/>
    <w:rsid w:val="7B677508"/>
    <w:rsid w:val="7B68500B"/>
    <w:rsid w:val="7B6A5D5B"/>
    <w:rsid w:val="7B7D1BC1"/>
    <w:rsid w:val="7B832167"/>
    <w:rsid w:val="7B8522DD"/>
    <w:rsid w:val="7B8A330C"/>
    <w:rsid w:val="7B8D00BC"/>
    <w:rsid w:val="7B8E140C"/>
    <w:rsid w:val="7B917CAE"/>
    <w:rsid w:val="7B9D2A0B"/>
    <w:rsid w:val="7BAB0258"/>
    <w:rsid w:val="7BAD0F8C"/>
    <w:rsid w:val="7BB20C8F"/>
    <w:rsid w:val="7BB24AFC"/>
    <w:rsid w:val="7BD86A38"/>
    <w:rsid w:val="7BE6381E"/>
    <w:rsid w:val="7BEB1AF4"/>
    <w:rsid w:val="7BF31970"/>
    <w:rsid w:val="7BF65C6F"/>
    <w:rsid w:val="7C042B76"/>
    <w:rsid w:val="7C0E00C2"/>
    <w:rsid w:val="7C155ECC"/>
    <w:rsid w:val="7C23575F"/>
    <w:rsid w:val="7C276459"/>
    <w:rsid w:val="7C2A44C1"/>
    <w:rsid w:val="7C3A3CCA"/>
    <w:rsid w:val="7C4B796C"/>
    <w:rsid w:val="7C4D16F4"/>
    <w:rsid w:val="7C507E19"/>
    <w:rsid w:val="7C52743D"/>
    <w:rsid w:val="7C610E9A"/>
    <w:rsid w:val="7C632226"/>
    <w:rsid w:val="7C7D3129"/>
    <w:rsid w:val="7C7E46D6"/>
    <w:rsid w:val="7C86796B"/>
    <w:rsid w:val="7C886340"/>
    <w:rsid w:val="7C9A38F5"/>
    <w:rsid w:val="7CA60FFE"/>
    <w:rsid w:val="7CA62A1D"/>
    <w:rsid w:val="7CAD759F"/>
    <w:rsid w:val="7CAF2AE1"/>
    <w:rsid w:val="7CB50FA6"/>
    <w:rsid w:val="7CC16C5B"/>
    <w:rsid w:val="7CD04F73"/>
    <w:rsid w:val="7CD460A4"/>
    <w:rsid w:val="7CDD0453"/>
    <w:rsid w:val="7CDE330C"/>
    <w:rsid w:val="7CE74F3B"/>
    <w:rsid w:val="7CED7166"/>
    <w:rsid w:val="7D040663"/>
    <w:rsid w:val="7D1739C2"/>
    <w:rsid w:val="7D1B7509"/>
    <w:rsid w:val="7D203313"/>
    <w:rsid w:val="7D267B0D"/>
    <w:rsid w:val="7D2B3951"/>
    <w:rsid w:val="7D2E19BB"/>
    <w:rsid w:val="7D4412C8"/>
    <w:rsid w:val="7D4A630E"/>
    <w:rsid w:val="7D4C52BC"/>
    <w:rsid w:val="7D5A39D4"/>
    <w:rsid w:val="7D5B5708"/>
    <w:rsid w:val="7D605B8A"/>
    <w:rsid w:val="7D722ED5"/>
    <w:rsid w:val="7D754846"/>
    <w:rsid w:val="7D7D2757"/>
    <w:rsid w:val="7D7E5ABE"/>
    <w:rsid w:val="7D897978"/>
    <w:rsid w:val="7DAC73FE"/>
    <w:rsid w:val="7DAD716D"/>
    <w:rsid w:val="7DAF51FF"/>
    <w:rsid w:val="7DB51140"/>
    <w:rsid w:val="7DB9632D"/>
    <w:rsid w:val="7DBD4AE7"/>
    <w:rsid w:val="7DCE726D"/>
    <w:rsid w:val="7DD0348C"/>
    <w:rsid w:val="7DD42F5E"/>
    <w:rsid w:val="7DD92550"/>
    <w:rsid w:val="7DDD0B4E"/>
    <w:rsid w:val="7DE46294"/>
    <w:rsid w:val="7DF21F85"/>
    <w:rsid w:val="7DF24E3B"/>
    <w:rsid w:val="7DFB5127"/>
    <w:rsid w:val="7DFD162B"/>
    <w:rsid w:val="7DFF2743"/>
    <w:rsid w:val="7E282147"/>
    <w:rsid w:val="7E3012FF"/>
    <w:rsid w:val="7E4B09B9"/>
    <w:rsid w:val="7E5305E6"/>
    <w:rsid w:val="7E59579A"/>
    <w:rsid w:val="7E5A5552"/>
    <w:rsid w:val="7E7026C0"/>
    <w:rsid w:val="7E7044AF"/>
    <w:rsid w:val="7E891110"/>
    <w:rsid w:val="7E8F41CE"/>
    <w:rsid w:val="7E9B5436"/>
    <w:rsid w:val="7E9C5EDF"/>
    <w:rsid w:val="7EA27646"/>
    <w:rsid w:val="7EA63E35"/>
    <w:rsid w:val="7EBB005C"/>
    <w:rsid w:val="7ED03A32"/>
    <w:rsid w:val="7ED06E91"/>
    <w:rsid w:val="7ED4135E"/>
    <w:rsid w:val="7ED5795F"/>
    <w:rsid w:val="7ED77855"/>
    <w:rsid w:val="7ED92098"/>
    <w:rsid w:val="7ED96D6E"/>
    <w:rsid w:val="7EDE467A"/>
    <w:rsid w:val="7EEC404A"/>
    <w:rsid w:val="7EFD6009"/>
    <w:rsid w:val="7F10476E"/>
    <w:rsid w:val="7F197E6C"/>
    <w:rsid w:val="7F1A7CD1"/>
    <w:rsid w:val="7F1B445E"/>
    <w:rsid w:val="7F205AC9"/>
    <w:rsid w:val="7F231565"/>
    <w:rsid w:val="7F237C6B"/>
    <w:rsid w:val="7F300F21"/>
    <w:rsid w:val="7F384EC1"/>
    <w:rsid w:val="7F3915EB"/>
    <w:rsid w:val="7F391940"/>
    <w:rsid w:val="7F3D2627"/>
    <w:rsid w:val="7F5D5CB5"/>
    <w:rsid w:val="7F633B79"/>
    <w:rsid w:val="7F8C611D"/>
    <w:rsid w:val="7F9173B8"/>
    <w:rsid w:val="7FA3174C"/>
    <w:rsid w:val="7FC447D8"/>
    <w:rsid w:val="7FC67445"/>
    <w:rsid w:val="7FC756CE"/>
    <w:rsid w:val="7FD365F5"/>
    <w:rsid w:val="7FDA3424"/>
    <w:rsid w:val="7FFE1A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360" w:lineRule="auto"/>
      <w:ind w:firstLine="354" w:firstLineChars="147"/>
      <w:outlineLvl w:val="1"/>
    </w:pPr>
    <w:rPr>
      <w:rFonts w:ascii="宋体" w:hAnsi="宋体"/>
      <w:b/>
      <w:bCs/>
      <w:color w:val="000000"/>
      <w:kern w:val="0"/>
      <w:sz w:val="24"/>
      <w:lang w:val="zh-CN"/>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line="360" w:lineRule="auto"/>
      <w:outlineLvl w:val="4"/>
    </w:pPr>
    <w:rPr>
      <w:rFonts w:ascii="宋体"/>
      <w:b/>
      <w:bCs/>
      <w:szCs w:val="28"/>
    </w:rPr>
  </w:style>
  <w:style w:type="paragraph" w:styleId="7">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0"/>
    <w:pPr>
      <w:ind w:left="1260"/>
      <w:jc w:val="left"/>
    </w:pPr>
    <w:rPr>
      <w:sz w:val="18"/>
      <w:szCs w:val="18"/>
    </w:rPr>
  </w:style>
  <w:style w:type="paragraph" w:styleId="9">
    <w:name w:val="Normal Indent"/>
    <w:basedOn w:val="1"/>
    <w:next w:val="1"/>
    <w:link w:val="50"/>
    <w:qFormat/>
    <w:uiPriority w:val="0"/>
    <w:pPr>
      <w:ind w:firstLine="420"/>
    </w:pPr>
    <w:rPr>
      <w:szCs w:val="20"/>
    </w:rPr>
  </w:style>
  <w:style w:type="paragraph" w:styleId="10">
    <w:name w:val="Document Map"/>
    <w:basedOn w:val="1"/>
    <w:qFormat/>
    <w:uiPriority w:val="0"/>
    <w:pPr>
      <w:shd w:val="clear" w:color="auto" w:fill="000080"/>
    </w:pPr>
    <w:rPr>
      <w:rFonts w:ascii="宋体" w:hAnsi="宋体"/>
    </w:rPr>
  </w:style>
  <w:style w:type="paragraph" w:styleId="11">
    <w:name w:val="annotation text"/>
    <w:basedOn w:val="1"/>
    <w:qFormat/>
    <w:uiPriority w:val="0"/>
    <w:pPr>
      <w:jc w:val="left"/>
    </w:pPr>
  </w:style>
  <w:style w:type="paragraph" w:styleId="12">
    <w:name w:val="Body Text"/>
    <w:basedOn w:val="1"/>
    <w:next w:val="13"/>
    <w:link w:val="51"/>
    <w:qFormat/>
    <w:uiPriority w:val="0"/>
  </w:style>
  <w:style w:type="paragraph" w:styleId="13">
    <w:name w:val="Body Text First Indent"/>
    <w:basedOn w:val="12"/>
    <w:next w:val="14"/>
    <w:qFormat/>
    <w:uiPriority w:val="0"/>
    <w:pPr>
      <w:spacing w:after="120"/>
      <w:ind w:firstLine="420" w:firstLineChars="100"/>
    </w:pPr>
  </w:style>
  <w:style w:type="paragraph" w:styleId="14">
    <w:name w:val="toc 6"/>
    <w:basedOn w:val="1"/>
    <w:next w:val="1"/>
    <w:qFormat/>
    <w:uiPriority w:val="0"/>
    <w:pPr>
      <w:ind w:left="1050"/>
      <w:jc w:val="left"/>
    </w:pPr>
    <w:rPr>
      <w:sz w:val="18"/>
      <w:szCs w:val="18"/>
    </w:rPr>
  </w:style>
  <w:style w:type="paragraph" w:styleId="15">
    <w:name w:val="Body Text Indent"/>
    <w:basedOn w:val="1"/>
    <w:next w:val="9"/>
    <w:qFormat/>
    <w:uiPriority w:val="0"/>
    <w:pPr>
      <w:ind w:left="420" w:leftChars="200"/>
    </w:pPr>
  </w:style>
  <w:style w:type="paragraph" w:styleId="16">
    <w:name w:val="List 2"/>
    <w:basedOn w:val="1"/>
    <w:qFormat/>
    <w:uiPriority w:val="0"/>
    <w:pPr>
      <w:ind w:left="100" w:leftChars="200" w:hanging="200" w:hangingChars="200"/>
    </w:pPr>
    <w:rPr>
      <w:sz w:val="28"/>
    </w:rPr>
  </w:style>
  <w:style w:type="paragraph" w:styleId="17">
    <w:name w:val="Block Text"/>
    <w:basedOn w:val="1"/>
    <w:qFormat/>
    <w:uiPriority w:val="99"/>
    <w:pPr>
      <w:adjustRightInd w:val="0"/>
      <w:ind w:left="420" w:right="33"/>
      <w:textAlignment w:val="baseline"/>
    </w:pPr>
    <w:rPr>
      <w:sz w:val="24"/>
    </w:r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
      <w:iCs/>
      <w:sz w:val="20"/>
      <w:szCs w:val="20"/>
    </w:rPr>
  </w:style>
  <w:style w:type="paragraph" w:styleId="20">
    <w:name w:val="Plain Text"/>
    <w:basedOn w:val="1"/>
    <w:next w:val="12"/>
    <w:link w:val="52"/>
    <w:qFormat/>
    <w:uiPriority w:val="0"/>
    <w:rPr>
      <w:rFonts w:ascii="宋体" w:hAnsi="Courier New"/>
      <w:szCs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pPr>
      <w:ind w:left="100" w:leftChars="2500"/>
    </w:pPr>
  </w:style>
  <w:style w:type="paragraph" w:styleId="23">
    <w:name w:val="Body Text Indent 2"/>
    <w:basedOn w:val="1"/>
    <w:qFormat/>
    <w:uiPriority w:val="0"/>
    <w:pPr>
      <w:spacing w:line="500" w:lineRule="atLeast"/>
      <w:ind w:firstLine="480"/>
    </w:pPr>
    <w:rPr>
      <w:rFonts w:ascii="楷体_GB2312" w:eastAsia="楷体_GB2312"/>
      <w:color w:val="FF0000"/>
      <w:sz w:val="24"/>
    </w:rPr>
  </w:style>
  <w:style w:type="paragraph" w:styleId="24">
    <w:name w:val="Balloon Text"/>
    <w:basedOn w:val="1"/>
    <w:qFormat/>
    <w:uiPriority w:val="0"/>
    <w:rPr>
      <w:sz w:val="18"/>
      <w:szCs w:val="18"/>
    </w:rPr>
  </w:style>
  <w:style w:type="paragraph" w:styleId="25">
    <w:name w:val="footer"/>
    <w:basedOn w:val="1"/>
    <w:link w:val="53"/>
    <w:qFormat/>
    <w:uiPriority w:val="0"/>
    <w:pPr>
      <w:tabs>
        <w:tab w:val="center" w:pos="4153"/>
        <w:tab w:val="right" w:pos="8306"/>
      </w:tabs>
      <w:snapToGrid w:val="0"/>
      <w:jc w:val="left"/>
    </w:pPr>
    <w:rPr>
      <w:sz w:val="18"/>
      <w:szCs w:val="18"/>
    </w:rPr>
  </w:style>
  <w:style w:type="paragraph" w:styleId="26">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tabs>
        <w:tab w:val="right" w:leader="dot" w:pos="9628"/>
      </w:tabs>
      <w:spacing w:line="480" w:lineRule="auto"/>
      <w:jc w:val="left"/>
    </w:pPr>
    <w:rPr>
      <w:rFonts w:cs="宋体"/>
      <w:b/>
      <w:bCs/>
      <w:caps/>
      <w:kern w:val="0"/>
      <w:sz w:val="28"/>
      <w:szCs w:val="28"/>
    </w:rPr>
  </w:style>
  <w:style w:type="paragraph" w:styleId="28">
    <w:name w:val="toc 4"/>
    <w:basedOn w:val="1"/>
    <w:next w:val="1"/>
    <w:qFormat/>
    <w:uiPriority w:val="0"/>
    <w:pPr>
      <w:ind w:left="630"/>
      <w:jc w:val="left"/>
    </w:pPr>
    <w:rPr>
      <w:sz w:val="18"/>
      <w:szCs w:val="18"/>
    </w:rPr>
  </w:style>
  <w:style w:type="paragraph" w:styleId="29">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30">
    <w:name w:val="List"/>
    <w:basedOn w:val="1"/>
    <w:next w:val="1"/>
    <w:qFormat/>
    <w:uiPriority w:val="0"/>
    <w:pPr>
      <w:ind w:left="200" w:hanging="200" w:hangingChars="200"/>
    </w:pPr>
    <w:rPr>
      <w:szCs w:val="20"/>
    </w:rPr>
  </w:style>
  <w:style w:type="paragraph" w:styleId="31">
    <w:name w:val="footnote text"/>
    <w:basedOn w:val="1"/>
    <w:qFormat/>
    <w:uiPriority w:val="0"/>
    <w:pPr>
      <w:snapToGrid w:val="0"/>
      <w:jc w:val="left"/>
    </w:pPr>
    <w:rPr>
      <w:sz w:val="18"/>
    </w:rPr>
  </w:style>
  <w:style w:type="paragraph" w:styleId="32">
    <w:name w:val="Body Text Indent 3"/>
    <w:basedOn w:val="1"/>
    <w:link w:val="55"/>
    <w:qFormat/>
    <w:uiPriority w:val="0"/>
    <w:pPr>
      <w:ind w:left="420" w:leftChars="200"/>
    </w:pPr>
    <w:rPr>
      <w:sz w:val="16"/>
      <w:szCs w:val="16"/>
    </w:rPr>
  </w:style>
  <w:style w:type="paragraph" w:styleId="3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34">
    <w:name w:val="toc 2"/>
    <w:basedOn w:val="1"/>
    <w:next w:val="1"/>
    <w:qFormat/>
    <w:uiPriority w:val="0"/>
    <w:pPr>
      <w:tabs>
        <w:tab w:val="right" w:leader="dot" w:pos="9639"/>
      </w:tabs>
      <w:spacing w:line="360" w:lineRule="auto"/>
      <w:ind w:left="210" w:leftChars="100" w:firstLine="360" w:firstLineChars="150"/>
      <w:jc w:val="left"/>
    </w:pPr>
    <w:rPr>
      <w:rFonts w:ascii="宋体" w:hAnsi="宋体"/>
      <w:smallCaps/>
      <w:color w:val="FF0000"/>
      <w:sz w:val="24"/>
    </w:rPr>
  </w:style>
  <w:style w:type="paragraph" w:styleId="35">
    <w:name w:val="toc 9"/>
    <w:basedOn w:val="1"/>
    <w:next w:val="1"/>
    <w:qFormat/>
    <w:uiPriority w:val="0"/>
    <w:pPr>
      <w:ind w:left="1680"/>
      <w:jc w:val="left"/>
    </w:pPr>
    <w:rPr>
      <w:sz w:val="18"/>
      <w:szCs w:val="18"/>
    </w:rPr>
  </w:style>
  <w:style w:type="paragraph" w:styleId="3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8">
    <w:name w:val="Normal (Web)"/>
    <w:basedOn w:val="1"/>
    <w:qFormat/>
    <w:uiPriority w:val="0"/>
    <w:pPr>
      <w:widowControl/>
      <w:spacing w:beforeAutospacing="1" w:afterAutospacing="1"/>
      <w:jc w:val="left"/>
    </w:pPr>
    <w:rPr>
      <w:rFonts w:hint="eastAsia" w:ascii="宋体" w:hAnsi="宋体"/>
      <w:kern w:val="0"/>
      <w:sz w:val="24"/>
    </w:rPr>
  </w:style>
  <w:style w:type="paragraph" w:styleId="39">
    <w:name w:val="Title"/>
    <w:basedOn w:val="1"/>
    <w:next w:val="1"/>
    <w:qFormat/>
    <w:uiPriority w:val="0"/>
    <w:pPr>
      <w:spacing w:before="240" w:after="60"/>
      <w:jc w:val="center"/>
      <w:outlineLvl w:val="0"/>
    </w:pPr>
    <w:rPr>
      <w:rFonts w:ascii="Arial" w:hAnsi="Arial"/>
      <w:b/>
      <w:bCs/>
      <w:color w:val="000000"/>
      <w:kern w:val="0"/>
      <w:sz w:val="32"/>
      <w:szCs w:val="32"/>
    </w:rPr>
  </w:style>
  <w:style w:type="paragraph" w:styleId="40">
    <w:name w:val="annotation subject"/>
    <w:basedOn w:val="11"/>
    <w:next w:val="11"/>
    <w:qFormat/>
    <w:uiPriority w:val="0"/>
    <w:rPr>
      <w:b/>
      <w:bCs/>
    </w:rPr>
  </w:style>
  <w:style w:type="paragraph" w:styleId="41">
    <w:name w:val="Body Text First Indent 2"/>
    <w:basedOn w:val="15"/>
    <w:next w:val="42"/>
    <w:qFormat/>
    <w:uiPriority w:val="0"/>
    <w:pPr>
      <w:ind w:firstLine="420" w:firstLineChars="200"/>
    </w:pPr>
  </w:style>
  <w:style w:type="paragraph" w:customStyle="1" w:styleId="4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ascii="Times New Roman" w:hAnsi="Times New Roman" w:eastAsia="宋体" w:cs="Times New Roman"/>
      <w:b/>
      <w:bCs/>
      <w:sz w:val="21"/>
    </w:rPr>
  </w:style>
  <w:style w:type="character" w:styleId="47">
    <w:name w:val="page number"/>
    <w:qFormat/>
    <w:uiPriority w:val="0"/>
    <w:rPr>
      <w:rFonts w:ascii="Times New Roman" w:hAnsi="Times New Roman" w:eastAsia="宋体" w:cs="Times New Roman"/>
      <w:sz w:val="21"/>
    </w:rPr>
  </w:style>
  <w:style w:type="character" w:styleId="48">
    <w:name w:val="Hyperlink"/>
    <w:qFormat/>
    <w:uiPriority w:val="0"/>
    <w:rPr>
      <w:rFonts w:ascii="Times New Roman" w:hAnsi="Times New Roman" w:eastAsia="宋体" w:cs="Times New Roman"/>
      <w:color w:val="0000FF"/>
      <w:sz w:val="21"/>
      <w:u w:val="single"/>
    </w:rPr>
  </w:style>
  <w:style w:type="character" w:styleId="49">
    <w:name w:val="annotation reference"/>
    <w:qFormat/>
    <w:uiPriority w:val="0"/>
    <w:rPr>
      <w:rFonts w:ascii="Times New Roman" w:hAnsi="Times New Roman" w:eastAsia="宋体" w:cs="Times New Roman"/>
      <w:sz w:val="21"/>
      <w:szCs w:val="21"/>
    </w:rPr>
  </w:style>
  <w:style w:type="character" w:customStyle="1" w:styleId="50">
    <w:name w:val="正文缩进 字符"/>
    <w:link w:val="9"/>
    <w:qFormat/>
    <w:uiPriority w:val="0"/>
    <w:rPr>
      <w:rFonts w:ascii="Times New Roman" w:hAnsi="Times New Roman" w:eastAsia="宋体" w:cs="Times New Roman"/>
      <w:kern w:val="2"/>
      <w:sz w:val="21"/>
      <w:lang w:val="en-US" w:eastAsia="zh-CN" w:bidi="ar-SA"/>
    </w:rPr>
  </w:style>
  <w:style w:type="character" w:customStyle="1" w:styleId="51">
    <w:name w:val="正文文本 字符"/>
    <w:link w:val="12"/>
    <w:qFormat/>
    <w:uiPriority w:val="0"/>
    <w:rPr>
      <w:rFonts w:ascii="Times New Roman" w:hAnsi="Times New Roman" w:eastAsia="宋体" w:cs="Times New Roman"/>
      <w:kern w:val="2"/>
      <w:sz w:val="21"/>
      <w:szCs w:val="24"/>
      <w:lang w:val="en-US" w:eastAsia="zh-CN" w:bidi="ar-SA"/>
    </w:rPr>
  </w:style>
  <w:style w:type="character" w:customStyle="1" w:styleId="52">
    <w:name w:val="纯文本 字符"/>
    <w:link w:val="20"/>
    <w:qFormat/>
    <w:uiPriority w:val="0"/>
    <w:rPr>
      <w:rFonts w:ascii="宋体" w:hAnsi="Courier New" w:eastAsia="宋体" w:cs="Times New Roman"/>
      <w:kern w:val="2"/>
      <w:sz w:val="21"/>
      <w:lang w:val="en-US" w:eastAsia="zh-CN" w:bidi="ar-SA"/>
    </w:rPr>
  </w:style>
  <w:style w:type="character" w:customStyle="1" w:styleId="53">
    <w:name w:val="页脚 字符"/>
    <w:link w:val="25"/>
    <w:qFormat/>
    <w:uiPriority w:val="0"/>
    <w:rPr>
      <w:rFonts w:ascii="Times New Roman" w:hAnsi="Times New Roman" w:eastAsia="宋体" w:cs="Times New Roman"/>
      <w:kern w:val="2"/>
      <w:sz w:val="18"/>
      <w:szCs w:val="18"/>
      <w:lang w:val="en-US" w:eastAsia="zh-CN" w:bidi="ar-SA"/>
    </w:rPr>
  </w:style>
  <w:style w:type="character" w:customStyle="1" w:styleId="54">
    <w:name w:val="页眉 字符"/>
    <w:link w:val="26"/>
    <w:qFormat/>
    <w:uiPriority w:val="0"/>
    <w:rPr>
      <w:rFonts w:ascii="Times New Roman" w:hAnsi="Times New Roman" w:eastAsia="宋体" w:cs="Times New Roman"/>
      <w:kern w:val="2"/>
      <w:sz w:val="18"/>
      <w:szCs w:val="18"/>
      <w:lang w:val="en-US" w:eastAsia="zh-CN" w:bidi="ar-SA"/>
    </w:rPr>
  </w:style>
  <w:style w:type="character" w:customStyle="1" w:styleId="55">
    <w:name w:val="正文文本缩进 3 字符"/>
    <w:link w:val="32"/>
    <w:qFormat/>
    <w:uiPriority w:val="0"/>
    <w:rPr>
      <w:rFonts w:ascii="Times New Roman" w:hAnsi="Times New Roman" w:eastAsia="宋体" w:cs="Times New Roman"/>
      <w:kern w:val="2"/>
      <w:sz w:val="16"/>
      <w:szCs w:val="16"/>
    </w:rPr>
  </w:style>
  <w:style w:type="paragraph" w:customStyle="1" w:styleId="56">
    <w:name w:val="正文_2"/>
    <w:next w:val="3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7">
    <w:name w:val="10"/>
    <w:qFormat/>
    <w:uiPriority w:val="0"/>
    <w:rPr>
      <w:rFonts w:hint="default" w:ascii="Times New Roman" w:hAnsi="Times New Roman" w:eastAsia="宋体" w:cs="Times New Roman"/>
      <w:sz w:val="21"/>
    </w:rPr>
  </w:style>
  <w:style w:type="character" w:customStyle="1" w:styleId="58">
    <w:name w:val="font51"/>
    <w:qFormat/>
    <w:uiPriority w:val="0"/>
    <w:rPr>
      <w:rFonts w:hint="default" w:ascii="Times New Roman" w:hAnsi="Times New Roman" w:eastAsia="宋体" w:cs="Times New Roman"/>
      <w:color w:val="000000"/>
      <w:sz w:val="22"/>
      <w:szCs w:val="22"/>
      <w:u w:val="none"/>
    </w:rPr>
  </w:style>
  <w:style w:type="character" w:customStyle="1" w:styleId="59">
    <w:name w:val="bookmark-item uuid-1588129097073 code-23007 addword single-line-text-input-box-cls readonly"/>
    <w:qFormat/>
    <w:uiPriority w:val="0"/>
    <w:rPr>
      <w:rFonts w:ascii="Times New Roman" w:hAnsi="Times New Roman" w:eastAsia="宋体" w:cs="Times New Roman"/>
      <w:sz w:val="21"/>
    </w:rPr>
  </w:style>
  <w:style w:type="character" w:customStyle="1" w:styleId="60">
    <w:name w:val="font11"/>
    <w:qFormat/>
    <w:uiPriority w:val="0"/>
    <w:rPr>
      <w:rFonts w:hint="eastAsia" w:ascii="宋体" w:hAnsi="宋体" w:eastAsia="宋体" w:cs="宋体"/>
      <w:color w:val="000000"/>
      <w:sz w:val="22"/>
      <w:szCs w:val="22"/>
      <w:u w:val="none"/>
    </w:rPr>
  </w:style>
  <w:style w:type="character" w:customStyle="1" w:styleId="61">
    <w:name w:val="textcontents"/>
    <w:qFormat/>
    <w:uiPriority w:val="0"/>
    <w:rPr>
      <w:rFonts w:ascii="Times New Roman" w:hAnsi="Times New Roman" w:eastAsia="宋体" w:cs="Times New Roman"/>
      <w:sz w:val="21"/>
    </w:rPr>
  </w:style>
  <w:style w:type="character" w:customStyle="1" w:styleId="62">
    <w:name w:val="font31"/>
    <w:qFormat/>
    <w:uiPriority w:val="0"/>
    <w:rPr>
      <w:rFonts w:hint="eastAsia" w:ascii="宋体" w:hAnsi="宋体" w:eastAsia="宋体" w:cs="宋体"/>
      <w:color w:val="000000"/>
      <w:sz w:val="22"/>
      <w:szCs w:val="22"/>
      <w:u w:val="none"/>
    </w:rPr>
  </w:style>
  <w:style w:type="character" w:customStyle="1" w:styleId="63">
    <w:name w:val="font61"/>
    <w:qFormat/>
    <w:uiPriority w:val="0"/>
    <w:rPr>
      <w:rFonts w:hint="default" w:ascii="Times New Roman" w:hAnsi="Times New Roman" w:eastAsia="宋体" w:cs="Times New Roman"/>
      <w:color w:val="000000"/>
      <w:sz w:val="22"/>
      <w:szCs w:val="22"/>
      <w:u w:val="none"/>
    </w:rPr>
  </w:style>
  <w:style w:type="character" w:customStyle="1" w:styleId="64">
    <w:name w:val="font81"/>
    <w:qFormat/>
    <w:uiPriority w:val="0"/>
    <w:rPr>
      <w:rFonts w:hint="eastAsia" w:ascii="宋体" w:hAnsi="宋体" w:eastAsia="宋体" w:cs="宋体"/>
      <w:color w:val="000000"/>
      <w:sz w:val="22"/>
      <w:szCs w:val="22"/>
      <w:u w:val="none"/>
      <w:vertAlign w:val="superscript"/>
    </w:rPr>
  </w:style>
  <w:style w:type="character" w:customStyle="1" w:styleId="65">
    <w:name w:val="font71"/>
    <w:qFormat/>
    <w:uiPriority w:val="0"/>
    <w:rPr>
      <w:rFonts w:hint="default" w:ascii="Times New Roman" w:hAnsi="Times New Roman" w:eastAsia="宋体" w:cs="Times New Roman"/>
      <w:color w:val="000000"/>
      <w:sz w:val="22"/>
      <w:szCs w:val="22"/>
      <w:u w:val="none"/>
    </w:rPr>
  </w:style>
  <w:style w:type="character" w:customStyle="1" w:styleId="66">
    <w:name w:val="font21"/>
    <w:qFormat/>
    <w:uiPriority w:val="0"/>
    <w:rPr>
      <w:rFonts w:hint="eastAsia" w:ascii="宋体" w:hAnsi="宋体" w:eastAsia="宋体" w:cs="宋体"/>
      <w:color w:val="000000"/>
      <w:sz w:val="22"/>
      <w:szCs w:val="22"/>
      <w:u w:val="none"/>
    </w:rPr>
  </w:style>
  <w:style w:type="character" w:customStyle="1" w:styleId="67">
    <w:name w:val="普通文字 Char"/>
    <w:qFormat/>
    <w:uiPriority w:val="0"/>
    <w:rPr>
      <w:rFonts w:ascii="宋体" w:hAnsi="Courier New" w:eastAsia="宋体" w:cs="Times New Roman"/>
      <w:kern w:val="2"/>
      <w:sz w:val="21"/>
      <w:lang w:val="en-US" w:eastAsia="zh-CN" w:bidi="ar-SA"/>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font41"/>
    <w:qFormat/>
    <w:uiPriority w:val="0"/>
    <w:rPr>
      <w:rFonts w:hint="default" w:ascii="Times New Roman" w:hAnsi="Times New Roman" w:eastAsia="宋体" w:cs="Times New Roman"/>
      <w:color w:val="000000"/>
      <w:sz w:val="22"/>
      <w:szCs w:val="22"/>
      <w:u w:val="none"/>
      <w:vertAlign w:val="superscript"/>
    </w:rPr>
  </w:style>
  <w:style w:type="character" w:customStyle="1" w:styleId="70">
    <w:name w:val="shouchang1"/>
    <w:qFormat/>
    <w:uiPriority w:val="0"/>
    <w:rPr>
      <w:rFonts w:ascii="Times New Roman" w:hAnsi="Times New Roman" w:eastAsia="宋体" w:cs="Times New Roman"/>
      <w:color w:val="000000"/>
      <w:sz w:val="12"/>
      <w:szCs w:val="12"/>
      <w:u w:val="none"/>
    </w:rPr>
  </w:style>
  <w:style w:type="paragraph" w:customStyle="1" w:styleId="71">
    <w:name w:val="纯文本1"/>
    <w:basedOn w:val="1"/>
    <w:qFormat/>
    <w:uiPriority w:val="0"/>
    <w:pPr>
      <w:adjustRightInd w:val="0"/>
      <w:textAlignment w:val="baseline"/>
    </w:pPr>
    <w:rPr>
      <w:rFonts w:ascii="宋体" w:hAnsi="Courier New" w:eastAsia="楷体_GB2312"/>
      <w:sz w:val="28"/>
      <w:szCs w:val="20"/>
    </w:rPr>
  </w:style>
  <w:style w:type="paragraph" w:customStyle="1" w:styleId="72">
    <w:name w:val="目录1"/>
    <w:basedOn w:val="1"/>
    <w:qFormat/>
    <w:uiPriority w:val="0"/>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paragraph" w:customStyle="1" w:styleId="73">
    <w:name w:val="表格内容"/>
    <w:basedOn w:val="1"/>
    <w:qFormat/>
    <w:uiPriority w:val="0"/>
    <w:pPr>
      <w:widowControl/>
      <w:jc w:val="center"/>
    </w:pPr>
    <w:rPr>
      <w:kern w:val="0"/>
      <w:sz w:val="24"/>
      <w:szCs w:val="28"/>
    </w:rPr>
  </w:style>
  <w:style w:type="paragraph" w:customStyle="1" w:styleId="74">
    <w:name w:val="Char1"/>
    <w:basedOn w:val="1"/>
    <w:qFormat/>
    <w:uiPriority w:val="0"/>
    <w:rPr>
      <w:rFonts w:ascii="仿宋_GB2312" w:eastAsia="仿宋_GB2312"/>
      <w:b/>
      <w:sz w:val="32"/>
      <w:szCs w:val="32"/>
    </w:rPr>
  </w:style>
  <w:style w:type="paragraph" w:customStyle="1" w:styleId="75">
    <w:name w:val="列表编号 3 New"/>
    <w:basedOn w:val="1"/>
    <w:qFormat/>
    <w:uiPriority w:val="0"/>
    <w:pPr>
      <w:widowControl/>
      <w:numPr>
        <w:ilvl w:val="0"/>
        <w:numId w:val="2"/>
      </w:numPr>
      <w:tabs>
        <w:tab w:val="left" w:pos="482"/>
      </w:tabs>
      <w:spacing w:afterLines="50"/>
      <w:jc w:val="left"/>
    </w:pPr>
    <w:rPr>
      <w:kern w:val="0"/>
      <w:sz w:val="24"/>
      <w:szCs w:val="20"/>
    </w:rPr>
  </w:style>
  <w:style w:type="paragraph" w:customStyle="1" w:styleId="7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7">
    <w:name w:val="No Spacing"/>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样式 正文文本 + 首行缩进:  2 字符"/>
    <w:basedOn w:val="12"/>
    <w:qFormat/>
    <w:uiPriority w:val="0"/>
    <w:pPr>
      <w:snapToGrid w:val="0"/>
      <w:spacing w:line="400" w:lineRule="exact"/>
      <w:ind w:firstLine="200" w:firstLineChars="200"/>
    </w:pPr>
    <w:rPr>
      <w:rFonts w:ascii="Arial" w:hAnsi="Arial" w:cs="宋体"/>
    </w:rPr>
  </w:style>
  <w:style w:type="paragraph" w:customStyle="1" w:styleId="80">
    <w:name w:val="Header or footer|1"/>
    <w:basedOn w:val="1"/>
    <w:qFormat/>
    <w:uiPriority w:val="0"/>
    <w:rPr>
      <w:sz w:val="20"/>
      <w:szCs w:val="20"/>
      <w:lang w:val="zh-TW" w:eastAsia="zh-TW" w:bidi="zh-TW"/>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首行缩进"/>
    <w:basedOn w:val="1"/>
    <w:qFormat/>
    <w:uiPriority w:val="0"/>
    <w:pPr>
      <w:spacing w:line="360" w:lineRule="auto"/>
      <w:ind w:firstLine="480" w:firstLineChars="200"/>
    </w:pPr>
    <w:rPr>
      <w:sz w:val="24"/>
      <w:lang w:val="zh-CN"/>
    </w:rPr>
  </w:style>
  <w:style w:type="paragraph" w:customStyle="1" w:styleId="83">
    <w:name w:val="xl26"/>
    <w:basedOn w:val="1"/>
    <w:qFormat/>
    <w:uiPriority w:val="0"/>
    <w:pPr>
      <w:widowControl/>
      <w:spacing w:beforeAutospacing="1" w:afterAutospacing="1"/>
      <w:jc w:val="center"/>
    </w:pPr>
    <w:rPr>
      <w:rFonts w:ascii="仿宋_GB2312" w:hAnsi="宋体" w:eastAsia="仿宋_GB2312"/>
      <w:b/>
      <w:bCs/>
      <w:kern w:val="0"/>
      <w:sz w:val="24"/>
    </w:rPr>
  </w:style>
  <w:style w:type="paragraph" w:customStyle="1" w:styleId="84">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85">
    <w:name w:val="Char2"/>
    <w:basedOn w:val="10"/>
    <w:next w:val="1"/>
    <w:qFormat/>
    <w:uiPriority w:val="0"/>
    <w:rPr>
      <w:rFonts w:ascii="Times New Roman" w:hAnsi="Times New Roman"/>
    </w:rPr>
  </w:style>
  <w:style w:type="paragraph" w:customStyle="1" w:styleId="86">
    <w:name w:val="Bid_正文"/>
    <w:basedOn w:val="9"/>
    <w:qFormat/>
    <w:uiPriority w:val="0"/>
    <w:pPr>
      <w:widowControl/>
      <w:ind w:firstLine="480"/>
      <w:jc w:val="left"/>
    </w:pPr>
    <w:rPr>
      <w:kern w:val="0"/>
      <w:sz w:val="24"/>
    </w:rPr>
  </w:style>
  <w:style w:type="paragraph" w:customStyle="1" w:styleId="87">
    <w:name w:val="正文段"/>
    <w:basedOn w:val="1"/>
    <w:qFormat/>
    <w:uiPriority w:val="0"/>
    <w:pPr>
      <w:widowControl/>
      <w:snapToGrid w:val="0"/>
      <w:spacing w:afterLines="50"/>
      <w:ind w:firstLine="200" w:firstLineChars="200"/>
    </w:pPr>
    <w:rPr>
      <w:kern w:val="0"/>
      <w:sz w:val="24"/>
      <w:szCs w:val="20"/>
    </w:rPr>
  </w:style>
  <w:style w:type="paragraph" w:customStyle="1" w:styleId="88">
    <w:name w:val="列出段落2"/>
    <w:basedOn w:val="1"/>
    <w:qFormat/>
    <w:uiPriority w:val="0"/>
    <w:pPr>
      <w:ind w:firstLine="420" w:firstLineChars="200"/>
    </w:pPr>
  </w:style>
  <w:style w:type="paragraph" w:customStyle="1" w:styleId="89">
    <w:name w:val="表格用"/>
    <w:basedOn w:val="1"/>
    <w:qFormat/>
    <w:uiPriority w:val="0"/>
    <w:rPr>
      <w:kern w:val="0"/>
    </w:rPr>
  </w:style>
  <w:style w:type="paragraph" w:customStyle="1" w:styleId="90">
    <w:name w:val="台头"/>
    <w:basedOn w:val="1"/>
    <w:qFormat/>
    <w:uiPriority w:val="0"/>
    <w:pPr>
      <w:autoSpaceDE w:val="0"/>
      <w:autoSpaceDN w:val="0"/>
      <w:adjustRightInd w:val="0"/>
      <w:spacing w:line="264" w:lineRule="auto"/>
      <w:textAlignment w:val="baseline"/>
    </w:pPr>
    <w:rPr>
      <w:kern w:val="0"/>
      <w:sz w:val="28"/>
      <w:szCs w:val="20"/>
    </w:rPr>
  </w:style>
  <w:style w:type="paragraph" w:customStyle="1" w:styleId="91">
    <w:name w:val="Char"/>
    <w:basedOn w:val="1"/>
    <w:qFormat/>
    <w:uiPriority w:val="0"/>
    <w:rPr>
      <w:rFonts w:ascii="仿宋_GB2312" w:eastAsia="仿宋_GB2312"/>
      <w:b/>
      <w:sz w:val="32"/>
      <w:szCs w:val="32"/>
    </w:rPr>
  </w:style>
  <w:style w:type="paragraph" w:customStyle="1" w:styleId="92">
    <w:name w:val="样式 正文缩进 + 首行缩进:  2 字符"/>
    <w:basedOn w:val="9"/>
    <w:qFormat/>
    <w:uiPriority w:val="0"/>
    <w:pPr>
      <w:spacing w:line="360" w:lineRule="auto"/>
      <w:ind w:firstLine="200"/>
    </w:pPr>
    <w:rPr>
      <w:rFonts w:cs="宋体"/>
      <w:sz w:val="24"/>
    </w:rPr>
  </w:style>
  <w:style w:type="paragraph" w:customStyle="1" w:styleId="9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列出段落1"/>
    <w:basedOn w:val="1"/>
    <w:qFormat/>
    <w:uiPriority w:val="0"/>
    <w:pPr>
      <w:ind w:firstLine="420" w:firstLineChars="200"/>
    </w:pPr>
  </w:style>
  <w:style w:type="paragraph" w:customStyle="1" w:styleId="95">
    <w:name w:val="CR正文"/>
    <w:basedOn w:val="1"/>
    <w:qFormat/>
    <w:uiPriority w:val="0"/>
    <w:pPr>
      <w:ind w:right="210" w:firstLine="420"/>
    </w:pPr>
    <w:rPr>
      <w:rFonts w:ascii="Calibri" w:hAnsi="Calibri" w:eastAsia="微软雅黑"/>
      <w:sz w:val="24"/>
      <w:szCs w:val="21"/>
    </w:rPr>
  </w:style>
  <w:style w:type="paragraph" w:customStyle="1" w:styleId="96">
    <w:name w:val="表格"/>
    <w:basedOn w:val="1"/>
    <w:qFormat/>
    <w:uiPriority w:val="0"/>
    <w:pPr>
      <w:widowControl/>
      <w:spacing w:line="360" w:lineRule="auto"/>
      <w:jc w:val="left"/>
    </w:pPr>
    <w:rPr>
      <w:rFonts w:ascii="宋体" w:hAnsi="宋体" w:cs="宋体"/>
      <w:color w:val="000000"/>
      <w:sz w:val="24"/>
    </w:rPr>
  </w:style>
  <w:style w:type="paragraph" w:customStyle="1" w:styleId="97">
    <w:name w:val="正文2"/>
    <w:basedOn w:val="1"/>
    <w:qFormat/>
    <w:uiPriority w:val="0"/>
    <w:pPr>
      <w:spacing w:line="360" w:lineRule="auto"/>
      <w:ind w:firstLine="510" w:firstLineChars="200"/>
    </w:pPr>
    <w:rPr>
      <w:sz w:val="24"/>
      <w:szCs w:val="20"/>
    </w:rPr>
  </w:style>
  <w:style w:type="paragraph" w:customStyle="1" w:styleId="98">
    <w:name w:val="正文缩进2"/>
    <w:basedOn w:val="1"/>
    <w:next w:val="1"/>
    <w:qFormat/>
    <w:uiPriority w:val="0"/>
    <w:pPr>
      <w:spacing w:line="500" w:lineRule="exact"/>
      <w:ind w:firstLine="567"/>
    </w:pPr>
    <w:rPr>
      <w:sz w:val="24"/>
      <w:szCs w:val="20"/>
    </w:rPr>
  </w:style>
  <w:style w:type="paragraph" w:customStyle="1" w:styleId="99">
    <w:name w:val="Table Paragraph"/>
    <w:basedOn w:val="1"/>
    <w:qFormat/>
    <w:uiPriority w:val="0"/>
    <w:rPr>
      <w:rFonts w:ascii="宋体" w:hAnsi="宋体" w:cs="宋体"/>
      <w:lang w:val="zh-CN" w:bidi="zh-CN"/>
    </w:rPr>
  </w:style>
  <w:style w:type="paragraph" w:customStyle="1" w:styleId="100">
    <w:name w:val="Char Char7 Char"/>
    <w:basedOn w:val="1"/>
    <w:qFormat/>
    <w:uiPriority w:val="0"/>
    <w:pPr>
      <w:tabs>
        <w:tab w:val="left" w:pos="425"/>
      </w:tabs>
      <w:ind w:left="420" w:leftChars="200" w:firstLine="270" w:firstLineChars="150"/>
    </w:pPr>
  </w:style>
  <w:style w:type="paragraph" w:styleId="101">
    <w:name w:val="List Paragraph"/>
    <w:basedOn w:val="1"/>
    <w:qFormat/>
    <w:uiPriority w:val="0"/>
    <w:pPr>
      <w:ind w:firstLine="420" w:firstLineChars="200"/>
    </w:pPr>
    <w:rPr>
      <w:rFonts w:ascii="Calibri" w:hAnsi="Calibri"/>
      <w:szCs w:val="22"/>
    </w:rPr>
  </w:style>
  <w:style w:type="paragraph" w:customStyle="1" w:styleId="10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03">
    <w:name w:val="Char3"/>
    <w:basedOn w:val="1"/>
    <w:qFormat/>
    <w:uiPriority w:val="0"/>
    <w:rPr>
      <w:rFonts w:ascii="仿宋_GB2312" w:eastAsia="仿宋_GB2312"/>
      <w:b/>
      <w:sz w:val="32"/>
      <w:szCs w:val="32"/>
    </w:rPr>
  </w:style>
  <w:style w:type="paragraph" w:customStyle="1" w:styleId="104">
    <w:name w:val="正文_2_0_2_0"/>
    <w:basedOn w:val="56"/>
    <w:qFormat/>
    <w:uiPriority w:val="0"/>
    <w:rPr>
      <w:szCs w:val="21"/>
    </w:rPr>
  </w:style>
  <w:style w:type="paragraph" w:customStyle="1" w:styleId="105">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106">
    <w:name w:val="&quot;Table&quot;"/>
    <w:qFormat/>
    <w:uiPriority w:val="0"/>
    <w:pPr>
      <w:widowControl w:val="0"/>
      <w:jc w:val="center"/>
    </w:pPr>
    <w:rPr>
      <w:rFonts w:hint="eastAsia" w:ascii="宋体" w:hAnsi="宋体" w:eastAsia="仿宋" w:cs="Times New Roman"/>
      <w:kern w:val="2"/>
      <w:sz w:val="21"/>
      <w:szCs w:val="21"/>
      <w:lang w:val="en-US" w:eastAsia="zh-CN" w:bidi="ar-SA"/>
    </w:rPr>
  </w:style>
  <w:style w:type="paragraph" w:customStyle="1" w:styleId="107">
    <w:name w:val="样式1"/>
    <w:basedOn w:val="1"/>
    <w:qFormat/>
    <w:uiPriority w:val="0"/>
    <w:pPr>
      <w:numPr>
        <w:ilvl w:val="0"/>
        <w:numId w:val="3"/>
      </w:numPr>
      <w:adjustRightInd w:val="0"/>
      <w:textAlignment w:val="baseline"/>
    </w:pPr>
    <w:rPr>
      <w:rFonts w:ascii="宋体" w:hAnsi="宋体"/>
      <w:kern w:val="0"/>
      <w:sz w:val="20"/>
      <w:szCs w:val="20"/>
    </w:rPr>
  </w:style>
  <w:style w:type="paragraph" w:customStyle="1" w:styleId="108">
    <w:name w:val="样式 正文文本"/>
    <w:basedOn w:val="79"/>
    <w:qFormat/>
    <w:uiPriority w:val="0"/>
    <w:rPr>
      <w:rFonts w:ascii="Times New Roman" w:hAnsi="Times New Roman" w:cs="Times New Roman"/>
      <w:color w:val="000000"/>
    </w:rPr>
  </w:style>
  <w:style w:type="paragraph" w:customStyle="1" w:styleId="10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xl31"/>
    <w:basedOn w:val="1"/>
    <w:qFormat/>
    <w:uiPriority w:val="0"/>
    <w:pPr>
      <w:widowControl/>
      <w:spacing w:beforeAutospacing="1" w:afterAutospacing="1"/>
      <w:jc w:val="center"/>
      <w:textAlignment w:val="center"/>
    </w:pPr>
    <w:rPr>
      <w:rFonts w:ascii="宋体" w:hAnsi="宋体"/>
      <w:b/>
      <w:bCs/>
      <w:kern w:val="0"/>
      <w:sz w:val="32"/>
      <w:szCs w:val="32"/>
    </w:rPr>
  </w:style>
  <w:style w:type="paragraph" w:customStyle="1" w:styleId="111">
    <w:name w:val="p17"/>
    <w:basedOn w:val="1"/>
    <w:qFormat/>
    <w:uiPriority w:val="0"/>
    <w:pPr>
      <w:widowControl/>
    </w:pPr>
    <w:rPr>
      <w:rFonts w:ascii="宋体" w:hAnsi="宋体" w:cs="宋体"/>
      <w:kern w:val="0"/>
      <w:szCs w:val="21"/>
    </w:rPr>
  </w:style>
  <w:style w:type="paragraph" w:customStyle="1" w:styleId="112">
    <w:name w:val="Char Char1 Char"/>
    <w:basedOn w:val="1"/>
    <w:qFormat/>
    <w:uiPriority w:val="0"/>
    <w:pPr>
      <w:widowControl/>
      <w:spacing w:line="240" w:lineRule="exact"/>
      <w:jc w:val="left"/>
    </w:pPr>
    <w:rPr>
      <w:rFonts w:ascii="Verdana" w:hAnsi="Verdana" w:eastAsia="Times New Roman"/>
      <w:kern w:val="0"/>
      <w:sz w:val="24"/>
      <w:szCs w:val="20"/>
      <w:lang w:eastAsia="en-US"/>
    </w:rPr>
  </w:style>
  <w:style w:type="paragraph" w:customStyle="1" w:styleId="113">
    <w:name w:val="Char Char1 Char1"/>
    <w:basedOn w:val="1"/>
    <w:qFormat/>
    <w:uiPriority w:val="0"/>
    <w:pPr>
      <w:widowControl/>
      <w:spacing w:line="240" w:lineRule="exact"/>
      <w:jc w:val="left"/>
    </w:pPr>
    <w:rPr>
      <w:rFonts w:ascii="Verdana" w:hAnsi="Verdana" w:eastAsia="Times New Roman"/>
      <w:kern w:val="0"/>
      <w:sz w:val="24"/>
      <w:szCs w:val="20"/>
      <w:lang w:eastAsia="en-US"/>
    </w:rPr>
  </w:style>
  <w:style w:type="paragraph" w:customStyle="1" w:styleId="114">
    <w:name w:val="0广--正文"/>
    <w:basedOn w:val="1"/>
    <w:qFormat/>
    <w:uiPriority w:val="0"/>
    <w:pPr>
      <w:spacing w:line="360" w:lineRule="auto"/>
      <w:ind w:firstLine="200" w:firstLineChars="200"/>
    </w:pPr>
    <w:rPr>
      <w:color w:val="000000"/>
      <w:sz w:val="24"/>
      <w:szCs w:val="22"/>
    </w:rPr>
  </w:style>
  <w:style w:type="paragraph" w:customStyle="1" w:styleId="115">
    <w:name w:val="表格文字"/>
    <w:basedOn w:val="1"/>
    <w:next w:val="12"/>
    <w:qFormat/>
    <w:uiPriority w:val="0"/>
    <w:pPr>
      <w:adjustRightInd w:val="0"/>
      <w:spacing w:line="420" w:lineRule="atLeast"/>
      <w:jc w:val="left"/>
      <w:textAlignment w:val="baseline"/>
    </w:pPr>
    <w:rPr>
      <w:kern w:val="0"/>
    </w:rPr>
  </w:style>
  <w:style w:type="paragraph" w:customStyle="1" w:styleId="116">
    <w:name w:val="6广--表内文字"/>
    <w:basedOn w:val="114"/>
    <w:next w:val="114"/>
    <w:qFormat/>
    <w:uiPriority w:val="0"/>
    <w:pPr>
      <w:spacing w:line="240" w:lineRule="auto"/>
      <w:ind w:firstLine="0" w:firstLineChars="0"/>
      <w:jc w:val="center"/>
    </w:pPr>
    <w:rPr>
      <w:sz w:val="21"/>
    </w:rPr>
  </w:style>
  <w:style w:type="table" w:customStyle="1" w:styleId="117">
    <w:name w:val="Table Normal"/>
    <w:unhideWhenUsed/>
    <w:qFormat/>
    <w:uiPriority w:val="0"/>
    <w:tblPr>
      <w:tblCellMar>
        <w:top w:w="0" w:type="dxa"/>
        <w:left w:w="0" w:type="dxa"/>
        <w:bottom w:w="0" w:type="dxa"/>
        <w:right w:w="0" w:type="dxa"/>
      </w:tblCellMar>
    </w:tblPr>
  </w:style>
  <w:style w:type="paragraph" w:customStyle="1" w:styleId="11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12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_Style 3"/>
    <w:basedOn w:val="1"/>
    <w:autoRedefine/>
    <w:qFormat/>
    <w:uiPriority w:val="0"/>
    <w:pPr>
      <w:ind w:firstLine="420" w:firstLineChars="200"/>
    </w:pPr>
    <w:rPr>
      <w:rFonts w:eastAsia="仿宋_GB2312"/>
      <w:sz w:val="28"/>
    </w:rPr>
  </w:style>
  <w:style w:type="paragraph" w:customStyle="1" w:styleId="123">
    <w:name w:val="签发人"/>
    <w:basedOn w:val="1"/>
    <w:qFormat/>
    <w:uiPriority w:val="0"/>
    <w:rPr>
      <w:rFonts w:eastAsia="楷体"/>
      <w:sz w:val="32"/>
    </w:rPr>
  </w:style>
  <w:style w:type="paragraph" w:customStyle="1" w:styleId="12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25">
    <w:name w:val="样式 表格正文 + 两端对齐"/>
    <w:basedOn w:val="1"/>
    <w:next w:val="126"/>
    <w:qFormat/>
    <w:uiPriority w:val="0"/>
    <w:pPr>
      <w:spacing w:line="300" w:lineRule="auto"/>
    </w:pPr>
    <w:rPr>
      <w:sz w:val="24"/>
    </w:rPr>
  </w:style>
  <w:style w:type="paragraph" w:customStyle="1" w:styleId="126">
    <w:name w:val="正文1"/>
    <w:basedOn w:val="19"/>
    <w:next w:val="127"/>
    <w:qFormat/>
    <w:uiPriority w:val="0"/>
  </w:style>
  <w:style w:type="paragraph" w:customStyle="1" w:styleId="127">
    <w:name w:val="自动更正"/>
    <w:next w:val="12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xl39"/>
    <w:basedOn w:val="1"/>
    <w:next w:val="129"/>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129">
    <w:name w:val="分手多日，近况如何？"/>
    <w:next w:val="1"/>
    <w:qFormat/>
    <w:uiPriority w:val="0"/>
    <w:pPr>
      <w:widowControl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办事大厅</Company>
  <Pages>59</Pages>
  <Words>32227</Words>
  <Characters>33789</Characters>
  <Lines>277</Lines>
  <Paragraphs>78</Paragraphs>
  <TotalTime>4</TotalTime>
  <ScaleCrop>false</ScaleCrop>
  <LinksUpToDate>false</LinksUpToDate>
  <CharactersWithSpaces>34639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2024-08-16T00:45:00Z</dcterms:created>
  <dc:creator>ld</dc:creator>
  <cp:lastModifiedBy>NTKO</cp:lastModifiedBy>
  <cp:lastPrinted>2022-02-14T06:02:00Z</cp:lastPrinted>
  <dcterms:modified xsi:type="dcterms:W3CDTF">2024-10-15T02:18:16Z</dcterms:modified>
  <dc:title>xl</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F59C94D0B05646B5A66CCBCA277286C8_13</vt:lpwstr>
  </property>
</Properties>
</file>