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FAD93">
      <w:pPr>
        <w:pStyle w:val="4"/>
        <w:rPr>
          <w:rFonts w:cs="Times New Roman"/>
          <w:color w:val="auto"/>
          <w:highlight w:val="none"/>
        </w:rPr>
      </w:pPr>
    </w:p>
    <w:p w14:paraId="35A9B454">
      <w:pPr>
        <w:jc w:val="center"/>
        <w:rPr>
          <w:rFonts w:hint="eastAsia" w:ascii="宋体" w:eastAsia="宋体"/>
          <w:b/>
          <w:bCs/>
          <w:color w:val="auto"/>
          <w:sz w:val="44"/>
          <w:szCs w:val="44"/>
          <w:highlight w:val="none"/>
          <w:lang w:eastAsia="zh-CN"/>
        </w:rPr>
      </w:pPr>
      <w:r>
        <w:rPr>
          <w:rFonts w:hint="eastAsia" w:ascii="宋体" w:hAnsi="宋体" w:cs="宋体"/>
          <w:b/>
          <w:bCs/>
          <w:color w:val="auto"/>
          <w:sz w:val="44"/>
          <w:szCs w:val="44"/>
          <w:highlight w:val="none"/>
          <w:lang w:eastAsia="zh-CN"/>
        </w:rPr>
        <w:t>绍兴市上虞区综合交通运输发展“十五五”规划及相关课题研究</w:t>
      </w:r>
    </w:p>
    <w:p w14:paraId="08445237">
      <w:pPr>
        <w:pStyle w:val="5"/>
        <w:rPr>
          <w:rFonts w:ascii="宋体"/>
          <w:b/>
          <w:bCs/>
          <w:color w:val="auto"/>
          <w:sz w:val="44"/>
          <w:szCs w:val="44"/>
          <w:highlight w:val="none"/>
        </w:rPr>
      </w:pPr>
    </w:p>
    <w:p w14:paraId="41DD652B">
      <w:pPr>
        <w:pStyle w:val="5"/>
        <w:rPr>
          <w:rFonts w:ascii="宋体"/>
          <w:b/>
          <w:bCs/>
          <w:color w:val="auto"/>
          <w:sz w:val="44"/>
          <w:szCs w:val="44"/>
          <w:highlight w:val="none"/>
        </w:rPr>
      </w:pPr>
    </w:p>
    <w:p w14:paraId="592348E2">
      <w:pPr>
        <w:rPr>
          <w:highlight w:val="none"/>
        </w:rPr>
      </w:pPr>
    </w:p>
    <w:p w14:paraId="63D42DAD">
      <w:pPr>
        <w:pStyle w:val="5"/>
        <w:rPr>
          <w:rFonts w:ascii="宋体"/>
          <w:b/>
          <w:bCs/>
          <w:color w:val="auto"/>
          <w:sz w:val="44"/>
          <w:szCs w:val="44"/>
          <w:highlight w:val="none"/>
        </w:rPr>
      </w:pPr>
    </w:p>
    <w:p w14:paraId="2D6AFEA2">
      <w:pPr>
        <w:rPr>
          <w:highlight w:val="none"/>
        </w:rPr>
      </w:pPr>
    </w:p>
    <w:p w14:paraId="04C3BB68">
      <w:pPr>
        <w:pStyle w:val="5"/>
        <w:rPr>
          <w:rFonts w:ascii="宋体"/>
          <w:b/>
          <w:bCs/>
          <w:color w:val="auto"/>
          <w:sz w:val="44"/>
          <w:szCs w:val="44"/>
          <w:highlight w:val="none"/>
        </w:rPr>
      </w:pPr>
    </w:p>
    <w:p w14:paraId="7A74D270">
      <w:pPr>
        <w:pStyle w:val="5"/>
        <w:rPr>
          <w:color w:val="auto"/>
          <w:highlight w:val="none"/>
        </w:rPr>
      </w:pPr>
    </w:p>
    <w:p w14:paraId="1431E322">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258B1C1E">
      <w:pPr>
        <w:spacing w:line="360" w:lineRule="auto"/>
        <w:jc w:val="center"/>
        <w:rPr>
          <w:rFonts w:ascii="宋体"/>
          <w:b/>
          <w:bCs/>
          <w:color w:val="auto"/>
          <w:sz w:val="24"/>
          <w:szCs w:val="24"/>
          <w:highlight w:val="none"/>
        </w:rPr>
      </w:pPr>
    </w:p>
    <w:p w14:paraId="5648746A">
      <w:pPr>
        <w:snapToGrid w:val="0"/>
        <w:spacing w:line="360" w:lineRule="auto"/>
        <w:ind w:firstLine="2301" w:firstLineChars="7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eastAsia="zh-CN"/>
        </w:rPr>
        <w:t>YK2025022</w:t>
      </w:r>
    </w:p>
    <w:p w14:paraId="2DA1907B">
      <w:pPr>
        <w:snapToGrid w:val="0"/>
        <w:spacing w:line="360" w:lineRule="auto"/>
        <w:ind w:firstLine="2301" w:firstLineChars="767"/>
        <w:jc w:val="left"/>
        <w:rPr>
          <w:rFonts w:ascii="宋体"/>
          <w:color w:val="auto"/>
          <w:sz w:val="30"/>
          <w:szCs w:val="30"/>
          <w:highlight w:val="none"/>
        </w:rPr>
      </w:pPr>
    </w:p>
    <w:p w14:paraId="15809A3E">
      <w:pPr>
        <w:spacing w:line="360" w:lineRule="auto"/>
        <w:rPr>
          <w:rFonts w:ascii="宋体"/>
          <w:color w:val="auto"/>
          <w:sz w:val="28"/>
          <w:szCs w:val="28"/>
          <w:highlight w:val="none"/>
        </w:rPr>
      </w:pPr>
    </w:p>
    <w:p w14:paraId="6FDD8189">
      <w:pPr>
        <w:spacing w:line="360" w:lineRule="auto"/>
        <w:jc w:val="center"/>
        <w:rPr>
          <w:rFonts w:ascii="宋体"/>
          <w:color w:val="auto"/>
          <w:sz w:val="24"/>
          <w:szCs w:val="24"/>
          <w:highlight w:val="none"/>
        </w:rPr>
      </w:pPr>
    </w:p>
    <w:p w14:paraId="331F9F57">
      <w:pPr>
        <w:spacing w:line="360" w:lineRule="auto"/>
        <w:jc w:val="center"/>
        <w:rPr>
          <w:rFonts w:ascii="宋体"/>
          <w:color w:val="auto"/>
          <w:sz w:val="24"/>
          <w:szCs w:val="24"/>
          <w:highlight w:val="none"/>
        </w:rPr>
      </w:pPr>
    </w:p>
    <w:p w14:paraId="2749E195">
      <w:pPr>
        <w:spacing w:line="360" w:lineRule="auto"/>
        <w:jc w:val="center"/>
        <w:rPr>
          <w:rFonts w:ascii="宋体"/>
          <w:color w:val="auto"/>
          <w:sz w:val="24"/>
          <w:szCs w:val="24"/>
          <w:highlight w:val="none"/>
        </w:rPr>
      </w:pPr>
    </w:p>
    <w:p w14:paraId="5A8051AF">
      <w:pPr>
        <w:spacing w:line="360" w:lineRule="auto"/>
        <w:jc w:val="center"/>
        <w:rPr>
          <w:rFonts w:ascii="宋体"/>
          <w:color w:val="auto"/>
          <w:sz w:val="24"/>
          <w:szCs w:val="24"/>
          <w:highlight w:val="none"/>
        </w:rPr>
      </w:pPr>
    </w:p>
    <w:p w14:paraId="473673F8">
      <w:pPr>
        <w:spacing w:line="360" w:lineRule="auto"/>
        <w:jc w:val="center"/>
        <w:rPr>
          <w:rFonts w:ascii="宋体"/>
          <w:color w:val="auto"/>
          <w:sz w:val="24"/>
          <w:szCs w:val="24"/>
          <w:highlight w:val="none"/>
        </w:rPr>
      </w:pPr>
    </w:p>
    <w:p w14:paraId="401D3759">
      <w:pPr>
        <w:pStyle w:val="25"/>
        <w:rPr>
          <w:rFonts w:ascii="宋体"/>
          <w:color w:val="auto"/>
          <w:sz w:val="24"/>
          <w:szCs w:val="24"/>
          <w:highlight w:val="none"/>
        </w:rPr>
      </w:pPr>
    </w:p>
    <w:p w14:paraId="065A5BCA">
      <w:pPr>
        <w:pStyle w:val="25"/>
        <w:rPr>
          <w:rFonts w:ascii="宋体"/>
          <w:color w:val="auto"/>
          <w:sz w:val="24"/>
          <w:szCs w:val="24"/>
          <w:highlight w:val="none"/>
        </w:rPr>
      </w:pPr>
    </w:p>
    <w:p w14:paraId="68D80549">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绍兴市上虞区交通运输局</w:t>
      </w:r>
    </w:p>
    <w:p w14:paraId="6D51A8B7">
      <w:pPr>
        <w:snapToGrid w:val="0"/>
        <w:spacing w:line="360" w:lineRule="auto"/>
        <w:ind w:firstLine="1500" w:firstLineChars="500"/>
        <w:rPr>
          <w:rFonts w:ascii="宋体"/>
          <w:color w:val="auto"/>
          <w:sz w:val="30"/>
          <w:szCs w:val="30"/>
          <w:highlight w:val="none"/>
        </w:rPr>
      </w:pPr>
      <w:r>
        <w:rPr>
          <w:rFonts w:hint="eastAsia" w:ascii="宋体" w:hAnsi="宋体" w:cs="宋体"/>
          <w:color w:val="auto"/>
          <w:sz w:val="30"/>
          <w:szCs w:val="30"/>
          <w:highlight w:val="none"/>
        </w:rPr>
        <w:t>采购代理机构：浙江宇康工程管理咨询有限公司</w:t>
      </w:r>
    </w:p>
    <w:p w14:paraId="3F118D5D">
      <w:pPr>
        <w:jc w:val="center"/>
        <w:rPr>
          <w:rFonts w:ascii="宋体"/>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一</w:t>
      </w:r>
      <w:r>
        <w:rPr>
          <w:rFonts w:hint="eastAsia" w:ascii="宋体" w:hAnsi="宋体" w:cs="宋体"/>
          <w:color w:val="auto"/>
          <w:sz w:val="30"/>
          <w:szCs w:val="30"/>
          <w:highlight w:val="none"/>
        </w:rPr>
        <w:t>月</w:t>
      </w:r>
    </w:p>
    <w:p w14:paraId="2EB8C93F">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14:paraId="1BBD59A4">
      <w:pPr>
        <w:pStyle w:val="18"/>
        <w:tabs>
          <w:tab w:val="right" w:leader="dot" w:pos="8306"/>
        </w:tabs>
        <w:spacing w:line="360" w:lineRule="auto"/>
        <w:rPr>
          <w:sz w:val="22"/>
          <w:szCs w:val="22"/>
          <w:highlight w:val="none"/>
        </w:rPr>
      </w:pPr>
      <w:r>
        <w:rPr>
          <w:rFonts w:hint="eastAsia" w:ascii="宋体" w:hAnsi="宋体" w:cs="宋体"/>
          <w:color w:val="auto"/>
          <w:sz w:val="44"/>
          <w:szCs w:val="44"/>
          <w:highlight w:val="none"/>
        </w:rPr>
        <w:fldChar w:fldCharType="begin"/>
      </w:r>
      <w:r>
        <w:rPr>
          <w:rFonts w:hint="eastAsia" w:ascii="宋体" w:hAnsi="宋体" w:cs="宋体"/>
          <w:color w:val="auto"/>
          <w:sz w:val="44"/>
          <w:szCs w:val="44"/>
          <w:highlight w:val="none"/>
        </w:rPr>
        <w:instrText xml:space="preserve">TOC \o "1-3" \h \u </w:instrText>
      </w:r>
      <w:r>
        <w:rPr>
          <w:rFonts w:hint="eastAsia" w:ascii="宋体" w:hAnsi="宋体" w:cs="宋体"/>
          <w:color w:val="auto"/>
          <w:sz w:val="44"/>
          <w:szCs w:val="44"/>
          <w:highlight w:val="none"/>
        </w:rPr>
        <w:fldChar w:fldCharType="separate"/>
      </w:r>
      <w:r>
        <w:rPr>
          <w:rFonts w:hint="eastAsia" w:ascii="宋体" w:hAnsi="宋体" w:cs="宋体"/>
          <w:color w:val="auto"/>
          <w:sz w:val="22"/>
          <w:szCs w:val="44"/>
          <w:highlight w:val="none"/>
        </w:rPr>
        <w:fldChar w:fldCharType="begin"/>
      </w:r>
      <w:r>
        <w:rPr>
          <w:rFonts w:hint="eastAsia" w:ascii="宋体" w:hAnsi="宋体" w:cs="宋体"/>
          <w:sz w:val="22"/>
          <w:szCs w:val="44"/>
          <w:highlight w:val="none"/>
        </w:rPr>
        <w:instrText xml:space="preserve"> HYPERLINK \l _Toc22738 </w:instrText>
      </w:r>
      <w:r>
        <w:rPr>
          <w:rFonts w:hint="eastAsia" w:ascii="宋体" w:hAnsi="宋体" w:cs="宋体"/>
          <w:sz w:val="22"/>
          <w:szCs w:val="44"/>
          <w:highlight w:val="none"/>
        </w:rPr>
        <w:fldChar w:fldCharType="separate"/>
      </w:r>
      <w:r>
        <w:rPr>
          <w:rFonts w:hint="eastAsia" w:cs="宋体"/>
          <w:sz w:val="22"/>
          <w:szCs w:val="40"/>
          <w:highlight w:val="none"/>
        </w:rPr>
        <w:t>第一部分</w:t>
      </w:r>
      <w:r>
        <w:rPr>
          <w:sz w:val="22"/>
          <w:szCs w:val="40"/>
          <w:highlight w:val="none"/>
        </w:rPr>
        <w:t xml:space="preserve"> </w:t>
      </w:r>
      <w:r>
        <w:rPr>
          <w:rFonts w:hint="eastAsia" w:cs="宋体"/>
          <w:sz w:val="22"/>
          <w:szCs w:val="40"/>
          <w:highlight w:val="none"/>
        </w:rPr>
        <w:t>磋商公告</w:t>
      </w:r>
      <w:r>
        <w:rPr>
          <w:sz w:val="22"/>
          <w:szCs w:val="22"/>
          <w:highlight w:val="none"/>
        </w:rPr>
        <w:tab/>
      </w:r>
      <w:r>
        <w:rPr>
          <w:sz w:val="22"/>
          <w:szCs w:val="22"/>
          <w:highlight w:val="none"/>
        </w:rPr>
        <w:fldChar w:fldCharType="begin"/>
      </w:r>
      <w:r>
        <w:rPr>
          <w:sz w:val="22"/>
          <w:szCs w:val="22"/>
          <w:highlight w:val="none"/>
        </w:rPr>
        <w:instrText xml:space="preserve"> PAGEREF _Toc22738 \h </w:instrText>
      </w:r>
      <w:r>
        <w:rPr>
          <w:sz w:val="22"/>
          <w:szCs w:val="22"/>
          <w:highlight w:val="none"/>
        </w:rPr>
        <w:fldChar w:fldCharType="separate"/>
      </w:r>
      <w:r>
        <w:rPr>
          <w:sz w:val="22"/>
          <w:szCs w:val="22"/>
          <w:highlight w:val="none"/>
        </w:rPr>
        <w:t>1</w:t>
      </w:r>
      <w:r>
        <w:rPr>
          <w:sz w:val="22"/>
          <w:szCs w:val="22"/>
          <w:highlight w:val="none"/>
        </w:rPr>
        <w:fldChar w:fldCharType="end"/>
      </w:r>
      <w:r>
        <w:rPr>
          <w:rFonts w:hint="eastAsia" w:ascii="宋体" w:hAnsi="宋体" w:cs="宋体"/>
          <w:color w:val="auto"/>
          <w:sz w:val="22"/>
          <w:szCs w:val="44"/>
          <w:highlight w:val="none"/>
        </w:rPr>
        <w:fldChar w:fldCharType="end"/>
      </w:r>
    </w:p>
    <w:p w14:paraId="67DAA9EA">
      <w:pPr>
        <w:pStyle w:val="18"/>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_Toc30096 </w:instrText>
      </w:r>
      <w:r>
        <w:rPr>
          <w:rFonts w:hint="eastAsia" w:hAnsi="宋体"/>
          <w:sz w:val="22"/>
          <w:szCs w:val="44"/>
          <w:highlight w:val="none"/>
        </w:rPr>
        <w:fldChar w:fldCharType="separate"/>
      </w:r>
      <w:r>
        <w:rPr>
          <w:rFonts w:hint="eastAsia" w:cs="宋体"/>
          <w:sz w:val="22"/>
          <w:szCs w:val="40"/>
          <w:highlight w:val="none"/>
        </w:rPr>
        <w:t>第二部分</w:t>
      </w:r>
      <w:r>
        <w:rPr>
          <w:sz w:val="22"/>
          <w:szCs w:val="40"/>
          <w:highlight w:val="none"/>
        </w:rPr>
        <w:t xml:space="preserve"> </w:t>
      </w:r>
      <w:r>
        <w:rPr>
          <w:rFonts w:hint="eastAsia" w:cs="宋体"/>
          <w:sz w:val="22"/>
          <w:szCs w:val="40"/>
          <w:highlight w:val="none"/>
        </w:rPr>
        <w:t>供应商须知</w:t>
      </w:r>
      <w:r>
        <w:rPr>
          <w:sz w:val="22"/>
          <w:szCs w:val="22"/>
          <w:highlight w:val="none"/>
        </w:rPr>
        <w:tab/>
      </w:r>
      <w:r>
        <w:rPr>
          <w:sz w:val="22"/>
          <w:szCs w:val="22"/>
          <w:highlight w:val="none"/>
        </w:rPr>
        <w:fldChar w:fldCharType="begin"/>
      </w:r>
      <w:r>
        <w:rPr>
          <w:sz w:val="22"/>
          <w:szCs w:val="22"/>
          <w:highlight w:val="none"/>
        </w:rPr>
        <w:instrText xml:space="preserve"> PAGEREF _Toc30096 \h </w:instrText>
      </w:r>
      <w:r>
        <w:rPr>
          <w:sz w:val="22"/>
          <w:szCs w:val="22"/>
          <w:highlight w:val="none"/>
        </w:rPr>
        <w:fldChar w:fldCharType="separate"/>
      </w:r>
      <w:r>
        <w:rPr>
          <w:sz w:val="22"/>
          <w:szCs w:val="22"/>
          <w:highlight w:val="none"/>
        </w:rPr>
        <w:t>5</w:t>
      </w:r>
      <w:r>
        <w:rPr>
          <w:sz w:val="22"/>
          <w:szCs w:val="22"/>
          <w:highlight w:val="none"/>
        </w:rPr>
        <w:fldChar w:fldCharType="end"/>
      </w:r>
      <w:r>
        <w:rPr>
          <w:rFonts w:hint="eastAsia" w:hAnsi="宋体"/>
          <w:color w:val="auto"/>
          <w:sz w:val="22"/>
          <w:szCs w:val="44"/>
          <w:highlight w:val="none"/>
        </w:rPr>
        <w:fldChar w:fldCharType="end"/>
      </w:r>
    </w:p>
    <w:p w14:paraId="34EF31FB">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_Toc24661 </w:instrText>
      </w:r>
      <w:r>
        <w:rPr>
          <w:rFonts w:hint="eastAsia" w:hAnsi="宋体"/>
          <w:sz w:val="22"/>
          <w:szCs w:val="44"/>
          <w:highlight w:val="none"/>
        </w:rPr>
        <w:fldChar w:fldCharType="separate"/>
      </w:r>
      <w:r>
        <w:rPr>
          <w:rFonts w:hint="eastAsia" w:hAnsi="宋体" w:cs="Times New Roman"/>
          <w:sz w:val="22"/>
          <w:szCs w:val="22"/>
          <w:highlight w:val="none"/>
        </w:rPr>
        <w:t xml:space="preserve">一、 </w:t>
      </w:r>
      <w:r>
        <w:rPr>
          <w:rFonts w:hint="eastAsia" w:hAnsi="宋体"/>
          <w:sz w:val="22"/>
          <w:szCs w:val="22"/>
          <w:highlight w:val="none"/>
        </w:rPr>
        <w:t>总则</w:t>
      </w:r>
      <w:r>
        <w:rPr>
          <w:sz w:val="22"/>
          <w:szCs w:val="22"/>
          <w:highlight w:val="none"/>
        </w:rPr>
        <w:tab/>
      </w:r>
      <w:r>
        <w:rPr>
          <w:sz w:val="22"/>
          <w:szCs w:val="22"/>
          <w:highlight w:val="none"/>
        </w:rPr>
        <w:fldChar w:fldCharType="begin"/>
      </w:r>
      <w:r>
        <w:rPr>
          <w:sz w:val="22"/>
          <w:szCs w:val="22"/>
          <w:highlight w:val="none"/>
        </w:rPr>
        <w:instrText xml:space="preserve"> PAGEREF _Toc24661 \h </w:instrText>
      </w:r>
      <w:r>
        <w:rPr>
          <w:sz w:val="22"/>
          <w:szCs w:val="22"/>
          <w:highlight w:val="none"/>
        </w:rPr>
        <w:fldChar w:fldCharType="separate"/>
      </w:r>
      <w:r>
        <w:rPr>
          <w:sz w:val="22"/>
          <w:szCs w:val="22"/>
          <w:highlight w:val="none"/>
        </w:rPr>
        <w:t>9</w:t>
      </w:r>
      <w:r>
        <w:rPr>
          <w:sz w:val="22"/>
          <w:szCs w:val="22"/>
          <w:highlight w:val="none"/>
        </w:rPr>
        <w:fldChar w:fldCharType="end"/>
      </w:r>
      <w:r>
        <w:rPr>
          <w:rFonts w:hint="eastAsia" w:hAnsi="宋体"/>
          <w:color w:val="auto"/>
          <w:sz w:val="22"/>
          <w:szCs w:val="44"/>
          <w:highlight w:val="none"/>
        </w:rPr>
        <w:fldChar w:fldCharType="end"/>
      </w:r>
    </w:p>
    <w:p w14:paraId="53773144">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_Toc32504 </w:instrText>
      </w:r>
      <w:r>
        <w:rPr>
          <w:rFonts w:hint="eastAsia" w:hAnsi="宋体"/>
          <w:sz w:val="22"/>
          <w:szCs w:val="44"/>
          <w:highlight w:val="none"/>
        </w:rPr>
        <w:fldChar w:fldCharType="separate"/>
      </w:r>
      <w:r>
        <w:rPr>
          <w:rFonts w:hint="eastAsia" w:cs="Times New Roman"/>
          <w:sz w:val="22"/>
          <w:szCs w:val="22"/>
          <w:highlight w:val="none"/>
        </w:rPr>
        <w:t xml:space="preserve">二、 </w:t>
      </w:r>
      <w:r>
        <w:rPr>
          <w:rFonts w:hint="eastAsia"/>
          <w:sz w:val="22"/>
          <w:szCs w:val="22"/>
          <w:highlight w:val="none"/>
        </w:rPr>
        <w:t>竞争性磋商文件</w:t>
      </w:r>
      <w:r>
        <w:rPr>
          <w:sz w:val="22"/>
          <w:szCs w:val="22"/>
          <w:highlight w:val="none"/>
        </w:rPr>
        <w:tab/>
      </w:r>
      <w:r>
        <w:rPr>
          <w:sz w:val="22"/>
          <w:szCs w:val="22"/>
          <w:highlight w:val="none"/>
        </w:rPr>
        <w:fldChar w:fldCharType="begin"/>
      </w:r>
      <w:r>
        <w:rPr>
          <w:sz w:val="22"/>
          <w:szCs w:val="22"/>
          <w:highlight w:val="none"/>
        </w:rPr>
        <w:instrText xml:space="preserve"> PAGEREF _Toc32504 \h </w:instrText>
      </w:r>
      <w:r>
        <w:rPr>
          <w:sz w:val="22"/>
          <w:szCs w:val="22"/>
          <w:highlight w:val="none"/>
        </w:rPr>
        <w:fldChar w:fldCharType="separate"/>
      </w:r>
      <w:r>
        <w:rPr>
          <w:sz w:val="22"/>
          <w:szCs w:val="22"/>
          <w:highlight w:val="none"/>
        </w:rPr>
        <w:t>9</w:t>
      </w:r>
      <w:r>
        <w:rPr>
          <w:sz w:val="22"/>
          <w:szCs w:val="22"/>
          <w:highlight w:val="none"/>
        </w:rPr>
        <w:fldChar w:fldCharType="end"/>
      </w:r>
      <w:r>
        <w:rPr>
          <w:rFonts w:hint="eastAsia" w:hAnsi="宋体"/>
          <w:color w:val="auto"/>
          <w:sz w:val="22"/>
          <w:szCs w:val="44"/>
          <w:highlight w:val="none"/>
        </w:rPr>
        <w:fldChar w:fldCharType="end"/>
      </w:r>
    </w:p>
    <w:p w14:paraId="1FB4CA83">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_Toc24684 </w:instrText>
      </w:r>
      <w:r>
        <w:rPr>
          <w:rFonts w:hint="eastAsia" w:hAnsi="宋体"/>
          <w:sz w:val="22"/>
          <w:szCs w:val="44"/>
          <w:highlight w:val="none"/>
        </w:rPr>
        <w:fldChar w:fldCharType="separate"/>
      </w:r>
      <w:r>
        <w:rPr>
          <w:rFonts w:hint="eastAsia" w:cs="Times New Roman"/>
          <w:sz w:val="22"/>
          <w:szCs w:val="22"/>
          <w:highlight w:val="none"/>
        </w:rPr>
        <w:t xml:space="preserve">三、 </w:t>
      </w:r>
      <w:r>
        <w:rPr>
          <w:rFonts w:hint="eastAsia"/>
          <w:sz w:val="22"/>
          <w:szCs w:val="22"/>
          <w:highlight w:val="none"/>
        </w:rPr>
        <w:t>竞争性磋商响应文件的编写</w:t>
      </w:r>
      <w:r>
        <w:rPr>
          <w:sz w:val="22"/>
          <w:szCs w:val="22"/>
          <w:highlight w:val="none"/>
        </w:rPr>
        <w:tab/>
      </w:r>
      <w:r>
        <w:rPr>
          <w:sz w:val="22"/>
          <w:szCs w:val="22"/>
          <w:highlight w:val="none"/>
        </w:rPr>
        <w:fldChar w:fldCharType="begin"/>
      </w:r>
      <w:r>
        <w:rPr>
          <w:sz w:val="22"/>
          <w:szCs w:val="22"/>
          <w:highlight w:val="none"/>
        </w:rPr>
        <w:instrText xml:space="preserve"> PAGEREF _Toc24684 \h </w:instrText>
      </w:r>
      <w:r>
        <w:rPr>
          <w:sz w:val="22"/>
          <w:szCs w:val="22"/>
          <w:highlight w:val="none"/>
        </w:rPr>
        <w:fldChar w:fldCharType="separate"/>
      </w:r>
      <w:r>
        <w:rPr>
          <w:sz w:val="22"/>
          <w:szCs w:val="22"/>
          <w:highlight w:val="none"/>
        </w:rPr>
        <w:t>10</w:t>
      </w:r>
      <w:r>
        <w:rPr>
          <w:sz w:val="22"/>
          <w:szCs w:val="22"/>
          <w:highlight w:val="none"/>
        </w:rPr>
        <w:fldChar w:fldCharType="end"/>
      </w:r>
      <w:r>
        <w:rPr>
          <w:rFonts w:hint="eastAsia" w:hAnsi="宋体"/>
          <w:color w:val="auto"/>
          <w:sz w:val="22"/>
          <w:szCs w:val="44"/>
          <w:highlight w:val="none"/>
        </w:rPr>
        <w:fldChar w:fldCharType="end"/>
      </w:r>
    </w:p>
    <w:p w14:paraId="34413F09">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_Toc13671 </w:instrText>
      </w:r>
      <w:r>
        <w:rPr>
          <w:rFonts w:hint="eastAsia" w:hAnsi="宋体"/>
          <w:sz w:val="22"/>
          <w:szCs w:val="44"/>
          <w:highlight w:val="none"/>
        </w:rPr>
        <w:fldChar w:fldCharType="separate"/>
      </w:r>
      <w:r>
        <w:rPr>
          <w:rFonts w:hint="eastAsia" w:cs="Times New Roman"/>
          <w:sz w:val="22"/>
          <w:szCs w:val="22"/>
          <w:highlight w:val="none"/>
        </w:rPr>
        <w:t xml:space="preserve">四、 </w:t>
      </w:r>
      <w:r>
        <w:rPr>
          <w:rFonts w:hint="eastAsia"/>
          <w:sz w:val="22"/>
          <w:szCs w:val="22"/>
          <w:highlight w:val="none"/>
        </w:rPr>
        <w:t>响应文件的递交</w:t>
      </w:r>
      <w:r>
        <w:rPr>
          <w:sz w:val="22"/>
          <w:szCs w:val="22"/>
          <w:highlight w:val="none"/>
        </w:rPr>
        <w:tab/>
      </w:r>
      <w:r>
        <w:rPr>
          <w:sz w:val="22"/>
          <w:szCs w:val="22"/>
          <w:highlight w:val="none"/>
        </w:rPr>
        <w:fldChar w:fldCharType="begin"/>
      </w:r>
      <w:r>
        <w:rPr>
          <w:sz w:val="22"/>
          <w:szCs w:val="22"/>
          <w:highlight w:val="none"/>
        </w:rPr>
        <w:instrText xml:space="preserve"> PAGEREF _Toc13671 \h </w:instrText>
      </w:r>
      <w:r>
        <w:rPr>
          <w:sz w:val="22"/>
          <w:szCs w:val="22"/>
          <w:highlight w:val="none"/>
        </w:rPr>
        <w:fldChar w:fldCharType="separate"/>
      </w:r>
      <w:r>
        <w:rPr>
          <w:sz w:val="22"/>
          <w:szCs w:val="22"/>
          <w:highlight w:val="none"/>
        </w:rPr>
        <w:t>14</w:t>
      </w:r>
      <w:r>
        <w:rPr>
          <w:sz w:val="22"/>
          <w:szCs w:val="22"/>
          <w:highlight w:val="none"/>
        </w:rPr>
        <w:fldChar w:fldCharType="end"/>
      </w:r>
      <w:r>
        <w:rPr>
          <w:rFonts w:hint="eastAsia" w:hAnsi="宋体"/>
          <w:color w:val="auto"/>
          <w:sz w:val="22"/>
          <w:szCs w:val="44"/>
          <w:highlight w:val="none"/>
        </w:rPr>
        <w:fldChar w:fldCharType="end"/>
      </w:r>
    </w:p>
    <w:p w14:paraId="3A84EE1D">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_Toc30242 </w:instrText>
      </w:r>
      <w:r>
        <w:rPr>
          <w:rFonts w:hint="eastAsia" w:hAnsi="宋体"/>
          <w:sz w:val="22"/>
          <w:szCs w:val="44"/>
          <w:highlight w:val="none"/>
        </w:rPr>
        <w:fldChar w:fldCharType="separate"/>
      </w:r>
      <w:r>
        <w:rPr>
          <w:rFonts w:hint="eastAsia" w:hAnsi="宋体" w:cs="Times New Roman"/>
          <w:sz w:val="22"/>
          <w:szCs w:val="22"/>
          <w:highlight w:val="none"/>
        </w:rPr>
        <w:t xml:space="preserve">五、 </w:t>
      </w:r>
      <w:r>
        <w:rPr>
          <w:rFonts w:hint="eastAsia"/>
          <w:sz w:val="22"/>
          <w:szCs w:val="22"/>
          <w:highlight w:val="none"/>
        </w:rPr>
        <w:t>磋商无效的情形</w:t>
      </w:r>
      <w:r>
        <w:rPr>
          <w:sz w:val="22"/>
          <w:szCs w:val="22"/>
          <w:highlight w:val="none"/>
        </w:rPr>
        <w:tab/>
      </w:r>
      <w:r>
        <w:rPr>
          <w:sz w:val="22"/>
          <w:szCs w:val="22"/>
          <w:highlight w:val="none"/>
        </w:rPr>
        <w:fldChar w:fldCharType="begin"/>
      </w:r>
      <w:r>
        <w:rPr>
          <w:sz w:val="22"/>
          <w:szCs w:val="22"/>
          <w:highlight w:val="none"/>
        </w:rPr>
        <w:instrText xml:space="preserve"> PAGEREF _Toc30242 \h </w:instrText>
      </w:r>
      <w:r>
        <w:rPr>
          <w:sz w:val="22"/>
          <w:szCs w:val="22"/>
          <w:highlight w:val="none"/>
        </w:rPr>
        <w:fldChar w:fldCharType="separate"/>
      </w:r>
      <w:r>
        <w:rPr>
          <w:sz w:val="22"/>
          <w:szCs w:val="22"/>
          <w:highlight w:val="none"/>
        </w:rPr>
        <w:t>14</w:t>
      </w:r>
      <w:r>
        <w:rPr>
          <w:sz w:val="22"/>
          <w:szCs w:val="22"/>
          <w:highlight w:val="none"/>
        </w:rPr>
        <w:fldChar w:fldCharType="end"/>
      </w:r>
      <w:r>
        <w:rPr>
          <w:rFonts w:hint="eastAsia" w:hAnsi="宋体"/>
          <w:color w:val="auto"/>
          <w:sz w:val="22"/>
          <w:szCs w:val="44"/>
          <w:highlight w:val="none"/>
        </w:rPr>
        <w:fldChar w:fldCharType="end"/>
      </w:r>
    </w:p>
    <w:p w14:paraId="440C9BB8">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_Toc12770 </w:instrText>
      </w:r>
      <w:r>
        <w:rPr>
          <w:rFonts w:hint="eastAsia" w:hAnsi="宋体"/>
          <w:sz w:val="22"/>
          <w:szCs w:val="44"/>
          <w:highlight w:val="none"/>
        </w:rPr>
        <w:fldChar w:fldCharType="separate"/>
      </w:r>
      <w:r>
        <w:rPr>
          <w:rFonts w:hint="eastAsia" w:cs="Times New Roman"/>
          <w:sz w:val="22"/>
          <w:szCs w:val="22"/>
          <w:highlight w:val="none"/>
        </w:rPr>
        <w:t xml:space="preserve">六、 </w:t>
      </w:r>
      <w:r>
        <w:rPr>
          <w:rFonts w:hint="eastAsia"/>
          <w:sz w:val="22"/>
          <w:szCs w:val="22"/>
          <w:highlight w:val="none"/>
        </w:rPr>
        <w:t>采购中止的情形</w:t>
      </w:r>
      <w:r>
        <w:rPr>
          <w:sz w:val="22"/>
          <w:szCs w:val="22"/>
          <w:highlight w:val="none"/>
        </w:rPr>
        <w:tab/>
      </w:r>
      <w:r>
        <w:rPr>
          <w:sz w:val="22"/>
          <w:szCs w:val="22"/>
          <w:highlight w:val="none"/>
        </w:rPr>
        <w:fldChar w:fldCharType="begin"/>
      </w:r>
      <w:r>
        <w:rPr>
          <w:sz w:val="22"/>
          <w:szCs w:val="22"/>
          <w:highlight w:val="none"/>
        </w:rPr>
        <w:instrText xml:space="preserve"> PAGEREF _Toc12770 \h </w:instrText>
      </w:r>
      <w:r>
        <w:rPr>
          <w:sz w:val="22"/>
          <w:szCs w:val="22"/>
          <w:highlight w:val="none"/>
        </w:rPr>
        <w:fldChar w:fldCharType="separate"/>
      </w:r>
      <w:r>
        <w:rPr>
          <w:sz w:val="22"/>
          <w:szCs w:val="22"/>
          <w:highlight w:val="none"/>
        </w:rPr>
        <w:t>15</w:t>
      </w:r>
      <w:r>
        <w:rPr>
          <w:sz w:val="22"/>
          <w:szCs w:val="22"/>
          <w:highlight w:val="none"/>
        </w:rPr>
        <w:fldChar w:fldCharType="end"/>
      </w:r>
      <w:r>
        <w:rPr>
          <w:rFonts w:hint="eastAsia" w:hAnsi="宋体"/>
          <w:color w:val="auto"/>
          <w:sz w:val="22"/>
          <w:szCs w:val="44"/>
          <w:highlight w:val="none"/>
        </w:rPr>
        <w:fldChar w:fldCharType="end"/>
      </w:r>
    </w:p>
    <w:p w14:paraId="04D525A6">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_Toc3584 </w:instrText>
      </w:r>
      <w:r>
        <w:rPr>
          <w:rFonts w:hint="eastAsia" w:hAnsi="宋体"/>
          <w:sz w:val="22"/>
          <w:szCs w:val="44"/>
          <w:highlight w:val="none"/>
        </w:rPr>
        <w:fldChar w:fldCharType="separate"/>
      </w:r>
      <w:r>
        <w:rPr>
          <w:rFonts w:hint="eastAsia" w:cs="Times New Roman"/>
          <w:sz w:val="22"/>
          <w:szCs w:val="22"/>
          <w:highlight w:val="none"/>
        </w:rPr>
        <w:t xml:space="preserve">七、 </w:t>
      </w:r>
      <w:r>
        <w:rPr>
          <w:rFonts w:hint="eastAsia"/>
          <w:sz w:val="22"/>
          <w:szCs w:val="22"/>
          <w:highlight w:val="none"/>
        </w:rPr>
        <w:t>确定成交供应商与签订合同</w:t>
      </w:r>
      <w:r>
        <w:rPr>
          <w:sz w:val="22"/>
          <w:szCs w:val="22"/>
          <w:highlight w:val="none"/>
        </w:rPr>
        <w:tab/>
      </w:r>
      <w:r>
        <w:rPr>
          <w:sz w:val="22"/>
          <w:szCs w:val="22"/>
          <w:highlight w:val="none"/>
        </w:rPr>
        <w:fldChar w:fldCharType="begin"/>
      </w:r>
      <w:r>
        <w:rPr>
          <w:sz w:val="22"/>
          <w:szCs w:val="22"/>
          <w:highlight w:val="none"/>
        </w:rPr>
        <w:instrText xml:space="preserve"> PAGEREF _Toc3584 \h </w:instrText>
      </w:r>
      <w:r>
        <w:rPr>
          <w:sz w:val="22"/>
          <w:szCs w:val="22"/>
          <w:highlight w:val="none"/>
        </w:rPr>
        <w:fldChar w:fldCharType="separate"/>
      </w:r>
      <w:r>
        <w:rPr>
          <w:sz w:val="22"/>
          <w:szCs w:val="22"/>
          <w:highlight w:val="none"/>
        </w:rPr>
        <w:t>16</w:t>
      </w:r>
      <w:r>
        <w:rPr>
          <w:sz w:val="22"/>
          <w:szCs w:val="22"/>
          <w:highlight w:val="none"/>
        </w:rPr>
        <w:fldChar w:fldCharType="end"/>
      </w:r>
      <w:r>
        <w:rPr>
          <w:rFonts w:hint="eastAsia" w:hAnsi="宋体"/>
          <w:color w:val="auto"/>
          <w:sz w:val="22"/>
          <w:szCs w:val="44"/>
          <w:highlight w:val="none"/>
        </w:rPr>
        <w:fldChar w:fldCharType="end"/>
      </w:r>
    </w:p>
    <w:p w14:paraId="3E3C3C49">
      <w:pPr>
        <w:pStyle w:val="18"/>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_Toc28667 </w:instrText>
      </w:r>
      <w:r>
        <w:rPr>
          <w:rFonts w:hint="eastAsia" w:hAnsi="宋体"/>
          <w:sz w:val="22"/>
          <w:szCs w:val="44"/>
          <w:highlight w:val="none"/>
        </w:rPr>
        <w:fldChar w:fldCharType="separate"/>
      </w:r>
      <w:r>
        <w:rPr>
          <w:rFonts w:hint="eastAsia"/>
          <w:sz w:val="22"/>
          <w:szCs w:val="40"/>
          <w:highlight w:val="none"/>
        </w:rPr>
        <w:t xml:space="preserve">第三部分 </w:t>
      </w:r>
      <w:r>
        <w:rPr>
          <w:rFonts w:hint="eastAsia" w:cs="宋体"/>
          <w:sz w:val="22"/>
          <w:szCs w:val="40"/>
          <w:highlight w:val="none"/>
        </w:rPr>
        <w:t>采购内容及要求</w:t>
      </w:r>
      <w:r>
        <w:rPr>
          <w:sz w:val="22"/>
          <w:szCs w:val="22"/>
          <w:highlight w:val="none"/>
        </w:rPr>
        <w:tab/>
      </w:r>
      <w:r>
        <w:rPr>
          <w:sz w:val="22"/>
          <w:szCs w:val="22"/>
          <w:highlight w:val="none"/>
        </w:rPr>
        <w:fldChar w:fldCharType="begin"/>
      </w:r>
      <w:r>
        <w:rPr>
          <w:sz w:val="22"/>
          <w:szCs w:val="22"/>
          <w:highlight w:val="none"/>
        </w:rPr>
        <w:instrText xml:space="preserve"> PAGEREF _Toc28667 \h </w:instrText>
      </w:r>
      <w:r>
        <w:rPr>
          <w:sz w:val="22"/>
          <w:szCs w:val="22"/>
          <w:highlight w:val="none"/>
        </w:rPr>
        <w:fldChar w:fldCharType="separate"/>
      </w:r>
      <w:r>
        <w:rPr>
          <w:sz w:val="22"/>
          <w:szCs w:val="22"/>
          <w:highlight w:val="none"/>
        </w:rPr>
        <w:t>17</w:t>
      </w:r>
      <w:r>
        <w:rPr>
          <w:sz w:val="22"/>
          <w:szCs w:val="22"/>
          <w:highlight w:val="none"/>
        </w:rPr>
        <w:fldChar w:fldCharType="end"/>
      </w:r>
      <w:r>
        <w:rPr>
          <w:rFonts w:hint="eastAsia" w:hAnsi="宋体"/>
          <w:color w:val="auto"/>
          <w:sz w:val="22"/>
          <w:szCs w:val="44"/>
          <w:highlight w:val="none"/>
        </w:rPr>
        <w:fldChar w:fldCharType="end"/>
      </w:r>
    </w:p>
    <w:p w14:paraId="3519E504">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_Toc14778 </w:instrText>
      </w:r>
      <w:r>
        <w:rPr>
          <w:rFonts w:hint="eastAsia" w:hAnsi="宋体"/>
          <w:sz w:val="22"/>
          <w:szCs w:val="44"/>
          <w:highlight w:val="none"/>
        </w:rPr>
        <w:fldChar w:fldCharType="separate"/>
      </w:r>
      <w:r>
        <w:rPr>
          <w:rFonts w:hint="eastAsia"/>
          <w:sz w:val="22"/>
          <w:szCs w:val="22"/>
          <w:highlight w:val="none"/>
        </w:rPr>
        <w:t>第一章 采购内容及要求</w:t>
      </w:r>
      <w:r>
        <w:rPr>
          <w:sz w:val="22"/>
          <w:szCs w:val="22"/>
          <w:highlight w:val="none"/>
        </w:rPr>
        <w:tab/>
      </w:r>
      <w:r>
        <w:rPr>
          <w:sz w:val="22"/>
          <w:szCs w:val="22"/>
          <w:highlight w:val="none"/>
        </w:rPr>
        <w:fldChar w:fldCharType="begin"/>
      </w:r>
      <w:r>
        <w:rPr>
          <w:sz w:val="22"/>
          <w:szCs w:val="22"/>
          <w:highlight w:val="none"/>
        </w:rPr>
        <w:instrText xml:space="preserve"> PAGEREF _Toc14778 \h </w:instrText>
      </w:r>
      <w:r>
        <w:rPr>
          <w:sz w:val="22"/>
          <w:szCs w:val="22"/>
          <w:highlight w:val="none"/>
        </w:rPr>
        <w:fldChar w:fldCharType="separate"/>
      </w:r>
      <w:r>
        <w:rPr>
          <w:sz w:val="22"/>
          <w:szCs w:val="22"/>
          <w:highlight w:val="none"/>
        </w:rPr>
        <w:t>17</w:t>
      </w:r>
      <w:r>
        <w:rPr>
          <w:sz w:val="22"/>
          <w:szCs w:val="22"/>
          <w:highlight w:val="none"/>
        </w:rPr>
        <w:fldChar w:fldCharType="end"/>
      </w:r>
      <w:r>
        <w:rPr>
          <w:rFonts w:hint="eastAsia" w:hAnsi="宋体"/>
          <w:color w:val="auto"/>
          <w:sz w:val="22"/>
          <w:szCs w:val="44"/>
          <w:highlight w:val="none"/>
        </w:rPr>
        <w:fldChar w:fldCharType="end"/>
      </w:r>
    </w:p>
    <w:p w14:paraId="07BC759A">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_Toc21849 </w:instrText>
      </w:r>
      <w:r>
        <w:rPr>
          <w:rFonts w:hint="eastAsia" w:hAnsi="宋体"/>
          <w:sz w:val="22"/>
          <w:szCs w:val="44"/>
          <w:highlight w:val="none"/>
        </w:rPr>
        <w:fldChar w:fldCharType="separate"/>
      </w:r>
      <w:r>
        <w:rPr>
          <w:rFonts w:hint="eastAsia"/>
          <w:sz w:val="22"/>
          <w:szCs w:val="22"/>
          <w:highlight w:val="none"/>
          <w:lang w:val="en-US" w:eastAsia="zh-CN"/>
        </w:rPr>
        <w:t xml:space="preserve">第二章 </w:t>
      </w:r>
      <w:r>
        <w:rPr>
          <w:rFonts w:hint="eastAsia"/>
          <w:sz w:val="22"/>
          <w:szCs w:val="22"/>
          <w:highlight w:val="none"/>
        </w:rPr>
        <w:t>付款方式及要求</w:t>
      </w:r>
      <w:r>
        <w:rPr>
          <w:sz w:val="22"/>
          <w:szCs w:val="22"/>
          <w:highlight w:val="none"/>
        </w:rPr>
        <w:tab/>
      </w:r>
      <w:r>
        <w:rPr>
          <w:sz w:val="22"/>
          <w:szCs w:val="22"/>
          <w:highlight w:val="none"/>
        </w:rPr>
        <w:fldChar w:fldCharType="begin"/>
      </w:r>
      <w:r>
        <w:rPr>
          <w:sz w:val="22"/>
          <w:szCs w:val="22"/>
          <w:highlight w:val="none"/>
        </w:rPr>
        <w:instrText xml:space="preserve"> PAGEREF _Toc21849 \h </w:instrText>
      </w:r>
      <w:r>
        <w:rPr>
          <w:sz w:val="22"/>
          <w:szCs w:val="22"/>
          <w:highlight w:val="none"/>
        </w:rPr>
        <w:fldChar w:fldCharType="separate"/>
      </w:r>
      <w:r>
        <w:rPr>
          <w:sz w:val="22"/>
          <w:szCs w:val="22"/>
          <w:highlight w:val="none"/>
        </w:rPr>
        <w:t>20</w:t>
      </w:r>
      <w:r>
        <w:rPr>
          <w:sz w:val="22"/>
          <w:szCs w:val="22"/>
          <w:highlight w:val="none"/>
        </w:rPr>
        <w:fldChar w:fldCharType="end"/>
      </w:r>
      <w:r>
        <w:rPr>
          <w:rFonts w:hint="eastAsia" w:hAnsi="宋体"/>
          <w:color w:val="auto"/>
          <w:sz w:val="22"/>
          <w:szCs w:val="44"/>
          <w:highlight w:val="none"/>
        </w:rPr>
        <w:fldChar w:fldCharType="end"/>
      </w:r>
    </w:p>
    <w:p w14:paraId="36F38F34">
      <w:pPr>
        <w:pStyle w:val="18"/>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_Toc23 </w:instrText>
      </w:r>
      <w:r>
        <w:rPr>
          <w:rFonts w:hint="eastAsia" w:hAnsi="宋体"/>
          <w:sz w:val="22"/>
          <w:szCs w:val="44"/>
          <w:highlight w:val="none"/>
        </w:rPr>
        <w:fldChar w:fldCharType="separate"/>
      </w:r>
      <w:r>
        <w:rPr>
          <w:rFonts w:hint="eastAsia" w:cs="宋体"/>
          <w:sz w:val="22"/>
          <w:szCs w:val="40"/>
          <w:highlight w:val="none"/>
        </w:rPr>
        <w:t>第四部分 磋商原则及磋商方法</w:t>
      </w:r>
      <w:r>
        <w:rPr>
          <w:sz w:val="22"/>
          <w:szCs w:val="22"/>
          <w:highlight w:val="none"/>
        </w:rPr>
        <w:tab/>
      </w:r>
      <w:r>
        <w:rPr>
          <w:sz w:val="22"/>
          <w:szCs w:val="22"/>
          <w:highlight w:val="none"/>
        </w:rPr>
        <w:fldChar w:fldCharType="begin"/>
      </w:r>
      <w:r>
        <w:rPr>
          <w:sz w:val="22"/>
          <w:szCs w:val="22"/>
          <w:highlight w:val="none"/>
        </w:rPr>
        <w:instrText xml:space="preserve"> PAGEREF _Toc23 \h </w:instrText>
      </w:r>
      <w:r>
        <w:rPr>
          <w:sz w:val="22"/>
          <w:szCs w:val="22"/>
          <w:highlight w:val="none"/>
        </w:rPr>
        <w:fldChar w:fldCharType="separate"/>
      </w:r>
      <w:r>
        <w:rPr>
          <w:sz w:val="22"/>
          <w:szCs w:val="22"/>
          <w:highlight w:val="none"/>
        </w:rPr>
        <w:t>21</w:t>
      </w:r>
      <w:r>
        <w:rPr>
          <w:sz w:val="22"/>
          <w:szCs w:val="22"/>
          <w:highlight w:val="none"/>
        </w:rPr>
        <w:fldChar w:fldCharType="end"/>
      </w:r>
      <w:r>
        <w:rPr>
          <w:rFonts w:hint="eastAsia" w:hAnsi="宋体"/>
          <w:color w:val="auto"/>
          <w:sz w:val="22"/>
          <w:szCs w:val="44"/>
          <w:highlight w:val="none"/>
        </w:rPr>
        <w:fldChar w:fldCharType="end"/>
      </w:r>
    </w:p>
    <w:p w14:paraId="7660F2FA">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_Toc3708 </w:instrText>
      </w:r>
      <w:r>
        <w:rPr>
          <w:rFonts w:hint="eastAsia" w:hAnsi="宋体"/>
          <w:sz w:val="22"/>
          <w:szCs w:val="44"/>
          <w:highlight w:val="none"/>
        </w:rPr>
        <w:fldChar w:fldCharType="separate"/>
      </w:r>
      <w:r>
        <w:rPr>
          <w:rFonts w:hint="eastAsia" w:cs="Times New Roman"/>
          <w:sz w:val="22"/>
          <w:szCs w:val="22"/>
          <w:highlight w:val="none"/>
        </w:rPr>
        <w:t xml:space="preserve">一、 </w:t>
      </w:r>
      <w:r>
        <w:rPr>
          <w:rFonts w:hint="eastAsia"/>
          <w:sz w:val="22"/>
          <w:szCs w:val="22"/>
          <w:highlight w:val="none"/>
        </w:rPr>
        <w:t>磋商原则</w:t>
      </w:r>
      <w:r>
        <w:rPr>
          <w:sz w:val="22"/>
          <w:szCs w:val="22"/>
          <w:highlight w:val="none"/>
        </w:rPr>
        <w:tab/>
      </w:r>
      <w:r>
        <w:rPr>
          <w:sz w:val="22"/>
          <w:szCs w:val="22"/>
          <w:highlight w:val="none"/>
        </w:rPr>
        <w:fldChar w:fldCharType="begin"/>
      </w:r>
      <w:r>
        <w:rPr>
          <w:sz w:val="22"/>
          <w:szCs w:val="22"/>
          <w:highlight w:val="none"/>
        </w:rPr>
        <w:instrText xml:space="preserve"> PAGEREF _Toc3708 \h </w:instrText>
      </w:r>
      <w:r>
        <w:rPr>
          <w:sz w:val="22"/>
          <w:szCs w:val="22"/>
          <w:highlight w:val="none"/>
        </w:rPr>
        <w:fldChar w:fldCharType="separate"/>
      </w:r>
      <w:r>
        <w:rPr>
          <w:sz w:val="22"/>
          <w:szCs w:val="22"/>
          <w:highlight w:val="none"/>
        </w:rPr>
        <w:t>21</w:t>
      </w:r>
      <w:r>
        <w:rPr>
          <w:sz w:val="22"/>
          <w:szCs w:val="22"/>
          <w:highlight w:val="none"/>
        </w:rPr>
        <w:fldChar w:fldCharType="end"/>
      </w:r>
      <w:r>
        <w:rPr>
          <w:rFonts w:hint="eastAsia" w:hAnsi="宋体"/>
          <w:color w:val="auto"/>
          <w:sz w:val="22"/>
          <w:szCs w:val="44"/>
          <w:highlight w:val="none"/>
        </w:rPr>
        <w:fldChar w:fldCharType="end"/>
      </w:r>
    </w:p>
    <w:p w14:paraId="729ADA50">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_Toc24865 </w:instrText>
      </w:r>
      <w:r>
        <w:rPr>
          <w:rFonts w:hint="eastAsia" w:hAnsi="宋体"/>
          <w:sz w:val="22"/>
          <w:szCs w:val="44"/>
          <w:highlight w:val="none"/>
        </w:rPr>
        <w:fldChar w:fldCharType="separate"/>
      </w:r>
      <w:r>
        <w:rPr>
          <w:rFonts w:hint="eastAsia" w:cs="Times New Roman"/>
          <w:sz w:val="22"/>
          <w:szCs w:val="22"/>
          <w:highlight w:val="none"/>
        </w:rPr>
        <w:t xml:space="preserve">二、 </w:t>
      </w:r>
      <w:r>
        <w:rPr>
          <w:rFonts w:hint="eastAsia"/>
          <w:sz w:val="22"/>
          <w:szCs w:val="22"/>
          <w:highlight w:val="none"/>
        </w:rPr>
        <w:t>磋商程序</w:t>
      </w:r>
      <w:r>
        <w:rPr>
          <w:sz w:val="22"/>
          <w:szCs w:val="22"/>
          <w:highlight w:val="none"/>
        </w:rPr>
        <w:tab/>
      </w:r>
      <w:r>
        <w:rPr>
          <w:sz w:val="22"/>
          <w:szCs w:val="22"/>
          <w:highlight w:val="none"/>
        </w:rPr>
        <w:fldChar w:fldCharType="begin"/>
      </w:r>
      <w:r>
        <w:rPr>
          <w:sz w:val="22"/>
          <w:szCs w:val="22"/>
          <w:highlight w:val="none"/>
        </w:rPr>
        <w:instrText xml:space="preserve"> PAGEREF _Toc24865 \h </w:instrText>
      </w:r>
      <w:r>
        <w:rPr>
          <w:sz w:val="22"/>
          <w:szCs w:val="22"/>
          <w:highlight w:val="none"/>
        </w:rPr>
        <w:fldChar w:fldCharType="separate"/>
      </w:r>
      <w:r>
        <w:rPr>
          <w:sz w:val="22"/>
          <w:szCs w:val="22"/>
          <w:highlight w:val="none"/>
        </w:rPr>
        <w:t>22</w:t>
      </w:r>
      <w:r>
        <w:rPr>
          <w:sz w:val="22"/>
          <w:szCs w:val="22"/>
          <w:highlight w:val="none"/>
        </w:rPr>
        <w:fldChar w:fldCharType="end"/>
      </w:r>
      <w:r>
        <w:rPr>
          <w:rFonts w:hint="eastAsia" w:hAnsi="宋体"/>
          <w:color w:val="auto"/>
          <w:sz w:val="22"/>
          <w:szCs w:val="44"/>
          <w:highlight w:val="none"/>
        </w:rPr>
        <w:fldChar w:fldCharType="end"/>
      </w:r>
    </w:p>
    <w:p w14:paraId="51D0BE8F">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_Toc12966 </w:instrText>
      </w:r>
      <w:r>
        <w:rPr>
          <w:rFonts w:hint="eastAsia" w:hAnsi="宋体"/>
          <w:sz w:val="22"/>
          <w:szCs w:val="44"/>
          <w:highlight w:val="none"/>
        </w:rPr>
        <w:fldChar w:fldCharType="separate"/>
      </w:r>
      <w:r>
        <w:rPr>
          <w:rFonts w:hint="eastAsia" w:cs="Times New Roman"/>
          <w:sz w:val="22"/>
          <w:szCs w:val="22"/>
          <w:highlight w:val="none"/>
        </w:rPr>
        <w:t xml:space="preserve">三、 </w:t>
      </w:r>
      <w:r>
        <w:rPr>
          <w:rFonts w:hint="eastAsia"/>
          <w:sz w:val="22"/>
          <w:szCs w:val="22"/>
          <w:highlight w:val="none"/>
        </w:rPr>
        <w:t>注意事项</w:t>
      </w:r>
      <w:r>
        <w:rPr>
          <w:sz w:val="22"/>
          <w:szCs w:val="22"/>
          <w:highlight w:val="none"/>
        </w:rPr>
        <w:tab/>
      </w:r>
      <w:r>
        <w:rPr>
          <w:sz w:val="22"/>
          <w:szCs w:val="22"/>
          <w:highlight w:val="none"/>
        </w:rPr>
        <w:fldChar w:fldCharType="begin"/>
      </w:r>
      <w:r>
        <w:rPr>
          <w:sz w:val="22"/>
          <w:szCs w:val="22"/>
          <w:highlight w:val="none"/>
        </w:rPr>
        <w:instrText xml:space="preserve"> PAGEREF _Toc12966 \h </w:instrText>
      </w:r>
      <w:r>
        <w:rPr>
          <w:sz w:val="22"/>
          <w:szCs w:val="22"/>
          <w:highlight w:val="none"/>
        </w:rPr>
        <w:fldChar w:fldCharType="separate"/>
      </w:r>
      <w:r>
        <w:rPr>
          <w:sz w:val="22"/>
          <w:szCs w:val="22"/>
          <w:highlight w:val="none"/>
        </w:rPr>
        <w:t>25</w:t>
      </w:r>
      <w:r>
        <w:rPr>
          <w:sz w:val="22"/>
          <w:szCs w:val="22"/>
          <w:highlight w:val="none"/>
        </w:rPr>
        <w:fldChar w:fldCharType="end"/>
      </w:r>
      <w:r>
        <w:rPr>
          <w:rFonts w:hint="eastAsia" w:hAnsi="宋体"/>
          <w:color w:val="auto"/>
          <w:sz w:val="22"/>
          <w:szCs w:val="44"/>
          <w:highlight w:val="none"/>
        </w:rPr>
        <w:fldChar w:fldCharType="end"/>
      </w:r>
    </w:p>
    <w:p w14:paraId="3A4785D8">
      <w:pPr>
        <w:pStyle w:val="21"/>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_Toc22762 </w:instrText>
      </w:r>
      <w:r>
        <w:rPr>
          <w:rFonts w:hint="eastAsia" w:hAnsi="宋体"/>
          <w:sz w:val="22"/>
          <w:szCs w:val="44"/>
          <w:highlight w:val="none"/>
        </w:rPr>
        <w:fldChar w:fldCharType="separate"/>
      </w:r>
      <w:r>
        <w:rPr>
          <w:rFonts w:hint="eastAsia" w:cs="Times New Roman"/>
          <w:sz w:val="22"/>
          <w:szCs w:val="22"/>
          <w:highlight w:val="none"/>
        </w:rPr>
        <w:t xml:space="preserve">四、 </w:t>
      </w:r>
      <w:r>
        <w:rPr>
          <w:rFonts w:hint="eastAsia"/>
          <w:sz w:val="22"/>
          <w:szCs w:val="22"/>
          <w:highlight w:val="none"/>
        </w:rPr>
        <w:t>评分细则</w:t>
      </w:r>
      <w:r>
        <w:rPr>
          <w:sz w:val="22"/>
          <w:szCs w:val="22"/>
          <w:highlight w:val="none"/>
        </w:rPr>
        <w:tab/>
      </w:r>
      <w:r>
        <w:rPr>
          <w:sz w:val="22"/>
          <w:szCs w:val="22"/>
          <w:highlight w:val="none"/>
        </w:rPr>
        <w:fldChar w:fldCharType="begin"/>
      </w:r>
      <w:r>
        <w:rPr>
          <w:sz w:val="22"/>
          <w:szCs w:val="22"/>
          <w:highlight w:val="none"/>
        </w:rPr>
        <w:instrText xml:space="preserve"> PAGEREF _Toc22762 \h </w:instrText>
      </w:r>
      <w:r>
        <w:rPr>
          <w:sz w:val="22"/>
          <w:szCs w:val="22"/>
          <w:highlight w:val="none"/>
        </w:rPr>
        <w:fldChar w:fldCharType="separate"/>
      </w:r>
      <w:r>
        <w:rPr>
          <w:sz w:val="22"/>
          <w:szCs w:val="22"/>
          <w:highlight w:val="none"/>
        </w:rPr>
        <w:t>26</w:t>
      </w:r>
      <w:r>
        <w:rPr>
          <w:sz w:val="22"/>
          <w:szCs w:val="22"/>
          <w:highlight w:val="none"/>
        </w:rPr>
        <w:fldChar w:fldCharType="end"/>
      </w:r>
      <w:r>
        <w:rPr>
          <w:rFonts w:hint="eastAsia" w:hAnsi="宋体"/>
          <w:color w:val="auto"/>
          <w:sz w:val="22"/>
          <w:szCs w:val="44"/>
          <w:highlight w:val="none"/>
        </w:rPr>
        <w:fldChar w:fldCharType="end"/>
      </w:r>
    </w:p>
    <w:p w14:paraId="3DEE86A2">
      <w:pPr>
        <w:pStyle w:val="18"/>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_Toc28692 </w:instrText>
      </w:r>
      <w:r>
        <w:rPr>
          <w:rFonts w:hint="eastAsia" w:hAnsi="宋体"/>
          <w:sz w:val="22"/>
          <w:szCs w:val="44"/>
          <w:highlight w:val="none"/>
        </w:rPr>
        <w:fldChar w:fldCharType="separate"/>
      </w:r>
      <w:r>
        <w:rPr>
          <w:rFonts w:hint="eastAsia" w:cs="宋体"/>
          <w:sz w:val="22"/>
          <w:szCs w:val="40"/>
          <w:highlight w:val="none"/>
        </w:rPr>
        <w:t>第五部分</w:t>
      </w:r>
      <w:r>
        <w:rPr>
          <w:sz w:val="22"/>
          <w:szCs w:val="40"/>
          <w:highlight w:val="none"/>
        </w:rPr>
        <w:t xml:space="preserve"> </w:t>
      </w:r>
      <w:r>
        <w:rPr>
          <w:rFonts w:hint="eastAsia" w:cs="宋体"/>
          <w:sz w:val="22"/>
          <w:szCs w:val="40"/>
          <w:highlight w:val="none"/>
        </w:rPr>
        <w:t>采购合同</w:t>
      </w:r>
      <w:r>
        <w:rPr>
          <w:sz w:val="22"/>
          <w:szCs w:val="22"/>
          <w:highlight w:val="none"/>
        </w:rPr>
        <w:tab/>
      </w:r>
      <w:r>
        <w:rPr>
          <w:sz w:val="22"/>
          <w:szCs w:val="22"/>
          <w:highlight w:val="none"/>
        </w:rPr>
        <w:fldChar w:fldCharType="begin"/>
      </w:r>
      <w:r>
        <w:rPr>
          <w:sz w:val="22"/>
          <w:szCs w:val="22"/>
          <w:highlight w:val="none"/>
        </w:rPr>
        <w:instrText xml:space="preserve"> PAGEREF _Toc28692 \h </w:instrText>
      </w:r>
      <w:r>
        <w:rPr>
          <w:sz w:val="22"/>
          <w:szCs w:val="22"/>
          <w:highlight w:val="none"/>
        </w:rPr>
        <w:fldChar w:fldCharType="separate"/>
      </w:r>
      <w:r>
        <w:rPr>
          <w:sz w:val="22"/>
          <w:szCs w:val="22"/>
          <w:highlight w:val="none"/>
        </w:rPr>
        <w:t>31</w:t>
      </w:r>
      <w:r>
        <w:rPr>
          <w:sz w:val="22"/>
          <w:szCs w:val="22"/>
          <w:highlight w:val="none"/>
        </w:rPr>
        <w:fldChar w:fldCharType="end"/>
      </w:r>
      <w:r>
        <w:rPr>
          <w:rFonts w:hint="eastAsia" w:hAnsi="宋体"/>
          <w:color w:val="auto"/>
          <w:sz w:val="22"/>
          <w:szCs w:val="44"/>
          <w:highlight w:val="none"/>
        </w:rPr>
        <w:fldChar w:fldCharType="end"/>
      </w:r>
    </w:p>
    <w:p w14:paraId="072A7D73">
      <w:pPr>
        <w:pStyle w:val="18"/>
        <w:tabs>
          <w:tab w:val="right" w:leader="dot" w:pos="8306"/>
        </w:tabs>
        <w:spacing w:line="360" w:lineRule="auto"/>
        <w:rPr>
          <w:sz w:val="22"/>
          <w:szCs w:val="22"/>
          <w:highlight w:val="none"/>
        </w:rPr>
      </w:pPr>
      <w:r>
        <w:rPr>
          <w:rFonts w:hint="eastAsia" w:hAnsi="宋体"/>
          <w:color w:val="auto"/>
          <w:sz w:val="22"/>
          <w:szCs w:val="44"/>
          <w:highlight w:val="none"/>
        </w:rPr>
        <w:fldChar w:fldCharType="begin"/>
      </w:r>
      <w:r>
        <w:rPr>
          <w:rFonts w:hint="eastAsia" w:hAnsi="宋体"/>
          <w:sz w:val="22"/>
          <w:szCs w:val="44"/>
          <w:highlight w:val="none"/>
        </w:rPr>
        <w:instrText xml:space="preserve"> HYPERLINK \l _Toc15719 </w:instrText>
      </w:r>
      <w:r>
        <w:rPr>
          <w:rFonts w:hint="eastAsia" w:hAnsi="宋体"/>
          <w:sz w:val="22"/>
          <w:szCs w:val="44"/>
          <w:highlight w:val="none"/>
        </w:rPr>
        <w:fldChar w:fldCharType="separate"/>
      </w:r>
      <w:r>
        <w:rPr>
          <w:rFonts w:hint="eastAsia" w:cs="宋体"/>
          <w:sz w:val="22"/>
          <w:szCs w:val="40"/>
          <w:highlight w:val="none"/>
        </w:rPr>
        <w:t>第六部分</w:t>
      </w:r>
      <w:r>
        <w:rPr>
          <w:sz w:val="22"/>
          <w:szCs w:val="40"/>
          <w:highlight w:val="none"/>
        </w:rPr>
        <w:t xml:space="preserve"> </w:t>
      </w:r>
      <w:r>
        <w:rPr>
          <w:rFonts w:hint="eastAsia" w:cs="宋体"/>
          <w:sz w:val="22"/>
          <w:szCs w:val="40"/>
          <w:highlight w:val="none"/>
        </w:rPr>
        <w:t>应提交的有关格式范例</w:t>
      </w:r>
      <w:r>
        <w:rPr>
          <w:sz w:val="22"/>
          <w:szCs w:val="22"/>
          <w:highlight w:val="none"/>
        </w:rPr>
        <w:tab/>
      </w:r>
      <w:r>
        <w:rPr>
          <w:sz w:val="22"/>
          <w:szCs w:val="22"/>
          <w:highlight w:val="none"/>
        </w:rPr>
        <w:fldChar w:fldCharType="begin"/>
      </w:r>
      <w:r>
        <w:rPr>
          <w:sz w:val="22"/>
          <w:szCs w:val="22"/>
          <w:highlight w:val="none"/>
        </w:rPr>
        <w:instrText xml:space="preserve"> PAGEREF _Toc15719 \h </w:instrText>
      </w:r>
      <w:r>
        <w:rPr>
          <w:sz w:val="22"/>
          <w:szCs w:val="22"/>
          <w:highlight w:val="none"/>
        </w:rPr>
        <w:fldChar w:fldCharType="separate"/>
      </w:r>
      <w:r>
        <w:rPr>
          <w:sz w:val="22"/>
          <w:szCs w:val="22"/>
          <w:highlight w:val="none"/>
        </w:rPr>
        <w:t>38</w:t>
      </w:r>
      <w:r>
        <w:rPr>
          <w:sz w:val="22"/>
          <w:szCs w:val="22"/>
          <w:highlight w:val="none"/>
        </w:rPr>
        <w:fldChar w:fldCharType="end"/>
      </w:r>
      <w:r>
        <w:rPr>
          <w:rFonts w:hint="eastAsia" w:hAnsi="宋体"/>
          <w:color w:val="auto"/>
          <w:sz w:val="22"/>
          <w:szCs w:val="44"/>
          <w:highlight w:val="none"/>
        </w:rPr>
        <w:fldChar w:fldCharType="end"/>
      </w:r>
    </w:p>
    <w:p w14:paraId="6779CC97">
      <w:pPr>
        <w:pStyle w:val="4"/>
        <w:spacing w:line="360" w:lineRule="auto"/>
        <w:rPr>
          <w:rFonts w:cs="Times New Roman"/>
          <w:color w:val="auto"/>
          <w:highlight w:val="none"/>
        </w:rPr>
      </w:pPr>
      <w:r>
        <w:rPr>
          <w:rFonts w:hint="eastAsia" w:hAnsi="宋体"/>
          <w:color w:val="auto"/>
          <w:sz w:val="32"/>
          <w:szCs w:val="44"/>
          <w:highlight w:val="none"/>
        </w:rPr>
        <w:fldChar w:fldCharType="end"/>
      </w:r>
    </w:p>
    <w:p w14:paraId="679EF57A">
      <w:pPr>
        <w:rPr>
          <w:color w:val="auto"/>
          <w:highlight w:val="none"/>
        </w:rPr>
      </w:pPr>
    </w:p>
    <w:p w14:paraId="5873B614">
      <w:pPr>
        <w:rPr>
          <w:color w:val="auto"/>
          <w:highlight w:val="none"/>
        </w:rPr>
      </w:pPr>
    </w:p>
    <w:p w14:paraId="5E55C847">
      <w:pPr>
        <w:rPr>
          <w:color w:val="auto"/>
          <w:highlight w:val="none"/>
        </w:rPr>
      </w:pPr>
    </w:p>
    <w:p w14:paraId="2ADBAE2A">
      <w:pPr>
        <w:rPr>
          <w:color w:val="auto"/>
          <w:highlight w:val="none"/>
        </w:rPr>
      </w:pPr>
    </w:p>
    <w:p w14:paraId="5CBDDA5E">
      <w:pPr>
        <w:tabs>
          <w:tab w:val="left" w:pos="3148"/>
        </w:tabs>
        <w:jc w:val="left"/>
        <w:rPr>
          <w:color w:val="auto"/>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color w:val="auto"/>
          <w:highlight w:val="none"/>
        </w:rPr>
        <w:tab/>
      </w:r>
    </w:p>
    <w:p w14:paraId="49480EEE">
      <w:pPr>
        <w:pStyle w:val="3"/>
        <w:jc w:val="center"/>
        <w:rPr>
          <w:rFonts w:ascii="宋体" w:cs="Times New Roman"/>
          <w:color w:val="auto"/>
          <w:highlight w:val="none"/>
        </w:rPr>
      </w:pPr>
      <w:bookmarkStart w:id="0" w:name="_Toc31034"/>
      <w:bookmarkStart w:id="1" w:name="_Toc22738"/>
      <w:bookmarkStart w:id="2" w:name="_Toc32199"/>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610E87D0">
      <w:pPr>
        <w:adjustRightInd w:val="0"/>
        <w:spacing w:line="360" w:lineRule="auto"/>
        <w:ind w:right="-313" w:rightChars="-149"/>
        <w:jc w:val="center"/>
        <w:rPr>
          <w:rFonts w:ascii="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绍兴市上虞区交通运输局绍兴市上虞区综合交通运输发展“十五五”规划及相关课题研究</w:t>
      </w:r>
      <w:r>
        <w:rPr>
          <w:rFonts w:hint="eastAsia" w:ascii="宋体" w:hAnsi="宋体" w:cs="宋体"/>
          <w:color w:val="auto"/>
          <w:sz w:val="28"/>
          <w:szCs w:val="28"/>
          <w:highlight w:val="none"/>
        </w:rPr>
        <w:t>的竞争性磋商公告</w:t>
      </w:r>
    </w:p>
    <w:p w14:paraId="120DE1B4">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17</w:t>
      </w:r>
      <w:r>
        <w:rPr>
          <w:rFonts w:hint="eastAsia" w:ascii="宋体" w:hAnsi="宋体" w:cs="宋体"/>
          <w:color w:val="auto"/>
          <w:sz w:val="28"/>
          <w:szCs w:val="28"/>
          <w:highlight w:val="none"/>
        </w:rPr>
        <w:t>日</w:t>
      </w:r>
    </w:p>
    <w:p w14:paraId="36DAC266">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绍兴市上虞区交通运输局</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绍兴市上虞区综合交通运输发展“十五五”规划及相关课题研究</w:t>
      </w:r>
      <w:r>
        <w:rPr>
          <w:rFonts w:hint="eastAsia" w:ascii="宋体" w:hAnsi="宋体" w:cs="宋体"/>
          <w:color w:val="auto"/>
          <w:sz w:val="24"/>
          <w:szCs w:val="24"/>
          <w:highlight w:val="none"/>
          <w:u w:val="single"/>
        </w:rPr>
        <w:t>的</w:t>
      </w:r>
      <w:r>
        <w:rPr>
          <w:rFonts w:hint="eastAsia" w:ascii="宋体" w:hAnsi="宋体" w:cs="宋体"/>
          <w:color w:val="auto"/>
          <w:sz w:val="24"/>
          <w:szCs w:val="24"/>
          <w:highlight w:val="none"/>
        </w:rPr>
        <w:t>竞争性磋商采购进行</w:t>
      </w:r>
      <w:r>
        <w:rPr>
          <w:rFonts w:hint="eastAsia" w:ascii="宋体" w:hAnsi="宋体" w:cs="宋体"/>
          <w:color w:val="auto"/>
          <w:sz w:val="24"/>
          <w:szCs w:val="24"/>
          <w:highlight w:val="none"/>
          <w:u w:val="single"/>
        </w:rPr>
        <w:t>竞争性磋商公告</w:t>
      </w:r>
      <w:r>
        <w:rPr>
          <w:rFonts w:hint="eastAsia" w:ascii="宋体" w:hAnsi="宋体" w:cs="宋体"/>
          <w:color w:val="auto"/>
          <w:sz w:val="24"/>
          <w:szCs w:val="24"/>
          <w:highlight w:val="none"/>
        </w:rPr>
        <w:t>，欢迎国内合格的供应商参加本次采购活动。</w:t>
      </w:r>
    </w:p>
    <w:p w14:paraId="386AAB68">
      <w:pPr>
        <w:adjustRightInd w:val="0"/>
        <w:spacing w:line="360" w:lineRule="auto"/>
        <w:ind w:firstLine="480" w:firstLineChars="200"/>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eastAsia="zh-CN"/>
        </w:rPr>
        <w:t>YK2025022</w:t>
      </w:r>
      <w:r>
        <w:rPr>
          <w:rFonts w:hint="eastAsia" w:ascii="宋体" w:hAnsi="宋体" w:cs="宋体"/>
          <w:color w:val="auto"/>
          <w:sz w:val="24"/>
          <w:szCs w:val="24"/>
          <w:highlight w:val="none"/>
          <w:u w:val="single"/>
          <w:lang w:val="en-US" w:eastAsia="zh-CN"/>
        </w:rPr>
        <w:t xml:space="preserve"> </w:t>
      </w:r>
    </w:p>
    <w:p w14:paraId="23B6F146">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640BC57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6"/>
        <w:tblW w:w="9036"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72"/>
        <w:gridCol w:w="1821"/>
        <w:gridCol w:w="650"/>
        <w:gridCol w:w="680"/>
        <w:gridCol w:w="1130"/>
        <w:gridCol w:w="2661"/>
        <w:gridCol w:w="1086"/>
        <w:gridCol w:w="536"/>
      </w:tblGrid>
      <w:tr w14:paraId="3065D5AE">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416" w:hRule="atLeast"/>
          <w:jc w:val="center"/>
        </w:trPr>
        <w:tc>
          <w:tcPr>
            <w:tcW w:w="472" w:type="dxa"/>
            <w:tcBorders>
              <w:top w:val="single" w:color="000000" w:sz="4" w:space="0"/>
            </w:tcBorders>
            <w:vAlign w:val="center"/>
          </w:tcPr>
          <w:p w14:paraId="434833E0">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821" w:type="dxa"/>
            <w:tcBorders>
              <w:top w:val="single" w:color="000000" w:sz="4" w:space="0"/>
            </w:tcBorders>
            <w:vAlign w:val="center"/>
          </w:tcPr>
          <w:p w14:paraId="0A0F1EAD">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650" w:type="dxa"/>
            <w:tcBorders>
              <w:top w:val="single" w:color="000000" w:sz="4" w:space="0"/>
            </w:tcBorders>
            <w:vAlign w:val="center"/>
          </w:tcPr>
          <w:p w14:paraId="7B8B1A03">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680" w:type="dxa"/>
            <w:tcBorders>
              <w:top w:val="single" w:color="000000" w:sz="4" w:space="0"/>
            </w:tcBorders>
            <w:vAlign w:val="center"/>
          </w:tcPr>
          <w:p w14:paraId="131824A1">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130" w:type="dxa"/>
            <w:tcBorders>
              <w:top w:val="single" w:color="000000" w:sz="4" w:space="0"/>
            </w:tcBorders>
            <w:vAlign w:val="center"/>
          </w:tcPr>
          <w:p w14:paraId="07F4413F">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2661" w:type="dxa"/>
            <w:tcBorders>
              <w:top w:val="single" w:color="000000" w:sz="4" w:space="0"/>
            </w:tcBorders>
            <w:vAlign w:val="center"/>
          </w:tcPr>
          <w:p w14:paraId="78793A47">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086" w:type="dxa"/>
            <w:tcBorders>
              <w:top w:val="single" w:color="000000" w:sz="4" w:space="0"/>
            </w:tcBorders>
            <w:vAlign w:val="center"/>
          </w:tcPr>
          <w:p w14:paraId="0FC1998F">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536" w:type="dxa"/>
            <w:tcBorders>
              <w:top w:val="single" w:color="000000" w:sz="4" w:space="0"/>
            </w:tcBorders>
            <w:vAlign w:val="center"/>
          </w:tcPr>
          <w:p w14:paraId="37094D84">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09E1734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860" w:hRule="atLeast"/>
          <w:jc w:val="center"/>
        </w:trPr>
        <w:tc>
          <w:tcPr>
            <w:tcW w:w="472" w:type="dxa"/>
            <w:tcBorders>
              <w:bottom w:val="single" w:color="000000" w:sz="4" w:space="0"/>
            </w:tcBorders>
            <w:vAlign w:val="center"/>
          </w:tcPr>
          <w:p w14:paraId="4F1DE7F2">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821" w:type="dxa"/>
            <w:tcBorders>
              <w:bottom w:val="single" w:color="000000" w:sz="4" w:space="0"/>
            </w:tcBorders>
            <w:vAlign w:val="center"/>
          </w:tcPr>
          <w:p w14:paraId="4BA87BD6">
            <w:pPr>
              <w:pStyle w:val="13"/>
              <w:snapToGrid w:val="0"/>
              <w:spacing w:before="120" w:after="120"/>
              <w:jc w:val="center"/>
              <w:rPr>
                <w:rFonts w:hint="eastAsia" w:hAnsi="宋体" w:cs="Times New Roman"/>
                <w:color w:val="auto"/>
                <w:sz w:val="24"/>
                <w:szCs w:val="24"/>
                <w:highlight w:val="none"/>
                <w:lang w:eastAsia="zh-CN"/>
              </w:rPr>
            </w:pPr>
            <w:r>
              <w:rPr>
                <w:rFonts w:hint="eastAsia" w:hAnsi="宋体" w:cs="Times New Roman"/>
                <w:color w:val="auto"/>
                <w:sz w:val="24"/>
                <w:szCs w:val="24"/>
                <w:highlight w:val="none"/>
                <w:lang w:val="en-US" w:eastAsia="zh-CN"/>
              </w:rPr>
              <w:t>绍兴市上虞区综合交通运输发展“十五五”规划及相关课题研究</w:t>
            </w:r>
          </w:p>
        </w:tc>
        <w:tc>
          <w:tcPr>
            <w:tcW w:w="650" w:type="dxa"/>
            <w:tcBorders>
              <w:bottom w:val="single" w:color="000000" w:sz="4" w:space="0"/>
            </w:tcBorders>
            <w:vAlign w:val="center"/>
          </w:tcPr>
          <w:p w14:paraId="07F56486">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680" w:type="dxa"/>
            <w:tcBorders>
              <w:bottom w:val="single" w:color="000000" w:sz="4" w:space="0"/>
            </w:tcBorders>
            <w:vAlign w:val="center"/>
          </w:tcPr>
          <w:p w14:paraId="3C435FA4">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w:t>
            </w:r>
          </w:p>
        </w:tc>
        <w:tc>
          <w:tcPr>
            <w:tcW w:w="1130" w:type="dxa"/>
            <w:tcBorders>
              <w:bottom w:val="single" w:color="000000" w:sz="4" w:space="0"/>
            </w:tcBorders>
            <w:vAlign w:val="center"/>
          </w:tcPr>
          <w:p w14:paraId="1384490A">
            <w:pPr>
              <w:widowControl/>
              <w:spacing w:before="100" w:after="100" w:line="312" w:lineRule="auto"/>
              <w:jc w:val="center"/>
              <w:rPr>
                <w:rFonts w:hint="default" w:asci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800000</w:t>
            </w:r>
          </w:p>
        </w:tc>
        <w:tc>
          <w:tcPr>
            <w:tcW w:w="2661" w:type="dxa"/>
            <w:tcBorders>
              <w:bottom w:val="single" w:color="000000" w:sz="4" w:space="0"/>
            </w:tcBorders>
            <w:vAlign w:val="center"/>
          </w:tcPr>
          <w:p w14:paraId="573A40F0">
            <w:pPr>
              <w:keepNext w:val="0"/>
              <w:keepLines w:val="0"/>
              <w:pageBreakBefore w:val="0"/>
              <w:widowControl w:val="0"/>
              <w:suppressLineNumbers w:val="0"/>
              <w:suppressAutoHyphens/>
              <w:kinsoku/>
              <w:wordWrap/>
              <w:overflowPunct w:val="0"/>
              <w:topLinePunct w:val="0"/>
              <w:autoSpaceDE w:val="0"/>
              <w:autoSpaceDN w:val="0"/>
              <w:bidi w:val="0"/>
              <w:adjustRightInd/>
              <w:spacing w:before="0" w:beforeAutospacing="0" w:after="0" w:afterAutospacing="0" w:line="240" w:lineRule="auto"/>
              <w:ind w:left="0" w:right="0"/>
              <w:jc w:val="center"/>
              <w:textAlignment w:val="auto"/>
              <w:rPr>
                <w:rFonts w:hint="eastAsia" w:hAnsi="宋体" w:eastAsia="宋体" w:cs="Times New Roman"/>
                <w:color w:val="auto"/>
                <w:sz w:val="24"/>
                <w:szCs w:val="24"/>
                <w:highlight w:val="none"/>
                <w:lang w:eastAsia="zh-CN"/>
              </w:rPr>
            </w:pPr>
            <w:r>
              <w:rPr>
                <w:rFonts w:hint="eastAsia" w:hAnsi="宋体" w:cs="Times New Roman"/>
                <w:color w:val="auto"/>
                <w:sz w:val="24"/>
                <w:szCs w:val="24"/>
                <w:highlight w:val="none"/>
                <w:lang w:eastAsia="zh-CN"/>
              </w:rPr>
              <w:t>编制</w:t>
            </w:r>
            <w:r>
              <w:rPr>
                <w:rFonts w:hint="eastAsia" w:hAnsi="宋体" w:cs="Times New Roman"/>
                <w:color w:val="auto"/>
                <w:sz w:val="24"/>
                <w:szCs w:val="24"/>
                <w:highlight w:val="none"/>
                <w:lang w:val="en-US" w:eastAsia="zh-CN"/>
              </w:rPr>
              <w:t>上虞区综合交通运输发展“十五五”规划及相关课题研究。</w:t>
            </w:r>
          </w:p>
        </w:tc>
        <w:tc>
          <w:tcPr>
            <w:tcW w:w="1086" w:type="dxa"/>
            <w:tcBorders>
              <w:bottom w:val="single" w:color="000000" w:sz="4" w:space="0"/>
            </w:tcBorders>
            <w:vAlign w:val="center"/>
          </w:tcPr>
          <w:p w14:paraId="7B503C1A">
            <w:pPr>
              <w:adjustRightInd w:val="0"/>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800000</w:t>
            </w:r>
          </w:p>
        </w:tc>
        <w:tc>
          <w:tcPr>
            <w:tcW w:w="536" w:type="dxa"/>
            <w:tcBorders>
              <w:bottom w:val="single" w:color="000000" w:sz="4" w:space="0"/>
            </w:tcBorders>
            <w:vAlign w:val="center"/>
          </w:tcPr>
          <w:p w14:paraId="0F877630">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w:t>
            </w:r>
          </w:p>
        </w:tc>
      </w:tr>
    </w:tbl>
    <w:p w14:paraId="07F4D3F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14:paraId="1B9742FE">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14:paraId="17610CE2">
      <w:pPr>
        <w:numPr>
          <w:ilvl w:val="0"/>
          <w:numId w:val="2"/>
        </w:numPr>
        <w:adjustRightInd w:val="0"/>
        <w:spacing w:line="360" w:lineRule="auto"/>
        <w:ind w:firstLine="480" w:firstLineChars="200"/>
        <w:rPr>
          <w:rFonts w:ascii="宋体"/>
          <w:color w:val="auto"/>
          <w:sz w:val="24"/>
          <w:szCs w:val="24"/>
          <w:highlight w:val="none"/>
        </w:rPr>
      </w:pPr>
      <w:r>
        <w:rPr>
          <w:rFonts w:hint="eastAsia" w:ascii="宋体"/>
          <w:color w:val="auto"/>
          <w:sz w:val="24"/>
          <w:szCs w:val="24"/>
          <w:highlight w:val="none"/>
          <w:lang w:val="en-US" w:eastAsia="zh-CN"/>
        </w:rPr>
        <w:t>落实</w:t>
      </w:r>
      <w:r>
        <w:rPr>
          <w:rFonts w:hint="eastAsia" w:ascii="宋体" w:hAnsi="宋体" w:eastAsia="宋体" w:cs="宋体"/>
          <w:color w:val="auto"/>
          <w:sz w:val="24"/>
          <w:szCs w:val="24"/>
          <w:highlight w:val="none"/>
        </w:rPr>
        <w:t>政府采购政策需满足的资格要求：</w:t>
      </w:r>
      <w:r>
        <w:rPr>
          <w:rFonts w:hint="eastAsia" w:ascii="宋体" w:hAnsi="宋体" w:cs="宋体"/>
          <w:color w:val="auto"/>
          <w:sz w:val="24"/>
          <w:szCs w:val="24"/>
          <w:highlight w:val="none"/>
        </w:rPr>
        <w:t>供应商为中小企业/小微企业</w:t>
      </w:r>
      <w:r>
        <w:rPr>
          <w:rFonts w:hint="eastAsia" w:ascii="宋体" w:hAnsi="宋体" w:eastAsia="宋体" w:cs="宋体"/>
          <w:color w:val="auto"/>
          <w:sz w:val="24"/>
          <w:szCs w:val="24"/>
          <w:highlight w:val="none"/>
          <w:lang w:eastAsia="zh-CN"/>
        </w:rPr>
        <w:t>。</w:t>
      </w:r>
    </w:p>
    <w:p w14:paraId="05BF0737">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lang w:val="en-US" w:eastAsia="zh-CN"/>
        </w:rPr>
        <w:t xml:space="preserve"> 不</w:t>
      </w:r>
      <w:r>
        <w:rPr>
          <w:rFonts w:hint="eastAsia" w:ascii="宋体" w:hAnsi="宋体" w:cs="宋体"/>
          <w:color w:val="auto"/>
          <w:sz w:val="24"/>
          <w:szCs w:val="24"/>
          <w:highlight w:val="none"/>
          <w:u w:val="single"/>
        </w:rPr>
        <w:t>接受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联合体参加磋商。</w:t>
      </w:r>
    </w:p>
    <w:p w14:paraId="6EEAC9A7">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2CEE56E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100D3A6F">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1AFE1E96">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4DA5F2CB">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58EC74BD">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16EB1E94">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3F723838">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1962959E">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3FA84142">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7FC1111B">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492E7F89">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798B3462">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4387BA91">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20736EA7">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7C651C6F">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50F2C83B">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70D06E52">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6431D80F">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32690F6C">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5C3FAB7F">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0076F178">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715DF3C2">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6F77A142">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w:t>
      </w:r>
    </w:p>
    <w:p w14:paraId="7AD972F5">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0393B916">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293BD6E9">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354A4A46">
      <w:pPr>
        <w:numPr>
          <w:ilvl w:val="0"/>
          <w:numId w:val="7"/>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46A5BEF6">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1670715C">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bookmarkStart w:id="6" w:name="B30_开标地点"/>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分整在</w:t>
      </w:r>
      <w:r>
        <w:rPr>
          <w:rFonts w:hint="eastAsia" w:ascii="宋体" w:hAnsi="宋体" w:cs="宋体"/>
          <w:color w:val="auto"/>
          <w:sz w:val="24"/>
          <w:szCs w:val="24"/>
          <w:highlight w:val="none"/>
          <w:lang w:val="en-US" w:eastAsia="zh-CN"/>
        </w:rPr>
        <w:t>浙江宇康工程管理咨询有限公司</w:t>
      </w:r>
      <w:r>
        <w:rPr>
          <w:rFonts w:hint="eastAsia" w:ascii="宋体" w:hAnsi="宋体" w:cs="宋体"/>
          <w:color w:val="auto"/>
          <w:sz w:val="24"/>
          <w:szCs w:val="24"/>
          <w:highlight w:val="none"/>
        </w:rPr>
        <w:t>开标室开标。</w:t>
      </w:r>
      <w:bookmarkEnd w:id="6"/>
    </w:p>
    <w:p w14:paraId="4FAC3B9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hint="eastAsia" w:ascii="宋体" w:hAnsi="宋体" w:cs="宋体"/>
          <w:color w:val="auto"/>
          <w:sz w:val="24"/>
          <w:szCs w:val="24"/>
          <w:highlight w:val="none"/>
          <w:lang w:val="en-US" w:eastAsia="zh-CN"/>
        </w:rPr>
        <w:t>当日10</w:t>
      </w:r>
      <w:r>
        <w:rPr>
          <w:rFonts w:ascii="宋体" w:hAnsi="宋体" w:cs="宋体"/>
          <w:color w:val="auto"/>
          <w:sz w:val="24"/>
          <w:szCs w:val="24"/>
          <w:highlight w:val="none"/>
        </w:rPr>
        <w:t xml:space="preserve"> : </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w:t>
      </w:r>
      <w:r>
        <w:rPr>
          <w:rFonts w:hint="eastAsia" w:ascii="宋体" w:hAnsi="宋体" w:cs="宋体"/>
          <w:color w:val="auto"/>
          <w:sz w:val="24"/>
          <w:szCs w:val="24"/>
          <w:highlight w:val="none"/>
          <w:lang w:val="en-US" w:eastAsia="zh-CN"/>
        </w:rPr>
        <w:t>当日10</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116B2032">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166DD65D">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0AF7BDAC">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708BFAC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547D3E9B">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14:paraId="22326252">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苗黎</w:t>
      </w:r>
      <w:r>
        <w:rPr>
          <w:rFonts w:hint="eastAsia" w:ascii="宋体" w:hAnsi="宋体" w:cs="宋体"/>
          <w:color w:val="auto"/>
          <w:sz w:val="24"/>
          <w:szCs w:val="24"/>
          <w:highlight w:val="none"/>
        </w:rPr>
        <w:t xml:space="preserve">               </w:t>
      </w:r>
    </w:p>
    <w:p w14:paraId="0BF6200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项目联系方式（询问）：1</w:t>
      </w:r>
      <w:r>
        <w:rPr>
          <w:rFonts w:hint="eastAsia" w:ascii="宋体" w:hAnsi="宋体" w:cs="宋体"/>
          <w:color w:val="auto"/>
          <w:sz w:val="24"/>
          <w:szCs w:val="24"/>
          <w:highlight w:val="none"/>
          <w:lang w:val="en-US" w:eastAsia="zh-CN"/>
        </w:rPr>
        <w:t>3757586169</w:t>
      </w:r>
      <w:r>
        <w:rPr>
          <w:rFonts w:hint="eastAsia" w:ascii="宋体" w:hAnsi="宋体" w:cs="宋体"/>
          <w:color w:val="auto"/>
          <w:sz w:val="24"/>
          <w:szCs w:val="24"/>
          <w:highlight w:val="none"/>
        </w:rPr>
        <w:t xml:space="preserve">         </w:t>
      </w:r>
    </w:p>
    <w:p w14:paraId="650794C7">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eastAsia="zh-CN"/>
        </w:rPr>
        <w:t>蒲志刚</w:t>
      </w:r>
      <w:r>
        <w:rPr>
          <w:rFonts w:hint="eastAsia" w:ascii="宋体" w:hAnsi="宋体" w:cs="宋体"/>
          <w:color w:val="auto"/>
          <w:sz w:val="24"/>
          <w:szCs w:val="24"/>
          <w:highlight w:val="none"/>
        </w:rPr>
        <w:t xml:space="preserve">             </w:t>
      </w:r>
    </w:p>
    <w:p w14:paraId="022D2C1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质疑联系方式：1</w:t>
      </w:r>
      <w:r>
        <w:rPr>
          <w:rFonts w:hint="eastAsia" w:ascii="宋体" w:hAnsi="宋体" w:cs="宋体"/>
          <w:color w:val="auto"/>
          <w:sz w:val="24"/>
          <w:szCs w:val="24"/>
          <w:highlight w:val="none"/>
          <w:lang w:val="en-US" w:eastAsia="zh-CN"/>
        </w:rPr>
        <w:t>8368083941</w:t>
      </w:r>
      <w:r>
        <w:rPr>
          <w:rFonts w:hint="eastAsia" w:ascii="宋体" w:hAnsi="宋体" w:cs="宋体"/>
          <w:color w:val="auto"/>
          <w:sz w:val="24"/>
          <w:szCs w:val="24"/>
          <w:highlight w:val="none"/>
        </w:rPr>
        <w:t xml:space="preserve">       </w:t>
      </w:r>
    </w:p>
    <w:p w14:paraId="0172870E">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地址：绍兴市上虞区百官街道江东北路</w:t>
      </w:r>
      <w:r>
        <w:rPr>
          <w:rFonts w:ascii="宋体" w:hAnsi="宋体" w:cs="宋体"/>
          <w:color w:val="auto"/>
          <w:sz w:val="24"/>
          <w:szCs w:val="24"/>
          <w:highlight w:val="none"/>
        </w:rPr>
        <w:t>588</w:t>
      </w:r>
      <w:r>
        <w:rPr>
          <w:rFonts w:hint="eastAsia" w:ascii="宋体" w:hAnsi="宋体" w:cs="宋体"/>
          <w:color w:val="auto"/>
          <w:sz w:val="24"/>
          <w:szCs w:val="24"/>
          <w:highlight w:val="none"/>
        </w:rPr>
        <w:t>号百官广场</w:t>
      </w:r>
      <w:r>
        <w:rPr>
          <w:rFonts w:ascii="宋体" w:hAnsi="宋体" w:cs="宋体"/>
          <w:color w:val="auto"/>
          <w:sz w:val="24"/>
          <w:szCs w:val="24"/>
          <w:highlight w:val="none"/>
        </w:rPr>
        <w:t>30</w:t>
      </w:r>
      <w:r>
        <w:rPr>
          <w:rFonts w:hint="eastAsia" w:ascii="宋体" w:hAnsi="宋体" w:cs="宋体"/>
          <w:color w:val="auto"/>
          <w:sz w:val="24"/>
          <w:szCs w:val="24"/>
          <w:highlight w:val="none"/>
        </w:rPr>
        <w:t xml:space="preserve">楼  </w:t>
      </w:r>
    </w:p>
    <w:p w14:paraId="5D2D2CE4">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绍兴市上虞区交通运输局</w:t>
      </w:r>
    </w:p>
    <w:p w14:paraId="1C632D8E">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eastAsia="zh-CN"/>
        </w:rPr>
        <w:t>何先生</w:t>
      </w:r>
    </w:p>
    <w:p w14:paraId="032A5C33">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项目联系方式（询问）：0575-82218893</w:t>
      </w:r>
    </w:p>
    <w:p w14:paraId="390BC588">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黄先生</w:t>
      </w:r>
    </w:p>
    <w:p w14:paraId="081C5E99">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质疑联系方式：0575-82217219</w:t>
      </w:r>
    </w:p>
    <w:p w14:paraId="6E59F9C4">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绍兴市上虞区称山北路306号</w:t>
      </w:r>
    </w:p>
    <w:p w14:paraId="334525E7">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2D75B05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0578B1C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4E5099A3">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w:t>
      </w:r>
      <w:r>
        <w:rPr>
          <w:rFonts w:hint="eastAsia" w:ascii="宋体" w:hAnsi="宋体" w:cs="宋体"/>
          <w:color w:val="auto"/>
          <w:sz w:val="24"/>
          <w:szCs w:val="24"/>
          <w:highlight w:val="none"/>
          <w:lang w:val="en-US" w:eastAsia="zh-CN"/>
        </w:rPr>
        <w:t>54859</w:t>
      </w:r>
    </w:p>
    <w:p w14:paraId="2E937E76">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1D601E2B">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546"/>
      <w:bookmarkStart w:id="8" w:name="_Toc30096"/>
      <w:bookmarkStart w:id="9" w:name="_Toc29834"/>
      <w:r>
        <w:rPr>
          <w:rStyle w:val="41"/>
          <w:rFonts w:hint="eastAsia" w:cs="宋体"/>
          <w:color w:val="auto"/>
          <w:sz w:val="36"/>
          <w:szCs w:val="36"/>
          <w:highlight w:val="none"/>
        </w:rPr>
        <w:t>第二部分</w:t>
      </w:r>
      <w:bookmarkEnd w:id="3"/>
      <w:r>
        <w:rPr>
          <w:rStyle w:val="41"/>
          <w:color w:val="auto"/>
          <w:sz w:val="36"/>
          <w:szCs w:val="36"/>
          <w:highlight w:val="none"/>
        </w:rPr>
        <w:t xml:space="preserve"> </w:t>
      </w:r>
      <w:bookmarkEnd w:id="4"/>
      <w:r>
        <w:rPr>
          <w:rStyle w:val="41"/>
          <w:rFonts w:hint="eastAsia" w:cs="宋体"/>
          <w:color w:val="auto"/>
          <w:sz w:val="36"/>
          <w:szCs w:val="36"/>
          <w:highlight w:val="none"/>
        </w:rPr>
        <w:t>供应商须知</w:t>
      </w:r>
      <w:bookmarkEnd w:id="7"/>
      <w:bookmarkEnd w:id="8"/>
      <w:bookmarkEnd w:id="9"/>
    </w:p>
    <w:p w14:paraId="65342AA6">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前附表</w:t>
      </w:r>
    </w:p>
    <w:tbl>
      <w:tblPr>
        <w:tblStyle w:val="26"/>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391DF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5BC2E246">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5327F9FC">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49323CE2">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7018B6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45C138F6">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14:paraId="701FDF54">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2FFE66FD">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绍兴市上虞区综合交通运输发展“十五五”规划及相关课题研究</w:t>
            </w:r>
          </w:p>
        </w:tc>
      </w:tr>
      <w:tr w14:paraId="7EA22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59DC86D9">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14:paraId="05BEC6D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040B41AF">
            <w:pPr>
              <w:ind w:firstLine="422" w:firstLineChars="200"/>
              <w:rPr>
                <w:rFonts w:ascii="宋体"/>
                <w:color w:val="auto"/>
                <w:highlight w:val="none"/>
              </w:rPr>
            </w:pPr>
            <w:r>
              <w:rPr>
                <w:rFonts w:hint="eastAsia" w:ascii="宋体" w:hAnsi="宋体" w:cs="宋体"/>
                <w:b/>
                <w:bCs/>
                <w:snapToGrid w:val="0"/>
                <w:color w:val="auto"/>
                <w:kern w:val="0"/>
                <w:highlight w:val="none"/>
              </w:rPr>
              <w:t>自合同签订之日起至合同履行完毕</w:t>
            </w:r>
          </w:p>
        </w:tc>
      </w:tr>
      <w:tr w14:paraId="4B87E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0DC0540">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14:paraId="6F0B8688">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5F5CB410">
            <w:pPr>
              <w:snapToGrid w:val="0"/>
              <w:ind w:firstLine="420" w:firstLineChars="200"/>
              <w:rPr>
                <w:rFonts w:ascii="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80</w:t>
            </w:r>
            <w:r>
              <w:rPr>
                <w:rFonts w:hint="eastAsia" w:ascii="宋体" w:hAnsi="宋体" w:cs="宋体"/>
                <w:color w:val="auto"/>
                <w:highlight w:val="none"/>
                <w:u w:val="single"/>
              </w:rPr>
              <w:t xml:space="preserve"> </w:t>
            </w:r>
            <w:r>
              <w:rPr>
                <w:rFonts w:hint="eastAsia" w:ascii="宋体" w:hAnsi="宋体" w:cs="宋体"/>
                <w:color w:val="auto"/>
                <w:highlight w:val="none"/>
              </w:rPr>
              <w:t>万元。</w:t>
            </w:r>
          </w:p>
        </w:tc>
      </w:tr>
      <w:tr w14:paraId="5122E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8AAE9CF">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14:paraId="4CF3AD44">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5449E433">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3BDC6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450D9C50">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14:paraId="19AB7C7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3E62281D">
            <w:pPr>
              <w:snapToGrid w:val="0"/>
              <w:ind w:firstLine="422" w:firstLineChars="200"/>
              <w:rPr>
                <w:rFonts w:ascii="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14:paraId="3D923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E9C6919">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14:paraId="446DA45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1263D038">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722A5F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A06A99F">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14:paraId="667FC53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14:paraId="3E5BE047">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cs="宋体"/>
                <w:snapToGrid w:val="0"/>
                <w:color w:val="auto"/>
                <w:kern w:val="0"/>
                <w:highlight w:val="none"/>
                <w:lang w:val="en-US" w:eastAsia="zh-CN"/>
              </w:rPr>
              <w:t>止</w:t>
            </w:r>
            <w:r>
              <w:rPr>
                <w:rFonts w:hint="eastAsia" w:ascii="宋体" w:hAnsi="宋体" w:cs="宋体"/>
                <w:snapToGrid w:val="0"/>
                <w:color w:val="auto"/>
                <w:kern w:val="0"/>
                <w:highlight w:val="none"/>
              </w:rPr>
              <w:t>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14:paraId="0FDE0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6FAF3F4">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14:paraId="164B361F">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19FF750B">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37F4C8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6CB8F409">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14:paraId="1C3EE60F">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21D74CA8">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1313E2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744E473">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14:paraId="6B5C2CC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41AD4249">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5F716F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A73EBE4">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14:paraId="09CF6312">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5DDD8BEF">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519C322B">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623DEA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72DD0F2">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14:paraId="43DC398B">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385EDE29">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43941A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648" w:type="dxa"/>
            <w:vAlign w:val="center"/>
          </w:tcPr>
          <w:p w14:paraId="51AE4D80">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14:paraId="3CD4EF4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14:paraId="0751429A">
            <w:pPr>
              <w:pStyle w:val="13"/>
              <w:snapToGrid w:val="0"/>
              <w:spacing w:line="360" w:lineRule="exact"/>
              <w:ind w:firstLine="420" w:firstLineChars="200"/>
              <w:rPr>
                <w:rFonts w:hint="default" w:hAnsi="宋体" w:eastAsia="宋体" w:cs="Times New Roman"/>
                <w:color w:val="auto"/>
                <w:kern w:val="0"/>
                <w:highlight w:val="none"/>
                <w:lang w:val="en-US" w:eastAsia="zh-CN"/>
              </w:rPr>
            </w:pPr>
            <w:r>
              <w:rPr>
                <w:rFonts w:hint="eastAsia" w:hAnsi="宋体" w:cs="宋体"/>
                <w:bCs/>
                <w:color w:val="auto"/>
                <w:highlight w:val="none"/>
                <w:lang w:val="en-US" w:eastAsia="zh-CN"/>
              </w:rPr>
              <w:t>不设置履约保证金</w:t>
            </w:r>
            <w:r>
              <w:rPr>
                <w:rFonts w:hint="eastAsia" w:hAnsi="宋体" w:cs="宋体"/>
                <w:bCs/>
                <w:color w:val="auto"/>
                <w:highlight w:val="none"/>
              </w:rPr>
              <w:t>。</w:t>
            </w:r>
          </w:p>
        </w:tc>
      </w:tr>
      <w:tr w14:paraId="5F58F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7B9DAE2">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14:paraId="2A45591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30EFCB87">
            <w:pPr>
              <w:pStyle w:val="13"/>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74B60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DC4EB60">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44158112">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69BBC89D">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64C52ADF">
            <w:pPr>
              <w:ind w:firstLine="420" w:firstLineChars="200"/>
              <w:jc w:val="left"/>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个工作日内，以书面形式向采购人和采购代理机构提出质疑。供应商在法定质疑期内应一次性提出针对同一采购程序环节的质疑。否则质疑将不予受理。</w:t>
            </w:r>
          </w:p>
          <w:p w14:paraId="6FEEDD19">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7D16FA8E">
            <w:pPr>
              <w:snapToGrid w:val="0"/>
              <w:ind w:firstLine="420" w:firstLineChars="200"/>
              <w:jc w:val="left"/>
              <w:rPr>
                <w:rFonts w:ascii="宋体"/>
                <w:snapToGrid w:val="0"/>
                <w:color w:val="auto"/>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190E9F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0A2C111">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14:paraId="3EA340E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322648C6">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w:t>
            </w:r>
            <w:r>
              <w:rPr>
                <w:rFonts w:hint="eastAsia" w:ascii="宋体" w:hAnsi="宋体" w:cs="宋体"/>
                <w:color w:val="auto"/>
                <w:highlight w:val="none"/>
              </w:rPr>
              <w:t>中华人民共和国政府采购法</w:t>
            </w:r>
            <w:r>
              <w:rPr>
                <w:rFonts w:hint="eastAsia" w:ascii="宋体" w:hAnsi="宋体" w:cs="宋体"/>
                <w:snapToGrid w:val="0"/>
                <w:color w:val="auto"/>
                <w:kern w:val="0"/>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445FB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D168664">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14:paraId="5F984FF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37FEDAA4">
            <w:pPr>
              <w:pStyle w:val="13"/>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5655E3A2">
            <w:pPr>
              <w:pStyle w:val="13"/>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0EB7D78B">
            <w:pPr>
              <w:pStyle w:val="13"/>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14:paraId="7F76AD2B">
            <w:pPr>
              <w:pStyle w:val="13"/>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26FB3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0FD74D29">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14:paraId="04AD1827">
            <w:pPr>
              <w:snapToGrid w:val="0"/>
              <w:jc w:val="center"/>
              <w:rPr>
                <w:rFonts w:ascii="宋体"/>
                <w:color w:val="auto"/>
                <w:highlight w:val="none"/>
              </w:rPr>
            </w:pPr>
            <w:r>
              <w:rPr>
                <w:rFonts w:hint="eastAsia" w:ascii="宋体" w:hAnsi="宋体" w:cs="宋体"/>
                <w:color w:val="auto"/>
                <w:highlight w:val="none"/>
              </w:rPr>
              <w:t>支</w:t>
            </w:r>
          </w:p>
          <w:p w14:paraId="50737955">
            <w:pPr>
              <w:snapToGrid w:val="0"/>
              <w:jc w:val="center"/>
              <w:rPr>
                <w:rFonts w:ascii="宋体"/>
                <w:color w:val="auto"/>
                <w:highlight w:val="none"/>
              </w:rPr>
            </w:pPr>
            <w:r>
              <w:rPr>
                <w:rFonts w:hint="eastAsia" w:ascii="宋体" w:hAnsi="宋体" w:cs="宋体"/>
                <w:color w:val="auto"/>
                <w:highlight w:val="none"/>
              </w:rPr>
              <w:t>持</w:t>
            </w:r>
          </w:p>
          <w:p w14:paraId="32B4C3F0">
            <w:pPr>
              <w:snapToGrid w:val="0"/>
              <w:jc w:val="center"/>
              <w:rPr>
                <w:rFonts w:ascii="宋体"/>
                <w:color w:val="auto"/>
                <w:highlight w:val="none"/>
              </w:rPr>
            </w:pPr>
            <w:r>
              <w:rPr>
                <w:rFonts w:hint="eastAsia" w:ascii="宋体" w:hAnsi="宋体" w:cs="宋体"/>
                <w:color w:val="auto"/>
                <w:highlight w:val="none"/>
              </w:rPr>
              <w:t>中</w:t>
            </w:r>
          </w:p>
          <w:p w14:paraId="24DBCA4B">
            <w:pPr>
              <w:snapToGrid w:val="0"/>
              <w:jc w:val="center"/>
              <w:rPr>
                <w:rFonts w:ascii="宋体"/>
                <w:color w:val="auto"/>
                <w:highlight w:val="none"/>
              </w:rPr>
            </w:pPr>
            <w:r>
              <w:rPr>
                <w:rFonts w:hint="eastAsia" w:ascii="宋体" w:hAnsi="宋体" w:cs="宋体"/>
                <w:color w:val="auto"/>
                <w:highlight w:val="none"/>
              </w:rPr>
              <w:t>小</w:t>
            </w:r>
          </w:p>
          <w:p w14:paraId="20C42B78">
            <w:pPr>
              <w:snapToGrid w:val="0"/>
              <w:jc w:val="center"/>
              <w:rPr>
                <w:rFonts w:ascii="宋体"/>
                <w:color w:val="auto"/>
                <w:highlight w:val="none"/>
              </w:rPr>
            </w:pPr>
            <w:r>
              <w:rPr>
                <w:rFonts w:hint="eastAsia" w:ascii="宋体" w:hAnsi="宋体" w:cs="宋体"/>
                <w:color w:val="auto"/>
                <w:highlight w:val="none"/>
              </w:rPr>
              <w:t>企</w:t>
            </w:r>
          </w:p>
          <w:p w14:paraId="4CD88C6D">
            <w:pPr>
              <w:snapToGrid w:val="0"/>
              <w:jc w:val="center"/>
              <w:rPr>
                <w:rFonts w:ascii="宋体"/>
                <w:color w:val="auto"/>
                <w:highlight w:val="none"/>
              </w:rPr>
            </w:pPr>
            <w:r>
              <w:rPr>
                <w:rFonts w:hint="eastAsia" w:ascii="宋体" w:hAnsi="宋体" w:cs="宋体"/>
                <w:color w:val="auto"/>
                <w:highlight w:val="none"/>
              </w:rPr>
              <w:t>业</w:t>
            </w:r>
          </w:p>
          <w:p w14:paraId="30242DBC">
            <w:pPr>
              <w:snapToGrid w:val="0"/>
              <w:jc w:val="center"/>
              <w:rPr>
                <w:rFonts w:ascii="宋体"/>
                <w:color w:val="auto"/>
                <w:highlight w:val="none"/>
              </w:rPr>
            </w:pPr>
          </w:p>
        </w:tc>
        <w:tc>
          <w:tcPr>
            <w:tcW w:w="6682" w:type="dxa"/>
            <w:vAlign w:val="center"/>
          </w:tcPr>
          <w:p w14:paraId="14164BEB">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2844FD0A">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0D008B50">
            <w:pPr>
              <w:bidi w:val="0"/>
              <w:spacing w:line="240" w:lineRule="auto"/>
              <w:ind w:firstLine="420" w:firstLineChars="200"/>
              <w:rPr>
                <w:color w:val="auto"/>
                <w:highlight w:val="none"/>
              </w:rPr>
            </w:pPr>
            <w:r>
              <w:rPr>
                <w:rFonts w:hint="eastAsia"/>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4EF5B634">
            <w:pPr>
              <w:bidi w:val="0"/>
              <w:spacing w:line="240" w:lineRule="auto"/>
              <w:ind w:firstLine="420" w:firstLineChars="200"/>
              <w:rPr>
                <w:color w:val="auto"/>
                <w:highlight w:val="none"/>
              </w:rPr>
            </w:pPr>
            <w:r>
              <w:rPr>
                <w:color w:val="auto"/>
                <w:highlight w:val="none"/>
              </w:rPr>
              <w:t>在服务采购项目中，服务由小微企业承接，即提供服务的人员为小微企业依照《中华人民共和国劳动合同法》订立劳动合同的从业人员。</w:t>
            </w:r>
          </w:p>
          <w:p w14:paraId="64D1E4BA">
            <w:pPr>
              <w:bidi w:val="0"/>
              <w:ind w:firstLine="420" w:firstLineChars="200"/>
              <w:rPr>
                <w:color w:val="auto"/>
                <w:highlight w:val="none"/>
              </w:rPr>
            </w:pPr>
            <w:bookmarkStart w:id="10" w:name="_Toc16526"/>
            <w:r>
              <w:rPr>
                <w:rFonts w:hint="eastAsia"/>
                <w:color w:val="auto"/>
                <w:highlight w:val="none"/>
              </w:rPr>
              <w:t>联合体各方均为小型、微型企业的，联合体视同为小型、微型企业。</w:t>
            </w:r>
            <w:bookmarkEnd w:id="10"/>
          </w:p>
          <w:p w14:paraId="6CB47E4D">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8648C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给予扣除，用扣除后的价格参加评审。</w:t>
            </w:r>
          </w:p>
          <w:p w14:paraId="3EAFDD62">
            <w:pPr>
              <w:ind w:firstLine="420" w:firstLineChars="200"/>
              <w:rPr>
                <w:rFonts w:ascii="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02E13A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62B94F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19</w:t>
            </w:r>
          </w:p>
        </w:tc>
        <w:tc>
          <w:tcPr>
            <w:tcW w:w="1800" w:type="dxa"/>
            <w:vAlign w:val="center"/>
          </w:tcPr>
          <w:p w14:paraId="4067B9CE">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59786226">
            <w:pPr>
              <w:autoSpaceDN w:val="0"/>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招标代理服务费由成交供应商支付，按下列服务招标计算方式计取。</w:t>
            </w:r>
          </w:p>
          <w:tbl>
            <w:tblPr>
              <w:tblStyle w:val="26"/>
              <w:tblW w:w="473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01"/>
              <w:gridCol w:w="1006"/>
              <w:gridCol w:w="1006"/>
              <w:gridCol w:w="975"/>
            </w:tblGrid>
            <w:tr w14:paraId="0F3397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52C6EA09">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008" w:type="dxa"/>
                  <w:tcBorders>
                    <w:top w:val="outset" w:color="auto" w:sz="6" w:space="0"/>
                    <w:left w:val="outset" w:color="auto" w:sz="6" w:space="0"/>
                    <w:bottom w:val="outset" w:color="auto" w:sz="6" w:space="0"/>
                    <w:right w:val="outset" w:color="auto" w:sz="6" w:space="0"/>
                  </w:tcBorders>
                  <w:vAlign w:val="center"/>
                </w:tcPr>
                <w:p w14:paraId="1F34EBC1">
                  <w:pPr>
                    <w:pStyle w:val="23"/>
                    <w:jc w:val="center"/>
                    <w:rPr>
                      <w:color w:val="auto"/>
                      <w:sz w:val="21"/>
                      <w:szCs w:val="21"/>
                      <w:highlight w:val="none"/>
                    </w:rPr>
                  </w:pPr>
                  <w:r>
                    <w:rPr>
                      <w:rFonts w:hint="eastAsia"/>
                      <w:color w:val="auto"/>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vAlign w:val="center"/>
                </w:tcPr>
                <w:p w14:paraId="6A6B2708">
                  <w:pPr>
                    <w:jc w:val="center"/>
                    <w:rPr>
                      <w:rFonts w:ascii="宋体" w:hAnsi="宋体" w:cs="宋体"/>
                      <w:color w:val="auto"/>
                      <w:highlight w:val="none"/>
                    </w:rPr>
                  </w:pPr>
                  <w:r>
                    <w:rPr>
                      <w:rFonts w:hint="eastAsia" w:ascii="宋体" w:hAnsi="宋体" w:cs="宋体"/>
                      <w:color w:val="auto"/>
                      <w:highlight w:val="none"/>
                    </w:rPr>
                    <w:t>服务招标</w:t>
                  </w:r>
                </w:p>
              </w:tc>
              <w:tc>
                <w:tcPr>
                  <w:tcW w:w="977" w:type="dxa"/>
                  <w:tcBorders>
                    <w:top w:val="outset" w:color="auto" w:sz="6" w:space="0"/>
                    <w:left w:val="outset" w:color="auto" w:sz="6" w:space="0"/>
                    <w:bottom w:val="outset" w:color="auto" w:sz="6" w:space="0"/>
                    <w:right w:val="outset" w:color="auto" w:sz="6" w:space="0"/>
                  </w:tcBorders>
                  <w:vAlign w:val="center"/>
                </w:tcPr>
                <w:p w14:paraId="67E6AC3D">
                  <w:pPr>
                    <w:jc w:val="center"/>
                    <w:rPr>
                      <w:rFonts w:ascii="宋体" w:hAnsi="宋体" w:cs="宋体"/>
                      <w:color w:val="auto"/>
                      <w:highlight w:val="none"/>
                    </w:rPr>
                  </w:pPr>
                  <w:r>
                    <w:rPr>
                      <w:rFonts w:hint="eastAsia" w:ascii="宋体" w:hAnsi="宋体" w:cs="宋体"/>
                      <w:color w:val="auto"/>
                      <w:highlight w:val="none"/>
                    </w:rPr>
                    <w:t>工程招标</w:t>
                  </w:r>
                </w:p>
              </w:tc>
            </w:tr>
            <w:tr w14:paraId="688D6A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3865FF0F">
                  <w:pPr>
                    <w:jc w:val="center"/>
                    <w:rPr>
                      <w:rFonts w:ascii="宋体" w:hAnsi="宋体" w:cs="宋体"/>
                      <w:color w:val="auto"/>
                      <w:highlight w:val="none"/>
                    </w:rPr>
                  </w:pPr>
                  <w:r>
                    <w:rPr>
                      <w:rFonts w:hint="eastAsia" w:ascii="宋体" w:hAnsi="宋体" w:cs="宋体"/>
                      <w:color w:val="auto"/>
                      <w:highlight w:val="none"/>
                    </w:rPr>
                    <w:t>100以下</w:t>
                  </w:r>
                </w:p>
              </w:tc>
              <w:tc>
                <w:tcPr>
                  <w:tcW w:w="1008" w:type="dxa"/>
                  <w:tcBorders>
                    <w:top w:val="outset" w:color="auto" w:sz="6" w:space="0"/>
                    <w:left w:val="outset" w:color="auto" w:sz="6" w:space="0"/>
                    <w:bottom w:val="outset" w:color="auto" w:sz="6" w:space="0"/>
                    <w:right w:val="outset" w:color="auto" w:sz="6" w:space="0"/>
                  </w:tcBorders>
                  <w:vAlign w:val="center"/>
                </w:tcPr>
                <w:p w14:paraId="1EA045FD">
                  <w:pPr>
                    <w:jc w:val="center"/>
                    <w:rPr>
                      <w:rFonts w:ascii="宋体" w:hAnsi="宋体" w:cs="宋体"/>
                      <w:color w:val="auto"/>
                      <w:highlight w:val="none"/>
                    </w:rPr>
                  </w:pPr>
                  <w:r>
                    <w:rPr>
                      <w:rFonts w:hint="eastAsia" w:ascii="宋体" w:hAnsi="宋体" w:cs="宋体"/>
                      <w:color w:val="auto"/>
                      <w:highlight w:val="none"/>
                    </w:rPr>
                    <w:t>1.5％</w:t>
                  </w:r>
                </w:p>
              </w:tc>
              <w:tc>
                <w:tcPr>
                  <w:tcW w:w="1008" w:type="dxa"/>
                  <w:tcBorders>
                    <w:top w:val="outset" w:color="auto" w:sz="6" w:space="0"/>
                    <w:left w:val="outset" w:color="auto" w:sz="6" w:space="0"/>
                    <w:bottom w:val="outset" w:color="auto" w:sz="6" w:space="0"/>
                    <w:right w:val="outset" w:color="auto" w:sz="6" w:space="0"/>
                  </w:tcBorders>
                  <w:vAlign w:val="center"/>
                </w:tcPr>
                <w:p w14:paraId="135FC5B0">
                  <w:pPr>
                    <w:jc w:val="center"/>
                    <w:rPr>
                      <w:rFonts w:ascii="宋体" w:hAnsi="宋体" w:cs="宋体"/>
                      <w:color w:val="auto"/>
                      <w:highlight w:val="none"/>
                    </w:rPr>
                  </w:pPr>
                  <w:r>
                    <w:rPr>
                      <w:rFonts w:hint="eastAsia" w:ascii="宋体" w:hAnsi="宋体" w:cs="宋体"/>
                      <w:color w:val="auto"/>
                      <w:highlight w:val="none"/>
                    </w:rPr>
                    <w:t>1.5％</w:t>
                  </w:r>
                </w:p>
              </w:tc>
              <w:tc>
                <w:tcPr>
                  <w:tcW w:w="977" w:type="dxa"/>
                  <w:tcBorders>
                    <w:top w:val="outset" w:color="auto" w:sz="6" w:space="0"/>
                    <w:left w:val="outset" w:color="auto" w:sz="6" w:space="0"/>
                    <w:bottom w:val="outset" w:color="auto" w:sz="6" w:space="0"/>
                    <w:right w:val="outset" w:color="auto" w:sz="6" w:space="0"/>
                  </w:tcBorders>
                  <w:vAlign w:val="center"/>
                </w:tcPr>
                <w:p w14:paraId="63C9965D">
                  <w:pPr>
                    <w:jc w:val="center"/>
                    <w:rPr>
                      <w:rFonts w:ascii="宋体" w:hAnsi="宋体" w:cs="宋体"/>
                      <w:color w:val="auto"/>
                      <w:highlight w:val="none"/>
                    </w:rPr>
                  </w:pPr>
                  <w:r>
                    <w:rPr>
                      <w:rFonts w:hint="eastAsia" w:ascii="宋体" w:hAnsi="宋体" w:cs="宋体"/>
                      <w:color w:val="auto"/>
                      <w:highlight w:val="none"/>
                    </w:rPr>
                    <w:t>1.0％</w:t>
                  </w:r>
                </w:p>
              </w:tc>
            </w:tr>
            <w:tr w14:paraId="6F090A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74867525">
                  <w:pPr>
                    <w:jc w:val="center"/>
                    <w:rPr>
                      <w:rFonts w:ascii="宋体" w:hAnsi="宋体" w:cs="宋体"/>
                      <w:color w:val="auto"/>
                      <w:highlight w:val="none"/>
                    </w:rPr>
                  </w:pPr>
                  <w:r>
                    <w:rPr>
                      <w:rFonts w:hint="eastAsia" w:ascii="宋体" w:hAnsi="宋体" w:cs="宋体"/>
                      <w:color w:val="auto"/>
                      <w:highlight w:val="none"/>
                    </w:rPr>
                    <w:t>100—500</w:t>
                  </w:r>
                </w:p>
              </w:tc>
              <w:tc>
                <w:tcPr>
                  <w:tcW w:w="1008" w:type="dxa"/>
                  <w:tcBorders>
                    <w:top w:val="outset" w:color="auto" w:sz="6" w:space="0"/>
                    <w:left w:val="outset" w:color="auto" w:sz="6" w:space="0"/>
                    <w:bottom w:val="outset" w:color="auto" w:sz="6" w:space="0"/>
                    <w:right w:val="outset" w:color="auto" w:sz="6" w:space="0"/>
                  </w:tcBorders>
                  <w:vAlign w:val="center"/>
                </w:tcPr>
                <w:p w14:paraId="345C4710">
                  <w:pPr>
                    <w:jc w:val="center"/>
                    <w:rPr>
                      <w:rFonts w:ascii="宋体" w:hAnsi="宋体" w:cs="宋体"/>
                      <w:color w:val="auto"/>
                      <w:highlight w:val="none"/>
                    </w:rPr>
                  </w:pPr>
                  <w:r>
                    <w:rPr>
                      <w:rFonts w:hint="eastAsia" w:ascii="宋体" w:hAnsi="宋体" w:cs="宋体"/>
                      <w:color w:val="auto"/>
                      <w:highlight w:val="none"/>
                    </w:rPr>
                    <w:t>1.1％</w:t>
                  </w:r>
                </w:p>
              </w:tc>
              <w:tc>
                <w:tcPr>
                  <w:tcW w:w="1008" w:type="dxa"/>
                  <w:tcBorders>
                    <w:top w:val="outset" w:color="auto" w:sz="6" w:space="0"/>
                    <w:left w:val="outset" w:color="auto" w:sz="6" w:space="0"/>
                    <w:bottom w:val="outset" w:color="auto" w:sz="6" w:space="0"/>
                    <w:right w:val="outset" w:color="auto" w:sz="6" w:space="0"/>
                  </w:tcBorders>
                  <w:vAlign w:val="center"/>
                </w:tcPr>
                <w:p w14:paraId="67CF2C55">
                  <w:pPr>
                    <w:jc w:val="center"/>
                    <w:rPr>
                      <w:rFonts w:ascii="宋体" w:hAnsi="宋体" w:cs="宋体"/>
                      <w:color w:val="auto"/>
                      <w:highlight w:val="none"/>
                    </w:rPr>
                  </w:pPr>
                  <w:r>
                    <w:rPr>
                      <w:rFonts w:hint="eastAsia" w:ascii="宋体" w:hAnsi="宋体" w:cs="宋体"/>
                      <w:color w:val="auto"/>
                      <w:highlight w:val="none"/>
                    </w:rPr>
                    <w:t>0.8％</w:t>
                  </w:r>
                </w:p>
              </w:tc>
              <w:tc>
                <w:tcPr>
                  <w:tcW w:w="977" w:type="dxa"/>
                  <w:tcBorders>
                    <w:top w:val="outset" w:color="auto" w:sz="6" w:space="0"/>
                    <w:left w:val="outset" w:color="auto" w:sz="6" w:space="0"/>
                    <w:bottom w:val="outset" w:color="auto" w:sz="6" w:space="0"/>
                    <w:right w:val="outset" w:color="auto" w:sz="6" w:space="0"/>
                  </w:tcBorders>
                  <w:vAlign w:val="center"/>
                </w:tcPr>
                <w:p w14:paraId="6FEA367B">
                  <w:pPr>
                    <w:jc w:val="center"/>
                    <w:rPr>
                      <w:rFonts w:ascii="宋体" w:hAnsi="宋体" w:cs="宋体"/>
                      <w:color w:val="auto"/>
                      <w:highlight w:val="none"/>
                    </w:rPr>
                  </w:pPr>
                  <w:r>
                    <w:rPr>
                      <w:rFonts w:hint="eastAsia" w:ascii="宋体" w:hAnsi="宋体" w:cs="宋体"/>
                      <w:color w:val="auto"/>
                      <w:highlight w:val="none"/>
                    </w:rPr>
                    <w:t>0.7％</w:t>
                  </w:r>
                </w:p>
              </w:tc>
            </w:tr>
          </w:tbl>
          <w:p w14:paraId="13106B09">
            <w:pPr>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结算方式及时间为：本项目招标代理服务费最低收费标准为6</w:t>
            </w:r>
            <w:r>
              <w:rPr>
                <w:rFonts w:hint="eastAsia" w:ascii="宋体" w:hAnsi="宋体" w:cs="宋体"/>
                <w:snapToGrid w:val="0"/>
                <w:color w:val="auto"/>
                <w:kern w:val="0"/>
                <w:highlight w:val="none"/>
                <w:lang w:val="en-US" w:eastAsia="zh-CN"/>
              </w:rPr>
              <w:t>5</w:t>
            </w:r>
            <w:r>
              <w:rPr>
                <w:rFonts w:hint="eastAsia" w:ascii="宋体" w:hAnsi="宋体" w:cs="宋体"/>
                <w:snapToGrid w:val="0"/>
                <w:color w:val="auto"/>
                <w:kern w:val="0"/>
                <w:highlight w:val="none"/>
              </w:rPr>
              <w:t>00元</w:t>
            </w:r>
            <w:r>
              <w:rPr>
                <w:rFonts w:hint="eastAsia" w:ascii="宋体" w:hAnsi="宋体" w:cs="宋体"/>
                <w:snapToGrid w:val="0"/>
                <w:color w:val="auto"/>
                <w:kern w:val="0"/>
                <w:highlight w:val="none"/>
                <w:lang w:eastAsia="zh-CN"/>
              </w:rPr>
              <w:t>，</w:t>
            </w:r>
            <w:r>
              <w:rPr>
                <w:rFonts w:hint="eastAsia" w:ascii="宋体" w:hAnsi="宋体" w:cs="宋体"/>
                <w:snapToGrid w:val="0"/>
                <w:color w:val="auto"/>
                <w:kern w:val="0"/>
                <w:highlight w:val="none"/>
              </w:rPr>
              <w:t>在领取中标通知书前由成交供应商一次性向采购代理机构付清。</w:t>
            </w:r>
          </w:p>
        </w:tc>
      </w:tr>
      <w:tr w14:paraId="1776F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FBC5B2C">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20</w:t>
            </w:r>
          </w:p>
        </w:tc>
        <w:tc>
          <w:tcPr>
            <w:tcW w:w="1800" w:type="dxa"/>
            <w:vAlign w:val="center"/>
          </w:tcPr>
          <w:p w14:paraId="129ED62F">
            <w:pP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26164072">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37E27F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7349CD92">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21</w:t>
            </w:r>
          </w:p>
        </w:tc>
        <w:tc>
          <w:tcPr>
            <w:tcW w:w="1800" w:type="dxa"/>
            <w:tcBorders>
              <w:top w:val="single" w:color="auto" w:sz="4" w:space="0"/>
            </w:tcBorders>
            <w:vAlign w:val="center"/>
          </w:tcPr>
          <w:p w14:paraId="6BA8ECD9">
            <w:pP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3ECE37ED">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提供演示。</w:t>
            </w:r>
          </w:p>
        </w:tc>
      </w:tr>
      <w:tr w14:paraId="753273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72CBD11E">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60563F52">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预付款</w:t>
            </w:r>
          </w:p>
          <w:p w14:paraId="28E6B5D8">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0E00285B">
            <w:pPr>
              <w:tabs>
                <w:tab w:val="left" w:pos="256"/>
              </w:tabs>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本项目</w:t>
            </w:r>
            <w:r>
              <w:rPr>
                <w:rFonts w:hint="eastAsia"/>
                <w:color w:val="auto"/>
                <w:sz w:val="24"/>
                <w:highlight w:val="none"/>
                <w:lang w:eastAsia="zh-CN"/>
              </w:rPr>
              <w:t>☑</w:t>
            </w:r>
            <w:r>
              <w:rPr>
                <w:rFonts w:hint="eastAsia" w:ascii="宋体" w:hAnsi="宋体" w:cs="宋体"/>
                <w:color w:val="auto"/>
                <w:highlight w:val="none"/>
                <w:lang w:val="en-US" w:eastAsia="zh-CN"/>
              </w:rPr>
              <w:t xml:space="preserve">是  </w:t>
            </w:r>
            <w:r>
              <w:rPr>
                <w:rFonts w:hint="eastAsia"/>
                <w:color w:val="auto"/>
                <w:sz w:val="24"/>
                <w:highlight w:val="none"/>
                <w:lang w:eastAsia="zh-CN"/>
              </w:rPr>
              <w:t>□</w:t>
            </w:r>
            <w:r>
              <w:rPr>
                <w:rFonts w:hint="eastAsia" w:ascii="宋体" w:hAnsi="宋体" w:cs="宋体"/>
                <w:color w:val="auto"/>
                <w:highlight w:val="none"/>
                <w:lang w:val="en-US" w:eastAsia="zh-CN"/>
              </w:rPr>
              <w:t>否  涉及预付款，预付款比例为</w:t>
            </w:r>
            <w:r>
              <w:rPr>
                <w:rFonts w:hint="eastAsia" w:ascii="宋体" w:hAnsi="宋体" w:cs="宋体"/>
                <w:color w:val="auto"/>
                <w:highlight w:val="none"/>
                <w:u w:val="single"/>
                <w:lang w:val="en-US" w:eastAsia="zh-CN"/>
              </w:rPr>
              <w:t xml:space="preserve"> 20 %</w:t>
            </w:r>
          </w:p>
        </w:tc>
      </w:tr>
      <w:tr w14:paraId="6F2E3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525EBBB0">
            <w:pPr>
              <w:snapToGrid w:val="0"/>
              <w:jc w:val="center"/>
              <w:rPr>
                <w:rFonts w:hint="eastAsia" w:ascii="宋体" w:hAnsi="宋体" w:cs="宋体"/>
                <w:snapToGrid w:val="0"/>
                <w:color w:val="auto"/>
                <w:kern w:val="0"/>
                <w:highlight w:val="none"/>
              </w:rPr>
            </w:pPr>
          </w:p>
        </w:tc>
        <w:tc>
          <w:tcPr>
            <w:tcW w:w="1800" w:type="dxa"/>
            <w:vMerge w:val="continue"/>
            <w:vAlign w:val="center"/>
          </w:tcPr>
          <w:p w14:paraId="57F20A03">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591C1E9E">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1040B167">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7ABB2ED7">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1B06C97F">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1F2FB7B1">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2EBA1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66BA197">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vAlign w:val="center"/>
          </w:tcPr>
          <w:p w14:paraId="785A3935">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019287E9">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36FE2ACF">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70793D9A">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292BC5E6">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226D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560B45">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00" w:type="dxa"/>
            <w:vAlign w:val="center"/>
          </w:tcPr>
          <w:p w14:paraId="7343442A">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19F55530">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为支持和促进中小企业发展，进一步发挥政府采购政策功能，企业若有融资意向，可</w:t>
            </w:r>
            <w:r>
              <w:rPr>
                <w:rFonts w:hint="eastAsia" w:ascii="宋体" w:hAnsi="宋体" w:cs="宋体"/>
                <w:color w:val="auto"/>
                <w:highlight w:val="none"/>
                <w:lang w:eastAsia="zh-CN"/>
              </w:rPr>
              <w:t>登录</w:t>
            </w:r>
            <w:r>
              <w:rPr>
                <w:rFonts w:hint="eastAsia" w:ascii="宋体" w:hAnsi="宋体" w:cs="宋体"/>
                <w:color w:val="auto"/>
                <w:highlight w:val="none"/>
              </w:rPr>
              <w:t>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49728D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31B280AA">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5</w:t>
            </w:r>
          </w:p>
        </w:tc>
        <w:tc>
          <w:tcPr>
            <w:tcW w:w="1800" w:type="dxa"/>
            <w:tcBorders>
              <w:bottom w:val="double" w:color="auto" w:sz="4" w:space="0"/>
            </w:tcBorders>
            <w:vAlign w:val="center"/>
          </w:tcPr>
          <w:p w14:paraId="477FC4C4">
            <w:pP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53AAC404">
            <w:pPr>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本磋商文件要求提供的身份证复印件皆需提供正反面，否则按不提供处理。</w:t>
            </w:r>
          </w:p>
          <w:p w14:paraId="56AF1A90">
            <w:pPr>
              <w:ind w:firstLine="420" w:firstLineChars="200"/>
              <w:rPr>
                <w:rFonts w:ascii="宋体"/>
                <w:b/>
                <w:bCs/>
                <w:color w:val="auto"/>
                <w:highlight w:val="none"/>
              </w:rPr>
            </w:pPr>
            <w:r>
              <w:rPr>
                <w:rFonts w:hint="eastAsia"/>
                <w:color w:val="auto"/>
                <w:highlight w:val="none"/>
                <w:lang w:val="en-US" w:eastAsia="zh-CN"/>
              </w:rPr>
              <w:t>2、本项目货物如涉及柴油动力移动源，柴油动力移动源应当符合低排放要求。</w:t>
            </w:r>
          </w:p>
        </w:tc>
      </w:tr>
    </w:tbl>
    <w:p w14:paraId="0AD0F264">
      <w:pPr>
        <w:pStyle w:val="5"/>
        <w:spacing w:line="360" w:lineRule="auto"/>
        <w:rPr>
          <w:rFonts w:ascii="宋体"/>
          <w:color w:val="auto"/>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2070DD7B">
      <w:pPr>
        <w:pStyle w:val="4"/>
        <w:numPr>
          <w:ilvl w:val="0"/>
          <w:numId w:val="8"/>
        </w:numPr>
        <w:spacing w:line="336" w:lineRule="auto"/>
        <w:jc w:val="center"/>
        <w:rPr>
          <w:rFonts w:hAnsi="宋体" w:cs="Times New Roman"/>
          <w:color w:val="auto"/>
          <w:highlight w:val="none"/>
        </w:rPr>
      </w:pPr>
      <w:r>
        <w:rPr>
          <w:rFonts w:hAnsi="宋体"/>
          <w:color w:val="auto"/>
          <w:highlight w:val="none"/>
        </w:rPr>
        <w:t xml:space="preserve"> </w:t>
      </w:r>
      <w:bookmarkStart w:id="11" w:name="_Toc25187"/>
      <w:bookmarkStart w:id="12" w:name="_Toc24661"/>
      <w:r>
        <w:rPr>
          <w:rFonts w:hint="eastAsia" w:hAnsi="宋体"/>
          <w:color w:val="auto"/>
          <w:highlight w:val="none"/>
        </w:rPr>
        <w:t>总则</w:t>
      </w:r>
      <w:bookmarkEnd w:id="11"/>
      <w:bookmarkEnd w:id="12"/>
    </w:p>
    <w:p w14:paraId="383D66A4">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78F437C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3C65A707">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绍兴市上虞区综合交通运输发展“十五五”规划及相关课题研究</w:t>
      </w:r>
      <w:r>
        <w:rPr>
          <w:rFonts w:hint="eastAsia" w:ascii="宋体" w:hAnsi="宋体" w:cs="宋体"/>
          <w:color w:val="auto"/>
          <w:sz w:val="24"/>
          <w:szCs w:val="24"/>
          <w:highlight w:val="none"/>
        </w:rPr>
        <w:t>。</w:t>
      </w:r>
    </w:p>
    <w:p w14:paraId="64C57F6C">
      <w:pPr>
        <w:pStyle w:val="24"/>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3AFC031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5037490E">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绍兴市上虞区交通运输局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4401D2E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01B34C19">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788B278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4426B4F6">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645880E3">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10F093A9">
      <w:pPr>
        <w:spacing w:line="336" w:lineRule="auto"/>
        <w:ind w:firstLine="480" w:firstLineChars="200"/>
        <w:rPr>
          <w:rFonts w:ascii="宋体"/>
          <w:color w:val="auto"/>
          <w:sz w:val="24"/>
          <w:szCs w:val="24"/>
          <w:highlight w:val="none"/>
        </w:rPr>
      </w:pPr>
      <w:bookmarkStart w:id="13" w:name="_Toc197657950"/>
      <w:bookmarkStart w:id="14" w:name="_Toc197053926"/>
      <w:bookmarkStart w:id="15" w:name="_Toc209504018"/>
      <w:bookmarkStart w:id="16" w:name="_Toc193538208"/>
      <w:bookmarkStart w:id="17" w:name="_Toc209435242"/>
      <w:bookmarkStart w:id="18" w:name="_Toc211412066"/>
      <w:bookmarkStart w:id="19" w:name="_Toc208913145"/>
      <w:bookmarkStart w:id="20" w:name="_Toc204683265"/>
      <w:bookmarkStart w:id="21" w:name="_Toc197156227"/>
      <w:bookmarkStart w:id="22" w:name="_Toc207946571"/>
      <w:bookmarkStart w:id="23" w:name="_Toc208287611"/>
      <w:bookmarkStart w:id="24" w:name="_Toc209520993"/>
      <w:bookmarkStart w:id="25" w:name="_Toc197163261"/>
      <w:bookmarkStart w:id="26" w:name="_Toc193523219"/>
      <w:r>
        <w:rPr>
          <w:rFonts w:hint="eastAsia" w:ascii="宋体" w:hAnsi="宋体" w:cs="宋体"/>
          <w:color w:val="auto"/>
          <w:sz w:val="24"/>
          <w:szCs w:val="24"/>
          <w:highlight w:val="none"/>
        </w:rPr>
        <w:t>详见竞争性磋商采购公告磋商供应商的资格要求规定。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64D1CD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18CE4983">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7C32AF02">
      <w:pPr>
        <w:pStyle w:val="4"/>
        <w:numPr>
          <w:ilvl w:val="0"/>
          <w:numId w:val="8"/>
        </w:numPr>
        <w:spacing w:line="336" w:lineRule="auto"/>
        <w:jc w:val="center"/>
        <w:rPr>
          <w:rFonts w:cs="Times New Roman"/>
          <w:color w:val="auto"/>
          <w:highlight w:val="none"/>
        </w:rPr>
      </w:pPr>
      <w:bookmarkStart w:id="27" w:name="_Toc32689"/>
      <w:bookmarkStart w:id="28" w:name="_Toc416992151"/>
      <w:bookmarkStart w:id="29" w:name="_Toc25923"/>
      <w:r>
        <w:rPr>
          <w:color w:val="auto"/>
          <w:highlight w:val="none"/>
        </w:rPr>
        <w:t xml:space="preserve"> </w:t>
      </w:r>
      <w:bookmarkStart w:id="30" w:name="_Toc32504"/>
      <w:bookmarkStart w:id="31" w:name="_Toc11814"/>
      <w:r>
        <w:rPr>
          <w:rFonts w:hint="eastAsia"/>
          <w:color w:val="auto"/>
          <w:highlight w:val="none"/>
        </w:rPr>
        <w:t>竞争性磋商文件</w:t>
      </w:r>
      <w:bookmarkEnd w:id="27"/>
      <w:bookmarkEnd w:id="28"/>
      <w:bookmarkEnd w:id="29"/>
      <w:bookmarkEnd w:id="30"/>
      <w:bookmarkEnd w:id="31"/>
    </w:p>
    <w:p w14:paraId="346B382E">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67C81779">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52DA10D0">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0BE2BEC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3618B49C">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183C1CE2">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544B763F">
      <w:pPr>
        <w:pStyle w:val="10"/>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70BD5B93">
      <w:pPr>
        <w:pStyle w:val="10"/>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70EBE47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0B44296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17C3C0FD">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76ABBA30">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0A41350E">
      <w:pPr>
        <w:pStyle w:val="5"/>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0C3B97C5">
      <w:pPr>
        <w:pStyle w:val="4"/>
        <w:numPr>
          <w:ilvl w:val="0"/>
          <w:numId w:val="8"/>
        </w:numPr>
        <w:spacing w:line="336" w:lineRule="auto"/>
        <w:jc w:val="center"/>
        <w:rPr>
          <w:rFonts w:cs="Times New Roman"/>
          <w:color w:val="auto"/>
          <w:highlight w:val="none"/>
        </w:rPr>
      </w:pPr>
      <w:bookmarkStart w:id="32" w:name="_Toc10669"/>
      <w:bookmarkStart w:id="33" w:name="_Toc6273"/>
      <w:bookmarkStart w:id="34" w:name="_Toc1729"/>
      <w:bookmarkStart w:id="35" w:name="_Toc1202"/>
      <w:bookmarkStart w:id="36" w:name="_Toc23975"/>
      <w:bookmarkStart w:id="37" w:name="_Toc24622"/>
      <w:bookmarkStart w:id="38" w:name="_Toc6457"/>
      <w:bookmarkStart w:id="39" w:name="_Toc1828"/>
      <w:bookmarkStart w:id="40" w:name="_Toc10810"/>
      <w:bookmarkStart w:id="41" w:name="_Toc7126"/>
      <w:bookmarkStart w:id="42" w:name="_Toc26027"/>
      <w:bookmarkStart w:id="43" w:name="_Toc23135"/>
      <w:bookmarkStart w:id="44" w:name="_Toc11093"/>
      <w:bookmarkStart w:id="45" w:name="_Toc11692"/>
      <w:bookmarkStart w:id="46" w:name="_Toc8860"/>
      <w:bookmarkStart w:id="47" w:name="_Toc14650"/>
      <w:bookmarkStart w:id="48" w:name="_Toc31748"/>
      <w:bookmarkStart w:id="49" w:name="_Toc26603"/>
      <w:bookmarkStart w:id="50" w:name="_Toc11669"/>
      <w:bookmarkStart w:id="51" w:name="_Toc18702"/>
      <w:bookmarkStart w:id="52" w:name="_Toc6079"/>
      <w:bookmarkStart w:id="53" w:name="_Toc391298957"/>
      <w:r>
        <w:rPr>
          <w:color w:val="auto"/>
          <w:highlight w:val="none"/>
        </w:rPr>
        <w:t xml:space="preserve"> </w:t>
      </w:r>
      <w:bookmarkStart w:id="54" w:name="_Toc24684"/>
      <w:bookmarkStart w:id="55" w:name="_Toc11515"/>
      <w:r>
        <w:rPr>
          <w:rFonts w:hint="eastAsia"/>
          <w:color w:val="auto"/>
          <w:highlight w:val="none"/>
        </w:rPr>
        <w:t>竞争性磋商响应文件的编写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94AFDC2">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416BD313">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30A6D9DB">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391DFDA5">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670EEA85">
      <w:pPr>
        <w:pStyle w:val="57"/>
        <w:tabs>
          <w:tab w:val="left" w:pos="0"/>
        </w:tabs>
        <w:spacing w:line="336" w:lineRule="auto"/>
        <w:ind w:firstLine="480"/>
        <w:rPr>
          <w:rFonts w:ascii="宋体"/>
          <w:color w:val="auto"/>
          <w:highlight w:val="none"/>
          <w:u w:val="single"/>
        </w:rPr>
      </w:pPr>
      <w:r>
        <w:rPr>
          <w:rFonts w:ascii="宋体" w:hAnsi="宋体" w:cs="宋体"/>
          <w:color w:val="auto"/>
          <w:highlight w:val="none"/>
          <w:u w:val="none"/>
        </w:rPr>
        <w:t>8.2.2</w:t>
      </w:r>
      <w:r>
        <w:rPr>
          <w:rFonts w:hint="eastAsia" w:ascii="宋体" w:hAnsi="宋体" w:cs="宋体"/>
          <w:color w:val="auto"/>
          <w:highlight w:val="none"/>
          <w:u w:val="single"/>
        </w:rPr>
        <w:t>投标报价应包含项目所需全部服务，不得缺漏，是履行合同的最终价格（人工成本费，即人员的工资福利、员工五险费(养老保险、医疗保险、失业保险、工伤保险、生育保险)；</w:t>
      </w:r>
      <w:r>
        <w:rPr>
          <w:rFonts w:hint="eastAsia" w:ascii="宋体" w:hAnsi="宋体" w:cs="宋体"/>
          <w:color w:val="auto"/>
          <w:highlight w:val="none"/>
          <w:u w:val="single"/>
          <w:lang w:val="en-US" w:eastAsia="zh-CN"/>
        </w:rPr>
        <w:t>设计费、</w:t>
      </w:r>
      <w:r>
        <w:rPr>
          <w:rFonts w:hint="eastAsia" w:ascii="宋体" w:hAnsi="宋体" w:cs="宋体"/>
          <w:color w:val="auto"/>
          <w:highlight w:val="none"/>
          <w:u w:val="single"/>
        </w:rPr>
        <w:t>调查费、勘察费、</w:t>
      </w:r>
      <w:r>
        <w:rPr>
          <w:rFonts w:hint="eastAsia" w:ascii="宋体" w:hAnsi="宋体" w:cs="宋体"/>
          <w:color w:val="auto"/>
          <w:highlight w:val="none"/>
          <w:u w:val="single"/>
          <w:lang w:val="en-US" w:eastAsia="zh-CN"/>
        </w:rPr>
        <w:t>编制</w:t>
      </w:r>
      <w:r>
        <w:rPr>
          <w:rFonts w:hint="eastAsia" w:ascii="宋体" w:hAnsi="宋体" w:cs="宋体"/>
          <w:color w:val="auto"/>
          <w:highlight w:val="none"/>
          <w:u w:val="single"/>
        </w:rPr>
        <w:t>费、</w:t>
      </w:r>
      <w:r>
        <w:rPr>
          <w:rFonts w:hint="eastAsia" w:ascii="宋体" w:hAnsi="宋体" w:cs="宋体"/>
          <w:color w:val="auto"/>
          <w:highlight w:val="none"/>
          <w:u w:val="single"/>
          <w:lang w:val="en-US" w:eastAsia="zh-CN"/>
        </w:rPr>
        <w:t>差旅费、食宿费、</w:t>
      </w:r>
      <w:r>
        <w:rPr>
          <w:rFonts w:hint="eastAsia" w:ascii="宋体" w:hAnsi="宋体" w:cs="宋体"/>
          <w:color w:val="auto"/>
          <w:highlight w:val="none"/>
          <w:u w:val="single"/>
        </w:rPr>
        <w:t>管理费、</w:t>
      </w:r>
      <w:r>
        <w:rPr>
          <w:rFonts w:hint="eastAsia" w:ascii="宋体" w:hAnsi="宋体" w:cs="宋体"/>
          <w:color w:val="auto"/>
          <w:highlight w:val="none"/>
          <w:u w:val="single"/>
          <w:lang w:val="en-US" w:eastAsia="zh-CN"/>
        </w:rPr>
        <w:t>采购代理费、</w:t>
      </w:r>
      <w:r>
        <w:rPr>
          <w:rFonts w:hint="eastAsia" w:ascii="宋体" w:hAnsi="宋体" w:cs="宋体"/>
          <w:color w:val="auto"/>
          <w:highlight w:val="none"/>
          <w:u w:val="single"/>
        </w:rPr>
        <w:t>税费等一切项目实施所需费用）。凡投标人在报价中未列明但又为本次采购所必备的项目或遗漏项目，采购方将一律视为已包括在合同价中，在合同执行中将不予考虑</w:t>
      </w:r>
      <w:r>
        <w:rPr>
          <w:rFonts w:hint="eastAsia" w:ascii="宋体" w:hAnsi="宋体" w:cs="宋体"/>
          <w:color w:val="auto"/>
          <w:highlight w:val="none"/>
          <w:u w:val="single"/>
          <w:lang w:eastAsia="zh-CN"/>
        </w:rPr>
        <w:t>。</w:t>
      </w:r>
    </w:p>
    <w:p w14:paraId="66E14EFA">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0C0E50A1">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748ABBE9">
      <w:pPr>
        <w:pStyle w:val="13"/>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59ED5550">
      <w:pPr>
        <w:pStyle w:val="57"/>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7AA374EF">
      <w:pPr>
        <w:pStyle w:val="57"/>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7E6B74DC">
      <w:pPr>
        <w:pStyle w:val="57"/>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092E4515">
      <w:pPr>
        <w:pStyle w:val="57"/>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2442E732">
      <w:pPr>
        <w:pStyle w:val="57"/>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98FFC67">
      <w:pPr>
        <w:pStyle w:val="57"/>
        <w:numPr>
          <w:ilvl w:val="0"/>
          <w:numId w:val="1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026ED17B">
      <w:pPr>
        <w:pStyle w:val="57"/>
        <w:numPr>
          <w:ilvl w:val="0"/>
          <w:numId w:val="1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投标人承诺函（格式见附件）</w:t>
      </w:r>
      <w:r>
        <w:rPr>
          <w:rFonts w:hint="eastAsia" w:ascii="宋体" w:hAnsi="宋体" w:cs="宋体"/>
          <w:color w:val="auto"/>
          <w:highlight w:val="none"/>
          <w:lang w:eastAsia="zh-CN"/>
        </w:rPr>
        <w:t>；</w:t>
      </w:r>
    </w:p>
    <w:p w14:paraId="6D619E8E">
      <w:pPr>
        <w:pStyle w:val="57"/>
        <w:numPr>
          <w:ilvl w:val="0"/>
          <w:numId w:val="1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eastAsia="zh-CN"/>
        </w:rPr>
        <w:t>中</w:t>
      </w:r>
      <w:r>
        <w:rPr>
          <w:rFonts w:hint="eastAsia" w:ascii="宋体" w:hAnsi="宋体" w:cs="宋体"/>
          <w:color w:val="auto"/>
          <w:highlight w:val="none"/>
        </w:rPr>
        <w:t>小企业声明函(如有)（格式见附件）；</w:t>
      </w:r>
    </w:p>
    <w:p w14:paraId="2A6137F7">
      <w:pPr>
        <w:pStyle w:val="57"/>
        <w:numPr>
          <w:ilvl w:val="0"/>
          <w:numId w:val="1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eastAsia="zh-CN"/>
        </w:rPr>
        <w:t>残疾人</w:t>
      </w:r>
      <w:r>
        <w:rPr>
          <w:rFonts w:hint="eastAsia" w:ascii="宋体" w:hAnsi="宋体" w:cs="宋体"/>
          <w:color w:val="auto"/>
          <w:highlight w:val="none"/>
        </w:rPr>
        <w:t>福利性单位声明函(如有)（格式见附件）；</w:t>
      </w:r>
    </w:p>
    <w:p w14:paraId="0580E22E">
      <w:pPr>
        <w:pStyle w:val="57"/>
        <w:numPr>
          <w:ilvl w:val="0"/>
          <w:numId w:val="1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eastAsia="zh-CN"/>
        </w:rPr>
        <w:t>监狱</w:t>
      </w:r>
      <w:r>
        <w:rPr>
          <w:rFonts w:hint="eastAsia" w:ascii="宋体" w:hAnsi="宋体" w:cs="宋体"/>
          <w:color w:val="auto"/>
          <w:highlight w:val="none"/>
        </w:rPr>
        <w:t>企业证明文件(如有）（格式见附件）。</w:t>
      </w:r>
    </w:p>
    <w:p w14:paraId="6BEF3130">
      <w:pPr>
        <w:pStyle w:val="57"/>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09C1B43A">
      <w:pPr>
        <w:pStyle w:val="57"/>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60A76FF1">
      <w:pPr>
        <w:pStyle w:val="57"/>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63C33FE0">
      <w:pPr>
        <w:pStyle w:val="57"/>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76AE0220">
      <w:pPr>
        <w:pStyle w:val="57"/>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325BF0A9">
      <w:pPr>
        <w:pStyle w:val="57"/>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363C57F8">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32A7DC0E">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实施方案；</w:t>
      </w:r>
    </w:p>
    <w:p w14:paraId="6E308D32">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人员投入；</w:t>
      </w:r>
    </w:p>
    <w:p w14:paraId="7D705C83">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项目重点难点分析；</w:t>
      </w:r>
    </w:p>
    <w:p w14:paraId="6A4A3490">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质量保证措施；</w:t>
      </w:r>
    </w:p>
    <w:p w14:paraId="1981FA60">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进度保证措施；</w:t>
      </w:r>
    </w:p>
    <w:p w14:paraId="4099C8B8">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服务承诺；</w:t>
      </w:r>
    </w:p>
    <w:p w14:paraId="2830E839">
      <w:pPr>
        <w:pStyle w:val="57"/>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项目组人员清单（格式见附件）；</w:t>
      </w:r>
    </w:p>
    <w:p w14:paraId="0976DFEC">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业绩；</w:t>
      </w:r>
    </w:p>
    <w:p w14:paraId="490205F3">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获奖证书；</w:t>
      </w:r>
    </w:p>
    <w:p w14:paraId="49870E33">
      <w:pPr>
        <w:pStyle w:val="57"/>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2A18B170">
      <w:pPr>
        <w:pStyle w:val="57"/>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3F12E6FE">
      <w:pPr>
        <w:pStyle w:val="57"/>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0ECC8067">
      <w:pPr>
        <w:pStyle w:val="57"/>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062A42EC">
      <w:pPr>
        <w:pStyle w:val="57"/>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02CF9CC5">
      <w:pPr>
        <w:pStyle w:val="57"/>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4E1C5194">
      <w:pPr>
        <w:pStyle w:val="57"/>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22D262EC">
      <w:pPr>
        <w:pStyle w:val="57"/>
        <w:numPr>
          <w:ilvl w:val="0"/>
          <w:numId w:val="12"/>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磋商报价明细表（格式见附件）。</w:t>
      </w:r>
    </w:p>
    <w:p w14:paraId="49A69C2E">
      <w:pPr>
        <w:pStyle w:val="57"/>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3C0E0A3C">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56AC787A">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3CCBFABE">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533716D5">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63C123DA">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18F27646">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4A78514E">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68F0882D">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324300B5">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082032F6">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19D772BA">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4BCA4751">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432F17A9">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3C3B9A4A">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5D012552">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672E2E5C">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41A615CA">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7EFCF18B">
      <w:pPr>
        <w:pStyle w:val="57"/>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2F9C64F8">
      <w:pPr>
        <w:pStyle w:val="4"/>
        <w:numPr>
          <w:ilvl w:val="0"/>
          <w:numId w:val="8"/>
        </w:numPr>
        <w:spacing w:line="336" w:lineRule="auto"/>
        <w:jc w:val="center"/>
        <w:rPr>
          <w:rFonts w:cs="Times New Roman"/>
          <w:color w:val="auto"/>
          <w:highlight w:val="none"/>
        </w:rPr>
      </w:pPr>
      <w:bookmarkStart w:id="56" w:name="_Toc1420"/>
      <w:r>
        <w:rPr>
          <w:color w:val="auto"/>
          <w:highlight w:val="none"/>
        </w:rPr>
        <w:t xml:space="preserve"> </w:t>
      </w:r>
      <w:bookmarkStart w:id="57" w:name="_Toc21266"/>
      <w:bookmarkStart w:id="58" w:name="_Toc13671"/>
      <w:r>
        <w:rPr>
          <w:rFonts w:hint="eastAsia"/>
          <w:color w:val="auto"/>
          <w:highlight w:val="none"/>
        </w:rPr>
        <w:t>响应文件的递交</w:t>
      </w:r>
      <w:bookmarkEnd w:id="56"/>
      <w:bookmarkEnd w:id="57"/>
      <w:bookmarkEnd w:id="58"/>
    </w:p>
    <w:p w14:paraId="5C09084A">
      <w:pPr>
        <w:pStyle w:val="13"/>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43BBC69E">
      <w:pPr>
        <w:pStyle w:val="57"/>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47261D40">
      <w:pPr>
        <w:pStyle w:val="57"/>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3C16A606">
      <w:pPr>
        <w:pStyle w:val="13"/>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23EA4EB6">
      <w:pPr>
        <w:pStyle w:val="13"/>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731A7D4D">
      <w:pPr>
        <w:pStyle w:val="4"/>
        <w:numPr>
          <w:ilvl w:val="0"/>
          <w:numId w:val="8"/>
        </w:numPr>
        <w:spacing w:line="336" w:lineRule="auto"/>
        <w:jc w:val="center"/>
        <w:rPr>
          <w:rFonts w:hAnsi="宋体" w:cs="Times New Roman"/>
          <w:color w:val="auto"/>
          <w:highlight w:val="none"/>
        </w:rPr>
      </w:pPr>
      <w:r>
        <w:rPr>
          <w:color w:val="auto"/>
          <w:highlight w:val="none"/>
        </w:rPr>
        <w:t xml:space="preserve"> </w:t>
      </w:r>
      <w:bookmarkStart w:id="59" w:name="_Toc30242"/>
      <w:bookmarkStart w:id="60" w:name="_Toc24120"/>
      <w:r>
        <w:rPr>
          <w:rFonts w:hint="eastAsia"/>
          <w:color w:val="auto"/>
          <w:highlight w:val="none"/>
        </w:rPr>
        <w:t>磋商无效的情形</w:t>
      </w:r>
      <w:bookmarkEnd w:id="59"/>
      <w:bookmarkEnd w:id="60"/>
    </w:p>
    <w:p w14:paraId="6D81B08C">
      <w:pPr>
        <w:pStyle w:val="13"/>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1E4A82D9">
      <w:pPr>
        <w:pStyle w:val="13"/>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6370734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4BCBBD3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24F4199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1DD453E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4B12A61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0194E2B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7D16BA6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3E50A76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42A893B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11D46A8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7CD40C0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3E2301E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2FC155F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27D7B53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347B878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283596B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070841D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74EAA05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78BDBFE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51E4AA9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5B889E7B">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12874973">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 xml:space="preserve"> 其他违反法律、法规的情形。</w:t>
      </w:r>
    </w:p>
    <w:p w14:paraId="58FFBD5C">
      <w:pPr>
        <w:pStyle w:val="4"/>
        <w:numPr>
          <w:ilvl w:val="0"/>
          <w:numId w:val="8"/>
        </w:numPr>
        <w:spacing w:line="336" w:lineRule="auto"/>
        <w:jc w:val="center"/>
        <w:rPr>
          <w:rFonts w:cs="Times New Roman"/>
          <w:color w:val="auto"/>
          <w:highlight w:val="none"/>
        </w:rPr>
      </w:pPr>
      <w:r>
        <w:rPr>
          <w:color w:val="auto"/>
          <w:highlight w:val="none"/>
        </w:rPr>
        <w:t xml:space="preserve"> </w:t>
      </w:r>
      <w:bookmarkStart w:id="61" w:name="_Toc12770"/>
      <w:bookmarkStart w:id="62" w:name="_Toc21752"/>
      <w:r>
        <w:rPr>
          <w:rFonts w:hint="eastAsia"/>
          <w:color w:val="auto"/>
          <w:highlight w:val="none"/>
        </w:rPr>
        <w:t>采购中止的情形</w:t>
      </w:r>
      <w:bookmarkEnd w:id="61"/>
      <w:bookmarkEnd w:id="62"/>
    </w:p>
    <w:p w14:paraId="4A1A578A">
      <w:pPr>
        <w:pStyle w:val="13"/>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2DD38FCF">
      <w:pPr>
        <w:pStyle w:val="57"/>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277B5186">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5E37D368">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4596FB3E">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6454D91A">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4418CE03">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24AD1231">
      <w:pPr>
        <w:pStyle w:val="57"/>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68FCD3A2">
      <w:pPr>
        <w:pStyle w:val="4"/>
        <w:numPr>
          <w:ilvl w:val="0"/>
          <w:numId w:val="8"/>
        </w:numPr>
        <w:spacing w:line="336" w:lineRule="auto"/>
        <w:jc w:val="center"/>
        <w:rPr>
          <w:rFonts w:cs="Times New Roman"/>
          <w:color w:val="auto"/>
          <w:highlight w:val="none"/>
        </w:rPr>
      </w:pPr>
      <w:r>
        <w:rPr>
          <w:color w:val="auto"/>
          <w:highlight w:val="none"/>
        </w:rPr>
        <w:t xml:space="preserve"> </w:t>
      </w:r>
      <w:bookmarkStart w:id="63" w:name="_Toc14029"/>
      <w:bookmarkStart w:id="64" w:name="_Toc3584"/>
      <w:r>
        <w:rPr>
          <w:rFonts w:hint="eastAsia"/>
          <w:color w:val="auto"/>
          <w:highlight w:val="none"/>
        </w:rPr>
        <w:t>确定成交供应商与签订合同</w:t>
      </w:r>
      <w:bookmarkEnd w:id="63"/>
      <w:bookmarkEnd w:id="64"/>
    </w:p>
    <w:p w14:paraId="078AB1C7">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0F9C90DA">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5534ACF6">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50911E25">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7F258B9B">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3F4E29">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648085AD">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5BF981F3">
      <w:pPr>
        <w:pStyle w:val="57"/>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2A53CA7B">
      <w:pPr>
        <w:pStyle w:val="57"/>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5ED7FFF9">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396CA21D">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绍兴市上虞区交通运输局</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DC26F5E">
      <w:pPr>
        <w:pStyle w:val="3"/>
        <w:jc w:val="center"/>
        <w:rPr>
          <w:rFonts w:cs="Times New Roman"/>
          <w:color w:val="auto"/>
          <w:sz w:val="36"/>
          <w:szCs w:val="36"/>
          <w:highlight w:val="none"/>
        </w:rPr>
      </w:pPr>
      <w:r>
        <w:rPr>
          <w:color w:val="auto"/>
          <w:sz w:val="36"/>
          <w:szCs w:val="36"/>
          <w:highlight w:val="none"/>
        </w:rPr>
        <w:br w:type="page"/>
      </w:r>
      <w:bookmarkStart w:id="65" w:name="_Toc21248"/>
      <w:bookmarkStart w:id="66" w:name="_Toc28667"/>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5"/>
      <w:bookmarkEnd w:id="66"/>
    </w:p>
    <w:p w14:paraId="54F18235">
      <w:pPr>
        <w:pStyle w:val="4"/>
        <w:jc w:val="center"/>
        <w:rPr>
          <w:color w:val="auto"/>
          <w:highlight w:val="none"/>
        </w:rPr>
      </w:pPr>
      <w:bookmarkStart w:id="67" w:name="_Toc25073"/>
      <w:bookmarkStart w:id="68" w:name="_Toc14778"/>
      <w:bookmarkStart w:id="69" w:name="_Toc15284"/>
      <w:r>
        <w:rPr>
          <w:rFonts w:hint="eastAsia"/>
          <w:color w:val="auto"/>
          <w:highlight w:val="none"/>
        </w:rPr>
        <w:t xml:space="preserve">第一章 </w:t>
      </w:r>
      <w:bookmarkStart w:id="70" w:name="_Toc506107120"/>
      <w:r>
        <w:rPr>
          <w:rFonts w:hint="eastAsia"/>
          <w:color w:val="auto"/>
          <w:highlight w:val="none"/>
        </w:rPr>
        <w:t>采购内容及要求</w:t>
      </w:r>
      <w:bookmarkEnd w:id="67"/>
      <w:bookmarkEnd w:id="68"/>
      <w:bookmarkEnd w:id="70"/>
    </w:p>
    <w:p w14:paraId="5D5FA429">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宋体" w:hAnsi="Times New Roman" w:eastAsia="宋体" w:cs="Times New Roman"/>
          <w:b/>
          <w:bCs/>
          <w:color w:val="auto"/>
          <w:kern w:val="0"/>
          <w:sz w:val="24"/>
          <w:highlight w:val="none"/>
          <w:lang w:val="en-US" w:eastAsia="zh-CN"/>
        </w:rPr>
      </w:pPr>
      <w:r>
        <w:rPr>
          <w:rFonts w:hint="eastAsia" w:ascii="宋体" w:hAnsi="Times New Roman" w:eastAsia="宋体" w:cs="Times New Roman"/>
          <w:b/>
          <w:bCs/>
          <w:color w:val="auto"/>
          <w:kern w:val="0"/>
          <w:sz w:val="24"/>
          <w:highlight w:val="none"/>
          <w:lang w:val="en-US" w:eastAsia="zh-CN"/>
        </w:rPr>
        <w:t>一、项目</w:t>
      </w:r>
      <w:r>
        <w:rPr>
          <w:rFonts w:hint="eastAsia" w:ascii="宋体" w:cs="Times New Roman"/>
          <w:b/>
          <w:bCs/>
          <w:color w:val="auto"/>
          <w:kern w:val="0"/>
          <w:sz w:val="24"/>
          <w:highlight w:val="none"/>
          <w:lang w:val="en-US" w:eastAsia="zh-CN"/>
        </w:rPr>
        <w:t>背景</w:t>
      </w:r>
    </w:p>
    <w:p w14:paraId="2F3B326B">
      <w:pPr>
        <w:keepNext w:val="0"/>
        <w:keepLines w:val="0"/>
        <w:pageBreakBefore w:val="0"/>
        <w:widowControl w:val="0"/>
        <w:kinsoku/>
        <w:wordWrap/>
        <w:overflowPunct/>
        <w:topLinePunct w:val="0"/>
        <w:autoSpaceDE/>
        <w:autoSpaceDN/>
        <w:bidi w:val="0"/>
        <w:snapToGrid/>
        <w:spacing w:line="400" w:lineRule="exact"/>
        <w:ind w:firstLine="489" w:firstLineChars="204"/>
        <w:textAlignment w:val="auto"/>
        <w:rPr>
          <w:rFonts w:hint="eastAsia" w:ascii="宋体" w:hAnsi="宋体" w:cs="宋体"/>
          <w:b w:val="0"/>
          <w:bCs w:val="0"/>
          <w:sz w:val="24"/>
          <w:szCs w:val="24"/>
          <w:highlight w:val="none"/>
          <w:lang w:eastAsia="zh-CN"/>
        </w:rPr>
      </w:pPr>
      <w:r>
        <w:rPr>
          <w:rFonts w:hint="eastAsia" w:ascii="宋体" w:hAnsi="宋体" w:eastAsia="宋体" w:cs="宋体"/>
          <w:b w:val="0"/>
          <w:bCs w:val="0"/>
          <w:sz w:val="24"/>
          <w:szCs w:val="24"/>
          <w:highlight w:val="none"/>
        </w:rPr>
        <w:t>“十五五”是</w:t>
      </w:r>
      <w:r>
        <w:rPr>
          <w:rFonts w:hint="eastAsia" w:ascii="宋体" w:hAnsi="宋体" w:cs="宋体"/>
          <w:b w:val="0"/>
          <w:bCs w:val="0"/>
          <w:sz w:val="24"/>
          <w:szCs w:val="24"/>
          <w:highlight w:val="none"/>
          <w:lang w:val="en-US" w:eastAsia="zh-CN"/>
        </w:rPr>
        <w:t>上虞</w:t>
      </w:r>
      <w:r>
        <w:rPr>
          <w:rFonts w:hint="eastAsia" w:ascii="宋体" w:hAnsi="宋体" w:eastAsia="宋体" w:cs="宋体"/>
          <w:b w:val="0"/>
          <w:bCs w:val="0"/>
          <w:sz w:val="24"/>
          <w:szCs w:val="24"/>
          <w:highlight w:val="none"/>
        </w:rPr>
        <w:t>区建成高水平交通强区的攻坚期，是落实综合立体交通网规划目标的关键期，也是交通加快转入高质量发展轨道的转换期。根据《浙江省综合交通运输发展“十五五”规划编制工作方案》（浙交函〔2024〕55号）和《绍兴市“十五五”规划编制工作方案》（绍市交函〔2024〕1号）部署，</w:t>
      </w:r>
      <w:r>
        <w:rPr>
          <w:rFonts w:hint="eastAsia" w:ascii="宋体" w:hAnsi="宋体" w:cs="宋体"/>
          <w:b w:val="0"/>
          <w:bCs w:val="0"/>
          <w:sz w:val="24"/>
          <w:szCs w:val="24"/>
          <w:highlight w:val="none"/>
          <w:lang w:val="en-US" w:eastAsia="zh-CN"/>
        </w:rPr>
        <w:t>为</w:t>
      </w:r>
      <w:r>
        <w:rPr>
          <w:rFonts w:hint="eastAsia" w:ascii="宋体" w:hAnsi="宋体" w:eastAsia="宋体" w:cs="宋体"/>
          <w:b w:val="0"/>
          <w:bCs w:val="0"/>
          <w:sz w:val="24"/>
          <w:szCs w:val="24"/>
          <w:highlight w:val="none"/>
        </w:rPr>
        <w:t>加快推动</w:t>
      </w:r>
      <w:r>
        <w:rPr>
          <w:rFonts w:hint="eastAsia" w:ascii="宋体" w:hAnsi="宋体" w:cs="宋体"/>
          <w:b w:val="0"/>
          <w:bCs w:val="0"/>
          <w:sz w:val="24"/>
          <w:szCs w:val="24"/>
          <w:highlight w:val="none"/>
          <w:lang w:val="en-US" w:eastAsia="zh-CN"/>
        </w:rPr>
        <w:t>上虞区</w:t>
      </w:r>
      <w:r>
        <w:rPr>
          <w:rFonts w:hint="eastAsia" w:ascii="宋体" w:hAnsi="宋体" w:eastAsia="宋体" w:cs="宋体"/>
          <w:b w:val="0"/>
          <w:bCs w:val="0"/>
          <w:sz w:val="24"/>
          <w:szCs w:val="24"/>
          <w:highlight w:val="none"/>
        </w:rPr>
        <w:t>现代综合交通运输高质量发展，</w:t>
      </w:r>
      <w:r>
        <w:rPr>
          <w:rFonts w:hint="eastAsia" w:ascii="宋体" w:hAnsi="宋体" w:cs="宋体"/>
          <w:b w:val="0"/>
          <w:bCs w:val="0"/>
          <w:sz w:val="24"/>
          <w:szCs w:val="24"/>
          <w:highlight w:val="none"/>
          <w:lang w:val="en-US" w:eastAsia="zh-CN"/>
        </w:rPr>
        <w:t>特组织</w:t>
      </w:r>
      <w:r>
        <w:rPr>
          <w:rFonts w:hint="eastAsia" w:ascii="宋体" w:hAnsi="宋体" w:eastAsia="宋体" w:cs="宋体"/>
          <w:b w:val="0"/>
          <w:bCs w:val="0"/>
          <w:sz w:val="24"/>
          <w:szCs w:val="24"/>
          <w:highlight w:val="none"/>
        </w:rPr>
        <w:t>编制《绍兴市上虞区综合交通运输发展“十五五”规划》</w:t>
      </w:r>
      <w:r>
        <w:rPr>
          <w:rFonts w:hint="eastAsia" w:ascii="宋体" w:hAnsi="宋体" w:cs="宋体"/>
          <w:b w:val="0"/>
          <w:bCs w:val="0"/>
          <w:sz w:val="24"/>
          <w:szCs w:val="24"/>
          <w:highlight w:val="none"/>
          <w:lang w:eastAsia="zh-CN"/>
        </w:rPr>
        <w:t>。</w:t>
      </w:r>
    </w:p>
    <w:p w14:paraId="642573CA">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Times New Roman" w:eastAsia="宋体" w:cs="Times New Roman"/>
          <w:color w:val="auto"/>
          <w:kern w:val="0"/>
          <w:sz w:val="24"/>
          <w:highlight w:val="none"/>
          <w:lang w:val="en-US" w:eastAsia="zh-CN"/>
        </w:rPr>
      </w:pPr>
      <w:r>
        <w:rPr>
          <w:rFonts w:hint="eastAsia" w:ascii="宋体" w:hAnsi="宋体" w:eastAsia="宋体" w:cs="宋体"/>
          <w:color w:val="000000"/>
          <w:sz w:val="24"/>
          <w:szCs w:val="24"/>
          <w:highlight w:val="none"/>
        </w:rPr>
        <w:t>本次规划期限为2026-2030年，规划空间范围：</w:t>
      </w:r>
      <w:r>
        <w:rPr>
          <w:rFonts w:hint="eastAsia" w:ascii="宋体" w:hAnsi="宋体" w:eastAsia="宋体" w:cs="宋体"/>
          <w:color w:val="000000"/>
          <w:sz w:val="24"/>
          <w:szCs w:val="24"/>
          <w:highlight w:val="none"/>
          <w:lang w:val="en-US" w:eastAsia="zh-CN"/>
        </w:rPr>
        <w:t>上虞区</w:t>
      </w:r>
      <w:r>
        <w:rPr>
          <w:rFonts w:hint="eastAsia" w:ascii="宋体" w:hAnsi="宋体" w:eastAsia="宋体" w:cs="宋体"/>
          <w:color w:val="000000"/>
          <w:sz w:val="24"/>
          <w:szCs w:val="24"/>
          <w:highlight w:val="none"/>
        </w:rPr>
        <w:t>。</w:t>
      </w:r>
    </w:p>
    <w:p w14:paraId="785D3984">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Times New Roman" w:eastAsia="宋体" w:cs="Times New Roman"/>
          <w:b/>
          <w:bCs/>
          <w:color w:val="auto"/>
          <w:kern w:val="0"/>
          <w:sz w:val="24"/>
          <w:highlight w:val="none"/>
          <w:lang w:val="en-US" w:eastAsia="zh-CN"/>
        </w:rPr>
      </w:pPr>
      <w:r>
        <w:rPr>
          <w:rFonts w:hint="eastAsia" w:ascii="宋体" w:cs="Times New Roman"/>
          <w:b/>
          <w:bCs/>
          <w:color w:val="auto"/>
          <w:kern w:val="0"/>
          <w:sz w:val="24"/>
          <w:highlight w:val="none"/>
          <w:lang w:val="en-US" w:eastAsia="zh-CN"/>
        </w:rPr>
        <w:t>二</w:t>
      </w:r>
      <w:r>
        <w:rPr>
          <w:rFonts w:hint="eastAsia" w:ascii="宋体" w:hAnsi="Times New Roman" w:eastAsia="宋体" w:cs="Times New Roman"/>
          <w:b/>
          <w:bCs/>
          <w:color w:val="auto"/>
          <w:kern w:val="0"/>
          <w:sz w:val="24"/>
          <w:highlight w:val="none"/>
          <w:lang w:val="en-US" w:eastAsia="zh-CN"/>
        </w:rPr>
        <w:t>、项目</w:t>
      </w:r>
      <w:r>
        <w:rPr>
          <w:rFonts w:hint="eastAsia" w:ascii="宋体" w:cs="Times New Roman"/>
          <w:b/>
          <w:bCs/>
          <w:color w:val="auto"/>
          <w:kern w:val="0"/>
          <w:sz w:val="24"/>
          <w:highlight w:val="none"/>
          <w:lang w:val="en-US" w:eastAsia="zh-CN"/>
        </w:rPr>
        <w:t>编制内容</w:t>
      </w:r>
    </w:p>
    <w:p w14:paraId="77EE5E6F">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全面分析</w:t>
      </w:r>
      <w:r>
        <w:rPr>
          <w:rFonts w:hint="eastAsia" w:ascii="宋体" w:hAnsi="宋体" w:eastAsia="宋体" w:cs="宋体"/>
          <w:sz w:val="24"/>
          <w:szCs w:val="24"/>
          <w:highlight w:val="none"/>
        </w:rPr>
        <w:t>总结</w:t>
      </w:r>
      <w:r>
        <w:rPr>
          <w:rFonts w:hint="eastAsia" w:ascii="宋体" w:hAnsi="宋体" w:cs="宋体"/>
          <w:sz w:val="24"/>
          <w:szCs w:val="24"/>
          <w:highlight w:val="none"/>
          <w:lang w:val="en-US" w:eastAsia="zh-CN"/>
        </w:rPr>
        <w:t>上虞区</w:t>
      </w:r>
      <w:r>
        <w:rPr>
          <w:rFonts w:hint="eastAsia" w:ascii="宋体" w:hAnsi="宋体" w:eastAsia="宋体" w:cs="宋体"/>
          <w:sz w:val="24"/>
          <w:szCs w:val="24"/>
          <w:highlight w:val="none"/>
        </w:rPr>
        <w:t>“十四五”期综合交通运输发展成效，</w:t>
      </w:r>
      <w:r>
        <w:rPr>
          <w:rFonts w:hint="eastAsia" w:ascii="宋体" w:hAnsi="宋体" w:cs="宋体"/>
          <w:sz w:val="24"/>
          <w:szCs w:val="24"/>
          <w:highlight w:val="none"/>
          <w:lang w:val="en-US" w:eastAsia="zh-CN"/>
        </w:rPr>
        <w:t>综合分析</w:t>
      </w:r>
      <w:r>
        <w:rPr>
          <w:rFonts w:hint="eastAsia" w:ascii="宋体" w:hAnsi="宋体" w:eastAsia="宋体" w:cs="宋体"/>
          <w:sz w:val="24"/>
          <w:szCs w:val="24"/>
          <w:highlight w:val="none"/>
        </w:rPr>
        <w:t>“十五五”期形势要求，根据国家、省、市</w:t>
      </w:r>
      <w:r>
        <w:rPr>
          <w:rFonts w:hint="eastAsia" w:ascii="宋体" w:hAnsi="宋体" w:cs="宋体"/>
          <w:sz w:val="24"/>
          <w:szCs w:val="24"/>
          <w:highlight w:val="none"/>
          <w:lang w:val="en-US" w:eastAsia="zh-CN"/>
        </w:rPr>
        <w:t>综合交通</w:t>
      </w:r>
      <w:r>
        <w:rPr>
          <w:rFonts w:hint="eastAsia" w:ascii="宋体" w:hAnsi="宋体" w:eastAsia="宋体" w:cs="宋体"/>
          <w:sz w:val="24"/>
          <w:szCs w:val="24"/>
          <w:highlight w:val="none"/>
        </w:rPr>
        <w:t>总体发展要求及上虞</w:t>
      </w:r>
      <w:r>
        <w:rPr>
          <w:rFonts w:hint="eastAsia" w:ascii="宋体" w:hAnsi="宋体" w:cs="宋体"/>
          <w:sz w:val="24"/>
          <w:szCs w:val="24"/>
          <w:highlight w:val="none"/>
          <w:lang w:val="en-US" w:eastAsia="zh-CN"/>
        </w:rPr>
        <w:t>交通</w:t>
      </w:r>
      <w:r>
        <w:rPr>
          <w:rFonts w:hint="eastAsia" w:ascii="宋体" w:hAnsi="宋体" w:eastAsia="宋体" w:cs="宋体"/>
          <w:sz w:val="24"/>
          <w:szCs w:val="24"/>
          <w:highlight w:val="none"/>
        </w:rPr>
        <w:t>发展现实基础，</w:t>
      </w:r>
      <w:r>
        <w:rPr>
          <w:rFonts w:hint="eastAsia" w:ascii="宋体" w:hAnsi="宋体" w:cs="宋体"/>
          <w:sz w:val="24"/>
          <w:szCs w:val="24"/>
          <w:highlight w:val="none"/>
          <w:lang w:val="en-US" w:eastAsia="zh-CN"/>
        </w:rPr>
        <w:t>研究</w:t>
      </w:r>
      <w:r>
        <w:rPr>
          <w:rFonts w:hint="eastAsia" w:ascii="宋体" w:hAnsi="宋体" w:eastAsia="宋体" w:cs="宋体"/>
          <w:sz w:val="24"/>
          <w:szCs w:val="24"/>
          <w:highlight w:val="none"/>
        </w:rPr>
        <w:t>提出</w:t>
      </w:r>
      <w:r>
        <w:rPr>
          <w:rFonts w:hint="eastAsia" w:ascii="宋体" w:hAnsi="宋体" w:cs="宋体"/>
          <w:sz w:val="24"/>
          <w:szCs w:val="24"/>
          <w:highlight w:val="none"/>
          <w:lang w:val="en-US" w:eastAsia="zh-CN"/>
        </w:rPr>
        <w:t>上虞区</w:t>
      </w:r>
      <w:r>
        <w:rPr>
          <w:rFonts w:hint="eastAsia" w:ascii="宋体" w:hAnsi="宋体" w:eastAsia="宋体" w:cs="宋体"/>
          <w:sz w:val="24"/>
          <w:szCs w:val="24"/>
          <w:highlight w:val="none"/>
        </w:rPr>
        <w:t>“十五五”综合交通运输发展的总体思路、主要目标，提出建设现代化交通基础设施体系等方面重点任务、重大工程项目和政策措施</w:t>
      </w:r>
      <w:r>
        <w:rPr>
          <w:rFonts w:hint="eastAsia" w:ascii="宋体" w:hAnsi="宋体" w:cs="宋体"/>
          <w:sz w:val="24"/>
          <w:szCs w:val="24"/>
          <w:highlight w:val="none"/>
          <w:lang w:val="en-US" w:eastAsia="zh-CN"/>
        </w:rPr>
        <w:t>等</w:t>
      </w:r>
      <w:r>
        <w:rPr>
          <w:rFonts w:hint="eastAsia" w:ascii="宋体" w:hAnsi="宋体" w:eastAsia="宋体" w:cs="宋体"/>
          <w:sz w:val="24"/>
          <w:szCs w:val="24"/>
          <w:highlight w:val="none"/>
        </w:rPr>
        <w:t>。</w:t>
      </w:r>
    </w:p>
    <w:p w14:paraId="26F08AAE">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Times New Roman" w:eastAsia="宋体" w:cs="Times New Roman"/>
          <w:color w:val="auto"/>
          <w:kern w:val="0"/>
          <w:sz w:val="24"/>
          <w:highlight w:val="none"/>
          <w:lang w:val="en-US" w:eastAsia="zh-CN"/>
        </w:rPr>
      </w:pPr>
      <w:r>
        <w:rPr>
          <w:rFonts w:hint="eastAsia" w:ascii="宋体" w:hAnsi="宋体" w:eastAsia="宋体" w:cs="宋体"/>
          <w:sz w:val="24"/>
          <w:szCs w:val="24"/>
          <w:highlight w:val="none"/>
        </w:rPr>
        <w:t>编制阶段包括：编制大纲、框架稿、征求意见稿、送审稿、报批稿5个阶段，经历资料收集、数据分析、规划调研、形势研究、部门对接、会议研讨、专家审查、修改完善、规划报批等中间过程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配合开展“十</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rPr>
        <w:t>五”规划过程性评估服务工作。</w:t>
      </w:r>
    </w:p>
    <w:p w14:paraId="05C329F5">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宋体" w:hAnsi="Times New Roman" w:eastAsia="宋体" w:cs="Times New Roman"/>
          <w:b/>
          <w:bCs/>
          <w:color w:val="auto"/>
          <w:kern w:val="0"/>
          <w:sz w:val="24"/>
          <w:highlight w:val="none"/>
          <w:lang w:val="en-US" w:eastAsia="zh-CN"/>
        </w:rPr>
      </w:pPr>
      <w:r>
        <w:rPr>
          <w:rFonts w:hint="eastAsia" w:ascii="宋体" w:cs="Times New Roman"/>
          <w:b/>
          <w:bCs/>
          <w:color w:val="auto"/>
          <w:kern w:val="0"/>
          <w:sz w:val="24"/>
          <w:highlight w:val="none"/>
          <w:lang w:val="en-US" w:eastAsia="zh-CN"/>
        </w:rPr>
        <w:t>三</w:t>
      </w:r>
      <w:r>
        <w:rPr>
          <w:rFonts w:hint="eastAsia" w:ascii="宋体" w:hAnsi="Times New Roman" w:eastAsia="宋体" w:cs="Times New Roman"/>
          <w:b/>
          <w:bCs/>
          <w:color w:val="auto"/>
          <w:kern w:val="0"/>
          <w:sz w:val="24"/>
          <w:highlight w:val="none"/>
          <w:lang w:val="en-US" w:eastAsia="zh-CN"/>
        </w:rPr>
        <w:t>、</w:t>
      </w:r>
      <w:r>
        <w:rPr>
          <w:rFonts w:hint="eastAsia" w:ascii="宋体" w:cs="Times New Roman"/>
          <w:b/>
          <w:bCs/>
          <w:color w:val="auto"/>
          <w:kern w:val="0"/>
          <w:sz w:val="24"/>
          <w:highlight w:val="none"/>
          <w:lang w:val="en-US" w:eastAsia="zh-CN"/>
        </w:rPr>
        <w:t>项目编制成果要求</w:t>
      </w:r>
    </w:p>
    <w:p w14:paraId="3F061DFC">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Times New Roman" w:eastAsia="宋体" w:cs="Times New Roman"/>
          <w:color w:val="auto"/>
          <w:kern w:val="0"/>
          <w:sz w:val="24"/>
          <w:highlight w:val="none"/>
          <w:lang w:val="en-US" w:eastAsia="zh-CN"/>
        </w:rPr>
      </w:pPr>
      <w:r>
        <w:rPr>
          <w:rFonts w:hint="eastAsia" w:ascii="宋体" w:hAnsi="宋体" w:eastAsia="宋体" w:cs="宋体"/>
          <w:sz w:val="24"/>
          <w:szCs w:val="24"/>
          <w:highlight w:val="none"/>
        </w:rPr>
        <w:t>规划成果内容满足国家规范要求并需专家评审及项目报批通过，须符合规划原则、工作范围、规划年限、规划内容和深度等要点的规定。规划图纸和文本必须做到清晰、完整、表达准确，同类图纸规格应尽量统一。</w:t>
      </w:r>
    </w:p>
    <w:p w14:paraId="77498F90">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Times New Roman" w:eastAsia="宋体" w:cs="Times New Roman"/>
          <w:b/>
          <w:bCs/>
          <w:color w:val="auto"/>
          <w:kern w:val="0"/>
          <w:sz w:val="24"/>
          <w:highlight w:val="none"/>
          <w:lang w:val="en-US" w:eastAsia="zh-CN"/>
        </w:rPr>
      </w:pPr>
      <w:r>
        <w:rPr>
          <w:rFonts w:hint="eastAsia" w:ascii="宋体" w:cs="Times New Roman"/>
          <w:b/>
          <w:bCs/>
          <w:color w:val="auto"/>
          <w:kern w:val="0"/>
          <w:sz w:val="24"/>
          <w:highlight w:val="none"/>
          <w:lang w:val="en-US" w:eastAsia="zh-CN"/>
        </w:rPr>
        <w:t>四</w:t>
      </w:r>
      <w:r>
        <w:rPr>
          <w:rFonts w:hint="eastAsia" w:ascii="宋体" w:hAnsi="Times New Roman" w:eastAsia="宋体" w:cs="Times New Roman"/>
          <w:b/>
          <w:bCs/>
          <w:color w:val="auto"/>
          <w:kern w:val="0"/>
          <w:sz w:val="24"/>
          <w:highlight w:val="none"/>
          <w:lang w:val="en-US" w:eastAsia="zh-CN"/>
        </w:rPr>
        <w:t>、</w:t>
      </w:r>
      <w:r>
        <w:rPr>
          <w:rFonts w:hint="eastAsia" w:ascii="宋体" w:cs="Times New Roman"/>
          <w:b/>
          <w:bCs/>
          <w:color w:val="auto"/>
          <w:kern w:val="0"/>
          <w:sz w:val="24"/>
          <w:highlight w:val="none"/>
          <w:lang w:val="en-US" w:eastAsia="zh-CN"/>
        </w:rPr>
        <w:t>项目服务期限</w:t>
      </w:r>
    </w:p>
    <w:p w14:paraId="69098A25">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Times New Roman" w:eastAsia="宋体" w:cs="Times New Roman"/>
          <w:color w:val="auto"/>
          <w:kern w:val="0"/>
          <w:sz w:val="24"/>
          <w:highlight w:val="none"/>
          <w:lang w:val="en-US" w:eastAsia="zh-CN"/>
        </w:rPr>
      </w:pPr>
      <w:r>
        <w:rPr>
          <w:rFonts w:hint="eastAsia" w:ascii="宋体" w:hAnsi="宋体" w:cs="宋体"/>
          <w:sz w:val="24"/>
          <w:szCs w:val="24"/>
          <w:highlight w:val="none"/>
          <w:lang w:eastAsia="zh-CN"/>
        </w:rPr>
        <w:t>合同签订之日起</w:t>
      </w:r>
      <w:r>
        <w:rPr>
          <w:rFonts w:hint="eastAsia" w:ascii="宋体" w:hAnsi="宋体" w:eastAsia="宋体" w:cs="宋体"/>
          <w:sz w:val="24"/>
          <w:szCs w:val="24"/>
          <w:highlight w:val="none"/>
        </w:rPr>
        <w:t>至202</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eastAsia="zh-CN"/>
        </w:rPr>
        <w:t>底前完成评估报告</w:t>
      </w:r>
    </w:p>
    <w:p w14:paraId="531B4098">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宋体" w:hAnsi="Times New Roman" w:eastAsia="宋体" w:cs="Times New Roman"/>
          <w:b/>
          <w:bCs/>
          <w:color w:val="auto"/>
          <w:kern w:val="0"/>
          <w:sz w:val="24"/>
          <w:highlight w:val="none"/>
          <w:lang w:val="en-US" w:eastAsia="zh-CN"/>
        </w:rPr>
      </w:pPr>
      <w:r>
        <w:rPr>
          <w:rFonts w:hint="eastAsia" w:ascii="宋体" w:hAnsi="Times New Roman" w:cs="Times New Roman"/>
          <w:b/>
          <w:bCs/>
          <w:color w:val="auto"/>
          <w:kern w:val="0"/>
          <w:sz w:val="24"/>
          <w:highlight w:val="none"/>
          <w:lang w:val="en-US" w:eastAsia="zh-CN"/>
        </w:rPr>
        <w:t>五</w:t>
      </w:r>
      <w:r>
        <w:rPr>
          <w:rFonts w:hint="eastAsia" w:ascii="宋体" w:hAnsi="Times New Roman" w:eastAsia="宋体" w:cs="Times New Roman"/>
          <w:b/>
          <w:bCs/>
          <w:color w:val="auto"/>
          <w:kern w:val="0"/>
          <w:sz w:val="24"/>
          <w:highlight w:val="none"/>
          <w:lang w:val="en-US" w:eastAsia="zh-CN"/>
        </w:rPr>
        <w:t>、</w:t>
      </w:r>
      <w:r>
        <w:rPr>
          <w:rFonts w:hint="eastAsia" w:ascii="宋体" w:cs="Times New Roman"/>
          <w:b/>
          <w:bCs/>
          <w:color w:val="auto"/>
          <w:kern w:val="0"/>
          <w:sz w:val="24"/>
          <w:highlight w:val="none"/>
          <w:lang w:val="en-US" w:eastAsia="zh-CN"/>
        </w:rPr>
        <w:t>项目进度要求</w:t>
      </w:r>
    </w:p>
    <w:p w14:paraId="1C44C630">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cs="Times New Roman"/>
          <w:color w:val="auto"/>
          <w:kern w:val="0"/>
          <w:sz w:val="24"/>
          <w:highlight w:val="none"/>
          <w:lang w:val="en-US" w:eastAsia="zh-CN"/>
        </w:rPr>
      </w:pPr>
      <w:r>
        <w:rPr>
          <w:rFonts w:hint="eastAsia" w:ascii="宋体" w:hAnsi="宋体" w:eastAsia="宋体" w:cs="宋体"/>
          <w:sz w:val="24"/>
          <w:szCs w:val="24"/>
          <w:highlight w:val="none"/>
        </w:rPr>
        <w:t>上虞区综合交通运输发展“十</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rPr>
        <w:t>五”规划、上虞区重大交通项目谋划研究：202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底前</w:t>
      </w:r>
      <w:r>
        <w:rPr>
          <w:rFonts w:hint="eastAsia" w:ascii="宋体" w:hAnsi="宋体" w:eastAsia="宋体" w:cs="宋体"/>
          <w:sz w:val="24"/>
          <w:szCs w:val="24"/>
          <w:highlight w:val="none"/>
        </w:rPr>
        <w:t>完成送审稿，完成专家评审；专家评审后1个月内，根据专家审查会意见修编完善，提交最终报批稿完成报批；在审批阶段，做好相关配合服务。</w:t>
      </w:r>
    </w:p>
    <w:p w14:paraId="383528F7">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宋体" w:hAnsi="Times New Roman" w:eastAsia="宋体" w:cs="Times New Roman"/>
          <w:b/>
          <w:bCs/>
          <w:color w:val="auto"/>
          <w:kern w:val="0"/>
          <w:sz w:val="24"/>
          <w:highlight w:val="none"/>
          <w:lang w:val="en-US" w:eastAsia="zh-CN"/>
        </w:rPr>
      </w:pPr>
      <w:r>
        <w:rPr>
          <w:rFonts w:hint="eastAsia" w:ascii="宋体" w:hAnsi="Times New Roman" w:cs="Times New Roman"/>
          <w:b/>
          <w:bCs/>
          <w:color w:val="auto"/>
          <w:kern w:val="0"/>
          <w:sz w:val="24"/>
          <w:highlight w:val="none"/>
          <w:lang w:val="en-US" w:eastAsia="zh-CN"/>
        </w:rPr>
        <w:t>六</w:t>
      </w:r>
      <w:r>
        <w:rPr>
          <w:rFonts w:hint="eastAsia" w:ascii="宋体" w:hAnsi="Times New Roman" w:eastAsia="宋体" w:cs="Times New Roman"/>
          <w:b/>
          <w:bCs/>
          <w:color w:val="auto"/>
          <w:kern w:val="0"/>
          <w:sz w:val="24"/>
          <w:highlight w:val="none"/>
          <w:lang w:val="en-US" w:eastAsia="zh-CN"/>
        </w:rPr>
        <w:t>、</w:t>
      </w:r>
      <w:r>
        <w:rPr>
          <w:rFonts w:hint="eastAsia" w:ascii="宋体" w:cs="Times New Roman"/>
          <w:b/>
          <w:bCs/>
          <w:color w:val="auto"/>
          <w:kern w:val="0"/>
          <w:sz w:val="24"/>
          <w:highlight w:val="none"/>
          <w:lang w:val="en-US" w:eastAsia="zh-CN"/>
        </w:rPr>
        <w:t>项目实施方案要求</w:t>
      </w:r>
    </w:p>
    <w:p w14:paraId="225C97B6">
      <w:pPr>
        <w:spacing w:line="360" w:lineRule="auto"/>
        <w:ind w:firstLine="480" w:firstLineChars="200"/>
        <w:jc w:val="left"/>
        <w:rPr>
          <w:rFonts w:hint="default" w:ascii="宋体" w:hAnsi="Times New Roman" w:eastAsia="宋体" w:cs="Times New Roman"/>
          <w:color w:val="auto"/>
          <w:kern w:val="0"/>
          <w:sz w:val="24"/>
          <w:highlight w:val="none"/>
          <w:lang w:val="en-US" w:eastAsia="zh-CN"/>
        </w:rPr>
      </w:pPr>
    </w:p>
    <w:p w14:paraId="5836A6CB">
      <w:pPr>
        <w:pStyle w:val="25"/>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成交供应商在履行合同义务期间，应遵守国家有关法律、法规、维护采购人的合法权益；</w:t>
      </w:r>
    </w:p>
    <w:p w14:paraId="1750FA7A">
      <w:pPr>
        <w:pStyle w:val="25"/>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成交供应商应组建能够满足本项目服务需要的项目编制小组，按照工作范围和内容完成规划设计工作，并按约定向采购人汇报工作进展；</w:t>
      </w:r>
    </w:p>
    <w:p w14:paraId="76E47298">
      <w:pPr>
        <w:pStyle w:val="25"/>
        <w:rPr>
          <w:rFonts w:hint="eastAsia" w:ascii="宋体" w:hAnsi="Times New Roman" w:eastAsia="宋体" w:cs="Times New Roman"/>
          <w:color w:val="auto"/>
          <w:kern w:val="0"/>
          <w:sz w:val="24"/>
          <w:highlight w:val="none"/>
          <w:lang w:val="en-US" w:eastAsia="zh-CN"/>
        </w:rPr>
      </w:pPr>
      <w:r>
        <w:rPr>
          <w:rFonts w:hint="eastAsia" w:ascii="宋体" w:hAnsi="宋体" w:eastAsia="宋体" w:cs="宋体"/>
          <w:sz w:val="24"/>
          <w:szCs w:val="24"/>
          <w:highlight w:val="none"/>
        </w:rPr>
        <w:t>最终研究、规划及相关成果须通过委托方验收。在项目成果通过验收并实施过程中，成交供应商应按照项目实际需求，配合采购人进一步完善细节。</w:t>
      </w:r>
    </w:p>
    <w:p w14:paraId="7AED5045">
      <w:pPr>
        <w:pStyle w:val="25"/>
        <w:rPr>
          <w:rFonts w:hint="eastAsia" w:ascii="宋体" w:hAnsi="Times New Roman" w:eastAsia="宋体" w:cs="Times New Roman"/>
          <w:b/>
          <w:bCs/>
          <w:color w:val="auto"/>
          <w:kern w:val="0"/>
          <w:sz w:val="24"/>
          <w:szCs w:val="21"/>
          <w:highlight w:val="none"/>
          <w:lang w:val="en-US" w:eastAsia="zh-CN" w:bidi="ar-SA"/>
        </w:rPr>
      </w:pPr>
      <w:r>
        <w:rPr>
          <w:rFonts w:hint="eastAsia" w:ascii="宋体" w:hAnsi="Times New Roman" w:eastAsia="宋体" w:cs="Times New Roman"/>
          <w:b/>
          <w:bCs/>
          <w:color w:val="auto"/>
          <w:kern w:val="0"/>
          <w:sz w:val="24"/>
          <w:szCs w:val="21"/>
          <w:highlight w:val="none"/>
          <w:lang w:val="en-US" w:eastAsia="zh-CN" w:bidi="ar-SA"/>
        </w:rPr>
        <w:t>七、保密要求</w:t>
      </w:r>
    </w:p>
    <w:p w14:paraId="51085A53">
      <w:pPr>
        <w:pStyle w:val="25"/>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参与本项目研究的资料、成果等知识产权归采购人，有关的信息未经采购人同意不得向第三方泄露。成交供应商有责任对涉及项目的重要信息进行保密；成交供应商如因为项目的开展需要向第三方提供资料,必须提前得到采购人批准。若成交供应商违反保密要求的约定，应当承担违约责任。</w:t>
      </w:r>
    </w:p>
    <w:p w14:paraId="5528B94E">
      <w:pPr>
        <w:pStyle w:val="25"/>
        <w:rPr>
          <w:rFonts w:hint="eastAsia" w:ascii="宋体" w:hAnsi="宋体" w:eastAsia="宋体" w:cs="宋体"/>
          <w:sz w:val="24"/>
          <w:szCs w:val="24"/>
          <w:highlight w:val="none"/>
        </w:rPr>
      </w:pPr>
    </w:p>
    <w:p w14:paraId="2995B1C4">
      <w:pPr>
        <w:pStyle w:val="25"/>
        <w:rPr>
          <w:rFonts w:hint="eastAsia" w:ascii="宋体" w:hAnsi="宋体" w:eastAsia="宋体" w:cs="宋体"/>
          <w:sz w:val="24"/>
          <w:szCs w:val="24"/>
          <w:highlight w:val="none"/>
          <w:lang w:val="en-US" w:eastAsia="zh-CN"/>
        </w:rPr>
      </w:pPr>
    </w:p>
    <w:p w14:paraId="1B52E558">
      <w:pPr>
        <w:pStyle w:val="4"/>
        <w:numPr>
          <w:ilvl w:val="0"/>
          <w:numId w:val="0"/>
        </w:numPr>
        <w:bidi w:val="0"/>
        <w:ind w:leftChars="0"/>
        <w:jc w:val="center"/>
        <w:rPr>
          <w:color w:val="auto"/>
          <w:highlight w:val="none"/>
        </w:rPr>
      </w:pPr>
      <w:bookmarkStart w:id="71" w:name="_Toc21027"/>
      <w:bookmarkStart w:id="72" w:name="_Toc21849"/>
      <w:bookmarkStart w:id="73" w:name="_Toc506107121"/>
      <w:bookmarkStart w:id="74" w:name="_Toc22912"/>
      <w:bookmarkStart w:id="75" w:name="_Toc12256"/>
      <w:r>
        <w:rPr>
          <w:rFonts w:hint="eastAsia"/>
          <w:color w:val="auto"/>
          <w:highlight w:val="none"/>
          <w:lang w:val="en-US" w:eastAsia="zh-CN"/>
        </w:rPr>
        <w:t xml:space="preserve">第二章 </w:t>
      </w:r>
      <w:r>
        <w:rPr>
          <w:rFonts w:hint="eastAsia"/>
          <w:color w:val="auto"/>
          <w:highlight w:val="none"/>
        </w:rPr>
        <w:t>付款方式及要求</w:t>
      </w:r>
      <w:bookmarkEnd w:id="71"/>
      <w:bookmarkEnd w:id="72"/>
      <w:bookmarkEnd w:id="73"/>
      <w:bookmarkEnd w:id="74"/>
      <w:bookmarkEnd w:id="75"/>
    </w:p>
    <w:p w14:paraId="157BEEBC">
      <w:pPr>
        <w:keepNext w:val="0"/>
        <w:keepLines w:val="0"/>
        <w:pageBreakBefore w:val="0"/>
        <w:widowControl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一、付款方式：</w:t>
      </w:r>
    </w:p>
    <w:p w14:paraId="1C06FCE1">
      <w:pPr>
        <w:pStyle w:val="25"/>
        <w:keepNext w:val="0"/>
        <w:keepLines w:val="0"/>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1、合同生效以及具备实施条件后7个工作日内支付合同价的20%；</w:t>
      </w:r>
    </w:p>
    <w:p w14:paraId="5745D36B">
      <w:pPr>
        <w:pStyle w:val="25"/>
        <w:keepNext w:val="0"/>
        <w:keepLines w:val="0"/>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2、完成规划设计及相关专题研究初稿后7个工作日内支付合同款的20%；</w:t>
      </w:r>
    </w:p>
    <w:p w14:paraId="0206B61F">
      <w:pPr>
        <w:pStyle w:val="25"/>
        <w:keepNext w:val="0"/>
        <w:keepLines w:val="0"/>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3、规划设计及相关专题研究通过专家评审后支付合同款的20%；</w:t>
      </w:r>
    </w:p>
    <w:p w14:paraId="7D8A9932">
      <w:pPr>
        <w:pStyle w:val="25"/>
        <w:keepNext w:val="0"/>
        <w:keepLines w:val="0"/>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4、方案修改完善提交最终成果并报批完成支付合同款的20%；</w:t>
      </w:r>
    </w:p>
    <w:p w14:paraId="56008E23">
      <w:pPr>
        <w:pStyle w:val="25"/>
        <w:keepNext w:val="0"/>
        <w:keepLines w:val="0"/>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5、完成“十五五”中期调整报告且验收通过后支付剩余合同价款。</w:t>
      </w:r>
    </w:p>
    <w:p w14:paraId="10164C11">
      <w:pPr>
        <w:keepNext w:val="0"/>
        <w:keepLines w:val="0"/>
        <w:pageBreakBefore w:val="0"/>
        <w:widowControl w:val="0"/>
        <w:kinsoku/>
        <w:wordWrap/>
        <w:overflowPunct/>
        <w:topLinePunct w:val="0"/>
        <w:autoSpaceDE/>
        <w:autoSpaceDN/>
        <w:bidi w:val="0"/>
        <w:snapToGrid/>
        <w:spacing w:line="4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二、付款要求：</w:t>
      </w:r>
    </w:p>
    <w:p w14:paraId="1DE1A917">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val="en-US" w:eastAsia="zh-CN"/>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r>
        <w:rPr>
          <w:rFonts w:hint="eastAsia" w:ascii="宋体" w:hAnsi="宋体" w:eastAsia="宋体" w:cs="宋体"/>
          <w:color w:val="auto"/>
          <w:kern w:val="0"/>
          <w:sz w:val="24"/>
          <w:highlight w:val="none"/>
          <w:lang w:eastAsia="zh-CN"/>
        </w:rPr>
        <w:t>。</w:t>
      </w:r>
    </w:p>
    <w:p w14:paraId="7265ED9C">
      <w:pPr>
        <w:spacing w:line="500" w:lineRule="exact"/>
        <w:ind w:firstLine="600" w:firstLineChars="250"/>
        <w:rPr>
          <w:rFonts w:hint="default"/>
          <w:color w:val="auto"/>
          <w:highlight w:val="none"/>
          <w:lang w:val="en-US" w:eastAsia="zh-CN"/>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color w:val="auto"/>
          <w:sz w:val="24"/>
          <w:highlight w:val="none"/>
        </w:rPr>
        <w:br w:type="page"/>
      </w:r>
    </w:p>
    <w:p w14:paraId="6B311648">
      <w:pPr>
        <w:pStyle w:val="3"/>
        <w:jc w:val="center"/>
        <w:rPr>
          <w:rFonts w:cs="Times New Roman"/>
          <w:color w:val="auto"/>
          <w:sz w:val="36"/>
          <w:szCs w:val="36"/>
          <w:highlight w:val="none"/>
        </w:rPr>
      </w:pPr>
      <w:bookmarkStart w:id="76" w:name="_Toc23"/>
      <w:r>
        <w:rPr>
          <w:rFonts w:hint="eastAsia" w:cs="宋体"/>
          <w:color w:val="auto"/>
          <w:sz w:val="36"/>
          <w:szCs w:val="36"/>
          <w:highlight w:val="none"/>
        </w:rPr>
        <w:t>第四部分 磋商原则及磋商方法</w:t>
      </w:r>
      <w:bookmarkEnd w:id="69"/>
      <w:bookmarkEnd w:id="76"/>
    </w:p>
    <w:p w14:paraId="63ED0F43">
      <w:pPr>
        <w:pStyle w:val="4"/>
        <w:numPr>
          <w:ilvl w:val="0"/>
          <w:numId w:val="15"/>
        </w:numPr>
        <w:jc w:val="center"/>
        <w:rPr>
          <w:rFonts w:cs="Times New Roman"/>
          <w:color w:val="auto"/>
          <w:highlight w:val="none"/>
        </w:rPr>
      </w:pPr>
      <w:bookmarkStart w:id="77" w:name="_Toc1265"/>
      <w:r>
        <w:rPr>
          <w:rFonts w:hint="eastAsia"/>
          <w:color w:val="auto"/>
          <w:highlight w:val="none"/>
        </w:rPr>
        <w:t xml:space="preserve"> </w:t>
      </w:r>
      <w:bookmarkStart w:id="78" w:name="_Toc3708"/>
      <w:r>
        <w:rPr>
          <w:rFonts w:hint="eastAsia"/>
          <w:color w:val="auto"/>
          <w:highlight w:val="none"/>
        </w:rPr>
        <w:t>磋商原则</w:t>
      </w:r>
      <w:bookmarkEnd w:id="77"/>
      <w:bookmarkEnd w:id="78"/>
    </w:p>
    <w:p w14:paraId="4B26AFB4">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6C70FE31">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001850A7">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0B9A4575">
      <w:pPr>
        <w:pStyle w:val="13"/>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08F3AB2D">
      <w:pPr>
        <w:pStyle w:val="13"/>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73CCF1E3">
      <w:pPr>
        <w:pStyle w:val="13"/>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59BF5F36">
      <w:pPr>
        <w:pStyle w:val="13"/>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56173774">
      <w:pPr>
        <w:pStyle w:val="57"/>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3BA6E83D">
      <w:pPr>
        <w:pStyle w:val="57"/>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5301683">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74DF6740">
      <w:pPr>
        <w:pStyle w:val="57"/>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41C3DEFC">
      <w:pPr>
        <w:pStyle w:val="57"/>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78B3721D">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0C968B88">
      <w:pPr>
        <w:pStyle w:val="4"/>
        <w:numPr>
          <w:ilvl w:val="0"/>
          <w:numId w:val="15"/>
        </w:numPr>
        <w:jc w:val="center"/>
        <w:rPr>
          <w:rFonts w:cs="Times New Roman"/>
          <w:color w:val="auto"/>
          <w:highlight w:val="none"/>
        </w:rPr>
      </w:pPr>
      <w:r>
        <w:rPr>
          <w:color w:val="auto"/>
          <w:highlight w:val="none"/>
        </w:rPr>
        <w:t xml:space="preserve"> </w:t>
      </w:r>
      <w:bookmarkStart w:id="79" w:name="_Toc10093"/>
      <w:bookmarkStart w:id="80" w:name="_Toc24865"/>
      <w:r>
        <w:rPr>
          <w:rFonts w:hint="eastAsia"/>
          <w:color w:val="auto"/>
          <w:highlight w:val="none"/>
        </w:rPr>
        <w:t>磋商程序</w:t>
      </w:r>
      <w:bookmarkEnd w:id="79"/>
      <w:bookmarkEnd w:id="80"/>
    </w:p>
    <w:p w14:paraId="73E3C41B">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1DF37C0B">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2C3776C9">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6E44F63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25655F73">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14:paraId="3986F723">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29E1A80C">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6F1D8E4F">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49E536D5">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598CDF99">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25D2FD9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49D846E0">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3204C007">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042CFCE5">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2B9A15E4">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85EA33">
      <w:pPr>
        <w:pStyle w:val="57"/>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2CE5CD38">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101FA664">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3561E927">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1FB34BCE">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5EF399FE">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08ADBA1D">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30CEDEE5">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F8112A4">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6BD33575">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779DF9F4">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6B4DD531">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383A98D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5D7EC65C">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6B6897FE">
      <w:pPr>
        <w:pStyle w:val="5"/>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3149769B">
      <w:pPr>
        <w:pStyle w:val="5"/>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14:paraId="1510D81D">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14:paraId="67FD9F7B">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14:paraId="6D347378">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19729377">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195B3DB9">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23D87A99">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5C3483A0">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4B8FA588">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7C0189D3">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057A0198">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14:paraId="3CD59922">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6B402E8E">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0E75B301">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1A6E7A08">
      <w:pPr>
        <w:pStyle w:val="13"/>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07296525">
      <w:pPr>
        <w:pStyle w:val="13"/>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36887FCB">
      <w:pPr>
        <w:pStyle w:val="57"/>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331AB400">
      <w:pPr>
        <w:pStyle w:val="57"/>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6FFAEE22">
      <w:pPr>
        <w:pStyle w:val="57"/>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451B91B8">
      <w:pPr>
        <w:pStyle w:val="57"/>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66A0AC7A">
      <w:pPr>
        <w:pStyle w:val="57"/>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78B7ABF2">
      <w:pPr>
        <w:pStyle w:val="57"/>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w:t>
      </w:r>
      <w:r>
        <w:rPr>
          <w:rFonts w:hint="eastAsia" w:ascii="宋体" w:hAnsi="宋体" w:cs="宋体"/>
          <w:color w:val="auto"/>
          <w:highlight w:val="none"/>
          <w:lang w:val="en-US" w:eastAsia="zh-CN"/>
        </w:rPr>
        <w:t>货物</w:t>
      </w:r>
      <w:r>
        <w:rPr>
          <w:rFonts w:hint="eastAsia" w:ascii="宋体" w:hAnsi="宋体" w:cs="宋体"/>
          <w:color w:val="auto"/>
          <w:highlight w:val="none"/>
          <w:lang w:val="zh-CN"/>
        </w:rPr>
        <w:t>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23F5BC03">
      <w:pPr>
        <w:pStyle w:val="13"/>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5B9D6600">
      <w:pPr>
        <w:pStyle w:val="57"/>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3A56240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1558D434">
      <w:pPr>
        <w:pStyle w:val="4"/>
        <w:numPr>
          <w:ilvl w:val="0"/>
          <w:numId w:val="15"/>
        </w:numPr>
        <w:jc w:val="center"/>
        <w:rPr>
          <w:rFonts w:cs="Times New Roman"/>
          <w:color w:val="auto"/>
          <w:highlight w:val="none"/>
        </w:rPr>
      </w:pPr>
      <w:r>
        <w:rPr>
          <w:color w:val="auto"/>
          <w:highlight w:val="none"/>
        </w:rPr>
        <w:t xml:space="preserve"> </w:t>
      </w:r>
      <w:bookmarkStart w:id="81" w:name="_Toc12816"/>
      <w:bookmarkStart w:id="82" w:name="_Toc12966"/>
      <w:r>
        <w:rPr>
          <w:rFonts w:hint="eastAsia"/>
          <w:color w:val="auto"/>
          <w:highlight w:val="none"/>
        </w:rPr>
        <w:t>注意事项</w:t>
      </w:r>
      <w:bookmarkEnd w:id="81"/>
      <w:bookmarkEnd w:id="82"/>
    </w:p>
    <w:p w14:paraId="01CF2DAD">
      <w:pPr>
        <w:pStyle w:val="5"/>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266E6A76">
      <w:pPr>
        <w:pStyle w:val="4"/>
        <w:numPr>
          <w:ilvl w:val="0"/>
          <w:numId w:val="16"/>
        </w:numPr>
        <w:jc w:val="center"/>
        <w:rPr>
          <w:rFonts w:cs="Times New Roman"/>
          <w:color w:val="auto"/>
          <w:highlight w:val="none"/>
        </w:rPr>
      </w:pPr>
      <w:r>
        <w:rPr>
          <w:color w:val="auto"/>
          <w:highlight w:val="none"/>
        </w:rPr>
        <w:t xml:space="preserve"> </w:t>
      </w:r>
      <w:bookmarkStart w:id="83" w:name="_Toc13782"/>
      <w:bookmarkStart w:id="84" w:name="_Toc22762"/>
      <w:r>
        <w:rPr>
          <w:rFonts w:hint="eastAsia"/>
          <w:color w:val="auto"/>
          <w:highlight w:val="none"/>
        </w:rPr>
        <w:t>评分细则</w:t>
      </w:r>
      <w:bookmarkEnd w:id="83"/>
      <w:bookmarkEnd w:id="84"/>
    </w:p>
    <w:p w14:paraId="309D5C81">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rPr>
        <w:t>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349368A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2D26E6F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1B506098">
      <w:pPr>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捌拾万</w:t>
      </w:r>
      <w:r>
        <w:rPr>
          <w:rFonts w:hint="eastAsia" w:ascii="宋体" w:hAnsi="宋体" w:cs="宋体"/>
          <w:b/>
          <w:bCs/>
          <w:color w:val="auto"/>
          <w:sz w:val="24"/>
          <w:szCs w:val="24"/>
          <w:highlight w:val="none"/>
          <w:u w:val="single"/>
        </w:rPr>
        <w:t xml:space="preserve">元整 </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8000</w:t>
      </w:r>
      <w:r>
        <w:rPr>
          <w:rFonts w:hint="eastAsia" w:ascii="宋体" w:hAnsi="宋体" w:cs="宋体"/>
          <w:b/>
          <w:bCs/>
          <w:color w:val="auto"/>
          <w:sz w:val="24"/>
          <w:szCs w:val="24"/>
          <w:highlight w:val="none"/>
          <w:u w:val="single"/>
        </w:rPr>
        <w:t>00</w:t>
      </w:r>
      <w:r>
        <w:rPr>
          <w:rFonts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w:t>
      </w:r>
    </w:p>
    <w:p w14:paraId="43771B3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4A7E2F6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、本次评标设有最佳报价。最佳报价确定方式：根据所有入围供应商有效报价中的最低报价作为最佳报价。</w:t>
      </w:r>
    </w:p>
    <w:p w14:paraId="3755840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5639342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7E29CF4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63C906B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046DC1AE">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05CF7A8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AD2371">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根据</w:t>
      </w:r>
      <w:r>
        <w:rPr>
          <w:rFonts w:hint="eastAsia" w:ascii="宋体" w:hAnsi="宋体"/>
          <w:color w:val="auto"/>
          <w:sz w:val="24"/>
          <w:szCs w:val="21"/>
          <w:highlight w:val="none"/>
          <w:lang w:val="en-US" w:eastAsia="zh-CN"/>
        </w:rPr>
        <w:t>财政部</w:t>
      </w:r>
      <w:r>
        <w:rPr>
          <w:rFonts w:hint="eastAsia" w:ascii="宋体" w:hAnsi="宋体"/>
          <w:color w:val="auto"/>
          <w:sz w:val="24"/>
          <w:szCs w:val="21"/>
          <w:highlight w:val="none"/>
        </w:rPr>
        <w:t>的《关于进一步加大政府采购支持中小企业力度的通知》（</w:t>
      </w:r>
      <w:r>
        <w:rPr>
          <w:rFonts w:hint="eastAsia" w:ascii="宋体" w:hAnsi="宋体"/>
          <w:color w:val="auto"/>
          <w:sz w:val="24"/>
          <w:szCs w:val="21"/>
          <w:highlight w:val="none"/>
          <w:lang w:val="en-US" w:eastAsia="zh-CN"/>
        </w:rPr>
        <w:t>财库</w:t>
      </w:r>
      <w:r>
        <w:rPr>
          <w:rFonts w:hint="eastAsia" w:ascii="宋体" w:hAnsi="宋体"/>
          <w:color w:val="auto"/>
          <w:sz w:val="24"/>
          <w:szCs w:val="21"/>
          <w:highlight w:val="none"/>
        </w:rPr>
        <w:t>〔2022〕</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给予扣除，用扣除后的价格参加评审。（中标价及合同价仍以其投标报价为准）</w:t>
      </w:r>
    </w:p>
    <w:p w14:paraId="4302F502">
      <w:pPr>
        <w:spacing w:line="360" w:lineRule="auto"/>
        <w:ind w:firstLine="480" w:firstLineChars="200"/>
        <w:rPr>
          <w:rFonts w:ascii="宋体"/>
          <w:color w:val="auto"/>
          <w:sz w:val="24"/>
          <w:szCs w:val="24"/>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auto"/>
          <w:sz w:val="24"/>
          <w:szCs w:val="24"/>
          <w:highlight w:val="none"/>
        </w:rPr>
        <w:t>。</w:t>
      </w:r>
    </w:p>
    <w:p w14:paraId="07C10770">
      <w:pPr>
        <w:numPr>
          <w:ilvl w:val="0"/>
          <w:numId w:val="17"/>
        </w:num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8</w:t>
      </w:r>
      <w:r>
        <w:rPr>
          <w:rFonts w:hint="eastAsia" w:ascii="宋体" w:hAnsi="宋体" w:cs="宋体"/>
          <w:b/>
          <w:bCs/>
          <w:color w:val="auto"/>
          <w:sz w:val="24"/>
          <w:szCs w:val="24"/>
          <w:highlight w:val="none"/>
          <w:u w:val="single"/>
        </w:rPr>
        <w:t>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0F403D58">
      <w:pPr>
        <w:numPr>
          <w:ilvl w:val="0"/>
          <w:numId w:val="0"/>
        </w:numPr>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1、评分细则</w:t>
      </w:r>
    </w:p>
    <w:tbl>
      <w:tblPr>
        <w:tblStyle w:val="26"/>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89"/>
        <w:gridCol w:w="5875"/>
        <w:gridCol w:w="888"/>
      </w:tblGrid>
      <w:tr w14:paraId="6FF3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gridSpan w:val="2"/>
            <w:tcBorders>
              <w:top w:val="single" w:color="auto" w:sz="4" w:space="0"/>
              <w:left w:val="single" w:color="auto" w:sz="4" w:space="0"/>
              <w:bottom w:val="single" w:color="auto" w:sz="4" w:space="0"/>
              <w:right w:val="single" w:color="auto" w:sz="4" w:space="0"/>
            </w:tcBorders>
            <w:noWrap w:val="0"/>
            <w:vAlign w:val="center"/>
          </w:tcPr>
          <w:p w14:paraId="51DE8F76">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评分项目</w:t>
            </w:r>
          </w:p>
        </w:tc>
        <w:tc>
          <w:tcPr>
            <w:tcW w:w="5875" w:type="dxa"/>
            <w:tcBorders>
              <w:top w:val="single" w:color="auto" w:sz="4" w:space="0"/>
              <w:left w:val="single" w:color="auto" w:sz="4" w:space="0"/>
              <w:bottom w:val="single" w:color="auto" w:sz="4" w:space="0"/>
              <w:right w:val="single" w:color="auto" w:sz="4" w:space="0"/>
            </w:tcBorders>
            <w:noWrap w:val="0"/>
            <w:vAlign w:val="center"/>
          </w:tcPr>
          <w:p w14:paraId="18B35273">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评标要点及说明</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EC945DA">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分值</w:t>
            </w:r>
          </w:p>
        </w:tc>
      </w:tr>
      <w:tr w14:paraId="60A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restart"/>
            <w:tcBorders>
              <w:left w:val="single" w:color="auto" w:sz="4" w:space="0"/>
              <w:right w:val="single" w:color="auto" w:sz="4" w:space="0"/>
            </w:tcBorders>
            <w:noWrap w:val="0"/>
            <w:vAlign w:val="center"/>
          </w:tcPr>
          <w:p w14:paraId="07F0821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w:t>
            </w:r>
          </w:p>
        </w:tc>
        <w:tc>
          <w:tcPr>
            <w:tcW w:w="1389" w:type="dxa"/>
            <w:tcBorders>
              <w:left w:val="single" w:color="auto" w:sz="4" w:space="0"/>
              <w:right w:val="single" w:color="auto" w:sz="4" w:space="0"/>
            </w:tcBorders>
            <w:noWrap w:val="0"/>
            <w:vAlign w:val="center"/>
          </w:tcPr>
          <w:p w14:paraId="0270CE34">
            <w:pPr>
              <w:spacing w:line="360" w:lineRule="auto"/>
              <w:jc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项目理解</w:t>
            </w:r>
          </w:p>
        </w:tc>
        <w:tc>
          <w:tcPr>
            <w:tcW w:w="5875" w:type="dxa"/>
            <w:tcBorders>
              <w:top w:val="single" w:color="auto" w:sz="4" w:space="0"/>
              <w:left w:val="single" w:color="auto" w:sz="4" w:space="0"/>
              <w:bottom w:val="single" w:color="auto" w:sz="4" w:space="0"/>
              <w:right w:val="single" w:color="auto" w:sz="4" w:space="0"/>
            </w:tcBorders>
            <w:noWrap w:val="0"/>
            <w:vAlign w:val="center"/>
          </w:tcPr>
          <w:p w14:paraId="41287581">
            <w:pPr>
              <w:spacing w:line="360" w:lineRule="auto"/>
              <w:ind w:firstLine="480" w:firstLineChars="200"/>
              <w:jc w:val="left"/>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评委根据供应商对本次规划背景的理解程度、对综合运输体系规划理论与方法的认识程度进行打分。</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87069BB">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r>
      <w:tr w14:paraId="763E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noWrap w:val="0"/>
            <w:vAlign w:val="center"/>
          </w:tcPr>
          <w:p w14:paraId="7A3BA082">
            <w:pPr>
              <w:spacing w:line="360" w:lineRule="auto"/>
              <w:jc w:val="center"/>
              <w:rPr>
                <w:rFonts w:hint="eastAsia" w:ascii="宋体" w:hAnsi="宋体" w:cs="宋体"/>
                <w:color w:val="auto"/>
                <w:sz w:val="24"/>
                <w:highlight w:val="none"/>
              </w:rPr>
            </w:pPr>
          </w:p>
        </w:tc>
        <w:tc>
          <w:tcPr>
            <w:tcW w:w="1389" w:type="dxa"/>
            <w:tcBorders>
              <w:left w:val="single" w:color="auto" w:sz="4" w:space="0"/>
              <w:right w:val="single" w:color="auto" w:sz="4" w:space="0"/>
            </w:tcBorders>
            <w:noWrap w:val="0"/>
            <w:vAlign w:val="center"/>
          </w:tcPr>
          <w:p w14:paraId="1F47FC5A">
            <w:pPr>
              <w:spacing w:line="360" w:lineRule="auto"/>
              <w:jc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研究基础</w:t>
            </w:r>
          </w:p>
        </w:tc>
        <w:tc>
          <w:tcPr>
            <w:tcW w:w="5875" w:type="dxa"/>
            <w:tcBorders>
              <w:top w:val="single" w:color="auto" w:sz="4" w:space="0"/>
              <w:left w:val="single" w:color="auto" w:sz="4" w:space="0"/>
              <w:bottom w:val="single" w:color="auto" w:sz="4" w:space="0"/>
              <w:right w:val="single" w:color="auto" w:sz="4" w:space="0"/>
            </w:tcBorders>
            <w:noWrap w:val="0"/>
            <w:vAlign w:val="center"/>
          </w:tcPr>
          <w:p w14:paraId="6007AB34">
            <w:pPr>
              <w:spacing w:line="360" w:lineRule="auto"/>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评委根据供应商提供的项目研究基础，包括上虞区“十四五”时期主要成绩和“十四五”时期存在的问题等进行综合打分。</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3BF8F72D">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006D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noWrap w:val="0"/>
            <w:vAlign w:val="center"/>
          </w:tcPr>
          <w:p w14:paraId="33DECE8A">
            <w:pPr>
              <w:spacing w:line="360" w:lineRule="auto"/>
              <w:jc w:val="center"/>
              <w:rPr>
                <w:rFonts w:hint="eastAsia" w:ascii="宋体" w:hAnsi="宋体" w:cs="宋体"/>
                <w:color w:val="auto"/>
                <w:sz w:val="24"/>
                <w:highlight w:val="none"/>
              </w:rPr>
            </w:pPr>
          </w:p>
        </w:tc>
        <w:tc>
          <w:tcPr>
            <w:tcW w:w="1389" w:type="dxa"/>
            <w:vMerge w:val="restart"/>
            <w:tcBorders>
              <w:left w:val="single" w:color="auto" w:sz="4" w:space="0"/>
              <w:right w:val="single" w:color="auto" w:sz="4" w:space="0"/>
            </w:tcBorders>
            <w:noWrap w:val="0"/>
            <w:vAlign w:val="center"/>
          </w:tcPr>
          <w:p w14:paraId="0F3FE3E0">
            <w:pPr>
              <w:spacing w:line="360" w:lineRule="auto"/>
              <w:jc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实施方案</w:t>
            </w:r>
          </w:p>
        </w:tc>
        <w:tc>
          <w:tcPr>
            <w:tcW w:w="5875" w:type="dxa"/>
            <w:tcBorders>
              <w:top w:val="single" w:color="auto" w:sz="4" w:space="0"/>
              <w:left w:val="single" w:color="auto" w:sz="4" w:space="0"/>
              <w:bottom w:val="single" w:color="auto" w:sz="4" w:space="0"/>
              <w:right w:val="single" w:color="auto" w:sz="4" w:space="0"/>
            </w:tcBorders>
            <w:noWrap w:val="0"/>
            <w:vAlign w:val="center"/>
          </w:tcPr>
          <w:p w14:paraId="7369F413">
            <w:pPr>
              <w:spacing w:line="360" w:lineRule="auto"/>
              <w:ind w:firstLine="480" w:firstLineChars="200"/>
              <w:jc w:val="left"/>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评委根据供应商提出的综合运输（包含铁路、公路、快速路、水运、低空经济和运输服务）需求分析的全面性、是否能够较好地结合经济社会发展趋势进行打分。</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7BC17524">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6551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noWrap w:val="0"/>
            <w:vAlign w:val="center"/>
          </w:tcPr>
          <w:p w14:paraId="1ECCC492">
            <w:pPr>
              <w:spacing w:line="360" w:lineRule="auto"/>
              <w:jc w:val="center"/>
              <w:rPr>
                <w:rFonts w:ascii="宋体" w:hAnsi="宋体" w:cs="宋体"/>
                <w:color w:val="FF0000"/>
                <w:sz w:val="24"/>
                <w:highlight w:val="none"/>
              </w:rPr>
            </w:pPr>
          </w:p>
        </w:tc>
        <w:tc>
          <w:tcPr>
            <w:tcW w:w="1389" w:type="dxa"/>
            <w:vMerge w:val="continue"/>
            <w:tcBorders>
              <w:left w:val="single" w:color="auto" w:sz="4" w:space="0"/>
              <w:right w:val="single" w:color="auto" w:sz="4" w:space="0"/>
            </w:tcBorders>
            <w:noWrap w:val="0"/>
            <w:vAlign w:val="center"/>
          </w:tcPr>
          <w:p w14:paraId="1E26F891">
            <w:pPr>
              <w:snapToGrid w:val="0"/>
              <w:spacing w:line="360" w:lineRule="auto"/>
              <w:jc w:val="center"/>
              <w:rPr>
                <w:rFonts w:ascii="宋体" w:hAnsi="宋体"/>
                <w:color w:val="FF0000"/>
                <w:sz w:val="24"/>
                <w:highlight w:val="none"/>
              </w:rPr>
            </w:pPr>
          </w:p>
        </w:tc>
        <w:tc>
          <w:tcPr>
            <w:tcW w:w="5875" w:type="dxa"/>
            <w:tcBorders>
              <w:top w:val="single" w:color="auto" w:sz="4" w:space="0"/>
              <w:left w:val="single" w:color="auto" w:sz="4" w:space="0"/>
              <w:right w:val="single" w:color="auto" w:sz="4" w:space="0"/>
            </w:tcBorders>
            <w:noWrap w:val="0"/>
            <w:vAlign w:val="center"/>
          </w:tcPr>
          <w:p w14:paraId="4E3F3324">
            <w:pPr>
              <w:spacing w:line="360" w:lineRule="auto"/>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评委根据供应商从提高综合运输服务水平、促进社会经济发展的角度出发，科学制定综合运输体系发展战略的全面性，本地经济地理特征的综合运输体系架构的契合度进行打分。</w:t>
            </w:r>
          </w:p>
        </w:tc>
        <w:tc>
          <w:tcPr>
            <w:tcW w:w="888" w:type="dxa"/>
            <w:tcBorders>
              <w:top w:val="single" w:color="auto" w:sz="4" w:space="0"/>
              <w:left w:val="single" w:color="auto" w:sz="4" w:space="0"/>
              <w:right w:val="single" w:color="auto" w:sz="4" w:space="0"/>
            </w:tcBorders>
            <w:noWrap w:val="0"/>
            <w:vAlign w:val="center"/>
          </w:tcPr>
          <w:p w14:paraId="29E1F811">
            <w:pPr>
              <w:spacing w:line="360" w:lineRule="auto"/>
              <w:jc w:val="center"/>
              <w:rPr>
                <w:rFonts w:hint="default" w:ascii="宋体" w:hAnsi="宋体" w:eastAsia="宋体" w:cs="宋体"/>
                <w:color w:val="auto"/>
                <w:kern w:val="0"/>
                <w:sz w:val="24"/>
                <w:szCs w:val="21"/>
                <w:highlight w:val="none"/>
                <w:lang w:val="en-US" w:eastAsia="zh-CN" w:bidi="ar"/>
              </w:rPr>
            </w:pPr>
            <w:r>
              <w:rPr>
                <w:rFonts w:hint="eastAsia" w:ascii="宋体" w:hAnsi="宋体" w:cs="宋体"/>
                <w:color w:val="auto"/>
                <w:kern w:val="0"/>
                <w:sz w:val="24"/>
                <w:szCs w:val="21"/>
                <w:highlight w:val="none"/>
                <w:lang w:val="en-US" w:eastAsia="zh-CN" w:bidi="ar"/>
              </w:rPr>
              <w:t>5</w:t>
            </w:r>
          </w:p>
        </w:tc>
      </w:tr>
      <w:tr w14:paraId="7EC2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noWrap w:val="0"/>
            <w:vAlign w:val="center"/>
          </w:tcPr>
          <w:p w14:paraId="54E46B2A">
            <w:pPr>
              <w:spacing w:line="360" w:lineRule="auto"/>
              <w:jc w:val="center"/>
              <w:rPr>
                <w:rFonts w:ascii="宋体" w:hAnsi="宋体" w:cs="宋体"/>
                <w:color w:val="FF0000"/>
                <w:sz w:val="24"/>
                <w:highlight w:val="none"/>
              </w:rPr>
            </w:pPr>
          </w:p>
        </w:tc>
        <w:tc>
          <w:tcPr>
            <w:tcW w:w="1389" w:type="dxa"/>
            <w:vMerge w:val="continue"/>
            <w:tcBorders>
              <w:left w:val="single" w:color="auto" w:sz="4" w:space="0"/>
              <w:right w:val="single" w:color="auto" w:sz="4" w:space="0"/>
            </w:tcBorders>
            <w:noWrap w:val="0"/>
            <w:vAlign w:val="center"/>
          </w:tcPr>
          <w:p w14:paraId="13505E12">
            <w:pPr>
              <w:snapToGrid w:val="0"/>
              <w:spacing w:line="360" w:lineRule="auto"/>
              <w:jc w:val="center"/>
              <w:rPr>
                <w:rFonts w:ascii="宋体" w:hAnsi="宋体"/>
                <w:color w:val="FF0000"/>
                <w:sz w:val="24"/>
                <w:highlight w:val="none"/>
              </w:rPr>
            </w:pPr>
          </w:p>
        </w:tc>
        <w:tc>
          <w:tcPr>
            <w:tcW w:w="5875" w:type="dxa"/>
            <w:tcBorders>
              <w:top w:val="single" w:color="auto" w:sz="4" w:space="0"/>
              <w:left w:val="single" w:color="auto" w:sz="4" w:space="0"/>
              <w:right w:val="single" w:color="auto" w:sz="4" w:space="0"/>
            </w:tcBorders>
            <w:noWrap w:val="0"/>
            <w:vAlign w:val="center"/>
          </w:tcPr>
          <w:p w14:paraId="6FB0D066">
            <w:pPr>
              <w:spacing w:line="360" w:lineRule="auto"/>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评委根据供应商从网络布局整合、方式结构优化、综合运输枢纽构建、加强区域协调角度</w:t>
            </w:r>
            <w:r>
              <w:rPr>
                <w:rFonts w:hint="eastAsia" w:ascii="宋体" w:hAnsi="宋体" w:cs="宋体"/>
                <w:color w:val="auto"/>
                <w:kern w:val="0"/>
                <w:sz w:val="24"/>
                <w:highlight w:val="none"/>
                <w:lang w:val="en-US" w:eastAsia="zh-CN" w:bidi="ar"/>
              </w:rPr>
              <w:t>出发</w:t>
            </w:r>
            <w:r>
              <w:rPr>
                <w:rFonts w:hint="eastAsia" w:ascii="宋体" w:hAnsi="宋体" w:eastAsia="宋体" w:cs="宋体"/>
                <w:color w:val="auto"/>
                <w:kern w:val="0"/>
                <w:sz w:val="24"/>
                <w:highlight w:val="none"/>
                <w:lang w:val="en-US" w:eastAsia="zh-CN" w:bidi="ar"/>
              </w:rPr>
              <w:t>，提出综合运输规划布局的整合协调和衔接规划的科学性、先进性进行打分。</w:t>
            </w:r>
          </w:p>
        </w:tc>
        <w:tc>
          <w:tcPr>
            <w:tcW w:w="888" w:type="dxa"/>
            <w:tcBorders>
              <w:top w:val="single" w:color="auto" w:sz="4" w:space="0"/>
              <w:left w:val="single" w:color="auto" w:sz="4" w:space="0"/>
              <w:right w:val="single" w:color="auto" w:sz="4" w:space="0"/>
            </w:tcBorders>
            <w:noWrap w:val="0"/>
            <w:vAlign w:val="center"/>
          </w:tcPr>
          <w:p w14:paraId="2CAAE8F0">
            <w:pPr>
              <w:spacing w:line="360" w:lineRule="auto"/>
              <w:jc w:val="center"/>
              <w:rPr>
                <w:rFonts w:hint="default" w:ascii="宋体" w:hAnsi="宋体" w:eastAsia="宋体" w:cs="宋体"/>
                <w:color w:val="auto"/>
                <w:kern w:val="0"/>
                <w:sz w:val="24"/>
                <w:szCs w:val="21"/>
                <w:highlight w:val="none"/>
                <w:lang w:val="en-US" w:eastAsia="zh-CN" w:bidi="ar"/>
              </w:rPr>
            </w:pPr>
            <w:r>
              <w:rPr>
                <w:rFonts w:hint="eastAsia" w:ascii="宋体" w:hAnsi="宋体" w:cs="宋体"/>
                <w:color w:val="auto"/>
                <w:kern w:val="0"/>
                <w:sz w:val="24"/>
                <w:szCs w:val="21"/>
                <w:highlight w:val="none"/>
                <w:lang w:val="en-US" w:eastAsia="zh-CN" w:bidi="ar"/>
              </w:rPr>
              <w:t>5</w:t>
            </w:r>
          </w:p>
        </w:tc>
      </w:tr>
      <w:tr w14:paraId="786E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noWrap w:val="0"/>
            <w:vAlign w:val="center"/>
          </w:tcPr>
          <w:p w14:paraId="08FB2BD0">
            <w:pPr>
              <w:spacing w:line="360" w:lineRule="auto"/>
              <w:jc w:val="center"/>
              <w:rPr>
                <w:rFonts w:ascii="宋体" w:hAnsi="宋体" w:cs="宋体"/>
                <w:color w:val="FF0000"/>
                <w:sz w:val="24"/>
                <w:highlight w:val="none"/>
              </w:rPr>
            </w:pPr>
          </w:p>
        </w:tc>
        <w:tc>
          <w:tcPr>
            <w:tcW w:w="1389" w:type="dxa"/>
            <w:vMerge w:val="continue"/>
            <w:tcBorders>
              <w:left w:val="single" w:color="auto" w:sz="4" w:space="0"/>
              <w:right w:val="single" w:color="auto" w:sz="4" w:space="0"/>
            </w:tcBorders>
            <w:noWrap w:val="0"/>
            <w:vAlign w:val="center"/>
          </w:tcPr>
          <w:p w14:paraId="522077D4">
            <w:pPr>
              <w:snapToGrid w:val="0"/>
              <w:spacing w:line="360" w:lineRule="auto"/>
              <w:jc w:val="center"/>
              <w:rPr>
                <w:rFonts w:ascii="宋体" w:hAnsi="宋体"/>
                <w:color w:val="FF0000"/>
                <w:sz w:val="24"/>
                <w:highlight w:val="none"/>
              </w:rPr>
            </w:pPr>
          </w:p>
        </w:tc>
        <w:tc>
          <w:tcPr>
            <w:tcW w:w="5875" w:type="dxa"/>
            <w:tcBorders>
              <w:top w:val="single" w:color="auto" w:sz="4" w:space="0"/>
              <w:left w:val="single" w:color="auto" w:sz="4" w:space="0"/>
              <w:right w:val="single" w:color="auto" w:sz="4" w:space="0"/>
            </w:tcBorders>
            <w:noWrap w:val="0"/>
            <w:vAlign w:val="center"/>
          </w:tcPr>
          <w:p w14:paraId="26EFFA20">
            <w:pPr>
              <w:spacing w:line="360" w:lineRule="auto"/>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评委根据供应商对项目中上虞区运输发展规划思路的合理性、可操作性进行打分。</w:t>
            </w:r>
          </w:p>
        </w:tc>
        <w:tc>
          <w:tcPr>
            <w:tcW w:w="888" w:type="dxa"/>
            <w:tcBorders>
              <w:top w:val="single" w:color="auto" w:sz="4" w:space="0"/>
              <w:left w:val="single" w:color="auto" w:sz="4" w:space="0"/>
              <w:right w:val="single" w:color="auto" w:sz="4" w:space="0"/>
            </w:tcBorders>
            <w:noWrap w:val="0"/>
            <w:vAlign w:val="center"/>
          </w:tcPr>
          <w:p w14:paraId="23D1216D">
            <w:pPr>
              <w:spacing w:line="360" w:lineRule="auto"/>
              <w:jc w:val="center"/>
              <w:rPr>
                <w:rFonts w:hint="default" w:ascii="宋体" w:hAnsi="宋体" w:eastAsia="宋体" w:cs="宋体"/>
                <w:color w:val="auto"/>
                <w:kern w:val="0"/>
                <w:sz w:val="24"/>
                <w:szCs w:val="21"/>
                <w:highlight w:val="none"/>
                <w:lang w:val="en-US" w:eastAsia="zh-CN" w:bidi="ar"/>
              </w:rPr>
            </w:pPr>
            <w:r>
              <w:rPr>
                <w:rFonts w:hint="eastAsia" w:ascii="宋体" w:hAnsi="宋体" w:cs="宋体"/>
                <w:color w:val="auto"/>
                <w:kern w:val="0"/>
                <w:sz w:val="24"/>
                <w:szCs w:val="21"/>
                <w:highlight w:val="none"/>
                <w:lang w:val="en-US" w:eastAsia="zh-CN" w:bidi="ar"/>
              </w:rPr>
              <w:t>5</w:t>
            </w:r>
          </w:p>
        </w:tc>
      </w:tr>
      <w:tr w14:paraId="41C9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noWrap w:val="0"/>
            <w:vAlign w:val="center"/>
          </w:tcPr>
          <w:p w14:paraId="52CA383A">
            <w:pPr>
              <w:spacing w:line="360" w:lineRule="auto"/>
              <w:jc w:val="center"/>
              <w:rPr>
                <w:rFonts w:ascii="宋体" w:hAnsi="宋体" w:cs="宋体"/>
                <w:color w:val="FF0000"/>
                <w:sz w:val="24"/>
                <w:highlight w:val="none"/>
              </w:rPr>
            </w:pPr>
          </w:p>
        </w:tc>
        <w:tc>
          <w:tcPr>
            <w:tcW w:w="1389" w:type="dxa"/>
            <w:vMerge w:val="continue"/>
            <w:tcBorders>
              <w:left w:val="single" w:color="auto" w:sz="4" w:space="0"/>
              <w:right w:val="single" w:color="auto" w:sz="4" w:space="0"/>
            </w:tcBorders>
            <w:noWrap w:val="0"/>
            <w:vAlign w:val="center"/>
          </w:tcPr>
          <w:p w14:paraId="383ED9BD">
            <w:pPr>
              <w:snapToGrid w:val="0"/>
              <w:spacing w:line="360" w:lineRule="auto"/>
              <w:jc w:val="center"/>
              <w:rPr>
                <w:rFonts w:ascii="宋体" w:hAnsi="宋体"/>
                <w:color w:val="FF0000"/>
                <w:sz w:val="24"/>
                <w:highlight w:val="none"/>
              </w:rPr>
            </w:pPr>
          </w:p>
        </w:tc>
        <w:tc>
          <w:tcPr>
            <w:tcW w:w="5875" w:type="dxa"/>
            <w:tcBorders>
              <w:top w:val="single" w:color="auto" w:sz="4" w:space="0"/>
              <w:left w:val="single" w:color="auto" w:sz="4" w:space="0"/>
              <w:right w:val="single" w:color="auto" w:sz="4" w:space="0"/>
            </w:tcBorders>
            <w:noWrap w:val="0"/>
            <w:vAlign w:val="center"/>
          </w:tcPr>
          <w:p w14:paraId="25B68D0C">
            <w:pPr>
              <w:spacing w:line="360" w:lineRule="auto"/>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评委根据供应商对项目中建设现代化交通基础设施体系研究的合理性、科学性进行打分。</w:t>
            </w:r>
          </w:p>
        </w:tc>
        <w:tc>
          <w:tcPr>
            <w:tcW w:w="888" w:type="dxa"/>
            <w:tcBorders>
              <w:top w:val="single" w:color="auto" w:sz="4" w:space="0"/>
              <w:left w:val="single" w:color="auto" w:sz="4" w:space="0"/>
              <w:right w:val="single" w:color="auto" w:sz="4" w:space="0"/>
            </w:tcBorders>
            <w:noWrap w:val="0"/>
            <w:vAlign w:val="center"/>
          </w:tcPr>
          <w:p w14:paraId="35928DD5">
            <w:pPr>
              <w:spacing w:line="360" w:lineRule="auto"/>
              <w:jc w:val="center"/>
              <w:rPr>
                <w:rFonts w:hint="default" w:ascii="宋体" w:hAnsi="宋体" w:eastAsia="宋体" w:cs="宋体"/>
                <w:color w:val="auto"/>
                <w:kern w:val="0"/>
                <w:sz w:val="24"/>
                <w:szCs w:val="21"/>
                <w:highlight w:val="none"/>
                <w:lang w:val="en-US" w:eastAsia="zh-CN" w:bidi="ar"/>
              </w:rPr>
            </w:pPr>
            <w:r>
              <w:rPr>
                <w:rFonts w:hint="eastAsia" w:ascii="宋体" w:hAnsi="宋体" w:cs="宋体"/>
                <w:color w:val="auto"/>
                <w:kern w:val="0"/>
                <w:sz w:val="24"/>
                <w:szCs w:val="21"/>
                <w:highlight w:val="none"/>
                <w:lang w:val="en-US" w:eastAsia="zh-CN" w:bidi="ar"/>
              </w:rPr>
              <w:t>5</w:t>
            </w:r>
          </w:p>
        </w:tc>
      </w:tr>
      <w:tr w14:paraId="2D35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tcBorders>
              <w:left w:val="single" w:color="auto" w:sz="4" w:space="0"/>
              <w:right w:val="single" w:color="auto" w:sz="4" w:space="0"/>
            </w:tcBorders>
            <w:noWrap w:val="0"/>
            <w:vAlign w:val="center"/>
          </w:tcPr>
          <w:p w14:paraId="2D479F0B">
            <w:pPr>
              <w:spacing w:line="360" w:lineRule="auto"/>
              <w:jc w:val="center"/>
              <w:rPr>
                <w:rFonts w:ascii="宋体" w:hAnsi="宋体" w:cs="宋体"/>
                <w:color w:val="FF0000"/>
                <w:sz w:val="24"/>
                <w:highlight w:val="none"/>
              </w:rPr>
            </w:pPr>
          </w:p>
        </w:tc>
        <w:tc>
          <w:tcPr>
            <w:tcW w:w="1389" w:type="dxa"/>
            <w:vMerge w:val="restart"/>
            <w:tcBorders>
              <w:left w:val="single" w:color="auto" w:sz="4" w:space="0"/>
              <w:right w:val="single" w:color="auto" w:sz="4" w:space="0"/>
            </w:tcBorders>
            <w:noWrap w:val="0"/>
            <w:vAlign w:val="center"/>
          </w:tcPr>
          <w:p w14:paraId="448EF301">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人员投入</w:t>
            </w:r>
          </w:p>
        </w:tc>
        <w:tc>
          <w:tcPr>
            <w:tcW w:w="5875" w:type="dxa"/>
            <w:tcBorders>
              <w:top w:val="single" w:color="auto" w:sz="4" w:space="0"/>
              <w:left w:val="single" w:color="auto" w:sz="4" w:space="0"/>
              <w:right w:val="single" w:color="auto" w:sz="4" w:space="0"/>
            </w:tcBorders>
            <w:noWrap w:val="0"/>
            <w:vAlign w:val="center"/>
          </w:tcPr>
          <w:p w14:paraId="584DE553">
            <w:pPr>
              <w:spacing w:line="360" w:lineRule="auto"/>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评委根据供应商投入本项目的团队人员配置（除项目负责人外）的合理性、全面性、科学性进行打分。</w:t>
            </w:r>
          </w:p>
        </w:tc>
        <w:tc>
          <w:tcPr>
            <w:tcW w:w="888" w:type="dxa"/>
            <w:tcBorders>
              <w:top w:val="single" w:color="auto" w:sz="4" w:space="0"/>
              <w:left w:val="single" w:color="auto" w:sz="4" w:space="0"/>
              <w:right w:val="single" w:color="auto" w:sz="4" w:space="0"/>
            </w:tcBorders>
            <w:noWrap w:val="0"/>
            <w:vAlign w:val="center"/>
          </w:tcPr>
          <w:p w14:paraId="1CE1E7BD">
            <w:pPr>
              <w:spacing w:line="360" w:lineRule="auto"/>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67BF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tcBorders>
              <w:left w:val="single" w:color="auto" w:sz="4" w:space="0"/>
              <w:right w:val="single" w:color="auto" w:sz="4" w:space="0"/>
            </w:tcBorders>
            <w:noWrap w:val="0"/>
            <w:vAlign w:val="center"/>
          </w:tcPr>
          <w:p w14:paraId="61B4691D">
            <w:pPr>
              <w:spacing w:line="360" w:lineRule="auto"/>
              <w:jc w:val="center"/>
              <w:rPr>
                <w:rFonts w:ascii="宋体" w:hAnsi="宋体" w:cs="宋体"/>
                <w:color w:val="FF0000"/>
                <w:sz w:val="24"/>
                <w:highlight w:val="none"/>
              </w:rPr>
            </w:pPr>
          </w:p>
        </w:tc>
        <w:tc>
          <w:tcPr>
            <w:tcW w:w="1389" w:type="dxa"/>
            <w:vMerge w:val="continue"/>
            <w:tcBorders>
              <w:left w:val="single" w:color="auto" w:sz="4" w:space="0"/>
              <w:right w:val="single" w:color="auto" w:sz="4" w:space="0"/>
            </w:tcBorders>
            <w:noWrap w:val="0"/>
            <w:vAlign w:val="center"/>
          </w:tcPr>
          <w:p w14:paraId="0934727D">
            <w:pPr>
              <w:spacing w:line="360" w:lineRule="auto"/>
              <w:jc w:val="center"/>
              <w:rPr>
                <w:rFonts w:hint="eastAsia" w:ascii="宋体" w:hAnsi="宋体"/>
                <w:color w:val="auto"/>
                <w:sz w:val="24"/>
                <w:highlight w:val="none"/>
              </w:rPr>
            </w:pPr>
          </w:p>
        </w:tc>
        <w:tc>
          <w:tcPr>
            <w:tcW w:w="5875" w:type="dxa"/>
            <w:tcBorders>
              <w:top w:val="single" w:color="auto" w:sz="4" w:space="0"/>
              <w:left w:val="single" w:color="auto" w:sz="4" w:space="0"/>
              <w:right w:val="single" w:color="auto" w:sz="4" w:space="0"/>
            </w:tcBorders>
            <w:noWrap w:val="0"/>
            <w:vAlign w:val="center"/>
          </w:tcPr>
          <w:p w14:paraId="6E0C43D3">
            <w:pPr>
              <w:spacing w:line="360" w:lineRule="auto"/>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评委根据供应商投入本项目的项目负责人的技术能力（与项目相关类别的证书）、职称、同类课题经验等进行综合打分。</w:t>
            </w:r>
          </w:p>
        </w:tc>
        <w:tc>
          <w:tcPr>
            <w:tcW w:w="888" w:type="dxa"/>
            <w:tcBorders>
              <w:top w:val="single" w:color="auto" w:sz="4" w:space="0"/>
              <w:left w:val="single" w:color="auto" w:sz="4" w:space="0"/>
              <w:right w:val="single" w:color="auto" w:sz="4" w:space="0"/>
            </w:tcBorders>
            <w:noWrap w:val="0"/>
            <w:vAlign w:val="center"/>
          </w:tcPr>
          <w:p w14:paraId="23D03869">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7CDC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tcBorders>
              <w:left w:val="single" w:color="auto" w:sz="4" w:space="0"/>
              <w:right w:val="single" w:color="auto" w:sz="4" w:space="0"/>
            </w:tcBorders>
            <w:noWrap w:val="0"/>
            <w:vAlign w:val="center"/>
          </w:tcPr>
          <w:p w14:paraId="675ED255">
            <w:pPr>
              <w:spacing w:line="360" w:lineRule="auto"/>
              <w:jc w:val="center"/>
              <w:rPr>
                <w:rFonts w:ascii="宋体" w:hAnsi="宋体" w:cs="宋体"/>
                <w:color w:val="FF0000"/>
                <w:sz w:val="24"/>
                <w:highlight w:val="none"/>
              </w:rPr>
            </w:pPr>
          </w:p>
        </w:tc>
        <w:tc>
          <w:tcPr>
            <w:tcW w:w="1389" w:type="dxa"/>
            <w:vMerge w:val="restart"/>
            <w:tcBorders>
              <w:left w:val="single" w:color="auto" w:sz="4" w:space="0"/>
              <w:right w:val="single" w:color="auto" w:sz="4" w:space="0"/>
            </w:tcBorders>
            <w:noWrap w:val="0"/>
            <w:vAlign w:val="center"/>
          </w:tcPr>
          <w:p w14:paraId="3796682C">
            <w:pPr>
              <w:spacing w:line="360" w:lineRule="auto"/>
              <w:jc w:val="center"/>
              <w:rPr>
                <w:rFonts w:hint="eastAsia" w:ascii="宋体" w:hAnsi="宋体"/>
                <w:color w:val="auto"/>
                <w:sz w:val="24"/>
                <w:highlight w:val="none"/>
              </w:rPr>
            </w:pPr>
            <w:r>
              <w:rPr>
                <w:rFonts w:hint="eastAsia" w:ascii="宋体" w:hAnsi="宋体"/>
                <w:color w:val="auto"/>
                <w:sz w:val="24"/>
                <w:highlight w:val="none"/>
              </w:rPr>
              <w:t>项目重点难点分析</w:t>
            </w:r>
          </w:p>
        </w:tc>
        <w:tc>
          <w:tcPr>
            <w:tcW w:w="5875" w:type="dxa"/>
            <w:tcBorders>
              <w:top w:val="single" w:color="auto" w:sz="4" w:space="0"/>
              <w:left w:val="single" w:color="auto" w:sz="4" w:space="0"/>
              <w:right w:val="single" w:color="auto" w:sz="4" w:space="0"/>
            </w:tcBorders>
            <w:noWrap w:val="0"/>
            <w:vAlign w:val="center"/>
          </w:tcPr>
          <w:p w14:paraId="16C71FC8">
            <w:pPr>
              <w:spacing w:line="360" w:lineRule="auto"/>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评委根据供应商针对本项目服务的重点难点分析情况进行打分。</w:t>
            </w:r>
          </w:p>
        </w:tc>
        <w:tc>
          <w:tcPr>
            <w:tcW w:w="888" w:type="dxa"/>
            <w:tcBorders>
              <w:top w:val="single" w:color="auto" w:sz="4" w:space="0"/>
              <w:left w:val="single" w:color="auto" w:sz="4" w:space="0"/>
              <w:right w:val="single" w:color="auto" w:sz="4" w:space="0"/>
            </w:tcBorders>
            <w:noWrap w:val="0"/>
            <w:vAlign w:val="center"/>
          </w:tcPr>
          <w:p w14:paraId="56809670">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4CA4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tcBorders>
              <w:left w:val="single" w:color="auto" w:sz="4" w:space="0"/>
              <w:right w:val="single" w:color="auto" w:sz="4" w:space="0"/>
            </w:tcBorders>
            <w:noWrap w:val="0"/>
            <w:vAlign w:val="center"/>
          </w:tcPr>
          <w:p w14:paraId="744FF85A">
            <w:pPr>
              <w:spacing w:line="360" w:lineRule="auto"/>
              <w:jc w:val="center"/>
              <w:rPr>
                <w:rFonts w:ascii="宋体" w:hAnsi="宋体" w:cs="宋体"/>
                <w:color w:val="FF0000"/>
                <w:sz w:val="24"/>
                <w:highlight w:val="none"/>
              </w:rPr>
            </w:pPr>
          </w:p>
        </w:tc>
        <w:tc>
          <w:tcPr>
            <w:tcW w:w="1389" w:type="dxa"/>
            <w:vMerge w:val="continue"/>
            <w:tcBorders>
              <w:left w:val="single" w:color="auto" w:sz="4" w:space="0"/>
              <w:right w:val="single" w:color="auto" w:sz="4" w:space="0"/>
            </w:tcBorders>
            <w:noWrap w:val="0"/>
            <w:vAlign w:val="center"/>
          </w:tcPr>
          <w:p w14:paraId="73C55F07">
            <w:pPr>
              <w:spacing w:line="360" w:lineRule="auto"/>
              <w:jc w:val="center"/>
              <w:rPr>
                <w:rFonts w:hint="eastAsia" w:ascii="宋体" w:hAnsi="宋体"/>
                <w:color w:val="auto"/>
                <w:sz w:val="24"/>
                <w:highlight w:val="none"/>
              </w:rPr>
            </w:pPr>
          </w:p>
        </w:tc>
        <w:tc>
          <w:tcPr>
            <w:tcW w:w="5875" w:type="dxa"/>
            <w:tcBorders>
              <w:top w:val="single" w:color="auto" w:sz="4" w:space="0"/>
              <w:left w:val="single" w:color="auto" w:sz="4" w:space="0"/>
              <w:right w:val="single" w:color="auto" w:sz="4" w:space="0"/>
            </w:tcBorders>
            <w:noWrap w:val="0"/>
            <w:vAlign w:val="center"/>
          </w:tcPr>
          <w:p w14:paraId="3EC2ABE1">
            <w:pPr>
              <w:spacing w:line="360" w:lineRule="auto"/>
              <w:ind w:firstLine="480" w:firstLineChars="200"/>
              <w:jc w:val="left"/>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w:t>
            </w:r>
            <w:r>
              <w:rPr>
                <w:rFonts w:hint="eastAsia" w:ascii="宋体" w:hAnsi="宋体" w:eastAsia="宋体" w:cs="宋体"/>
                <w:color w:val="auto"/>
                <w:kern w:val="0"/>
                <w:sz w:val="24"/>
                <w:highlight w:val="none"/>
                <w:lang w:val="en-US" w:eastAsia="zh-CN" w:bidi="ar"/>
              </w:rPr>
              <w:t>根据供应商提出的相应的解决措施的合理性和可操作性进行打分。</w:t>
            </w:r>
          </w:p>
        </w:tc>
        <w:tc>
          <w:tcPr>
            <w:tcW w:w="888" w:type="dxa"/>
            <w:tcBorders>
              <w:top w:val="single" w:color="auto" w:sz="4" w:space="0"/>
              <w:left w:val="single" w:color="auto" w:sz="4" w:space="0"/>
              <w:right w:val="single" w:color="auto" w:sz="4" w:space="0"/>
            </w:tcBorders>
            <w:noWrap w:val="0"/>
            <w:vAlign w:val="center"/>
          </w:tcPr>
          <w:p w14:paraId="2780CFAB">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6693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tcBorders>
              <w:left w:val="single" w:color="auto" w:sz="4" w:space="0"/>
              <w:right w:val="single" w:color="auto" w:sz="4" w:space="0"/>
            </w:tcBorders>
            <w:noWrap w:val="0"/>
            <w:vAlign w:val="center"/>
          </w:tcPr>
          <w:p w14:paraId="65B95AC0">
            <w:pPr>
              <w:spacing w:line="360" w:lineRule="auto"/>
              <w:jc w:val="center"/>
              <w:rPr>
                <w:rFonts w:ascii="宋体" w:hAnsi="宋体" w:cs="宋体"/>
                <w:color w:val="FF0000"/>
                <w:sz w:val="24"/>
                <w:highlight w:val="none"/>
              </w:rPr>
            </w:pPr>
          </w:p>
        </w:tc>
        <w:tc>
          <w:tcPr>
            <w:tcW w:w="1389" w:type="dxa"/>
            <w:tcBorders>
              <w:left w:val="single" w:color="auto" w:sz="4" w:space="0"/>
              <w:right w:val="single" w:color="auto" w:sz="4" w:space="0"/>
            </w:tcBorders>
            <w:noWrap w:val="0"/>
            <w:vAlign w:val="center"/>
          </w:tcPr>
          <w:p w14:paraId="19945E4F">
            <w:pPr>
              <w:spacing w:line="360" w:lineRule="auto"/>
              <w:jc w:val="center"/>
              <w:rPr>
                <w:rFonts w:hint="eastAsia" w:ascii="宋体" w:hAnsi="宋体"/>
                <w:color w:val="auto"/>
                <w:sz w:val="24"/>
                <w:highlight w:val="none"/>
                <w:lang w:eastAsia="zh-CN"/>
              </w:rPr>
            </w:pPr>
            <w:r>
              <w:rPr>
                <w:rFonts w:hint="eastAsia" w:ascii="宋体" w:hAnsi="宋体"/>
                <w:color w:val="auto"/>
                <w:sz w:val="24"/>
                <w:highlight w:val="none"/>
                <w:lang w:eastAsia="zh-CN"/>
              </w:rPr>
              <w:t>项目实施方案</w:t>
            </w:r>
          </w:p>
        </w:tc>
        <w:tc>
          <w:tcPr>
            <w:tcW w:w="5875" w:type="dxa"/>
            <w:tcBorders>
              <w:top w:val="single" w:color="auto" w:sz="4" w:space="0"/>
              <w:left w:val="single" w:color="auto" w:sz="4" w:space="0"/>
              <w:right w:val="single" w:color="auto" w:sz="4" w:space="0"/>
            </w:tcBorders>
            <w:noWrap w:val="0"/>
            <w:vAlign w:val="center"/>
          </w:tcPr>
          <w:p w14:paraId="34D97D5C">
            <w:pPr>
              <w:spacing w:line="360" w:lineRule="auto"/>
              <w:ind w:firstLine="480" w:firstLineChars="200"/>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评委根据供应商针对本项目提出的详细组织实施工作方案的合理性、全面性进行打分。</w:t>
            </w:r>
          </w:p>
        </w:tc>
        <w:tc>
          <w:tcPr>
            <w:tcW w:w="888" w:type="dxa"/>
            <w:tcBorders>
              <w:top w:val="single" w:color="auto" w:sz="4" w:space="0"/>
              <w:left w:val="single" w:color="auto" w:sz="4" w:space="0"/>
              <w:right w:val="single" w:color="auto" w:sz="4" w:space="0"/>
            </w:tcBorders>
            <w:noWrap w:val="0"/>
            <w:vAlign w:val="center"/>
          </w:tcPr>
          <w:p w14:paraId="494A23FB">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r>
      <w:tr w14:paraId="2DAD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tcBorders>
              <w:left w:val="single" w:color="auto" w:sz="4" w:space="0"/>
              <w:right w:val="single" w:color="auto" w:sz="4" w:space="0"/>
            </w:tcBorders>
            <w:noWrap w:val="0"/>
            <w:vAlign w:val="center"/>
          </w:tcPr>
          <w:p w14:paraId="165B8111">
            <w:pPr>
              <w:spacing w:line="360" w:lineRule="auto"/>
              <w:jc w:val="center"/>
              <w:rPr>
                <w:rFonts w:ascii="宋体" w:hAnsi="宋体" w:cs="宋体"/>
                <w:color w:val="FF0000"/>
                <w:sz w:val="24"/>
                <w:highlight w:val="none"/>
              </w:rPr>
            </w:pPr>
          </w:p>
        </w:tc>
        <w:tc>
          <w:tcPr>
            <w:tcW w:w="1389" w:type="dxa"/>
            <w:tcBorders>
              <w:left w:val="single" w:color="auto" w:sz="4" w:space="0"/>
              <w:right w:val="single" w:color="auto" w:sz="4" w:space="0"/>
            </w:tcBorders>
            <w:noWrap w:val="0"/>
            <w:vAlign w:val="center"/>
          </w:tcPr>
          <w:p w14:paraId="663D76D7">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质量保证措施</w:t>
            </w:r>
          </w:p>
        </w:tc>
        <w:tc>
          <w:tcPr>
            <w:tcW w:w="5875" w:type="dxa"/>
            <w:tcBorders>
              <w:top w:val="single" w:color="auto" w:sz="4" w:space="0"/>
              <w:left w:val="single" w:color="auto" w:sz="4" w:space="0"/>
              <w:right w:val="single" w:color="auto" w:sz="4" w:space="0"/>
            </w:tcBorders>
            <w:noWrap w:val="0"/>
            <w:vAlign w:val="center"/>
          </w:tcPr>
          <w:p w14:paraId="7EAC8A51">
            <w:pPr>
              <w:spacing w:line="360" w:lineRule="auto"/>
              <w:ind w:firstLine="480" w:firstLineChars="200"/>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评委根据供应商的质量保证措施的合理性、全面性、详细性进行打分。</w:t>
            </w:r>
          </w:p>
        </w:tc>
        <w:tc>
          <w:tcPr>
            <w:tcW w:w="888" w:type="dxa"/>
            <w:tcBorders>
              <w:top w:val="single" w:color="auto" w:sz="4" w:space="0"/>
              <w:left w:val="single" w:color="auto" w:sz="4" w:space="0"/>
              <w:right w:val="single" w:color="auto" w:sz="4" w:space="0"/>
            </w:tcBorders>
            <w:noWrap w:val="0"/>
            <w:vAlign w:val="center"/>
          </w:tcPr>
          <w:p w14:paraId="0DF0B525">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7225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tcBorders>
              <w:left w:val="single" w:color="auto" w:sz="4" w:space="0"/>
              <w:right w:val="single" w:color="auto" w:sz="4" w:space="0"/>
            </w:tcBorders>
            <w:noWrap w:val="0"/>
            <w:vAlign w:val="center"/>
          </w:tcPr>
          <w:p w14:paraId="6B201055">
            <w:pPr>
              <w:spacing w:line="360" w:lineRule="auto"/>
              <w:jc w:val="center"/>
              <w:rPr>
                <w:rFonts w:ascii="宋体" w:hAnsi="宋体" w:cs="宋体"/>
                <w:color w:val="FF0000"/>
                <w:sz w:val="24"/>
                <w:highlight w:val="none"/>
              </w:rPr>
            </w:pPr>
          </w:p>
        </w:tc>
        <w:tc>
          <w:tcPr>
            <w:tcW w:w="1389" w:type="dxa"/>
            <w:tcBorders>
              <w:left w:val="single" w:color="auto" w:sz="4" w:space="0"/>
              <w:right w:val="single" w:color="auto" w:sz="4" w:space="0"/>
            </w:tcBorders>
            <w:noWrap w:val="0"/>
            <w:vAlign w:val="center"/>
          </w:tcPr>
          <w:p w14:paraId="5F9C85B9">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进度保证措施</w:t>
            </w:r>
          </w:p>
        </w:tc>
        <w:tc>
          <w:tcPr>
            <w:tcW w:w="5875" w:type="dxa"/>
            <w:tcBorders>
              <w:top w:val="single" w:color="auto" w:sz="4" w:space="0"/>
              <w:left w:val="single" w:color="auto" w:sz="4" w:space="0"/>
              <w:right w:val="single" w:color="auto" w:sz="4" w:space="0"/>
            </w:tcBorders>
            <w:noWrap w:val="0"/>
            <w:vAlign w:val="center"/>
          </w:tcPr>
          <w:p w14:paraId="2F3D11BF">
            <w:pPr>
              <w:spacing w:line="360" w:lineRule="auto"/>
              <w:ind w:firstLine="480" w:firstLineChars="200"/>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评委根据供应商的项目进度计划安排及安排措施的合理性、全面性、详细性进行打分。</w:t>
            </w:r>
          </w:p>
        </w:tc>
        <w:tc>
          <w:tcPr>
            <w:tcW w:w="888" w:type="dxa"/>
            <w:tcBorders>
              <w:top w:val="single" w:color="auto" w:sz="4" w:space="0"/>
              <w:left w:val="single" w:color="auto" w:sz="4" w:space="0"/>
              <w:right w:val="single" w:color="auto" w:sz="4" w:space="0"/>
            </w:tcBorders>
            <w:noWrap w:val="0"/>
            <w:vAlign w:val="center"/>
          </w:tcPr>
          <w:p w14:paraId="00DEF42A">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1998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tcBorders>
              <w:left w:val="single" w:color="auto" w:sz="4" w:space="0"/>
              <w:right w:val="single" w:color="auto" w:sz="4" w:space="0"/>
            </w:tcBorders>
            <w:noWrap w:val="0"/>
            <w:vAlign w:val="center"/>
          </w:tcPr>
          <w:p w14:paraId="7AF4C867">
            <w:pPr>
              <w:spacing w:line="360" w:lineRule="auto"/>
              <w:jc w:val="center"/>
              <w:rPr>
                <w:rFonts w:ascii="宋体" w:hAnsi="宋体" w:cs="宋体"/>
                <w:color w:val="FF0000"/>
                <w:sz w:val="24"/>
                <w:highlight w:val="none"/>
              </w:rPr>
            </w:pPr>
          </w:p>
        </w:tc>
        <w:tc>
          <w:tcPr>
            <w:tcW w:w="1389" w:type="dxa"/>
            <w:tcBorders>
              <w:left w:val="single" w:color="auto" w:sz="4" w:space="0"/>
              <w:right w:val="single" w:color="auto" w:sz="4" w:space="0"/>
            </w:tcBorders>
            <w:noWrap w:val="0"/>
            <w:vAlign w:val="center"/>
          </w:tcPr>
          <w:p w14:paraId="01B3863B">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保密措施</w:t>
            </w:r>
          </w:p>
        </w:tc>
        <w:tc>
          <w:tcPr>
            <w:tcW w:w="5875" w:type="dxa"/>
            <w:tcBorders>
              <w:top w:val="single" w:color="auto" w:sz="4" w:space="0"/>
              <w:left w:val="single" w:color="auto" w:sz="4" w:space="0"/>
              <w:right w:val="single" w:color="auto" w:sz="4" w:space="0"/>
            </w:tcBorders>
            <w:noWrap w:val="0"/>
            <w:vAlign w:val="center"/>
          </w:tcPr>
          <w:p w14:paraId="01724EB3">
            <w:pPr>
              <w:spacing w:line="360" w:lineRule="auto"/>
              <w:ind w:firstLine="480" w:firstLineChars="200"/>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评委根据供应商对服务过程中的研究资料、成果等涉及保密制度、措施方案进行打分。</w:t>
            </w:r>
          </w:p>
        </w:tc>
        <w:tc>
          <w:tcPr>
            <w:tcW w:w="888" w:type="dxa"/>
            <w:tcBorders>
              <w:top w:val="single" w:color="auto" w:sz="4" w:space="0"/>
              <w:left w:val="single" w:color="auto" w:sz="4" w:space="0"/>
              <w:right w:val="single" w:color="auto" w:sz="4" w:space="0"/>
            </w:tcBorders>
            <w:noWrap w:val="0"/>
            <w:vAlign w:val="center"/>
          </w:tcPr>
          <w:p w14:paraId="726F7CD1">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28B6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tcBorders>
              <w:left w:val="single" w:color="auto" w:sz="4" w:space="0"/>
              <w:right w:val="single" w:color="auto" w:sz="4" w:space="0"/>
            </w:tcBorders>
            <w:noWrap w:val="0"/>
            <w:vAlign w:val="center"/>
          </w:tcPr>
          <w:p w14:paraId="7DC0C4DA">
            <w:pPr>
              <w:spacing w:line="360" w:lineRule="auto"/>
              <w:jc w:val="center"/>
              <w:rPr>
                <w:rFonts w:ascii="宋体" w:hAnsi="宋体" w:cs="宋体"/>
                <w:color w:val="FF0000"/>
                <w:sz w:val="24"/>
                <w:highlight w:val="none"/>
              </w:rPr>
            </w:pPr>
          </w:p>
        </w:tc>
        <w:tc>
          <w:tcPr>
            <w:tcW w:w="1389" w:type="dxa"/>
            <w:tcBorders>
              <w:left w:val="single" w:color="auto" w:sz="4" w:space="0"/>
              <w:right w:val="single" w:color="auto" w:sz="4" w:space="0"/>
            </w:tcBorders>
            <w:noWrap w:val="0"/>
            <w:vAlign w:val="center"/>
          </w:tcPr>
          <w:p w14:paraId="65AC52EF">
            <w:pPr>
              <w:spacing w:line="360" w:lineRule="auto"/>
              <w:jc w:val="center"/>
              <w:rPr>
                <w:rFonts w:hint="eastAsia" w:ascii="宋体" w:hAnsi="宋体"/>
                <w:color w:val="auto"/>
                <w:sz w:val="24"/>
                <w:highlight w:val="none"/>
              </w:rPr>
            </w:pPr>
            <w:r>
              <w:rPr>
                <w:rFonts w:hint="eastAsia" w:ascii="宋体" w:hAnsi="宋体"/>
                <w:color w:val="auto"/>
                <w:sz w:val="24"/>
                <w:highlight w:val="none"/>
              </w:rPr>
              <w:t>服务承诺</w:t>
            </w:r>
          </w:p>
        </w:tc>
        <w:tc>
          <w:tcPr>
            <w:tcW w:w="5875" w:type="dxa"/>
            <w:tcBorders>
              <w:top w:val="single" w:color="auto" w:sz="4" w:space="0"/>
              <w:left w:val="single" w:color="auto" w:sz="4" w:space="0"/>
              <w:right w:val="single" w:color="auto" w:sz="4" w:space="0"/>
            </w:tcBorders>
            <w:noWrap w:val="0"/>
            <w:vAlign w:val="center"/>
          </w:tcPr>
          <w:p w14:paraId="70A47B9B">
            <w:pPr>
              <w:spacing w:line="360" w:lineRule="auto"/>
              <w:ind w:firstLine="480" w:firstLineChars="200"/>
              <w:jc w:val="left"/>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评委根据供应商</w:t>
            </w:r>
            <w:r>
              <w:rPr>
                <w:rFonts w:hint="eastAsia" w:ascii="宋体" w:hAnsi="宋体" w:eastAsia="宋体" w:cs="宋体"/>
                <w:color w:val="auto"/>
                <w:kern w:val="0"/>
                <w:sz w:val="24"/>
                <w:highlight w:val="none"/>
                <w:lang w:val="en-US" w:eastAsia="zh-CN" w:bidi="ar"/>
              </w:rPr>
              <w:t>提供的售后服务方案和服务承诺，以及服务承诺的可行性、完整性，包括技术服务培训和维护及其他实质性承诺进行</w:t>
            </w:r>
            <w:r>
              <w:rPr>
                <w:rFonts w:hint="eastAsia" w:ascii="宋体" w:hAnsi="宋体" w:cs="宋体"/>
                <w:color w:val="auto"/>
                <w:kern w:val="0"/>
                <w:sz w:val="24"/>
                <w:highlight w:val="none"/>
                <w:lang w:val="en-US" w:eastAsia="zh-CN" w:bidi="ar"/>
              </w:rPr>
              <w:t>综合打分。</w:t>
            </w:r>
          </w:p>
        </w:tc>
        <w:tc>
          <w:tcPr>
            <w:tcW w:w="888" w:type="dxa"/>
            <w:tcBorders>
              <w:top w:val="single" w:color="auto" w:sz="4" w:space="0"/>
              <w:left w:val="single" w:color="auto" w:sz="4" w:space="0"/>
              <w:right w:val="single" w:color="auto" w:sz="4" w:space="0"/>
            </w:tcBorders>
            <w:noWrap w:val="0"/>
            <w:vAlign w:val="center"/>
          </w:tcPr>
          <w:p w14:paraId="7B014FA0">
            <w:pPr>
              <w:spacing w:line="360" w:lineRule="auto"/>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2F4E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89" w:type="dxa"/>
            <w:tcBorders>
              <w:left w:val="single" w:color="auto" w:sz="4" w:space="0"/>
              <w:right w:val="single" w:color="auto" w:sz="4" w:space="0"/>
            </w:tcBorders>
            <w:noWrap w:val="0"/>
            <w:vAlign w:val="center"/>
          </w:tcPr>
          <w:p w14:paraId="7AFBB2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商务资信</w:t>
            </w:r>
          </w:p>
        </w:tc>
        <w:tc>
          <w:tcPr>
            <w:tcW w:w="1389" w:type="dxa"/>
            <w:tcBorders>
              <w:left w:val="single" w:color="auto" w:sz="4" w:space="0"/>
              <w:right w:val="single" w:color="auto" w:sz="4" w:space="0"/>
            </w:tcBorders>
            <w:noWrap w:val="0"/>
            <w:vAlign w:val="center"/>
          </w:tcPr>
          <w:p w14:paraId="1C5C3644">
            <w:pPr>
              <w:widowControl/>
              <w:spacing w:line="360" w:lineRule="auto"/>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kern w:val="2"/>
                <w:sz w:val="24"/>
                <w:szCs w:val="21"/>
                <w:highlight w:val="none"/>
                <w:lang w:val="en-US" w:eastAsia="zh-CN" w:bidi="ar-SA"/>
              </w:rPr>
              <w:t>业绩</w:t>
            </w:r>
          </w:p>
        </w:tc>
        <w:tc>
          <w:tcPr>
            <w:tcW w:w="5875" w:type="dxa"/>
            <w:tcBorders>
              <w:left w:val="single" w:color="auto" w:sz="4" w:space="0"/>
              <w:right w:val="single" w:color="auto" w:sz="4" w:space="0"/>
            </w:tcBorders>
            <w:noWrap w:val="0"/>
            <w:vAlign w:val="center"/>
          </w:tcPr>
          <w:p w14:paraId="7F7A1E46">
            <w:pPr>
              <w:spacing w:line="360" w:lineRule="auto"/>
              <w:jc w:val="left"/>
              <w:rPr>
                <w:rFonts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业绩</w:t>
            </w:r>
            <w:r>
              <w:rPr>
                <w:rFonts w:hint="eastAsia" w:ascii="宋体" w:hAnsi="宋体" w:cs="宋体"/>
                <w:b/>
                <w:bCs/>
                <w:color w:val="auto"/>
                <w:sz w:val="24"/>
                <w:highlight w:val="none"/>
              </w:rPr>
              <w:t>（具体详见商务要求表）</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359B4ED">
            <w:pPr>
              <w:tabs>
                <w:tab w:val="left" w:pos="772"/>
              </w:tabs>
              <w:spacing w:line="360" w:lineRule="auto"/>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kern w:val="2"/>
                <w:sz w:val="24"/>
                <w:szCs w:val="21"/>
                <w:highlight w:val="none"/>
                <w:lang w:val="en-US" w:eastAsia="zh-CN" w:bidi="ar-SA"/>
              </w:rPr>
              <w:t>2</w:t>
            </w:r>
          </w:p>
        </w:tc>
      </w:tr>
    </w:tbl>
    <w:p w14:paraId="7E8379D0">
      <w:pPr>
        <w:ind w:firstLine="482" w:firstLineChars="200"/>
        <w:rPr>
          <w:rFonts w:hint="eastAsia" w:ascii="宋体" w:hAnsi="宋体" w:cs="宋体"/>
          <w:b/>
          <w:bCs/>
          <w:color w:val="auto"/>
          <w:sz w:val="24"/>
          <w:szCs w:val="24"/>
          <w:highlight w:val="none"/>
        </w:rPr>
      </w:pPr>
    </w:p>
    <w:p w14:paraId="044C61B2">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2、商务要求表</w:t>
      </w:r>
      <w:r>
        <w:rPr>
          <w:rFonts w:hint="eastAsia" w:ascii="宋体" w:hAnsi="宋体" w:cs="宋体"/>
          <w:color w:val="auto"/>
          <w:sz w:val="24"/>
          <w:szCs w:val="24"/>
          <w:highlight w:val="none"/>
        </w:rPr>
        <w:t>（对应评分标准）</w:t>
      </w:r>
    </w:p>
    <w:tbl>
      <w:tblPr>
        <w:tblStyle w:val="26"/>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13"/>
        <w:gridCol w:w="6382"/>
        <w:gridCol w:w="748"/>
      </w:tblGrid>
      <w:tr w14:paraId="5B46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55" w:type="dxa"/>
            <w:tcBorders>
              <w:left w:val="single" w:color="auto" w:sz="4" w:space="0"/>
              <w:right w:val="single" w:color="auto" w:sz="4" w:space="0"/>
            </w:tcBorders>
            <w:noWrap w:val="0"/>
            <w:vAlign w:val="center"/>
          </w:tcPr>
          <w:p w14:paraId="7FE91A4E">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商务资信</w:t>
            </w:r>
          </w:p>
        </w:tc>
        <w:tc>
          <w:tcPr>
            <w:tcW w:w="1013" w:type="dxa"/>
            <w:tcBorders>
              <w:left w:val="single" w:color="auto" w:sz="4" w:space="0"/>
              <w:right w:val="single" w:color="auto" w:sz="4" w:space="0"/>
            </w:tcBorders>
            <w:shd w:val="clear" w:color="auto" w:fill="auto"/>
            <w:noWrap w:val="0"/>
            <w:vAlign w:val="center"/>
          </w:tcPr>
          <w:p w14:paraId="7A54DF45">
            <w:pPr>
              <w:widowControl/>
              <w:spacing w:line="360" w:lineRule="auto"/>
              <w:jc w:val="center"/>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sz w:val="24"/>
                <w:highlight w:val="none"/>
              </w:rPr>
              <w:t>业绩</w:t>
            </w:r>
          </w:p>
        </w:tc>
        <w:tc>
          <w:tcPr>
            <w:tcW w:w="63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7A6ADA">
            <w:pPr>
              <w:spacing w:line="360" w:lineRule="auto"/>
              <w:ind w:firstLine="480" w:firstLineChars="200"/>
              <w:jc w:val="left"/>
              <w:rPr>
                <w:rFonts w:hint="eastAsia" w:asciiTheme="minorEastAsia" w:hAnsiTheme="minorEastAsia" w:eastAsiaTheme="minorEastAsia" w:cstheme="minorEastAsia"/>
                <w:color w:val="auto"/>
                <w:kern w:val="0"/>
                <w:sz w:val="24"/>
                <w:szCs w:val="21"/>
                <w:highlight w:val="none"/>
                <w:lang w:val="en-US" w:eastAsia="zh-CN" w:bidi="ar"/>
              </w:rPr>
            </w:pPr>
            <w:bookmarkStart w:id="102" w:name="_GoBack"/>
            <w:r>
              <w:rPr>
                <w:rFonts w:hint="eastAsia" w:asciiTheme="minorEastAsia" w:hAnsiTheme="minorEastAsia" w:eastAsiaTheme="minorEastAsia" w:cstheme="minorEastAsia"/>
                <w:color w:val="auto"/>
                <w:kern w:val="0"/>
                <w:sz w:val="24"/>
                <w:highlight w:val="none"/>
                <w:lang w:val="en-US" w:eastAsia="zh-CN" w:bidi="ar"/>
              </w:rPr>
              <w:t>供应商自2020年1月1日以来（以合同签订日期为准），承接过类似项目业绩的每个得0.5分，最高得2分。（提供合同扫描件并加盖单位公章）</w:t>
            </w:r>
            <w:bookmarkEnd w:id="102"/>
          </w:p>
        </w:tc>
        <w:tc>
          <w:tcPr>
            <w:tcW w:w="748" w:type="dxa"/>
            <w:tcBorders>
              <w:left w:val="single" w:color="auto" w:sz="4" w:space="0"/>
              <w:right w:val="single" w:color="auto" w:sz="4" w:space="0"/>
            </w:tcBorders>
            <w:shd w:val="clear" w:color="auto" w:fill="auto"/>
            <w:noWrap w:val="0"/>
            <w:vAlign w:val="center"/>
          </w:tcPr>
          <w:p w14:paraId="7D284BAF">
            <w:pPr>
              <w:pStyle w:val="25"/>
              <w:spacing w:line="288" w:lineRule="auto"/>
              <w:ind w:left="0" w:leftChars="0"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2</w:t>
            </w:r>
          </w:p>
        </w:tc>
      </w:tr>
    </w:tbl>
    <w:p w14:paraId="4208772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5F1B7AD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1448B24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85" w:name="_Toc4517"/>
      <w:bookmarkStart w:id="86" w:name="_Toc8033"/>
    </w:p>
    <w:p w14:paraId="104B33A7">
      <w:pPr>
        <w:rPr>
          <w:rFonts w:cs="宋体"/>
          <w:color w:val="auto"/>
          <w:sz w:val="36"/>
          <w:szCs w:val="36"/>
          <w:highlight w:val="none"/>
        </w:rPr>
      </w:pPr>
      <w:r>
        <w:rPr>
          <w:rFonts w:hint="eastAsia" w:cs="宋体"/>
          <w:color w:val="auto"/>
          <w:sz w:val="36"/>
          <w:szCs w:val="36"/>
          <w:highlight w:val="none"/>
        </w:rPr>
        <w:br w:type="page"/>
      </w:r>
    </w:p>
    <w:p w14:paraId="7617F922">
      <w:pPr>
        <w:pStyle w:val="3"/>
        <w:jc w:val="center"/>
        <w:rPr>
          <w:rFonts w:ascii="宋体" w:cs="Times New Roman"/>
          <w:color w:val="auto"/>
          <w:highlight w:val="none"/>
        </w:rPr>
      </w:pPr>
      <w:bookmarkStart w:id="87" w:name="_Toc28692"/>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85"/>
      <w:bookmarkEnd w:id="86"/>
      <w:bookmarkEnd w:id="87"/>
    </w:p>
    <w:p w14:paraId="0A6F18D9">
      <w:pPr>
        <w:keepNext w:val="0"/>
        <w:keepLines w:val="0"/>
        <w:pageBreakBefore w:val="0"/>
        <w:widowControl w:val="0"/>
        <w:kinsoku/>
        <w:wordWrap/>
        <w:overflowPunct/>
        <w:topLinePunct w:val="0"/>
        <w:autoSpaceDE/>
        <w:autoSpaceDN/>
        <w:bidi w:val="0"/>
        <w:snapToGrid/>
        <w:spacing w:line="460" w:lineRule="exact"/>
        <w:ind w:firstLine="600" w:firstLineChars="250"/>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合同编号：（202</w:t>
      </w:r>
      <w:r>
        <w:rPr>
          <w:rFonts w:hint="eastAsia" w:cs="Times New Roman"/>
          <w:b w:val="0"/>
          <w:bCs/>
          <w:color w:val="auto"/>
          <w:sz w:val="24"/>
          <w:highlight w:val="none"/>
          <w:lang w:val="en-US" w:eastAsia="zh-CN"/>
        </w:rPr>
        <w:t>5</w:t>
      </w:r>
      <w:r>
        <w:rPr>
          <w:rFonts w:hint="eastAsia" w:ascii="Times New Roman" w:hAnsi="Times New Roman" w:eastAsia="宋体" w:cs="Times New Roman"/>
          <w:b w:val="0"/>
          <w:bCs/>
          <w:color w:val="auto"/>
          <w:sz w:val="24"/>
          <w:highlight w:val="none"/>
          <w:lang w:val="en-US" w:eastAsia="zh-CN"/>
        </w:rPr>
        <w:t>）第</w:t>
      </w:r>
      <w:r>
        <w:rPr>
          <w:rFonts w:hint="eastAsia"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lang w:val="en-US" w:eastAsia="zh-CN"/>
        </w:rPr>
        <w:t>号</w:t>
      </w:r>
    </w:p>
    <w:p w14:paraId="5F9EDB83">
      <w:pPr>
        <w:keepNext w:val="0"/>
        <w:keepLines w:val="0"/>
        <w:pageBreakBefore w:val="0"/>
        <w:widowControl w:val="0"/>
        <w:kinsoku/>
        <w:wordWrap/>
        <w:overflowPunct/>
        <w:topLinePunct w:val="0"/>
        <w:autoSpaceDE/>
        <w:autoSpaceDN/>
        <w:bidi w:val="0"/>
        <w:snapToGrid/>
        <w:spacing w:line="460" w:lineRule="exact"/>
        <w:ind w:firstLine="600" w:firstLineChars="250"/>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签订日期：202</w:t>
      </w:r>
      <w:r>
        <w:rPr>
          <w:rFonts w:hint="eastAsia" w:cs="Times New Roman"/>
          <w:b w:val="0"/>
          <w:bCs/>
          <w:color w:val="auto"/>
          <w:sz w:val="24"/>
          <w:highlight w:val="none"/>
          <w:lang w:val="en-US" w:eastAsia="zh-CN"/>
        </w:rPr>
        <w:t>5</w:t>
      </w:r>
      <w:r>
        <w:rPr>
          <w:rFonts w:hint="eastAsia" w:ascii="Times New Roman" w:hAnsi="Times New Roman" w:eastAsia="宋体" w:cs="Times New Roman"/>
          <w:b w:val="0"/>
          <w:bCs/>
          <w:color w:val="auto"/>
          <w:sz w:val="24"/>
          <w:highlight w:val="none"/>
          <w:lang w:val="en-US" w:eastAsia="zh-CN"/>
        </w:rPr>
        <w:t>年</w:t>
      </w:r>
      <w:r>
        <w:rPr>
          <w:rFonts w:hint="eastAsia"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lang w:val="en-US" w:eastAsia="zh-CN"/>
        </w:rPr>
        <w:t>月</w:t>
      </w:r>
      <w:r>
        <w:rPr>
          <w:rFonts w:hint="eastAsia"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lang w:val="en-US" w:eastAsia="zh-CN"/>
        </w:rPr>
        <w:t>日</w:t>
      </w:r>
    </w:p>
    <w:p w14:paraId="2D4287C2">
      <w:pPr>
        <w:keepNext w:val="0"/>
        <w:keepLines w:val="0"/>
        <w:pageBreakBefore w:val="0"/>
        <w:widowControl w:val="0"/>
        <w:kinsoku/>
        <w:wordWrap/>
        <w:overflowPunct/>
        <w:topLinePunct w:val="0"/>
        <w:autoSpaceDE/>
        <w:autoSpaceDN/>
        <w:bidi w:val="0"/>
        <w:snapToGrid/>
        <w:spacing w:line="460" w:lineRule="exact"/>
        <w:ind w:firstLine="600" w:firstLineChars="250"/>
        <w:textAlignment w:val="auto"/>
        <w:rPr>
          <w:rFonts w:hint="eastAsia" w:ascii="Times New Roman" w:hAnsi="Times New Roman" w:eastAsia="宋体" w:cs="Times New Roman"/>
          <w:b w:val="0"/>
          <w:bCs/>
          <w:color w:val="auto"/>
          <w:sz w:val="24"/>
          <w:highlight w:val="none"/>
          <w:u w:val="single"/>
          <w:lang w:val="en-US" w:eastAsia="zh-CN"/>
        </w:rPr>
      </w:pPr>
      <w:r>
        <w:rPr>
          <w:rFonts w:hint="eastAsia" w:ascii="Times New Roman" w:hAnsi="Times New Roman" w:eastAsia="宋体" w:cs="Times New Roman"/>
          <w:b w:val="0"/>
          <w:bCs/>
          <w:color w:val="auto"/>
          <w:sz w:val="24"/>
          <w:highlight w:val="none"/>
          <w:lang w:val="en-US" w:eastAsia="zh-CN"/>
        </w:rPr>
        <w:t>甲方：</w:t>
      </w:r>
      <w:r>
        <w:rPr>
          <w:rFonts w:hint="eastAsia" w:ascii="Times New Roman" w:hAnsi="Times New Roman" w:eastAsia="宋体" w:cs="Times New Roman"/>
          <w:b w:val="0"/>
          <w:bCs/>
          <w:color w:val="auto"/>
          <w:sz w:val="24"/>
          <w:highlight w:val="none"/>
          <w:u w:val="single"/>
          <w:lang w:val="en-US" w:eastAsia="zh-CN"/>
        </w:rPr>
        <w:t>　　　　　　　　　　　　　　　　　　　　　　　</w:t>
      </w:r>
    </w:p>
    <w:p w14:paraId="6B0B5A15">
      <w:pPr>
        <w:keepNext w:val="0"/>
        <w:keepLines w:val="0"/>
        <w:pageBreakBefore w:val="0"/>
        <w:widowControl w:val="0"/>
        <w:kinsoku/>
        <w:wordWrap/>
        <w:overflowPunct/>
        <w:topLinePunct w:val="0"/>
        <w:autoSpaceDE/>
        <w:autoSpaceDN/>
        <w:bidi w:val="0"/>
        <w:snapToGrid/>
        <w:spacing w:line="460" w:lineRule="exact"/>
        <w:ind w:firstLine="600" w:firstLineChars="250"/>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乙方：</w:t>
      </w:r>
      <w:r>
        <w:rPr>
          <w:rFonts w:hint="eastAsia" w:ascii="Times New Roman" w:hAnsi="Times New Roman" w:eastAsia="宋体" w:cs="Times New Roman"/>
          <w:b w:val="0"/>
          <w:bCs/>
          <w:color w:val="auto"/>
          <w:sz w:val="24"/>
          <w:highlight w:val="none"/>
          <w:u w:val="single"/>
          <w:lang w:val="en-US" w:eastAsia="zh-CN"/>
        </w:rPr>
        <w:t>　　　　　　　　　　　　　　　　　　　　　　　</w:t>
      </w:r>
    </w:p>
    <w:p w14:paraId="544CCCB1">
      <w:pPr>
        <w:keepNext w:val="0"/>
        <w:keepLines w:val="0"/>
        <w:pageBreakBefore w:val="0"/>
        <w:widowControl w:val="0"/>
        <w:kinsoku/>
        <w:wordWrap/>
        <w:overflowPunct/>
        <w:topLinePunct w:val="0"/>
        <w:autoSpaceDE/>
        <w:autoSpaceDN/>
        <w:bidi w:val="0"/>
        <w:snapToGrid/>
        <w:spacing w:line="460" w:lineRule="exact"/>
        <w:ind w:firstLine="600" w:firstLineChars="250"/>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根据《中华人民共和国民法典》、政府采购编号为</w:t>
      </w:r>
      <w:r>
        <w:rPr>
          <w:rFonts w:hint="eastAsia" w:cs="Times New Roman"/>
          <w:b w:val="0"/>
          <w:bCs/>
          <w:color w:val="auto"/>
          <w:sz w:val="24"/>
          <w:highlight w:val="none"/>
          <w:lang w:val="en-US" w:eastAsia="zh-CN"/>
        </w:rPr>
        <w:t>YK2025022</w:t>
      </w:r>
      <w:r>
        <w:rPr>
          <w:rFonts w:hint="eastAsia" w:ascii="Times New Roman" w:hAnsi="Times New Roman" w:eastAsia="宋体" w:cs="Times New Roman"/>
          <w:b w:val="0"/>
          <w:bCs/>
          <w:color w:val="auto"/>
          <w:sz w:val="24"/>
          <w:highlight w:val="none"/>
          <w:lang w:val="en-US" w:eastAsia="zh-CN"/>
        </w:rPr>
        <w:t xml:space="preserve">招标文件、中标人响应文件的规定，经公开招标采购，签订本合同。 </w:t>
      </w:r>
    </w:p>
    <w:p w14:paraId="333276DA">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宋体" w:hAnsi="Times New Roman" w:eastAsia="宋体" w:cs="Times New Roman"/>
          <w:b/>
          <w:bCs/>
          <w:color w:val="auto"/>
          <w:kern w:val="0"/>
          <w:sz w:val="24"/>
          <w:highlight w:val="none"/>
          <w:lang w:val="en-US" w:eastAsia="zh-CN"/>
        </w:rPr>
      </w:pPr>
      <w:r>
        <w:rPr>
          <w:rFonts w:hint="eastAsia" w:ascii="宋体" w:hAnsi="Times New Roman" w:eastAsia="宋体" w:cs="Times New Roman"/>
          <w:b/>
          <w:bCs/>
          <w:color w:val="auto"/>
          <w:kern w:val="0"/>
          <w:sz w:val="24"/>
          <w:highlight w:val="none"/>
          <w:lang w:val="en-US" w:eastAsia="zh-CN"/>
        </w:rPr>
        <w:t>一、项目</w:t>
      </w:r>
      <w:r>
        <w:rPr>
          <w:rFonts w:hint="eastAsia" w:ascii="宋体" w:cs="Times New Roman"/>
          <w:b/>
          <w:bCs/>
          <w:color w:val="auto"/>
          <w:kern w:val="0"/>
          <w:sz w:val="24"/>
          <w:highlight w:val="none"/>
          <w:lang w:val="en-US" w:eastAsia="zh-CN"/>
        </w:rPr>
        <w:t>背景</w:t>
      </w:r>
    </w:p>
    <w:p w14:paraId="43E7E61D">
      <w:pPr>
        <w:keepNext w:val="0"/>
        <w:keepLines w:val="0"/>
        <w:pageBreakBefore w:val="0"/>
        <w:widowControl w:val="0"/>
        <w:kinsoku/>
        <w:wordWrap/>
        <w:overflowPunct/>
        <w:topLinePunct w:val="0"/>
        <w:autoSpaceDE/>
        <w:autoSpaceDN/>
        <w:bidi w:val="0"/>
        <w:snapToGrid/>
        <w:spacing w:line="400" w:lineRule="exact"/>
        <w:ind w:firstLine="489" w:firstLineChars="204"/>
        <w:textAlignment w:val="auto"/>
        <w:rPr>
          <w:rFonts w:hint="eastAsia" w:ascii="宋体" w:hAnsi="宋体" w:cs="宋体"/>
          <w:b w:val="0"/>
          <w:bCs w:val="0"/>
          <w:sz w:val="24"/>
          <w:szCs w:val="24"/>
          <w:highlight w:val="none"/>
          <w:lang w:eastAsia="zh-CN"/>
        </w:rPr>
      </w:pPr>
      <w:r>
        <w:rPr>
          <w:rFonts w:hint="eastAsia" w:ascii="宋体" w:hAnsi="宋体" w:eastAsia="宋体" w:cs="宋体"/>
          <w:b w:val="0"/>
          <w:bCs w:val="0"/>
          <w:sz w:val="24"/>
          <w:szCs w:val="24"/>
          <w:highlight w:val="none"/>
        </w:rPr>
        <w:t>“十五五”是</w:t>
      </w:r>
      <w:r>
        <w:rPr>
          <w:rFonts w:hint="eastAsia" w:ascii="宋体" w:hAnsi="宋体" w:cs="宋体"/>
          <w:b w:val="0"/>
          <w:bCs w:val="0"/>
          <w:sz w:val="24"/>
          <w:szCs w:val="24"/>
          <w:highlight w:val="none"/>
          <w:lang w:val="en-US" w:eastAsia="zh-CN"/>
        </w:rPr>
        <w:t>上虞</w:t>
      </w:r>
      <w:r>
        <w:rPr>
          <w:rFonts w:hint="eastAsia" w:ascii="宋体" w:hAnsi="宋体" w:eastAsia="宋体" w:cs="宋体"/>
          <w:b w:val="0"/>
          <w:bCs w:val="0"/>
          <w:sz w:val="24"/>
          <w:szCs w:val="24"/>
          <w:highlight w:val="none"/>
        </w:rPr>
        <w:t>区建成高水平交通强区的攻坚期，是落实综合立体交通网规划目标的关键期，也是交通加快转入高质量发展轨道的转换期。根据《浙江省综合交通运输发展“十五五”规划编制工作方案》（浙交函〔2024〕55号）和《绍兴市“十五五”规划编制工作方案》（绍市交函〔2024〕1号）部署，</w:t>
      </w:r>
      <w:r>
        <w:rPr>
          <w:rFonts w:hint="eastAsia" w:ascii="宋体" w:hAnsi="宋体" w:cs="宋体"/>
          <w:b w:val="0"/>
          <w:bCs w:val="0"/>
          <w:sz w:val="24"/>
          <w:szCs w:val="24"/>
          <w:highlight w:val="none"/>
          <w:lang w:val="en-US" w:eastAsia="zh-CN"/>
        </w:rPr>
        <w:t>为</w:t>
      </w:r>
      <w:r>
        <w:rPr>
          <w:rFonts w:hint="eastAsia" w:ascii="宋体" w:hAnsi="宋体" w:eastAsia="宋体" w:cs="宋体"/>
          <w:b w:val="0"/>
          <w:bCs w:val="0"/>
          <w:sz w:val="24"/>
          <w:szCs w:val="24"/>
          <w:highlight w:val="none"/>
        </w:rPr>
        <w:t>加快推动</w:t>
      </w:r>
      <w:r>
        <w:rPr>
          <w:rFonts w:hint="eastAsia" w:ascii="宋体" w:hAnsi="宋体" w:cs="宋体"/>
          <w:b w:val="0"/>
          <w:bCs w:val="0"/>
          <w:sz w:val="24"/>
          <w:szCs w:val="24"/>
          <w:highlight w:val="none"/>
          <w:lang w:val="en-US" w:eastAsia="zh-CN"/>
        </w:rPr>
        <w:t>上虞区</w:t>
      </w:r>
      <w:r>
        <w:rPr>
          <w:rFonts w:hint="eastAsia" w:ascii="宋体" w:hAnsi="宋体" w:eastAsia="宋体" w:cs="宋体"/>
          <w:b w:val="0"/>
          <w:bCs w:val="0"/>
          <w:sz w:val="24"/>
          <w:szCs w:val="24"/>
          <w:highlight w:val="none"/>
        </w:rPr>
        <w:t>现代综合交通运输高质量发展，</w:t>
      </w:r>
      <w:r>
        <w:rPr>
          <w:rFonts w:hint="eastAsia" w:ascii="宋体" w:hAnsi="宋体" w:cs="宋体"/>
          <w:b w:val="0"/>
          <w:bCs w:val="0"/>
          <w:sz w:val="24"/>
          <w:szCs w:val="24"/>
          <w:highlight w:val="none"/>
          <w:lang w:val="en-US" w:eastAsia="zh-CN"/>
        </w:rPr>
        <w:t>特组织</w:t>
      </w:r>
      <w:r>
        <w:rPr>
          <w:rFonts w:hint="eastAsia" w:ascii="宋体" w:hAnsi="宋体" w:eastAsia="宋体" w:cs="宋体"/>
          <w:b w:val="0"/>
          <w:bCs w:val="0"/>
          <w:sz w:val="24"/>
          <w:szCs w:val="24"/>
          <w:highlight w:val="none"/>
        </w:rPr>
        <w:t>编制《绍兴市上虞区综合交通运输发展“十五五”规划》</w:t>
      </w:r>
      <w:r>
        <w:rPr>
          <w:rFonts w:hint="eastAsia" w:ascii="宋体" w:hAnsi="宋体" w:cs="宋体"/>
          <w:b w:val="0"/>
          <w:bCs w:val="0"/>
          <w:sz w:val="24"/>
          <w:szCs w:val="24"/>
          <w:highlight w:val="none"/>
          <w:lang w:eastAsia="zh-CN"/>
        </w:rPr>
        <w:t>。</w:t>
      </w:r>
    </w:p>
    <w:p w14:paraId="103527EE">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Times New Roman" w:eastAsia="宋体" w:cs="Times New Roman"/>
          <w:color w:val="auto"/>
          <w:kern w:val="0"/>
          <w:sz w:val="24"/>
          <w:highlight w:val="none"/>
          <w:lang w:val="en-US" w:eastAsia="zh-CN"/>
        </w:rPr>
      </w:pPr>
      <w:r>
        <w:rPr>
          <w:rFonts w:hint="eastAsia" w:ascii="宋体" w:hAnsi="宋体" w:eastAsia="宋体" w:cs="宋体"/>
          <w:color w:val="000000"/>
          <w:sz w:val="24"/>
          <w:szCs w:val="24"/>
          <w:highlight w:val="none"/>
        </w:rPr>
        <w:t>本次规划期限为2026-2030年，规划空间范围：</w:t>
      </w:r>
      <w:r>
        <w:rPr>
          <w:rFonts w:hint="eastAsia" w:ascii="宋体" w:hAnsi="宋体" w:eastAsia="宋体" w:cs="宋体"/>
          <w:color w:val="000000"/>
          <w:sz w:val="24"/>
          <w:szCs w:val="24"/>
          <w:highlight w:val="none"/>
          <w:lang w:val="en-US" w:eastAsia="zh-CN"/>
        </w:rPr>
        <w:t>上虞区</w:t>
      </w:r>
      <w:r>
        <w:rPr>
          <w:rFonts w:hint="eastAsia" w:ascii="宋体" w:hAnsi="宋体" w:eastAsia="宋体" w:cs="宋体"/>
          <w:color w:val="000000"/>
          <w:sz w:val="24"/>
          <w:szCs w:val="24"/>
          <w:highlight w:val="none"/>
        </w:rPr>
        <w:t>。</w:t>
      </w:r>
    </w:p>
    <w:p w14:paraId="504E80A1">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Times New Roman" w:eastAsia="宋体" w:cs="Times New Roman"/>
          <w:b/>
          <w:bCs/>
          <w:color w:val="auto"/>
          <w:kern w:val="0"/>
          <w:sz w:val="24"/>
          <w:highlight w:val="none"/>
          <w:lang w:val="en-US" w:eastAsia="zh-CN"/>
        </w:rPr>
      </w:pPr>
      <w:r>
        <w:rPr>
          <w:rFonts w:hint="eastAsia" w:ascii="宋体" w:cs="Times New Roman"/>
          <w:b/>
          <w:bCs/>
          <w:color w:val="auto"/>
          <w:kern w:val="0"/>
          <w:sz w:val="24"/>
          <w:highlight w:val="none"/>
          <w:lang w:val="en-US" w:eastAsia="zh-CN"/>
        </w:rPr>
        <w:t>二</w:t>
      </w:r>
      <w:r>
        <w:rPr>
          <w:rFonts w:hint="eastAsia" w:ascii="宋体" w:hAnsi="Times New Roman" w:eastAsia="宋体" w:cs="Times New Roman"/>
          <w:b/>
          <w:bCs/>
          <w:color w:val="auto"/>
          <w:kern w:val="0"/>
          <w:sz w:val="24"/>
          <w:highlight w:val="none"/>
          <w:lang w:val="en-US" w:eastAsia="zh-CN"/>
        </w:rPr>
        <w:t>、项目</w:t>
      </w:r>
      <w:r>
        <w:rPr>
          <w:rFonts w:hint="eastAsia" w:ascii="宋体" w:cs="Times New Roman"/>
          <w:b/>
          <w:bCs/>
          <w:color w:val="auto"/>
          <w:kern w:val="0"/>
          <w:sz w:val="24"/>
          <w:highlight w:val="none"/>
          <w:lang w:val="en-US" w:eastAsia="zh-CN"/>
        </w:rPr>
        <w:t>编制内容</w:t>
      </w:r>
    </w:p>
    <w:p w14:paraId="60FE344C">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全面分析</w:t>
      </w:r>
      <w:r>
        <w:rPr>
          <w:rFonts w:hint="eastAsia" w:ascii="宋体" w:hAnsi="宋体" w:eastAsia="宋体" w:cs="宋体"/>
          <w:sz w:val="24"/>
          <w:szCs w:val="24"/>
          <w:highlight w:val="none"/>
        </w:rPr>
        <w:t>总结</w:t>
      </w:r>
      <w:r>
        <w:rPr>
          <w:rFonts w:hint="eastAsia" w:ascii="宋体" w:hAnsi="宋体" w:cs="宋体"/>
          <w:sz w:val="24"/>
          <w:szCs w:val="24"/>
          <w:highlight w:val="none"/>
          <w:lang w:val="en-US" w:eastAsia="zh-CN"/>
        </w:rPr>
        <w:t>上虞区</w:t>
      </w:r>
      <w:r>
        <w:rPr>
          <w:rFonts w:hint="eastAsia" w:ascii="宋体" w:hAnsi="宋体" w:eastAsia="宋体" w:cs="宋体"/>
          <w:sz w:val="24"/>
          <w:szCs w:val="24"/>
          <w:highlight w:val="none"/>
        </w:rPr>
        <w:t>“十四五”期综合交通运输发展成效，</w:t>
      </w:r>
      <w:r>
        <w:rPr>
          <w:rFonts w:hint="eastAsia" w:ascii="宋体" w:hAnsi="宋体" w:cs="宋体"/>
          <w:sz w:val="24"/>
          <w:szCs w:val="24"/>
          <w:highlight w:val="none"/>
          <w:lang w:val="en-US" w:eastAsia="zh-CN"/>
        </w:rPr>
        <w:t>综合分析</w:t>
      </w:r>
      <w:r>
        <w:rPr>
          <w:rFonts w:hint="eastAsia" w:ascii="宋体" w:hAnsi="宋体" w:eastAsia="宋体" w:cs="宋体"/>
          <w:sz w:val="24"/>
          <w:szCs w:val="24"/>
          <w:highlight w:val="none"/>
        </w:rPr>
        <w:t>“十五五”期形势要求，根据国家、省、市</w:t>
      </w:r>
      <w:r>
        <w:rPr>
          <w:rFonts w:hint="eastAsia" w:ascii="宋体" w:hAnsi="宋体" w:cs="宋体"/>
          <w:sz w:val="24"/>
          <w:szCs w:val="24"/>
          <w:highlight w:val="none"/>
          <w:lang w:val="en-US" w:eastAsia="zh-CN"/>
        </w:rPr>
        <w:t>综合交通</w:t>
      </w:r>
      <w:r>
        <w:rPr>
          <w:rFonts w:hint="eastAsia" w:ascii="宋体" w:hAnsi="宋体" w:eastAsia="宋体" w:cs="宋体"/>
          <w:sz w:val="24"/>
          <w:szCs w:val="24"/>
          <w:highlight w:val="none"/>
        </w:rPr>
        <w:t>总体发展要求及上虞</w:t>
      </w:r>
      <w:r>
        <w:rPr>
          <w:rFonts w:hint="eastAsia" w:ascii="宋体" w:hAnsi="宋体" w:cs="宋体"/>
          <w:sz w:val="24"/>
          <w:szCs w:val="24"/>
          <w:highlight w:val="none"/>
          <w:lang w:val="en-US" w:eastAsia="zh-CN"/>
        </w:rPr>
        <w:t>交通</w:t>
      </w:r>
      <w:r>
        <w:rPr>
          <w:rFonts w:hint="eastAsia" w:ascii="宋体" w:hAnsi="宋体" w:eastAsia="宋体" w:cs="宋体"/>
          <w:sz w:val="24"/>
          <w:szCs w:val="24"/>
          <w:highlight w:val="none"/>
        </w:rPr>
        <w:t>发展现实基础，</w:t>
      </w:r>
      <w:r>
        <w:rPr>
          <w:rFonts w:hint="eastAsia" w:ascii="宋体" w:hAnsi="宋体" w:cs="宋体"/>
          <w:sz w:val="24"/>
          <w:szCs w:val="24"/>
          <w:highlight w:val="none"/>
          <w:lang w:val="en-US" w:eastAsia="zh-CN"/>
        </w:rPr>
        <w:t>研究</w:t>
      </w:r>
      <w:r>
        <w:rPr>
          <w:rFonts w:hint="eastAsia" w:ascii="宋体" w:hAnsi="宋体" w:eastAsia="宋体" w:cs="宋体"/>
          <w:sz w:val="24"/>
          <w:szCs w:val="24"/>
          <w:highlight w:val="none"/>
        </w:rPr>
        <w:t>提出</w:t>
      </w:r>
      <w:r>
        <w:rPr>
          <w:rFonts w:hint="eastAsia" w:ascii="宋体" w:hAnsi="宋体" w:cs="宋体"/>
          <w:sz w:val="24"/>
          <w:szCs w:val="24"/>
          <w:highlight w:val="none"/>
          <w:lang w:val="en-US" w:eastAsia="zh-CN"/>
        </w:rPr>
        <w:t>上虞区</w:t>
      </w:r>
      <w:r>
        <w:rPr>
          <w:rFonts w:hint="eastAsia" w:ascii="宋体" w:hAnsi="宋体" w:eastAsia="宋体" w:cs="宋体"/>
          <w:sz w:val="24"/>
          <w:szCs w:val="24"/>
          <w:highlight w:val="none"/>
        </w:rPr>
        <w:t>“十五五”综合交通运输发展的总体思路、主要目标，提出建设现代化交通基础设施体系等方面重点任务、重大工程项目和政策措施</w:t>
      </w:r>
      <w:r>
        <w:rPr>
          <w:rFonts w:hint="eastAsia" w:ascii="宋体" w:hAnsi="宋体" w:cs="宋体"/>
          <w:sz w:val="24"/>
          <w:szCs w:val="24"/>
          <w:highlight w:val="none"/>
          <w:lang w:val="en-US" w:eastAsia="zh-CN"/>
        </w:rPr>
        <w:t>等</w:t>
      </w:r>
      <w:r>
        <w:rPr>
          <w:rFonts w:hint="eastAsia" w:ascii="宋体" w:hAnsi="宋体" w:eastAsia="宋体" w:cs="宋体"/>
          <w:sz w:val="24"/>
          <w:szCs w:val="24"/>
          <w:highlight w:val="none"/>
        </w:rPr>
        <w:t>。</w:t>
      </w:r>
    </w:p>
    <w:p w14:paraId="5775FEC1">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Times New Roman" w:eastAsia="宋体" w:cs="Times New Roman"/>
          <w:color w:val="auto"/>
          <w:kern w:val="0"/>
          <w:sz w:val="24"/>
          <w:highlight w:val="none"/>
          <w:lang w:val="en-US" w:eastAsia="zh-CN"/>
        </w:rPr>
      </w:pPr>
      <w:r>
        <w:rPr>
          <w:rFonts w:hint="eastAsia" w:ascii="宋体" w:hAnsi="宋体" w:eastAsia="宋体" w:cs="宋体"/>
          <w:sz w:val="24"/>
          <w:szCs w:val="24"/>
          <w:highlight w:val="none"/>
        </w:rPr>
        <w:t>编制阶段包括：编制大纲、框架稿、征求意见稿、送审稿、报批稿5个阶段，经历资料收集、数据分析、规划调研、形势研究、部门对接、会议研讨、专家审查、修改完善、规划报批等中间过程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配合开展“十</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rPr>
        <w:t>五”规划过程性评估服务工作。</w:t>
      </w:r>
    </w:p>
    <w:p w14:paraId="5D545C47">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宋体" w:hAnsi="Times New Roman" w:eastAsia="宋体" w:cs="Times New Roman"/>
          <w:b/>
          <w:bCs/>
          <w:color w:val="auto"/>
          <w:kern w:val="0"/>
          <w:sz w:val="24"/>
          <w:highlight w:val="none"/>
          <w:lang w:val="en-US" w:eastAsia="zh-CN"/>
        </w:rPr>
      </w:pPr>
      <w:r>
        <w:rPr>
          <w:rFonts w:hint="eastAsia" w:ascii="宋体" w:cs="Times New Roman"/>
          <w:b/>
          <w:bCs/>
          <w:color w:val="auto"/>
          <w:kern w:val="0"/>
          <w:sz w:val="24"/>
          <w:highlight w:val="none"/>
          <w:lang w:val="en-US" w:eastAsia="zh-CN"/>
        </w:rPr>
        <w:t>三</w:t>
      </w:r>
      <w:r>
        <w:rPr>
          <w:rFonts w:hint="eastAsia" w:ascii="宋体" w:hAnsi="Times New Roman" w:eastAsia="宋体" w:cs="Times New Roman"/>
          <w:b/>
          <w:bCs/>
          <w:color w:val="auto"/>
          <w:kern w:val="0"/>
          <w:sz w:val="24"/>
          <w:highlight w:val="none"/>
          <w:lang w:val="en-US" w:eastAsia="zh-CN"/>
        </w:rPr>
        <w:t>、</w:t>
      </w:r>
      <w:r>
        <w:rPr>
          <w:rFonts w:hint="eastAsia" w:ascii="宋体" w:cs="Times New Roman"/>
          <w:b/>
          <w:bCs/>
          <w:color w:val="auto"/>
          <w:kern w:val="0"/>
          <w:sz w:val="24"/>
          <w:highlight w:val="none"/>
          <w:lang w:val="en-US" w:eastAsia="zh-CN"/>
        </w:rPr>
        <w:t>项目编制成果要求</w:t>
      </w:r>
    </w:p>
    <w:p w14:paraId="115A08A3">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Times New Roman" w:eastAsia="宋体" w:cs="Times New Roman"/>
          <w:color w:val="auto"/>
          <w:kern w:val="0"/>
          <w:sz w:val="24"/>
          <w:highlight w:val="none"/>
          <w:lang w:val="en-US" w:eastAsia="zh-CN"/>
        </w:rPr>
      </w:pPr>
      <w:r>
        <w:rPr>
          <w:rFonts w:hint="eastAsia" w:ascii="宋体" w:hAnsi="宋体" w:eastAsia="宋体" w:cs="宋体"/>
          <w:sz w:val="24"/>
          <w:szCs w:val="24"/>
          <w:highlight w:val="none"/>
        </w:rPr>
        <w:t>规划成果内容满足国家规范要求并需专家评审及项目报批通过，须符合规划原则、工作范围、规划年限、规划内容和深度等要点的规定。规划图纸和文本必须做到清晰、完整、表达准确，同类图纸规格应尽量统一。</w:t>
      </w:r>
    </w:p>
    <w:p w14:paraId="1094750C">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Times New Roman" w:eastAsia="宋体" w:cs="Times New Roman"/>
          <w:b/>
          <w:bCs/>
          <w:color w:val="auto"/>
          <w:kern w:val="0"/>
          <w:sz w:val="24"/>
          <w:highlight w:val="none"/>
          <w:lang w:val="en-US" w:eastAsia="zh-CN"/>
        </w:rPr>
      </w:pPr>
      <w:r>
        <w:rPr>
          <w:rFonts w:hint="eastAsia" w:ascii="宋体" w:cs="Times New Roman"/>
          <w:b/>
          <w:bCs/>
          <w:color w:val="auto"/>
          <w:kern w:val="0"/>
          <w:sz w:val="24"/>
          <w:highlight w:val="none"/>
          <w:lang w:val="en-US" w:eastAsia="zh-CN"/>
        </w:rPr>
        <w:t>四</w:t>
      </w:r>
      <w:r>
        <w:rPr>
          <w:rFonts w:hint="eastAsia" w:ascii="宋体" w:hAnsi="Times New Roman" w:eastAsia="宋体" w:cs="Times New Roman"/>
          <w:b/>
          <w:bCs/>
          <w:color w:val="auto"/>
          <w:kern w:val="0"/>
          <w:sz w:val="24"/>
          <w:highlight w:val="none"/>
          <w:lang w:val="en-US" w:eastAsia="zh-CN"/>
        </w:rPr>
        <w:t>、</w:t>
      </w:r>
      <w:r>
        <w:rPr>
          <w:rFonts w:hint="eastAsia" w:ascii="宋体" w:cs="Times New Roman"/>
          <w:b/>
          <w:bCs/>
          <w:color w:val="auto"/>
          <w:kern w:val="0"/>
          <w:sz w:val="24"/>
          <w:highlight w:val="none"/>
          <w:lang w:val="en-US" w:eastAsia="zh-CN"/>
        </w:rPr>
        <w:t>项目服务期限</w:t>
      </w:r>
    </w:p>
    <w:p w14:paraId="63C70B17">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Times New Roman" w:eastAsia="宋体" w:cs="Times New Roman"/>
          <w:color w:val="auto"/>
          <w:kern w:val="0"/>
          <w:sz w:val="24"/>
          <w:highlight w:val="none"/>
          <w:lang w:val="en-US" w:eastAsia="zh-CN"/>
        </w:rPr>
      </w:pPr>
      <w:r>
        <w:rPr>
          <w:rFonts w:hint="eastAsia" w:ascii="宋体" w:hAnsi="宋体" w:cs="宋体"/>
          <w:sz w:val="24"/>
          <w:szCs w:val="24"/>
          <w:highlight w:val="none"/>
          <w:lang w:eastAsia="zh-CN"/>
        </w:rPr>
        <w:t>合同签订之日起</w:t>
      </w:r>
      <w:r>
        <w:rPr>
          <w:rFonts w:hint="eastAsia" w:ascii="宋体" w:hAnsi="宋体" w:eastAsia="宋体" w:cs="宋体"/>
          <w:sz w:val="24"/>
          <w:szCs w:val="24"/>
          <w:highlight w:val="none"/>
        </w:rPr>
        <w:t>至202</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eastAsia="zh-CN"/>
        </w:rPr>
        <w:t>底前完成评估报告</w:t>
      </w:r>
    </w:p>
    <w:p w14:paraId="7A912D8B">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宋体" w:hAnsi="Times New Roman" w:eastAsia="宋体" w:cs="Times New Roman"/>
          <w:b/>
          <w:bCs/>
          <w:color w:val="auto"/>
          <w:kern w:val="0"/>
          <w:sz w:val="24"/>
          <w:highlight w:val="none"/>
          <w:lang w:val="en-US" w:eastAsia="zh-CN"/>
        </w:rPr>
      </w:pPr>
      <w:r>
        <w:rPr>
          <w:rFonts w:hint="eastAsia" w:ascii="宋体" w:hAnsi="Times New Roman" w:cs="Times New Roman"/>
          <w:b/>
          <w:bCs/>
          <w:color w:val="auto"/>
          <w:kern w:val="0"/>
          <w:sz w:val="24"/>
          <w:highlight w:val="none"/>
          <w:lang w:val="en-US" w:eastAsia="zh-CN"/>
        </w:rPr>
        <w:t>五</w:t>
      </w:r>
      <w:r>
        <w:rPr>
          <w:rFonts w:hint="eastAsia" w:ascii="宋体" w:hAnsi="Times New Roman" w:eastAsia="宋体" w:cs="Times New Roman"/>
          <w:b/>
          <w:bCs/>
          <w:color w:val="auto"/>
          <w:kern w:val="0"/>
          <w:sz w:val="24"/>
          <w:highlight w:val="none"/>
          <w:lang w:val="en-US" w:eastAsia="zh-CN"/>
        </w:rPr>
        <w:t>、</w:t>
      </w:r>
      <w:r>
        <w:rPr>
          <w:rFonts w:hint="eastAsia" w:ascii="宋体" w:cs="Times New Roman"/>
          <w:b/>
          <w:bCs/>
          <w:color w:val="auto"/>
          <w:kern w:val="0"/>
          <w:sz w:val="24"/>
          <w:highlight w:val="none"/>
          <w:lang w:val="en-US" w:eastAsia="zh-CN"/>
        </w:rPr>
        <w:t>项目进度要求</w:t>
      </w:r>
    </w:p>
    <w:p w14:paraId="0D3D86C3">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cs="Times New Roman"/>
          <w:color w:val="auto"/>
          <w:kern w:val="0"/>
          <w:sz w:val="24"/>
          <w:highlight w:val="none"/>
          <w:lang w:val="en-US" w:eastAsia="zh-CN"/>
        </w:rPr>
      </w:pPr>
      <w:r>
        <w:rPr>
          <w:rFonts w:hint="eastAsia" w:ascii="宋体" w:hAnsi="宋体" w:eastAsia="宋体" w:cs="宋体"/>
          <w:sz w:val="24"/>
          <w:szCs w:val="24"/>
          <w:highlight w:val="none"/>
        </w:rPr>
        <w:t>上虞区综合交通运输发展“十</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rPr>
        <w:t>五”规划、上虞区重大交通项目谋划研究：202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底前</w:t>
      </w:r>
      <w:r>
        <w:rPr>
          <w:rFonts w:hint="eastAsia" w:ascii="宋体" w:hAnsi="宋体" w:eastAsia="宋体" w:cs="宋体"/>
          <w:sz w:val="24"/>
          <w:szCs w:val="24"/>
          <w:highlight w:val="none"/>
        </w:rPr>
        <w:t>完成送审稿，完成专家评审；专家评审后1个月内，根据专家审查会意见修编完善，提交最终报批稿完成报批；在审批阶段，做好相关配合服务。</w:t>
      </w:r>
    </w:p>
    <w:p w14:paraId="68DCA40C">
      <w:pPr>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宋体" w:hAnsi="Times New Roman" w:eastAsia="宋体" w:cs="Times New Roman"/>
          <w:b/>
          <w:bCs/>
          <w:color w:val="auto"/>
          <w:kern w:val="0"/>
          <w:sz w:val="24"/>
          <w:highlight w:val="none"/>
          <w:lang w:val="en-US" w:eastAsia="zh-CN"/>
        </w:rPr>
      </w:pPr>
      <w:r>
        <w:rPr>
          <w:rFonts w:hint="eastAsia" w:ascii="宋体" w:hAnsi="Times New Roman" w:cs="Times New Roman"/>
          <w:b/>
          <w:bCs/>
          <w:color w:val="auto"/>
          <w:kern w:val="0"/>
          <w:sz w:val="24"/>
          <w:highlight w:val="none"/>
          <w:lang w:val="en-US" w:eastAsia="zh-CN"/>
        </w:rPr>
        <w:t>六</w:t>
      </w:r>
      <w:r>
        <w:rPr>
          <w:rFonts w:hint="eastAsia" w:ascii="宋体" w:hAnsi="Times New Roman" w:eastAsia="宋体" w:cs="Times New Roman"/>
          <w:b/>
          <w:bCs/>
          <w:color w:val="auto"/>
          <w:kern w:val="0"/>
          <w:sz w:val="24"/>
          <w:highlight w:val="none"/>
          <w:lang w:val="en-US" w:eastAsia="zh-CN"/>
        </w:rPr>
        <w:t>、</w:t>
      </w:r>
      <w:r>
        <w:rPr>
          <w:rFonts w:hint="eastAsia" w:ascii="宋体" w:cs="Times New Roman"/>
          <w:b/>
          <w:bCs/>
          <w:color w:val="auto"/>
          <w:kern w:val="0"/>
          <w:sz w:val="24"/>
          <w:highlight w:val="none"/>
          <w:lang w:val="en-US" w:eastAsia="zh-CN"/>
        </w:rPr>
        <w:t>项目实施方案要求</w:t>
      </w:r>
    </w:p>
    <w:p w14:paraId="4D2B0984">
      <w:pPr>
        <w:pStyle w:val="25"/>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成交供应商在履行合同义务期间，应遵守国家有关法律、法规、维护采购人的合法权益；</w:t>
      </w:r>
    </w:p>
    <w:p w14:paraId="2F63C25D">
      <w:pPr>
        <w:pStyle w:val="25"/>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成交供应商应组建能够满足本项目服务需要的项目编制小组，按照工作范围和内容完成规划设计工作，并按约定向采购人汇报工作进展；</w:t>
      </w:r>
    </w:p>
    <w:p w14:paraId="12E4D880">
      <w:pPr>
        <w:pStyle w:val="25"/>
        <w:rPr>
          <w:rFonts w:hint="eastAsia" w:ascii="宋体" w:hAnsi="Times New Roman" w:eastAsia="宋体" w:cs="Times New Roman"/>
          <w:color w:val="auto"/>
          <w:kern w:val="0"/>
          <w:sz w:val="24"/>
          <w:highlight w:val="none"/>
          <w:lang w:val="en-US" w:eastAsia="zh-CN"/>
        </w:rPr>
      </w:pPr>
      <w:r>
        <w:rPr>
          <w:rFonts w:hint="eastAsia" w:ascii="宋体" w:hAnsi="宋体" w:eastAsia="宋体" w:cs="宋体"/>
          <w:sz w:val="24"/>
          <w:szCs w:val="24"/>
          <w:highlight w:val="none"/>
        </w:rPr>
        <w:t>最终研究、规划及相关成果须通过委托方验收。在项目成果通过验收并实施过程中，成交供应商应按照项目实际需求，配合采购人进一步完善细节。</w:t>
      </w:r>
    </w:p>
    <w:p w14:paraId="00555C73">
      <w:pPr>
        <w:spacing w:line="360" w:lineRule="auto"/>
        <w:ind w:left="48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七、项目验收要求</w:t>
      </w:r>
    </w:p>
    <w:p w14:paraId="7B1BAA21">
      <w:pPr>
        <w:numPr>
          <w:ilvl w:val="0"/>
          <w:numId w:val="0"/>
        </w:numPr>
        <w:shd w:val="clea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1、验收按国家有关规范标准（国家无验收规范标准的按双方合同规定的要求）进行。</w:t>
      </w:r>
    </w:p>
    <w:p w14:paraId="3B0D926C">
      <w:pPr>
        <w:numPr>
          <w:ilvl w:val="0"/>
          <w:numId w:val="0"/>
        </w:numPr>
        <w:shd w:val="clea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2、中标人需按照服务内容完成项目内容，满足技术要求。</w:t>
      </w:r>
    </w:p>
    <w:p w14:paraId="37F5AAB6">
      <w:pPr>
        <w:pStyle w:val="25"/>
        <w:rPr>
          <w:rFonts w:hint="eastAsia" w:ascii="宋体" w:hAnsi="Times New Roman" w:eastAsia="宋体" w:cs="Times New Roman"/>
          <w:b/>
          <w:bCs/>
          <w:color w:val="auto"/>
          <w:kern w:val="0"/>
          <w:sz w:val="24"/>
          <w:szCs w:val="21"/>
          <w:highlight w:val="none"/>
          <w:lang w:val="en-US" w:eastAsia="zh-CN" w:bidi="ar-SA"/>
        </w:rPr>
      </w:pPr>
      <w:r>
        <w:rPr>
          <w:rFonts w:hint="eastAsia" w:hAnsi="Times New Roman" w:cs="Times New Roman"/>
          <w:b/>
          <w:bCs/>
          <w:color w:val="auto"/>
          <w:kern w:val="0"/>
          <w:sz w:val="24"/>
          <w:szCs w:val="21"/>
          <w:highlight w:val="none"/>
          <w:lang w:val="en-US" w:eastAsia="zh-CN" w:bidi="ar-SA"/>
        </w:rPr>
        <w:t>八</w:t>
      </w:r>
      <w:r>
        <w:rPr>
          <w:rFonts w:hint="eastAsia" w:ascii="宋体" w:hAnsi="Times New Roman" w:eastAsia="宋体" w:cs="Times New Roman"/>
          <w:b/>
          <w:bCs/>
          <w:color w:val="auto"/>
          <w:kern w:val="0"/>
          <w:sz w:val="24"/>
          <w:szCs w:val="21"/>
          <w:highlight w:val="none"/>
          <w:lang w:val="en-US" w:eastAsia="zh-CN" w:bidi="ar-SA"/>
        </w:rPr>
        <w:t>、保密要求</w:t>
      </w:r>
    </w:p>
    <w:p w14:paraId="0CB8A8C8">
      <w:pPr>
        <w:pStyle w:val="25"/>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参与本项目研究的资料、成果等知识产权归采购人，有关的信息未经采购人同意不得向第三方泄露。成交供应商有责任对涉及项目的重要信息进行保密；成交供应商如因为项目的开展需要向第三方提供资料,必须提前得到采购人批准。若成交供应商违反保密要求的约定，应当承担违约责任。</w:t>
      </w:r>
    </w:p>
    <w:p w14:paraId="39371F56">
      <w:pPr>
        <w:pStyle w:val="71"/>
        <w:keepNext w:val="0"/>
        <w:keepLines w:val="0"/>
        <w:pageBreakBefore w:val="0"/>
        <w:widowControl w:val="0"/>
        <w:kinsoku/>
        <w:wordWrap/>
        <w:overflowPunct/>
        <w:topLinePunct w:val="0"/>
        <w:autoSpaceDE/>
        <w:autoSpaceDN/>
        <w:bidi w:val="0"/>
        <w:snapToGrid/>
        <w:spacing w:line="460" w:lineRule="exact"/>
        <w:ind w:left="0" w:leftChars="0" w:firstLine="482" w:firstLineChars="200"/>
        <w:textAlignment w:val="auto"/>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九、合同金额及付款方式</w:t>
      </w:r>
    </w:p>
    <w:p w14:paraId="4D4E790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w:t>
      </w:r>
      <w:r>
        <w:rPr>
          <w:rFonts w:hint="eastAsia" w:ascii="宋体" w:hAnsi="宋体" w:eastAsia="宋体" w:cs="宋体"/>
          <w:color w:val="auto"/>
          <w:sz w:val="24"/>
          <w:szCs w:val="24"/>
          <w:highlight w:val="none"/>
          <w:lang w:eastAsia="zh-CN"/>
        </w:rPr>
        <w:t>服务</w:t>
      </w:r>
      <w:r>
        <w:rPr>
          <w:rFonts w:hint="eastAsia" w:ascii="宋体" w:hAnsi="宋体" w:eastAsia="宋体" w:cs="宋体"/>
          <w:bCs/>
          <w:color w:val="auto"/>
          <w:sz w:val="24"/>
          <w:highlight w:val="none"/>
        </w:rPr>
        <w:t>费用</w:t>
      </w:r>
    </w:p>
    <w:p w14:paraId="68DAEBF2">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合同金额：大写：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小写: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1B0D8B92">
      <w:pPr>
        <w:keepNext w:val="0"/>
        <w:keepLines w:val="0"/>
        <w:pageBreakBefore w:val="0"/>
        <w:widowControl w:val="0"/>
        <w:numPr>
          <w:ilvl w:val="0"/>
          <w:numId w:val="0"/>
        </w:numPr>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费用</w:t>
      </w:r>
      <w:r>
        <w:rPr>
          <w:rFonts w:hint="eastAsia" w:ascii="宋体" w:hAnsi="宋体" w:eastAsia="宋体" w:cs="宋体"/>
          <w:color w:val="auto"/>
          <w:sz w:val="24"/>
          <w:highlight w:val="none"/>
        </w:rPr>
        <w:t>包含项目所需全部服务，不得缺漏，是履行合同的最终价格（人工成本费，即人员的工资福利、员工五险费(养老保险、医疗保险、失业保险、工伤保险、生育保险)；设计费、调查费、勘察费、编制费、差旅费、食宿费、管理费、采购代理费、税费等一切项目实施所需费用）</w:t>
      </w:r>
    </w:p>
    <w:p w14:paraId="59282D36">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2.付款方式 </w:t>
      </w:r>
    </w:p>
    <w:p w14:paraId="2D56DBC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合同生效以及具备实施条件后7个工作日内支付合同价的20%；</w:t>
      </w:r>
    </w:p>
    <w:p w14:paraId="71D40AA7">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完成规划设计及相关专题研究初稿后7个工作日内支付合同款的20%；</w:t>
      </w:r>
    </w:p>
    <w:p w14:paraId="62CE56A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规划设计及相关专题研究通过专家评审后支付合同款的20%；</w:t>
      </w:r>
    </w:p>
    <w:p w14:paraId="55D1D528">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方案修改完善提交最终成果并报批完成支付合同款的20%；</w:t>
      </w:r>
    </w:p>
    <w:p w14:paraId="6DAE2A3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完成“十五五”中期调整报告且验收通过后支付剩余合同价款。</w:t>
      </w:r>
    </w:p>
    <w:p w14:paraId="751A54E3">
      <w:pPr>
        <w:keepNext w:val="0"/>
        <w:keepLines w:val="0"/>
        <w:pageBreakBefore w:val="0"/>
        <w:widowControl w:val="0"/>
        <w:numPr>
          <w:ilvl w:val="0"/>
          <w:numId w:val="0"/>
        </w:numPr>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付款要求</w:t>
      </w:r>
    </w:p>
    <w:p w14:paraId="337B87A8">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乙方在收款之前，应向甲方提供等额、合法、有效的发票，甲方凭发票付款。如乙方未按约定提供发票的，甲方有权拒绝付款，直至收到乙方提交的相应发票为止，在此情况下，甲方不承担逾期付款违约责任。</w:t>
      </w:r>
    </w:p>
    <w:p w14:paraId="78967402">
      <w:pPr>
        <w:pStyle w:val="71"/>
        <w:keepNext w:val="0"/>
        <w:keepLines w:val="0"/>
        <w:pageBreakBefore w:val="0"/>
        <w:widowControl w:val="0"/>
        <w:kinsoku/>
        <w:wordWrap/>
        <w:overflowPunct/>
        <w:topLinePunct w:val="0"/>
        <w:autoSpaceDE/>
        <w:autoSpaceDN/>
        <w:bidi w:val="0"/>
        <w:snapToGrid/>
        <w:spacing w:line="460" w:lineRule="exact"/>
        <w:ind w:left="420" w:leftChars="200" w:firstLine="0"/>
        <w:textAlignment w:val="auto"/>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违约责任</w:t>
      </w:r>
    </w:p>
    <w:p w14:paraId="0258FEB1">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逾期提交本合同约定的成果或逾期履行本合同项下义务，每逾期一天，应向</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支付合同最高总价1%的违约金。逾期超过15个工作日的，</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有权解除本合同，</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应向</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支付相当于合同最高总价20%的违约金。</w:t>
      </w:r>
    </w:p>
    <w:p w14:paraId="539419E7">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提供的成果不能通过</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任一阶段审查或验收的，</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有权解除合同，</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应向</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支付相当于合同最高总价20%的违约金，并有权另行委托其它单位继续开展此项工作。如</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同意</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继续履行合同的，</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应向</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支付合同最高总价5%的违约金，并在15个工作日内完成修改完善工作，未如期完成修善并通过</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审核的，</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仍有权解除合同，</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应向</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支付相当于合同最高总价20%的违约金。</w:t>
      </w:r>
    </w:p>
    <w:p w14:paraId="7E029174">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未经</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书面同意，将</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所委托完成的任何工作转包或分包给任何第三人的，</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有权解除合同，</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应向</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支付相当于合同最高总价20%的违约金。</w:t>
      </w:r>
    </w:p>
    <w:p w14:paraId="487E56FF">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.没有发生法律或者合同约定的合同解除事项，</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解除合同的，除返还</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全部已支付费用外，还应支付</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合同最高总价20%的违约金。本条款不视为赋予</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单方解除本合同的权利。因政策变化、规划调整、机构改革、履职要求、产权变更、形势变更以及公共利益需要等原因，</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不需要</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继续提供服务的，经</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提前10天通知</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有权解除本合同，这不视为</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违约。</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应按照</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实际完成的合格工作量支付服务价款，此外</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无需向</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承担任何赔偿、补偿责任。</w:t>
      </w:r>
    </w:p>
    <w:p w14:paraId="5CEBB676">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.除合同对违约责任另有约定外，</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有任何违反合同约定的行为的，</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有权要求</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改正和补救，并按照合同最高总价5%每次的标准计扣违约金。</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拒不改正、未改正至</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满意或累计3次（含本数）出现违约行为的，</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有权解除合同，</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应向</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支付相当于合同最高总价20%的违约金。</w:t>
      </w:r>
    </w:p>
    <w:p w14:paraId="631A3DE7">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乙方</w:t>
      </w:r>
      <w:r>
        <w:rPr>
          <w:rFonts w:hint="eastAsia" w:ascii="宋体" w:hAnsi="宋体" w:eastAsia="宋体" w:cs="宋体"/>
          <w:bCs/>
          <w:color w:val="auto"/>
          <w:sz w:val="24"/>
          <w:highlight w:val="none"/>
          <w:lang w:val="en-US" w:eastAsia="zh-CN"/>
        </w:rPr>
        <w:t>违反本合同，给</w:t>
      </w:r>
      <w:r>
        <w:rPr>
          <w:rFonts w:hint="eastAsia" w:ascii="宋体" w:hAnsi="宋体" w:cs="宋体"/>
          <w:bCs/>
          <w:color w:val="auto"/>
          <w:sz w:val="24"/>
          <w:highlight w:val="none"/>
          <w:lang w:val="en-US" w:eastAsia="zh-CN"/>
        </w:rPr>
        <w:t>甲方</w:t>
      </w:r>
      <w:r>
        <w:rPr>
          <w:rFonts w:hint="eastAsia" w:ascii="宋体" w:hAnsi="宋体" w:eastAsia="宋体" w:cs="宋体"/>
          <w:bCs/>
          <w:color w:val="auto"/>
          <w:sz w:val="24"/>
          <w:highlight w:val="none"/>
          <w:lang w:val="en-US" w:eastAsia="zh-CN"/>
        </w:rPr>
        <w:t>造成的损失超过违约金的，还应承担补足责任。</w:t>
      </w:r>
    </w:p>
    <w:p w14:paraId="67FD8F2A">
      <w:pPr>
        <w:pStyle w:val="71"/>
        <w:keepNext w:val="0"/>
        <w:keepLines w:val="0"/>
        <w:pageBreakBefore w:val="0"/>
        <w:widowControl w:val="0"/>
        <w:kinsoku/>
        <w:wordWrap/>
        <w:overflowPunct/>
        <w:topLinePunct w:val="0"/>
        <w:autoSpaceDE/>
        <w:autoSpaceDN/>
        <w:bidi w:val="0"/>
        <w:snapToGrid/>
        <w:spacing w:line="460" w:lineRule="exact"/>
        <w:ind w:left="420" w:leftChars="200" w:firstLine="0"/>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val="en-US" w:eastAsia="zh-CN"/>
        </w:rPr>
        <w:t>、争议解决</w:t>
      </w:r>
    </w:p>
    <w:p w14:paraId="5A0011B0">
      <w:pPr>
        <w:keepNext w:val="0"/>
        <w:keepLines w:val="0"/>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因本合同及合同有关事项发生的争议，由甲乙双方友好协商解决。协商不成时，可以向有关组织申请调解。合同一方或双方不愿调解或调解不成的，可以通过向合同履行所在地仲裁机构仲裁或合同履行所在地人民法院诉讼的方式解决争议。</w:t>
      </w:r>
    </w:p>
    <w:p w14:paraId="015707A2">
      <w:pPr>
        <w:keepNext w:val="0"/>
        <w:keepLines w:val="0"/>
        <w:pageBreakBefore w:val="0"/>
        <w:widowControl w:val="0"/>
        <w:kinsoku/>
        <w:wordWrap/>
        <w:overflowPunct/>
        <w:topLinePunct w:val="0"/>
        <w:autoSpaceDE/>
        <w:autoSpaceDN/>
        <w:bidi w:val="0"/>
        <w:snapToGrid/>
        <w:spacing w:line="4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2.如甲乙双方有争议的事项不影响合同其他部分的履行，在争议解决期间，合同其他部分应当继续履行。</w:t>
      </w:r>
    </w:p>
    <w:p w14:paraId="799BCFAC">
      <w:pPr>
        <w:pStyle w:val="71"/>
        <w:keepNext w:val="0"/>
        <w:keepLines w:val="0"/>
        <w:pageBreakBefore w:val="0"/>
        <w:widowControl w:val="0"/>
        <w:kinsoku/>
        <w:wordWrap/>
        <w:overflowPunct/>
        <w:topLinePunct w:val="0"/>
        <w:autoSpaceDE/>
        <w:autoSpaceDN/>
        <w:bidi w:val="0"/>
        <w:snapToGrid/>
        <w:spacing w:line="460" w:lineRule="exact"/>
        <w:ind w:left="420" w:leftChars="200" w:firstLine="0"/>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十二</w:t>
      </w:r>
      <w:r>
        <w:rPr>
          <w:rFonts w:hint="eastAsia" w:ascii="宋体" w:hAnsi="宋体" w:eastAsia="宋体" w:cs="宋体"/>
          <w:b/>
          <w:bCs/>
          <w:color w:val="auto"/>
          <w:sz w:val="24"/>
          <w:szCs w:val="24"/>
          <w:highlight w:val="none"/>
          <w:lang w:val="en-US" w:eastAsia="zh-CN"/>
        </w:rPr>
        <w:t>、附则</w:t>
      </w:r>
    </w:p>
    <w:p w14:paraId="4337D1AC">
      <w:pPr>
        <w:keepNext w:val="0"/>
        <w:keepLines w:val="0"/>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本合同由双方代表签字，加盖双方公章或合同专用章即生效。合同期满，全部工作交接完毕和服务费结算完成后，本合同终止。</w:t>
      </w:r>
    </w:p>
    <w:p w14:paraId="65F5D44E">
      <w:pPr>
        <w:keepNext w:val="0"/>
        <w:keepLines w:val="0"/>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2、本合同执行过程中的未尽事宜，双方应本着实事求是友好协商的态度加以解决。双方协商一致的，签订补充协议。补充协议与本合同具有同等效力。</w:t>
      </w:r>
    </w:p>
    <w:p w14:paraId="3E80341C">
      <w:pPr>
        <w:keepNext w:val="0"/>
        <w:keepLines w:val="0"/>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3、由于不可抗力，致使合同无法履行时，双方应按有关法律规定及时协商处理</w:t>
      </w:r>
      <w:r>
        <w:rPr>
          <w:rFonts w:hint="eastAsia" w:ascii="宋体" w:hAnsi="宋体" w:cs="宋体"/>
          <w:color w:val="auto"/>
          <w:sz w:val="24"/>
          <w:highlight w:val="none"/>
          <w:lang w:val="en-US" w:eastAsia="zh-CN"/>
        </w:rPr>
        <w:t>。</w:t>
      </w:r>
    </w:p>
    <w:p w14:paraId="3966A199">
      <w:pPr>
        <w:keepNext w:val="0"/>
        <w:keepLines w:val="0"/>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、本项目货物如</w:t>
      </w:r>
      <w:r>
        <w:rPr>
          <w:rFonts w:hint="eastAsia" w:ascii="宋体" w:hAnsi="宋体" w:eastAsia="宋体" w:cs="宋体"/>
          <w:color w:val="auto"/>
          <w:sz w:val="24"/>
          <w:szCs w:val="24"/>
          <w:highlight w:val="none"/>
          <w:lang w:val="en-US" w:eastAsia="zh-CN"/>
        </w:rPr>
        <w:t>涉及</w:t>
      </w:r>
      <w:r>
        <w:rPr>
          <w:rFonts w:hint="eastAsia" w:ascii="宋体" w:hAnsi="宋体" w:eastAsia="宋体" w:cs="宋体"/>
          <w:color w:val="auto"/>
          <w:sz w:val="24"/>
          <w:highlight w:val="none"/>
          <w:lang w:val="en-US" w:eastAsia="zh-CN"/>
        </w:rPr>
        <w:t>柴油动力移动源，柴油动力移动源应当符合低排放要求。</w:t>
      </w:r>
    </w:p>
    <w:p w14:paraId="4D9C342E">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份，甲方和乙方各执</w:t>
      </w:r>
      <w:r>
        <w:rPr>
          <w:rFonts w:hint="eastAsia" w:ascii="宋体" w:hAnsi="宋体" w:cs="宋体"/>
          <w:color w:val="auto"/>
          <w:sz w:val="24"/>
          <w:highlight w:val="none"/>
          <w:lang w:val="en-US" w:eastAsia="zh-CN"/>
        </w:rPr>
        <w:t>贰</w:t>
      </w:r>
      <w:r>
        <w:rPr>
          <w:rFonts w:hint="eastAsia" w:ascii="宋体" w:hAnsi="宋体" w:eastAsia="宋体" w:cs="宋体"/>
          <w:color w:val="auto"/>
          <w:sz w:val="24"/>
          <w:highlight w:val="none"/>
        </w:rPr>
        <w:t>份，并由甲方在30日内做好政采云平台网上合同创建及备案。</w:t>
      </w:r>
    </w:p>
    <w:tbl>
      <w:tblPr>
        <w:tblStyle w:val="2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362"/>
        <w:gridCol w:w="1636"/>
        <w:gridCol w:w="2726"/>
      </w:tblGrid>
      <w:tr w14:paraId="12A4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7B2EB6DC">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甲方单位</w:t>
            </w:r>
          </w:p>
        </w:tc>
        <w:tc>
          <w:tcPr>
            <w:tcW w:w="2362" w:type="dxa"/>
            <w:noWrap w:val="0"/>
            <w:vAlign w:val="center"/>
          </w:tcPr>
          <w:p w14:paraId="4AB8D665">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c>
          <w:tcPr>
            <w:tcW w:w="1636" w:type="dxa"/>
            <w:noWrap w:val="0"/>
            <w:vAlign w:val="center"/>
          </w:tcPr>
          <w:p w14:paraId="416D8EA5">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乙方单位</w:t>
            </w:r>
          </w:p>
        </w:tc>
        <w:tc>
          <w:tcPr>
            <w:tcW w:w="2726" w:type="dxa"/>
            <w:noWrap w:val="0"/>
            <w:vAlign w:val="center"/>
          </w:tcPr>
          <w:p w14:paraId="13F18AB1">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r>
      <w:tr w14:paraId="6F07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6E5DC714">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代表签名</w:t>
            </w:r>
          </w:p>
        </w:tc>
        <w:tc>
          <w:tcPr>
            <w:tcW w:w="2362" w:type="dxa"/>
            <w:noWrap w:val="0"/>
            <w:vAlign w:val="center"/>
          </w:tcPr>
          <w:p w14:paraId="6F12253C">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5A1F1D46">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代表签名</w:t>
            </w:r>
          </w:p>
        </w:tc>
        <w:tc>
          <w:tcPr>
            <w:tcW w:w="2726" w:type="dxa"/>
            <w:noWrap w:val="0"/>
            <w:vAlign w:val="center"/>
          </w:tcPr>
          <w:p w14:paraId="268D337F">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17C6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1AFD0A2E">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362" w:type="dxa"/>
            <w:noWrap w:val="0"/>
            <w:vAlign w:val="center"/>
          </w:tcPr>
          <w:p w14:paraId="6B7CE748">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06D9F08E">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726" w:type="dxa"/>
            <w:noWrap w:val="0"/>
            <w:vAlign w:val="center"/>
          </w:tcPr>
          <w:p w14:paraId="6E8DE49C">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12AD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3EDBCBDC">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362" w:type="dxa"/>
            <w:noWrap w:val="0"/>
            <w:vAlign w:val="center"/>
          </w:tcPr>
          <w:p w14:paraId="67358120">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09F9CA6E">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726" w:type="dxa"/>
            <w:noWrap w:val="0"/>
            <w:vAlign w:val="center"/>
          </w:tcPr>
          <w:p w14:paraId="4CE24777">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4512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293A6FBC">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362" w:type="dxa"/>
            <w:noWrap w:val="0"/>
            <w:vAlign w:val="center"/>
          </w:tcPr>
          <w:p w14:paraId="3DE85323">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0A9629A0">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726" w:type="dxa"/>
            <w:noWrap w:val="0"/>
            <w:vAlign w:val="center"/>
          </w:tcPr>
          <w:p w14:paraId="1D03A6D0">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6AFC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453" w:type="dxa"/>
            <w:noWrap w:val="0"/>
            <w:vAlign w:val="center"/>
          </w:tcPr>
          <w:p w14:paraId="427688DB">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账号</w:t>
            </w:r>
          </w:p>
        </w:tc>
        <w:tc>
          <w:tcPr>
            <w:tcW w:w="2362" w:type="dxa"/>
            <w:noWrap w:val="0"/>
            <w:vAlign w:val="center"/>
          </w:tcPr>
          <w:p w14:paraId="5125874D">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56E0D5FE">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账号</w:t>
            </w:r>
          </w:p>
        </w:tc>
        <w:tc>
          <w:tcPr>
            <w:tcW w:w="2726" w:type="dxa"/>
            <w:noWrap w:val="0"/>
            <w:vAlign w:val="center"/>
          </w:tcPr>
          <w:p w14:paraId="35E8FCD5">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bl>
    <w:p w14:paraId="68E87B1F">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3885283F">
      <w:pPr>
        <w:pStyle w:val="3"/>
        <w:jc w:val="center"/>
        <w:rPr>
          <w:rFonts w:cs="Times New Roman"/>
          <w:color w:val="auto"/>
          <w:sz w:val="36"/>
          <w:szCs w:val="36"/>
          <w:highlight w:val="none"/>
        </w:rPr>
      </w:pPr>
      <w:bookmarkStart w:id="88" w:name="_Toc15719"/>
      <w:bookmarkStart w:id="89" w:name="_Toc4669"/>
      <w:bookmarkStart w:id="90" w:name="_Toc7690"/>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88"/>
      <w:bookmarkEnd w:id="89"/>
      <w:bookmarkEnd w:id="90"/>
    </w:p>
    <w:p w14:paraId="6175E52B">
      <w:pPr>
        <w:rPr>
          <w:color w:val="auto"/>
          <w:highlight w:val="none"/>
        </w:rPr>
      </w:pPr>
    </w:p>
    <w:p w14:paraId="66AF57E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4100452E">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15233E17">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14:paraId="7A769A88">
      <w:pPr>
        <w:spacing w:line="360" w:lineRule="auto"/>
        <w:jc w:val="center"/>
        <w:rPr>
          <w:rFonts w:ascii="宋体"/>
          <w:b/>
          <w:bCs/>
          <w:color w:val="auto"/>
          <w:kern w:val="0"/>
          <w:sz w:val="36"/>
          <w:szCs w:val="36"/>
          <w:highlight w:val="none"/>
        </w:rPr>
      </w:pPr>
    </w:p>
    <w:p w14:paraId="7B9A3C6C">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3522D4A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p>
    <w:p w14:paraId="1EF1A7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（2）营业执照</w:t>
      </w:r>
      <w:r>
        <w:rPr>
          <w:rFonts w:ascii="宋体" w:hAnsi="宋体" w:cs="宋体"/>
          <w:color w:val="auto"/>
          <w:sz w:val="24"/>
          <w:szCs w:val="24"/>
          <w:highlight w:val="none"/>
        </w:rPr>
        <w:t>(</w:t>
      </w:r>
      <w:r>
        <w:rPr>
          <w:rFonts w:hint="eastAsia" w:ascii="宋体" w:hAnsi="宋体" w:cs="宋体"/>
          <w:color w:val="auto"/>
          <w:sz w:val="24"/>
          <w:szCs w:val="24"/>
          <w:highlight w:val="none"/>
        </w:rPr>
        <w:t>或事业法人登记证或其他工商等登记证明材料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复印件、税务登记证</w:t>
      </w:r>
      <w:r>
        <w:rPr>
          <w:rFonts w:ascii="宋体" w:hAnsi="宋体" w:cs="宋体"/>
          <w:color w:val="auto"/>
          <w:sz w:val="24"/>
          <w:szCs w:val="24"/>
          <w:highlight w:val="none"/>
        </w:rPr>
        <w:t>(</w:t>
      </w:r>
      <w:r>
        <w:rPr>
          <w:rFonts w:hint="eastAsia" w:ascii="宋体" w:hAnsi="宋体" w:cs="宋体"/>
          <w:color w:val="auto"/>
          <w:sz w:val="24"/>
          <w:szCs w:val="24"/>
          <w:highlight w:val="none"/>
        </w:rPr>
        <w:t>或其它缴纳证明材料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131CDC4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9A92D0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（3）具有履行合同所必需的产品和专业技术能力的承诺函；</w:t>
      </w:r>
    </w:p>
    <w:p w14:paraId="56D6C3BC">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（4）投标人承诺函（格式见附件）</w:t>
      </w:r>
      <w:r>
        <w:rPr>
          <w:rFonts w:hint="eastAsia" w:ascii="宋体" w:hAnsi="宋体" w:cs="宋体"/>
          <w:color w:val="auto"/>
          <w:sz w:val="24"/>
          <w:szCs w:val="24"/>
          <w:highlight w:val="none"/>
          <w:lang w:eastAsia="zh-CN"/>
        </w:rPr>
        <w:t>；</w:t>
      </w:r>
    </w:p>
    <w:p w14:paraId="0F13CCB8">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中小企业声明函（格式见附件）</w:t>
      </w:r>
      <w:r>
        <w:rPr>
          <w:rFonts w:hint="eastAsia" w:ascii="宋体" w:hAnsi="宋体" w:cs="宋体"/>
          <w:color w:val="auto"/>
          <w:sz w:val="24"/>
          <w:szCs w:val="24"/>
          <w:highlight w:val="none"/>
          <w:lang w:eastAsia="zh-CN"/>
        </w:rPr>
        <w:t>；</w:t>
      </w:r>
    </w:p>
    <w:p w14:paraId="46EFDF47">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残疾人福利性单位声明函（如有）（格式见附件）</w:t>
      </w:r>
      <w:r>
        <w:rPr>
          <w:rFonts w:hint="eastAsia" w:ascii="宋体" w:hAnsi="宋体" w:cs="宋体"/>
          <w:color w:val="auto"/>
          <w:sz w:val="24"/>
          <w:szCs w:val="24"/>
          <w:highlight w:val="none"/>
          <w:lang w:eastAsia="zh-CN"/>
        </w:rPr>
        <w:t>；</w:t>
      </w:r>
    </w:p>
    <w:p w14:paraId="299901E8">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监狱企业证明文件（如有）（格式见附件）</w:t>
      </w:r>
      <w:r>
        <w:rPr>
          <w:rFonts w:hint="eastAsia" w:ascii="宋体" w:hAnsi="宋体" w:cs="宋体"/>
          <w:color w:val="auto"/>
          <w:sz w:val="24"/>
          <w:szCs w:val="24"/>
          <w:highlight w:val="none"/>
          <w:lang w:eastAsia="zh-CN"/>
        </w:rPr>
        <w:t>。</w:t>
      </w:r>
    </w:p>
    <w:p w14:paraId="6F0AC1F6">
      <w:pPr>
        <w:pStyle w:val="10"/>
        <w:ind w:firstLine="486"/>
        <w:rPr>
          <w:rFonts w:cs="Times New Roman"/>
          <w:color w:val="auto"/>
          <w:highlight w:val="none"/>
        </w:rPr>
      </w:pPr>
    </w:p>
    <w:p w14:paraId="0C69D579">
      <w:pPr>
        <w:pStyle w:val="10"/>
        <w:ind w:firstLine="486"/>
        <w:rPr>
          <w:rFonts w:cs="Times New Roman"/>
          <w:color w:val="auto"/>
          <w:highlight w:val="none"/>
        </w:rPr>
      </w:pPr>
    </w:p>
    <w:p w14:paraId="0B523601">
      <w:pPr>
        <w:rPr>
          <w:rFonts w:ascii="宋体"/>
          <w:color w:val="auto"/>
          <w:highlight w:val="none"/>
        </w:rPr>
      </w:pPr>
      <w:r>
        <w:rPr>
          <w:rFonts w:ascii="宋体"/>
          <w:color w:val="auto"/>
          <w:highlight w:val="none"/>
        </w:rPr>
        <w:br w:type="page"/>
      </w:r>
      <w:bookmarkStart w:id="91" w:name="_Toc24699"/>
    </w:p>
    <w:p w14:paraId="1B60E5F3">
      <w:pPr>
        <w:rPr>
          <w:b/>
          <w:bCs/>
          <w:color w:val="auto"/>
          <w:sz w:val="22"/>
          <w:szCs w:val="22"/>
          <w:highlight w:val="none"/>
        </w:rPr>
      </w:pPr>
      <w:r>
        <w:rPr>
          <w:rFonts w:hint="eastAsia" w:cs="宋体"/>
          <w:b/>
          <w:bCs/>
          <w:color w:val="auto"/>
          <w:sz w:val="22"/>
          <w:szCs w:val="22"/>
          <w:highlight w:val="none"/>
        </w:rPr>
        <w:t>附件一：</w:t>
      </w:r>
    </w:p>
    <w:p w14:paraId="23FA6AC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91"/>
    </w:p>
    <w:p w14:paraId="6BB70762">
      <w:pPr>
        <w:pStyle w:val="5"/>
        <w:spacing w:line="360" w:lineRule="auto"/>
        <w:rPr>
          <w:rFonts w:ascii="宋体"/>
          <w:color w:val="auto"/>
          <w:highlight w:val="none"/>
        </w:rPr>
      </w:pPr>
    </w:p>
    <w:p w14:paraId="62C7F62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绍兴市上虞区交通运输局</w:t>
      </w:r>
      <w:r>
        <w:rPr>
          <w:rFonts w:hint="eastAsia" w:ascii="宋体" w:hAnsi="宋体" w:cs="宋体"/>
          <w:color w:val="auto"/>
          <w:sz w:val="24"/>
          <w:szCs w:val="24"/>
          <w:highlight w:val="none"/>
        </w:rPr>
        <w:t>：</w:t>
      </w:r>
    </w:p>
    <w:p w14:paraId="772C2D9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2A280EA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4917FB49">
      <w:pPr>
        <w:spacing w:line="360" w:lineRule="auto"/>
        <w:ind w:firstLine="480" w:firstLineChars="200"/>
        <w:rPr>
          <w:rFonts w:ascii="宋体"/>
          <w:color w:val="auto"/>
          <w:sz w:val="24"/>
          <w:szCs w:val="24"/>
          <w:highlight w:val="none"/>
        </w:rPr>
      </w:pPr>
    </w:p>
    <w:p w14:paraId="3336B0D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513F40B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6086020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6440BB3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6BC5327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5B42CEE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0A40B5C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6BBF018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5BB89A6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792ED03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346561B9">
      <w:pPr>
        <w:pStyle w:val="13"/>
        <w:snapToGrid w:val="0"/>
        <w:spacing w:line="360" w:lineRule="auto"/>
        <w:rPr>
          <w:rFonts w:hAnsi="宋体" w:cs="Times New Roman"/>
          <w:color w:val="auto"/>
          <w:sz w:val="24"/>
          <w:szCs w:val="24"/>
          <w:highlight w:val="none"/>
        </w:rPr>
      </w:pPr>
    </w:p>
    <w:p w14:paraId="0A50C659">
      <w:pPr>
        <w:pStyle w:val="13"/>
        <w:snapToGrid w:val="0"/>
        <w:spacing w:line="360" w:lineRule="auto"/>
        <w:rPr>
          <w:rFonts w:hAnsi="宋体" w:cs="Times New Roman"/>
          <w:color w:val="auto"/>
          <w:sz w:val="24"/>
          <w:szCs w:val="24"/>
          <w:highlight w:val="none"/>
        </w:rPr>
      </w:pPr>
    </w:p>
    <w:p w14:paraId="30CA18F6">
      <w:pPr>
        <w:pStyle w:val="13"/>
        <w:snapToGrid w:val="0"/>
        <w:spacing w:line="360" w:lineRule="auto"/>
        <w:rPr>
          <w:rFonts w:hAnsi="宋体" w:cs="Times New Roman"/>
          <w:color w:val="auto"/>
          <w:sz w:val="24"/>
          <w:szCs w:val="24"/>
          <w:highlight w:val="none"/>
        </w:rPr>
      </w:pPr>
    </w:p>
    <w:p w14:paraId="23055E8E">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476367B2">
      <w:pPr>
        <w:spacing w:line="360" w:lineRule="auto"/>
        <w:rPr>
          <w:rFonts w:ascii="宋体"/>
          <w:b/>
          <w:bCs/>
          <w:color w:val="auto"/>
          <w:sz w:val="24"/>
          <w:szCs w:val="24"/>
          <w:highlight w:val="none"/>
        </w:rPr>
      </w:pPr>
    </w:p>
    <w:p w14:paraId="2848B86C">
      <w:pPr>
        <w:pStyle w:val="10"/>
        <w:ind w:firstLine="486"/>
        <w:rPr>
          <w:rFonts w:cs="Times New Roman"/>
          <w:color w:val="auto"/>
          <w:highlight w:val="none"/>
        </w:rPr>
      </w:pPr>
    </w:p>
    <w:p w14:paraId="4ACD2DEF">
      <w:pP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ascii="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78BC3C43">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rPr>
        <w:t>投 标</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2AE2A630">
      <w:pPr>
        <w:pStyle w:val="20"/>
        <w:rPr>
          <w:color w:val="auto"/>
          <w:highlight w:val="none"/>
        </w:rPr>
      </w:pPr>
    </w:p>
    <w:p w14:paraId="1A07AA7A">
      <w:pPr>
        <w:rPr>
          <w:color w:val="auto"/>
          <w:highlight w:val="none"/>
        </w:rPr>
      </w:pPr>
    </w:p>
    <w:p w14:paraId="5358502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绍兴市上虞区交通运输局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23C9B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浙江宇康工程管理咨询有限公司：</w:t>
      </w:r>
    </w:p>
    <w:p w14:paraId="03C819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393088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2F8369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015740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09D1E2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79A969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14B9F7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4E3182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09E830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5AB0F0C7">
      <w:pPr>
        <w:pStyle w:val="57"/>
        <w:numPr>
          <w:ilvl w:val="0"/>
          <w:numId w:val="0"/>
        </w:numPr>
        <w:spacing w:before="0"/>
        <w:ind w:firstLine="480" w:firstLineChars="200"/>
        <w:jc w:val="left"/>
        <w:rPr>
          <w:rFonts w:hint="eastAsia" w:ascii="宋体" w:hAnsi="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cs="宋体"/>
          <w:color w:val="auto"/>
          <w:szCs w:val="24"/>
          <w:highlight w:val="none"/>
          <w:lang w:val="en-US" w:eastAsia="zh-CN"/>
        </w:rPr>
        <w:t>具有良好的商业信誉和健全的财务会计制度；</w:t>
      </w:r>
    </w:p>
    <w:p w14:paraId="6B9191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28BAD2A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13A4B687">
      <w:pPr>
        <w:spacing w:line="360" w:lineRule="auto"/>
        <w:ind w:firstLine="480" w:firstLineChars="200"/>
        <w:rPr>
          <w:rFonts w:hint="eastAsia" w:ascii="宋体" w:hAnsi="宋体" w:eastAsia="宋体" w:cs="宋体"/>
          <w:color w:val="auto"/>
          <w:sz w:val="24"/>
          <w:highlight w:val="none"/>
        </w:rPr>
      </w:pPr>
    </w:p>
    <w:p w14:paraId="0C3F811E">
      <w:pPr>
        <w:pStyle w:val="10"/>
        <w:rPr>
          <w:rFonts w:hint="eastAsia" w:ascii="宋体" w:hAnsi="宋体" w:eastAsia="宋体" w:cs="宋体"/>
          <w:color w:val="auto"/>
          <w:highlight w:val="none"/>
        </w:rPr>
      </w:pPr>
    </w:p>
    <w:p w14:paraId="566349E1">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70491970">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3F8B9D3">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6C9ECA44">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s="宋体"/>
          <w:color w:val="auto"/>
          <w:highlight w:val="none"/>
        </w:rPr>
      </w:pPr>
      <w:bookmarkStart w:id="92" w:name="_Toc31936"/>
    </w:p>
    <w:bookmarkEnd w:id="92"/>
    <w:p w14:paraId="708B1AED">
      <w:pPr>
        <w:spacing w:line="360" w:lineRule="auto"/>
        <w:rPr>
          <w:rFonts w:hint="eastAsia" w:ascii="宋体" w:hAnsi="Times New Roman" w:eastAsia="宋体" w:cs="Times New Roman"/>
          <w:b/>
          <w:bCs/>
          <w:color w:val="auto"/>
          <w:sz w:val="24"/>
          <w:szCs w:val="24"/>
          <w:highlight w:val="none"/>
          <w:lang w:val="zh-CN"/>
        </w:rPr>
      </w:pPr>
      <w:r>
        <w:rPr>
          <w:rFonts w:hint="eastAsia" w:ascii="宋体" w:hAnsi="Times New Roman" w:eastAsia="宋体" w:cs="Times New Roman"/>
          <w:b/>
          <w:bCs/>
          <w:color w:val="auto"/>
          <w:sz w:val="24"/>
          <w:szCs w:val="24"/>
          <w:highlight w:val="none"/>
          <w:lang w:val="zh-CN"/>
        </w:rPr>
        <w:t>附件</w:t>
      </w:r>
      <w:r>
        <w:rPr>
          <w:rFonts w:hint="eastAsia" w:ascii="宋体" w:hAnsi="Times New Roman" w:eastAsia="宋体" w:cs="Times New Roman"/>
          <w:b/>
          <w:bCs/>
          <w:color w:val="auto"/>
          <w:sz w:val="24"/>
          <w:szCs w:val="24"/>
          <w:highlight w:val="none"/>
          <w:lang w:val="en-US" w:eastAsia="zh-CN"/>
        </w:rPr>
        <w:t>三</w:t>
      </w:r>
      <w:r>
        <w:rPr>
          <w:rFonts w:hint="eastAsia" w:ascii="宋体" w:hAnsi="Times New Roman" w:eastAsia="宋体" w:cs="Times New Roman"/>
          <w:b/>
          <w:bCs/>
          <w:color w:val="auto"/>
          <w:sz w:val="24"/>
          <w:szCs w:val="24"/>
          <w:highlight w:val="none"/>
          <w:lang w:val="zh-CN"/>
        </w:rPr>
        <w:t>：</w:t>
      </w:r>
    </w:p>
    <w:p w14:paraId="0009A3FA">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中小企业声明函</w:t>
      </w:r>
    </w:p>
    <w:p w14:paraId="5800F832">
      <w:pPr>
        <w:widowControl/>
        <w:snapToGrid w:val="0"/>
        <w:spacing w:line="324" w:lineRule="auto"/>
        <w:ind w:firstLine="480" w:firstLineChars="20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 xml:space="preserve"> </w:t>
      </w:r>
    </w:p>
    <w:p w14:paraId="2F6A2D0C">
      <w:pPr>
        <w:spacing w:line="360" w:lineRule="auto"/>
        <w:ind w:firstLine="480" w:firstLineChars="200"/>
        <w:jc w:val="left"/>
        <w:rPr>
          <w:rFonts w:hint="eastAsia" w:ascii="宋体" w:hAnsi="宋体" w:cs="宋体"/>
          <w:color w:val="auto"/>
          <w:sz w:val="24"/>
          <w:highlight w:val="none"/>
        </w:rPr>
      </w:pPr>
    </w:p>
    <w:p w14:paraId="34CB1C7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本公司（联合体）郑重声明，根据《政府采购促进中小企业发展管理办法》 （财库﹝2020﹞46 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lang w:eastAsia="zh-CN"/>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的</w:t>
      </w:r>
      <w:r>
        <w:rPr>
          <w:rFonts w:hint="eastAsia" w:ascii="宋体" w:hAnsi="宋体" w:cs="宋体"/>
          <w:color w:val="auto"/>
          <w:sz w:val="24"/>
          <w:highlight w:val="none"/>
          <w:u w:val="single"/>
          <w:lang w:val="en-US" w:eastAsia="zh-CN"/>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CECB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lang w:val="en-US" w:eastAsia="zh-CN"/>
        </w:rPr>
        <w:t>其他未列明行业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41EC96E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p>
    <w:p w14:paraId="3C6C96A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9A812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0664E89">
      <w:pPr>
        <w:keepNext w:val="0"/>
        <w:keepLines w:val="0"/>
        <w:pageBreakBefore w:val="0"/>
        <w:widowControl w:val="0"/>
        <w:kinsoku/>
        <w:wordWrap/>
        <w:overflowPunct/>
        <w:topLinePunct w:val="0"/>
        <w:autoSpaceDE/>
        <w:autoSpaceDN/>
        <w:bidi w:val="0"/>
        <w:adjustRightInd/>
        <w:snapToGrid/>
        <w:spacing w:line="460" w:lineRule="exact"/>
        <w:ind w:right="420" w:firstLine="5880" w:firstLineChars="2450"/>
        <w:jc w:val="left"/>
        <w:textAlignment w:val="auto"/>
        <w:rPr>
          <w:rFonts w:hint="eastAsia" w:ascii="宋体" w:hAnsi="宋体" w:cs="宋体"/>
          <w:color w:val="auto"/>
          <w:sz w:val="24"/>
          <w:highlight w:val="none"/>
        </w:rPr>
      </w:pPr>
    </w:p>
    <w:p w14:paraId="6D98D458">
      <w:pPr>
        <w:keepNext w:val="0"/>
        <w:keepLines w:val="0"/>
        <w:pageBreakBefore w:val="0"/>
        <w:widowControl w:val="0"/>
        <w:kinsoku/>
        <w:wordWrap/>
        <w:overflowPunct/>
        <w:topLinePunct w:val="0"/>
        <w:autoSpaceDE/>
        <w:autoSpaceDN/>
        <w:bidi w:val="0"/>
        <w:adjustRightInd/>
        <w:snapToGrid/>
        <w:spacing w:line="460" w:lineRule="exact"/>
        <w:ind w:right="420" w:firstLine="4560" w:firstLineChars="1900"/>
        <w:textAlignment w:val="auto"/>
        <w:rPr>
          <w:rFonts w:hint="eastAsia" w:ascii="宋体" w:hAnsi="宋体" w:cs="宋体"/>
          <w:color w:val="auto"/>
          <w:sz w:val="24"/>
          <w:highlight w:val="none"/>
        </w:rPr>
      </w:pPr>
    </w:p>
    <w:p w14:paraId="08C1D648">
      <w:pPr>
        <w:keepNext w:val="0"/>
        <w:keepLines w:val="0"/>
        <w:pageBreakBefore w:val="0"/>
        <w:widowControl w:val="0"/>
        <w:kinsoku/>
        <w:wordWrap/>
        <w:overflowPunct/>
        <w:topLinePunct w:val="0"/>
        <w:autoSpaceDE/>
        <w:autoSpaceDN/>
        <w:bidi w:val="0"/>
        <w:adjustRightInd/>
        <w:snapToGrid/>
        <w:spacing w:line="460" w:lineRule="exact"/>
        <w:ind w:right="420" w:firstLine="4560" w:firstLineChars="19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企业名称（盖章）： </w:t>
      </w:r>
    </w:p>
    <w:p w14:paraId="04ADD4C1">
      <w:pPr>
        <w:keepNext w:val="0"/>
        <w:keepLines w:val="0"/>
        <w:pageBreakBefore w:val="0"/>
        <w:widowControl w:val="0"/>
        <w:kinsoku/>
        <w:wordWrap/>
        <w:overflowPunct/>
        <w:topLinePunct w:val="0"/>
        <w:autoSpaceDE/>
        <w:autoSpaceDN/>
        <w:bidi w:val="0"/>
        <w:adjustRightInd/>
        <w:snapToGrid/>
        <w:spacing w:line="460" w:lineRule="exact"/>
        <w:ind w:right="420" w:firstLine="4560" w:firstLineChars="1900"/>
        <w:textAlignment w:val="auto"/>
        <w:rPr>
          <w:rFonts w:hint="eastAsia"/>
          <w:color w:val="auto"/>
          <w:sz w:val="24"/>
          <w:highlight w:val="none"/>
        </w:rPr>
      </w:pPr>
      <w:r>
        <w:rPr>
          <w:rFonts w:hint="eastAsia" w:ascii="宋体" w:hAnsi="宋体" w:cs="宋体"/>
          <w:color w:val="auto"/>
          <w:sz w:val="24"/>
          <w:highlight w:val="none"/>
        </w:rPr>
        <w:t>日期：   年     月     日</w:t>
      </w:r>
    </w:p>
    <w:p w14:paraId="6B3A0FF1">
      <w:pPr>
        <w:snapToGrid w:val="0"/>
        <w:spacing w:line="360" w:lineRule="auto"/>
        <w:ind w:right="480"/>
        <w:rPr>
          <w:rFonts w:hint="eastAsia" w:ascii="宋体" w:hAnsi="宋体" w:cs="宋体"/>
          <w:color w:val="auto"/>
          <w:kern w:val="0"/>
          <w:sz w:val="24"/>
          <w:highlight w:val="none"/>
          <w:lang w:val="zh-CN"/>
        </w:rPr>
      </w:pPr>
    </w:p>
    <w:p w14:paraId="0C3A4EC3">
      <w:pPr>
        <w:snapToGrid w:val="0"/>
        <w:spacing w:line="360" w:lineRule="auto"/>
        <w:ind w:right="480"/>
        <w:rPr>
          <w:rFonts w:hint="eastAsia" w:ascii="宋体" w:hAnsi="宋体" w:cs="宋体"/>
          <w:color w:val="auto"/>
          <w:kern w:val="0"/>
          <w:sz w:val="24"/>
          <w:highlight w:val="none"/>
          <w:lang w:val="zh-CN"/>
        </w:rPr>
      </w:pPr>
    </w:p>
    <w:p w14:paraId="328ADB3B">
      <w:pPr>
        <w:pStyle w:val="5"/>
        <w:ind w:firstLine="0"/>
        <w:rPr>
          <w:rFonts w:hint="eastAsia" w:ascii="宋体" w:hAnsi="宋体" w:cs="宋体"/>
          <w:color w:val="auto"/>
          <w:sz w:val="24"/>
          <w:highlight w:val="none"/>
        </w:rPr>
      </w:pPr>
    </w:p>
    <w:p w14:paraId="3ECCC7EE">
      <w:pPr>
        <w:pStyle w:val="5"/>
        <w:rPr>
          <w:rFonts w:hint="eastAsia" w:ascii="宋体" w:hAnsi="宋体" w:cs="宋体"/>
          <w:color w:val="auto"/>
          <w:sz w:val="24"/>
          <w:highlight w:val="none"/>
        </w:rPr>
      </w:pPr>
    </w:p>
    <w:p w14:paraId="080B0481">
      <w:pPr>
        <w:pStyle w:val="5"/>
        <w:rPr>
          <w:rFonts w:hint="eastAsia" w:ascii="宋体" w:hAnsi="宋体" w:cs="宋体"/>
          <w:color w:val="auto"/>
          <w:sz w:val="24"/>
          <w:highlight w:val="none"/>
        </w:rPr>
      </w:pPr>
    </w:p>
    <w:p w14:paraId="2DE5C4A3">
      <w:pPr>
        <w:pStyle w:val="5"/>
        <w:rPr>
          <w:rFonts w:hint="eastAsia" w:ascii="宋体" w:hAnsi="宋体" w:cs="宋体"/>
          <w:color w:val="auto"/>
          <w:sz w:val="24"/>
          <w:highlight w:val="none"/>
        </w:rPr>
      </w:pPr>
    </w:p>
    <w:p w14:paraId="5F54AD8A">
      <w:pPr>
        <w:pStyle w:val="5"/>
        <w:rPr>
          <w:rFonts w:hint="eastAsia" w:ascii="宋体" w:hAnsi="宋体" w:cs="宋体"/>
          <w:color w:val="auto"/>
          <w:sz w:val="24"/>
          <w:highlight w:val="none"/>
        </w:rPr>
      </w:pPr>
    </w:p>
    <w:p w14:paraId="2F2B4A4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22EFD7AA">
      <w:pPr>
        <w:spacing w:line="360" w:lineRule="auto"/>
        <w:rPr>
          <w:rFonts w:hint="eastAsia" w:ascii="宋体" w:hAnsi="宋体" w:cs="宋体"/>
          <w:color w:val="auto"/>
          <w:sz w:val="24"/>
          <w:highlight w:val="none"/>
        </w:rPr>
      </w:pPr>
      <w:r>
        <w:rPr>
          <w:rFonts w:hint="eastAsia" w:ascii="宋体" w:hAnsi="宋体" w:cs="宋体"/>
          <w:color w:val="auto"/>
          <w:spacing w:val="20"/>
          <w:sz w:val="30"/>
          <w:szCs w:val="30"/>
          <w:highlight w:val="none"/>
        </w:rPr>
        <w:br w:type="page"/>
      </w:r>
      <w:r>
        <w:rPr>
          <w:rFonts w:hint="eastAsia" w:ascii="宋体" w:hAnsi="宋体" w:cs="宋体"/>
          <w:b/>
          <w:bCs/>
          <w:color w:val="auto"/>
          <w:sz w:val="24"/>
          <w:highlight w:val="none"/>
          <w:lang w:val="zh-CN"/>
        </w:rPr>
        <w:t>附件</w:t>
      </w:r>
      <w:r>
        <w:rPr>
          <w:rFonts w:hint="eastAsia" w:ascii="宋体" w:hAnsi="宋体" w:cs="宋体"/>
          <w:b/>
          <w:bCs/>
          <w:color w:val="auto"/>
          <w:sz w:val="24"/>
          <w:highlight w:val="none"/>
        </w:rPr>
        <w:t>四</w:t>
      </w:r>
      <w:r>
        <w:rPr>
          <w:rFonts w:hint="eastAsia" w:ascii="宋体" w:hAnsi="宋体" w:cs="宋体"/>
          <w:b/>
          <w:bCs/>
          <w:color w:val="auto"/>
          <w:sz w:val="24"/>
          <w:highlight w:val="none"/>
          <w:lang w:val="zh-CN"/>
        </w:rPr>
        <w:t>：</w:t>
      </w:r>
    </w:p>
    <w:p w14:paraId="0DD03D0B">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残疾人福利性单位声明函</w:t>
      </w:r>
    </w:p>
    <w:p w14:paraId="477DA7F5">
      <w:pPr>
        <w:widowControl/>
        <w:snapToGrid w:val="0"/>
        <w:spacing w:line="324" w:lineRule="auto"/>
        <w:ind w:firstLine="480" w:firstLineChars="20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【不属于残疾人福利性单位的无需填写、递交】</w:t>
      </w:r>
    </w:p>
    <w:p w14:paraId="77E4ACDB">
      <w:pPr>
        <w:spacing w:line="588" w:lineRule="exact"/>
        <w:rPr>
          <w:rFonts w:hint="eastAsia" w:ascii="宋体" w:hAnsi="宋体" w:cs="宋体"/>
          <w:b/>
          <w:color w:val="auto"/>
          <w:spacing w:val="6"/>
          <w:sz w:val="30"/>
          <w:szCs w:val="30"/>
          <w:highlight w:val="none"/>
        </w:rPr>
      </w:pPr>
    </w:p>
    <w:p w14:paraId="38D61325">
      <w:pPr>
        <w:spacing w:line="58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07BBE085">
      <w:pPr>
        <w:pStyle w:val="89"/>
        <w:rPr>
          <w:rFonts w:hint="eastAsia"/>
          <w:color w:val="auto"/>
          <w:highlight w:val="none"/>
        </w:rPr>
      </w:pPr>
    </w:p>
    <w:p w14:paraId="3435887F">
      <w:pPr>
        <w:pStyle w:val="5"/>
        <w:rPr>
          <w:rFonts w:hint="eastAsia"/>
          <w:color w:val="auto"/>
          <w:highlight w:val="none"/>
        </w:rPr>
      </w:pPr>
    </w:p>
    <w:p w14:paraId="778DF24C">
      <w:pPr>
        <w:spacing w:line="588" w:lineRule="exact"/>
        <w:rPr>
          <w:rFonts w:hint="eastAsia" w:ascii="宋体" w:hAnsi="宋体" w:cs="宋体"/>
          <w:color w:val="auto"/>
          <w:sz w:val="24"/>
          <w:highlight w:val="none"/>
        </w:rPr>
      </w:pPr>
    </w:p>
    <w:p w14:paraId="36D43A69">
      <w:pPr>
        <w:spacing w:line="360" w:lineRule="auto"/>
        <w:ind w:left="378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1492ACC2">
      <w:pPr>
        <w:spacing w:line="360" w:lineRule="auto"/>
        <w:ind w:left="378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w:t>
      </w:r>
    </w:p>
    <w:p w14:paraId="42DF905B">
      <w:pPr>
        <w:spacing w:line="360" w:lineRule="auto"/>
        <w:ind w:left="378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投标人全称（公章）：</w:t>
      </w:r>
    </w:p>
    <w:p w14:paraId="022DDEDA">
      <w:pPr>
        <w:spacing w:line="360" w:lineRule="auto"/>
        <w:rPr>
          <w:rFonts w:hint="eastAsia" w:hAnsi="宋体" w:cs="宋体"/>
          <w:bCs/>
          <w:color w:val="auto"/>
          <w:sz w:val="24"/>
          <w:szCs w:val="24"/>
          <w:highlight w:val="none"/>
          <w:lang w:val="zh-CN"/>
        </w:rPr>
      </w:pPr>
      <w:r>
        <w:rPr>
          <w:rFonts w:hint="eastAsia" w:hAnsi="宋体" w:cs="宋体"/>
          <w:color w:val="auto"/>
          <w:sz w:val="24"/>
          <w:highlight w:val="none"/>
        </w:rPr>
        <w:br w:type="page"/>
      </w:r>
      <w:r>
        <w:rPr>
          <w:rFonts w:hint="eastAsia" w:ascii="宋体" w:hAnsi="宋体" w:eastAsia="宋体" w:cs="宋体"/>
          <w:b/>
          <w:bCs/>
          <w:color w:val="auto"/>
          <w:kern w:val="2"/>
          <w:sz w:val="24"/>
          <w:szCs w:val="21"/>
          <w:highlight w:val="none"/>
          <w:lang w:val="zh-CN" w:eastAsia="zh-CN" w:bidi="ar-SA"/>
        </w:rPr>
        <w:t>附件</w:t>
      </w:r>
      <w:r>
        <w:rPr>
          <w:rFonts w:hint="eastAsia" w:ascii="宋体" w:hAnsi="宋体" w:eastAsia="宋体" w:cs="宋体"/>
          <w:b/>
          <w:bCs/>
          <w:color w:val="auto"/>
          <w:kern w:val="2"/>
          <w:sz w:val="24"/>
          <w:szCs w:val="21"/>
          <w:highlight w:val="none"/>
          <w:lang w:val="en-US" w:eastAsia="zh-CN" w:bidi="ar-SA"/>
        </w:rPr>
        <w:t>五</w:t>
      </w:r>
      <w:r>
        <w:rPr>
          <w:rFonts w:hint="eastAsia" w:ascii="宋体" w:hAnsi="宋体" w:eastAsia="宋体" w:cs="宋体"/>
          <w:b/>
          <w:bCs/>
          <w:color w:val="auto"/>
          <w:kern w:val="2"/>
          <w:sz w:val="24"/>
          <w:szCs w:val="21"/>
          <w:highlight w:val="none"/>
          <w:lang w:val="zh-CN" w:eastAsia="zh-CN" w:bidi="ar-SA"/>
        </w:rPr>
        <w:t>：</w:t>
      </w:r>
    </w:p>
    <w:p w14:paraId="2027A452">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监狱企业证明文件</w:t>
      </w:r>
    </w:p>
    <w:p w14:paraId="5124BE87">
      <w:pPr>
        <w:widowControl/>
        <w:snapToGrid w:val="0"/>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18854141">
      <w:pPr>
        <w:widowControl/>
        <w:snapToGrid w:val="0"/>
        <w:spacing w:line="324" w:lineRule="auto"/>
        <w:jc w:val="center"/>
        <w:rPr>
          <w:rFonts w:hint="eastAsia" w:ascii="宋体" w:hAnsi="宋体" w:cs="宋体"/>
          <w:color w:val="auto"/>
          <w:kern w:val="0"/>
          <w:sz w:val="24"/>
          <w:highlight w:val="none"/>
        </w:rPr>
      </w:pPr>
    </w:p>
    <w:p w14:paraId="0617A80A">
      <w:pPr>
        <w:spacing w:line="588" w:lineRule="exact"/>
        <w:ind w:firstLine="480" w:firstLineChars="200"/>
        <w:rPr>
          <w:rFonts w:hint="eastAsia" w:ascii="宋体" w:hAnsi="宋体" w:cs="宋体"/>
          <w:color w:val="auto"/>
          <w:sz w:val="24"/>
          <w:highlight w:val="none"/>
        </w:rPr>
      </w:pPr>
    </w:p>
    <w:p w14:paraId="01EFE44B">
      <w:pPr>
        <w:adjustRightInd w:val="0"/>
        <w:snapToGrid w:val="0"/>
        <w:spacing w:before="159" w:before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监狱企业需提供省级以上的监狱管理局、戒毒管理局（含新疆生产建设兵团）出具的属于监狱企业的证明文件。  </w:t>
      </w:r>
    </w:p>
    <w:p w14:paraId="14C33C9F">
      <w:pPr>
        <w:pStyle w:val="4"/>
        <w:rPr>
          <w:rFonts w:hint="eastAsia"/>
          <w:color w:val="auto"/>
          <w:highlight w:val="none"/>
        </w:rPr>
      </w:pPr>
    </w:p>
    <w:p w14:paraId="43EE703D">
      <w:pPr>
        <w:pStyle w:val="5"/>
        <w:rPr>
          <w:rFonts w:hint="eastAsia"/>
          <w:color w:val="auto"/>
          <w:highlight w:val="none"/>
        </w:rPr>
      </w:pPr>
    </w:p>
    <w:p w14:paraId="115D8408">
      <w:pPr>
        <w:spacing w:line="360" w:lineRule="auto"/>
        <w:ind w:left="378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01FCAA3A">
      <w:pPr>
        <w:spacing w:line="360" w:lineRule="auto"/>
        <w:ind w:left="3780" w:leftChars="1800"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w:t>
      </w:r>
    </w:p>
    <w:p w14:paraId="48A9F39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highlight w:val="none"/>
        </w:rPr>
        <w:t>投标人全称（公章）：</w:t>
      </w:r>
    </w:p>
    <w:p w14:paraId="2A473DFB">
      <w:pPr>
        <w:spacing w:line="360" w:lineRule="auto"/>
        <w:jc w:val="center"/>
        <w:rPr>
          <w:rFonts w:hint="eastAsia" w:ascii="宋体" w:hAnsi="宋体" w:cs="宋体"/>
          <w:b/>
          <w:bCs/>
          <w:color w:val="auto"/>
          <w:kern w:val="0"/>
          <w:sz w:val="36"/>
          <w:szCs w:val="36"/>
          <w:highlight w:val="none"/>
        </w:rPr>
      </w:pPr>
    </w:p>
    <w:p w14:paraId="7A0CA9A6">
      <w:pPr>
        <w:pStyle w:val="9"/>
        <w:rPr>
          <w:rFonts w:hint="eastAsia" w:ascii="宋体" w:hAnsi="宋体" w:cs="宋体"/>
          <w:b/>
          <w:bCs/>
          <w:color w:val="auto"/>
          <w:kern w:val="0"/>
          <w:sz w:val="36"/>
          <w:szCs w:val="36"/>
          <w:highlight w:val="none"/>
        </w:rPr>
      </w:pPr>
    </w:p>
    <w:p w14:paraId="4866DDA9">
      <w:pPr>
        <w:pStyle w:val="92"/>
        <w:rPr>
          <w:rFonts w:hint="eastAsia" w:ascii="宋体" w:hAnsi="宋体" w:cs="宋体"/>
          <w:b/>
          <w:bCs/>
          <w:color w:val="auto"/>
          <w:kern w:val="0"/>
          <w:sz w:val="36"/>
          <w:szCs w:val="36"/>
          <w:highlight w:val="none"/>
        </w:rPr>
      </w:pPr>
    </w:p>
    <w:p w14:paraId="2A0D02E8">
      <w:pPr>
        <w:rPr>
          <w:rFonts w:hint="eastAsia" w:ascii="宋体" w:hAnsi="宋体" w:cs="宋体"/>
          <w:b/>
          <w:bCs/>
          <w:color w:val="auto"/>
          <w:kern w:val="0"/>
          <w:sz w:val="36"/>
          <w:szCs w:val="36"/>
          <w:highlight w:val="none"/>
        </w:rPr>
      </w:pPr>
    </w:p>
    <w:p w14:paraId="24FA7101">
      <w:pPr>
        <w:pStyle w:val="9"/>
        <w:rPr>
          <w:rFonts w:hint="eastAsia" w:ascii="宋体" w:hAnsi="宋体" w:cs="宋体"/>
          <w:b/>
          <w:bCs/>
          <w:color w:val="auto"/>
          <w:kern w:val="0"/>
          <w:sz w:val="36"/>
          <w:szCs w:val="36"/>
          <w:highlight w:val="none"/>
        </w:rPr>
      </w:pPr>
    </w:p>
    <w:p w14:paraId="06A3B667">
      <w:pPr>
        <w:pStyle w:val="92"/>
        <w:rPr>
          <w:rFonts w:hint="eastAsia" w:ascii="宋体" w:hAnsi="宋体" w:cs="宋体"/>
          <w:b/>
          <w:bCs/>
          <w:color w:val="auto"/>
          <w:kern w:val="0"/>
          <w:sz w:val="36"/>
          <w:szCs w:val="36"/>
          <w:highlight w:val="none"/>
        </w:rPr>
      </w:pPr>
    </w:p>
    <w:p w14:paraId="26077990">
      <w:pPr>
        <w:rPr>
          <w:rFonts w:hint="eastAsia" w:ascii="宋体" w:hAnsi="宋体" w:cs="宋体"/>
          <w:b/>
          <w:bCs/>
          <w:color w:val="auto"/>
          <w:kern w:val="0"/>
          <w:sz w:val="36"/>
          <w:szCs w:val="36"/>
          <w:highlight w:val="none"/>
        </w:rPr>
      </w:pPr>
    </w:p>
    <w:p w14:paraId="4662BE0C">
      <w:pPr>
        <w:pStyle w:val="9"/>
        <w:rPr>
          <w:rFonts w:hint="eastAsia" w:ascii="宋体" w:hAnsi="宋体" w:cs="宋体"/>
          <w:b/>
          <w:bCs/>
          <w:color w:val="auto"/>
          <w:kern w:val="0"/>
          <w:sz w:val="36"/>
          <w:szCs w:val="36"/>
          <w:highlight w:val="none"/>
        </w:rPr>
      </w:pPr>
    </w:p>
    <w:p w14:paraId="618679C5">
      <w:pPr>
        <w:pStyle w:val="92"/>
        <w:rPr>
          <w:rFonts w:hint="eastAsia" w:ascii="宋体" w:hAnsi="宋体" w:cs="宋体"/>
          <w:b/>
          <w:bCs/>
          <w:color w:val="auto"/>
          <w:kern w:val="0"/>
          <w:sz w:val="36"/>
          <w:szCs w:val="36"/>
          <w:highlight w:val="none"/>
        </w:rPr>
      </w:pPr>
    </w:p>
    <w:p w14:paraId="4994B41D">
      <w:pPr>
        <w:rPr>
          <w:rFonts w:hint="eastAsia" w:ascii="宋体" w:hAnsi="宋体" w:cs="宋体"/>
          <w:b/>
          <w:bCs/>
          <w:color w:val="auto"/>
          <w:kern w:val="0"/>
          <w:sz w:val="36"/>
          <w:szCs w:val="36"/>
          <w:highlight w:val="none"/>
        </w:rPr>
      </w:pPr>
    </w:p>
    <w:p w14:paraId="62E76BCF">
      <w:pPr>
        <w:pStyle w:val="9"/>
        <w:rPr>
          <w:rFonts w:hint="eastAsia" w:ascii="宋体" w:hAnsi="宋体" w:cs="宋体"/>
          <w:b/>
          <w:bCs/>
          <w:color w:val="auto"/>
          <w:kern w:val="0"/>
          <w:sz w:val="36"/>
          <w:szCs w:val="36"/>
          <w:highlight w:val="none"/>
        </w:rPr>
      </w:pPr>
    </w:p>
    <w:p w14:paraId="29B0C30D">
      <w:pPr>
        <w:pStyle w:val="92"/>
        <w:rPr>
          <w:rFonts w:hint="eastAsia" w:ascii="宋体" w:hAnsi="宋体" w:cs="宋体"/>
          <w:b/>
          <w:bCs/>
          <w:color w:val="auto"/>
          <w:kern w:val="0"/>
          <w:sz w:val="36"/>
          <w:szCs w:val="36"/>
          <w:highlight w:val="none"/>
        </w:rPr>
      </w:pPr>
    </w:p>
    <w:p w14:paraId="175B246F">
      <w:pPr>
        <w:rPr>
          <w:rFonts w:hint="eastAsia"/>
          <w:highlight w:val="none"/>
        </w:rPr>
      </w:pPr>
    </w:p>
    <w:p w14:paraId="3CF0684E">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388781D8">
      <w:pPr>
        <w:spacing w:line="360" w:lineRule="auto"/>
        <w:jc w:val="center"/>
        <w:rPr>
          <w:rFonts w:ascii="宋体"/>
          <w:b/>
          <w:bCs/>
          <w:color w:val="auto"/>
          <w:kern w:val="0"/>
          <w:sz w:val="36"/>
          <w:szCs w:val="36"/>
          <w:highlight w:val="none"/>
        </w:rPr>
      </w:pPr>
    </w:p>
    <w:p w14:paraId="624A437D">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0B697908">
      <w:pPr>
        <w:pStyle w:val="10"/>
        <w:ind w:left="426" w:firstLine="486"/>
        <w:rPr>
          <w:rFonts w:cs="Times New Roman"/>
          <w:color w:val="auto"/>
          <w:highlight w:val="none"/>
        </w:rPr>
      </w:pPr>
    </w:p>
    <w:p w14:paraId="12BE8BBA">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评分对应表（格式见附件，主要用于评委对应评分内容）</w:t>
      </w:r>
      <w:r>
        <w:rPr>
          <w:rFonts w:hint="eastAsia" w:ascii="宋体" w:hAnsi="宋体" w:cs="宋体"/>
          <w:color w:val="auto"/>
          <w:sz w:val="24"/>
          <w:szCs w:val="24"/>
          <w:highlight w:val="none"/>
          <w:lang w:eastAsia="zh-CN"/>
        </w:rPr>
        <w:t>；</w:t>
      </w:r>
    </w:p>
    <w:p w14:paraId="3E901C96">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供应商商务技术文件中资信分自评表（格式见附件）；</w:t>
      </w:r>
    </w:p>
    <w:p w14:paraId="4FBD8987">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磋商项目明细清单（格式见附件）；</w:t>
      </w:r>
    </w:p>
    <w:p w14:paraId="462E2A13">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技术响应及建议表（格式见附件）；</w:t>
      </w:r>
    </w:p>
    <w:p w14:paraId="3D6AC98E">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商务响应表（格式见附件）；</w:t>
      </w:r>
    </w:p>
    <w:p w14:paraId="145994C9">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w:t>
      </w:r>
    </w:p>
    <w:p w14:paraId="52F04C53">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p w14:paraId="02F5D985">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人员投入；</w:t>
      </w:r>
    </w:p>
    <w:p w14:paraId="5EC38DD8">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项目重点难点分析；</w:t>
      </w:r>
    </w:p>
    <w:p w14:paraId="7F6A2604">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质量保证措施；</w:t>
      </w:r>
    </w:p>
    <w:p w14:paraId="32B7998A">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进度保证措施；</w:t>
      </w:r>
    </w:p>
    <w:p w14:paraId="317A2BB9">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p w14:paraId="625F224E">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项目组人员清单（格式见附件）；</w:t>
      </w:r>
    </w:p>
    <w:p w14:paraId="4F7FC780">
      <w:pPr>
        <w:numPr>
          <w:ilvl w:val="0"/>
          <w:numId w:val="18"/>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 xml:space="preserve"> </w:t>
      </w:r>
    </w:p>
    <w:p w14:paraId="21D9B307">
      <w:pPr>
        <w:numPr>
          <w:ilvl w:val="0"/>
          <w:numId w:val="18"/>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获奖证书；</w:t>
      </w:r>
    </w:p>
    <w:p w14:paraId="7C06A5FA">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供应商认为需要的其他文件资料。</w:t>
      </w:r>
    </w:p>
    <w:p w14:paraId="533631A2">
      <w:pPr>
        <w:rPr>
          <w:rFonts w:ascii="宋体"/>
          <w:color w:val="auto"/>
          <w:sz w:val="28"/>
          <w:szCs w:val="28"/>
          <w:highlight w:val="none"/>
        </w:rPr>
      </w:pPr>
    </w:p>
    <w:p w14:paraId="319108C4">
      <w:pPr>
        <w:snapToGrid w:val="0"/>
        <w:spacing w:before="50" w:after="50"/>
        <w:jc w:val="left"/>
        <w:rPr>
          <w:rFonts w:hint="eastAsia" w:ascii="宋体" w:hAnsi="宋体" w:cs="宋体"/>
          <w:b/>
          <w:bCs/>
          <w:color w:val="auto"/>
          <w:sz w:val="24"/>
          <w:szCs w:val="24"/>
          <w:highlight w:val="none"/>
          <w:lang w:val="zh-CN"/>
        </w:rPr>
      </w:pPr>
      <w:bookmarkStart w:id="93" w:name="_Toc10131"/>
    </w:p>
    <w:p w14:paraId="06B3D64E">
      <w:pPr>
        <w:pStyle w:val="10"/>
        <w:rPr>
          <w:rFonts w:hint="eastAsia" w:ascii="宋体" w:hAnsi="宋体" w:cs="宋体"/>
          <w:b/>
          <w:bCs/>
          <w:color w:val="auto"/>
          <w:sz w:val="24"/>
          <w:szCs w:val="24"/>
          <w:highlight w:val="none"/>
          <w:lang w:val="zh-CN"/>
        </w:rPr>
      </w:pPr>
    </w:p>
    <w:p w14:paraId="78582E2E">
      <w:pPr>
        <w:pStyle w:val="25"/>
        <w:rPr>
          <w:rFonts w:hint="eastAsia"/>
          <w:highlight w:val="none"/>
          <w:lang w:val="zh-CN"/>
        </w:rPr>
      </w:pPr>
    </w:p>
    <w:p w14:paraId="64CC4A3E">
      <w:pPr>
        <w:pStyle w:val="25"/>
        <w:rPr>
          <w:rFonts w:hint="eastAsia"/>
          <w:highlight w:val="none"/>
          <w:lang w:val="zh-CN"/>
        </w:rPr>
      </w:pPr>
    </w:p>
    <w:p w14:paraId="14268CB4">
      <w:pPr>
        <w:pStyle w:val="25"/>
        <w:rPr>
          <w:rFonts w:hint="eastAsia"/>
          <w:highlight w:val="none"/>
          <w:lang w:val="zh-CN"/>
        </w:rPr>
      </w:pPr>
    </w:p>
    <w:p w14:paraId="460010D8">
      <w:pPr>
        <w:pStyle w:val="25"/>
        <w:rPr>
          <w:rFonts w:hint="eastAsia"/>
          <w:highlight w:val="none"/>
          <w:lang w:val="zh-CN"/>
        </w:rPr>
      </w:pPr>
    </w:p>
    <w:p w14:paraId="744F9A29">
      <w:pPr>
        <w:pStyle w:val="25"/>
        <w:rPr>
          <w:rFonts w:hint="eastAsia"/>
          <w:highlight w:val="none"/>
          <w:lang w:val="zh-CN"/>
        </w:rPr>
      </w:pPr>
    </w:p>
    <w:p w14:paraId="6448FB54">
      <w:pPr>
        <w:snapToGrid w:val="0"/>
        <w:spacing w:before="50" w:after="50"/>
        <w:jc w:val="left"/>
        <w:rPr>
          <w:rFonts w:hint="eastAsia" w:ascii="宋体" w:hAnsi="宋体" w:cs="宋体"/>
          <w:b/>
          <w:bCs/>
          <w:color w:val="auto"/>
          <w:sz w:val="24"/>
          <w:szCs w:val="24"/>
          <w:highlight w:val="none"/>
          <w:lang w:val="zh-CN"/>
        </w:rPr>
      </w:pPr>
    </w:p>
    <w:p w14:paraId="355A2639">
      <w:pPr>
        <w:snapToGrid w:val="0"/>
        <w:spacing w:before="50" w:after="50"/>
        <w:jc w:val="left"/>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val="zh-CN"/>
        </w:rPr>
        <w:t>：</w:t>
      </w:r>
    </w:p>
    <w:p w14:paraId="63F46598">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06B3B582">
      <w:pPr>
        <w:snapToGrid w:val="0"/>
        <w:spacing w:before="50"/>
        <w:jc w:val="center"/>
        <w:rPr>
          <w:rFonts w:ascii="宋体"/>
          <w:b/>
          <w:bCs/>
          <w:color w:val="auto"/>
          <w:sz w:val="32"/>
          <w:szCs w:val="32"/>
          <w:highlight w:val="none"/>
        </w:rPr>
      </w:pPr>
    </w:p>
    <w:p w14:paraId="1F046E9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5BFD53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1AA7B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A5A869E">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8209149">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4926AE2D">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20A7D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A806FB4">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46C1E1EE">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49B86FE">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F521D67">
            <w:pPr>
              <w:jc w:val="center"/>
              <w:rPr>
                <w:rFonts w:ascii="宋体"/>
                <w:color w:val="auto"/>
                <w:sz w:val="24"/>
                <w:szCs w:val="24"/>
                <w:highlight w:val="none"/>
              </w:rPr>
            </w:pPr>
          </w:p>
        </w:tc>
      </w:tr>
      <w:tr w14:paraId="70F3E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461A1FC">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37995623">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612BC89">
            <w:pPr>
              <w:jc w:val="center"/>
              <w:rPr>
                <w:rFonts w:ascii="宋体"/>
                <w:color w:val="auto"/>
                <w:sz w:val="24"/>
                <w:szCs w:val="24"/>
                <w:highlight w:val="none"/>
              </w:rPr>
            </w:pPr>
          </w:p>
        </w:tc>
      </w:tr>
      <w:tr w14:paraId="08608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24046E8">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27DC1A6">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DB09197">
            <w:pPr>
              <w:jc w:val="center"/>
              <w:rPr>
                <w:rFonts w:ascii="宋体"/>
                <w:color w:val="auto"/>
                <w:sz w:val="24"/>
                <w:szCs w:val="24"/>
                <w:highlight w:val="none"/>
              </w:rPr>
            </w:pPr>
          </w:p>
        </w:tc>
      </w:tr>
      <w:tr w14:paraId="4971A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6EFB000">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B491FA6">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5657992">
            <w:pPr>
              <w:spacing w:line="360" w:lineRule="auto"/>
              <w:ind w:firstLine="480" w:firstLineChars="200"/>
              <w:jc w:val="center"/>
              <w:rPr>
                <w:rFonts w:ascii="宋体"/>
                <w:color w:val="auto"/>
                <w:sz w:val="24"/>
                <w:szCs w:val="24"/>
                <w:highlight w:val="none"/>
              </w:rPr>
            </w:pPr>
          </w:p>
        </w:tc>
      </w:tr>
      <w:tr w14:paraId="66039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178655A">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B36AECE">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9EC4FC9">
            <w:pPr>
              <w:spacing w:line="360" w:lineRule="auto"/>
              <w:ind w:firstLine="480" w:firstLineChars="200"/>
              <w:jc w:val="center"/>
              <w:rPr>
                <w:rFonts w:ascii="宋体"/>
                <w:color w:val="auto"/>
                <w:sz w:val="24"/>
                <w:szCs w:val="24"/>
                <w:highlight w:val="none"/>
              </w:rPr>
            </w:pPr>
          </w:p>
        </w:tc>
      </w:tr>
      <w:tr w14:paraId="3176A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F7B13C8">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B057BA6">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C9E5243">
            <w:pPr>
              <w:spacing w:line="360" w:lineRule="auto"/>
              <w:ind w:firstLine="480" w:firstLineChars="200"/>
              <w:jc w:val="center"/>
              <w:rPr>
                <w:rFonts w:ascii="宋体"/>
                <w:color w:val="auto"/>
                <w:sz w:val="24"/>
                <w:szCs w:val="24"/>
                <w:highlight w:val="none"/>
              </w:rPr>
            </w:pPr>
          </w:p>
        </w:tc>
      </w:tr>
      <w:tr w14:paraId="32ED5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7FBDD69">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5F37795">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18C66E0">
            <w:pPr>
              <w:spacing w:line="360" w:lineRule="auto"/>
              <w:ind w:firstLine="480" w:firstLineChars="200"/>
              <w:jc w:val="center"/>
              <w:rPr>
                <w:rFonts w:ascii="宋体"/>
                <w:color w:val="auto"/>
                <w:sz w:val="24"/>
                <w:szCs w:val="24"/>
                <w:highlight w:val="none"/>
              </w:rPr>
            </w:pPr>
          </w:p>
        </w:tc>
      </w:tr>
      <w:tr w14:paraId="19761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F014E4C">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ABE95B0">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C549EB0">
            <w:pPr>
              <w:spacing w:line="360" w:lineRule="auto"/>
              <w:ind w:firstLine="480" w:firstLineChars="200"/>
              <w:jc w:val="center"/>
              <w:rPr>
                <w:rFonts w:ascii="宋体"/>
                <w:color w:val="auto"/>
                <w:sz w:val="24"/>
                <w:szCs w:val="24"/>
                <w:highlight w:val="none"/>
              </w:rPr>
            </w:pPr>
          </w:p>
        </w:tc>
      </w:tr>
      <w:tr w14:paraId="51F26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513DDF0">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B22E19B">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94FD0E5">
            <w:pPr>
              <w:spacing w:line="360" w:lineRule="auto"/>
              <w:ind w:firstLine="480" w:firstLineChars="200"/>
              <w:jc w:val="center"/>
              <w:rPr>
                <w:rFonts w:ascii="宋体"/>
                <w:color w:val="auto"/>
                <w:sz w:val="24"/>
                <w:szCs w:val="24"/>
                <w:highlight w:val="none"/>
              </w:rPr>
            </w:pPr>
          </w:p>
        </w:tc>
      </w:tr>
    </w:tbl>
    <w:p w14:paraId="528BA488">
      <w:pPr>
        <w:spacing w:line="360" w:lineRule="auto"/>
        <w:ind w:firstLine="480" w:firstLineChars="200"/>
        <w:rPr>
          <w:rFonts w:ascii="宋体"/>
          <w:color w:val="auto"/>
          <w:sz w:val="24"/>
          <w:szCs w:val="24"/>
          <w:highlight w:val="none"/>
        </w:rPr>
      </w:pPr>
    </w:p>
    <w:p w14:paraId="6F871ECC">
      <w:pPr>
        <w:spacing w:line="360" w:lineRule="auto"/>
        <w:ind w:left="3780" w:leftChars="1800" w:firstLine="480" w:firstLineChars="200"/>
        <w:rPr>
          <w:rFonts w:ascii="宋体"/>
          <w:color w:val="auto"/>
          <w:sz w:val="24"/>
          <w:szCs w:val="24"/>
          <w:highlight w:val="none"/>
        </w:rPr>
      </w:pPr>
    </w:p>
    <w:p w14:paraId="128FCE9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9DA0DE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61E0B9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68CE76B">
      <w:pPr>
        <w:rPr>
          <w:color w:val="auto"/>
          <w:highlight w:val="none"/>
          <w:lang w:val="zh-CN"/>
        </w:rPr>
      </w:pPr>
    </w:p>
    <w:p w14:paraId="25709535">
      <w:pPr>
        <w:rPr>
          <w:b/>
          <w:bCs/>
          <w:color w:val="auto"/>
          <w:sz w:val="24"/>
          <w:szCs w:val="24"/>
          <w:highlight w:val="none"/>
          <w:lang w:val="zh-CN"/>
        </w:rPr>
      </w:pPr>
      <w:r>
        <w:rPr>
          <w:rFonts w:hint="eastAsia" w:cs="宋体"/>
          <w:b/>
          <w:bCs/>
          <w:color w:val="auto"/>
          <w:sz w:val="24"/>
          <w:szCs w:val="24"/>
          <w:highlight w:val="none"/>
          <w:lang w:val="zh-CN"/>
        </w:rPr>
        <w:t>附件七</w:t>
      </w:r>
      <w:r>
        <w:rPr>
          <w:rFonts w:hint="eastAsia" w:cs="宋体"/>
          <w:b/>
          <w:bCs/>
          <w:color w:val="auto"/>
          <w:sz w:val="24"/>
          <w:szCs w:val="24"/>
          <w:highlight w:val="none"/>
        </w:rPr>
        <w:t>：</w:t>
      </w:r>
    </w:p>
    <w:p w14:paraId="6B2F87E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93"/>
    </w:p>
    <w:p w14:paraId="6FE5616A">
      <w:pPr>
        <w:snapToGrid w:val="0"/>
        <w:spacing w:before="50"/>
        <w:jc w:val="center"/>
        <w:rPr>
          <w:rFonts w:ascii="宋体"/>
          <w:b/>
          <w:bCs/>
          <w:color w:val="auto"/>
          <w:sz w:val="32"/>
          <w:szCs w:val="32"/>
          <w:highlight w:val="none"/>
        </w:rPr>
      </w:pPr>
    </w:p>
    <w:p w14:paraId="0D7DDDE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3CF2E3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2553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5F2AEF1">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7FFECDA6">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61BA6CEB">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4622241D">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247FAE12">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2F9AA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089A08F">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09012388">
            <w:pPr>
              <w:jc w:val="center"/>
              <w:rPr>
                <w:rFonts w:ascii="宋体"/>
                <w:color w:val="auto"/>
                <w:sz w:val="24"/>
                <w:szCs w:val="24"/>
                <w:highlight w:val="none"/>
              </w:rPr>
            </w:pPr>
          </w:p>
        </w:tc>
        <w:tc>
          <w:tcPr>
            <w:tcW w:w="1462" w:type="dxa"/>
          </w:tcPr>
          <w:p w14:paraId="335EA679">
            <w:pPr>
              <w:jc w:val="center"/>
              <w:rPr>
                <w:rFonts w:ascii="宋体"/>
                <w:color w:val="auto"/>
                <w:sz w:val="24"/>
                <w:szCs w:val="24"/>
                <w:highlight w:val="none"/>
              </w:rPr>
            </w:pPr>
          </w:p>
        </w:tc>
        <w:tc>
          <w:tcPr>
            <w:tcW w:w="2415" w:type="dxa"/>
            <w:tcBorders>
              <w:right w:val="single" w:color="auto" w:sz="4" w:space="0"/>
            </w:tcBorders>
          </w:tcPr>
          <w:p w14:paraId="065461C3">
            <w:pPr>
              <w:jc w:val="center"/>
              <w:rPr>
                <w:rFonts w:ascii="宋体"/>
                <w:color w:val="auto"/>
                <w:sz w:val="24"/>
                <w:szCs w:val="24"/>
                <w:highlight w:val="none"/>
              </w:rPr>
            </w:pPr>
          </w:p>
        </w:tc>
        <w:tc>
          <w:tcPr>
            <w:tcW w:w="1746" w:type="dxa"/>
            <w:tcBorders>
              <w:left w:val="single" w:color="auto" w:sz="4" w:space="0"/>
            </w:tcBorders>
          </w:tcPr>
          <w:p w14:paraId="30641EAA">
            <w:pPr>
              <w:jc w:val="center"/>
              <w:rPr>
                <w:rFonts w:ascii="宋体"/>
                <w:color w:val="auto"/>
                <w:sz w:val="24"/>
                <w:szCs w:val="24"/>
                <w:highlight w:val="none"/>
              </w:rPr>
            </w:pPr>
          </w:p>
        </w:tc>
      </w:tr>
      <w:tr w14:paraId="73279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EA7ACFF">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23CF4E23">
            <w:pPr>
              <w:jc w:val="center"/>
              <w:rPr>
                <w:rFonts w:ascii="宋体"/>
                <w:color w:val="auto"/>
                <w:sz w:val="24"/>
                <w:szCs w:val="24"/>
                <w:highlight w:val="none"/>
              </w:rPr>
            </w:pPr>
          </w:p>
        </w:tc>
        <w:tc>
          <w:tcPr>
            <w:tcW w:w="1462" w:type="dxa"/>
          </w:tcPr>
          <w:p w14:paraId="3F86A43F">
            <w:pPr>
              <w:jc w:val="center"/>
              <w:rPr>
                <w:rFonts w:ascii="宋体"/>
                <w:color w:val="auto"/>
                <w:sz w:val="24"/>
                <w:szCs w:val="24"/>
                <w:highlight w:val="none"/>
              </w:rPr>
            </w:pPr>
          </w:p>
        </w:tc>
        <w:tc>
          <w:tcPr>
            <w:tcW w:w="2415" w:type="dxa"/>
            <w:tcBorders>
              <w:right w:val="single" w:color="auto" w:sz="4" w:space="0"/>
            </w:tcBorders>
          </w:tcPr>
          <w:p w14:paraId="18F5C078">
            <w:pPr>
              <w:jc w:val="center"/>
              <w:rPr>
                <w:rFonts w:ascii="宋体"/>
                <w:color w:val="auto"/>
                <w:sz w:val="24"/>
                <w:szCs w:val="24"/>
                <w:highlight w:val="none"/>
              </w:rPr>
            </w:pPr>
          </w:p>
        </w:tc>
        <w:tc>
          <w:tcPr>
            <w:tcW w:w="1746" w:type="dxa"/>
            <w:tcBorders>
              <w:left w:val="single" w:color="auto" w:sz="4" w:space="0"/>
            </w:tcBorders>
          </w:tcPr>
          <w:p w14:paraId="0169772F">
            <w:pPr>
              <w:jc w:val="center"/>
              <w:rPr>
                <w:rFonts w:ascii="宋体"/>
                <w:color w:val="auto"/>
                <w:sz w:val="24"/>
                <w:szCs w:val="24"/>
                <w:highlight w:val="none"/>
              </w:rPr>
            </w:pPr>
          </w:p>
        </w:tc>
      </w:tr>
      <w:tr w14:paraId="71EFE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ECEC98A">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44B24481">
            <w:pPr>
              <w:jc w:val="center"/>
              <w:rPr>
                <w:rFonts w:ascii="宋体"/>
                <w:color w:val="auto"/>
                <w:sz w:val="24"/>
                <w:szCs w:val="24"/>
                <w:highlight w:val="none"/>
              </w:rPr>
            </w:pPr>
          </w:p>
        </w:tc>
        <w:tc>
          <w:tcPr>
            <w:tcW w:w="1462" w:type="dxa"/>
          </w:tcPr>
          <w:p w14:paraId="0A67EC51">
            <w:pPr>
              <w:jc w:val="center"/>
              <w:rPr>
                <w:rFonts w:ascii="宋体"/>
                <w:color w:val="auto"/>
                <w:sz w:val="24"/>
                <w:szCs w:val="24"/>
                <w:highlight w:val="none"/>
              </w:rPr>
            </w:pPr>
          </w:p>
        </w:tc>
        <w:tc>
          <w:tcPr>
            <w:tcW w:w="2415" w:type="dxa"/>
            <w:tcBorders>
              <w:right w:val="single" w:color="auto" w:sz="4" w:space="0"/>
            </w:tcBorders>
          </w:tcPr>
          <w:p w14:paraId="630FC072">
            <w:pPr>
              <w:jc w:val="center"/>
              <w:rPr>
                <w:rFonts w:ascii="宋体"/>
                <w:color w:val="auto"/>
                <w:sz w:val="24"/>
                <w:szCs w:val="24"/>
                <w:highlight w:val="none"/>
              </w:rPr>
            </w:pPr>
          </w:p>
        </w:tc>
        <w:tc>
          <w:tcPr>
            <w:tcW w:w="1746" w:type="dxa"/>
            <w:tcBorders>
              <w:left w:val="single" w:color="auto" w:sz="4" w:space="0"/>
            </w:tcBorders>
          </w:tcPr>
          <w:p w14:paraId="0C17EB52">
            <w:pPr>
              <w:jc w:val="center"/>
              <w:rPr>
                <w:rFonts w:ascii="宋体"/>
                <w:color w:val="auto"/>
                <w:sz w:val="24"/>
                <w:szCs w:val="24"/>
                <w:highlight w:val="none"/>
              </w:rPr>
            </w:pPr>
          </w:p>
        </w:tc>
      </w:tr>
      <w:tr w14:paraId="3A81E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9E10FC7">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7738667B">
            <w:pPr>
              <w:jc w:val="center"/>
              <w:rPr>
                <w:rFonts w:ascii="宋体"/>
                <w:color w:val="auto"/>
                <w:sz w:val="24"/>
                <w:szCs w:val="24"/>
                <w:highlight w:val="none"/>
              </w:rPr>
            </w:pPr>
          </w:p>
        </w:tc>
        <w:tc>
          <w:tcPr>
            <w:tcW w:w="1462" w:type="dxa"/>
          </w:tcPr>
          <w:p w14:paraId="508F45A3">
            <w:pPr>
              <w:jc w:val="center"/>
              <w:rPr>
                <w:rFonts w:ascii="宋体"/>
                <w:color w:val="auto"/>
                <w:sz w:val="24"/>
                <w:szCs w:val="24"/>
                <w:highlight w:val="none"/>
              </w:rPr>
            </w:pPr>
          </w:p>
        </w:tc>
        <w:tc>
          <w:tcPr>
            <w:tcW w:w="2415" w:type="dxa"/>
            <w:tcBorders>
              <w:right w:val="single" w:color="auto" w:sz="4" w:space="0"/>
            </w:tcBorders>
          </w:tcPr>
          <w:p w14:paraId="234A4B08">
            <w:pPr>
              <w:jc w:val="center"/>
              <w:rPr>
                <w:rFonts w:ascii="宋体"/>
                <w:color w:val="auto"/>
                <w:sz w:val="24"/>
                <w:szCs w:val="24"/>
                <w:highlight w:val="none"/>
              </w:rPr>
            </w:pPr>
          </w:p>
        </w:tc>
        <w:tc>
          <w:tcPr>
            <w:tcW w:w="1746" w:type="dxa"/>
            <w:tcBorders>
              <w:left w:val="single" w:color="auto" w:sz="4" w:space="0"/>
            </w:tcBorders>
          </w:tcPr>
          <w:p w14:paraId="6AFD1A8C">
            <w:pPr>
              <w:jc w:val="center"/>
              <w:rPr>
                <w:rFonts w:ascii="宋体"/>
                <w:color w:val="auto"/>
                <w:sz w:val="24"/>
                <w:szCs w:val="24"/>
                <w:highlight w:val="none"/>
              </w:rPr>
            </w:pPr>
          </w:p>
        </w:tc>
      </w:tr>
      <w:tr w14:paraId="1CE29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2ED6B5C">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0D979154">
            <w:pPr>
              <w:jc w:val="center"/>
              <w:rPr>
                <w:rFonts w:ascii="宋体"/>
                <w:color w:val="auto"/>
                <w:sz w:val="24"/>
                <w:szCs w:val="24"/>
                <w:highlight w:val="none"/>
              </w:rPr>
            </w:pPr>
          </w:p>
        </w:tc>
        <w:tc>
          <w:tcPr>
            <w:tcW w:w="1462" w:type="dxa"/>
          </w:tcPr>
          <w:p w14:paraId="5E53E840">
            <w:pPr>
              <w:jc w:val="center"/>
              <w:rPr>
                <w:rFonts w:ascii="宋体"/>
                <w:color w:val="auto"/>
                <w:sz w:val="24"/>
                <w:szCs w:val="24"/>
                <w:highlight w:val="none"/>
              </w:rPr>
            </w:pPr>
          </w:p>
        </w:tc>
        <w:tc>
          <w:tcPr>
            <w:tcW w:w="2415" w:type="dxa"/>
            <w:tcBorders>
              <w:right w:val="single" w:color="auto" w:sz="4" w:space="0"/>
            </w:tcBorders>
          </w:tcPr>
          <w:p w14:paraId="7EC9FB77">
            <w:pPr>
              <w:jc w:val="center"/>
              <w:rPr>
                <w:rFonts w:ascii="宋体"/>
                <w:color w:val="auto"/>
                <w:sz w:val="24"/>
                <w:szCs w:val="24"/>
                <w:highlight w:val="none"/>
              </w:rPr>
            </w:pPr>
          </w:p>
        </w:tc>
        <w:tc>
          <w:tcPr>
            <w:tcW w:w="1746" w:type="dxa"/>
            <w:tcBorders>
              <w:left w:val="single" w:color="auto" w:sz="4" w:space="0"/>
            </w:tcBorders>
          </w:tcPr>
          <w:p w14:paraId="0ECE02AE">
            <w:pPr>
              <w:jc w:val="center"/>
              <w:rPr>
                <w:rFonts w:ascii="宋体"/>
                <w:color w:val="auto"/>
                <w:sz w:val="24"/>
                <w:szCs w:val="24"/>
                <w:highlight w:val="none"/>
              </w:rPr>
            </w:pPr>
          </w:p>
        </w:tc>
      </w:tr>
      <w:tr w14:paraId="200B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EF24963">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2C9A8606">
            <w:pPr>
              <w:jc w:val="center"/>
              <w:rPr>
                <w:rFonts w:ascii="宋体"/>
                <w:color w:val="auto"/>
                <w:sz w:val="24"/>
                <w:szCs w:val="24"/>
                <w:highlight w:val="none"/>
              </w:rPr>
            </w:pPr>
          </w:p>
        </w:tc>
        <w:tc>
          <w:tcPr>
            <w:tcW w:w="1462" w:type="dxa"/>
          </w:tcPr>
          <w:p w14:paraId="3CC786A2">
            <w:pPr>
              <w:jc w:val="center"/>
              <w:rPr>
                <w:rFonts w:ascii="宋体"/>
                <w:color w:val="auto"/>
                <w:sz w:val="24"/>
                <w:szCs w:val="24"/>
                <w:highlight w:val="none"/>
              </w:rPr>
            </w:pPr>
          </w:p>
        </w:tc>
        <w:tc>
          <w:tcPr>
            <w:tcW w:w="2415" w:type="dxa"/>
            <w:tcBorders>
              <w:right w:val="single" w:color="auto" w:sz="4" w:space="0"/>
            </w:tcBorders>
          </w:tcPr>
          <w:p w14:paraId="461BA41D">
            <w:pPr>
              <w:jc w:val="center"/>
              <w:rPr>
                <w:rFonts w:ascii="宋体"/>
                <w:color w:val="auto"/>
                <w:sz w:val="24"/>
                <w:szCs w:val="24"/>
                <w:highlight w:val="none"/>
              </w:rPr>
            </w:pPr>
          </w:p>
        </w:tc>
        <w:tc>
          <w:tcPr>
            <w:tcW w:w="1746" w:type="dxa"/>
            <w:tcBorders>
              <w:left w:val="single" w:color="auto" w:sz="4" w:space="0"/>
            </w:tcBorders>
          </w:tcPr>
          <w:p w14:paraId="4240A55A">
            <w:pPr>
              <w:jc w:val="center"/>
              <w:rPr>
                <w:rFonts w:ascii="宋体"/>
                <w:color w:val="auto"/>
                <w:sz w:val="24"/>
                <w:szCs w:val="24"/>
                <w:highlight w:val="none"/>
              </w:rPr>
            </w:pPr>
          </w:p>
        </w:tc>
      </w:tr>
      <w:tr w14:paraId="11FA7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9129189">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2F23A91B">
            <w:pPr>
              <w:jc w:val="center"/>
              <w:rPr>
                <w:rFonts w:ascii="宋体"/>
                <w:color w:val="auto"/>
                <w:sz w:val="24"/>
                <w:szCs w:val="24"/>
                <w:highlight w:val="none"/>
              </w:rPr>
            </w:pPr>
          </w:p>
        </w:tc>
        <w:tc>
          <w:tcPr>
            <w:tcW w:w="1462" w:type="dxa"/>
          </w:tcPr>
          <w:p w14:paraId="764B871B">
            <w:pPr>
              <w:jc w:val="center"/>
              <w:rPr>
                <w:rFonts w:ascii="宋体"/>
                <w:color w:val="auto"/>
                <w:sz w:val="24"/>
                <w:szCs w:val="24"/>
                <w:highlight w:val="none"/>
              </w:rPr>
            </w:pPr>
          </w:p>
        </w:tc>
        <w:tc>
          <w:tcPr>
            <w:tcW w:w="2415" w:type="dxa"/>
            <w:tcBorders>
              <w:right w:val="single" w:color="auto" w:sz="4" w:space="0"/>
            </w:tcBorders>
          </w:tcPr>
          <w:p w14:paraId="752542B8">
            <w:pPr>
              <w:jc w:val="center"/>
              <w:rPr>
                <w:rFonts w:ascii="宋体"/>
                <w:color w:val="auto"/>
                <w:sz w:val="24"/>
                <w:szCs w:val="24"/>
                <w:highlight w:val="none"/>
              </w:rPr>
            </w:pPr>
          </w:p>
        </w:tc>
        <w:tc>
          <w:tcPr>
            <w:tcW w:w="1746" w:type="dxa"/>
            <w:tcBorders>
              <w:left w:val="single" w:color="auto" w:sz="4" w:space="0"/>
            </w:tcBorders>
          </w:tcPr>
          <w:p w14:paraId="09EDC3A2">
            <w:pPr>
              <w:jc w:val="center"/>
              <w:rPr>
                <w:rFonts w:ascii="宋体"/>
                <w:color w:val="auto"/>
                <w:sz w:val="24"/>
                <w:szCs w:val="24"/>
                <w:highlight w:val="none"/>
              </w:rPr>
            </w:pPr>
          </w:p>
        </w:tc>
      </w:tr>
      <w:tr w14:paraId="260B9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3FCEED9">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7A4F28A2">
            <w:pPr>
              <w:jc w:val="center"/>
              <w:rPr>
                <w:rFonts w:ascii="宋体"/>
                <w:color w:val="auto"/>
                <w:sz w:val="24"/>
                <w:szCs w:val="24"/>
                <w:highlight w:val="none"/>
              </w:rPr>
            </w:pPr>
          </w:p>
        </w:tc>
        <w:tc>
          <w:tcPr>
            <w:tcW w:w="1462" w:type="dxa"/>
          </w:tcPr>
          <w:p w14:paraId="18C1F529">
            <w:pPr>
              <w:jc w:val="center"/>
              <w:rPr>
                <w:rFonts w:ascii="宋体"/>
                <w:color w:val="auto"/>
                <w:sz w:val="24"/>
                <w:szCs w:val="24"/>
                <w:highlight w:val="none"/>
              </w:rPr>
            </w:pPr>
          </w:p>
        </w:tc>
        <w:tc>
          <w:tcPr>
            <w:tcW w:w="2415" w:type="dxa"/>
            <w:tcBorders>
              <w:right w:val="single" w:color="auto" w:sz="4" w:space="0"/>
            </w:tcBorders>
          </w:tcPr>
          <w:p w14:paraId="5C7ECDC4">
            <w:pPr>
              <w:jc w:val="center"/>
              <w:rPr>
                <w:rFonts w:ascii="宋体"/>
                <w:color w:val="auto"/>
                <w:sz w:val="24"/>
                <w:szCs w:val="24"/>
                <w:highlight w:val="none"/>
              </w:rPr>
            </w:pPr>
          </w:p>
        </w:tc>
        <w:tc>
          <w:tcPr>
            <w:tcW w:w="1746" w:type="dxa"/>
            <w:tcBorders>
              <w:left w:val="single" w:color="auto" w:sz="4" w:space="0"/>
            </w:tcBorders>
          </w:tcPr>
          <w:p w14:paraId="70CD4C51">
            <w:pPr>
              <w:jc w:val="center"/>
              <w:rPr>
                <w:rFonts w:ascii="宋体"/>
                <w:color w:val="auto"/>
                <w:sz w:val="24"/>
                <w:szCs w:val="24"/>
                <w:highlight w:val="none"/>
              </w:rPr>
            </w:pPr>
          </w:p>
        </w:tc>
      </w:tr>
      <w:tr w14:paraId="2BF3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711C561">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27930283">
            <w:pPr>
              <w:jc w:val="center"/>
              <w:rPr>
                <w:rFonts w:ascii="宋体"/>
                <w:color w:val="auto"/>
                <w:sz w:val="24"/>
                <w:szCs w:val="24"/>
                <w:highlight w:val="none"/>
              </w:rPr>
            </w:pPr>
          </w:p>
        </w:tc>
        <w:tc>
          <w:tcPr>
            <w:tcW w:w="1462" w:type="dxa"/>
          </w:tcPr>
          <w:p w14:paraId="2E1C47A9">
            <w:pPr>
              <w:jc w:val="center"/>
              <w:rPr>
                <w:rFonts w:ascii="宋体"/>
                <w:color w:val="auto"/>
                <w:sz w:val="24"/>
                <w:szCs w:val="24"/>
                <w:highlight w:val="none"/>
              </w:rPr>
            </w:pPr>
          </w:p>
        </w:tc>
        <w:tc>
          <w:tcPr>
            <w:tcW w:w="2415" w:type="dxa"/>
            <w:tcBorders>
              <w:right w:val="single" w:color="auto" w:sz="4" w:space="0"/>
            </w:tcBorders>
          </w:tcPr>
          <w:p w14:paraId="1933BD65">
            <w:pPr>
              <w:jc w:val="center"/>
              <w:rPr>
                <w:rFonts w:ascii="宋体"/>
                <w:color w:val="auto"/>
                <w:sz w:val="24"/>
                <w:szCs w:val="24"/>
                <w:highlight w:val="none"/>
              </w:rPr>
            </w:pPr>
          </w:p>
        </w:tc>
        <w:tc>
          <w:tcPr>
            <w:tcW w:w="1746" w:type="dxa"/>
            <w:tcBorders>
              <w:left w:val="single" w:color="auto" w:sz="4" w:space="0"/>
            </w:tcBorders>
          </w:tcPr>
          <w:p w14:paraId="61B6707C">
            <w:pPr>
              <w:jc w:val="center"/>
              <w:rPr>
                <w:rFonts w:ascii="宋体"/>
                <w:color w:val="auto"/>
                <w:sz w:val="24"/>
                <w:szCs w:val="24"/>
                <w:highlight w:val="none"/>
              </w:rPr>
            </w:pPr>
          </w:p>
        </w:tc>
      </w:tr>
    </w:tbl>
    <w:p w14:paraId="6242D803">
      <w:pPr>
        <w:spacing w:line="360" w:lineRule="auto"/>
        <w:ind w:firstLine="480" w:firstLineChars="200"/>
        <w:rPr>
          <w:rFonts w:ascii="宋体"/>
          <w:color w:val="auto"/>
          <w:sz w:val="24"/>
          <w:szCs w:val="24"/>
          <w:highlight w:val="none"/>
        </w:rPr>
      </w:pPr>
    </w:p>
    <w:p w14:paraId="5235C79C">
      <w:pPr>
        <w:spacing w:line="360" w:lineRule="auto"/>
        <w:ind w:left="3780" w:leftChars="1800" w:firstLine="480" w:firstLineChars="200"/>
        <w:rPr>
          <w:rFonts w:ascii="宋体"/>
          <w:color w:val="auto"/>
          <w:sz w:val="24"/>
          <w:szCs w:val="24"/>
          <w:highlight w:val="none"/>
        </w:rPr>
      </w:pPr>
    </w:p>
    <w:p w14:paraId="68F012A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B3F2B6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3898C8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D5BD455">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62BEEE2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4390C483">
      <w:pPr>
        <w:spacing w:line="360" w:lineRule="auto"/>
        <w:ind w:firstLine="480" w:firstLineChars="200"/>
        <w:rPr>
          <w:rFonts w:ascii="宋体"/>
          <w:color w:val="auto"/>
          <w:sz w:val="24"/>
          <w:szCs w:val="24"/>
          <w:highlight w:val="none"/>
        </w:rPr>
      </w:pPr>
    </w:p>
    <w:p w14:paraId="7223B44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E27B68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8BFC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B6D09A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B0A69F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95955C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09667BD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55A71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F2F954D">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745DAC1">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484073A">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12713D19">
            <w:pPr>
              <w:snapToGrid w:val="0"/>
              <w:spacing w:before="50" w:after="50"/>
              <w:jc w:val="center"/>
              <w:rPr>
                <w:rFonts w:ascii="宋体"/>
                <w:color w:val="auto"/>
                <w:sz w:val="24"/>
                <w:szCs w:val="24"/>
                <w:highlight w:val="none"/>
              </w:rPr>
            </w:pPr>
          </w:p>
        </w:tc>
      </w:tr>
      <w:tr w14:paraId="3E612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CD108C2">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EC0FD99">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1C4767B">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70E6EBE">
            <w:pPr>
              <w:snapToGrid w:val="0"/>
              <w:spacing w:before="50" w:after="50"/>
              <w:jc w:val="center"/>
              <w:rPr>
                <w:rFonts w:ascii="宋体"/>
                <w:color w:val="auto"/>
                <w:sz w:val="24"/>
                <w:szCs w:val="24"/>
                <w:highlight w:val="none"/>
              </w:rPr>
            </w:pPr>
          </w:p>
        </w:tc>
      </w:tr>
    </w:tbl>
    <w:p w14:paraId="36FEAAB9">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26FCA368">
      <w:pPr>
        <w:pStyle w:val="10"/>
        <w:rPr>
          <w:rFonts w:cs="Times New Roman"/>
          <w:color w:val="auto"/>
          <w:highlight w:val="none"/>
        </w:rPr>
      </w:pPr>
    </w:p>
    <w:p w14:paraId="3DCD0D7D">
      <w:pPr>
        <w:pStyle w:val="10"/>
        <w:rPr>
          <w:rFonts w:cs="Times New Roman"/>
          <w:color w:val="auto"/>
          <w:highlight w:val="none"/>
        </w:rPr>
      </w:pPr>
    </w:p>
    <w:p w14:paraId="5F1E5DA8">
      <w:pPr>
        <w:pStyle w:val="10"/>
        <w:rPr>
          <w:rFonts w:cs="Times New Roman"/>
          <w:color w:val="auto"/>
          <w:highlight w:val="none"/>
        </w:rPr>
      </w:pPr>
    </w:p>
    <w:p w14:paraId="7C3E2E87">
      <w:pPr>
        <w:snapToGrid w:val="0"/>
        <w:spacing w:beforeLines="50"/>
        <w:rPr>
          <w:rFonts w:ascii="宋体"/>
          <w:color w:val="auto"/>
          <w:sz w:val="24"/>
          <w:szCs w:val="24"/>
          <w:highlight w:val="none"/>
        </w:rPr>
      </w:pPr>
    </w:p>
    <w:p w14:paraId="602AD07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1974AF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51FC0E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D3C5276">
      <w:pPr>
        <w:snapToGrid w:val="0"/>
        <w:spacing w:before="50" w:after="50"/>
        <w:rPr>
          <w:rFonts w:ascii="宋体"/>
          <w:color w:val="auto"/>
          <w:spacing w:val="20"/>
          <w:sz w:val="24"/>
          <w:szCs w:val="24"/>
          <w:highlight w:val="none"/>
        </w:rPr>
      </w:pPr>
    </w:p>
    <w:p w14:paraId="225F35E4">
      <w:pPr>
        <w:snapToGrid w:val="0"/>
        <w:spacing w:before="50" w:after="50"/>
        <w:rPr>
          <w:rFonts w:ascii="宋体"/>
          <w:color w:val="auto"/>
          <w:spacing w:val="20"/>
          <w:sz w:val="30"/>
          <w:szCs w:val="30"/>
          <w:highlight w:val="none"/>
        </w:rPr>
      </w:pPr>
    </w:p>
    <w:p w14:paraId="43785C48">
      <w:pPr>
        <w:pStyle w:val="10"/>
        <w:ind w:firstLine="686"/>
        <w:rPr>
          <w:rFonts w:cs="Times New Roman"/>
          <w:color w:val="auto"/>
          <w:spacing w:val="20"/>
          <w:sz w:val="30"/>
          <w:szCs w:val="30"/>
          <w:highlight w:val="none"/>
        </w:rPr>
      </w:pPr>
    </w:p>
    <w:p w14:paraId="67370129">
      <w:pPr>
        <w:pStyle w:val="10"/>
        <w:ind w:firstLine="686"/>
        <w:rPr>
          <w:rFonts w:cs="Times New Roman"/>
          <w:color w:val="auto"/>
          <w:spacing w:val="20"/>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0EC75EF">
      <w:pPr>
        <w:rPr>
          <w:b/>
          <w:bCs/>
          <w:color w:val="auto"/>
          <w:sz w:val="24"/>
          <w:szCs w:val="24"/>
          <w:highlight w:val="none"/>
        </w:rPr>
      </w:pPr>
      <w:bookmarkStart w:id="94"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527AF90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94"/>
    </w:p>
    <w:p w14:paraId="136C64D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44D204E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D1069E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3DB5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CD2BCF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052CC2E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7110901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1F4CC5F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1EA6F71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6008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7BFB852">
            <w:pPr>
              <w:snapToGrid w:val="0"/>
              <w:spacing w:before="50" w:after="50"/>
              <w:jc w:val="center"/>
              <w:rPr>
                <w:rFonts w:ascii="宋体"/>
                <w:color w:val="auto"/>
                <w:sz w:val="24"/>
                <w:szCs w:val="24"/>
                <w:highlight w:val="none"/>
              </w:rPr>
            </w:pPr>
          </w:p>
        </w:tc>
        <w:tc>
          <w:tcPr>
            <w:tcW w:w="1440" w:type="dxa"/>
            <w:vAlign w:val="center"/>
          </w:tcPr>
          <w:p w14:paraId="7F493EB6">
            <w:pPr>
              <w:snapToGrid w:val="0"/>
              <w:spacing w:before="50" w:after="50"/>
              <w:jc w:val="center"/>
              <w:rPr>
                <w:rFonts w:ascii="宋体"/>
                <w:color w:val="auto"/>
                <w:sz w:val="24"/>
                <w:szCs w:val="24"/>
                <w:highlight w:val="none"/>
              </w:rPr>
            </w:pPr>
          </w:p>
        </w:tc>
        <w:tc>
          <w:tcPr>
            <w:tcW w:w="1980" w:type="dxa"/>
            <w:vAlign w:val="center"/>
          </w:tcPr>
          <w:p w14:paraId="7CA819D5">
            <w:pPr>
              <w:snapToGrid w:val="0"/>
              <w:spacing w:before="50" w:after="50"/>
              <w:jc w:val="center"/>
              <w:rPr>
                <w:rFonts w:ascii="宋体"/>
                <w:color w:val="auto"/>
                <w:sz w:val="24"/>
                <w:szCs w:val="24"/>
                <w:highlight w:val="none"/>
              </w:rPr>
            </w:pPr>
          </w:p>
        </w:tc>
        <w:tc>
          <w:tcPr>
            <w:tcW w:w="2520" w:type="dxa"/>
            <w:vAlign w:val="center"/>
          </w:tcPr>
          <w:p w14:paraId="5BC1E199">
            <w:pPr>
              <w:snapToGrid w:val="0"/>
              <w:spacing w:before="50" w:after="50"/>
              <w:jc w:val="center"/>
              <w:rPr>
                <w:rFonts w:ascii="宋体"/>
                <w:color w:val="auto"/>
                <w:sz w:val="24"/>
                <w:szCs w:val="24"/>
                <w:highlight w:val="none"/>
              </w:rPr>
            </w:pPr>
          </w:p>
        </w:tc>
        <w:tc>
          <w:tcPr>
            <w:tcW w:w="1953" w:type="dxa"/>
            <w:vAlign w:val="center"/>
          </w:tcPr>
          <w:p w14:paraId="22E8E0A1">
            <w:pPr>
              <w:snapToGrid w:val="0"/>
              <w:spacing w:before="50" w:after="50"/>
              <w:jc w:val="center"/>
              <w:rPr>
                <w:rFonts w:ascii="宋体"/>
                <w:color w:val="auto"/>
                <w:sz w:val="24"/>
                <w:szCs w:val="24"/>
                <w:highlight w:val="none"/>
              </w:rPr>
            </w:pPr>
          </w:p>
        </w:tc>
      </w:tr>
      <w:tr w14:paraId="4BC4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0522272">
            <w:pPr>
              <w:snapToGrid w:val="0"/>
              <w:spacing w:before="50" w:after="50"/>
              <w:jc w:val="center"/>
              <w:rPr>
                <w:rFonts w:ascii="宋体"/>
                <w:color w:val="auto"/>
                <w:sz w:val="24"/>
                <w:szCs w:val="24"/>
                <w:highlight w:val="none"/>
              </w:rPr>
            </w:pPr>
          </w:p>
        </w:tc>
        <w:tc>
          <w:tcPr>
            <w:tcW w:w="1440" w:type="dxa"/>
            <w:vAlign w:val="center"/>
          </w:tcPr>
          <w:p w14:paraId="0F006A40">
            <w:pPr>
              <w:snapToGrid w:val="0"/>
              <w:spacing w:before="50" w:after="50"/>
              <w:jc w:val="center"/>
              <w:rPr>
                <w:rFonts w:ascii="宋体"/>
                <w:color w:val="auto"/>
                <w:sz w:val="24"/>
                <w:szCs w:val="24"/>
                <w:highlight w:val="none"/>
              </w:rPr>
            </w:pPr>
          </w:p>
        </w:tc>
        <w:tc>
          <w:tcPr>
            <w:tcW w:w="1980" w:type="dxa"/>
            <w:vAlign w:val="center"/>
          </w:tcPr>
          <w:p w14:paraId="7F798267">
            <w:pPr>
              <w:snapToGrid w:val="0"/>
              <w:spacing w:before="50" w:after="50"/>
              <w:jc w:val="center"/>
              <w:rPr>
                <w:rFonts w:ascii="宋体"/>
                <w:color w:val="auto"/>
                <w:sz w:val="24"/>
                <w:szCs w:val="24"/>
                <w:highlight w:val="none"/>
              </w:rPr>
            </w:pPr>
          </w:p>
        </w:tc>
        <w:tc>
          <w:tcPr>
            <w:tcW w:w="2520" w:type="dxa"/>
            <w:vAlign w:val="center"/>
          </w:tcPr>
          <w:p w14:paraId="3C8EDC52">
            <w:pPr>
              <w:snapToGrid w:val="0"/>
              <w:spacing w:before="50" w:after="50"/>
              <w:jc w:val="center"/>
              <w:rPr>
                <w:rFonts w:ascii="宋体"/>
                <w:color w:val="auto"/>
                <w:sz w:val="24"/>
                <w:szCs w:val="24"/>
                <w:highlight w:val="none"/>
              </w:rPr>
            </w:pPr>
          </w:p>
        </w:tc>
        <w:tc>
          <w:tcPr>
            <w:tcW w:w="1953" w:type="dxa"/>
            <w:vAlign w:val="center"/>
          </w:tcPr>
          <w:p w14:paraId="09B60C88">
            <w:pPr>
              <w:snapToGrid w:val="0"/>
              <w:spacing w:before="50" w:after="50"/>
              <w:jc w:val="center"/>
              <w:rPr>
                <w:rFonts w:ascii="宋体"/>
                <w:color w:val="auto"/>
                <w:sz w:val="24"/>
                <w:szCs w:val="24"/>
                <w:highlight w:val="none"/>
              </w:rPr>
            </w:pPr>
          </w:p>
        </w:tc>
      </w:tr>
      <w:tr w14:paraId="0B96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3EB101F">
            <w:pPr>
              <w:snapToGrid w:val="0"/>
              <w:spacing w:before="50" w:after="50"/>
              <w:jc w:val="center"/>
              <w:rPr>
                <w:rFonts w:ascii="宋体"/>
                <w:color w:val="auto"/>
                <w:sz w:val="24"/>
                <w:szCs w:val="24"/>
                <w:highlight w:val="none"/>
              </w:rPr>
            </w:pPr>
          </w:p>
        </w:tc>
        <w:tc>
          <w:tcPr>
            <w:tcW w:w="1440" w:type="dxa"/>
            <w:vAlign w:val="center"/>
          </w:tcPr>
          <w:p w14:paraId="2274FFDA">
            <w:pPr>
              <w:snapToGrid w:val="0"/>
              <w:spacing w:before="50" w:after="50"/>
              <w:jc w:val="center"/>
              <w:rPr>
                <w:rFonts w:ascii="宋体"/>
                <w:color w:val="auto"/>
                <w:sz w:val="24"/>
                <w:szCs w:val="24"/>
                <w:highlight w:val="none"/>
              </w:rPr>
            </w:pPr>
          </w:p>
        </w:tc>
        <w:tc>
          <w:tcPr>
            <w:tcW w:w="1980" w:type="dxa"/>
            <w:vAlign w:val="center"/>
          </w:tcPr>
          <w:p w14:paraId="49766979">
            <w:pPr>
              <w:snapToGrid w:val="0"/>
              <w:spacing w:before="50" w:after="50"/>
              <w:jc w:val="center"/>
              <w:rPr>
                <w:rFonts w:ascii="宋体"/>
                <w:color w:val="auto"/>
                <w:sz w:val="24"/>
                <w:szCs w:val="24"/>
                <w:highlight w:val="none"/>
              </w:rPr>
            </w:pPr>
          </w:p>
        </w:tc>
        <w:tc>
          <w:tcPr>
            <w:tcW w:w="2520" w:type="dxa"/>
            <w:vAlign w:val="center"/>
          </w:tcPr>
          <w:p w14:paraId="2B0F2648">
            <w:pPr>
              <w:snapToGrid w:val="0"/>
              <w:spacing w:before="50" w:after="50"/>
              <w:jc w:val="center"/>
              <w:rPr>
                <w:rFonts w:ascii="宋体"/>
                <w:color w:val="auto"/>
                <w:sz w:val="24"/>
                <w:szCs w:val="24"/>
                <w:highlight w:val="none"/>
              </w:rPr>
            </w:pPr>
          </w:p>
        </w:tc>
        <w:tc>
          <w:tcPr>
            <w:tcW w:w="1953" w:type="dxa"/>
            <w:vAlign w:val="center"/>
          </w:tcPr>
          <w:p w14:paraId="7A88BC78">
            <w:pPr>
              <w:snapToGrid w:val="0"/>
              <w:spacing w:before="50" w:after="50"/>
              <w:jc w:val="center"/>
              <w:rPr>
                <w:rFonts w:ascii="宋体"/>
                <w:color w:val="auto"/>
                <w:sz w:val="24"/>
                <w:szCs w:val="24"/>
                <w:highlight w:val="none"/>
              </w:rPr>
            </w:pPr>
          </w:p>
        </w:tc>
      </w:tr>
      <w:tr w14:paraId="73B5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E27E3C4">
            <w:pPr>
              <w:snapToGrid w:val="0"/>
              <w:spacing w:before="50" w:after="50"/>
              <w:jc w:val="center"/>
              <w:rPr>
                <w:rFonts w:ascii="宋体"/>
                <w:color w:val="auto"/>
                <w:sz w:val="24"/>
                <w:szCs w:val="24"/>
                <w:highlight w:val="none"/>
              </w:rPr>
            </w:pPr>
          </w:p>
        </w:tc>
        <w:tc>
          <w:tcPr>
            <w:tcW w:w="1440" w:type="dxa"/>
            <w:vAlign w:val="center"/>
          </w:tcPr>
          <w:p w14:paraId="29513A6A">
            <w:pPr>
              <w:snapToGrid w:val="0"/>
              <w:spacing w:before="50" w:after="50"/>
              <w:jc w:val="center"/>
              <w:rPr>
                <w:rFonts w:ascii="宋体"/>
                <w:color w:val="auto"/>
                <w:sz w:val="24"/>
                <w:szCs w:val="24"/>
                <w:highlight w:val="none"/>
              </w:rPr>
            </w:pPr>
          </w:p>
        </w:tc>
        <w:tc>
          <w:tcPr>
            <w:tcW w:w="1980" w:type="dxa"/>
            <w:vAlign w:val="center"/>
          </w:tcPr>
          <w:p w14:paraId="0E614AD8">
            <w:pPr>
              <w:snapToGrid w:val="0"/>
              <w:spacing w:before="50" w:after="50"/>
              <w:jc w:val="center"/>
              <w:rPr>
                <w:rFonts w:ascii="宋体"/>
                <w:color w:val="auto"/>
                <w:sz w:val="24"/>
                <w:szCs w:val="24"/>
                <w:highlight w:val="none"/>
              </w:rPr>
            </w:pPr>
          </w:p>
        </w:tc>
        <w:tc>
          <w:tcPr>
            <w:tcW w:w="2520" w:type="dxa"/>
            <w:vAlign w:val="center"/>
          </w:tcPr>
          <w:p w14:paraId="03C79827">
            <w:pPr>
              <w:snapToGrid w:val="0"/>
              <w:spacing w:before="50" w:after="50"/>
              <w:jc w:val="center"/>
              <w:rPr>
                <w:rFonts w:ascii="宋体"/>
                <w:color w:val="auto"/>
                <w:sz w:val="24"/>
                <w:szCs w:val="24"/>
                <w:highlight w:val="none"/>
              </w:rPr>
            </w:pPr>
          </w:p>
        </w:tc>
        <w:tc>
          <w:tcPr>
            <w:tcW w:w="1953" w:type="dxa"/>
            <w:vAlign w:val="center"/>
          </w:tcPr>
          <w:p w14:paraId="0F610C78">
            <w:pPr>
              <w:snapToGrid w:val="0"/>
              <w:spacing w:before="50" w:after="50"/>
              <w:jc w:val="center"/>
              <w:rPr>
                <w:rFonts w:ascii="宋体"/>
                <w:color w:val="auto"/>
                <w:sz w:val="24"/>
                <w:szCs w:val="24"/>
                <w:highlight w:val="none"/>
              </w:rPr>
            </w:pPr>
          </w:p>
        </w:tc>
      </w:tr>
      <w:tr w14:paraId="487D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379688B">
            <w:pPr>
              <w:snapToGrid w:val="0"/>
              <w:spacing w:before="50" w:after="50"/>
              <w:jc w:val="center"/>
              <w:rPr>
                <w:rFonts w:ascii="宋体"/>
                <w:color w:val="auto"/>
                <w:sz w:val="24"/>
                <w:szCs w:val="24"/>
                <w:highlight w:val="none"/>
              </w:rPr>
            </w:pPr>
          </w:p>
        </w:tc>
        <w:tc>
          <w:tcPr>
            <w:tcW w:w="1440" w:type="dxa"/>
            <w:vAlign w:val="center"/>
          </w:tcPr>
          <w:p w14:paraId="4972F37C">
            <w:pPr>
              <w:snapToGrid w:val="0"/>
              <w:spacing w:before="50" w:after="50"/>
              <w:jc w:val="center"/>
              <w:rPr>
                <w:rFonts w:ascii="宋体"/>
                <w:color w:val="auto"/>
                <w:sz w:val="24"/>
                <w:szCs w:val="24"/>
                <w:highlight w:val="none"/>
              </w:rPr>
            </w:pPr>
          </w:p>
        </w:tc>
        <w:tc>
          <w:tcPr>
            <w:tcW w:w="1980" w:type="dxa"/>
            <w:vAlign w:val="center"/>
          </w:tcPr>
          <w:p w14:paraId="3042CECB">
            <w:pPr>
              <w:snapToGrid w:val="0"/>
              <w:spacing w:before="50" w:after="50"/>
              <w:jc w:val="center"/>
              <w:rPr>
                <w:rFonts w:ascii="宋体"/>
                <w:color w:val="auto"/>
                <w:sz w:val="24"/>
                <w:szCs w:val="24"/>
                <w:highlight w:val="none"/>
              </w:rPr>
            </w:pPr>
          </w:p>
        </w:tc>
        <w:tc>
          <w:tcPr>
            <w:tcW w:w="2520" w:type="dxa"/>
            <w:vAlign w:val="center"/>
          </w:tcPr>
          <w:p w14:paraId="7B68D58B">
            <w:pPr>
              <w:snapToGrid w:val="0"/>
              <w:spacing w:before="50" w:after="50"/>
              <w:jc w:val="center"/>
              <w:rPr>
                <w:rFonts w:ascii="宋体"/>
                <w:color w:val="auto"/>
                <w:sz w:val="24"/>
                <w:szCs w:val="24"/>
                <w:highlight w:val="none"/>
              </w:rPr>
            </w:pPr>
          </w:p>
        </w:tc>
        <w:tc>
          <w:tcPr>
            <w:tcW w:w="1953" w:type="dxa"/>
            <w:vAlign w:val="center"/>
          </w:tcPr>
          <w:p w14:paraId="08823136">
            <w:pPr>
              <w:snapToGrid w:val="0"/>
              <w:spacing w:before="50" w:after="50"/>
              <w:jc w:val="center"/>
              <w:rPr>
                <w:rFonts w:ascii="宋体"/>
                <w:color w:val="auto"/>
                <w:sz w:val="24"/>
                <w:szCs w:val="24"/>
                <w:highlight w:val="none"/>
              </w:rPr>
            </w:pPr>
          </w:p>
        </w:tc>
      </w:tr>
      <w:tr w14:paraId="6563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312B875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15B4CD00">
            <w:pPr>
              <w:spacing w:line="360" w:lineRule="auto"/>
              <w:jc w:val="center"/>
              <w:rPr>
                <w:rFonts w:ascii="宋体"/>
                <w:color w:val="auto"/>
                <w:sz w:val="24"/>
                <w:szCs w:val="24"/>
                <w:highlight w:val="none"/>
              </w:rPr>
            </w:pPr>
          </w:p>
        </w:tc>
      </w:tr>
    </w:tbl>
    <w:p w14:paraId="52EDDCA6">
      <w:pPr>
        <w:snapToGrid w:val="0"/>
        <w:spacing w:line="360" w:lineRule="auto"/>
        <w:rPr>
          <w:rFonts w:ascii="宋体"/>
          <w:color w:val="auto"/>
          <w:sz w:val="24"/>
          <w:szCs w:val="24"/>
          <w:highlight w:val="none"/>
        </w:rPr>
      </w:pPr>
    </w:p>
    <w:p w14:paraId="3F5C074C">
      <w:pPr>
        <w:pStyle w:val="13"/>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64E65046">
      <w:pPr>
        <w:rPr>
          <w:rFonts w:ascii="宋体"/>
          <w:color w:val="auto"/>
          <w:sz w:val="24"/>
          <w:szCs w:val="24"/>
          <w:highlight w:val="none"/>
        </w:rPr>
      </w:pPr>
    </w:p>
    <w:p w14:paraId="6CA9B4ED">
      <w:pPr>
        <w:pStyle w:val="10"/>
        <w:rPr>
          <w:rFonts w:cs="Times New Roman"/>
          <w:color w:val="auto"/>
          <w:highlight w:val="none"/>
        </w:rPr>
      </w:pPr>
    </w:p>
    <w:p w14:paraId="5A00ADB8">
      <w:pPr>
        <w:snapToGrid w:val="0"/>
        <w:spacing w:line="360" w:lineRule="auto"/>
        <w:rPr>
          <w:rFonts w:ascii="宋体"/>
          <w:color w:val="auto"/>
          <w:sz w:val="24"/>
          <w:szCs w:val="24"/>
          <w:highlight w:val="none"/>
        </w:rPr>
      </w:pPr>
    </w:p>
    <w:p w14:paraId="355AE4C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405E23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56EF0A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A043FB8">
      <w:pPr>
        <w:rPr>
          <w:color w:val="auto"/>
          <w:sz w:val="24"/>
          <w:szCs w:val="24"/>
          <w:highlight w:val="none"/>
        </w:rPr>
      </w:pPr>
      <w:r>
        <w:rPr>
          <w:color w:val="auto"/>
          <w:sz w:val="24"/>
          <w:szCs w:val="24"/>
          <w:highlight w:val="none"/>
        </w:rPr>
        <w:br w:type="page"/>
      </w:r>
    </w:p>
    <w:p w14:paraId="74F3E78C">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14:paraId="396A1EA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5AB1199D">
      <w:pPr>
        <w:snapToGrid w:val="0"/>
        <w:spacing w:before="50"/>
        <w:jc w:val="center"/>
        <w:rPr>
          <w:rFonts w:ascii="宋体"/>
          <w:b/>
          <w:bCs/>
          <w:color w:val="auto"/>
          <w:sz w:val="32"/>
          <w:szCs w:val="32"/>
          <w:highlight w:val="none"/>
        </w:rPr>
      </w:pPr>
    </w:p>
    <w:p w14:paraId="2101B92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007FE1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224CC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3C3194F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42A29C0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012E8ED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1869FD3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35AD14C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6674F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063777C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644" w:type="dxa"/>
            <w:tcBorders>
              <w:top w:val="single" w:color="auto" w:sz="4" w:space="0"/>
              <w:left w:val="single" w:color="auto" w:sz="4" w:space="0"/>
              <w:bottom w:val="single" w:color="auto" w:sz="4" w:space="0"/>
              <w:right w:val="single" w:color="auto" w:sz="4" w:space="0"/>
            </w:tcBorders>
            <w:vAlign w:val="center"/>
          </w:tcPr>
          <w:p w14:paraId="5971AEBC">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1F672C8">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A5C3246">
            <w:pPr>
              <w:snapToGrid w:val="0"/>
              <w:spacing w:before="50" w:after="50"/>
              <w:jc w:val="center"/>
              <w:rPr>
                <w:rFonts w:ascii="宋体"/>
                <w:color w:val="auto"/>
                <w:sz w:val="24"/>
                <w:szCs w:val="24"/>
                <w:highlight w:val="none"/>
              </w:rPr>
            </w:pPr>
          </w:p>
        </w:tc>
      </w:tr>
      <w:tr w14:paraId="2A406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B41F1A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644" w:type="dxa"/>
            <w:tcBorders>
              <w:top w:val="single" w:color="auto" w:sz="4" w:space="0"/>
              <w:left w:val="single" w:color="auto" w:sz="4" w:space="0"/>
              <w:bottom w:val="single" w:color="auto" w:sz="4" w:space="0"/>
              <w:right w:val="single" w:color="auto" w:sz="4" w:space="0"/>
            </w:tcBorders>
            <w:vAlign w:val="center"/>
          </w:tcPr>
          <w:p w14:paraId="40A5884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5997787">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008C1371">
            <w:pPr>
              <w:snapToGrid w:val="0"/>
              <w:spacing w:before="50" w:after="50"/>
              <w:jc w:val="center"/>
              <w:rPr>
                <w:rFonts w:ascii="宋体"/>
                <w:color w:val="auto"/>
                <w:sz w:val="24"/>
                <w:szCs w:val="24"/>
                <w:highlight w:val="none"/>
              </w:rPr>
            </w:pPr>
          </w:p>
        </w:tc>
      </w:tr>
      <w:tr w14:paraId="57986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7EC10AE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644" w:type="dxa"/>
            <w:tcBorders>
              <w:top w:val="single" w:color="auto" w:sz="4" w:space="0"/>
              <w:left w:val="single" w:color="auto" w:sz="4" w:space="0"/>
              <w:bottom w:val="single" w:color="auto" w:sz="4" w:space="0"/>
              <w:right w:val="single" w:color="auto" w:sz="4" w:space="0"/>
            </w:tcBorders>
            <w:vAlign w:val="center"/>
          </w:tcPr>
          <w:p w14:paraId="2BAA4091">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4E6551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3FB2080">
            <w:pPr>
              <w:snapToGrid w:val="0"/>
              <w:spacing w:before="50" w:after="50"/>
              <w:jc w:val="center"/>
              <w:rPr>
                <w:rFonts w:ascii="宋体"/>
                <w:color w:val="auto"/>
                <w:sz w:val="24"/>
                <w:szCs w:val="24"/>
                <w:highlight w:val="none"/>
              </w:rPr>
            </w:pPr>
          </w:p>
        </w:tc>
      </w:tr>
      <w:tr w14:paraId="704F6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BC0D48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644" w:type="dxa"/>
            <w:tcBorders>
              <w:top w:val="single" w:color="auto" w:sz="4" w:space="0"/>
              <w:left w:val="single" w:color="auto" w:sz="4" w:space="0"/>
              <w:bottom w:val="single" w:color="auto" w:sz="4" w:space="0"/>
              <w:right w:val="single" w:color="auto" w:sz="4" w:space="0"/>
            </w:tcBorders>
            <w:vAlign w:val="center"/>
          </w:tcPr>
          <w:p w14:paraId="25C7221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501F68B">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8C4FBDC">
            <w:pPr>
              <w:snapToGrid w:val="0"/>
              <w:spacing w:before="50" w:after="50"/>
              <w:jc w:val="center"/>
              <w:rPr>
                <w:rFonts w:ascii="宋体"/>
                <w:color w:val="auto"/>
                <w:sz w:val="24"/>
                <w:szCs w:val="24"/>
                <w:highlight w:val="none"/>
              </w:rPr>
            </w:pPr>
          </w:p>
        </w:tc>
      </w:tr>
      <w:tr w14:paraId="13417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DD3066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644" w:type="dxa"/>
            <w:tcBorders>
              <w:top w:val="single" w:color="auto" w:sz="4" w:space="0"/>
              <w:left w:val="single" w:color="auto" w:sz="4" w:space="0"/>
              <w:bottom w:val="single" w:color="auto" w:sz="4" w:space="0"/>
              <w:right w:val="single" w:color="auto" w:sz="4" w:space="0"/>
            </w:tcBorders>
            <w:vAlign w:val="center"/>
          </w:tcPr>
          <w:p w14:paraId="079F0F34">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C97A275">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30BE891">
            <w:pPr>
              <w:snapToGrid w:val="0"/>
              <w:spacing w:before="50" w:after="50"/>
              <w:jc w:val="center"/>
              <w:rPr>
                <w:rFonts w:ascii="宋体"/>
                <w:color w:val="auto"/>
                <w:sz w:val="24"/>
                <w:szCs w:val="24"/>
                <w:highlight w:val="none"/>
              </w:rPr>
            </w:pPr>
          </w:p>
        </w:tc>
      </w:tr>
      <w:tr w14:paraId="7051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0558A0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644" w:type="dxa"/>
            <w:tcBorders>
              <w:top w:val="single" w:color="auto" w:sz="4" w:space="0"/>
              <w:left w:val="single" w:color="auto" w:sz="4" w:space="0"/>
              <w:bottom w:val="single" w:color="auto" w:sz="4" w:space="0"/>
              <w:right w:val="single" w:color="auto" w:sz="4" w:space="0"/>
            </w:tcBorders>
            <w:vAlign w:val="center"/>
          </w:tcPr>
          <w:p w14:paraId="2BCB57EF">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3D2F114">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2769684">
            <w:pPr>
              <w:snapToGrid w:val="0"/>
              <w:spacing w:before="50" w:after="50"/>
              <w:jc w:val="center"/>
              <w:rPr>
                <w:rFonts w:ascii="宋体"/>
                <w:color w:val="auto"/>
                <w:sz w:val="24"/>
                <w:szCs w:val="24"/>
                <w:highlight w:val="none"/>
              </w:rPr>
            </w:pPr>
          </w:p>
        </w:tc>
      </w:tr>
      <w:tr w14:paraId="72B8B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CC2E44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644" w:type="dxa"/>
            <w:tcBorders>
              <w:top w:val="single" w:color="auto" w:sz="4" w:space="0"/>
              <w:left w:val="single" w:color="auto" w:sz="4" w:space="0"/>
              <w:bottom w:val="single" w:color="auto" w:sz="4" w:space="0"/>
              <w:right w:val="single" w:color="auto" w:sz="4" w:space="0"/>
            </w:tcBorders>
            <w:vAlign w:val="center"/>
          </w:tcPr>
          <w:p w14:paraId="50688BA8">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4D148A9">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0F65D985">
            <w:pPr>
              <w:snapToGrid w:val="0"/>
              <w:spacing w:before="50" w:after="50"/>
              <w:jc w:val="center"/>
              <w:rPr>
                <w:rFonts w:ascii="宋体"/>
                <w:color w:val="auto"/>
                <w:sz w:val="24"/>
                <w:szCs w:val="24"/>
                <w:highlight w:val="none"/>
              </w:rPr>
            </w:pPr>
          </w:p>
        </w:tc>
      </w:tr>
      <w:tr w14:paraId="00865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7908BA0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644" w:type="dxa"/>
            <w:tcBorders>
              <w:top w:val="single" w:color="auto" w:sz="4" w:space="0"/>
              <w:left w:val="single" w:color="auto" w:sz="4" w:space="0"/>
              <w:bottom w:val="single" w:color="auto" w:sz="4" w:space="0"/>
              <w:right w:val="single" w:color="auto" w:sz="4" w:space="0"/>
            </w:tcBorders>
            <w:vAlign w:val="center"/>
          </w:tcPr>
          <w:p w14:paraId="5B469B40">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C412BB4">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EA4AE2B">
            <w:pPr>
              <w:snapToGrid w:val="0"/>
              <w:spacing w:before="50" w:after="50"/>
              <w:jc w:val="center"/>
              <w:rPr>
                <w:rFonts w:ascii="宋体"/>
                <w:color w:val="auto"/>
                <w:sz w:val="24"/>
                <w:szCs w:val="24"/>
                <w:highlight w:val="none"/>
              </w:rPr>
            </w:pPr>
          </w:p>
        </w:tc>
      </w:tr>
      <w:tr w14:paraId="25B25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A2BFC6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644" w:type="dxa"/>
            <w:tcBorders>
              <w:top w:val="single" w:color="auto" w:sz="4" w:space="0"/>
              <w:left w:val="single" w:color="auto" w:sz="4" w:space="0"/>
              <w:bottom w:val="single" w:color="auto" w:sz="4" w:space="0"/>
              <w:right w:val="single" w:color="auto" w:sz="4" w:space="0"/>
            </w:tcBorders>
            <w:vAlign w:val="center"/>
          </w:tcPr>
          <w:p w14:paraId="49C10228">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07EC06C">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EE2A053">
            <w:pPr>
              <w:snapToGrid w:val="0"/>
              <w:spacing w:before="50" w:after="50"/>
              <w:jc w:val="center"/>
              <w:rPr>
                <w:rFonts w:ascii="宋体"/>
                <w:color w:val="auto"/>
                <w:sz w:val="24"/>
                <w:szCs w:val="24"/>
                <w:highlight w:val="none"/>
              </w:rPr>
            </w:pPr>
          </w:p>
        </w:tc>
      </w:tr>
      <w:tr w14:paraId="0948E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2DAD20B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644" w:type="dxa"/>
            <w:tcBorders>
              <w:top w:val="single" w:color="auto" w:sz="4" w:space="0"/>
              <w:left w:val="single" w:color="auto" w:sz="4" w:space="0"/>
              <w:bottom w:val="single" w:color="auto" w:sz="4" w:space="0"/>
              <w:right w:val="single" w:color="auto" w:sz="4" w:space="0"/>
            </w:tcBorders>
            <w:vAlign w:val="center"/>
          </w:tcPr>
          <w:p w14:paraId="314CB3AB">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917E2B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9666A45">
            <w:pPr>
              <w:snapToGrid w:val="0"/>
              <w:spacing w:before="50" w:after="50"/>
              <w:jc w:val="center"/>
              <w:rPr>
                <w:rFonts w:ascii="宋体"/>
                <w:color w:val="auto"/>
                <w:sz w:val="24"/>
                <w:szCs w:val="24"/>
                <w:highlight w:val="none"/>
              </w:rPr>
            </w:pPr>
          </w:p>
        </w:tc>
      </w:tr>
      <w:tr w14:paraId="50BD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731C98E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644" w:type="dxa"/>
            <w:tcBorders>
              <w:top w:val="single" w:color="auto" w:sz="4" w:space="0"/>
              <w:left w:val="single" w:color="auto" w:sz="4" w:space="0"/>
              <w:bottom w:val="single" w:color="auto" w:sz="4" w:space="0"/>
              <w:right w:val="single" w:color="auto" w:sz="4" w:space="0"/>
            </w:tcBorders>
            <w:vAlign w:val="center"/>
          </w:tcPr>
          <w:p w14:paraId="6088FD0F">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2AC320C">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EFB16AB">
            <w:pPr>
              <w:snapToGrid w:val="0"/>
              <w:spacing w:before="50" w:after="50"/>
              <w:jc w:val="center"/>
              <w:rPr>
                <w:rFonts w:ascii="宋体"/>
                <w:color w:val="auto"/>
                <w:sz w:val="24"/>
                <w:szCs w:val="24"/>
                <w:highlight w:val="none"/>
              </w:rPr>
            </w:pPr>
          </w:p>
        </w:tc>
      </w:tr>
    </w:tbl>
    <w:p w14:paraId="2CB0F806">
      <w:pPr>
        <w:spacing w:line="360" w:lineRule="auto"/>
        <w:ind w:left="3780" w:leftChars="1800" w:firstLine="480" w:firstLineChars="200"/>
        <w:rPr>
          <w:rFonts w:ascii="宋体"/>
          <w:color w:val="auto"/>
          <w:sz w:val="24"/>
          <w:szCs w:val="24"/>
          <w:highlight w:val="none"/>
        </w:rPr>
      </w:pPr>
    </w:p>
    <w:p w14:paraId="6D803893">
      <w:pPr>
        <w:spacing w:line="360" w:lineRule="auto"/>
        <w:ind w:left="3780" w:leftChars="1800" w:firstLine="480" w:firstLineChars="200"/>
        <w:rPr>
          <w:rFonts w:ascii="宋体"/>
          <w:color w:val="auto"/>
          <w:sz w:val="24"/>
          <w:szCs w:val="24"/>
          <w:highlight w:val="none"/>
        </w:rPr>
      </w:pPr>
    </w:p>
    <w:p w14:paraId="511C9210">
      <w:pPr>
        <w:spacing w:line="360" w:lineRule="auto"/>
        <w:ind w:left="3780" w:leftChars="1800" w:firstLine="480" w:firstLineChars="200"/>
        <w:rPr>
          <w:rFonts w:ascii="宋体"/>
          <w:color w:val="auto"/>
          <w:sz w:val="24"/>
          <w:szCs w:val="24"/>
          <w:highlight w:val="none"/>
        </w:rPr>
      </w:pPr>
    </w:p>
    <w:p w14:paraId="45AF000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AED8F9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B485E2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72A50C6">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14:paraId="61C00B7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69C15EBE">
      <w:pPr>
        <w:snapToGrid w:val="0"/>
        <w:spacing w:beforeLines="50" w:after="50"/>
        <w:jc w:val="center"/>
        <w:rPr>
          <w:rFonts w:ascii="宋体"/>
          <w:b/>
          <w:bCs/>
          <w:color w:val="auto"/>
          <w:sz w:val="30"/>
          <w:szCs w:val="30"/>
          <w:highlight w:val="none"/>
        </w:rPr>
      </w:pPr>
    </w:p>
    <w:p w14:paraId="2231CA8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656D58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585FF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6402D36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88649F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48525C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3E48BD5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7083032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10CBA4E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0C11E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1C0FEE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E39F679">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A72892E">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423715D">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975D43D">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EB09D88">
            <w:pPr>
              <w:snapToGrid w:val="0"/>
              <w:spacing w:before="156" w:beforeLines="50" w:after="50" w:line="460" w:lineRule="exact"/>
              <w:rPr>
                <w:rFonts w:ascii="宋体"/>
                <w:color w:val="auto"/>
                <w:sz w:val="24"/>
                <w:szCs w:val="24"/>
                <w:highlight w:val="none"/>
              </w:rPr>
            </w:pPr>
          </w:p>
        </w:tc>
      </w:tr>
      <w:tr w14:paraId="7FF4E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3F739C1">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5719CAE">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EC21AB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3975A5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D5E4C1B">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9976F41">
            <w:pPr>
              <w:snapToGrid w:val="0"/>
              <w:spacing w:before="156" w:beforeLines="50" w:after="50" w:line="460" w:lineRule="exact"/>
              <w:rPr>
                <w:rFonts w:ascii="宋体"/>
                <w:color w:val="auto"/>
                <w:sz w:val="24"/>
                <w:szCs w:val="24"/>
                <w:highlight w:val="none"/>
              </w:rPr>
            </w:pPr>
          </w:p>
        </w:tc>
      </w:tr>
      <w:tr w14:paraId="39854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09593C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24FC78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41F834F">
            <w:pPr>
              <w:pStyle w:val="14"/>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945768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E8FE25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4A4C26D">
            <w:pPr>
              <w:snapToGrid w:val="0"/>
              <w:spacing w:before="156" w:beforeLines="50" w:after="50" w:line="460" w:lineRule="exact"/>
              <w:rPr>
                <w:rFonts w:ascii="宋体"/>
                <w:color w:val="auto"/>
                <w:sz w:val="24"/>
                <w:szCs w:val="24"/>
                <w:highlight w:val="none"/>
              </w:rPr>
            </w:pPr>
          </w:p>
        </w:tc>
      </w:tr>
      <w:tr w14:paraId="1302D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421BC4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9E93A2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7450E6E">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6E9503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677C29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311CD7D">
            <w:pPr>
              <w:snapToGrid w:val="0"/>
              <w:spacing w:before="156" w:beforeLines="50" w:after="50" w:line="460" w:lineRule="exact"/>
              <w:rPr>
                <w:rFonts w:ascii="宋体"/>
                <w:color w:val="auto"/>
                <w:sz w:val="24"/>
                <w:szCs w:val="24"/>
                <w:highlight w:val="none"/>
              </w:rPr>
            </w:pPr>
          </w:p>
        </w:tc>
      </w:tr>
      <w:tr w14:paraId="4238A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203BEBF">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1A4B6E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9182E7B">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17E9AB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1850AB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A849A8C">
            <w:pPr>
              <w:snapToGrid w:val="0"/>
              <w:spacing w:before="156" w:beforeLines="50" w:after="50" w:line="460" w:lineRule="exact"/>
              <w:rPr>
                <w:rFonts w:ascii="宋体"/>
                <w:color w:val="auto"/>
                <w:sz w:val="24"/>
                <w:szCs w:val="24"/>
                <w:highlight w:val="none"/>
              </w:rPr>
            </w:pPr>
          </w:p>
        </w:tc>
      </w:tr>
      <w:tr w14:paraId="44C4F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A0ED783">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091CD04">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7848A53">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E3F308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F34DC1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55D0984">
            <w:pPr>
              <w:snapToGrid w:val="0"/>
              <w:spacing w:before="156" w:beforeLines="50" w:after="50" w:line="460" w:lineRule="exact"/>
              <w:rPr>
                <w:rFonts w:ascii="宋体"/>
                <w:color w:val="auto"/>
                <w:sz w:val="24"/>
                <w:szCs w:val="24"/>
                <w:highlight w:val="none"/>
              </w:rPr>
            </w:pPr>
          </w:p>
        </w:tc>
      </w:tr>
      <w:tr w14:paraId="6AC4F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14D304A">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0174E63">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27A0529">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21BED4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57F9C3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D262B1E">
            <w:pPr>
              <w:snapToGrid w:val="0"/>
              <w:spacing w:before="156" w:beforeLines="50" w:after="50" w:line="460" w:lineRule="exact"/>
              <w:rPr>
                <w:rFonts w:ascii="宋体"/>
                <w:color w:val="auto"/>
                <w:sz w:val="24"/>
                <w:szCs w:val="24"/>
                <w:highlight w:val="none"/>
              </w:rPr>
            </w:pPr>
          </w:p>
        </w:tc>
      </w:tr>
      <w:tr w14:paraId="15D44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17B0C91">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CCAEFA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C92463C">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025A88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CF8A00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CCC9F58">
            <w:pPr>
              <w:snapToGrid w:val="0"/>
              <w:spacing w:before="156" w:beforeLines="50" w:after="50" w:line="460" w:lineRule="exact"/>
              <w:rPr>
                <w:rFonts w:ascii="宋体"/>
                <w:color w:val="auto"/>
                <w:sz w:val="24"/>
                <w:szCs w:val="24"/>
                <w:highlight w:val="none"/>
              </w:rPr>
            </w:pPr>
          </w:p>
        </w:tc>
      </w:tr>
      <w:tr w14:paraId="25309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1220C56">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6BDC98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7B49A1E">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07A023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C045A6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F01B7B5">
            <w:pPr>
              <w:snapToGrid w:val="0"/>
              <w:spacing w:before="156" w:beforeLines="50" w:after="50" w:line="460" w:lineRule="exact"/>
              <w:rPr>
                <w:rFonts w:ascii="宋体"/>
                <w:color w:val="auto"/>
                <w:sz w:val="24"/>
                <w:szCs w:val="24"/>
                <w:highlight w:val="none"/>
              </w:rPr>
            </w:pPr>
          </w:p>
        </w:tc>
      </w:tr>
    </w:tbl>
    <w:p w14:paraId="5B28D89A">
      <w:pPr>
        <w:spacing w:line="360" w:lineRule="auto"/>
        <w:ind w:firstLine="480" w:firstLineChars="200"/>
        <w:rPr>
          <w:rFonts w:ascii="宋体"/>
          <w:color w:val="auto"/>
          <w:sz w:val="24"/>
          <w:szCs w:val="24"/>
          <w:highlight w:val="none"/>
        </w:rPr>
      </w:pPr>
    </w:p>
    <w:p w14:paraId="49687F82">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2DFECE6C">
      <w:pPr>
        <w:pStyle w:val="10"/>
        <w:rPr>
          <w:rFonts w:cs="Times New Roman"/>
          <w:color w:val="auto"/>
          <w:highlight w:val="none"/>
        </w:rPr>
      </w:pPr>
    </w:p>
    <w:p w14:paraId="73DB731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05CCFF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372CFC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D89D2AB">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28C8FAA8">
      <w:pPr>
        <w:spacing w:line="360" w:lineRule="auto"/>
        <w:jc w:val="center"/>
        <w:rPr>
          <w:rFonts w:ascii="宋体"/>
          <w:b/>
          <w:bCs/>
          <w:color w:val="auto"/>
          <w:kern w:val="0"/>
          <w:sz w:val="36"/>
          <w:szCs w:val="36"/>
          <w:highlight w:val="none"/>
        </w:rPr>
      </w:pPr>
    </w:p>
    <w:p w14:paraId="57427A88">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12094B78">
      <w:pPr>
        <w:pStyle w:val="10"/>
        <w:ind w:firstLine="723"/>
        <w:rPr>
          <w:rFonts w:cs="Times New Roman"/>
          <w:b/>
          <w:bCs/>
          <w:color w:val="auto"/>
          <w:kern w:val="0"/>
          <w:sz w:val="36"/>
          <w:szCs w:val="36"/>
          <w:highlight w:val="none"/>
        </w:rPr>
      </w:pPr>
    </w:p>
    <w:p w14:paraId="70D52238">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62BB3BFA">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33851A2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74890356">
      <w:pPr>
        <w:spacing w:line="360" w:lineRule="auto"/>
        <w:rPr>
          <w:rFonts w:ascii="宋体"/>
          <w:color w:val="auto"/>
          <w:sz w:val="24"/>
          <w:szCs w:val="24"/>
          <w:highlight w:val="none"/>
        </w:rPr>
      </w:pPr>
    </w:p>
    <w:p w14:paraId="08AFAA78">
      <w:pPr>
        <w:rPr>
          <w:rFonts w:ascii="宋体"/>
          <w:color w:val="auto"/>
          <w:highlight w:val="none"/>
        </w:rPr>
      </w:pPr>
    </w:p>
    <w:p w14:paraId="084423F3">
      <w:pPr>
        <w:rPr>
          <w:rFonts w:ascii="宋体"/>
          <w:color w:val="auto"/>
          <w:highlight w:val="none"/>
        </w:rPr>
      </w:pPr>
      <w:r>
        <w:rPr>
          <w:rFonts w:ascii="宋体"/>
          <w:color w:val="auto"/>
          <w:highlight w:val="none"/>
        </w:rPr>
        <w:br w:type="page"/>
      </w:r>
    </w:p>
    <w:p w14:paraId="3C58944A">
      <w:pPr>
        <w:rPr>
          <w:rFonts w:ascii="宋体"/>
          <w:b/>
          <w:bCs/>
          <w:color w:val="auto"/>
          <w:highlight w:val="none"/>
          <w:lang w:val="zh-CN"/>
        </w:rPr>
      </w:pPr>
      <w:bookmarkStart w:id="95" w:name="_Toc3094"/>
      <w:r>
        <w:rPr>
          <w:rFonts w:hint="eastAsia" w:cs="宋体"/>
          <w:b/>
          <w:bCs/>
          <w:color w:val="auto"/>
          <w:sz w:val="24"/>
          <w:szCs w:val="24"/>
          <w:highlight w:val="none"/>
          <w:lang w:val="zh-CN"/>
        </w:rPr>
        <w:t>附件</w:t>
      </w:r>
      <w:bookmarkStart w:id="96" w:name="_Toc98731770"/>
      <w:bookmarkStart w:id="97" w:name="_Toc130094924"/>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4DA6D40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95"/>
      <w:bookmarkEnd w:id="96"/>
      <w:bookmarkEnd w:id="97"/>
    </w:p>
    <w:p w14:paraId="7F2EAC8E">
      <w:pPr>
        <w:spacing w:line="360" w:lineRule="auto"/>
        <w:ind w:firstLine="480" w:firstLineChars="200"/>
        <w:rPr>
          <w:rFonts w:ascii="宋体"/>
          <w:color w:val="auto"/>
          <w:sz w:val="24"/>
          <w:szCs w:val="24"/>
          <w:highlight w:val="none"/>
          <w:u w:val="single"/>
        </w:rPr>
      </w:pPr>
    </w:p>
    <w:p w14:paraId="0D8E9B8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绍兴市上虞区交通运输局</w:t>
      </w:r>
      <w:r>
        <w:rPr>
          <w:rFonts w:hint="eastAsia" w:ascii="宋体" w:hAnsi="宋体" w:cs="宋体"/>
          <w:color w:val="auto"/>
          <w:sz w:val="24"/>
          <w:szCs w:val="24"/>
          <w:highlight w:val="none"/>
        </w:rPr>
        <w:t>：</w:t>
      </w:r>
    </w:p>
    <w:p w14:paraId="204BACB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29785584">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74728C70">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F497CA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00487C0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79AA629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2BFE623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08DCBE2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56AFE3B6">
      <w:pPr>
        <w:pStyle w:val="13"/>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50D025C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4557B502">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4EE55BE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7A6A0DF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1308DB4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0D6599A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34C5F4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FF4F48E">
      <w:pPr>
        <w:spacing w:line="360" w:lineRule="auto"/>
        <w:ind w:firstLine="5280" w:firstLineChars="2200"/>
        <w:rPr>
          <w:rFonts w:ascii="宋体"/>
          <w:color w:val="auto"/>
          <w:sz w:val="24"/>
          <w:szCs w:val="24"/>
          <w:highlight w:val="none"/>
        </w:rPr>
      </w:pPr>
    </w:p>
    <w:p w14:paraId="73324D4B">
      <w:pPr>
        <w:rPr>
          <w:color w:val="auto"/>
          <w:sz w:val="24"/>
          <w:szCs w:val="24"/>
          <w:highlight w:val="none"/>
          <w:lang w:val="zh-CN"/>
        </w:rPr>
      </w:pPr>
      <w:bookmarkStart w:id="98" w:name="_Toc12011"/>
      <w:r>
        <w:rPr>
          <w:color w:val="auto"/>
          <w:sz w:val="24"/>
          <w:szCs w:val="24"/>
          <w:highlight w:val="none"/>
          <w:lang w:val="zh-CN"/>
        </w:rPr>
        <w:br w:type="page"/>
      </w:r>
    </w:p>
    <w:p w14:paraId="0AFE6076">
      <w:pPr>
        <w:rPr>
          <w:b/>
          <w:bCs/>
          <w:color w:val="auto"/>
          <w:sz w:val="24"/>
          <w:szCs w:val="24"/>
          <w:highlight w:val="none"/>
          <w:lang w:val="zh-CN"/>
        </w:rPr>
      </w:pPr>
      <w:r>
        <w:rPr>
          <w:rFonts w:hint="eastAsia" w:cs="宋体"/>
          <w:b/>
          <w:bCs/>
          <w:color w:val="auto"/>
          <w:sz w:val="24"/>
          <w:szCs w:val="24"/>
          <w:highlight w:val="none"/>
          <w:lang w:val="zh-CN"/>
        </w:rPr>
        <w:t>附件</w:t>
      </w:r>
      <w:bookmarkStart w:id="99" w:name="_Toc130094925"/>
      <w:bookmarkStart w:id="100" w:name="_Toc98731771"/>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14:paraId="6C9654A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98"/>
      <w:bookmarkEnd w:id="99"/>
      <w:bookmarkEnd w:id="100"/>
    </w:p>
    <w:p w14:paraId="7806A3D2">
      <w:pPr>
        <w:pStyle w:val="13"/>
        <w:spacing w:line="360" w:lineRule="auto"/>
        <w:rPr>
          <w:rFonts w:hAnsi="宋体" w:cs="Times New Roman"/>
          <w:color w:val="auto"/>
          <w:sz w:val="24"/>
          <w:szCs w:val="24"/>
          <w:highlight w:val="none"/>
        </w:rPr>
      </w:pPr>
    </w:p>
    <w:p w14:paraId="33272D4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85CA2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4AB6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2137" w:type="dxa"/>
            <w:noWrap w:val="0"/>
            <w:vAlign w:val="center"/>
          </w:tcPr>
          <w:p w14:paraId="2B16707E">
            <w:pPr>
              <w:pStyle w:val="13"/>
              <w:spacing w:line="360" w:lineRule="auto"/>
              <w:jc w:val="center"/>
              <w:rPr>
                <w:rFonts w:hint="eastAsia" w:hAnsi="宋体" w:cs="宋体"/>
                <w:b/>
                <w:bCs/>
                <w:color w:val="auto"/>
                <w:sz w:val="24"/>
                <w:highlight w:val="none"/>
              </w:rPr>
            </w:pPr>
            <w:r>
              <w:rPr>
                <w:rFonts w:hint="eastAsia" w:hAnsi="宋体" w:cs="宋体"/>
                <w:b/>
                <w:bCs/>
                <w:color w:val="auto"/>
                <w:sz w:val="24"/>
                <w:highlight w:val="none"/>
              </w:rPr>
              <w:t>投标总价</w:t>
            </w:r>
          </w:p>
        </w:tc>
        <w:tc>
          <w:tcPr>
            <w:tcW w:w="6862" w:type="dxa"/>
            <w:noWrap w:val="0"/>
            <w:vAlign w:val="center"/>
          </w:tcPr>
          <w:p w14:paraId="26A7E982">
            <w:pPr>
              <w:pStyle w:val="13"/>
              <w:spacing w:line="360" w:lineRule="auto"/>
              <w:jc w:val="center"/>
              <w:rPr>
                <w:rFonts w:hint="eastAsia" w:hAnsi="宋体" w:cs="宋体"/>
                <w:b/>
                <w:bCs/>
                <w:color w:val="auto"/>
                <w:sz w:val="24"/>
                <w:highlight w:val="none"/>
              </w:rPr>
            </w:pPr>
            <w:r>
              <w:rPr>
                <w:rFonts w:hint="eastAsia" w:hAnsi="宋体" w:cs="宋体"/>
                <w:b/>
                <w:bCs/>
                <w:color w:val="auto"/>
                <w:sz w:val="24"/>
                <w:highlight w:val="none"/>
              </w:rPr>
              <w:t>大写：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元（小写：</w:t>
            </w:r>
            <w:r>
              <w:rPr>
                <w:rFonts w:hint="eastAsia" w:hAnsi="宋体" w:cs="宋体"/>
                <w:b/>
                <w:bCs/>
                <w:color w:val="auto"/>
                <w:sz w:val="24"/>
                <w:highlight w:val="none"/>
                <w:lang w:val="en-US" w:eastAsia="zh-CN"/>
              </w:rPr>
              <w:t>¥</w:t>
            </w:r>
            <w:r>
              <w:rPr>
                <w:rFonts w:hint="eastAsia" w:hAnsi="宋体" w:cs="宋体"/>
                <w:b/>
                <w:bCs/>
                <w:color w:val="auto"/>
                <w:sz w:val="24"/>
                <w:highlight w:val="none"/>
                <w:u w:val="single"/>
              </w:rPr>
              <w:t xml:space="preserve">　　　　 </w:t>
            </w:r>
            <w:r>
              <w:rPr>
                <w:rFonts w:hint="eastAsia" w:hAnsi="宋体" w:cs="宋体"/>
                <w:b/>
                <w:bCs/>
                <w:color w:val="auto"/>
                <w:sz w:val="24"/>
                <w:highlight w:val="none"/>
              </w:rPr>
              <w:t>）</w:t>
            </w:r>
          </w:p>
        </w:tc>
      </w:tr>
      <w:tr w14:paraId="6660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8999" w:type="dxa"/>
            <w:gridSpan w:val="2"/>
            <w:noWrap w:val="0"/>
            <w:vAlign w:val="center"/>
          </w:tcPr>
          <w:p w14:paraId="783D619A">
            <w:pPr>
              <w:pStyle w:val="13"/>
              <w:spacing w:line="360" w:lineRule="auto"/>
              <w:ind w:firstLine="482" w:firstLineChars="200"/>
              <w:rPr>
                <w:rFonts w:hint="eastAsia" w:hAnsi="宋体" w:cs="宋体"/>
                <w:b/>
                <w:bCs/>
                <w:color w:val="auto"/>
                <w:sz w:val="24"/>
                <w:highlight w:val="none"/>
              </w:rPr>
            </w:pPr>
            <w:r>
              <w:rPr>
                <w:rFonts w:hint="eastAsia" w:hAnsi="宋体" w:cs="宋体"/>
                <w:b/>
                <w:bCs/>
                <w:color w:val="auto"/>
                <w:sz w:val="24"/>
                <w:highlight w:val="none"/>
              </w:rPr>
              <w:t>投标报价包含项目所需全部服务，不得缺漏，是履行合同的最终价格（人工成本费，即人员的工资福利、员工五险费(养老保险、医疗保险、失业保险、工伤保险、生育保险)；设计费、调查费、勘察费、编制费、成果专家评审费、差旅费、食宿费、管理费、采购代理费、税费等一切项目实施所需费用）。凡投标人在报价中未列明但又为本次采购所必备的项目或遗漏项目，采购方将一律视为已包括在合同价中，在合同执行中将不予考虑。</w:t>
            </w:r>
          </w:p>
        </w:tc>
      </w:tr>
    </w:tbl>
    <w:p w14:paraId="01DDEA7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749CB126">
      <w:pPr>
        <w:pStyle w:val="13"/>
        <w:spacing w:line="360" w:lineRule="auto"/>
        <w:rPr>
          <w:rFonts w:hAnsi="宋体" w:cs="Times New Roman"/>
          <w:color w:val="auto"/>
          <w:sz w:val="24"/>
          <w:szCs w:val="24"/>
          <w:highlight w:val="none"/>
        </w:rPr>
      </w:pPr>
    </w:p>
    <w:p w14:paraId="3F0AADA9">
      <w:pPr>
        <w:pStyle w:val="13"/>
        <w:spacing w:line="360" w:lineRule="auto"/>
        <w:rPr>
          <w:rFonts w:hAnsi="宋体" w:cs="Times New Roman"/>
          <w:color w:val="auto"/>
          <w:sz w:val="24"/>
          <w:szCs w:val="24"/>
          <w:highlight w:val="none"/>
        </w:rPr>
      </w:pPr>
    </w:p>
    <w:p w14:paraId="389409A1">
      <w:pPr>
        <w:pStyle w:val="13"/>
        <w:spacing w:line="360" w:lineRule="auto"/>
        <w:rPr>
          <w:rFonts w:hAnsi="宋体" w:cs="Times New Roman"/>
          <w:color w:val="auto"/>
          <w:sz w:val="24"/>
          <w:szCs w:val="24"/>
          <w:highlight w:val="none"/>
        </w:rPr>
      </w:pPr>
    </w:p>
    <w:p w14:paraId="6E1C463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A63774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C9EFD6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5D11441">
      <w:pPr>
        <w:snapToGrid w:val="0"/>
        <w:spacing w:line="360" w:lineRule="auto"/>
        <w:ind w:firstLine="435"/>
        <w:rPr>
          <w:rFonts w:ascii="宋体"/>
          <w:color w:val="auto"/>
          <w:highlight w:val="none"/>
        </w:rPr>
      </w:pPr>
    </w:p>
    <w:p w14:paraId="47D02C33">
      <w:pPr>
        <w:snapToGrid w:val="0"/>
        <w:spacing w:line="360" w:lineRule="auto"/>
        <w:ind w:firstLine="435"/>
        <w:rPr>
          <w:rFonts w:ascii="宋体"/>
          <w:color w:val="auto"/>
          <w:highlight w:val="none"/>
        </w:rPr>
      </w:pPr>
    </w:p>
    <w:p w14:paraId="5C141F2C">
      <w:pPr>
        <w:spacing w:line="360" w:lineRule="auto"/>
        <w:jc w:val="left"/>
        <w:rPr>
          <w:rFonts w:ascii="宋体"/>
          <w:b/>
          <w:bCs/>
          <w:color w:val="auto"/>
          <w:sz w:val="24"/>
          <w:szCs w:val="24"/>
          <w:highlight w:val="none"/>
          <w:lang w:val="zh-CN"/>
        </w:rPr>
      </w:pPr>
      <w:r>
        <w:rPr>
          <w:rFonts w:ascii="宋体"/>
          <w:color w:val="auto"/>
          <w:highlight w:val="none"/>
        </w:rPr>
        <w:br w:type="page"/>
      </w:r>
      <w:bookmarkStart w:id="101"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48FCB997">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748A85C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E5D17A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2A03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779A94D1">
            <w:pPr>
              <w:pStyle w:val="13"/>
              <w:spacing w:line="360" w:lineRule="auto"/>
              <w:jc w:val="center"/>
              <w:rPr>
                <w:rFonts w:hAnsi="宋体"/>
                <w:color w:val="auto"/>
                <w:sz w:val="24"/>
                <w:szCs w:val="24"/>
                <w:highlight w:val="none"/>
              </w:rPr>
            </w:pPr>
            <w:r>
              <w:rPr>
                <w:rFonts w:hint="eastAsia" w:hAnsi="宋体"/>
                <w:color w:val="auto"/>
                <w:sz w:val="24"/>
                <w:szCs w:val="24"/>
                <w:highlight w:val="none"/>
              </w:rPr>
              <w:t>序</w:t>
            </w:r>
          </w:p>
          <w:p w14:paraId="0E3237E7">
            <w:pPr>
              <w:pStyle w:val="13"/>
              <w:spacing w:line="360" w:lineRule="auto"/>
              <w:jc w:val="center"/>
              <w:rPr>
                <w:rFonts w:hAnsi="宋体"/>
                <w:color w:val="auto"/>
                <w:sz w:val="24"/>
                <w:szCs w:val="24"/>
                <w:highlight w:val="none"/>
              </w:rPr>
            </w:pPr>
            <w:r>
              <w:rPr>
                <w:rFonts w:hint="eastAsia" w:hAnsi="宋体"/>
                <w:color w:val="auto"/>
                <w:sz w:val="24"/>
                <w:szCs w:val="24"/>
                <w:highlight w:val="none"/>
              </w:rPr>
              <w:t>号</w:t>
            </w:r>
          </w:p>
        </w:tc>
        <w:tc>
          <w:tcPr>
            <w:tcW w:w="1927" w:type="dxa"/>
            <w:vMerge w:val="restart"/>
            <w:vAlign w:val="center"/>
          </w:tcPr>
          <w:p w14:paraId="15098201">
            <w:pPr>
              <w:pStyle w:val="13"/>
              <w:spacing w:line="360" w:lineRule="auto"/>
              <w:jc w:val="center"/>
              <w:rPr>
                <w:rFonts w:hAnsi="宋体"/>
                <w:color w:val="auto"/>
                <w:sz w:val="24"/>
                <w:szCs w:val="24"/>
                <w:highlight w:val="none"/>
              </w:rPr>
            </w:pPr>
            <w:r>
              <w:rPr>
                <w:rFonts w:hint="eastAsia" w:hAnsi="宋体"/>
                <w:color w:val="auto"/>
                <w:sz w:val="24"/>
                <w:szCs w:val="24"/>
                <w:highlight w:val="none"/>
              </w:rPr>
              <w:t>名称</w:t>
            </w:r>
          </w:p>
        </w:tc>
        <w:tc>
          <w:tcPr>
            <w:tcW w:w="1065" w:type="dxa"/>
            <w:vMerge w:val="restart"/>
            <w:vAlign w:val="center"/>
          </w:tcPr>
          <w:p w14:paraId="0CA8930B">
            <w:pPr>
              <w:pStyle w:val="13"/>
              <w:spacing w:line="360" w:lineRule="auto"/>
              <w:jc w:val="center"/>
              <w:rPr>
                <w:rFonts w:hAnsi="宋体"/>
                <w:color w:val="auto"/>
                <w:sz w:val="24"/>
                <w:szCs w:val="24"/>
                <w:highlight w:val="none"/>
              </w:rPr>
            </w:pPr>
            <w:r>
              <w:rPr>
                <w:rFonts w:hint="eastAsia" w:hAnsi="宋体"/>
                <w:color w:val="auto"/>
                <w:sz w:val="24"/>
                <w:szCs w:val="24"/>
                <w:highlight w:val="none"/>
              </w:rPr>
              <w:t>内容</w:t>
            </w:r>
          </w:p>
        </w:tc>
        <w:tc>
          <w:tcPr>
            <w:tcW w:w="1755" w:type="dxa"/>
            <w:vMerge w:val="restart"/>
            <w:vAlign w:val="center"/>
          </w:tcPr>
          <w:p w14:paraId="245B19AE">
            <w:pPr>
              <w:pStyle w:val="13"/>
              <w:spacing w:line="360" w:lineRule="auto"/>
              <w:jc w:val="center"/>
              <w:rPr>
                <w:rFonts w:hAnsi="宋体"/>
                <w:color w:val="auto"/>
                <w:sz w:val="24"/>
                <w:szCs w:val="24"/>
                <w:highlight w:val="none"/>
              </w:rPr>
            </w:pPr>
            <w:r>
              <w:rPr>
                <w:rFonts w:hint="eastAsia" w:hAnsi="宋体"/>
                <w:color w:val="auto"/>
                <w:sz w:val="24"/>
                <w:szCs w:val="24"/>
                <w:highlight w:val="none"/>
              </w:rPr>
              <w:t>其他</w:t>
            </w:r>
          </w:p>
        </w:tc>
        <w:tc>
          <w:tcPr>
            <w:tcW w:w="480" w:type="dxa"/>
            <w:vMerge w:val="restart"/>
            <w:vAlign w:val="center"/>
          </w:tcPr>
          <w:p w14:paraId="307A992C">
            <w:pPr>
              <w:pStyle w:val="13"/>
              <w:spacing w:line="360" w:lineRule="auto"/>
              <w:jc w:val="center"/>
              <w:rPr>
                <w:rFonts w:hAnsi="宋体"/>
                <w:color w:val="auto"/>
                <w:sz w:val="24"/>
                <w:szCs w:val="24"/>
                <w:highlight w:val="none"/>
              </w:rPr>
            </w:pPr>
            <w:r>
              <w:rPr>
                <w:rFonts w:hint="eastAsia" w:hAnsi="宋体"/>
                <w:color w:val="auto"/>
                <w:sz w:val="24"/>
                <w:szCs w:val="24"/>
                <w:highlight w:val="none"/>
              </w:rPr>
              <w:t>单</w:t>
            </w:r>
          </w:p>
          <w:p w14:paraId="31439766">
            <w:pPr>
              <w:pStyle w:val="13"/>
              <w:spacing w:line="360" w:lineRule="auto"/>
              <w:jc w:val="center"/>
              <w:rPr>
                <w:rFonts w:hAnsi="宋体"/>
                <w:color w:val="auto"/>
                <w:sz w:val="24"/>
                <w:szCs w:val="24"/>
                <w:highlight w:val="none"/>
              </w:rPr>
            </w:pPr>
            <w:r>
              <w:rPr>
                <w:rFonts w:hint="eastAsia" w:hAnsi="宋体"/>
                <w:color w:val="auto"/>
                <w:sz w:val="24"/>
                <w:szCs w:val="24"/>
                <w:highlight w:val="none"/>
              </w:rPr>
              <w:t>位</w:t>
            </w:r>
          </w:p>
        </w:tc>
        <w:tc>
          <w:tcPr>
            <w:tcW w:w="1049" w:type="dxa"/>
            <w:vMerge w:val="restart"/>
            <w:vAlign w:val="center"/>
          </w:tcPr>
          <w:p w14:paraId="4374846B">
            <w:pPr>
              <w:pStyle w:val="13"/>
              <w:spacing w:line="360" w:lineRule="auto"/>
              <w:jc w:val="center"/>
              <w:rPr>
                <w:rFonts w:hAnsi="宋体"/>
                <w:color w:val="auto"/>
                <w:sz w:val="24"/>
                <w:szCs w:val="24"/>
                <w:highlight w:val="none"/>
              </w:rPr>
            </w:pPr>
            <w:r>
              <w:rPr>
                <w:rFonts w:hint="eastAsia" w:hAnsi="宋体"/>
                <w:color w:val="auto"/>
                <w:sz w:val="24"/>
                <w:szCs w:val="24"/>
                <w:highlight w:val="none"/>
              </w:rPr>
              <w:t>数量</w:t>
            </w:r>
          </w:p>
        </w:tc>
        <w:tc>
          <w:tcPr>
            <w:tcW w:w="2272" w:type="dxa"/>
            <w:gridSpan w:val="2"/>
            <w:vAlign w:val="center"/>
          </w:tcPr>
          <w:p w14:paraId="0C013AE1">
            <w:pPr>
              <w:pStyle w:val="13"/>
              <w:spacing w:line="360" w:lineRule="auto"/>
              <w:jc w:val="center"/>
              <w:rPr>
                <w:rFonts w:hAnsi="宋体"/>
                <w:color w:val="auto"/>
                <w:sz w:val="24"/>
                <w:szCs w:val="24"/>
                <w:highlight w:val="none"/>
              </w:rPr>
            </w:pPr>
            <w:r>
              <w:rPr>
                <w:rFonts w:hint="eastAsia" w:hAnsi="宋体"/>
                <w:color w:val="auto"/>
                <w:sz w:val="24"/>
                <w:szCs w:val="24"/>
                <w:highlight w:val="none"/>
              </w:rPr>
              <w:t>投标报价（元）</w:t>
            </w:r>
          </w:p>
        </w:tc>
      </w:tr>
      <w:tr w14:paraId="52B8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48C8D605">
            <w:pPr>
              <w:pStyle w:val="13"/>
              <w:spacing w:line="360" w:lineRule="auto"/>
              <w:jc w:val="center"/>
              <w:rPr>
                <w:rFonts w:hAnsi="宋体"/>
                <w:color w:val="auto"/>
                <w:sz w:val="24"/>
                <w:szCs w:val="24"/>
                <w:highlight w:val="none"/>
              </w:rPr>
            </w:pPr>
          </w:p>
        </w:tc>
        <w:tc>
          <w:tcPr>
            <w:tcW w:w="1927" w:type="dxa"/>
            <w:vMerge w:val="continue"/>
            <w:vAlign w:val="center"/>
          </w:tcPr>
          <w:p w14:paraId="5BB935A0">
            <w:pPr>
              <w:pStyle w:val="13"/>
              <w:spacing w:line="360" w:lineRule="auto"/>
              <w:jc w:val="center"/>
              <w:rPr>
                <w:rFonts w:hAnsi="宋体"/>
                <w:color w:val="auto"/>
                <w:sz w:val="24"/>
                <w:szCs w:val="24"/>
                <w:highlight w:val="none"/>
              </w:rPr>
            </w:pPr>
          </w:p>
        </w:tc>
        <w:tc>
          <w:tcPr>
            <w:tcW w:w="1065" w:type="dxa"/>
            <w:vMerge w:val="continue"/>
            <w:vAlign w:val="center"/>
          </w:tcPr>
          <w:p w14:paraId="4E38B1CB">
            <w:pPr>
              <w:pStyle w:val="13"/>
              <w:spacing w:line="360" w:lineRule="auto"/>
              <w:jc w:val="center"/>
              <w:rPr>
                <w:rFonts w:hAnsi="宋体"/>
                <w:color w:val="auto"/>
                <w:sz w:val="24"/>
                <w:szCs w:val="24"/>
                <w:highlight w:val="none"/>
              </w:rPr>
            </w:pPr>
          </w:p>
        </w:tc>
        <w:tc>
          <w:tcPr>
            <w:tcW w:w="1755" w:type="dxa"/>
            <w:vMerge w:val="continue"/>
            <w:vAlign w:val="center"/>
          </w:tcPr>
          <w:p w14:paraId="49C9F3FF">
            <w:pPr>
              <w:pStyle w:val="13"/>
              <w:spacing w:line="360" w:lineRule="auto"/>
              <w:jc w:val="center"/>
              <w:rPr>
                <w:rFonts w:hAnsi="宋体"/>
                <w:color w:val="auto"/>
                <w:sz w:val="24"/>
                <w:szCs w:val="24"/>
                <w:highlight w:val="none"/>
              </w:rPr>
            </w:pPr>
          </w:p>
        </w:tc>
        <w:tc>
          <w:tcPr>
            <w:tcW w:w="480" w:type="dxa"/>
            <w:vMerge w:val="continue"/>
            <w:vAlign w:val="center"/>
          </w:tcPr>
          <w:p w14:paraId="6D23F567">
            <w:pPr>
              <w:pStyle w:val="13"/>
              <w:spacing w:line="360" w:lineRule="auto"/>
              <w:jc w:val="center"/>
              <w:rPr>
                <w:rFonts w:hAnsi="宋体"/>
                <w:color w:val="auto"/>
                <w:sz w:val="24"/>
                <w:szCs w:val="24"/>
                <w:highlight w:val="none"/>
              </w:rPr>
            </w:pPr>
          </w:p>
        </w:tc>
        <w:tc>
          <w:tcPr>
            <w:tcW w:w="1049" w:type="dxa"/>
            <w:vMerge w:val="continue"/>
            <w:vAlign w:val="center"/>
          </w:tcPr>
          <w:p w14:paraId="026A75E8">
            <w:pPr>
              <w:pStyle w:val="13"/>
              <w:spacing w:line="360" w:lineRule="auto"/>
              <w:jc w:val="center"/>
              <w:rPr>
                <w:rFonts w:hAnsi="宋体"/>
                <w:color w:val="auto"/>
                <w:sz w:val="24"/>
                <w:szCs w:val="24"/>
                <w:highlight w:val="none"/>
              </w:rPr>
            </w:pPr>
          </w:p>
        </w:tc>
        <w:tc>
          <w:tcPr>
            <w:tcW w:w="1148" w:type="dxa"/>
            <w:vAlign w:val="center"/>
          </w:tcPr>
          <w:p w14:paraId="6F04A893">
            <w:pPr>
              <w:pStyle w:val="13"/>
              <w:spacing w:line="360" w:lineRule="auto"/>
              <w:jc w:val="center"/>
              <w:rPr>
                <w:rFonts w:hAnsi="宋体"/>
                <w:color w:val="auto"/>
                <w:sz w:val="24"/>
                <w:szCs w:val="24"/>
                <w:highlight w:val="none"/>
              </w:rPr>
            </w:pPr>
            <w:r>
              <w:rPr>
                <w:rFonts w:hint="eastAsia" w:hAnsi="宋体"/>
                <w:color w:val="auto"/>
                <w:sz w:val="24"/>
                <w:szCs w:val="24"/>
                <w:highlight w:val="none"/>
              </w:rPr>
              <w:t>单价</w:t>
            </w:r>
          </w:p>
        </w:tc>
        <w:tc>
          <w:tcPr>
            <w:tcW w:w="1124" w:type="dxa"/>
            <w:vAlign w:val="center"/>
          </w:tcPr>
          <w:p w14:paraId="60E8D803">
            <w:pPr>
              <w:pStyle w:val="13"/>
              <w:spacing w:line="360" w:lineRule="auto"/>
              <w:jc w:val="center"/>
              <w:rPr>
                <w:rFonts w:hAnsi="宋体"/>
                <w:color w:val="auto"/>
                <w:sz w:val="24"/>
                <w:szCs w:val="24"/>
                <w:highlight w:val="none"/>
              </w:rPr>
            </w:pPr>
            <w:r>
              <w:rPr>
                <w:rFonts w:hint="eastAsia" w:hAnsi="宋体"/>
                <w:color w:val="auto"/>
                <w:sz w:val="24"/>
                <w:szCs w:val="24"/>
                <w:highlight w:val="none"/>
              </w:rPr>
              <w:t>小计</w:t>
            </w:r>
          </w:p>
        </w:tc>
      </w:tr>
      <w:tr w14:paraId="38EC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ECD66C0">
            <w:pPr>
              <w:pStyle w:val="13"/>
              <w:jc w:val="center"/>
              <w:rPr>
                <w:rFonts w:hAnsi="宋体"/>
                <w:color w:val="auto"/>
                <w:sz w:val="24"/>
                <w:szCs w:val="24"/>
                <w:highlight w:val="none"/>
              </w:rPr>
            </w:pPr>
            <w:r>
              <w:rPr>
                <w:rFonts w:hint="eastAsia" w:hAnsi="宋体"/>
                <w:color w:val="auto"/>
                <w:sz w:val="24"/>
                <w:szCs w:val="24"/>
                <w:highlight w:val="none"/>
              </w:rPr>
              <w:t>1</w:t>
            </w:r>
          </w:p>
        </w:tc>
        <w:tc>
          <w:tcPr>
            <w:tcW w:w="1927" w:type="dxa"/>
            <w:vAlign w:val="center"/>
          </w:tcPr>
          <w:p w14:paraId="4637CE44">
            <w:pPr>
              <w:pStyle w:val="13"/>
              <w:rPr>
                <w:rFonts w:hAnsi="宋体"/>
                <w:color w:val="auto"/>
                <w:sz w:val="24"/>
                <w:szCs w:val="24"/>
                <w:highlight w:val="none"/>
              </w:rPr>
            </w:pPr>
          </w:p>
        </w:tc>
        <w:tc>
          <w:tcPr>
            <w:tcW w:w="1065" w:type="dxa"/>
            <w:vAlign w:val="center"/>
          </w:tcPr>
          <w:p w14:paraId="172302BF">
            <w:pPr>
              <w:pStyle w:val="13"/>
              <w:spacing w:line="360" w:lineRule="auto"/>
              <w:rPr>
                <w:rFonts w:hAnsi="宋体"/>
                <w:b/>
                <w:bCs/>
                <w:color w:val="auto"/>
                <w:sz w:val="24"/>
                <w:szCs w:val="24"/>
                <w:highlight w:val="none"/>
              </w:rPr>
            </w:pPr>
          </w:p>
        </w:tc>
        <w:tc>
          <w:tcPr>
            <w:tcW w:w="1755" w:type="dxa"/>
            <w:vAlign w:val="center"/>
          </w:tcPr>
          <w:p w14:paraId="06F8DB24">
            <w:pPr>
              <w:pStyle w:val="13"/>
              <w:spacing w:line="360" w:lineRule="auto"/>
              <w:rPr>
                <w:rFonts w:hAnsi="宋体"/>
                <w:b/>
                <w:bCs/>
                <w:color w:val="auto"/>
                <w:sz w:val="24"/>
                <w:szCs w:val="24"/>
                <w:highlight w:val="none"/>
              </w:rPr>
            </w:pPr>
          </w:p>
        </w:tc>
        <w:tc>
          <w:tcPr>
            <w:tcW w:w="480" w:type="dxa"/>
            <w:vAlign w:val="center"/>
          </w:tcPr>
          <w:p w14:paraId="257078E9">
            <w:pPr>
              <w:pStyle w:val="13"/>
              <w:spacing w:line="360" w:lineRule="auto"/>
              <w:rPr>
                <w:rFonts w:hint="eastAsia" w:hAnsi="宋体" w:eastAsia="宋体"/>
                <w:b w:val="0"/>
                <w:bCs w:val="0"/>
                <w:color w:val="auto"/>
                <w:sz w:val="24"/>
                <w:szCs w:val="24"/>
                <w:highlight w:val="none"/>
                <w:lang w:val="en-US" w:eastAsia="zh-CN"/>
              </w:rPr>
            </w:pPr>
          </w:p>
        </w:tc>
        <w:tc>
          <w:tcPr>
            <w:tcW w:w="1049" w:type="dxa"/>
            <w:vAlign w:val="center"/>
          </w:tcPr>
          <w:p w14:paraId="06D5A243">
            <w:pPr>
              <w:pStyle w:val="13"/>
              <w:spacing w:line="360" w:lineRule="auto"/>
              <w:rPr>
                <w:rFonts w:hint="default" w:hAnsi="宋体" w:eastAsia="宋体"/>
                <w:b w:val="0"/>
                <w:bCs w:val="0"/>
                <w:color w:val="auto"/>
                <w:sz w:val="24"/>
                <w:szCs w:val="24"/>
                <w:highlight w:val="none"/>
                <w:lang w:val="en-US" w:eastAsia="zh-CN"/>
              </w:rPr>
            </w:pPr>
          </w:p>
        </w:tc>
        <w:tc>
          <w:tcPr>
            <w:tcW w:w="1148" w:type="dxa"/>
          </w:tcPr>
          <w:p w14:paraId="39400A18">
            <w:pPr>
              <w:pStyle w:val="13"/>
              <w:spacing w:line="360" w:lineRule="auto"/>
              <w:rPr>
                <w:rFonts w:hAnsi="宋体"/>
                <w:color w:val="auto"/>
                <w:sz w:val="24"/>
                <w:szCs w:val="24"/>
                <w:highlight w:val="none"/>
              </w:rPr>
            </w:pPr>
          </w:p>
        </w:tc>
        <w:tc>
          <w:tcPr>
            <w:tcW w:w="1124" w:type="dxa"/>
          </w:tcPr>
          <w:p w14:paraId="32E19314">
            <w:pPr>
              <w:pStyle w:val="13"/>
              <w:spacing w:line="360" w:lineRule="auto"/>
              <w:rPr>
                <w:rFonts w:hAnsi="宋体"/>
                <w:color w:val="auto"/>
                <w:sz w:val="24"/>
                <w:szCs w:val="24"/>
                <w:highlight w:val="none"/>
              </w:rPr>
            </w:pPr>
          </w:p>
        </w:tc>
      </w:tr>
      <w:tr w14:paraId="1F29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4DAC4846">
            <w:pPr>
              <w:pStyle w:val="13"/>
              <w:jc w:val="center"/>
              <w:rPr>
                <w:rFonts w:hAnsi="宋体"/>
                <w:color w:val="auto"/>
                <w:sz w:val="24"/>
                <w:szCs w:val="24"/>
                <w:highlight w:val="none"/>
              </w:rPr>
            </w:pPr>
            <w:r>
              <w:rPr>
                <w:rFonts w:hint="eastAsia" w:hAnsi="宋体"/>
                <w:color w:val="auto"/>
                <w:sz w:val="24"/>
                <w:szCs w:val="24"/>
                <w:highlight w:val="none"/>
              </w:rPr>
              <w:t>2</w:t>
            </w:r>
          </w:p>
        </w:tc>
        <w:tc>
          <w:tcPr>
            <w:tcW w:w="1927" w:type="dxa"/>
            <w:vAlign w:val="center"/>
          </w:tcPr>
          <w:p w14:paraId="5B218F64">
            <w:pPr>
              <w:pStyle w:val="13"/>
              <w:rPr>
                <w:rFonts w:hAnsi="宋体"/>
                <w:color w:val="auto"/>
                <w:sz w:val="24"/>
                <w:szCs w:val="24"/>
                <w:highlight w:val="none"/>
              </w:rPr>
            </w:pPr>
          </w:p>
        </w:tc>
        <w:tc>
          <w:tcPr>
            <w:tcW w:w="1065" w:type="dxa"/>
            <w:vAlign w:val="center"/>
          </w:tcPr>
          <w:p w14:paraId="2B5915BD">
            <w:pPr>
              <w:pStyle w:val="13"/>
              <w:spacing w:line="360" w:lineRule="auto"/>
              <w:rPr>
                <w:rFonts w:hAnsi="宋体"/>
                <w:b/>
                <w:bCs/>
                <w:color w:val="auto"/>
                <w:sz w:val="24"/>
                <w:szCs w:val="24"/>
                <w:highlight w:val="none"/>
              </w:rPr>
            </w:pPr>
          </w:p>
        </w:tc>
        <w:tc>
          <w:tcPr>
            <w:tcW w:w="1755" w:type="dxa"/>
            <w:vAlign w:val="center"/>
          </w:tcPr>
          <w:p w14:paraId="48877A54">
            <w:pPr>
              <w:pStyle w:val="13"/>
              <w:spacing w:line="360" w:lineRule="auto"/>
              <w:rPr>
                <w:rFonts w:hAnsi="宋体"/>
                <w:b/>
                <w:bCs/>
                <w:color w:val="auto"/>
                <w:sz w:val="24"/>
                <w:szCs w:val="24"/>
                <w:highlight w:val="none"/>
              </w:rPr>
            </w:pPr>
          </w:p>
        </w:tc>
        <w:tc>
          <w:tcPr>
            <w:tcW w:w="480" w:type="dxa"/>
            <w:vAlign w:val="center"/>
          </w:tcPr>
          <w:p w14:paraId="33247E93">
            <w:pPr>
              <w:pStyle w:val="13"/>
              <w:spacing w:line="360" w:lineRule="auto"/>
              <w:rPr>
                <w:rFonts w:hint="eastAsia" w:hAnsi="宋体" w:eastAsia="宋体"/>
                <w:b w:val="0"/>
                <w:bCs w:val="0"/>
                <w:color w:val="auto"/>
                <w:sz w:val="24"/>
                <w:szCs w:val="24"/>
                <w:highlight w:val="none"/>
                <w:lang w:val="en-US" w:eastAsia="zh-CN"/>
              </w:rPr>
            </w:pPr>
          </w:p>
        </w:tc>
        <w:tc>
          <w:tcPr>
            <w:tcW w:w="1049" w:type="dxa"/>
            <w:vAlign w:val="center"/>
          </w:tcPr>
          <w:p w14:paraId="504C71A2">
            <w:pPr>
              <w:pStyle w:val="13"/>
              <w:spacing w:line="360" w:lineRule="auto"/>
              <w:rPr>
                <w:rFonts w:hint="default" w:hAnsi="宋体" w:eastAsia="宋体"/>
                <w:b w:val="0"/>
                <w:bCs w:val="0"/>
                <w:color w:val="auto"/>
                <w:sz w:val="24"/>
                <w:szCs w:val="24"/>
                <w:highlight w:val="none"/>
                <w:lang w:val="en-US" w:eastAsia="zh-CN"/>
              </w:rPr>
            </w:pPr>
          </w:p>
        </w:tc>
        <w:tc>
          <w:tcPr>
            <w:tcW w:w="1148" w:type="dxa"/>
          </w:tcPr>
          <w:p w14:paraId="24E36BB5">
            <w:pPr>
              <w:pStyle w:val="13"/>
              <w:spacing w:line="360" w:lineRule="auto"/>
              <w:rPr>
                <w:rFonts w:hAnsi="宋体"/>
                <w:color w:val="auto"/>
                <w:sz w:val="24"/>
                <w:szCs w:val="24"/>
                <w:highlight w:val="none"/>
              </w:rPr>
            </w:pPr>
          </w:p>
        </w:tc>
        <w:tc>
          <w:tcPr>
            <w:tcW w:w="1124" w:type="dxa"/>
          </w:tcPr>
          <w:p w14:paraId="69A3B8A6">
            <w:pPr>
              <w:pStyle w:val="13"/>
              <w:spacing w:line="360" w:lineRule="auto"/>
              <w:rPr>
                <w:rFonts w:hAnsi="宋体"/>
                <w:color w:val="auto"/>
                <w:sz w:val="24"/>
                <w:szCs w:val="24"/>
                <w:highlight w:val="none"/>
              </w:rPr>
            </w:pPr>
          </w:p>
        </w:tc>
      </w:tr>
      <w:tr w14:paraId="4FBC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8385C82">
            <w:pPr>
              <w:pStyle w:val="13"/>
              <w:jc w:val="center"/>
              <w:rPr>
                <w:rFonts w:hAnsi="宋体"/>
                <w:color w:val="auto"/>
                <w:sz w:val="24"/>
                <w:szCs w:val="24"/>
                <w:highlight w:val="none"/>
              </w:rPr>
            </w:pPr>
            <w:r>
              <w:rPr>
                <w:rFonts w:hint="eastAsia" w:hAnsi="宋体"/>
                <w:color w:val="auto"/>
                <w:sz w:val="24"/>
                <w:szCs w:val="24"/>
                <w:highlight w:val="none"/>
              </w:rPr>
              <w:t>3</w:t>
            </w:r>
          </w:p>
        </w:tc>
        <w:tc>
          <w:tcPr>
            <w:tcW w:w="1927" w:type="dxa"/>
            <w:vAlign w:val="center"/>
          </w:tcPr>
          <w:p w14:paraId="221B6B1C">
            <w:pPr>
              <w:pStyle w:val="13"/>
              <w:rPr>
                <w:rFonts w:hAnsi="宋体"/>
                <w:color w:val="auto"/>
                <w:sz w:val="24"/>
                <w:szCs w:val="24"/>
                <w:highlight w:val="none"/>
              </w:rPr>
            </w:pPr>
          </w:p>
        </w:tc>
        <w:tc>
          <w:tcPr>
            <w:tcW w:w="1065" w:type="dxa"/>
            <w:vAlign w:val="center"/>
          </w:tcPr>
          <w:p w14:paraId="50A295AD">
            <w:pPr>
              <w:pStyle w:val="13"/>
              <w:spacing w:line="360" w:lineRule="auto"/>
              <w:rPr>
                <w:rFonts w:hAnsi="宋体"/>
                <w:b/>
                <w:bCs/>
                <w:color w:val="auto"/>
                <w:sz w:val="24"/>
                <w:szCs w:val="24"/>
                <w:highlight w:val="none"/>
              </w:rPr>
            </w:pPr>
          </w:p>
        </w:tc>
        <w:tc>
          <w:tcPr>
            <w:tcW w:w="1755" w:type="dxa"/>
            <w:vAlign w:val="center"/>
          </w:tcPr>
          <w:p w14:paraId="10048B4A">
            <w:pPr>
              <w:pStyle w:val="13"/>
              <w:spacing w:line="360" w:lineRule="auto"/>
              <w:rPr>
                <w:rFonts w:hAnsi="宋体"/>
                <w:b/>
                <w:bCs/>
                <w:color w:val="auto"/>
                <w:sz w:val="24"/>
                <w:szCs w:val="24"/>
                <w:highlight w:val="none"/>
              </w:rPr>
            </w:pPr>
          </w:p>
        </w:tc>
        <w:tc>
          <w:tcPr>
            <w:tcW w:w="480" w:type="dxa"/>
            <w:vAlign w:val="center"/>
          </w:tcPr>
          <w:p w14:paraId="3603FCDA">
            <w:pPr>
              <w:pStyle w:val="13"/>
              <w:spacing w:line="360" w:lineRule="auto"/>
              <w:rPr>
                <w:rFonts w:hAnsi="宋体"/>
                <w:b/>
                <w:bCs/>
                <w:color w:val="auto"/>
                <w:sz w:val="24"/>
                <w:szCs w:val="24"/>
                <w:highlight w:val="none"/>
              </w:rPr>
            </w:pPr>
          </w:p>
        </w:tc>
        <w:tc>
          <w:tcPr>
            <w:tcW w:w="1049" w:type="dxa"/>
            <w:vAlign w:val="center"/>
          </w:tcPr>
          <w:p w14:paraId="0436FF25">
            <w:pPr>
              <w:pStyle w:val="13"/>
              <w:spacing w:line="360" w:lineRule="auto"/>
              <w:rPr>
                <w:rFonts w:hAnsi="宋体"/>
                <w:b/>
                <w:bCs/>
                <w:color w:val="auto"/>
                <w:sz w:val="24"/>
                <w:szCs w:val="24"/>
                <w:highlight w:val="none"/>
              </w:rPr>
            </w:pPr>
          </w:p>
        </w:tc>
        <w:tc>
          <w:tcPr>
            <w:tcW w:w="1148" w:type="dxa"/>
          </w:tcPr>
          <w:p w14:paraId="52212708">
            <w:pPr>
              <w:pStyle w:val="13"/>
              <w:spacing w:line="360" w:lineRule="auto"/>
              <w:rPr>
                <w:rFonts w:hAnsi="宋体"/>
                <w:color w:val="auto"/>
                <w:sz w:val="24"/>
                <w:szCs w:val="24"/>
                <w:highlight w:val="none"/>
              </w:rPr>
            </w:pPr>
          </w:p>
        </w:tc>
        <w:tc>
          <w:tcPr>
            <w:tcW w:w="1124" w:type="dxa"/>
          </w:tcPr>
          <w:p w14:paraId="517F3E5A">
            <w:pPr>
              <w:pStyle w:val="13"/>
              <w:spacing w:line="360" w:lineRule="auto"/>
              <w:rPr>
                <w:rFonts w:hAnsi="宋体"/>
                <w:color w:val="auto"/>
                <w:sz w:val="24"/>
                <w:szCs w:val="24"/>
                <w:highlight w:val="none"/>
              </w:rPr>
            </w:pPr>
          </w:p>
        </w:tc>
      </w:tr>
      <w:tr w14:paraId="4290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6A47BCD8">
            <w:pPr>
              <w:pStyle w:val="13"/>
              <w:jc w:val="center"/>
              <w:rPr>
                <w:rFonts w:hAnsi="宋体"/>
                <w:color w:val="auto"/>
                <w:sz w:val="24"/>
                <w:szCs w:val="24"/>
                <w:highlight w:val="none"/>
              </w:rPr>
            </w:pPr>
            <w:r>
              <w:rPr>
                <w:rFonts w:hint="eastAsia" w:hAnsi="宋体"/>
                <w:color w:val="auto"/>
                <w:sz w:val="24"/>
                <w:szCs w:val="24"/>
                <w:highlight w:val="none"/>
              </w:rPr>
              <w:t>4</w:t>
            </w:r>
          </w:p>
        </w:tc>
        <w:tc>
          <w:tcPr>
            <w:tcW w:w="1927" w:type="dxa"/>
            <w:vAlign w:val="center"/>
          </w:tcPr>
          <w:p w14:paraId="737E8A63">
            <w:pPr>
              <w:pStyle w:val="13"/>
              <w:rPr>
                <w:rFonts w:hAnsi="宋体"/>
                <w:color w:val="auto"/>
                <w:sz w:val="24"/>
                <w:szCs w:val="24"/>
                <w:highlight w:val="none"/>
              </w:rPr>
            </w:pPr>
          </w:p>
        </w:tc>
        <w:tc>
          <w:tcPr>
            <w:tcW w:w="1065" w:type="dxa"/>
            <w:vAlign w:val="center"/>
          </w:tcPr>
          <w:p w14:paraId="3EDC9903">
            <w:pPr>
              <w:pStyle w:val="13"/>
              <w:spacing w:line="360" w:lineRule="auto"/>
              <w:jc w:val="center"/>
              <w:rPr>
                <w:rFonts w:hAnsi="宋体"/>
                <w:color w:val="auto"/>
                <w:sz w:val="24"/>
                <w:szCs w:val="24"/>
                <w:highlight w:val="none"/>
              </w:rPr>
            </w:pPr>
          </w:p>
        </w:tc>
        <w:tc>
          <w:tcPr>
            <w:tcW w:w="1755" w:type="dxa"/>
            <w:vAlign w:val="center"/>
          </w:tcPr>
          <w:p w14:paraId="12FE072E">
            <w:pPr>
              <w:pStyle w:val="13"/>
              <w:spacing w:line="360" w:lineRule="auto"/>
              <w:jc w:val="center"/>
              <w:rPr>
                <w:rFonts w:hAnsi="宋体"/>
                <w:color w:val="auto"/>
                <w:sz w:val="24"/>
                <w:szCs w:val="24"/>
                <w:highlight w:val="none"/>
              </w:rPr>
            </w:pPr>
          </w:p>
        </w:tc>
        <w:tc>
          <w:tcPr>
            <w:tcW w:w="480" w:type="dxa"/>
            <w:vAlign w:val="center"/>
          </w:tcPr>
          <w:p w14:paraId="54BB93AB">
            <w:pPr>
              <w:pStyle w:val="13"/>
              <w:spacing w:line="360" w:lineRule="auto"/>
              <w:jc w:val="center"/>
              <w:rPr>
                <w:rFonts w:hAnsi="宋体"/>
                <w:color w:val="auto"/>
                <w:sz w:val="24"/>
                <w:szCs w:val="24"/>
                <w:highlight w:val="none"/>
              </w:rPr>
            </w:pPr>
          </w:p>
        </w:tc>
        <w:tc>
          <w:tcPr>
            <w:tcW w:w="1049" w:type="dxa"/>
            <w:vAlign w:val="center"/>
          </w:tcPr>
          <w:p w14:paraId="41E21C3C">
            <w:pPr>
              <w:pStyle w:val="13"/>
              <w:spacing w:line="360" w:lineRule="auto"/>
              <w:jc w:val="center"/>
              <w:rPr>
                <w:rFonts w:hAnsi="宋体"/>
                <w:color w:val="auto"/>
                <w:sz w:val="24"/>
                <w:szCs w:val="24"/>
                <w:highlight w:val="none"/>
              </w:rPr>
            </w:pPr>
          </w:p>
        </w:tc>
        <w:tc>
          <w:tcPr>
            <w:tcW w:w="1148" w:type="dxa"/>
          </w:tcPr>
          <w:p w14:paraId="2E328BC3">
            <w:pPr>
              <w:pStyle w:val="13"/>
              <w:spacing w:line="360" w:lineRule="auto"/>
              <w:rPr>
                <w:rFonts w:hAnsi="宋体"/>
                <w:color w:val="auto"/>
                <w:sz w:val="24"/>
                <w:szCs w:val="24"/>
                <w:highlight w:val="none"/>
              </w:rPr>
            </w:pPr>
          </w:p>
        </w:tc>
        <w:tc>
          <w:tcPr>
            <w:tcW w:w="1124" w:type="dxa"/>
          </w:tcPr>
          <w:p w14:paraId="0C2719E0">
            <w:pPr>
              <w:pStyle w:val="13"/>
              <w:spacing w:line="360" w:lineRule="auto"/>
              <w:rPr>
                <w:rFonts w:hAnsi="宋体"/>
                <w:color w:val="auto"/>
                <w:sz w:val="24"/>
                <w:szCs w:val="24"/>
                <w:highlight w:val="none"/>
              </w:rPr>
            </w:pPr>
          </w:p>
        </w:tc>
      </w:tr>
      <w:tr w14:paraId="190F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96BCAEF">
            <w:pPr>
              <w:pStyle w:val="13"/>
              <w:spacing w:line="360" w:lineRule="auto"/>
              <w:jc w:val="center"/>
              <w:rPr>
                <w:rFonts w:hAnsi="宋体"/>
                <w:color w:val="auto"/>
                <w:sz w:val="24"/>
                <w:szCs w:val="24"/>
                <w:highlight w:val="none"/>
              </w:rPr>
            </w:pPr>
            <w:r>
              <w:rPr>
                <w:rFonts w:hint="eastAsia" w:hAnsi="宋体"/>
                <w:color w:val="auto"/>
                <w:sz w:val="24"/>
                <w:szCs w:val="24"/>
                <w:highlight w:val="none"/>
              </w:rPr>
              <w:t>5</w:t>
            </w:r>
          </w:p>
        </w:tc>
        <w:tc>
          <w:tcPr>
            <w:tcW w:w="1927" w:type="dxa"/>
            <w:vAlign w:val="center"/>
          </w:tcPr>
          <w:p w14:paraId="6785AA98">
            <w:pPr>
              <w:pStyle w:val="13"/>
              <w:spacing w:line="360" w:lineRule="auto"/>
              <w:jc w:val="center"/>
              <w:rPr>
                <w:rFonts w:hAnsi="宋体"/>
                <w:color w:val="auto"/>
                <w:sz w:val="24"/>
                <w:szCs w:val="24"/>
                <w:highlight w:val="none"/>
              </w:rPr>
            </w:pPr>
          </w:p>
        </w:tc>
        <w:tc>
          <w:tcPr>
            <w:tcW w:w="1065" w:type="dxa"/>
            <w:vAlign w:val="center"/>
          </w:tcPr>
          <w:p w14:paraId="3A87C49D">
            <w:pPr>
              <w:jc w:val="center"/>
              <w:rPr>
                <w:rFonts w:ascii="宋体" w:hAnsi="宋体" w:cs="宋体"/>
                <w:b/>
                <w:bCs/>
                <w:color w:val="auto"/>
                <w:sz w:val="24"/>
                <w:szCs w:val="24"/>
                <w:highlight w:val="none"/>
              </w:rPr>
            </w:pPr>
          </w:p>
        </w:tc>
        <w:tc>
          <w:tcPr>
            <w:tcW w:w="1755" w:type="dxa"/>
            <w:vAlign w:val="center"/>
          </w:tcPr>
          <w:p w14:paraId="1A8AD499">
            <w:pPr>
              <w:jc w:val="center"/>
              <w:rPr>
                <w:rFonts w:ascii="宋体" w:hAnsi="宋体" w:cs="宋体"/>
                <w:b/>
                <w:bCs/>
                <w:color w:val="auto"/>
                <w:sz w:val="24"/>
                <w:szCs w:val="24"/>
                <w:highlight w:val="none"/>
              </w:rPr>
            </w:pPr>
          </w:p>
        </w:tc>
        <w:tc>
          <w:tcPr>
            <w:tcW w:w="480" w:type="dxa"/>
            <w:vAlign w:val="center"/>
          </w:tcPr>
          <w:p w14:paraId="7755DC69">
            <w:pPr>
              <w:pStyle w:val="13"/>
              <w:spacing w:line="360" w:lineRule="auto"/>
              <w:jc w:val="center"/>
              <w:rPr>
                <w:rFonts w:hAnsi="宋体"/>
                <w:b/>
                <w:bCs/>
                <w:color w:val="auto"/>
                <w:sz w:val="24"/>
                <w:szCs w:val="24"/>
                <w:highlight w:val="none"/>
              </w:rPr>
            </w:pPr>
          </w:p>
        </w:tc>
        <w:tc>
          <w:tcPr>
            <w:tcW w:w="1049" w:type="dxa"/>
            <w:vAlign w:val="center"/>
          </w:tcPr>
          <w:p w14:paraId="57D723E2">
            <w:pPr>
              <w:pStyle w:val="13"/>
              <w:spacing w:line="360" w:lineRule="auto"/>
              <w:jc w:val="center"/>
              <w:rPr>
                <w:rFonts w:hAnsi="宋体"/>
                <w:b/>
                <w:bCs/>
                <w:color w:val="auto"/>
                <w:sz w:val="24"/>
                <w:szCs w:val="24"/>
                <w:highlight w:val="none"/>
              </w:rPr>
            </w:pPr>
          </w:p>
        </w:tc>
        <w:tc>
          <w:tcPr>
            <w:tcW w:w="1148" w:type="dxa"/>
            <w:vAlign w:val="center"/>
          </w:tcPr>
          <w:p w14:paraId="7DBC8313">
            <w:pPr>
              <w:pStyle w:val="13"/>
              <w:spacing w:line="360" w:lineRule="auto"/>
              <w:jc w:val="center"/>
              <w:rPr>
                <w:rFonts w:hAnsi="宋体"/>
                <w:b/>
                <w:bCs/>
                <w:color w:val="auto"/>
                <w:sz w:val="24"/>
                <w:szCs w:val="24"/>
                <w:highlight w:val="none"/>
              </w:rPr>
            </w:pPr>
          </w:p>
        </w:tc>
        <w:tc>
          <w:tcPr>
            <w:tcW w:w="1124" w:type="dxa"/>
            <w:vAlign w:val="center"/>
          </w:tcPr>
          <w:p w14:paraId="001F7DBE">
            <w:pPr>
              <w:pStyle w:val="13"/>
              <w:spacing w:line="360" w:lineRule="auto"/>
              <w:jc w:val="center"/>
              <w:rPr>
                <w:rFonts w:hAnsi="宋体"/>
                <w:b/>
                <w:bCs/>
                <w:color w:val="auto"/>
                <w:sz w:val="24"/>
                <w:szCs w:val="24"/>
                <w:highlight w:val="none"/>
              </w:rPr>
            </w:pPr>
          </w:p>
        </w:tc>
      </w:tr>
      <w:tr w14:paraId="37A5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1CB728E4">
            <w:pPr>
              <w:pStyle w:val="13"/>
              <w:spacing w:line="360" w:lineRule="auto"/>
              <w:rPr>
                <w:rFonts w:hAnsi="宋体"/>
                <w:color w:val="auto"/>
                <w:sz w:val="24"/>
                <w:szCs w:val="24"/>
                <w:highlight w:val="none"/>
              </w:rPr>
            </w:pPr>
            <w:r>
              <w:rPr>
                <w:rFonts w:hint="eastAsia" w:hAnsi="宋体"/>
                <w:color w:val="auto"/>
                <w:sz w:val="24"/>
                <w:szCs w:val="24"/>
                <w:highlight w:val="none"/>
              </w:rPr>
              <w:t>…</w:t>
            </w:r>
          </w:p>
        </w:tc>
        <w:tc>
          <w:tcPr>
            <w:tcW w:w="1927" w:type="dxa"/>
            <w:vAlign w:val="center"/>
          </w:tcPr>
          <w:p w14:paraId="27452AA0">
            <w:pPr>
              <w:pStyle w:val="13"/>
              <w:spacing w:line="360" w:lineRule="auto"/>
              <w:jc w:val="center"/>
              <w:rPr>
                <w:rFonts w:hAnsi="宋体"/>
                <w:color w:val="auto"/>
                <w:sz w:val="24"/>
                <w:szCs w:val="24"/>
                <w:highlight w:val="none"/>
              </w:rPr>
            </w:pPr>
            <w:r>
              <w:rPr>
                <w:rFonts w:hint="eastAsia" w:hAnsi="宋体"/>
                <w:color w:val="auto"/>
                <w:sz w:val="24"/>
                <w:szCs w:val="24"/>
                <w:highlight w:val="none"/>
              </w:rPr>
              <w:t>……</w:t>
            </w:r>
          </w:p>
        </w:tc>
        <w:tc>
          <w:tcPr>
            <w:tcW w:w="1065" w:type="dxa"/>
            <w:vAlign w:val="center"/>
          </w:tcPr>
          <w:p w14:paraId="608B25B5">
            <w:pPr>
              <w:jc w:val="center"/>
              <w:rPr>
                <w:rFonts w:ascii="宋体" w:hAnsi="宋体" w:cs="宋体"/>
                <w:color w:val="auto"/>
                <w:sz w:val="24"/>
                <w:szCs w:val="24"/>
                <w:highlight w:val="none"/>
              </w:rPr>
            </w:pPr>
          </w:p>
        </w:tc>
        <w:tc>
          <w:tcPr>
            <w:tcW w:w="1755" w:type="dxa"/>
            <w:vAlign w:val="center"/>
          </w:tcPr>
          <w:p w14:paraId="089B05F4">
            <w:pPr>
              <w:jc w:val="center"/>
              <w:rPr>
                <w:rFonts w:ascii="宋体" w:hAnsi="宋体" w:cs="宋体"/>
                <w:color w:val="auto"/>
                <w:sz w:val="24"/>
                <w:szCs w:val="24"/>
                <w:highlight w:val="none"/>
              </w:rPr>
            </w:pPr>
          </w:p>
        </w:tc>
        <w:tc>
          <w:tcPr>
            <w:tcW w:w="480" w:type="dxa"/>
            <w:vAlign w:val="center"/>
          </w:tcPr>
          <w:p w14:paraId="7CA0082F">
            <w:pPr>
              <w:pStyle w:val="13"/>
              <w:spacing w:line="360" w:lineRule="auto"/>
              <w:jc w:val="center"/>
              <w:rPr>
                <w:rFonts w:hAnsi="宋体"/>
                <w:color w:val="auto"/>
                <w:sz w:val="24"/>
                <w:szCs w:val="24"/>
                <w:highlight w:val="none"/>
              </w:rPr>
            </w:pPr>
          </w:p>
        </w:tc>
        <w:tc>
          <w:tcPr>
            <w:tcW w:w="1049" w:type="dxa"/>
            <w:vAlign w:val="center"/>
          </w:tcPr>
          <w:p w14:paraId="55AF02B0">
            <w:pPr>
              <w:pStyle w:val="13"/>
              <w:spacing w:line="360" w:lineRule="auto"/>
              <w:jc w:val="center"/>
              <w:rPr>
                <w:rFonts w:hAnsi="宋体"/>
                <w:color w:val="auto"/>
                <w:sz w:val="24"/>
                <w:szCs w:val="24"/>
                <w:highlight w:val="none"/>
              </w:rPr>
            </w:pPr>
          </w:p>
        </w:tc>
        <w:tc>
          <w:tcPr>
            <w:tcW w:w="1148" w:type="dxa"/>
          </w:tcPr>
          <w:p w14:paraId="52994539">
            <w:pPr>
              <w:pStyle w:val="13"/>
              <w:spacing w:line="360" w:lineRule="auto"/>
              <w:rPr>
                <w:rFonts w:hAnsi="宋体"/>
                <w:color w:val="auto"/>
                <w:sz w:val="24"/>
                <w:szCs w:val="24"/>
                <w:highlight w:val="none"/>
              </w:rPr>
            </w:pPr>
          </w:p>
        </w:tc>
        <w:tc>
          <w:tcPr>
            <w:tcW w:w="1124" w:type="dxa"/>
          </w:tcPr>
          <w:p w14:paraId="061A019E">
            <w:pPr>
              <w:pStyle w:val="13"/>
              <w:spacing w:line="360" w:lineRule="auto"/>
              <w:rPr>
                <w:rFonts w:hAnsi="宋体"/>
                <w:color w:val="auto"/>
                <w:sz w:val="24"/>
                <w:szCs w:val="24"/>
                <w:highlight w:val="none"/>
              </w:rPr>
            </w:pPr>
          </w:p>
        </w:tc>
      </w:tr>
      <w:tr w14:paraId="38E8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0503E01A">
            <w:pPr>
              <w:pStyle w:val="13"/>
              <w:spacing w:line="360" w:lineRule="auto"/>
              <w:jc w:val="center"/>
              <w:rPr>
                <w:rFonts w:hAnsi="宋体"/>
                <w:color w:val="auto"/>
                <w:sz w:val="24"/>
                <w:szCs w:val="24"/>
                <w:highlight w:val="none"/>
              </w:rPr>
            </w:pPr>
            <w:r>
              <w:rPr>
                <w:rFonts w:hint="eastAsia" w:hAnsi="宋体"/>
                <w:color w:val="auto"/>
                <w:sz w:val="24"/>
                <w:szCs w:val="24"/>
                <w:highlight w:val="none"/>
              </w:rPr>
              <w:t>投标总价</w:t>
            </w:r>
          </w:p>
        </w:tc>
        <w:tc>
          <w:tcPr>
            <w:tcW w:w="6621" w:type="dxa"/>
            <w:gridSpan w:val="6"/>
            <w:vAlign w:val="center"/>
          </w:tcPr>
          <w:p w14:paraId="5B5D0628">
            <w:pPr>
              <w:pStyle w:val="13"/>
              <w:spacing w:line="360" w:lineRule="auto"/>
              <w:jc w:val="center"/>
              <w:rPr>
                <w:rFonts w:hAnsi="宋体"/>
                <w:color w:val="auto"/>
                <w:sz w:val="24"/>
                <w:szCs w:val="24"/>
                <w:highlight w:val="none"/>
              </w:rPr>
            </w:pPr>
            <w:r>
              <w:rPr>
                <w:rFonts w:hint="eastAsia" w:hAnsi="宋体"/>
                <w:color w:val="auto"/>
                <w:sz w:val="24"/>
                <w:szCs w:val="24"/>
                <w:highlight w:val="none"/>
              </w:rPr>
              <w:t>大写：　　　　                元（小写：　　　　　）</w:t>
            </w:r>
          </w:p>
        </w:tc>
      </w:tr>
      <w:tr w14:paraId="1E1B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7DFEDB1B">
            <w:pPr>
              <w:pStyle w:val="13"/>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rPr>
              <w:t>本次报价应包含项目所需全部服务，不得缺漏，是履行合同的最终价格（人工成本费，即人员的工资福利、员工五险费(养老保险、医疗保险、失业保险、工伤保险、生育保险)；设计费、调查费、勘察费、编制费、成果专家评审费、差旅费、食宿费、管理费、采购代理费、税费等一切项目实施所需费用）。凡投标人在报价中未列明但又为本次采购所必备的项目或遗漏项目，采购方将一律视为已包括在合同价中，在合同执行中将不予考虑</w:t>
            </w:r>
            <w:r>
              <w:rPr>
                <w:rFonts w:hint="eastAsia" w:hAnsi="宋体"/>
                <w:color w:val="auto"/>
                <w:sz w:val="24"/>
                <w:szCs w:val="24"/>
                <w:highlight w:val="none"/>
                <w:lang w:eastAsia="zh-CN"/>
              </w:rPr>
              <w:t>。</w:t>
            </w:r>
          </w:p>
        </w:tc>
      </w:tr>
    </w:tbl>
    <w:p w14:paraId="6214BD33">
      <w:pPr>
        <w:pStyle w:val="13"/>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注：内容可根据供应商实际情况自行调整。</w:t>
      </w:r>
    </w:p>
    <w:p w14:paraId="0D47386C">
      <w:pPr>
        <w:rPr>
          <w:rFonts w:hint="eastAsia" w:hAnsi="宋体"/>
          <w:color w:val="auto"/>
          <w:sz w:val="24"/>
          <w:szCs w:val="24"/>
          <w:highlight w:val="none"/>
        </w:rPr>
      </w:pPr>
    </w:p>
    <w:p w14:paraId="4C409E90">
      <w:pPr>
        <w:pStyle w:val="10"/>
        <w:rPr>
          <w:color w:val="auto"/>
          <w:highlight w:val="none"/>
        </w:rPr>
      </w:pPr>
    </w:p>
    <w:p w14:paraId="27DD01E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A2B259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C1AF16F">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01"/>
    <w:p w14:paraId="0DA98828">
      <w:pPr>
        <w:spacing w:line="360" w:lineRule="auto"/>
        <w:jc w:val="left"/>
        <w:rPr>
          <w:rFonts w:hint="eastAsia" w:ascii="宋体" w:hAnsi="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C3FB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14B8">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DFA7EE">
                          <w:pPr>
                            <w:pStyle w:val="16"/>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69DFA7EE">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47F8">
    <w:pPr>
      <w:pStyle w:val="16"/>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05F1F54C">
                          <w:pPr>
                            <w:pStyle w:val="16"/>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05F1F54C">
                    <w:pPr>
                      <w:pStyle w:val="16"/>
                    </w:pPr>
                    <w:r>
                      <w:fldChar w:fldCharType="begin"/>
                    </w:r>
                    <w:r>
                      <w:instrText xml:space="preserve"> PAGE  \* MERGEFORMAT </w:instrText>
                    </w:r>
                    <w:r>
                      <w:fldChar w:fldCharType="separate"/>
                    </w:r>
                    <w:r>
                      <w:t>59</w:t>
                    </w:r>
                    <w:r>
                      <w:fldChar w:fldCharType="end"/>
                    </w:r>
                  </w:p>
                </w:txbxContent>
              </v:textbox>
            </v:shape>
          </w:pict>
        </mc:Fallback>
      </mc:AlternateContent>
    </w:r>
  </w:p>
  <w:p w14:paraId="787D40D3">
    <w:pPr>
      <w:pStyle w:val="1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8159">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9C87"/>
    <w:multiLevelType w:val="singleLevel"/>
    <w:tmpl w:val="91799C87"/>
    <w:lvl w:ilvl="0" w:tentative="0">
      <w:start w:val="1"/>
      <w:numFmt w:val="decimal"/>
      <w:suff w:val="nothing"/>
      <w:lvlText w:val="（%1）"/>
      <w:lvlJc w:val="left"/>
    </w:lvl>
  </w:abstractNum>
  <w:abstractNum w:abstractNumId="1">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4">
    <w:nsid w:val="F4396F3A"/>
    <w:multiLevelType w:val="singleLevel"/>
    <w:tmpl w:val="F4396F3A"/>
    <w:lvl w:ilvl="0" w:tentative="0">
      <w:start w:val="2"/>
      <w:numFmt w:val="chineseCounting"/>
      <w:suff w:val="nothing"/>
      <w:lvlText w:val="%1、"/>
      <w:lvlJc w:val="left"/>
      <w:rPr>
        <w:rFonts w:hint="eastAsia"/>
      </w:rPr>
    </w:lvl>
  </w:abstractNum>
  <w:abstractNum w:abstractNumId="5">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6">
    <w:nsid w:val="12F353C5"/>
    <w:multiLevelType w:val="singleLevel"/>
    <w:tmpl w:val="12F353C5"/>
    <w:lvl w:ilvl="0" w:tentative="0">
      <w:start w:val="1"/>
      <w:numFmt w:val="chineseCounting"/>
      <w:suff w:val="nothing"/>
      <w:lvlText w:val="%1、"/>
      <w:lvlJc w:val="left"/>
      <w:rPr>
        <w:rFonts w:hint="eastAsia"/>
      </w:rPr>
    </w:lvl>
  </w:abstractNum>
  <w:abstractNum w:abstractNumId="7">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8">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9">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0">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1">
    <w:nsid w:val="31213A5A"/>
    <w:multiLevelType w:val="singleLevel"/>
    <w:tmpl w:val="31213A5A"/>
    <w:lvl w:ilvl="0" w:tentative="0">
      <w:start w:val="4"/>
      <w:numFmt w:val="chineseCounting"/>
      <w:suff w:val="nothing"/>
      <w:lvlText w:val="%1、"/>
      <w:lvlJc w:val="left"/>
      <w:rPr>
        <w:rFonts w:hint="eastAsia"/>
      </w:rPr>
    </w:lvl>
  </w:abstractNum>
  <w:abstractNum w:abstractNumId="12">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3">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5">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6">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7">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3"/>
  </w:num>
  <w:num w:numId="2">
    <w:abstractNumId w:val="5"/>
  </w:num>
  <w:num w:numId="3">
    <w:abstractNumId w:val="15"/>
  </w:num>
  <w:num w:numId="4">
    <w:abstractNumId w:val="8"/>
  </w:num>
  <w:num w:numId="5">
    <w:abstractNumId w:val="17"/>
  </w:num>
  <w:num w:numId="6">
    <w:abstractNumId w:val="9"/>
  </w:num>
  <w:num w:numId="7">
    <w:abstractNumId w:val="16"/>
  </w:num>
  <w:num w:numId="8">
    <w:abstractNumId w:val="6"/>
  </w:num>
  <w:num w:numId="9">
    <w:abstractNumId w:val="7"/>
  </w:num>
  <w:num w:numId="10">
    <w:abstractNumId w:val="14"/>
  </w:num>
  <w:num w:numId="11">
    <w:abstractNumId w:val="12"/>
  </w:num>
  <w:num w:numId="12">
    <w:abstractNumId w:val="3"/>
  </w:num>
  <w:num w:numId="13">
    <w:abstractNumId w:val="1"/>
  </w:num>
  <w:num w:numId="14">
    <w:abstractNumId w:val="10"/>
  </w:num>
  <w:num w:numId="15">
    <w:abstractNumId w:val="2"/>
  </w:num>
  <w:num w:numId="16">
    <w:abstractNumId w:val="1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WU2ZTk2MGU1NDNlZGY5MzE0NzM2ODJlNDA4NTk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B73C2"/>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044A81"/>
    <w:rsid w:val="010B08E5"/>
    <w:rsid w:val="0149271B"/>
    <w:rsid w:val="01A77E95"/>
    <w:rsid w:val="02710CE9"/>
    <w:rsid w:val="02EE1577"/>
    <w:rsid w:val="02FB0AA9"/>
    <w:rsid w:val="02FB1EF4"/>
    <w:rsid w:val="03A870EA"/>
    <w:rsid w:val="03E70B83"/>
    <w:rsid w:val="0436195F"/>
    <w:rsid w:val="044134E4"/>
    <w:rsid w:val="04D474B1"/>
    <w:rsid w:val="052B2F21"/>
    <w:rsid w:val="052D21DD"/>
    <w:rsid w:val="06082700"/>
    <w:rsid w:val="07010B40"/>
    <w:rsid w:val="071C56E4"/>
    <w:rsid w:val="07401E45"/>
    <w:rsid w:val="083871DE"/>
    <w:rsid w:val="08AB1850"/>
    <w:rsid w:val="090B4CBB"/>
    <w:rsid w:val="093A4B11"/>
    <w:rsid w:val="097E1AE6"/>
    <w:rsid w:val="09A27D61"/>
    <w:rsid w:val="0A2A2F6C"/>
    <w:rsid w:val="0ABC596C"/>
    <w:rsid w:val="0AE91575"/>
    <w:rsid w:val="0B065E39"/>
    <w:rsid w:val="0BC74660"/>
    <w:rsid w:val="0C387BBC"/>
    <w:rsid w:val="0C7A6A78"/>
    <w:rsid w:val="0D094597"/>
    <w:rsid w:val="0D262D2F"/>
    <w:rsid w:val="0D2A42A8"/>
    <w:rsid w:val="0E090AFD"/>
    <w:rsid w:val="0E22642F"/>
    <w:rsid w:val="0E2D1637"/>
    <w:rsid w:val="0E7273EE"/>
    <w:rsid w:val="0EA5368B"/>
    <w:rsid w:val="0ECB5D70"/>
    <w:rsid w:val="0EEA1524"/>
    <w:rsid w:val="0F9E5390"/>
    <w:rsid w:val="0FAE728D"/>
    <w:rsid w:val="0FDC3796"/>
    <w:rsid w:val="104145F9"/>
    <w:rsid w:val="10B64C1C"/>
    <w:rsid w:val="10BA6CED"/>
    <w:rsid w:val="10C9129C"/>
    <w:rsid w:val="113C27FB"/>
    <w:rsid w:val="1173042F"/>
    <w:rsid w:val="11AF1066"/>
    <w:rsid w:val="11CF6577"/>
    <w:rsid w:val="12313422"/>
    <w:rsid w:val="12792BFB"/>
    <w:rsid w:val="12865C3B"/>
    <w:rsid w:val="129F37E3"/>
    <w:rsid w:val="12D15346"/>
    <w:rsid w:val="12E30368"/>
    <w:rsid w:val="12FC45DD"/>
    <w:rsid w:val="13495BED"/>
    <w:rsid w:val="14E55858"/>
    <w:rsid w:val="155D552F"/>
    <w:rsid w:val="15703332"/>
    <w:rsid w:val="157D7686"/>
    <w:rsid w:val="15830AE2"/>
    <w:rsid w:val="15A07E8D"/>
    <w:rsid w:val="15BC6282"/>
    <w:rsid w:val="1648774C"/>
    <w:rsid w:val="1670365E"/>
    <w:rsid w:val="168077F8"/>
    <w:rsid w:val="16B952CB"/>
    <w:rsid w:val="16EB43B2"/>
    <w:rsid w:val="170715FC"/>
    <w:rsid w:val="17312CE4"/>
    <w:rsid w:val="174437E2"/>
    <w:rsid w:val="17BA2D0F"/>
    <w:rsid w:val="17D3547E"/>
    <w:rsid w:val="17F0221E"/>
    <w:rsid w:val="18AB08F3"/>
    <w:rsid w:val="19061AA7"/>
    <w:rsid w:val="190D09AE"/>
    <w:rsid w:val="193E3E78"/>
    <w:rsid w:val="194A559B"/>
    <w:rsid w:val="19AC696E"/>
    <w:rsid w:val="19B03AD9"/>
    <w:rsid w:val="19E51309"/>
    <w:rsid w:val="1A00750A"/>
    <w:rsid w:val="1A153846"/>
    <w:rsid w:val="1A156465"/>
    <w:rsid w:val="1A686CC5"/>
    <w:rsid w:val="1A9F12B2"/>
    <w:rsid w:val="1AFB0A1E"/>
    <w:rsid w:val="1B155261"/>
    <w:rsid w:val="1B2F1FB1"/>
    <w:rsid w:val="1B4A7538"/>
    <w:rsid w:val="1B4F1500"/>
    <w:rsid w:val="1B6755DD"/>
    <w:rsid w:val="1B753126"/>
    <w:rsid w:val="1B9D2AF5"/>
    <w:rsid w:val="1BC45F57"/>
    <w:rsid w:val="1BDB27A5"/>
    <w:rsid w:val="1C177D71"/>
    <w:rsid w:val="1CB55FDB"/>
    <w:rsid w:val="1CC874BD"/>
    <w:rsid w:val="1CF077BC"/>
    <w:rsid w:val="1CFF0A9F"/>
    <w:rsid w:val="1D843428"/>
    <w:rsid w:val="1DC74A1D"/>
    <w:rsid w:val="1DD106B2"/>
    <w:rsid w:val="1E157011"/>
    <w:rsid w:val="1E50563C"/>
    <w:rsid w:val="1E74719C"/>
    <w:rsid w:val="1E8C459E"/>
    <w:rsid w:val="1E934307"/>
    <w:rsid w:val="1EDA1EFB"/>
    <w:rsid w:val="1EFD5565"/>
    <w:rsid w:val="1F0B237A"/>
    <w:rsid w:val="1F2B0346"/>
    <w:rsid w:val="1F3309DE"/>
    <w:rsid w:val="1F3A5840"/>
    <w:rsid w:val="1F431821"/>
    <w:rsid w:val="1F890C4B"/>
    <w:rsid w:val="1FD10B66"/>
    <w:rsid w:val="1FDA3069"/>
    <w:rsid w:val="20005C4C"/>
    <w:rsid w:val="20325FB5"/>
    <w:rsid w:val="205B73C3"/>
    <w:rsid w:val="20626028"/>
    <w:rsid w:val="20B44398"/>
    <w:rsid w:val="20D34487"/>
    <w:rsid w:val="20EB4820"/>
    <w:rsid w:val="211A411E"/>
    <w:rsid w:val="215A3622"/>
    <w:rsid w:val="21787EF5"/>
    <w:rsid w:val="219416B8"/>
    <w:rsid w:val="21FF3D3B"/>
    <w:rsid w:val="220A1EFE"/>
    <w:rsid w:val="221920D5"/>
    <w:rsid w:val="2231339B"/>
    <w:rsid w:val="22502157"/>
    <w:rsid w:val="22514430"/>
    <w:rsid w:val="226704C8"/>
    <w:rsid w:val="22D459DD"/>
    <w:rsid w:val="22D7095E"/>
    <w:rsid w:val="23022EFF"/>
    <w:rsid w:val="234B0952"/>
    <w:rsid w:val="23720885"/>
    <w:rsid w:val="23863CED"/>
    <w:rsid w:val="239F10A8"/>
    <w:rsid w:val="24054003"/>
    <w:rsid w:val="24436F49"/>
    <w:rsid w:val="248E2E3A"/>
    <w:rsid w:val="2518422E"/>
    <w:rsid w:val="251870F6"/>
    <w:rsid w:val="253F062B"/>
    <w:rsid w:val="25561EBA"/>
    <w:rsid w:val="26437220"/>
    <w:rsid w:val="26451EEA"/>
    <w:rsid w:val="26704F2E"/>
    <w:rsid w:val="269A56FB"/>
    <w:rsid w:val="275734E6"/>
    <w:rsid w:val="27B02B2C"/>
    <w:rsid w:val="27B40D15"/>
    <w:rsid w:val="27DC3878"/>
    <w:rsid w:val="285974E7"/>
    <w:rsid w:val="28AF339E"/>
    <w:rsid w:val="28C62F56"/>
    <w:rsid w:val="28DA203A"/>
    <w:rsid w:val="28E84A2F"/>
    <w:rsid w:val="28F0407A"/>
    <w:rsid w:val="29152822"/>
    <w:rsid w:val="291A7D32"/>
    <w:rsid w:val="29320499"/>
    <w:rsid w:val="29655706"/>
    <w:rsid w:val="29837904"/>
    <w:rsid w:val="29AC284E"/>
    <w:rsid w:val="2A1F5C2B"/>
    <w:rsid w:val="2A9A34D5"/>
    <w:rsid w:val="2AB06233"/>
    <w:rsid w:val="2B4310FD"/>
    <w:rsid w:val="2B6C01DB"/>
    <w:rsid w:val="2BF7A349"/>
    <w:rsid w:val="2C0E641B"/>
    <w:rsid w:val="2C263A29"/>
    <w:rsid w:val="2C6E17C2"/>
    <w:rsid w:val="2CAE51CD"/>
    <w:rsid w:val="2CFB251F"/>
    <w:rsid w:val="2D346E5C"/>
    <w:rsid w:val="2E664953"/>
    <w:rsid w:val="2E72221D"/>
    <w:rsid w:val="2EB5699C"/>
    <w:rsid w:val="2F6E3D48"/>
    <w:rsid w:val="2F8710B8"/>
    <w:rsid w:val="300C0145"/>
    <w:rsid w:val="30474804"/>
    <w:rsid w:val="30584EE1"/>
    <w:rsid w:val="30955632"/>
    <w:rsid w:val="30C91D73"/>
    <w:rsid w:val="30FB7A19"/>
    <w:rsid w:val="310261A7"/>
    <w:rsid w:val="318D0B53"/>
    <w:rsid w:val="31F773D3"/>
    <w:rsid w:val="327179B1"/>
    <w:rsid w:val="3278331D"/>
    <w:rsid w:val="328D2446"/>
    <w:rsid w:val="32A75185"/>
    <w:rsid w:val="32D1066D"/>
    <w:rsid w:val="33340B4D"/>
    <w:rsid w:val="334332F3"/>
    <w:rsid w:val="335F41BA"/>
    <w:rsid w:val="338E7B26"/>
    <w:rsid w:val="33BA34B0"/>
    <w:rsid w:val="33C93EB4"/>
    <w:rsid w:val="33EC168B"/>
    <w:rsid w:val="34081C5C"/>
    <w:rsid w:val="34367DA9"/>
    <w:rsid w:val="3477488D"/>
    <w:rsid w:val="349413EA"/>
    <w:rsid w:val="34C54BE3"/>
    <w:rsid w:val="34C574CF"/>
    <w:rsid w:val="34CF308E"/>
    <w:rsid w:val="350D6182"/>
    <w:rsid w:val="35BC481E"/>
    <w:rsid w:val="35FB23C5"/>
    <w:rsid w:val="367C4935"/>
    <w:rsid w:val="36CE34E8"/>
    <w:rsid w:val="37020770"/>
    <w:rsid w:val="37B838EA"/>
    <w:rsid w:val="38C61DEC"/>
    <w:rsid w:val="3904514B"/>
    <w:rsid w:val="391F4576"/>
    <w:rsid w:val="394C353B"/>
    <w:rsid w:val="39606472"/>
    <w:rsid w:val="39FB6A6E"/>
    <w:rsid w:val="39FC282B"/>
    <w:rsid w:val="3A164E28"/>
    <w:rsid w:val="3A307305"/>
    <w:rsid w:val="3A541FF7"/>
    <w:rsid w:val="3A9C1064"/>
    <w:rsid w:val="3ACF16E5"/>
    <w:rsid w:val="3B1064BD"/>
    <w:rsid w:val="3B2C33D8"/>
    <w:rsid w:val="3B2C358C"/>
    <w:rsid w:val="3B7346FF"/>
    <w:rsid w:val="3BE04637"/>
    <w:rsid w:val="3BF15362"/>
    <w:rsid w:val="3BF74F1D"/>
    <w:rsid w:val="3CD27730"/>
    <w:rsid w:val="3D390470"/>
    <w:rsid w:val="3D4D11D6"/>
    <w:rsid w:val="3D593B6E"/>
    <w:rsid w:val="3DC76F84"/>
    <w:rsid w:val="3DCE50EF"/>
    <w:rsid w:val="3DDF7E2A"/>
    <w:rsid w:val="3DE94058"/>
    <w:rsid w:val="3E1918E3"/>
    <w:rsid w:val="3E374C21"/>
    <w:rsid w:val="3E3759DF"/>
    <w:rsid w:val="3E466B4F"/>
    <w:rsid w:val="3E96513D"/>
    <w:rsid w:val="3E98229E"/>
    <w:rsid w:val="3EA64B1B"/>
    <w:rsid w:val="3EC040FF"/>
    <w:rsid w:val="3EE902D6"/>
    <w:rsid w:val="3F894898"/>
    <w:rsid w:val="4009784F"/>
    <w:rsid w:val="401F13BD"/>
    <w:rsid w:val="408829FA"/>
    <w:rsid w:val="408A4A83"/>
    <w:rsid w:val="40A463BD"/>
    <w:rsid w:val="40E80A95"/>
    <w:rsid w:val="41131941"/>
    <w:rsid w:val="411E7DFD"/>
    <w:rsid w:val="41713FBD"/>
    <w:rsid w:val="41780B55"/>
    <w:rsid w:val="41836470"/>
    <w:rsid w:val="41C50CBF"/>
    <w:rsid w:val="42234900"/>
    <w:rsid w:val="42310D45"/>
    <w:rsid w:val="42914373"/>
    <w:rsid w:val="4297507F"/>
    <w:rsid w:val="42A44E8B"/>
    <w:rsid w:val="42BD7B87"/>
    <w:rsid w:val="43393B20"/>
    <w:rsid w:val="43495ACF"/>
    <w:rsid w:val="436C497E"/>
    <w:rsid w:val="43F54CF5"/>
    <w:rsid w:val="44724164"/>
    <w:rsid w:val="448D6A38"/>
    <w:rsid w:val="44CF5D53"/>
    <w:rsid w:val="4508700D"/>
    <w:rsid w:val="454D3269"/>
    <w:rsid w:val="455E1F7C"/>
    <w:rsid w:val="46562959"/>
    <w:rsid w:val="467F690A"/>
    <w:rsid w:val="46B85F59"/>
    <w:rsid w:val="46C644C3"/>
    <w:rsid w:val="46C91677"/>
    <w:rsid w:val="46E961D3"/>
    <w:rsid w:val="47CF6E71"/>
    <w:rsid w:val="47E330FE"/>
    <w:rsid w:val="47EF50CB"/>
    <w:rsid w:val="47FA0480"/>
    <w:rsid w:val="48621071"/>
    <w:rsid w:val="492D7C31"/>
    <w:rsid w:val="494B04F7"/>
    <w:rsid w:val="49516B58"/>
    <w:rsid w:val="495A0E43"/>
    <w:rsid w:val="495C25B9"/>
    <w:rsid w:val="498B48F2"/>
    <w:rsid w:val="499D0869"/>
    <w:rsid w:val="49A50688"/>
    <w:rsid w:val="49C134CC"/>
    <w:rsid w:val="4A396CAF"/>
    <w:rsid w:val="4A3E14BB"/>
    <w:rsid w:val="4ACC4412"/>
    <w:rsid w:val="4AD245F0"/>
    <w:rsid w:val="4B0C6773"/>
    <w:rsid w:val="4B151CBC"/>
    <w:rsid w:val="4B5C045F"/>
    <w:rsid w:val="4B8B6452"/>
    <w:rsid w:val="4BE44EED"/>
    <w:rsid w:val="4C06511B"/>
    <w:rsid w:val="4C2A3BAE"/>
    <w:rsid w:val="4C347AA3"/>
    <w:rsid w:val="4C804CD7"/>
    <w:rsid w:val="4D0A42D4"/>
    <w:rsid w:val="4D43242E"/>
    <w:rsid w:val="4D782815"/>
    <w:rsid w:val="4D8D2223"/>
    <w:rsid w:val="4DBE4790"/>
    <w:rsid w:val="4DD4552F"/>
    <w:rsid w:val="4E111F65"/>
    <w:rsid w:val="4E292366"/>
    <w:rsid w:val="4E326BA1"/>
    <w:rsid w:val="4E560D49"/>
    <w:rsid w:val="4EEF6B88"/>
    <w:rsid w:val="4EF549D4"/>
    <w:rsid w:val="4F2B4370"/>
    <w:rsid w:val="4F365416"/>
    <w:rsid w:val="4FA72F38"/>
    <w:rsid w:val="4FFC17B4"/>
    <w:rsid w:val="50367867"/>
    <w:rsid w:val="5091604B"/>
    <w:rsid w:val="518F4CE4"/>
    <w:rsid w:val="51A87F87"/>
    <w:rsid w:val="51F03A65"/>
    <w:rsid w:val="52092F63"/>
    <w:rsid w:val="525C5D72"/>
    <w:rsid w:val="52FE55DB"/>
    <w:rsid w:val="535518B1"/>
    <w:rsid w:val="53E87428"/>
    <w:rsid w:val="53FA1456"/>
    <w:rsid w:val="541A4833"/>
    <w:rsid w:val="5447281C"/>
    <w:rsid w:val="548C054F"/>
    <w:rsid w:val="54A90D98"/>
    <w:rsid w:val="54E44556"/>
    <w:rsid w:val="54F65EBA"/>
    <w:rsid w:val="559002B6"/>
    <w:rsid w:val="55AF412E"/>
    <w:rsid w:val="55D27624"/>
    <w:rsid w:val="55F80327"/>
    <w:rsid w:val="56324628"/>
    <w:rsid w:val="56336B0D"/>
    <w:rsid w:val="567A6E51"/>
    <w:rsid w:val="56BF2DBB"/>
    <w:rsid w:val="56F203B4"/>
    <w:rsid w:val="570401B7"/>
    <w:rsid w:val="571915F2"/>
    <w:rsid w:val="574511ED"/>
    <w:rsid w:val="57472D83"/>
    <w:rsid w:val="578F2469"/>
    <w:rsid w:val="579A11F6"/>
    <w:rsid w:val="57FC55AA"/>
    <w:rsid w:val="5802472E"/>
    <w:rsid w:val="580928E7"/>
    <w:rsid w:val="583E1CF5"/>
    <w:rsid w:val="58551F7D"/>
    <w:rsid w:val="59AC068E"/>
    <w:rsid w:val="5AA412FE"/>
    <w:rsid w:val="5AB3646E"/>
    <w:rsid w:val="5ABA7A19"/>
    <w:rsid w:val="5AC72F10"/>
    <w:rsid w:val="5B136F0D"/>
    <w:rsid w:val="5B56778E"/>
    <w:rsid w:val="5B840C5F"/>
    <w:rsid w:val="5B964D28"/>
    <w:rsid w:val="5B9A39AB"/>
    <w:rsid w:val="5BC44F00"/>
    <w:rsid w:val="5C966BF7"/>
    <w:rsid w:val="5C99422C"/>
    <w:rsid w:val="5D002209"/>
    <w:rsid w:val="5D217374"/>
    <w:rsid w:val="5DAD5634"/>
    <w:rsid w:val="5DE81AA6"/>
    <w:rsid w:val="5DE943DE"/>
    <w:rsid w:val="5E2B51A2"/>
    <w:rsid w:val="5EB62375"/>
    <w:rsid w:val="5EF724E5"/>
    <w:rsid w:val="5F436DCC"/>
    <w:rsid w:val="5F5B667A"/>
    <w:rsid w:val="5F6067D6"/>
    <w:rsid w:val="5F7E78A6"/>
    <w:rsid w:val="5FD125EC"/>
    <w:rsid w:val="5FFE7DDC"/>
    <w:rsid w:val="603D2D4A"/>
    <w:rsid w:val="60D51B08"/>
    <w:rsid w:val="610552EA"/>
    <w:rsid w:val="611364CC"/>
    <w:rsid w:val="61162C50"/>
    <w:rsid w:val="61183586"/>
    <w:rsid w:val="61490A69"/>
    <w:rsid w:val="615A7643"/>
    <w:rsid w:val="616A3AE0"/>
    <w:rsid w:val="617203D0"/>
    <w:rsid w:val="61EC0543"/>
    <w:rsid w:val="622320AD"/>
    <w:rsid w:val="62460B06"/>
    <w:rsid w:val="626C41FD"/>
    <w:rsid w:val="62F7205C"/>
    <w:rsid w:val="62F95108"/>
    <w:rsid w:val="6311467A"/>
    <w:rsid w:val="631840FD"/>
    <w:rsid w:val="634B16C2"/>
    <w:rsid w:val="638717D9"/>
    <w:rsid w:val="63DD630A"/>
    <w:rsid w:val="644D5794"/>
    <w:rsid w:val="6451178A"/>
    <w:rsid w:val="64981C38"/>
    <w:rsid w:val="64A14715"/>
    <w:rsid w:val="64AE2EEE"/>
    <w:rsid w:val="64E71BB9"/>
    <w:rsid w:val="64F70EA9"/>
    <w:rsid w:val="650C7E13"/>
    <w:rsid w:val="654F1A47"/>
    <w:rsid w:val="6559389C"/>
    <w:rsid w:val="659C25B2"/>
    <w:rsid w:val="65C03700"/>
    <w:rsid w:val="65EC15AB"/>
    <w:rsid w:val="66541C3F"/>
    <w:rsid w:val="666B40A1"/>
    <w:rsid w:val="671B6AB8"/>
    <w:rsid w:val="67996221"/>
    <w:rsid w:val="681E7F53"/>
    <w:rsid w:val="68A803FC"/>
    <w:rsid w:val="68C46127"/>
    <w:rsid w:val="69610B03"/>
    <w:rsid w:val="69727844"/>
    <w:rsid w:val="69A14E77"/>
    <w:rsid w:val="69A714AC"/>
    <w:rsid w:val="69BA4804"/>
    <w:rsid w:val="6A100511"/>
    <w:rsid w:val="6A1671DC"/>
    <w:rsid w:val="6AA25242"/>
    <w:rsid w:val="6B584AFC"/>
    <w:rsid w:val="6B59453E"/>
    <w:rsid w:val="6BE66EA4"/>
    <w:rsid w:val="6C642F64"/>
    <w:rsid w:val="6CD8037E"/>
    <w:rsid w:val="6D137960"/>
    <w:rsid w:val="6D3A63A1"/>
    <w:rsid w:val="6D780791"/>
    <w:rsid w:val="6D88336F"/>
    <w:rsid w:val="6E0D6F64"/>
    <w:rsid w:val="6E5E537C"/>
    <w:rsid w:val="6E5F273D"/>
    <w:rsid w:val="6E6061C6"/>
    <w:rsid w:val="6E627A21"/>
    <w:rsid w:val="6E6D41DF"/>
    <w:rsid w:val="6E853C30"/>
    <w:rsid w:val="6E957640"/>
    <w:rsid w:val="6EE33674"/>
    <w:rsid w:val="6EE442D1"/>
    <w:rsid w:val="6F4C3024"/>
    <w:rsid w:val="6F5E5131"/>
    <w:rsid w:val="70A424D4"/>
    <w:rsid w:val="70BA3726"/>
    <w:rsid w:val="71A224E9"/>
    <w:rsid w:val="71D074AE"/>
    <w:rsid w:val="71F43A18"/>
    <w:rsid w:val="72310D3B"/>
    <w:rsid w:val="72741EBA"/>
    <w:rsid w:val="72EA0AEA"/>
    <w:rsid w:val="73253CFE"/>
    <w:rsid w:val="734A6100"/>
    <w:rsid w:val="73767D80"/>
    <w:rsid w:val="738854C1"/>
    <w:rsid w:val="73EB3D22"/>
    <w:rsid w:val="74064BED"/>
    <w:rsid w:val="74533BD1"/>
    <w:rsid w:val="747948CE"/>
    <w:rsid w:val="75126D7A"/>
    <w:rsid w:val="75A65E27"/>
    <w:rsid w:val="75BA5477"/>
    <w:rsid w:val="765B1B16"/>
    <w:rsid w:val="769918E2"/>
    <w:rsid w:val="76AA1FA3"/>
    <w:rsid w:val="76BFAF13"/>
    <w:rsid w:val="76F86F8A"/>
    <w:rsid w:val="77537603"/>
    <w:rsid w:val="77D07135"/>
    <w:rsid w:val="784A2730"/>
    <w:rsid w:val="785513ED"/>
    <w:rsid w:val="789336DE"/>
    <w:rsid w:val="78937CF7"/>
    <w:rsid w:val="789C7D13"/>
    <w:rsid w:val="78FBF684"/>
    <w:rsid w:val="799C2E68"/>
    <w:rsid w:val="79CD3424"/>
    <w:rsid w:val="79DE2F9A"/>
    <w:rsid w:val="79ED6971"/>
    <w:rsid w:val="79FE2D83"/>
    <w:rsid w:val="7A057571"/>
    <w:rsid w:val="7A263419"/>
    <w:rsid w:val="7A410003"/>
    <w:rsid w:val="7A6D3C10"/>
    <w:rsid w:val="7A7E02F0"/>
    <w:rsid w:val="7AA33536"/>
    <w:rsid w:val="7AE5776E"/>
    <w:rsid w:val="7AE8472F"/>
    <w:rsid w:val="7B484ED1"/>
    <w:rsid w:val="7B4D35F3"/>
    <w:rsid w:val="7B792C49"/>
    <w:rsid w:val="7B7D91F1"/>
    <w:rsid w:val="7BCD5242"/>
    <w:rsid w:val="7BE15E15"/>
    <w:rsid w:val="7BED0CD8"/>
    <w:rsid w:val="7BF369A8"/>
    <w:rsid w:val="7BF88BF8"/>
    <w:rsid w:val="7BFE1E83"/>
    <w:rsid w:val="7C0A1EFB"/>
    <w:rsid w:val="7C490793"/>
    <w:rsid w:val="7C5070AE"/>
    <w:rsid w:val="7C8B4DC2"/>
    <w:rsid w:val="7CB7F70C"/>
    <w:rsid w:val="7CF32A66"/>
    <w:rsid w:val="7CF57DC6"/>
    <w:rsid w:val="7D673C72"/>
    <w:rsid w:val="7D6FFF83"/>
    <w:rsid w:val="7D71438E"/>
    <w:rsid w:val="7DBF21A5"/>
    <w:rsid w:val="7DE93C59"/>
    <w:rsid w:val="7DFBF8B8"/>
    <w:rsid w:val="7E6D67B0"/>
    <w:rsid w:val="7E72183B"/>
    <w:rsid w:val="7E81225C"/>
    <w:rsid w:val="7EFF7F74"/>
    <w:rsid w:val="7F051702"/>
    <w:rsid w:val="7F3F6140"/>
    <w:rsid w:val="7F516B1D"/>
    <w:rsid w:val="7FB33084"/>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1"/>
    <w:qFormat/>
    <w:uiPriority w:val="99"/>
    <w:pPr>
      <w:keepNext/>
      <w:keepLines/>
      <w:spacing w:line="576" w:lineRule="auto"/>
      <w:outlineLvl w:val="0"/>
    </w:pPr>
    <w:rPr>
      <w:rFonts w:ascii="Calibri" w:hAnsi="Calibri" w:cs="Calibri"/>
      <w:b/>
      <w:bCs/>
      <w:kern w:val="44"/>
      <w:sz w:val="44"/>
      <w:szCs w:val="44"/>
    </w:rPr>
  </w:style>
  <w:style w:type="paragraph" w:styleId="4">
    <w:name w:val="heading 2"/>
    <w:basedOn w:val="1"/>
    <w:next w:val="5"/>
    <w:link w:val="42"/>
    <w:qFormat/>
    <w:uiPriority w:val="99"/>
    <w:pPr>
      <w:keepNext/>
      <w:spacing w:line="216" w:lineRule="auto"/>
      <w:outlineLvl w:val="1"/>
    </w:pPr>
    <w:rPr>
      <w:rFonts w:ascii="宋体" w:hAnsi="Calibri" w:cs="宋体"/>
      <w:b/>
      <w:bCs/>
      <w:sz w:val="28"/>
      <w:szCs w:val="28"/>
    </w:rPr>
  </w:style>
  <w:style w:type="paragraph" w:styleId="6">
    <w:name w:val="heading 3"/>
    <w:basedOn w:val="1"/>
    <w:next w:val="1"/>
    <w:link w:val="43"/>
    <w:qFormat/>
    <w:uiPriority w:val="99"/>
    <w:pPr>
      <w:keepNext/>
      <w:numPr>
        <w:ilvl w:val="0"/>
        <w:numId w:val="1"/>
      </w:numPr>
      <w:spacing w:line="216" w:lineRule="auto"/>
      <w:outlineLvl w:val="2"/>
    </w:pPr>
    <w:rPr>
      <w:rFonts w:ascii="宋体" w:hAnsi="Calibri" w:cs="宋体"/>
      <w:b/>
      <w:bCs/>
      <w:sz w:val="28"/>
      <w:szCs w:val="28"/>
    </w:rPr>
  </w:style>
  <w:style w:type="paragraph" w:styleId="7">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pPr>
    <w:rPr>
      <w:rFonts w:ascii="Helvetica" w:hAnsi="Helvetica"/>
      <w:kern w:val="0"/>
      <w:sz w:val="24"/>
      <w:szCs w:val="24"/>
    </w:rPr>
  </w:style>
  <w:style w:type="paragraph" w:styleId="5">
    <w:name w:val="Normal Indent"/>
    <w:basedOn w:val="1"/>
    <w:qFormat/>
    <w:uiPriority w:val="99"/>
    <w:pPr>
      <w:ind w:firstLine="420"/>
    </w:pPr>
  </w:style>
  <w:style w:type="paragraph" w:styleId="8">
    <w:name w:val="annotation text"/>
    <w:basedOn w:val="1"/>
    <w:semiHidden/>
    <w:unhideWhenUsed/>
    <w:qFormat/>
    <w:uiPriority w:val="99"/>
    <w:pPr>
      <w:jc w:val="left"/>
    </w:pPr>
  </w:style>
  <w:style w:type="paragraph" w:styleId="9">
    <w:name w:val="Body Text"/>
    <w:basedOn w:val="1"/>
    <w:link w:val="44"/>
    <w:qFormat/>
    <w:uiPriority w:val="99"/>
  </w:style>
  <w:style w:type="paragraph" w:styleId="10">
    <w:name w:val="Body Text Indent"/>
    <w:basedOn w:val="1"/>
    <w:link w:val="50"/>
    <w:qFormat/>
    <w:uiPriority w:val="99"/>
    <w:pPr>
      <w:adjustRightInd w:val="0"/>
      <w:spacing w:line="360" w:lineRule="auto"/>
      <w:ind w:firstLine="490"/>
      <w:jc w:val="left"/>
    </w:pPr>
    <w:rPr>
      <w:rFonts w:ascii="宋体" w:hAnsi="宋体" w:cs="宋体"/>
      <w:sz w:val="24"/>
      <w:szCs w:val="24"/>
    </w:rPr>
  </w:style>
  <w:style w:type="paragraph" w:styleId="11">
    <w:name w:val="Block Text"/>
    <w:basedOn w:val="1"/>
    <w:qFormat/>
    <w:uiPriority w:val="0"/>
    <w:pPr>
      <w:spacing w:before="120" w:line="360" w:lineRule="auto"/>
      <w:ind w:left="824" w:right="202"/>
    </w:pPr>
    <w:rPr>
      <w:rFonts w:ascii="宋体" w:hAnsi="宋体"/>
      <w:sz w:val="24"/>
      <w:szCs w:val="21"/>
    </w:rPr>
  </w:style>
  <w:style w:type="paragraph" w:styleId="12">
    <w:name w:val="toc 3"/>
    <w:basedOn w:val="1"/>
    <w:next w:val="1"/>
    <w:semiHidden/>
    <w:qFormat/>
    <w:uiPriority w:val="99"/>
    <w:pPr>
      <w:ind w:left="840" w:leftChars="400"/>
    </w:pPr>
  </w:style>
  <w:style w:type="paragraph" w:styleId="13">
    <w:name w:val="Plain Text"/>
    <w:basedOn w:val="1"/>
    <w:next w:val="1"/>
    <w:link w:val="51"/>
    <w:qFormat/>
    <w:uiPriority w:val="99"/>
    <w:rPr>
      <w:rFonts w:ascii="宋体" w:hAnsi="Courier New" w:cs="宋体"/>
    </w:rPr>
  </w:style>
  <w:style w:type="paragraph" w:styleId="14">
    <w:name w:val="Date"/>
    <w:basedOn w:val="1"/>
    <w:next w:val="1"/>
    <w:link w:val="52"/>
    <w:qFormat/>
    <w:uiPriority w:val="99"/>
    <w:pPr>
      <w:ind w:left="100" w:leftChars="2500"/>
    </w:pPr>
    <w:rPr>
      <w:rFonts w:ascii="宋体" w:hAnsi="宋体" w:cs="宋体"/>
      <w:color w:val="000000"/>
      <w:sz w:val="24"/>
      <w:szCs w:val="24"/>
    </w:rPr>
  </w:style>
  <w:style w:type="paragraph" w:styleId="15">
    <w:name w:val="Balloon Text"/>
    <w:basedOn w:val="1"/>
    <w:link w:val="53"/>
    <w:semiHidden/>
    <w:qFormat/>
    <w:uiPriority w:val="99"/>
    <w:rPr>
      <w:sz w:val="18"/>
      <w:szCs w:val="18"/>
    </w:rPr>
  </w:style>
  <w:style w:type="paragraph" w:styleId="16">
    <w:name w:val="footer"/>
    <w:basedOn w:val="1"/>
    <w:link w:val="54"/>
    <w:qFormat/>
    <w:uiPriority w:val="99"/>
    <w:pPr>
      <w:tabs>
        <w:tab w:val="center" w:pos="4153"/>
        <w:tab w:val="right" w:pos="8306"/>
      </w:tabs>
      <w:snapToGrid w:val="0"/>
      <w:jc w:val="left"/>
    </w:pPr>
    <w:rPr>
      <w:sz w:val="18"/>
      <w:szCs w:val="18"/>
    </w:rPr>
  </w:style>
  <w:style w:type="paragraph" w:styleId="17">
    <w:name w:val="header"/>
    <w:basedOn w:val="1"/>
    <w:link w:val="55"/>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8">
    <w:name w:val="toc 1"/>
    <w:basedOn w:val="1"/>
    <w:next w:val="1"/>
    <w:semiHidden/>
    <w:qFormat/>
    <w:uiPriority w:val="99"/>
  </w:style>
  <w:style w:type="paragraph" w:styleId="19">
    <w:name w:val="toc 4"/>
    <w:basedOn w:val="1"/>
    <w:next w:val="1"/>
    <w:qFormat/>
    <w:uiPriority w:val="39"/>
    <w:pPr>
      <w:ind w:left="1260" w:leftChars="600"/>
    </w:pPr>
    <w:rPr>
      <w:szCs w:val="24"/>
    </w:rPr>
  </w:style>
  <w:style w:type="paragraph" w:styleId="20">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1">
    <w:name w:val="toc 2"/>
    <w:basedOn w:val="1"/>
    <w:next w:val="1"/>
    <w:semiHidden/>
    <w:qFormat/>
    <w:uiPriority w:val="99"/>
    <w:pPr>
      <w:ind w:left="420" w:leftChars="200"/>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24">
    <w:name w:val="Body Text First Indent"/>
    <w:basedOn w:val="9"/>
    <w:next w:val="20"/>
    <w:link w:val="56"/>
    <w:qFormat/>
    <w:uiPriority w:val="99"/>
    <w:pPr>
      <w:ind w:firstLine="420" w:firstLineChars="100"/>
    </w:pPr>
  </w:style>
  <w:style w:type="paragraph" w:styleId="25">
    <w:name w:val="Body Text First Indent 2"/>
    <w:basedOn w:val="10"/>
    <w:qFormat/>
    <w:uiPriority w:val="0"/>
    <w:pPr>
      <w:ind w:firstLine="420"/>
    </w:pPr>
  </w:style>
  <w:style w:type="table" w:styleId="27">
    <w:name w:val="Table Grid"/>
    <w:basedOn w:val="26"/>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paragraph" w:styleId="32">
    <w:name w:val="Quote"/>
    <w:basedOn w:val="1"/>
    <w:next w:val="1"/>
    <w:qFormat/>
    <w:uiPriority w:val="0"/>
    <w:pPr>
      <w:wordWrap w:val="0"/>
      <w:spacing w:before="200" w:after="160"/>
      <w:ind w:left="864" w:right="864"/>
      <w:jc w:val="center"/>
    </w:pPr>
    <w:rPr>
      <w:i/>
    </w:r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4">
    <w:name w:val="列出段落1"/>
    <w:basedOn w:val="1"/>
    <w:next w:val="1"/>
    <w:qFormat/>
    <w:uiPriority w:val="99"/>
    <w:pPr>
      <w:ind w:firstLine="420"/>
      <w:jc w:val="left"/>
    </w:pPr>
  </w:style>
  <w:style w:type="paragraph" w:customStyle="1" w:styleId="35">
    <w:name w:val="BodyText1I2"/>
    <w:basedOn w:val="36"/>
    <w:qFormat/>
    <w:uiPriority w:val="0"/>
    <w:pPr>
      <w:ind w:firstLine="420"/>
    </w:pPr>
    <w:rPr>
      <w:sz w:val="21"/>
    </w:rPr>
  </w:style>
  <w:style w:type="paragraph" w:customStyle="1" w:styleId="36">
    <w:name w:val="BodyTextIndent"/>
    <w:basedOn w:val="1"/>
    <w:next w:val="35"/>
    <w:qFormat/>
    <w:uiPriority w:val="0"/>
    <w:pPr>
      <w:spacing w:line="360" w:lineRule="auto"/>
      <w:ind w:firstLine="490"/>
      <w:jc w:val="left"/>
    </w:pPr>
    <w:rPr>
      <w:rFonts w:ascii="宋体" w:hAnsi="宋体"/>
      <w:sz w:val="24"/>
    </w:rPr>
  </w:style>
  <w:style w:type="paragraph" w:customStyle="1" w:styleId="37">
    <w:name w:val="Body Text First Indent1"/>
    <w:basedOn w:val="9"/>
    <w:qFormat/>
    <w:uiPriority w:val="0"/>
    <w:pPr>
      <w:tabs>
        <w:tab w:val="left" w:pos="1275"/>
      </w:tabs>
      <w:ind w:firstLine="420" w:firstLineChars="100"/>
    </w:pPr>
  </w:style>
  <w:style w:type="paragraph" w:customStyle="1" w:styleId="38">
    <w:name w:val="表格文字"/>
    <w:basedOn w:val="1"/>
    <w:next w:val="9"/>
    <w:qFormat/>
    <w:uiPriority w:val="0"/>
    <w:pPr>
      <w:adjustRightInd w:val="0"/>
      <w:spacing w:line="420" w:lineRule="atLeast"/>
      <w:textAlignment w:val="baseline"/>
    </w:pPr>
  </w:style>
  <w:style w:type="paragraph" w:customStyle="1" w:styleId="39">
    <w:name w:val="正文缩进1"/>
    <w:basedOn w:val="1"/>
    <w:qFormat/>
    <w:uiPriority w:val="0"/>
    <w:pPr>
      <w:ind w:firstLine="420" w:firstLineChars="200"/>
    </w:pPr>
  </w:style>
  <w:style w:type="paragraph" w:customStyle="1" w:styleId="40">
    <w:name w:val="正文（首行缩进2字符）"/>
    <w:basedOn w:val="1"/>
    <w:qFormat/>
    <w:uiPriority w:val="0"/>
    <w:pPr>
      <w:spacing w:line="360" w:lineRule="auto"/>
      <w:ind w:firstLine="480" w:firstLineChars="200"/>
    </w:pPr>
    <w:rPr>
      <w:sz w:val="24"/>
      <w:szCs w:val="20"/>
    </w:rPr>
  </w:style>
  <w:style w:type="character" w:customStyle="1" w:styleId="41">
    <w:name w:val="标题 1 Char"/>
    <w:basedOn w:val="28"/>
    <w:link w:val="3"/>
    <w:qFormat/>
    <w:locked/>
    <w:uiPriority w:val="99"/>
    <w:rPr>
      <w:b/>
      <w:bCs/>
      <w:kern w:val="44"/>
      <w:sz w:val="44"/>
      <w:szCs w:val="44"/>
    </w:rPr>
  </w:style>
  <w:style w:type="character" w:customStyle="1" w:styleId="42">
    <w:name w:val="标题 2 Char"/>
    <w:basedOn w:val="28"/>
    <w:link w:val="4"/>
    <w:qFormat/>
    <w:locked/>
    <w:uiPriority w:val="99"/>
    <w:rPr>
      <w:rFonts w:ascii="宋体" w:cs="宋体"/>
      <w:b/>
      <w:bCs/>
      <w:kern w:val="2"/>
      <w:sz w:val="28"/>
      <w:szCs w:val="28"/>
    </w:rPr>
  </w:style>
  <w:style w:type="character" w:customStyle="1" w:styleId="43">
    <w:name w:val="标题 3 Char"/>
    <w:basedOn w:val="28"/>
    <w:link w:val="6"/>
    <w:qFormat/>
    <w:locked/>
    <w:uiPriority w:val="99"/>
    <w:rPr>
      <w:rFonts w:ascii="宋体" w:cs="宋体"/>
      <w:b/>
      <w:bCs/>
      <w:kern w:val="2"/>
      <w:sz w:val="28"/>
      <w:szCs w:val="28"/>
    </w:rPr>
  </w:style>
  <w:style w:type="character" w:customStyle="1" w:styleId="44">
    <w:name w:val="正文文本 Char"/>
    <w:basedOn w:val="28"/>
    <w:link w:val="9"/>
    <w:semiHidden/>
    <w:qFormat/>
    <w:uiPriority w:val="99"/>
    <w:rPr>
      <w:rFonts w:ascii="Times New Roman" w:hAnsi="Times New Roman"/>
      <w:szCs w:val="21"/>
    </w:rPr>
  </w:style>
  <w:style w:type="paragraph" w:customStyle="1" w:styleId="45">
    <w:name w:val="样式 表格正文 + 两端对齐"/>
    <w:basedOn w:val="1"/>
    <w:next w:val="46"/>
    <w:qFormat/>
    <w:uiPriority w:val="99"/>
    <w:pPr>
      <w:spacing w:line="300" w:lineRule="auto"/>
    </w:pPr>
    <w:rPr>
      <w:sz w:val="24"/>
      <w:szCs w:val="24"/>
    </w:rPr>
  </w:style>
  <w:style w:type="paragraph" w:customStyle="1" w:styleId="46">
    <w:name w:val="正文1"/>
    <w:basedOn w:val="1"/>
    <w:next w:val="47"/>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7">
    <w:name w:val="自动更正"/>
    <w:next w:val="48"/>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
    <w:name w:val="xl39"/>
    <w:basedOn w:val="1"/>
    <w:next w:val="49"/>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9">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0">
    <w:name w:val="正文文本缩进 Char"/>
    <w:basedOn w:val="28"/>
    <w:link w:val="10"/>
    <w:semiHidden/>
    <w:qFormat/>
    <w:uiPriority w:val="99"/>
    <w:rPr>
      <w:rFonts w:ascii="Times New Roman" w:hAnsi="Times New Roman"/>
      <w:szCs w:val="21"/>
    </w:rPr>
  </w:style>
  <w:style w:type="character" w:customStyle="1" w:styleId="51">
    <w:name w:val="纯文本 Char"/>
    <w:basedOn w:val="28"/>
    <w:link w:val="13"/>
    <w:semiHidden/>
    <w:qFormat/>
    <w:uiPriority w:val="99"/>
    <w:rPr>
      <w:rFonts w:ascii="宋体" w:hAnsi="Courier New" w:cs="Courier New"/>
      <w:szCs w:val="21"/>
    </w:rPr>
  </w:style>
  <w:style w:type="character" w:customStyle="1" w:styleId="52">
    <w:name w:val="日期 Char"/>
    <w:basedOn w:val="28"/>
    <w:link w:val="14"/>
    <w:semiHidden/>
    <w:qFormat/>
    <w:uiPriority w:val="99"/>
    <w:rPr>
      <w:rFonts w:ascii="Times New Roman" w:hAnsi="Times New Roman"/>
      <w:szCs w:val="21"/>
    </w:rPr>
  </w:style>
  <w:style w:type="character" w:customStyle="1" w:styleId="53">
    <w:name w:val="批注框文本 Char"/>
    <w:basedOn w:val="28"/>
    <w:link w:val="15"/>
    <w:qFormat/>
    <w:locked/>
    <w:uiPriority w:val="99"/>
    <w:rPr>
      <w:kern w:val="2"/>
      <w:sz w:val="18"/>
      <w:szCs w:val="18"/>
    </w:rPr>
  </w:style>
  <w:style w:type="character" w:customStyle="1" w:styleId="54">
    <w:name w:val="页脚 Char"/>
    <w:basedOn w:val="28"/>
    <w:link w:val="16"/>
    <w:semiHidden/>
    <w:qFormat/>
    <w:uiPriority w:val="99"/>
    <w:rPr>
      <w:rFonts w:ascii="Times New Roman" w:hAnsi="Times New Roman"/>
      <w:sz w:val="18"/>
      <w:szCs w:val="18"/>
    </w:rPr>
  </w:style>
  <w:style w:type="character" w:customStyle="1" w:styleId="55">
    <w:name w:val="页眉 Char"/>
    <w:basedOn w:val="28"/>
    <w:link w:val="17"/>
    <w:semiHidden/>
    <w:qFormat/>
    <w:uiPriority w:val="99"/>
    <w:rPr>
      <w:rFonts w:ascii="Times New Roman" w:hAnsi="Times New Roman"/>
      <w:sz w:val="18"/>
      <w:szCs w:val="18"/>
    </w:rPr>
  </w:style>
  <w:style w:type="character" w:customStyle="1" w:styleId="56">
    <w:name w:val="正文首行缩进 Char"/>
    <w:basedOn w:val="44"/>
    <w:link w:val="24"/>
    <w:semiHidden/>
    <w:qFormat/>
    <w:uiPriority w:val="99"/>
    <w:rPr>
      <w:rFonts w:ascii="Times New Roman" w:hAnsi="Times New Roman"/>
      <w:szCs w:val="21"/>
    </w:rPr>
  </w:style>
  <w:style w:type="paragraph" w:customStyle="1" w:styleId="57">
    <w:name w:val="正文2"/>
    <w:basedOn w:val="1"/>
    <w:qFormat/>
    <w:uiPriority w:val="99"/>
    <w:pPr>
      <w:adjustRightInd w:val="0"/>
      <w:spacing w:before="156" w:line="360" w:lineRule="auto"/>
      <w:ind w:firstLine="510" w:firstLineChars="200"/>
    </w:pPr>
    <w:rPr>
      <w:sz w:val="24"/>
      <w:szCs w:val="24"/>
    </w:rPr>
  </w:style>
  <w:style w:type="paragraph" w:customStyle="1" w:styleId="58">
    <w:name w:val="List Paragraph1"/>
    <w:basedOn w:val="1"/>
    <w:qFormat/>
    <w:uiPriority w:val="99"/>
    <w:pPr>
      <w:widowControl/>
      <w:ind w:firstLine="420" w:firstLineChars="200"/>
      <w:jc w:val="left"/>
    </w:pPr>
    <w:rPr>
      <w:rFonts w:ascii="Calibri" w:hAnsi="Calibri" w:cs="Calibri"/>
    </w:rPr>
  </w:style>
  <w:style w:type="character" w:customStyle="1" w:styleId="59">
    <w:name w:val="style81"/>
    <w:qFormat/>
    <w:uiPriority w:val="99"/>
    <w:rPr>
      <w:sz w:val="20"/>
      <w:szCs w:val="20"/>
    </w:rPr>
  </w:style>
  <w:style w:type="paragraph" w:customStyle="1" w:styleId="60">
    <w:name w:val="表格"/>
    <w:basedOn w:val="1"/>
    <w:qFormat/>
    <w:uiPriority w:val="99"/>
    <w:pPr>
      <w:autoSpaceDE w:val="0"/>
      <w:autoSpaceDN w:val="0"/>
      <w:jc w:val="center"/>
      <w:textAlignment w:val="baseline"/>
    </w:pPr>
    <w:rPr>
      <w:color w:val="000000"/>
      <w:kern w:val="0"/>
    </w:rPr>
  </w:style>
  <w:style w:type="character" w:customStyle="1" w:styleId="61">
    <w:name w:val="02 Char"/>
    <w:link w:val="62"/>
    <w:qFormat/>
    <w:locked/>
    <w:uiPriority w:val="99"/>
    <w:rPr>
      <w:rFonts w:ascii="宋体" w:cs="宋体"/>
      <w:b/>
      <w:bCs/>
      <w:color w:val="FF0000"/>
      <w:kern w:val="2"/>
      <w:sz w:val="28"/>
      <w:szCs w:val="28"/>
    </w:rPr>
  </w:style>
  <w:style w:type="paragraph" w:customStyle="1" w:styleId="62">
    <w:name w:val="02"/>
    <w:basedOn w:val="4"/>
    <w:link w:val="61"/>
    <w:qFormat/>
    <w:uiPriority w:val="99"/>
    <w:pPr>
      <w:jc w:val="center"/>
    </w:pPr>
    <w:rPr>
      <w:color w:val="FF0000"/>
    </w:rPr>
  </w:style>
  <w:style w:type="character" w:customStyle="1" w:styleId="63">
    <w:name w:val="03 Char"/>
    <w:link w:val="64"/>
    <w:qFormat/>
    <w:locked/>
    <w:uiPriority w:val="99"/>
    <w:rPr>
      <w:rFonts w:ascii="宋体" w:cs="宋体"/>
      <w:b/>
      <w:bCs/>
      <w:kern w:val="2"/>
      <w:sz w:val="28"/>
      <w:szCs w:val="28"/>
    </w:rPr>
  </w:style>
  <w:style w:type="paragraph" w:customStyle="1" w:styleId="64">
    <w:name w:val="03"/>
    <w:basedOn w:val="6"/>
    <w:link w:val="63"/>
    <w:qFormat/>
    <w:uiPriority w:val="99"/>
    <w:pPr>
      <w:numPr>
        <w:ilvl w:val="0"/>
        <w:numId w:val="0"/>
      </w:numPr>
    </w:pPr>
  </w:style>
  <w:style w:type="character" w:customStyle="1" w:styleId="65">
    <w:name w:val="宋体小四 Char"/>
    <w:link w:val="66"/>
    <w:qFormat/>
    <w:locked/>
    <w:uiPriority w:val="99"/>
    <w:rPr>
      <w:rFonts w:ascii="宋体" w:eastAsia="宋体" w:cs="宋体"/>
      <w:kern w:val="2"/>
      <w:sz w:val="24"/>
      <w:szCs w:val="24"/>
    </w:rPr>
  </w:style>
  <w:style w:type="paragraph" w:customStyle="1" w:styleId="66">
    <w:name w:val="宋体小四"/>
    <w:basedOn w:val="1"/>
    <w:link w:val="65"/>
    <w:qFormat/>
    <w:uiPriority w:val="99"/>
    <w:pPr>
      <w:spacing w:line="360" w:lineRule="auto"/>
      <w:ind w:firstLine="480" w:firstLineChars="200"/>
    </w:pPr>
    <w:rPr>
      <w:rFonts w:ascii="宋体" w:hAnsi="宋体" w:cs="宋体"/>
      <w:sz w:val="24"/>
      <w:szCs w:val="24"/>
    </w:rPr>
  </w:style>
  <w:style w:type="character" w:customStyle="1" w:styleId="67">
    <w:name w:val="fontstyle01"/>
    <w:basedOn w:val="28"/>
    <w:qFormat/>
    <w:uiPriority w:val="99"/>
    <w:rPr>
      <w:rFonts w:ascii="宋体" w:eastAsia="宋体" w:cs="宋体"/>
      <w:color w:val="000000"/>
      <w:sz w:val="22"/>
      <w:szCs w:val="22"/>
    </w:rPr>
  </w:style>
  <w:style w:type="paragraph" w:customStyle="1" w:styleId="68">
    <w:name w:val="正文首行缩进2字符"/>
    <w:basedOn w:val="1"/>
    <w:qFormat/>
    <w:uiPriority w:val="99"/>
    <w:pPr>
      <w:spacing w:line="360" w:lineRule="auto"/>
      <w:ind w:firstLine="200" w:firstLineChars="200"/>
    </w:pPr>
  </w:style>
  <w:style w:type="paragraph" w:customStyle="1" w:styleId="69">
    <w:name w:val="居中表格内容标题"/>
    <w:basedOn w:val="70"/>
    <w:qFormat/>
    <w:uiPriority w:val="0"/>
    <w:pPr>
      <w:jc w:val="center"/>
    </w:pPr>
    <w:rPr>
      <w:b/>
    </w:rPr>
  </w:style>
  <w:style w:type="paragraph" w:customStyle="1" w:styleId="70">
    <w:name w:val="居中表格内容"/>
    <w:basedOn w:val="1"/>
    <w:next w:val="1"/>
    <w:qFormat/>
    <w:uiPriority w:val="0"/>
    <w:pPr>
      <w:jc w:val="left"/>
    </w:pPr>
    <w:rPr>
      <w:szCs w:val="28"/>
    </w:rPr>
  </w:style>
  <w:style w:type="paragraph" w:customStyle="1" w:styleId="71">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2">
    <w:name w:val="Body text|2"/>
    <w:basedOn w:val="1"/>
    <w:qFormat/>
    <w:uiPriority w:val="0"/>
    <w:pPr>
      <w:spacing w:line="360" w:lineRule="auto"/>
      <w:ind w:firstLine="660"/>
    </w:pPr>
    <w:rPr>
      <w:sz w:val="32"/>
      <w:szCs w:val="32"/>
      <w:lang w:val="zh-TW" w:eastAsia="zh-TW" w:bidi="zh-TW"/>
    </w:rPr>
  </w:style>
  <w:style w:type="character" w:customStyle="1" w:styleId="73">
    <w:name w:val="NormalCharacter"/>
    <w:semiHidden/>
    <w:qFormat/>
    <w:uiPriority w:val="0"/>
  </w:style>
  <w:style w:type="paragraph" w:customStyle="1" w:styleId="74">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5">
    <w:name w:val="xc正文"/>
    <w:basedOn w:val="1"/>
    <w:qFormat/>
    <w:uiPriority w:val="0"/>
    <w:pPr>
      <w:ind w:firstLine="200" w:firstLineChars="200"/>
    </w:pPr>
    <w:rPr>
      <w:szCs w:val="24"/>
    </w:rPr>
  </w:style>
  <w:style w:type="paragraph" w:styleId="76">
    <w:name w:val="List Paragraph"/>
    <w:basedOn w:val="1"/>
    <w:qFormat/>
    <w:uiPriority w:val="1"/>
    <w:pPr>
      <w:ind w:firstLine="420" w:firstLineChars="200"/>
    </w:pPr>
    <w:rPr>
      <w:szCs w:val="24"/>
    </w:rPr>
  </w:style>
  <w:style w:type="character" w:customStyle="1" w:styleId="77">
    <w:name w:val="fontstyle21"/>
    <w:qFormat/>
    <w:uiPriority w:val="0"/>
    <w:rPr>
      <w:rFonts w:hint="default" w:ascii="TimesNewRomanPSMT" w:hAnsi="TimesNewRomanPSMT"/>
      <w:color w:val="000000"/>
      <w:sz w:val="32"/>
      <w:szCs w:val="32"/>
    </w:rPr>
  </w:style>
  <w:style w:type="paragraph" w:customStyle="1" w:styleId="78">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79">
    <w:name w:val="_Style 76"/>
    <w:basedOn w:val="1"/>
    <w:next w:val="76"/>
    <w:qFormat/>
    <w:uiPriority w:val="34"/>
    <w:pPr>
      <w:ind w:firstLine="420" w:firstLineChars="200"/>
    </w:pPr>
    <w:rPr>
      <w:szCs w:val="24"/>
    </w:rPr>
  </w:style>
  <w:style w:type="paragraph" w:customStyle="1" w:styleId="80">
    <w:name w:val="纯文本1"/>
    <w:basedOn w:val="1"/>
    <w:qFormat/>
    <w:uiPriority w:val="0"/>
    <w:pPr>
      <w:ind w:firstLine="280" w:firstLineChars="100"/>
    </w:pPr>
    <w:rPr>
      <w:rFonts w:hAnsi="宋体" w:cs="Courier New"/>
    </w:rPr>
  </w:style>
  <w:style w:type="paragraph" w:customStyle="1" w:styleId="81">
    <w:name w:val="居中表名"/>
    <w:basedOn w:val="1"/>
    <w:next w:val="1"/>
    <w:qFormat/>
    <w:uiPriority w:val="0"/>
    <w:pPr>
      <w:jc w:val="center"/>
    </w:pPr>
    <w:rPr>
      <w:rFonts w:eastAsia="黑体"/>
      <w:b/>
      <w:szCs w:val="28"/>
    </w:rPr>
  </w:style>
  <w:style w:type="paragraph" w:customStyle="1" w:styleId="82">
    <w:name w:val="列表段落1"/>
    <w:basedOn w:val="1"/>
    <w:qFormat/>
    <w:uiPriority w:val="0"/>
    <w:pPr>
      <w:ind w:firstLine="420"/>
    </w:p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列出段落2"/>
    <w:basedOn w:val="1"/>
    <w:qFormat/>
    <w:uiPriority w:val="1"/>
    <w:pPr>
      <w:ind w:firstLine="420" w:firstLineChars="200"/>
    </w:pPr>
    <w:rPr>
      <w:szCs w:val="24"/>
    </w:rPr>
  </w:style>
  <w:style w:type="character" w:customStyle="1" w:styleId="85">
    <w:name w:val="font21"/>
    <w:qFormat/>
    <w:uiPriority w:val="0"/>
    <w:rPr>
      <w:rFonts w:hint="eastAsia" w:ascii="宋体" w:hAnsi="宋体" w:eastAsia="宋体" w:cs="宋体"/>
      <w:b/>
      <w:color w:val="FF0000"/>
      <w:sz w:val="24"/>
      <w:szCs w:val="24"/>
      <w:u w:val="none"/>
    </w:rPr>
  </w:style>
  <w:style w:type="paragraph" w:customStyle="1" w:styleId="86">
    <w:name w:val="样式6"/>
    <w:basedOn w:val="13"/>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7">
    <w:name w:val="Plain Text"/>
    <w:basedOn w:val="1"/>
    <w:qFormat/>
    <w:uiPriority w:val="0"/>
    <w:rPr>
      <w:rFonts w:hint="eastAsia" w:ascii="宋体" w:hAnsi="Courier New"/>
      <w:szCs w:val="20"/>
    </w:rPr>
  </w:style>
  <w:style w:type="paragraph" w:customStyle="1" w:styleId="88">
    <w:name w:val="p0"/>
    <w:basedOn w:val="1"/>
    <w:qFormat/>
    <w:uiPriority w:val="99"/>
    <w:pPr>
      <w:widowControl/>
    </w:pPr>
    <w:rPr>
      <w:kern w:val="0"/>
      <w:szCs w:val="21"/>
    </w:rPr>
  </w:style>
  <w:style w:type="paragraph" w:customStyle="1" w:styleId="89">
    <w:name w:val="*正文"/>
    <w:basedOn w:val="1"/>
    <w:qFormat/>
    <w:uiPriority w:val="0"/>
    <w:pPr>
      <w:spacing w:line="300" w:lineRule="auto"/>
      <w:ind w:firstLine="480"/>
    </w:pPr>
    <w:rPr>
      <w:rFonts w:ascii="宋体" w:hAnsi="宋体"/>
      <w:kern w:val="0"/>
      <w:sz w:val="20"/>
      <w:szCs w:val="21"/>
    </w:rPr>
  </w:style>
  <w:style w:type="paragraph" w:customStyle="1" w:styleId="90">
    <w:name w:val="Char Char Char Char Char Char"/>
    <w:basedOn w:val="1"/>
    <w:qFormat/>
    <w:uiPriority w:val="0"/>
    <w:pPr>
      <w:widowControl/>
      <w:adjustRightInd w:val="0"/>
      <w:spacing w:beforeLines="50" w:afterLines="50" w:line="240" w:lineRule="exact"/>
      <w:jc w:val="left"/>
    </w:pPr>
    <w:rPr>
      <w:rFonts w:ascii="Verdana" w:hAnsi="Verdana"/>
      <w:sz w:val="20"/>
      <w:lang w:eastAsia="en-US"/>
    </w:rPr>
  </w:style>
  <w:style w:type="character" w:customStyle="1" w:styleId="91">
    <w:name w:val="font11"/>
    <w:basedOn w:val="28"/>
    <w:qFormat/>
    <w:uiPriority w:val="0"/>
    <w:rPr>
      <w:rFonts w:hint="eastAsia" w:ascii="宋体" w:hAnsi="宋体" w:eastAsia="宋体" w:cs="宋体"/>
      <w:color w:val="000000"/>
      <w:sz w:val="22"/>
      <w:szCs w:val="22"/>
      <w:u w:val="none"/>
    </w:rPr>
  </w:style>
  <w:style w:type="paragraph" w:customStyle="1" w:styleId="9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首行缩进"/>
    <w:basedOn w:val="1"/>
    <w:qFormat/>
    <w:uiPriority w:val="0"/>
    <w:pPr>
      <w:spacing w:line="360" w:lineRule="auto"/>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51</Pages>
  <Words>15069</Words>
  <Characters>16150</Characters>
  <Lines>267</Lines>
  <Paragraphs>75</Paragraphs>
  <TotalTime>23</TotalTime>
  <ScaleCrop>false</ScaleCrop>
  <LinksUpToDate>false</LinksUpToDate>
  <CharactersWithSpaces>16443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大森林</cp:lastModifiedBy>
  <cp:lastPrinted>2023-05-23T07:11:00Z</cp:lastPrinted>
  <dcterms:modified xsi:type="dcterms:W3CDTF">2025-01-17T09:16:37Z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C7120996DB844AE69E083BB8154AC23F_13</vt:lpwstr>
  </property>
  <property fmtid="{D5CDD505-2E9C-101B-9397-08002B2CF9AE}" pid="4" name="commondata">
    <vt:lpwstr>eyJoZGlkIjoiNjY1YWU2ZTk2MGU1NDNlZGY5MzE0NzM2ODJlNDA4NTkifQ==</vt:lpwstr>
  </property>
  <property fmtid="{D5CDD505-2E9C-101B-9397-08002B2CF9AE}" pid="5" name="KSOTemplateDocerSaveRecord">
    <vt:lpwstr>eyJoZGlkIjoiOGYwNzU3MzYzMmZkNTMxYTZkOTY4ZTQ2YzA1MjFjMzMiLCJ1c2VySWQiOiI4MjgyMzY5NjMifQ==</vt:lpwstr>
  </property>
</Properties>
</file>