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bCs/>
          <w:color w:val="auto"/>
          <w:sz w:val="56"/>
          <w:szCs w:val="56"/>
          <w:highlight w:val="none"/>
        </w:rPr>
      </w:pPr>
      <w:bookmarkStart w:id="0" w:name="_Hlt67893495"/>
      <w:bookmarkEnd w:id="0"/>
    </w:p>
    <w:p>
      <w:pPr>
        <w:jc w:val="center"/>
        <w:outlineLvl w:val="0"/>
        <w:rPr>
          <w:rFonts w:hint="eastAsia" w:ascii="仿宋" w:hAnsi="仿宋" w:eastAsia="仿宋" w:cs="仿宋"/>
          <w:b/>
          <w:color w:val="auto"/>
          <w:sz w:val="72"/>
          <w:szCs w:val="72"/>
          <w:highlight w:val="none"/>
          <w:lang w:eastAsia="zh-CN"/>
        </w:rPr>
      </w:pPr>
      <w:r>
        <w:rPr>
          <w:rFonts w:hint="eastAsia" w:ascii="仿宋" w:hAnsi="仿宋" w:eastAsia="仿宋" w:cs="仿宋"/>
          <w:b/>
          <w:bCs/>
          <w:color w:val="auto"/>
          <w:sz w:val="56"/>
          <w:szCs w:val="56"/>
          <w:highlight w:val="none"/>
          <w:lang w:eastAsia="zh-CN"/>
        </w:rPr>
        <w:t>智能制造高水平专业群工业机器人实训室项目</w:t>
      </w:r>
    </w:p>
    <w:p>
      <w:pPr>
        <w:jc w:val="center"/>
        <w:outlineLvl w:val="0"/>
        <w:rPr>
          <w:rFonts w:ascii="仿宋" w:hAnsi="仿宋" w:eastAsia="仿宋" w:cs="仿宋"/>
          <w:b/>
          <w:color w:val="auto"/>
          <w:sz w:val="72"/>
          <w:szCs w:val="72"/>
          <w:highlight w:val="none"/>
        </w:rPr>
      </w:pP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微软雅黑" w:hAnsi="微软雅黑" w:eastAsia="微软雅黑"/>
          <w:color w:val="auto"/>
          <w:sz w:val="20"/>
          <w:szCs w:val="20"/>
          <w:highlight w:val="none"/>
          <w:shd w:val="clear" w:color="auto" w:fill="FFFFFF"/>
        </w:rPr>
        <w:t xml:space="preserve"> </w:t>
      </w:r>
      <w:r>
        <w:rPr>
          <w:rFonts w:hint="eastAsia" w:ascii="仿宋" w:hAnsi="仿宋" w:eastAsia="仿宋" w:cs="仿宋"/>
          <w:b/>
          <w:color w:val="auto"/>
          <w:sz w:val="28"/>
          <w:szCs w:val="28"/>
          <w:highlight w:val="none"/>
          <w:lang w:eastAsia="zh-CN"/>
        </w:rPr>
        <w:t>ZJXSC-2024-174</w:t>
      </w:r>
    </w:p>
    <w:p>
      <w:pPr>
        <w:pStyle w:val="79"/>
        <w:rPr>
          <w:color w:val="auto"/>
          <w:highlight w:val="none"/>
        </w:rPr>
      </w:pPr>
    </w:p>
    <w:tbl>
      <w:tblPr>
        <w:tblStyle w:val="62"/>
        <w:tblW w:w="6652" w:type="dxa"/>
        <w:jc w:val="center"/>
        <w:tblLayout w:type="fixed"/>
        <w:tblCellMar>
          <w:top w:w="0" w:type="dxa"/>
          <w:left w:w="108" w:type="dxa"/>
          <w:bottom w:w="0" w:type="dxa"/>
          <w:right w:w="108" w:type="dxa"/>
        </w:tblCellMar>
      </w:tblPr>
      <w:tblGrid>
        <w:gridCol w:w="2356"/>
        <w:gridCol w:w="4296"/>
      </w:tblGrid>
      <w:tr>
        <w:trPr>
          <w:trHeight w:val="637"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4296"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绍兴技师学院</w:t>
            </w:r>
          </w:p>
        </w:tc>
      </w:tr>
      <w:tr>
        <w:tblPrEx>
          <w:tblCellMar>
            <w:top w:w="0" w:type="dxa"/>
            <w:left w:w="108" w:type="dxa"/>
            <w:bottom w:w="0" w:type="dxa"/>
            <w:right w:w="108" w:type="dxa"/>
          </w:tblCellMar>
        </w:tblPrEx>
        <w:trPr>
          <w:trHeight w:val="576"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采购代理机构</w:t>
            </w:r>
            <w:r>
              <w:rPr>
                <w:rFonts w:hint="eastAsia" w:ascii="仿宋" w:hAnsi="仿宋" w:eastAsia="仿宋" w:cs="仿宋"/>
                <w:color w:val="auto"/>
                <w:sz w:val="28"/>
                <w:szCs w:val="28"/>
                <w:highlight w:val="none"/>
              </w:rPr>
              <w:t>：</w:t>
            </w:r>
          </w:p>
        </w:tc>
        <w:tc>
          <w:tcPr>
            <w:tcW w:w="429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tblPrEx>
          <w:tblCellMar>
            <w:top w:w="0" w:type="dxa"/>
            <w:left w:w="108" w:type="dxa"/>
            <w:bottom w:w="0" w:type="dxa"/>
            <w:right w:w="108" w:type="dxa"/>
          </w:tblCellMar>
        </w:tblPrEx>
        <w:trPr>
          <w:trHeight w:val="712"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073411868"/>
              </w:rPr>
              <w:t>监督单</w:t>
            </w:r>
            <w:r>
              <w:rPr>
                <w:rFonts w:hint="eastAsia" w:ascii="仿宋" w:hAnsi="仿宋" w:eastAsia="仿宋" w:cs="仿宋"/>
                <w:color w:val="auto"/>
                <w:spacing w:val="1"/>
                <w:kern w:val="0"/>
                <w:sz w:val="28"/>
                <w:szCs w:val="28"/>
                <w:highlight w:val="none"/>
                <w:fitText w:val="1680" w:id="2073411868"/>
              </w:rPr>
              <w:t>位</w:t>
            </w:r>
            <w:r>
              <w:rPr>
                <w:rFonts w:hint="eastAsia" w:ascii="仿宋" w:hAnsi="仿宋" w:eastAsia="仿宋" w:cs="仿宋"/>
                <w:color w:val="auto"/>
                <w:sz w:val="28"/>
                <w:szCs w:val="28"/>
                <w:highlight w:val="none"/>
              </w:rPr>
              <w:t>：</w:t>
            </w:r>
          </w:p>
        </w:tc>
        <w:tc>
          <w:tcPr>
            <w:tcW w:w="429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6652"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eastAsia="zh-CN"/>
              </w:rPr>
              <w:t>八</w:t>
            </w:r>
            <w:r>
              <w:rPr>
                <w:rFonts w:hint="eastAsia" w:ascii="仿宋" w:hAnsi="仿宋" w:eastAsia="仿宋" w:cs="仿宋"/>
                <w:color w:val="auto"/>
                <w:sz w:val="28"/>
                <w:szCs w:val="28"/>
                <w:highlight w:val="none"/>
              </w:rPr>
              <w:t>月</w:t>
            </w:r>
          </w:p>
        </w:tc>
      </w:tr>
    </w:tbl>
    <w:p>
      <w:pPr>
        <w:pStyle w:val="635"/>
        <w:rPr>
          <w:rFonts w:ascii="仿宋" w:hAnsi="仿宋" w:eastAsia="仿宋" w:cs="仿宋"/>
          <w:color w:val="auto"/>
          <w:highlight w:val="none"/>
        </w:rPr>
        <w:sectPr>
          <w:headerReference r:id="rId3" w:type="default"/>
          <w:footerReference r:id="rId4" w:type="default"/>
          <w:footerReference r:id="rId5" w:type="even"/>
          <w:pgSz w:w="11906" w:h="16838"/>
          <w:pgMar w:top="1134" w:right="1134" w:bottom="1134" w:left="1417" w:header="567" w:footer="595" w:gutter="0"/>
          <w:pgNumType w:start="1"/>
          <w:cols w:space="0" w:num="1"/>
          <w:docGrid w:linePitch="312" w:charSpace="0"/>
        </w:sectPr>
      </w:pPr>
    </w:p>
    <w:p>
      <w:pPr>
        <w:spacing w:line="360" w:lineRule="auto"/>
        <w:jc w:val="center"/>
        <w:rPr>
          <w:rFonts w:ascii="仿宋" w:hAnsi="仿宋" w:eastAsia="仿宋" w:cs="仿宋"/>
          <w:color w:val="auto"/>
          <w:sz w:val="24"/>
          <w:highlight w:val="none"/>
        </w:rPr>
      </w:pPr>
    </w:p>
    <w:p>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 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2"/>
    <w:p>
      <w:pPr>
        <w:adjustRightInd/>
        <w:spacing w:line="360" w:lineRule="auto"/>
        <w:jc w:val="center"/>
        <w:outlineLvl w:val="0"/>
        <w:rPr>
          <w:rFonts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134" w:right="1134" w:bottom="1134" w:left="1417" w:header="567" w:footer="595" w:gutter="0"/>
          <w:cols w:space="0" w:num="1"/>
          <w:docGrid w:linePitch="312" w:charSpace="0"/>
        </w:sectPr>
      </w:pPr>
      <w:bookmarkStart w:id="3" w:name="_Hlt74649545"/>
      <w:bookmarkEnd w:id="3"/>
      <w:bookmarkStart w:id="4" w:name="_Hlt74707423"/>
      <w:bookmarkEnd w:id="4"/>
      <w:bookmarkStart w:id="5" w:name="_Hlt74729822"/>
      <w:bookmarkEnd w:id="5"/>
      <w:bookmarkStart w:id="6" w:name="_Hlt74728647"/>
      <w:bookmarkEnd w:id="6"/>
      <w:bookmarkStart w:id="7" w:name="_Toc91899870"/>
      <w:bookmarkStart w:id="8" w:name="第二部分"/>
      <w:bookmarkStart w:id="9" w:name="_Toc91899871"/>
    </w:p>
    <w:p>
      <w:pPr>
        <w:adjustRightInd/>
        <w:spacing w:line="500" w:lineRule="exact"/>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智能制造高水平专业群工业机器人实训室项目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"https://www.zcygov.cn/）获取（下载）招标文件，并于2024年6月27日14点00分00秒"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https://www.zcygov.cn/）获取（下载）招标文件，并于2024年</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u w:val="single"/>
          <w:lang w:val="en-US" w:eastAsia="zh-CN"/>
        </w:rPr>
        <w:t>2</w:t>
      </w:r>
      <w:r>
        <w:rPr>
          <w:rStyle w:val="76"/>
          <w:rFonts w:hint="eastAsia" w:ascii="仿宋" w:hAnsi="仿宋" w:eastAsia="仿宋" w:cs="仿宋"/>
          <w:snapToGrid/>
          <w:color w:val="auto"/>
          <w:kern w:val="2"/>
          <w:sz w:val="24"/>
          <w:szCs w:val="24"/>
          <w:highlight w:val="none"/>
        </w:rPr>
        <w:t>日9点00分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ZJXSC-2024-174</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eastAsia="zh-CN"/>
        </w:rPr>
        <w:t>智能制造高水平专业群工业机器人实训室项目</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110</w:t>
      </w:r>
      <w:r>
        <w:rPr>
          <w:rFonts w:hint="eastAsia" w:ascii="仿宋" w:hAnsi="仿宋" w:eastAsia="仿宋" w:cs="仿宋"/>
          <w:color w:val="auto"/>
          <w:sz w:val="24"/>
          <w:highlight w:val="none"/>
        </w:rPr>
        <w:t>0000.00</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110</w:t>
      </w:r>
      <w:r>
        <w:rPr>
          <w:rFonts w:hint="eastAsia" w:ascii="仿宋" w:hAnsi="仿宋" w:eastAsia="仿宋" w:cs="仿宋"/>
          <w:color w:val="auto"/>
          <w:sz w:val="24"/>
          <w:highlight w:val="none"/>
        </w:rPr>
        <w:t>0000.00</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color w:val="auto"/>
          <w:sz w:val="24"/>
          <w:highlight w:val="none"/>
        </w:rPr>
        <w:t>详见招标文件。</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智能制造高水平专业群工业机器人实训室项目</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110</w:t>
      </w:r>
      <w:r>
        <w:rPr>
          <w:rFonts w:hint="eastAsia" w:ascii="仿宋" w:hAnsi="仿宋" w:eastAsia="仿宋" w:cs="仿宋"/>
          <w:bCs/>
          <w:color w:val="auto"/>
          <w:sz w:val="24"/>
          <w:highlight w:val="none"/>
        </w:rPr>
        <w:t>0000.00</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color w:val="auto"/>
          <w:sz w:val="24"/>
          <w:highlight w:val="none"/>
        </w:rPr>
        <w:t>详见招标文件。</w:t>
      </w:r>
    </w:p>
    <w:p>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w:t>
      </w:r>
      <w:r>
        <w:rPr>
          <w:rFonts w:hint="eastAsia" w:ascii="仿宋" w:hAnsi="仿宋" w:eastAsia="仿宋" w:cs="仿宋"/>
          <w:b/>
          <w:bCs/>
          <w:color w:val="auto"/>
          <w:sz w:val="24"/>
          <w:highlight w:val="none"/>
        </w:rPr>
        <w:sym w:font="Wingdings" w:char="00FE"/>
      </w:r>
      <w:r>
        <w:rPr>
          <w:rFonts w:hint="eastAsia" w:ascii="仿宋" w:hAnsi="仿宋" w:eastAsia="仿宋" w:cs="仿宋"/>
          <w:b/>
          <w:color w:val="auto"/>
          <w:sz w:val="24"/>
          <w:highlight w:val="none"/>
        </w:rPr>
        <w:t>否。</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440" w:lineRule="exact"/>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无</w:t>
      </w:r>
    </w:p>
    <w:p>
      <w:pPr>
        <w:spacing w:line="440" w:lineRule="exact"/>
        <w:ind w:firstLine="422" w:firstLineChars="200"/>
        <w:rPr>
          <w:rFonts w:ascii="仿宋" w:hAnsi="仿宋" w:eastAsia="仿宋" w:cs="仿宋"/>
          <w:color w:val="auto"/>
          <w:sz w:val="24"/>
          <w:highlight w:val="none"/>
        </w:rPr>
      </w:pPr>
      <w:r>
        <w:rPr>
          <w:rFonts w:hint="eastAsia" w:ascii="仿宋" w:hAnsi="仿宋" w:eastAsia="仿宋" w:cs="仿宋"/>
          <w:b/>
          <w:bCs/>
          <w:color w:val="auto"/>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440" w:lineRule="exact"/>
        <w:ind w:firstLine="788" w:firstLineChars="374"/>
        <w:rPr>
          <w:rFonts w:ascii="仿宋" w:hAnsi="仿宋" w:eastAsia="仿宋" w:cs="仿宋"/>
          <w:color w:val="auto"/>
          <w:sz w:val="24"/>
          <w:highlight w:val="none"/>
          <w:u w:val="single"/>
        </w:rPr>
      </w:pPr>
      <w:r>
        <w:rPr>
          <w:rFonts w:hint="eastAsia" w:ascii="仿宋" w:hAnsi="仿宋" w:eastAsia="仿宋" w:cs="仿宋"/>
          <w:b/>
          <w:bCs/>
          <w:color w:val="auto"/>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2024年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_GB2312" w:hAnsi="仿宋_GB2312" w:eastAsia="仿宋_GB2312" w:cs="仿宋_GB2312"/>
          <w:color w:val="auto"/>
          <w:sz w:val="24"/>
          <w:highlight w:val="none"/>
        </w:rPr>
        <w:t>绍兴市越城区阳明北路692号浙江翔实建设项目管理有限公司一楼开标室，在政府采购云平台（www.zcygov.cn）上开启响应文件</w:t>
      </w:r>
      <w:r>
        <w:rPr>
          <w:rFonts w:hint="eastAsia" w:ascii="仿宋" w:hAnsi="仿宋" w:eastAsia="仿宋" w:cs="仿宋"/>
          <w:color w:val="auto"/>
          <w:sz w:val="24"/>
          <w:highlight w:val="none"/>
        </w:rPr>
        <w:t>。</w:t>
      </w:r>
    </w:p>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bookmarkStart w:id="57" w:name="_GoBack"/>
      <w:bookmarkEnd w:id="57"/>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auto"/>
          <w:sz w:val="24"/>
          <w:highlight w:val="none"/>
          <w:lang w:val="en"/>
        </w:rPr>
        <w:t>(</w:t>
      </w:r>
      <w:r>
        <w:rPr>
          <w:rFonts w:hint="eastAsia" w:ascii="仿宋" w:hAnsi="仿宋" w:eastAsia="仿宋" w:cs="仿宋"/>
          <w:color w:val="auto"/>
          <w:sz w:val="24"/>
          <w:highlight w:val="none"/>
          <w:lang w:val="en"/>
        </w:rPr>
        <w:t>政策落实根据财政部门要求更新）</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5"/>
        <w:spacing w:line="440" w:lineRule="exact"/>
        <w:ind w:left="0" w:firstLine="482" w:firstLineChars="200"/>
        <w:rPr>
          <w:rFonts w:ascii="仿宋" w:eastAsia="仿宋" w:cs="仿宋"/>
          <w:color w:val="auto"/>
          <w:sz w:val="24"/>
          <w:szCs w:val="24"/>
          <w:highlight w:val="none"/>
        </w:rPr>
      </w:pPr>
      <w:bookmarkStart w:id="11" w:name="_Toc35393806"/>
      <w:bookmarkStart w:id="12" w:name="_Toc28359096"/>
      <w:bookmarkStart w:id="13" w:name="_Toc35393637"/>
      <w:bookmarkStart w:id="14" w:name="_Toc28359019"/>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绍兴技师学院</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址：绍兴市越城区学苑路1号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项目联系人（询问）：马骥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项目联系方式（询问）：13335858728</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highlight w:val="none"/>
        </w:rPr>
        <w:t>王利红</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highlight w:val="none"/>
        </w:rPr>
        <w:t>13335858690</w:t>
      </w:r>
    </w:p>
    <w:p>
      <w:pPr>
        <w:pStyle w:val="5"/>
        <w:spacing w:line="440" w:lineRule="exact"/>
        <w:ind w:left="0" w:firstLine="482" w:firstLineChars="200"/>
        <w:rPr>
          <w:rFonts w:ascii="仿宋" w:eastAsia="仿宋" w:cs="仿宋"/>
          <w:color w:val="auto"/>
          <w:sz w:val="24"/>
          <w:highlight w:val="none"/>
        </w:rPr>
      </w:pPr>
      <w:bookmarkStart w:id="15" w:name="_Toc35393807"/>
      <w:bookmarkStart w:id="16" w:name="_Toc28359020"/>
      <w:bookmarkStart w:id="17" w:name="_Toc35393638"/>
      <w:bookmarkStart w:id="18" w:name="_Toc28359097"/>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称：浙江翔实建设项目管理有限公司</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bCs/>
          <w:color w:val="auto"/>
          <w:sz w:val="24"/>
          <w:highlight w:val="none"/>
        </w:rPr>
        <w:t>绍兴市越城区阳明北路692号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项目联系人（询问）：朱大力</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 0575-88976697</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质疑联系人：孙莉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pPr>
        <w:spacing w:line="440" w:lineRule="exact"/>
        <w:ind w:firstLine="482" w:firstLineChars="200"/>
        <w:rPr>
          <w:rFonts w:ascii="仿宋" w:hAnsi="仿宋" w:eastAsia="仿宋" w:cs="仿宋"/>
          <w:b/>
          <w:color w:val="auto"/>
          <w:sz w:val="24"/>
          <w:highlight w:val="none"/>
        </w:rPr>
      </w:pPr>
      <w:bookmarkStart w:id="19" w:name="_Toc35393639"/>
      <w:bookmarkStart w:id="20" w:name="_Toc28359098"/>
      <w:bookmarkStart w:id="21" w:name="_Toc28359021"/>
      <w:bookmarkStart w:id="22"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名称：绍兴市财政局</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传真：0575-85209697</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联系人：张婷婷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adjustRightInd/>
        <w:spacing w:line="500" w:lineRule="exact"/>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500" w:lineRule="exact"/>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45"/>
        <w:gridCol w:w="7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736"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736"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736"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736"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736"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736"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632" w:firstLineChars="300"/>
              <w:rPr>
                <w:rFonts w:ascii="仿宋" w:hAnsi="仿宋" w:eastAsia="仿宋" w:cs="仿宋"/>
                <w:b/>
                <w:color w:val="auto"/>
                <w:sz w:val="24"/>
                <w:highlight w:val="none"/>
              </w:rPr>
            </w:pPr>
            <w:r>
              <w:rPr>
                <w:rFonts w:hint="eastAsia" w:ascii="仿宋" w:hAnsi="仿宋" w:eastAsia="仿宋" w:cs="仿宋"/>
                <w:b/>
                <w:bCs/>
                <w:color w:val="auto"/>
                <w:highlight w:val="none"/>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736"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736"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b/>
                <w:bCs/>
                <w:color w:val="auto"/>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736"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b/>
                <w:bCs/>
                <w:color w:val="auto"/>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736"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pPr>
              <w:spacing w:line="440" w:lineRule="exact"/>
              <w:rPr>
                <w:rFonts w:ascii="仿宋" w:hAnsi="仿宋" w:eastAsia="仿宋" w:cs="仿宋"/>
                <w:b/>
                <w:color w:val="auto"/>
                <w:sz w:val="24"/>
                <w:highlight w:val="none"/>
              </w:rPr>
            </w:pPr>
            <w:r>
              <w:rPr>
                <w:rFonts w:hint="eastAsia" w:ascii="仿宋" w:hAnsi="仿宋" w:eastAsia="仿宋" w:cs="仿宋"/>
                <w:b/>
                <w:bCs/>
                <w:color w:val="auto"/>
                <w:highlight w:val="none"/>
              </w:rPr>
              <w:sym w:font="Wingdings" w:char="00FE"/>
            </w:r>
            <w:r>
              <w:rPr>
                <w:rFonts w:hint="eastAsia" w:ascii="仿宋" w:hAnsi="仿宋" w:eastAsia="仿宋" w:cs="仿宋"/>
                <w:color w:val="auto"/>
                <w:sz w:val="24"/>
                <w:highlight w:val="none"/>
              </w:rPr>
              <w:t>B有方案讲解演示：</w:t>
            </w:r>
          </w:p>
          <w:p>
            <w:pPr>
              <w:keepNext w:val="0"/>
              <w:keepLines w:val="0"/>
              <w:pageBreakBefore w:val="0"/>
              <w:widowControl/>
              <w:kinsoku/>
              <w:wordWrap/>
              <w:overflowPunct/>
              <w:topLinePunct w:val="0"/>
              <w:bidi w:val="0"/>
              <w:snapToGrid/>
              <w:spacing w:line="360" w:lineRule="exact"/>
              <w:ind w:left="0" w:leftChars="0" w:right="0" w:rightChars="0" w:firstLine="0" w:firstLineChars="0"/>
              <w:jc w:val="left"/>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lang w:val="zh-CN"/>
              </w:rPr>
              <w:t>（1）</w:t>
            </w:r>
            <w:r>
              <w:rPr>
                <w:rFonts w:hint="eastAsia" w:ascii="仿宋" w:hAnsi="仿宋" w:eastAsia="仿宋" w:cs="仿宋"/>
                <w:color w:val="auto"/>
                <w:sz w:val="24"/>
                <w:highlight w:val="none"/>
              </w:rPr>
              <w:t>本项演示采用明标形式，演示内容及U盘上注明单位名称、所投项目，演示内容放置到U盘中，U盘先密封至独立的信封，且在信封上标明“XXXXXX项目XX标项演示”字样，</w:t>
            </w:r>
            <w:r>
              <w:rPr>
                <w:rFonts w:hint="eastAsia" w:ascii="仿宋" w:hAnsi="仿宋" w:eastAsia="仿宋" w:cs="仿宋"/>
                <w:color w:val="auto"/>
                <w:sz w:val="24"/>
                <w:highlight w:val="none"/>
                <w:lang w:eastAsia="zh-CN"/>
              </w:rPr>
              <w:t>注明</w:t>
            </w:r>
            <w:r>
              <w:rPr>
                <w:rFonts w:hint="eastAsia" w:ascii="仿宋" w:hAnsi="仿宋" w:eastAsia="仿宋" w:cs="仿宋"/>
                <w:b/>
                <w:bCs/>
                <w:color w:val="auto"/>
                <w:sz w:val="24"/>
                <w:highlight w:val="none"/>
                <w:lang w:val="zh-CN"/>
              </w:rPr>
              <w:t>联系人姓名及手机号码，</w:t>
            </w:r>
            <w:r>
              <w:rPr>
                <w:rFonts w:hint="eastAsia" w:ascii="仿宋" w:hAnsi="仿宋" w:eastAsia="仿宋" w:cs="仿宋"/>
                <w:color w:val="auto"/>
                <w:sz w:val="24"/>
                <w:highlight w:val="none"/>
              </w:rPr>
              <w:t>密封口应加盖投标人公章。</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（2）递交方式:把密封的U盘邮寄至代理公司,需在投标截止时间前寄达(建议采用 EMS、顺丰快递)。</w:t>
            </w:r>
            <w:r>
              <w:rPr>
                <w:rFonts w:hint="eastAsia" w:ascii="仿宋" w:hAnsi="仿宋" w:eastAsia="仿宋" w:cs="仿宋"/>
                <w:color w:val="auto"/>
                <w:sz w:val="24"/>
                <w:highlight w:val="none"/>
                <w:lang w:eastAsia="zh-CN"/>
              </w:rPr>
              <w:t>邮寄地址：</w:t>
            </w:r>
            <w:r>
              <w:rPr>
                <w:rFonts w:hint="eastAsia" w:ascii="仿宋" w:hAnsi="仿宋" w:eastAsia="仿宋" w:cs="仿宋"/>
                <w:bCs/>
                <w:color w:val="auto"/>
                <w:sz w:val="24"/>
                <w:highlight w:val="none"/>
                <w:u w:val="single"/>
              </w:rPr>
              <w:t>绍兴市越城区阳明北路692号</w:t>
            </w:r>
            <w:r>
              <w:rPr>
                <w:rFonts w:hint="eastAsia" w:ascii="仿宋" w:hAnsi="仿宋" w:eastAsia="仿宋" w:cs="仿宋"/>
                <w:color w:val="auto"/>
                <w:sz w:val="24"/>
                <w:highlight w:val="none"/>
                <w:u w:val="single"/>
              </w:rPr>
              <w:t>浙江翔实建设项目管理有限公司一楼</w:t>
            </w:r>
            <w:r>
              <w:rPr>
                <w:rFonts w:hint="eastAsia" w:ascii="仿宋" w:hAnsi="仿宋" w:eastAsia="仿宋" w:cs="仿宋"/>
                <w:color w:val="auto"/>
                <w:sz w:val="24"/>
                <w:highlight w:val="none"/>
                <w:u w:val="single"/>
                <w:lang w:eastAsia="zh-CN"/>
              </w:rPr>
              <w:t>政府采购部，联系人朱大力，联系号码</w:t>
            </w:r>
            <w:r>
              <w:rPr>
                <w:rFonts w:hint="eastAsia" w:ascii="仿宋" w:hAnsi="仿宋" w:eastAsia="仿宋" w:cs="仿宋"/>
                <w:color w:val="auto"/>
                <w:sz w:val="24"/>
                <w:highlight w:val="none"/>
                <w:u w:val="single"/>
                <w:lang w:val="en-US" w:eastAsia="zh-CN"/>
              </w:rPr>
              <w:t>13588575683</w:t>
            </w:r>
            <w:r>
              <w:rPr>
                <w:rFonts w:hint="eastAsia" w:ascii="仿宋" w:hAnsi="仿宋" w:eastAsia="仿宋" w:cs="仿宋"/>
                <w:color w:val="auto"/>
                <w:sz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645" w:type="dxa"/>
            <w:vAlign w:val="center"/>
          </w:tcPr>
          <w:p>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091"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b/>
                <w:bCs/>
                <w:color w:val="auto"/>
                <w:highlight w:val="none"/>
              </w:rPr>
              <w:sym w:font="Wingdings" w:char="00FE"/>
            </w: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4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091"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b/>
                <w:bCs/>
                <w:color w:val="auto"/>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工业机器人云示教器平台</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45" w:type="dxa"/>
            <w:vAlign w:val="center"/>
          </w:tcPr>
          <w:p>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091" w:type="dxa"/>
            <w:vAlign w:val="center"/>
          </w:tcPr>
          <w:p>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智能制造高水平专业群工业机器人实训室项目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工业</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4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091"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1645" w:type="dxa"/>
            <w:vMerge w:val="continue"/>
            <w:vAlign w:val="center"/>
          </w:tcPr>
          <w:p>
            <w:pPr>
              <w:snapToGrid w:val="0"/>
              <w:spacing w:line="440" w:lineRule="exact"/>
              <w:rPr>
                <w:rFonts w:ascii="仿宋" w:hAnsi="仿宋" w:eastAsia="仿宋" w:cs="仿宋"/>
                <w:b/>
                <w:color w:val="auto"/>
                <w:sz w:val="24"/>
                <w:highlight w:val="none"/>
              </w:rPr>
            </w:pPr>
          </w:p>
        </w:tc>
        <w:tc>
          <w:tcPr>
            <w:tcW w:w="7091"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1645" w:type="dxa"/>
            <w:vMerge w:val="continue"/>
            <w:vAlign w:val="center"/>
          </w:tcPr>
          <w:p>
            <w:pPr>
              <w:snapToGrid w:val="0"/>
              <w:spacing w:line="440" w:lineRule="exact"/>
              <w:rPr>
                <w:rFonts w:ascii="仿宋" w:hAnsi="仿宋" w:eastAsia="仿宋" w:cs="仿宋"/>
                <w:b/>
                <w:color w:val="auto"/>
                <w:sz w:val="24"/>
                <w:highlight w:val="none"/>
              </w:rPr>
            </w:pPr>
          </w:p>
        </w:tc>
        <w:tc>
          <w:tcPr>
            <w:tcW w:w="7091"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736"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736"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736"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736"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736"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736"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736" w:type="dxa"/>
            <w:gridSpan w:val="2"/>
            <w:vAlign w:val="center"/>
          </w:tcPr>
          <w:p>
            <w:pPr>
              <w:spacing w:line="440" w:lineRule="exact"/>
              <w:rPr>
                <w:rFonts w:ascii="仿宋" w:hAnsi="仿宋" w:eastAsia="仿宋" w:cs="仿宋"/>
                <w:b/>
                <w:color w:val="auto"/>
                <w:kern w:val="0"/>
                <w:sz w:val="24"/>
                <w:szCs w:val="21"/>
                <w:highlight w:val="none"/>
              </w:rPr>
            </w:pPr>
            <w:r>
              <w:rPr>
                <w:rFonts w:hint="eastAsia" w:ascii="仿宋" w:hAnsi="仿宋" w:eastAsia="仿宋" w:cs="仿宋"/>
                <w:b/>
                <w:color w:val="auto"/>
                <w:kern w:val="0"/>
                <w:sz w:val="24"/>
                <w:szCs w:val="21"/>
                <w:highlight w:val="none"/>
              </w:rPr>
              <w:t>本项目招标代理费由中标单位承担：</w:t>
            </w:r>
          </w:p>
          <w:p>
            <w:pPr>
              <w:spacing w:line="440" w:lineRule="exact"/>
              <w:rPr>
                <w:rFonts w:ascii="仿宋" w:hAnsi="仿宋" w:eastAsia="仿宋" w:cs="仿宋"/>
                <w:b/>
                <w:color w:val="auto"/>
                <w:kern w:val="0"/>
                <w:sz w:val="24"/>
                <w:szCs w:val="21"/>
                <w:highlight w:val="none"/>
              </w:rPr>
            </w:pPr>
            <w:r>
              <w:rPr>
                <w:rFonts w:hint="eastAsia" w:ascii="仿宋" w:hAnsi="仿宋" w:eastAsia="仿宋" w:cs="仿宋"/>
                <w:color w:val="auto"/>
                <w:kern w:val="0"/>
                <w:sz w:val="24"/>
                <w:szCs w:val="21"/>
                <w:highlight w:val="none"/>
              </w:rPr>
              <w:t>①招标代理服务费用按下列货物招标差额定率累进法计算方式计取后由中标人按</w:t>
            </w:r>
            <w:r>
              <w:rPr>
                <w:rFonts w:hint="eastAsia" w:ascii="仿宋" w:hAnsi="仿宋" w:eastAsia="仿宋" w:cs="仿宋"/>
                <w:color w:val="auto"/>
                <w:kern w:val="0"/>
                <w:sz w:val="24"/>
                <w:szCs w:val="21"/>
                <w:highlight w:val="none"/>
                <w:lang w:val="en-US" w:eastAsia="zh-CN"/>
              </w:rPr>
              <w:t>10</w:t>
            </w:r>
            <w:r>
              <w:rPr>
                <w:rFonts w:hint="eastAsia" w:ascii="仿宋" w:hAnsi="仿宋" w:eastAsia="仿宋" w:cs="仿宋"/>
                <w:color w:val="auto"/>
                <w:kern w:val="0"/>
                <w:sz w:val="24"/>
                <w:szCs w:val="21"/>
                <w:highlight w:val="none"/>
              </w:rPr>
              <w:t>0%支付。</w:t>
            </w:r>
          </w:p>
          <w:tbl>
            <w:tblPr>
              <w:tblStyle w:val="62"/>
              <w:tblW w:w="7568" w:type="dxa"/>
              <w:tblInd w:w="9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168"/>
              <w:gridCol w:w="1822"/>
              <w:gridCol w:w="1644"/>
              <w:gridCol w:w="19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08" w:hRule="atLeast"/>
              </w:trPr>
              <w:tc>
                <w:tcPr>
                  <w:tcW w:w="216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ind w:firstLine="1080"/>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4"/>
                      <w:highlight w:val="none"/>
                    </w:rPr>
                    <w:t> </w:t>
                  </w:r>
                  <w:r>
                    <w:rPr>
                      <w:rFonts w:hint="eastAsia" w:ascii="仿宋" w:hAnsi="仿宋" w:eastAsia="仿宋" w:cs="仿宋"/>
                      <w:color w:val="auto"/>
                      <w:kern w:val="0"/>
                      <w:sz w:val="20"/>
                      <w:szCs w:val="20"/>
                      <w:highlight w:val="none"/>
                    </w:rPr>
                    <w:t>服务类型</w:t>
                  </w:r>
                </w:p>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　　   费率　</w:t>
                  </w:r>
                </w:p>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中标金额（万元）</w:t>
                  </w:r>
                </w:p>
              </w:tc>
              <w:tc>
                <w:tcPr>
                  <w:tcW w:w="182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货物招标</w:t>
                  </w:r>
                </w:p>
              </w:tc>
              <w:tc>
                <w:tcPr>
                  <w:tcW w:w="164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服务招标</w:t>
                  </w:r>
                </w:p>
              </w:tc>
              <w:tc>
                <w:tcPr>
                  <w:tcW w:w="19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工程招标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216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100以下</w:t>
                  </w:r>
                </w:p>
              </w:tc>
              <w:tc>
                <w:tcPr>
                  <w:tcW w:w="182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1.5%</w:t>
                  </w:r>
                </w:p>
              </w:tc>
              <w:tc>
                <w:tcPr>
                  <w:tcW w:w="164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1.5%</w:t>
                  </w:r>
                </w:p>
              </w:tc>
              <w:tc>
                <w:tcPr>
                  <w:tcW w:w="19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216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100-500</w:t>
                  </w:r>
                </w:p>
              </w:tc>
              <w:tc>
                <w:tcPr>
                  <w:tcW w:w="182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1.1%</w:t>
                  </w:r>
                </w:p>
              </w:tc>
              <w:tc>
                <w:tcPr>
                  <w:tcW w:w="164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0.8%</w:t>
                  </w:r>
                </w:p>
              </w:tc>
              <w:tc>
                <w:tcPr>
                  <w:tcW w:w="19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216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500-1000</w:t>
                  </w:r>
                </w:p>
              </w:tc>
              <w:tc>
                <w:tcPr>
                  <w:tcW w:w="182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0.8%</w:t>
                  </w:r>
                </w:p>
              </w:tc>
              <w:tc>
                <w:tcPr>
                  <w:tcW w:w="164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0.45%</w:t>
                  </w:r>
                </w:p>
              </w:tc>
              <w:tc>
                <w:tcPr>
                  <w:tcW w:w="19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216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1000-5000</w:t>
                  </w:r>
                </w:p>
              </w:tc>
              <w:tc>
                <w:tcPr>
                  <w:tcW w:w="182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0.5%</w:t>
                  </w:r>
                </w:p>
              </w:tc>
              <w:tc>
                <w:tcPr>
                  <w:tcW w:w="164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0.25%</w:t>
                  </w:r>
                </w:p>
              </w:tc>
              <w:tc>
                <w:tcPr>
                  <w:tcW w:w="19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widowControl/>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0.35%</w:t>
                  </w:r>
                </w:p>
              </w:tc>
            </w:tr>
          </w:tbl>
          <w:p>
            <w:pPr>
              <w:spacing w:line="440" w:lineRule="exact"/>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②代理服务费的交纳方式：</w:t>
            </w:r>
          </w:p>
          <w:p>
            <w:pPr>
              <w:spacing w:line="440" w:lineRule="exact"/>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用银行支票、汇票、电汇、现金等付款方式直接交纳代理服务费。</w:t>
            </w:r>
          </w:p>
          <w:p>
            <w:pPr>
              <w:spacing w:line="440" w:lineRule="exact"/>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 xml:space="preserve">公司名称：浙江翔实建设项目管理有限公司 </w:t>
            </w:r>
          </w:p>
          <w:p>
            <w:pPr>
              <w:spacing w:line="440" w:lineRule="exact"/>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开户行：建行绍兴越城支行</w:t>
            </w:r>
          </w:p>
          <w:p>
            <w:pPr>
              <w:spacing w:line="440" w:lineRule="exact"/>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账  号：33001653549053003519</w:t>
            </w:r>
          </w:p>
          <w:p>
            <w:pPr>
              <w:spacing w:line="440" w:lineRule="exact"/>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③结算方式及时间为:中标通知书发出之日起7日内由中标人一次性向采购代理机构付清。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606"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606"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auto"/>
          <w:sz w:val="32"/>
          <w:szCs w:val="20"/>
          <w:highlight w:val="none"/>
        </w:rPr>
      </w:pPr>
    </w:p>
    <w:p>
      <w:pPr>
        <w:pStyle w:val="79"/>
        <w:rPr>
          <w:color w:val="auto"/>
          <w:highlight w:val="none"/>
        </w:rPr>
      </w:pPr>
    </w:p>
    <w:p>
      <w:pPr>
        <w:pStyle w:val="80"/>
        <w:rPr>
          <w:rFonts w:eastAsia="仿宋"/>
          <w:color w:val="auto"/>
          <w:highlight w:val="none"/>
        </w:rPr>
      </w:pPr>
    </w:p>
    <w:p>
      <w:pPr>
        <w:rPr>
          <w:color w:val="auto"/>
          <w:highlight w:val="none"/>
        </w:rPr>
      </w:pPr>
    </w:p>
    <w:p>
      <w:pPr>
        <w:pStyle w:val="79"/>
        <w:rPr>
          <w:color w:val="auto"/>
          <w:highlight w:val="none"/>
        </w:rPr>
      </w:pPr>
    </w:p>
    <w:bookmarkEnd w:id="9"/>
    <w:p>
      <w:pPr>
        <w:adjustRightInd/>
        <w:spacing w:line="360" w:lineRule="auto"/>
        <w:jc w:val="center"/>
        <w:outlineLvl w:val="0"/>
        <w:rPr>
          <w:rFonts w:hint="eastAsia" w:ascii="仿宋" w:hAnsi="仿宋" w:eastAsia="仿宋" w:cs="仿宋"/>
          <w:b/>
          <w:color w:val="auto"/>
          <w:sz w:val="32"/>
          <w:szCs w:val="32"/>
          <w:highlight w:val="none"/>
        </w:rPr>
      </w:pPr>
      <w:bookmarkStart w:id="23" w:name="_Hlt75236290"/>
      <w:bookmarkEnd w:id="23"/>
      <w:bookmarkStart w:id="24" w:name="_Hlt68072998"/>
      <w:bookmarkEnd w:id="24"/>
      <w:bookmarkStart w:id="25" w:name="_Hlt74714665"/>
      <w:bookmarkEnd w:id="25"/>
      <w:bookmarkStart w:id="26" w:name="_Hlt68057669"/>
      <w:bookmarkEnd w:id="26"/>
      <w:bookmarkStart w:id="27" w:name="_Hlt75236011"/>
      <w:bookmarkEnd w:id="27"/>
      <w:bookmarkStart w:id="28" w:name="_Hlt74707468"/>
      <w:bookmarkEnd w:id="28"/>
      <w:bookmarkStart w:id="29" w:name="_Hlt68073093"/>
      <w:bookmarkEnd w:id="29"/>
      <w:bookmarkStart w:id="30" w:name="_Hlt75236101"/>
      <w:bookmarkEnd w:id="30"/>
      <w:bookmarkStart w:id="31" w:name="_Hlt68403820"/>
      <w:bookmarkEnd w:id="31"/>
      <w:bookmarkStart w:id="32" w:name="_Hlt74730295"/>
      <w:bookmarkEnd w:id="32"/>
      <w:bookmarkStart w:id="33" w:name="_Hlt74729768"/>
      <w:bookmarkEnd w:id="33"/>
      <w:bookmarkStart w:id="34" w:name="_Hlt68072990"/>
      <w:bookmarkEnd w:id="34"/>
      <w:bookmarkStart w:id="35" w:name="_Toc164416483"/>
      <w:bookmarkStart w:id="36" w:name="第三部分"/>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
      </w:pPr>
      <w:r>
        <w:rPr>
          <w:rFonts w:hint="eastAsia"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30"/>
        <w:snapToGrid w:val="0"/>
        <w:spacing w:before="0" w:line="440" w:lineRule="exact"/>
        <w:ind w:firstLine="640"/>
        <w:rPr>
          <w:rFonts w:ascii="仿宋" w:hAnsi="仿宋" w:eastAsia="仿宋" w:cs="仿宋"/>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3"/>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3" w:firstLineChars="300"/>
        <w:rPr>
          <w:rFonts w:ascii="仿宋" w:hAnsi="仿宋" w:eastAsia="仿宋" w:cs="仿宋"/>
          <w:b/>
          <w:bCs/>
          <w:color w:val="auto"/>
          <w:sz w:val="24"/>
          <w:highlight w:val="none"/>
        </w:rPr>
      </w:pPr>
      <w:r>
        <w:rPr>
          <w:rFonts w:hint="eastAsia" w:ascii="仿宋" w:hAnsi="仿宋" w:eastAsia="仿宋" w:cs="仿宋"/>
          <w:b/>
          <w:bCs/>
          <w:color w:val="auto"/>
          <w:sz w:val="24"/>
          <w:highlight w:val="none"/>
        </w:rPr>
        <w:t>2.1.4落实政府采购政策需满足的资格要求（如果有)；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color w:val="auto"/>
          <w:highlight w:val="none"/>
          <w:lang w:val="zh-CN"/>
        </w:rPr>
      </w:pPr>
      <w:r>
        <w:rPr>
          <w:rFonts w:hint="eastAsia" w:ascii="仿宋" w:hAnsi="仿宋" w:eastAsia="仿宋" w:cs="仿宋"/>
          <w:color w:val="auto"/>
          <w:sz w:val="24"/>
          <w:highlight w:val="none"/>
        </w:rPr>
        <w:t>2.2.18投标人需要说明的其他文件和说明（格式自拟）。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723" w:firstLineChars="300"/>
        <w:rPr>
          <w:rFonts w:ascii="仿宋" w:hAnsi="仿宋" w:eastAsia="仿宋" w:cs="仿宋"/>
          <w:b/>
          <w:bCs/>
          <w:color w:val="auto"/>
          <w:sz w:val="24"/>
          <w:highlight w:val="none"/>
        </w:rPr>
      </w:pPr>
      <w:r>
        <w:rPr>
          <w:rFonts w:hint="eastAsia" w:ascii="仿宋" w:hAnsi="仿宋" w:eastAsia="仿宋" w:cs="仿宋"/>
          <w:b/>
          <w:bCs/>
          <w:color w:val="auto"/>
          <w:sz w:val="24"/>
          <w:highlight w:val="none"/>
        </w:rPr>
        <w:t>2.3.2中小企业声明函（如果有）。</w:t>
      </w:r>
    </w:p>
    <w:p>
      <w:pP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（如果有）</w:t>
      </w:r>
    </w:p>
    <w:p>
      <w:pPr>
        <w:snapToGrid w:val="0"/>
        <w:spacing w:line="440" w:lineRule="exact"/>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pPr>
        <w:pStyle w:val="130"/>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pStyle w:val="130"/>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7"/>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highlight w:val="none"/>
        </w:rPr>
      </w:pPr>
    </w:p>
    <w:bookmarkEnd w:id="37"/>
    <w:p>
      <w:pPr>
        <w:pStyle w:val="34"/>
        <w:spacing w:line="360" w:lineRule="auto"/>
        <w:ind w:firstLine="726"/>
        <w:jc w:val="center"/>
        <w:rPr>
          <w:rFonts w:ascii="仿宋" w:hAnsi="仿宋" w:eastAsia="仿宋" w:cs="仿宋"/>
          <w:b/>
          <w:color w:val="auto"/>
          <w:sz w:val="32"/>
          <w:szCs w:val="32"/>
          <w:highlight w:val="none"/>
        </w:rPr>
      </w:pPr>
      <w:bookmarkStart w:id="38" w:name="_Toc81372776"/>
      <w:bookmarkStart w:id="39" w:name="_Toc84325929"/>
      <w:bookmarkStart w:id="40" w:name="_Toc81372953"/>
      <w:r>
        <w:rPr>
          <w:rFonts w:hint="eastAsia" w:ascii="仿宋" w:hAnsi="仿宋" w:eastAsia="仿宋" w:cs="仿宋"/>
          <w:b/>
          <w:color w:val="auto"/>
          <w:sz w:val="32"/>
          <w:szCs w:val="32"/>
          <w:highlight w:val="none"/>
        </w:rPr>
        <w:t>五、授予合同</w:t>
      </w:r>
    </w:p>
    <w:bookmarkEnd w:id="38"/>
    <w:bookmarkEnd w:id="39"/>
    <w:bookmarkEnd w:id="40"/>
    <w:p>
      <w:pPr>
        <w:pStyle w:val="17"/>
        <w:tabs>
          <w:tab w:val="clear" w:pos="390"/>
          <w:tab w:val="clear" w:pos="454"/>
        </w:tabs>
        <w:spacing w:after="12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4.1采购人在签订合同时，按规定可向中标人收取中标额的1%的履约保证金，采购人不得以供应商事先提交履约保证金作为签订合同的条件。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pStyle w:val="79"/>
        <w:rPr>
          <w:color w:val="auto"/>
          <w:highlight w:val="none"/>
        </w:rPr>
      </w:pPr>
    </w:p>
    <w:p>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pPr>
        <w:pStyle w:val="25"/>
        <w:spacing w:line="440" w:lineRule="exact"/>
        <w:ind w:firstLine="480" w:firstLineChars="200"/>
        <w:rPr>
          <w:rFonts w:ascii="仿宋" w:hAnsi="仿宋" w:eastAsia="仿宋" w:cs="仿宋"/>
          <w:color w:val="auto"/>
          <w:kern w:val="0"/>
          <w:highlight w:val="none"/>
        </w:rPr>
        <w:sectPr>
          <w:footerReference r:id="rId12" w:type="first"/>
          <w:footerReference r:id="rId11" w:type="default"/>
          <w:pgSz w:w="11906" w:h="16838"/>
          <w:pgMar w:top="1134" w:right="1134" w:bottom="1134" w:left="1417" w:header="567" w:footer="595" w:gutter="0"/>
          <w:cols w:space="0" w:num="1"/>
          <w:docGrid w:linePitch="312" w:charSpace="0"/>
        </w:sectPr>
      </w:pPr>
    </w:p>
    <w:bookmarkEnd w:id="35"/>
    <w:bookmarkEnd w:id="36"/>
    <w:p>
      <w:pPr>
        <w:spacing w:line="360" w:lineRule="auto"/>
        <w:jc w:val="center"/>
        <w:outlineLvl w:val="0"/>
        <w:rPr>
          <w:rFonts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pPr>
        <w:spacing w:line="360" w:lineRule="auto"/>
        <w:ind w:left="481" w:leftChars="1" w:hanging="479" w:hangingChars="199"/>
        <w:outlineLvl w:val="0"/>
        <w:rPr>
          <w:rFonts w:ascii="仿宋" w:hAnsi="仿宋" w:eastAsia="仿宋" w:cs="仿宋"/>
          <w:b/>
          <w:color w:val="auto"/>
          <w:sz w:val="24"/>
          <w:highlight w:val="none"/>
        </w:rPr>
      </w:pPr>
      <w:r>
        <w:rPr>
          <w:rFonts w:hint="eastAsia" w:ascii="仿宋" w:hAnsi="仿宋" w:eastAsia="仿宋" w:cs="仿宋"/>
          <w:b/>
          <w:bCs/>
          <w:color w:val="auto"/>
          <w:sz w:val="24"/>
          <w:highlight w:val="none"/>
        </w:rPr>
        <w:t>1.1招标设备清单：</w:t>
      </w:r>
    </w:p>
    <w:tbl>
      <w:tblPr>
        <w:tblStyle w:val="62"/>
        <w:tblW w:w="10182"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031"/>
        <w:gridCol w:w="809"/>
        <w:gridCol w:w="862"/>
        <w:gridCol w:w="1325"/>
        <w:gridCol w:w="1325"/>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trPr>
        <w:tc>
          <w:tcPr>
            <w:tcW w:w="965" w:type="dxa"/>
            <w:vAlign w:val="center"/>
          </w:tcPr>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3031" w:type="dxa"/>
            <w:vAlign w:val="center"/>
          </w:tcPr>
          <w:p>
            <w:pPr>
              <w:jc w:val="center"/>
              <w:rPr>
                <w:rFonts w:ascii="仿宋" w:hAnsi="仿宋" w:eastAsia="仿宋" w:cs="仿宋"/>
                <w:b/>
                <w:bCs/>
                <w:color w:val="auto"/>
                <w:sz w:val="24"/>
                <w:szCs w:val="24"/>
                <w:highlight w:val="none"/>
              </w:rPr>
            </w:pPr>
            <w:r>
              <w:rPr>
                <w:rStyle w:val="312"/>
                <w:rFonts w:hint="default" w:ascii="仿宋" w:hAnsi="仿宋" w:eastAsia="仿宋" w:cs="仿宋"/>
                <w:b/>
                <w:bCs/>
                <w:color w:val="auto"/>
                <w:sz w:val="24"/>
                <w:szCs w:val="24"/>
                <w:highlight w:val="none"/>
                <w:lang w:bidi="ar"/>
              </w:rPr>
              <w:t>名</w:t>
            </w:r>
            <w:r>
              <w:rPr>
                <w:rStyle w:val="312"/>
                <w:rFonts w:hint="eastAsia" w:ascii="仿宋" w:hAnsi="仿宋" w:eastAsia="仿宋" w:cs="仿宋"/>
                <w:b/>
                <w:bCs/>
                <w:color w:val="auto"/>
                <w:sz w:val="24"/>
                <w:szCs w:val="24"/>
                <w:highlight w:val="none"/>
                <w:lang w:val="en-US" w:bidi="ar"/>
              </w:rPr>
              <w:t xml:space="preserve"> </w:t>
            </w:r>
            <w:r>
              <w:rPr>
                <w:rStyle w:val="312"/>
                <w:rFonts w:hint="default" w:ascii="仿宋" w:hAnsi="仿宋" w:eastAsia="仿宋" w:cs="仿宋"/>
                <w:b/>
                <w:bCs/>
                <w:color w:val="auto"/>
                <w:sz w:val="24"/>
                <w:szCs w:val="24"/>
                <w:highlight w:val="none"/>
                <w:lang w:bidi="ar"/>
              </w:rPr>
              <w:t>称</w:t>
            </w:r>
          </w:p>
        </w:tc>
        <w:tc>
          <w:tcPr>
            <w:tcW w:w="809" w:type="dxa"/>
            <w:vAlign w:val="center"/>
          </w:tcPr>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数量</w:t>
            </w:r>
          </w:p>
        </w:tc>
        <w:tc>
          <w:tcPr>
            <w:tcW w:w="862" w:type="dxa"/>
            <w:vAlign w:val="center"/>
          </w:tcPr>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单位</w:t>
            </w:r>
          </w:p>
        </w:tc>
        <w:tc>
          <w:tcPr>
            <w:tcW w:w="1325" w:type="dxa"/>
            <w:vAlign w:val="center"/>
          </w:tcPr>
          <w:p>
            <w:pPr>
              <w:ind w:left="0" w:leftChars="0" w:firstLine="0" w:firstLineChars="0"/>
              <w:jc w:val="center"/>
              <w:rPr>
                <w:rFonts w:hint="default" w:ascii="仿宋" w:hAnsi="仿宋" w:eastAsia="仿宋" w:cs="仿宋"/>
                <w:b/>
                <w:bCs/>
                <w:color w:val="auto"/>
                <w:sz w:val="24"/>
                <w:szCs w:val="24"/>
                <w:highlight w:val="none"/>
              </w:rPr>
            </w:pPr>
            <w:r>
              <w:rPr>
                <w:rFonts w:hint="default" w:ascii="仿宋" w:hAnsi="仿宋" w:eastAsia="仿宋" w:cs="仿宋"/>
                <w:b/>
                <w:bCs/>
                <w:color w:val="auto"/>
                <w:sz w:val="24"/>
                <w:szCs w:val="24"/>
                <w:highlight w:val="none"/>
              </w:rPr>
              <w:t>预算单价</w:t>
            </w:r>
          </w:p>
        </w:tc>
        <w:tc>
          <w:tcPr>
            <w:tcW w:w="1325" w:type="dxa"/>
            <w:vAlign w:val="center"/>
          </w:tcPr>
          <w:p>
            <w:pPr>
              <w:ind w:left="0" w:leftChars="0" w:firstLine="0" w:firstLineChars="0"/>
              <w:jc w:val="center"/>
              <w:rPr>
                <w:rFonts w:hint="default" w:ascii="仿宋" w:hAnsi="仿宋" w:eastAsia="仿宋" w:cs="仿宋"/>
                <w:b/>
                <w:bCs/>
                <w:color w:val="auto"/>
                <w:sz w:val="24"/>
                <w:szCs w:val="24"/>
                <w:highlight w:val="none"/>
              </w:rPr>
            </w:pPr>
            <w:r>
              <w:rPr>
                <w:rFonts w:hint="default" w:ascii="仿宋" w:hAnsi="仿宋" w:eastAsia="仿宋" w:cs="仿宋"/>
                <w:b/>
                <w:bCs/>
                <w:color w:val="auto"/>
                <w:sz w:val="24"/>
                <w:szCs w:val="24"/>
                <w:highlight w:val="none"/>
              </w:rPr>
              <w:t>预算总价</w:t>
            </w:r>
          </w:p>
        </w:tc>
        <w:tc>
          <w:tcPr>
            <w:tcW w:w="1865" w:type="dxa"/>
            <w:vAlign w:val="center"/>
          </w:tcPr>
          <w:p>
            <w:pPr>
              <w:ind w:left="0" w:leftChars="0" w:firstLine="0" w:firstLineChars="0"/>
              <w:jc w:val="center"/>
              <w:rPr>
                <w:rFonts w:hint="default" w:ascii="仿宋" w:hAnsi="仿宋" w:eastAsia="仿宋" w:cs="仿宋"/>
                <w:b/>
                <w:bCs/>
                <w:color w:val="auto"/>
                <w:sz w:val="24"/>
                <w:szCs w:val="24"/>
                <w:highlight w:val="none"/>
              </w:rPr>
            </w:pPr>
            <w:r>
              <w:rPr>
                <w:rFonts w:hint="default" w:ascii="仿宋" w:hAnsi="仿宋" w:eastAsia="仿宋" w:cs="仿宋"/>
                <w:b/>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965" w:type="dxa"/>
            <w:vAlign w:val="center"/>
          </w:tcPr>
          <w:p>
            <w:pPr>
              <w:widowControl/>
              <w:jc w:val="center"/>
              <w:textAlignment w:val="center"/>
              <w:rPr>
                <w:rFonts w:ascii="仿宋" w:hAnsi="仿宋" w:eastAsia="仿宋" w:cs="仿宋"/>
                <w:color w:val="auto"/>
                <w:kern w:val="0"/>
                <w:sz w:val="24"/>
                <w:szCs w:val="24"/>
                <w:highlight w:val="none"/>
                <w:shd w:val="clear" w:color="auto" w:fill="FFFFFF"/>
                <w:lang w:bidi="ar"/>
              </w:rPr>
            </w:pPr>
            <w:r>
              <w:rPr>
                <w:rFonts w:hint="eastAsia" w:ascii="仿宋" w:hAnsi="仿宋" w:eastAsia="仿宋" w:cs="仿宋"/>
                <w:color w:val="auto"/>
                <w:kern w:val="0"/>
                <w:sz w:val="24"/>
                <w:szCs w:val="24"/>
                <w:highlight w:val="none"/>
                <w:lang w:bidi="ar"/>
              </w:rPr>
              <w:t>1</w:t>
            </w:r>
          </w:p>
        </w:tc>
        <w:tc>
          <w:tcPr>
            <w:tcW w:w="3031" w:type="dxa"/>
            <w:vAlign w:val="center"/>
          </w:tcPr>
          <w:p>
            <w:pPr>
              <w:jc w:val="center"/>
              <w:textAlignment w:val="center"/>
              <w:rPr>
                <w:rFonts w:ascii="仿宋" w:hAnsi="仿宋" w:eastAsia="仿宋" w:cs="仿宋"/>
                <w:color w:val="auto"/>
                <w:kern w:val="0"/>
                <w:sz w:val="24"/>
                <w:szCs w:val="24"/>
                <w:highlight w:val="none"/>
                <w:shd w:val="clear" w:color="auto" w:fill="FFFFFF"/>
                <w:lang w:bidi="ar"/>
              </w:rPr>
            </w:pPr>
            <w:r>
              <w:rPr>
                <w:rFonts w:hint="eastAsia" w:ascii="仿宋" w:hAnsi="仿宋" w:eastAsia="仿宋" w:cs="仿宋"/>
                <w:color w:val="auto"/>
                <w:sz w:val="24"/>
                <w:szCs w:val="24"/>
                <w:highlight w:val="none"/>
              </w:rPr>
              <w:t>工业机器人云示教器平台</w:t>
            </w:r>
          </w:p>
        </w:tc>
        <w:tc>
          <w:tcPr>
            <w:tcW w:w="809" w:type="dxa"/>
            <w:vAlign w:val="center"/>
          </w:tcPr>
          <w:p>
            <w:pPr>
              <w:widowControl/>
              <w:jc w:val="center"/>
              <w:textAlignment w:val="center"/>
              <w:rPr>
                <w:rFonts w:ascii="仿宋" w:hAnsi="仿宋" w:eastAsia="仿宋" w:cs="仿宋"/>
                <w:color w:val="auto"/>
                <w:kern w:val="0"/>
                <w:sz w:val="24"/>
                <w:szCs w:val="24"/>
                <w:highlight w:val="none"/>
                <w:shd w:val="clear" w:color="auto" w:fill="FFFFFF"/>
                <w:lang w:bidi="ar"/>
              </w:rPr>
            </w:pPr>
            <w:r>
              <w:rPr>
                <w:rFonts w:ascii="仿宋" w:hAnsi="仿宋" w:eastAsia="仿宋" w:cs="仿宋"/>
                <w:color w:val="auto"/>
                <w:kern w:val="0"/>
                <w:sz w:val="24"/>
                <w:szCs w:val="24"/>
                <w:highlight w:val="none"/>
                <w:lang w:bidi="ar"/>
              </w:rPr>
              <w:t>3</w:t>
            </w:r>
            <w:r>
              <w:rPr>
                <w:rFonts w:hint="eastAsia" w:ascii="仿宋" w:hAnsi="仿宋" w:eastAsia="仿宋" w:cs="仿宋"/>
                <w:color w:val="auto"/>
                <w:kern w:val="0"/>
                <w:sz w:val="24"/>
                <w:szCs w:val="24"/>
                <w:highlight w:val="none"/>
                <w:lang w:bidi="ar"/>
              </w:rPr>
              <w:t>0</w:t>
            </w:r>
          </w:p>
        </w:tc>
        <w:tc>
          <w:tcPr>
            <w:tcW w:w="862" w:type="dxa"/>
            <w:vAlign w:val="center"/>
          </w:tcPr>
          <w:p>
            <w:pPr>
              <w:widowControl/>
              <w:jc w:val="center"/>
              <w:textAlignment w:val="center"/>
              <w:rPr>
                <w:rFonts w:ascii="仿宋" w:hAnsi="仿宋" w:eastAsia="仿宋" w:cs="仿宋"/>
                <w:color w:val="auto"/>
                <w:kern w:val="0"/>
                <w:sz w:val="24"/>
                <w:szCs w:val="24"/>
                <w:highlight w:val="none"/>
                <w:shd w:val="clear" w:color="auto" w:fill="FFFFFF"/>
                <w:lang w:bidi="ar"/>
              </w:rPr>
            </w:pPr>
            <w:r>
              <w:rPr>
                <w:rFonts w:hint="eastAsia" w:ascii="仿宋" w:hAnsi="仿宋" w:eastAsia="仿宋" w:cs="仿宋"/>
                <w:color w:val="auto"/>
                <w:kern w:val="0"/>
                <w:sz w:val="24"/>
                <w:szCs w:val="24"/>
                <w:highlight w:val="none"/>
                <w:lang w:bidi="ar"/>
              </w:rPr>
              <w:t>套</w:t>
            </w:r>
          </w:p>
        </w:tc>
        <w:tc>
          <w:tcPr>
            <w:tcW w:w="1325" w:type="dxa"/>
            <w:vAlign w:val="center"/>
          </w:tcPr>
          <w:p>
            <w:pPr>
              <w:widowControl/>
              <w:ind w:left="0" w:leftChars="0" w:firstLine="0" w:firstLineChars="0"/>
              <w:jc w:val="center"/>
              <w:textAlignment w:val="center"/>
              <w:rPr>
                <w:rFonts w:hint="default" w:ascii="仿宋" w:hAnsi="仿宋" w:eastAsia="仿宋" w:cs="仿宋"/>
                <w:color w:val="auto"/>
                <w:kern w:val="0"/>
                <w:sz w:val="24"/>
                <w:szCs w:val="24"/>
                <w:highlight w:val="none"/>
                <w:lang w:bidi="ar"/>
              </w:rPr>
            </w:pPr>
            <w:r>
              <w:rPr>
                <w:rFonts w:hint="default" w:ascii="仿宋" w:hAnsi="仿宋" w:eastAsia="仿宋" w:cs="仿宋"/>
                <w:color w:val="auto"/>
                <w:kern w:val="0"/>
                <w:sz w:val="24"/>
                <w:szCs w:val="24"/>
                <w:highlight w:val="none"/>
                <w:lang w:bidi="ar"/>
              </w:rPr>
              <w:t>30900</w:t>
            </w:r>
          </w:p>
        </w:tc>
        <w:tc>
          <w:tcPr>
            <w:tcW w:w="1325" w:type="dxa"/>
            <w:vAlign w:val="center"/>
          </w:tcPr>
          <w:p>
            <w:pPr>
              <w:widowControl/>
              <w:ind w:left="0" w:leftChars="0" w:firstLine="0" w:firstLineChars="0"/>
              <w:jc w:val="center"/>
              <w:textAlignment w:val="center"/>
              <w:rPr>
                <w:rFonts w:hint="default" w:ascii="仿宋" w:hAnsi="仿宋" w:eastAsia="仿宋" w:cs="仿宋"/>
                <w:color w:val="auto"/>
                <w:kern w:val="0"/>
                <w:sz w:val="24"/>
                <w:szCs w:val="24"/>
                <w:highlight w:val="none"/>
                <w:lang w:bidi="ar"/>
              </w:rPr>
            </w:pPr>
            <w:r>
              <w:rPr>
                <w:rFonts w:hint="default" w:ascii="仿宋" w:hAnsi="仿宋" w:eastAsia="仿宋" w:cs="仿宋"/>
                <w:color w:val="auto"/>
                <w:kern w:val="0"/>
                <w:sz w:val="24"/>
                <w:szCs w:val="24"/>
                <w:highlight w:val="none"/>
                <w:lang w:bidi="ar"/>
              </w:rPr>
              <w:t>927000</w:t>
            </w:r>
          </w:p>
        </w:tc>
        <w:tc>
          <w:tcPr>
            <w:tcW w:w="1865" w:type="dxa"/>
            <w:vAlign w:val="center"/>
          </w:tcPr>
          <w:p>
            <w:pPr>
              <w:widowControl/>
              <w:ind w:left="0" w:leftChars="0" w:firstLine="0" w:firstLineChars="0"/>
              <w:jc w:val="center"/>
              <w:textAlignment w:val="center"/>
              <w:rPr>
                <w:rFonts w:hint="default" w:ascii="仿宋" w:hAnsi="仿宋" w:eastAsia="仿宋" w:cs="仿宋"/>
                <w:color w:val="auto"/>
                <w:kern w:val="0"/>
                <w:sz w:val="24"/>
                <w:szCs w:val="24"/>
                <w:highlight w:val="none"/>
                <w:lang w:bidi="ar"/>
              </w:rPr>
            </w:pPr>
            <w:r>
              <w:rPr>
                <w:rFonts w:hint="default" w:ascii="仿宋" w:hAnsi="仿宋" w:eastAsia="仿宋" w:cs="仿宋"/>
                <w:color w:val="auto"/>
                <w:kern w:val="0"/>
                <w:sz w:val="24"/>
                <w:szCs w:val="24"/>
                <w:highlight w:val="none"/>
                <w:lang w:bidi="ar"/>
              </w:rPr>
              <w:t>参考参数序号1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atLeast"/>
        </w:trPr>
        <w:tc>
          <w:tcPr>
            <w:tcW w:w="965" w:type="dxa"/>
            <w:vAlign w:val="center"/>
          </w:tcPr>
          <w:p>
            <w:pPr>
              <w:widowControl/>
              <w:jc w:val="center"/>
              <w:textAlignment w:val="center"/>
              <w:rPr>
                <w:rFonts w:ascii="仿宋" w:hAnsi="仿宋" w:eastAsia="仿宋" w:cs="仿宋"/>
                <w:color w:val="auto"/>
                <w:kern w:val="0"/>
                <w:sz w:val="24"/>
                <w:szCs w:val="24"/>
                <w:highlight w:val="none"/>
                <w:shd w:val="clear" w:color="auto" w:fill="FFFFFF"/>
                <w:lang w:bidi="ar"/>
              </w:rPr>
            </w:pPr>
            <w:r>
              <w:rPr>
                <w:rFonts w:hint="eastAsia" w:ascii="仿宋" w:hAnsi="仿宋" w:eastAsia="仿宋" w:cs="仿宋"/>
                <w:color w:val="auto"/>
                <w:kern w:val="0"/>
                <w:sz w:val="24"/>
                <w:szCs w:val="24"/>
                <w:highlight w:val="none"/>
                <w:lang w:bidi="ar"/>
              </w:rPr>
              <w:t>2</w:t>
            </w:r>
          </w:p>
        </w:tc>
        <w:tc>
          <w:tcPr>
            <w:tcW w:w="3031" w:type="dxa"/>
            <w:vAlign w:val="center"/>
          </w:tcPr>
          <w:p>
            <w:pPr>
              <w:jc w:val="center"/>
              <w:textAlignment w:val="center"/>
              <w:rPr>
                <w:rFonts w:ascii="仿宋" w:hAnsi="仿宋" w:eastAsia="仿宋" w:cs="仿宋"/>
                <w:color w:val="auto"/>
                <w:kern w:val="0"/>
                <w:sz w:val="24"/>
                <w:szCs w:val="24"/>
                <w:highlight w:val="none"/>
                <w:shd w:val="clear" w:color="auto" w:fill="FFFFFF"/>
                <w:lang w:bidi="ar"/>
              </w:rPr>
            </w:pPr>
            <w:r>
              <w:rPr>
                <w:rFonts w:hint="eastAsia" w:ascii="仿宋" w:hAnsi="仿宋" w:eastAsia="仿宋" w:cs="仿宋"/>
                <w:color w:val="auto"/>
                <w:sz w:val="24"/>
                <w:szCs w:val="24"/>
                <w:highlight w:val="none"/>
              </w:rPr>
              <w:t>四足服务机器人</w:t>
            </w:r>
          </w:p>
        </w:tc>
        <w:tc>
          <w:tcPr>
            <w:tcW w:w="809" w:type="dxa"/>
            <w:vAlign w:val="center"/>
          </w:tcPr>
          <w:p>
            <w:pPr>
              <w:widowControl/>
              <w:jc w:val="center"/>
              <w:textAlignment w:val="center"/>
              <w:rPr>
                <w:rFonts w:ascii="仿宋" w:hAnsi="仿宋" w:eastAsia="仿宋" w:cs="仿宋"/>
                <w:color w:val="auto"/>
                <w:kern w:val="0"/>
                <w:sz w:val="24"/>
                <w:szCs w:val="24"/>
                <w:highlight w:val="none"/>
                <w:shd w:val="clear" w:color="auto" w:fill="FFFFFF"/>
                <w:lang w:bidi="ar"/>
              </w:rPr>
            </w:pPr>
            <w:r>
              <w:rPr>
                <w:rFonts w:ascii="仿宋" w:hAnsi="仿宋" w:eastAsia="仿宋" w:cs="仿宋"/>
                <w:color w:val="auto"/>
                <w:kern w:val="0"/>
                <w:sz w:val="24"/>
                <w:szCs w:val="24"/>
                <w:highlight w:val="none"/>
                <w:lang w:bidi="ar"/>
              </w:rPr>
              <w:t>2</w:t>
            </w:r>
          </w:p>
        </w:tc>
        <w:tc>
          <w:tcPr>
            <w:tcW w:w="862" w:type="dxa"/>
            <w:vAlign w:val="center"/>
          </w:tcPr>
          <w:p>
            <w:pPr>
              <w:widowControl/>
              <w:jc w:val="center"/>
              <w:textAlignment w:val="center"/>
              <w:rPr>
                <w:rFonts w:ascii="仿宋" w:hAnsi="仿宋" w:eastAsia="仿宋" w:cs="仿宋"/>
                <w:color w:val="auto"/>
                <w:kern w:val="0"/>
                <w:sz w:val="24"/>
                <w:szCs w:val="24"/>
                <w:highlight w:val="none"/>
                <w:shd w:val="clear" w:color="auto" w:fill="FFFFFF"/>
                <w:lang w:bidi="ar"/>
              </w:rPr>
            </w:pPr>
            <w:r>
              <w:rPr>
                <w:rFonts w:hint="eastAsia" w:ascii="仿宋" w:hAnsi="仿宋" w:eastAsia="仿宋" w:cs="仿宋"/>
                <w:color w:val="auto"/>
                <w:kern w:val="0"/>
                <w:sz w:val="24"/>
                <w:szCs w:val="24"/>
                <w:highlight w:val="none"/>
                <w:lang w:bidi="ar"/>
              </w:rPr>
              <w:t>台</w:t>
            </w:r>
          </w:p>
        </w:tc>
        <w:tc>
          <w:tcPr>
            <w:tcW w:w="1325" w:type="dxa"/>
            <w:vAlign w:val="center"/>
          </w:tcPr>
          <w:p>
            <w:pPr>
              <w:widowControl/>
              <w:ind w:left="0" w:leftChars="0" w:firstLine="0" w:firstLineChars="0"/>
              <w:jc w:val="center"/>
              <w:textAlignment w:val="center"/>
              <w:rPr>
                <w:rFonts w:hint="default" w:ascii="仿宋" w:hAnsi="仿宋" w:eastAsia="仿宋" w:cs="仿宋"/>
                <w:color w:val="auto"/>
                <w:kern w:val="0"/>
                <w:sz w:val="24"/>
                <w:szCs w:val="24"/>
                <w:highlight w:val="none"/>
                <w:lang w:bidi="ar"/>
              </w:rPr>
            </w:pPr>
            <w:r>
              <w:rPr>
                <w:rFonts w:hint="default" w:ascii="仿宋" w:hAnsi="仿宋" w:eastAsia="仿宋" w:cs="仿宋"/>
                <w:color w:val="auto"/>
                <w:kern w:val="0"/>
                <w:sz w:val="24"/>
                <w:szCs w:val="24"/>
                <w:highlight w:val="none"/>
                <w:lang w:bidi="ar"/>
              </w:rPr>
              <w:t>83700</w:t>
            </w:r>
          </w:p>
        </w:tc>
        <w:tc>
          <w:tcPr>
            <w:tcW w:w="1325" w:type="dxa"/>
            <w:vAlign w:val="center"/>
          </w:tcPr>
          <w:p>
            <w:pPr>
              <w:widowControl/>
              <w:ind w:left="0" w:leftChars="0" w:firstLine="0" w:firstLineChars="0"/>
              <w:jc w:val="center"/>
              <w:textAlignment w:val="center"/>
              <w:rPr>
                <w:rFonts w:hint="default" w:ascii="仿宋" w:hAnsi="仿宋" w:eastAsia="仿宋" w:cs="仿宋"/>
                <w:color w:val="auto"/>
                <w:kern w:val="0"/>
                <w:sz w:val="24"/>
                <w:szCs w:val="24"/>
                <w:highlight w:val="none"/>
                <w:lang w:bidi="ar"/>
              </w:rPr>
            </w:pPr>
            <w:r>
              <w:rPr>
                <w:rFonts w:hint="default" w:ascii="仿宋" w:hAnsi="仿宋" w:eastAsia="仿宋" w:cs="仿宋"/>
                <w:color w:val="auto"/>
                <w:kern w:val="0"/>
                <w:sz w:val="24"/>
                <w:szCs w:val="24"/>
                <w:highlight w:val="none"/>
                <w:lang w:bidi="ar"/>
              </w:rPr>
              <w:t>167400</w:t>
            </w:r>
          </w:p>
        </w:tc>
        <w:tc>
          <w:tcPr>
            <w:tcW w:w="1865" w:type="dxa"/>
            <w:vAlign w:val="center"/>
          </w:tcPr>
          <w:p>
            <w:pPr>
              <w:widowControl/>
              <w:ind w:left="0" w:leftChars="0" w:firstLine="0" w:firstLineChars="0"/>
              <w:jc w:val="center"/>
              <w:textAlignment w:val="center"/>
              <w:rPr>
                <w:rFonts w:hint="default" w:ascii="仿宋" w:hAnsi="仿宋" w:eastAsia="仿宋" w:cs="仿宋"/>
                <w:color w:val="auto"/>
                <w:kern w:val="0"/>
                <w:sz w:val="24"/>
                <w:szCs w:val="24"/>
                <w:highlight w:val="none"/>
                <w:lang w:bidi="ar"/>
              </w:rPr>
            </w:pPr>
            <w:r>
              <w:rPr>
                <w:rFonts w:hint="default" w:ascii="仿宋" w:hAnsi="仿宋" w:eastAsia="仿宋" w:cs="仿宋"/>
                <w:color w:val="auto"/>
                <w:kern w:val="0"/>
                <w:sz w:val="24"/>
                <w:szCs w:val="24"/>
                <w:highlight w:val="none"/>
                <w:lang w:bidi="ar"/>
              </w:rPr>
              <w:t>参考参数序号2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65" w:type="dxa"/>
            <w:vAlign w:val="center"/>
          </w:tcPr>
          <w:p>
            <w:pPr>
              <w:widowControl/>
              <w:jc w:val="center"/>
              <w:textAlignment w:val="center"/>
              <w:rPr>
                <w:rFonts w:ascii="仿宋" w:hAnsi="仿宋" w:eastAsia="仿宋" w:cs="仿宋"/>
                <w:color w:val="auto"/>
                <w:kern w:val="0"/>
                <w:sz w:val="24"/>
                <w:szCs w:val="24"/>
                <w:highlight w:val="none"/>
                <w:shd w:val="clear" w:color="auto" w:fill="FFFFFF"/>
                <w:lang w:bidi="ar"/>
              </w:rPr>
            </w:pPr>
            <w:r>
              <w:rPr>
                <w:rFonts w:hint="eastAsia" w:ascii="仿宋" w:hAnsi="仿宋" w:eastAsia="仿宋" w:cs="仿宋"/>
                <w:color w:val="auto"/>
                <w:kern w:val="0"/>
                <w:sz w:val="24"/>
                <w:szCs w:val="24"/>
                <w:highlight w:val="none"/>
                <w:lang w:bidi="ar"/>
              </w:rPr>
              <w:t>3</w:t>
            </w:r>
          </w:p>
        </w:tc>
        <w:tc>
          <w:tcPr>
            <w:tcW w:w="3031" w:type="dxa"/>
            <w:vAlign w:val="center"/>
          </w:tcPr>
          <w:p>
            <w:pPr>
              <w:jc w:val="center"/>
              <w:textAlignment w:val="center"/>
              <w:rPr>
                <w:rFonts w:ascii="仿宋" w:hAnsi="仿宋" w:eastAsia="仿宋" w:cs="仿宋"/>
                <w:color w:val="auto"/>
                <w:kern w:val="0"/>
                <w:sz w:val="24"/>
                <w:szCs w:val="24"/>
                <w:highlight w:val="none"/>
                <w:shd w:val="clear" w:color="auto" w:fill="FFFFFF"/>
                <w:lang w:bidi="ar"/>
              </w:rPr>
            </w:pPr>
            <w:r>
              <w:rPr>
                <w:rFonts w:hint="eastAsia" w:ascii="仿宋" w:hAnsi="仿宋" w:eastAsia="仿宋" w:cs="仿宋"/>
                <w:color w:val="auto"/>
                <w:kern w:val="0"/>
                <w:sz w:val="24"/>
                <w:szCs w:val="24"/>
                <w:highlight w:val="none"/>
              </w:rPr>
              <w:t>六足服务机器人</w:t>
            </w:r>
          </w:p>
        </w:tc>
        <w:tc>
          <w:tcPr>
            <w:tcW w:w="809" w:type="dxa"/>
            <w:vAlign w:val="center"/>
          </w:tcPr>
          <w:p>
            <w:pPr>
              <w:widowControl/>
              <w:jc w:val="center"/>
              <w:textAlignment w:val="center"/>
              <w:rPr>
                <w:rFonts w:ascii="仿宋" w:hAnsi="仿宋" w:eastAsia="仿宋" w:cs="仿宋"/>
                <w:color w:val="auto"/>
                <w:kern w:val="0"/>
                <w:sz w:val="24"/>
                <w:szCs w:val="24"/>
                <w:highlight w:val="none"/>
                <w:shd w:val="clear" w:color="auto" w:fill="FFFFFF"/>
                <w:lang w:bidi="ar"/>
              </w:rPr>
            </w:pPr>
            <w:r>
              <w:rPr>
                <w:rFonts w:hint="eastAsia" w:ascii="仿宋" w:hAnsi="仿宋" w:eastAsia="仿宋" w:cs="仿宋"/>
                <w:color w:val="auto"/>
                <w:kern w:val="0"/>
                <w:sz w:val="24"/>
                <w:szCs w:val="24"/>
                <w:highlight w:val="none"/>
                <w:lang w:bidi="ar"/>
              </w:rPr>
              <w:t>1</w:t>
            </w:r>
          </w:p>
        </w:tc>
        <w:tc>
          <w:tcPr>
            <w:tcW w:w="862" w:type="dxa"/>
            <w:vAlign w:val="center"/>
          </w:tcPr>
          <w:p>
            <w:pPr>
              <w:widowControl/>
              <w:jc w:val="center"/>
              <w:textAlignment w:val="center"/>
              <w:rPr>
                <w:rFonts w:ascii="仿宋" w:hAnsi="仿宋" w:eastAsia="仿宋" w:cs="仿宋"/>
                <w:color w:val="auto"/>
                <w:kern w:val="0"/>
                <w:sz w:val="24"/>
                <w:szCs w:val="24"/>
                <w:highlight w:val="none"/>
                <w:shd w:val="clear" w:color="auto" w:fill="FFFFFF"/>
                <w:lang w:bidi="ar"/>
              </w:rPr>
            </w:pPr>
            <w:r>
              <w:rPr>
                <w:rFonts w:hint="eastAsia" w:ascii="仿宋" w:hAnsi="仿宋" w:eastAsia="仿宋" w:cs="仿宋"/>
                <w:color w:val="auto"/>
                <w:kern w:val="0"/>
                <w:sz w:val="24"/>
                <w:szCs w:val="24"/>
                <w:highlight w:val="none"/>
                <w:lang w:bidi="ar"/>
              </w:rPr>
              <w:t>台</w:t>
            </w:r>
          </w:p>
        </w:tc>
        <w:tc>
          <w:tcPr>
            <w:tcW w:w="1325" w:type="dxa"/>
            <w:vAlign w:val="center"/>
          </w:tcPr>
          <w:p>
            <w:pPr>
              <w:widowControl/>
              <w:ind w:left="0" w:leftChars="0" w:firstLine="0" w:firstLineChars="0"/>
              <w:jc w:val="center"/>
              <w:textAlignment w:val="center"/>
              <w:rPr>
                <w:rFonts w:hint="default" w:ascii="仿宋" w:hAnsi="仿宋" w:eastAsia="仿宋" w:cs="仿宋"/>
                <w:color w:val="auto"/>
                <w:kern w:val="0"/>
                <w:sz w:val="24"/>
                <w:szCs w:val="24"/>
                <w:highlight w:val="none"/>
                <w:lang w:bidi="ar"/>
              </w:rPr>
            </w:pPr>
            <w:r>
              <w:rPr>
                <w:rFonts w:hint="default" w:ascii="仿宋" w:hAnsi="仿宋" w:eastAsia="仿宋" w:cs="仿宋"/>
                <w:color w:val="auto"/>
                <w:kern w:val="0"/>
                <w:sz w:val="24"/>
                <w:szCs w:val="24"/>
                <w:highlight w:val="none"/>
                <w:lang w:bidi="ar"/>
              </w:rPr>
              <w:t>5500</w:t>
            </w:r>
          </w:p>
        </w:tc>
        <w:tc>
          <w:tcPr>
            <w:tcW w:w="1325" w:type="dxa"/>
            <w:vAlign w:val="center"/>
          </w:tcPr>
          <w:p>
            <w:pPr>
              <w:widowControl/>
              <w:ind w:left="0" w:leftChars="0" w:firstLine="0" w:firstLineChars="0"/>
              <w:jc w:val="center"/>
              <w:textAlignment w:val="center"/>
              <w:rPr>
                <w:rFonts w:hint="default" w:ascii="仿宋" w:hAnsi="仿宋" w:eastAsia="仿宋" w:cs="仿宋"/>
                <w:color w:val="auto"/>
                <w:kern w:val="0"/>
                <w:sz w:val="24"/>
                <w:szCs w:val="24"/>
                <w:highlight w:val="none"/>
                <w:lang w:bidi="ar"/>
              </w:rPr>
            </w:pPr>
            <w:r>
              <w:rPr>
                <w:rFonts w:hint="default" w:ascii="仿宋" w:hAnsi="仿宋" w:eastAsia="仿宋" w:cs="仿宋"/>
                <w:color w:val="auto"/>
                <w:kern w:val="0"/>
                <w:sz w:val="24"/>
                <w:szCs w:val="24"/>
                <w:highlight w:val="none"/>
                <w:lang w:bidi="ar"/>
              </w:rPr>
              <w:t>5500</w:t>
            </w:r>
          </w:p>
        </w:tc>
        <w:tc>
          <w:tcPr>
            <w:tcW w:w="1865" w:type="dxa"/>
            <w:vAlign w:val="center"/>
          </w:tcPr>
          <w:p>
            <w:pPr>
              <w:widowControl/>
              <w:ind w:left="0" w:leftChars="0" w:firstLine="0" w:firstLineChars="0"/>
              <w:jc w:val="center"/>
              <w:textAlignment w:val="center"/>
              <w:rPr>
                <w:rFonts w:hint="default" w:ascii="仿宋" w:hAnsi="仿宋" w:eastAsia="仿宋" w:cs="仿宋"/>
                <w:color w:val="auto"/>
                <w:kern w:val="0"/>
                <w:sz w:val="24"/>
                <w:szCs w:val="24"/>
                <w:highlight w:val="none"/>
                <w:lang w:bidi="ar"/>
              </w:rPr>
            </w:pPr>
            <w:r>
              <w:rPr>
                <w:rFonts w:hint="default" w:ascii="仿宋" w:hAnsi="仿宋" w:eastAsia="仿宋" w:cs="仿宋"/>
                <w:color w:val="auto"/>
                <w:kern w:val="0"/>
                <w:sz w:val="24"/>
                <w:szCs w:val="24"/>
                <w:highlight w:val="none"/>
                <w:lang w:bidi="ar"/>
              </w:rPr>
              <w:t>参考参数序号3</w:t>
            </w:r>
          </w:p>
        </w:tc>
      </w:tr>
    </w:tbl>
    <w:p>
      <w:pPr>
        <w:keepNext w:val="0"/>
        <w:keepLines w:val="0"/>
        <w:pageBreakBefore w:val="0"/>
        <w:widowControl w:val="0"/>
        <w:kinsoku/>
        <w:wordWrap/>
        <w:overflowPunct/>
        <w:topLinePunct w:val="0"/>
        <w:autoSpaceDE/>
        <w:autoSpaceDN/>
        <w:bidi w:val="0"/>
        <w:adjustRightInd w:val="0"/>
        <w:snapToGrid/>
        <w:spacing w:line="440" w:lineRule="exact"/>
        <w:ind w:left="0" w:leftChars="0" w:firstLine="0" w:firstLineChars="0"/>
        <w:textAlignment w:val="auto"/>
        <w:outlineLvl w:val="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1.2</w:t>
      </w:r>
      <w:r>
        <w:rPr>
          <w:rFonts w:hint="eastAsia" w:ascii="仿宋" w:hAnsi="仿宋" w:eastAsia="仿宋" w:cs="仿宋"/>
          <w:b/>
          <w:bCs/>
          <w:color w:val="auto"/>
          <w:sz w:val="24"/>
          <w:highlight w:val="none"/>
        </w:rPr>
        <w:t>招标设备技术</w:t>
      </w:r>
      <w:r>
        <w:rPr>
          <w:rFonts w:hint="eastAsia" w:ascii="仿宋" w:hAnsi="仿宋" w:eastAsia="仿宋" w:cs="仿宋"/>
          <w:b/>
          <w:bCs/>
          <w:color w:val="auto"/>
          <w:sz w:val="24"/>
          <w:highlight w:val="none"/>
          <w:lang w:val="zh-CN"/>
        </w:rPr>
        <w:t>参数</w:t>
      </w:r>
      <w:r>
        <w:rPr>
          <w:rFonts w:hint="eastAsia" w:ascii="仿宋" w:hAnsi="仿宋" w:eastAsia="仿宋" w:cs="仿宋"/>
          <w:b/>
          <w:bCs/>
          <w:color w:val="auto"/>
          <w:sz w:val="24"/>
          <w:highlight w:val="none"/>
        </w:rPr>
        <w:t>：</w:t>
      </w:r>
    </w:p>
    <w:tbl>
      <w:tblPr>
        <w:tblStyle w:val="62"/>
        <w:tblpPr w:leftFromText="180" w:rightFromText="180" w:vertAnchor="text" w:horzAnchor="margin" w:tblpX="226" w:tblpY="201"/>
        <w:tblOverlap w:val="never"/>
        <w:tblW w:w="10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313"/>
        <w:gridCol w:w="7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61" w:type="dxa"/>
            <w:vAlign w:val="center"/>
          </w:tcPr>
          <w:p>
            <w:pPr>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1313" w:type="dxa"/>
            <w:vAlign w:val="center"/>
          </w:tcPr>
          <w:p>
            <w:pPr>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产品名称</w:t>
            </w:r>
          </w:p>
        </w:tc>
        <w:tc>
          <w:tcPr>
            <w:tcW w:w="7932" w:type="dxa"/>
            <w:vAlign w:val="center"/>
          </w:tcPr>
          <w:p>
            <w:pPr>
              <w:keepNext w:val="0"/>
              <w:keepLines w:val="0"/>
              <w:pageBreakBefore w:val="0"/>
              <w:kinsoku/>
              <w:wordWrap/>
              <w:overflowPunct/>
              <w:topLinePunct w:val="0"/>
              <w:autoSpaceDE/>
              <w:autoSpaceDN/>
              <w:bidi w:val="0"/>
              <w:snapToGrid/>
              <w:spacing w:line="400" w:lineRule="exact"/>
              <w:ind w:left="0" w:leftChars="0" w:right="0" w:rightChars="0" w:firstLine="0" w:firstLineChars="0"/>
              <w:jc w:val="center"/>
              <w:textAlignment w:val="auto"/>
              <w:outlineLvl w:val="9"/>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0" w:hRule="atLeast"/>
        </w:trPr>
        <w:tc>
          <w:tcPr>
            <w:tcW w:w="761"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313"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工业机器人云示教器平台</w:t>
            </w:r>
          </w:p>
        </w:tc>
        <w:tc>
          <w:tcPr>
            <w:tcW w:w="7932" w:type="dxa"/>
            <w:vAlign w:val="center"/>
          </w:tcPr>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要求完成工业机器人实体示教器</w:t>
            </w:r>
            <w:r>
              <w:rPr>
                <w:rFonts w:hint="eastAsia" w:ascii="仿宋" w:hAnsi="仿宋" w:eastAsia="仿宋" w:cs="仿宋"/>
                <w:color w:val="auto"/>
                <w:sz w:val="24"/>
                <w:szCs w:val="24"/>
                <w:highlight w:val="none"/>
                <w:lang w:val="en-US" w:eastAsia="zh-CN"/>
              </w:rPr>
              <w:t>云平台30套，配套</w:t>
            </w:r>
            <w:r>
              <w:rPr>
                <w:rFonts w:hint="eastAsia" w:ascii="仿宋" w:hAnsi="仿宋" w:eastAsia="仿宋" w:cs="仿宋"/>
                <w:color w:val="auto"/>
                <w:sz w:val="24"/>
                <w:szCs w:val="24"/>
                <w:highlight w:val="none"/>
              </w:rPr>
              <w:t>数字孪生软件构建的工业机器人虚拟仿真实训系统30套，</w:t>
            </w:r>
            <w:r>
              <w:rPr>
                <w:rFonts w:hint="eastAsia" w:ascii="仿宋" w:hAnsi="仿宋" w:eastAsia="仿宋" w:cs="仿宋"/>
                <w:color w:val="auto"/>
                <w:sz w:val="24"/>
                <w:szCs w:val="24"/>
                <w:highlight w:val="none"/>
                <w:lang w:val="en-US" w:eastAsia="zh-CN"/>
              </w:rPr>
              <w:t>配套</w:t>
            </w:r>
            <w:r>
              <w:rPr>
                <w:rFonts w:hint="eastAsia" w:ascii="仿宋" w:hAnsi="仿宋" w:eastAsia="仿宋" w:cs="仿宋"/>
                <w:color w:val="auto"/>
                <w:sz w:val="24"/>
                <w:szCs w:val="24"/>
                <w:highlight w:val="none"/>
              </w:rPr>
              <w:t>工业级易拆装工业机器人实训平台1套；</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工业机器人云示教器实训室技术要求如下</w:t>
            </w:r>
          </w:p>
          <w:p>
            <w:pPr>
              <w:keepNext w:val="0"/>
              <w:keepLines w:val="0"/>
              <w:pageBreakBefore w:val="0"/>
              <w:numPr>
                <w:ilvl w:val="0"/>
                <w:numId w:val="1"/>
              </w:numPr>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云示教器-ABB（30套）</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1.1硬件参数</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1）屏幕参数</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（1）尺寸：6.5英寸的LCD液晶屏</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（2）分辨率：640x480</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（3）显示亮度：800 cd/m²</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（4）对比度：600:1</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（5）像素排列：RGB垂直条状</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（6）点间距(mm)：0.069×0.207 (H×V)</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（7）像素间距：0.207x0.207mm(H×V)</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（8）显示区域(mm)：132.48(H)×99.36(V)</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（9）开口区域(mm)：135.9(H)×102.8(V)</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（10）外观尺寸(mm)：153(H)×118(V)</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（11）宽高比：4:3 (H:V)</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（12）表面处理：镜面 (Haze 0%)，Hard coating (3H)，抗反射处理</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（13）可视角度：80/80/70/70 (Typ.)(CR≥10)</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（14）显示模式：TN，常白显示，透射式</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（15）响应时间(ms)：15/10 (Typ.)(Tr/Td)</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（16）支持颜色：262K/16.2M (6-bit / 6-bit + FRC)</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（17）色域：55% NTSC (CIE1931)</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（18）亮度均匀性：1.25 (Max.)(5 points)</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2）触摸屏参数</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（1）类型：四线电阻触摸</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（2）定位方式：4点定位，25点定位</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（3）接口类型：USB1.1，USB2.0</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（4）工作电流：50mA～120mA</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（5）工作温度：-20℃～75℃</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3）摇杆参数</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（1）输出类型：三轴霍尔</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（2）输出电压：0～3.3V</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（3）供电电压：DC5V±0.5V</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（4）电气角度：X、Y轴±20°&amp;25°；Z轴±22°</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（5）最大电流：10mA</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（6）输出电压线性误差：&lt;±0.2V</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（7）启动力：≥2N</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（8）操作力：≥5N</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（9）使用寿命：&gt;500万次</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4）主控板参数</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（1）工作电压：DC12V</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（2）电流：≤500mA</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（3）通讯接口：串口</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（4）波特率：115200</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（5）CPU：ARM Cortex-M3 32bit RISC</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（6）主频：≥72MHz</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（7）存储器： 64KB Flash存储器，20KB </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"https://m.baidu.com/s?word=SRAM%E5%AD%98%E5%82%A8%E5%99%A8&amp;sa=re_dqa_zy" \t "_self"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SRAM存储器</w:t>
            </w:r>
            <w:r>
              <w:rPr>
                <w:rFonts w:hint="eastAsia" w:ascii="仿宋" w:hAnsi="仿宋" w:eastAsia="仿宋" w:cs="仿宋"/>
                <w:color w:val="auto"/>
                <w:sz w:val="24"/>
                <w:szCs w:val="24"/>
                <w:highlight w:val="none"/>
              </w:rPr>
              <w:fldChar w:fldCharType="end"/>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（8）支持接口：急停，手动摇杆、使能开关、薄膜按键</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（9）尺寸：≥180×120mm</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5）便携箱参数</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便携箱体采用工程防火板材质，内部包防撞棉，具有良好的缓冲保护能力以及环保无毒的特点，外观美观大方。设计有提手，不仅便于携带还能有效保护内部设备免受损坏。</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主要技术参数：</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（1）外形尺寸：（长×宽×高）：≥300×200×150mm</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（2）主要材质：铝合金骨架+工程防火板</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（3）是否有提手：是</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1.2系统功能</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1）示教室按ABB机器人示教器1:1进行设计开发，由急停按钮，手动摇杆、安全使能开关、操作按键面板和触摸屏等外设组成。</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可通过示教器面板操作按钮，配合数字孪生软件，完成以下功能：选择机械单元；切换虚拟机器人运动模式（重定向或线性和轴1-3或4-6轴运动模式）；起换增量设定；程序前进、后退、停止和启动操作；4个预设按键，用户可在软件中自定义其功能。</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3）手动摇杆共有8个移动方向，外加顺时针和逆时针2个旋转方向。通过控制手动摇杆，用户可以操纵数字孪生环境中的机器人模型进行指定轴关节运动和线性运动。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4）手动模式控制机器人运动时，需按下示教器底部的安全使能开关后，可进行数字孪生环境机器人模型手动运动控制，当未按下安全使能开关，不能进行手动运动控制。</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5）急停按钮可触发数字孪生环境下的机器人进行急停操作，示教器操作界面可显示机器人急停相关报警信息。急停按钮复位后，可继续正常操作。</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提供</w:t>
            </w:r>
            <w:r>
              <w:rPr>
                <w:rFonts w:hint="eastAsia" w:ascii="仿宋" w:hAnsi="仿宋" w:eastAsia="仿宋" w:cs="仿宋"/>
                <w:color w:val="auto"/>
                <w:sz w:val="24"/>
                <w:szCs w:val="24"/>
                <w:highlight w:val="none"/>
              </w:rPr>
              <w:t>工业机器人云示教器平台</w:t>
            </w:r>
            <w:r>
              <w:rPr>
                <w:rFonts w:hint="eastAsia" w:ascii="仿宋" w:hAnsi="仿宋" w:eastAsia="仿宋" w:cs="仿宋"/>
                <w:bCs/>
                <w:color w:val="auto"/>
                <w:sz w:val="24"/>
                <w:szCs w:val="24"/>
                <w:highlight w:val="none"/>
              </w:rPr>
              <w:t>实物操作演示视频。</w:t>
            </w:r>
          </w:p>
          <w:p>
            <w:pPr>
              <w:keepNext w:val="0"/>
              <w:keepLines w:val="0"/>
              <w:pageBreakBefore w:val="0"/>
              <w:numPr>
                <w:ilvl w:val="0"/>
                <w:numId w:val="1"/>
              </w:numPr>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数字化工厂仿真软件（30点）</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2.1、总体要求</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1）需要有智能制造设计及场景展现，可根据用户需求快速的建立智能生产线的仿真模拟并进行工程规划、工程验证、逻辑验证等工作，整合物流及物理仿真模拟功能；</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2）能够实现实际智能工厂案例真实展现，包含工业机器人编程、离线仿真编程、PLC仿真验证等核心教学内容，并实现仿真程序直接导出至工业机器人中进行终端验证；</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3）需要能够提供从仿真设计、虚拟展现、实验指导、软件学习的整套实验教学配套；</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4）必须含智能码垛、机器人打磨、AGV搬运、智能物流、智能焊接、喷涂、上下料、分拣场景模块。</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5）仿真设计要求：可针对世界主流品牌2600多个机械臂、AGV、数控机床、传送带等仿真模型，自由选择；</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6）智能工厂案例库要求：通过完整的案例展示加工中心、工业机器人及物流线的海量仿真数据;</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7）PLC编程及安装虚拟调试要求：提供三维仿真场景的PLC验证功能，三维模型，建立私有模型库；</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8）智慧工厂布局优化、产线分析要求：快速比较不同参数布局方案的成本效益分析、单站设备分析、全线产能分析，并可快速形成报表；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9）检测维护要求：当布局出现干涉或错误设置(参数和位置等)，逻辑检查功能会发出提示，逻辑建模等。</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2.2、技术指标</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1）仿真系统支持ABB、KUKA，Fanuc、安川、史陶比尔、启帆、红树林、埃夫特、埃斯顿、DOBOT、HRG、JAKA、HopeMotion等多种品牌机器人，提供数量不少于1600个品牌不少于60家的机器人模型库，2600多个机器人、机床和生产线等模型组件库可以对机器人进行示教编程，并添加了可以对机器人编程的逻辑指令，分析机器人可达性和干涉检测，包括机器人与机器人、机器人与外围设备的信号交互，多机器人多窗口程序编辑器。（提供截图证明）；</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2）软件含30个本地节点，供客户安装在本地计算机；</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3）支持多种格式的三维CAD模型，支持导入如Solidwords、UG、Pro/E、Catia、STL、STEP 等20 多个品牌不少于55种3DCAD 格式非标模型导入；</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4）可通过导入CAD模型快速生成运动组件，并对组件特征树进行操作和修改;</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5）支持关节型机器人、Delta（空间三自由度并联机构机器人）、SCARA（平面关节型机器人）、直角坐标及各种非标机器人等各种结构的机器人，支持AGV、无人机等智能机器人；</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允许通过专用的模板和程序语言定制各种机器人和自动化工具的运动控制。算法支持包含3-5轴的通用机床、3-6个旋转轴的串联，并联，双臂，AGV小车，等机器人及生产线上对应的工装夹具，传送带，变位机，导轨等辅助设备;</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7）提供工业机器人虚拟教学，能够通过编程对机器人的示教以及程序代码的自动运行；</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提供强大的API功能支持，允许开展大量机器人机构的自动化应用。可进行仿真和应用于程序机器人取放物体和应用于复杂的多机器人同步运动等;要求开放.Net和Python的API接口，支持二次开发，并能和原厂支持OEM合作服务。</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9）包含丰富的轨迹调整优化工具包，如碰撞检查、工业机器人可达性、姿态奇异点、轴超限等；</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支持多机器人同步运动仿真，能够实现5个及以上机器人与外部轴的同步运动;同步操作多个机器人协同；支持发那科机器人的双机系统（两个本体一个控制柜），多机器人多窗口编程界面，实现对多机器人编程和交互的便利性。</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11）具有自动化生产线仿真功能，包含码垛机、AGV小车、串联机器人在内的功能模块;</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▲12）提供打磨、切割和焊接仿真工艺包（截图证明）;</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13）提供多视角的观察，并可实现运动视角镜头追踪;</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场景中的物理实体具有真实世界中的物体的物理效果，可以进行碰撞检测并具备刚体运动的效果，具备设置重力，摩擦系数等参数能力，并能根据这些参数模拟物体的真实运动效果，用户可以按照真实世界中的逻辑对场景进行建模，减少了建模的复杂性；                                                                                                                                        15）机器人示教功能及建立系统间的干涉确认及机器人的可及度确认（Cyice time、运动路径、干涉确认、编辑程序）；</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16）具有离线编程功能，支持ABB，三菱，Fanuc，安川，川崎、红树林、DOBOT、 JAKA、HopeMotion等品牌机器人的代码；包含弧焊和激光焊接、切割、点焊、打磨、喷涂等工艺标准模块。支持机器人品牌离线编程程序上传和导出。</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具备仿真与设备系统数字孪生功能，可在线通过仿真软件调节机器人、机床及生产系统的运行轨迹及节拍，可生成仿真运动视频（AVI或者Mp4格式））；要求可以任意捕捉和导出截图，录制高清（最多4K）视频文件，录制3D-PDF动画，FBX动画导出，2D图纸导出，3D手机APP展示，支持自带软件直连VR播放和交互操作。</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18）可经由系统模拟，以统计图形分析制程效能与物流瓶颈；</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19）可计算产能及分析生产瓶颈、稼动率、加工时间、利用率等； </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20）软件内置PLC addon 插件：支持OPC-UA、Modbus、KUKA Connect、glink、TCP/IP等总线形式；支持自动控制程序的虚拟讯号验证及调试，以验证控制程序的逻辑性不稳定性；支持直连 Beckhoff (倍福) Beckhoff TwinCat3或Siemens(西门子) Siemens S7 的品牌PLC。支持链接CODESYS平台；支持倍福、西门子PLC+SIMIT、WINMOD和OPC UA等直连接口，以及KUKA机器人OLP、ABB机器人、Doosan斗山、FANUC发那科、Yaskawa安川、Kawasaki川崎、StaubliCS9（史陶比尔）和UR（优傲）机器人控制器直连接口，支持KUKA的控制系统连接和语法编程：要求可以测试和验证PLC和机器人程序，也可以实现对生产过程的实时监控，实时数据流VR交互。</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21）需提供完善的软件操作手册（包括电子版和录屏版）（截图证明）；</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22）需提供完善的实验指导书（包括机器人运动学、机器人工艺学、机器人工艺与示教再现对比、机器人多机交互、机器人工作站搭建、智能制造系统优化、虚实联调及数字孪生等）</w:t>
            </w:r>
            <w:r>
              <w:rPr>
                <w:rFonts w:hint="eastAsia" w:ascii="仿宋" w:hAnsi="仿宋" w:eastAsia="仿宋" w:cs="仿宋"/>
                <w:color w:val="auto"/>
                <w:sz w:val="24"/>
                <w:szCs w:val="24"/>
                <w:highlight w:val="none"/>
                <w:lang w:eastAsia="zh-CN"/>
              </w:rPr>
              <w:t>。</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23）导入数据生成轨迹：支持导入IFC、QIF、DXF、CAM和XML等格式路径数据生成机器人轨迹。</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24）支持机器人焊接的激光、焊丝和喷嘴寻位，对1D、2D、3D等图形显示进行寻位轨迹自动生成，一键式自动生成起始点寻位轨迹并偏移指令到焊缝点位，以及寻位工艺库功能。独有的VC OLP Delfoi search寻位功能，发那科无需走基准程序，直接导出程序运行进行寻位工作。</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25）支持工件和外部轴校准工具：轨道、龙门架、工件变位机和机器人关节偏移校准功能。</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26）支持焊接等WPS工艺库功能，并可以一键应用到焊缝轨迹。机器人焊丝、喷嘴和激光等寻位轨迹自动生成，发那科机器人寻位无需现场运行基准程序。多层焊缝焊接和自动生成路径。</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机器人程序自动排序，比如按方向比如先X向，再Y向，那么软件可以根据这个设定进行程序排序，也可以根据例如多层多道焊，多个焊缝需要按照一定层次工艺进行排序，比如多个焊缝先焊接第一层，再焊接第二层这种，也可以自动排序。</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28）支持工艺轨迹运行模拟摆动（设置摆动方式、振幅、频率等），起弧和熄弧设置、火花音效等。快速路径检查（干涉、可达性、限位、奇异点问题）和焊接信息（焊缝长度，焊接时间等图表）统计。</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29）产线布局规划：要求具有强大的自带超过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000多个组件（含有加工设备、机械手、输送带、立体仓库、AGV、变位机、外围设备等模型）组件库，以及即插即用功能快速搭建布局。</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30）具有统计和报表分析能力：要求对生产节拍、设备利用率和产能的统计和分析，可以直接导出PDF或Excel表格的统计数据。</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点云功能支持：要求支持导入点云模型建立产线。具有2D制图功能：要求将3D场景转换成2D图纸，对2D制图进行添加尺寸标注、添加注释和物料清单。物理仿真可以仿真模拟电缆，动态碰撞等相互作用的效果。具备快速制作工艺流程管理组件，只需要简单设置工艺内容就可以控制机器人和人工的流程仿真。</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2.3、其它关键要求</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▲1</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rPr>
              <w:t>系统要为工业现场成熟使用系统，需要提供不少于30个工业应用案例（案例库截图证明）；</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210" w:leftChars="100" w:right="0" w:righ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val="0"/>
                <w:color w:val="auto"/>
                <w:sz w:val="24"/>
                <w:szCs w:val="24"/>
                <w:highlight w:val="none"/>
              </w:rPr>
              <w:t>提供原厂正版软件、软件使用时需原厂授权许可文件授权后方可正常使用，投标方需根据该条款出具正版软件和10年内免费升级服务承诺书。</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可扩展工业互联网虚拟仿真调试功能；</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提供不少于5分钟的虚实联调及数字孪生对应操作视频，用于现场演示。</w:t>
            </w:r>
          </w:p>
          <w:p>
            <w:pPr>
              <w:keepNext w:val="0"/>
              <w:keepLines w:val="0"/>
              <w:pageBreakBefore w:val="0"/>
              <w:numPr>
                <w:ilvl w:val="0"/>
                <w:numId w:val="1"/>
              </w:numPr>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数字孪生套件（5个点）</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3.1数字化建模与仿真设计软件</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字化建模与仿真设计软件要求是一款可以提供产品开发解决方案的软件，可以提供集成的、高效的产品设计、文档、工装和制造计算机辅助工具，为用户的产品设计及加工过程提供数字化造型和验证的手段。利用此软件，用户可以缩短产品上市时间，改进产品质量，降低成本，促进产品和流程知识的应用，以加强创新。</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技术要求：</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1）软件在工业设计和外观造型中的应用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针对工业设计和外观造型的应用，软件提供了高性能的外形创建、分析和可视化工具来帮助用户创建独特的外性，使其产品更具竞争力。</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（1）功能强大的、灵活的外形创建工具</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可提供功能强大的、灵活的外形创建工具来帮助实现用户的创意。用户可以利用2D和3D曲线建模、曲面建模、曲面过渡、裁剪、延伸、变换、扫掠，以及其他技术来创建和细化外形，并对外形的形态和连续性进行相应的控制。软件还支持逆向工程，可将扫描数据转换为产品曲面模型。</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（2）曲面分析和可视化</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软件可提供实时的分析和可视化工具来帮助用户评估概念设计的曲面质量和外观形态。</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（3）与产品工程集成</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软件可确保工业设计和外观造型与产品工程的无缝集成，消除重复工作和数据的转换，确保外形设计意图正确传递到工程应用和加工制造等阶段，消除在各阶段之间的延迟。</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2）软件在详细设计中的应用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（1）自由的设计手段</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软件可提供各种设计手段，包括参数化实体特征建模，曲线和曲面线框建模，以及显示几何建模等。</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（2）高性能的大装配处理工具</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不管产品的复杂程度如何，软件提供的高性能建模工具允许设计人员能在装配的环境中完成其设计工作，即使是有的装配部件是来自其他的CAD系统时，也可照常进行。</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（3）与过程相关的设计工具</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软件可提供针对特定过程的设计工具，使其具有远高于一般的CAD系统的生产率。</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（4）设计验证</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软件不断对设计进行监测，以确保设计结果满足标准和需求。</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3）软件在文档输出中的应用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软件可提供全面的能力（包括3D标注和二维制图工具），来加速文挡的输出。</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4）软件在工装设计中的应用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针对工装设计的应用，软件可提供自动化的应用工具来帮助用户完成型腔模具、冲压模具、夹具的设计，具有比传统CAD应用更高的效率。</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5）软件在加工中的应用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针对数据加工编程，软件可提供经过实践验证的解决方案，帮助用户快速、高质量地生成数控加工刀具轨迹。</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（1）覆盖数控加工的整个过程</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软件的CAM可提供全面的数控加工程序编制的能力，以及灵活的编程方式。</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（2）单一系统涵盖全部功能</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集成了数控加工程序编制的所有元素，包括加工刀具轨迹的创建、验证、后置处理、加工机床的模拟、数据的变换、车间工艺文档，以及为创建零件，刀具，机床建模和装配所需要的CAD功能。加工数据管理管理获取、组织和控制加工数据，并将其与刀具、夹具、机床等资源连接起来。</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（3）通过自动化，提高生成率</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软件中的自动化使得编程更快速，并能让不具备丰富经验的编程人员能够创建高质量的数控加工程序。</w:t>
            </w:r>
          </w:p>
          <w:p>
            <w:pPr>
              <w:pStyle w:val="6"/>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3.2机电一体化数字孪生软件</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1）支持STEP、IGES、JT、PRT等多种格式的CAD模型文件导入和导出；</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2）内置截图和仿真视频录制功能，不依赖外部截图工具和视频录制工具；</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3）支持大型模型的智能优化，可实现大型复杂模型的轻量化，既能保证模型的质量，又能保证复杂系统仿真的流畅度；</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4）支持真实的物理特性。包括速度、加速度、重力、摩擦力、阻力和惯性等，仿真效果逼真且真实可信；</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5）支持干涉和碰撞检查功能，可用于工作站布局的设计与优化；</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6）支持多种工业现场典型传感器，包括速度、加速度、距离、位置、角度等传感器；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▲7）支持多种工业现场典型通信协议，包括但不限于OPC UA、OPC DA、TCP、UDP、PROFINET等通信协议；</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8）支持机器人运动学正解和逆解；</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9）提供工业机器人、数控机床、立体仓库、传感器、输送线、AGV等各类基本元件库，可以基于基本元件组合封装成高级元件；</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10）支持元件参数化设计，可以根据客户实际需求，定制开发所需的专业元件库；</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11）支持机电控制系统模型的设计功能，可用于早期的机电一体化概念设计；</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12）支持工业机器人软件在环和硬件在环虚拟调试，验证工业机器人程序；</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▲13）支持PLC软件在环和硬件在环虚拟调试，验证PLC程序；</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14）支持数据驱动模型接口设计功能，外部数据可以通过接口驱动模型的动作和交互；</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支持工业机器人系统、智能制造系统的数字孪生。构建与物理对象1:1的数字孪生模型，基于数据驱动模型接口，实现数字样机的虚拟调试与验证，帮助企业缩短设计周期和降低开发成本。实现数字对象与物理对象的虚实协同，帮助企业提高生产效率；</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16）提供工业机器人集成系统工作站模型库，支持用户进行工业机器人系统及工作站的虚拟仿真设计开发。模型库包括但不限于工业机器人、标准实训台、快换工具模块、样件套装、平面绘图模块、曲面绘图模块、搬运模块、码垛模块、通用电气接口套件、仓储模块、井式供料模块、皮带运输模块、装配模块、外围控制器套件、RFID模块、视觉检测模块、旋转供料模块、变位机模块、棋盘模块、上料暂存模块、数控加工模块、数控编程模块。</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以上加“▲”重点指标项需提供不少于连续三张软件功能截图</w:t>
            </w:r>
          </w:p>
          <w:p>
            <w:pPr>
              <w:keepNext w:val="0"/>
              <w:keepLines w:val="0"/>
              <w:pageBreakBefore w:val="0"/>
              <w:numPr>
                <w:ilvl w:val="0"/>
                <w:numId w:val="1"/>
              </w:numPr>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离线编程仿真软件（30点）</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离线编程仿真软件需解决用户学习和训练机器人典型应用问题。可以根据项目需求，在虚拟环境中设计和训练工业机器人的各种典型应用包括机器人的抛光、打磨、搬运、喷涂、涂胶、上下料、切割等应用。同时也可以充分发挥用户的创新能力，对特定的场景任务进行仿真操作。可以对机器人单元和工作站进行创建、编程和模拟仿真，也可在PC上本地运行的虚拟IRC5控制器。该软件的用户界面有七个功能选项卡，分别为文件、基本、建模、仿真、控制器、RAPID、Add-Ins。离线编程仿真软件需提供正版软件2024版，并提供10年内免费升级服务。</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技术要求：</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1）RAPID：提供了用于创建、编辑和管理RAPID程序的工具和功能。您可以管理真实控制器上的在线RAPID程序、虚拟控制器上的离线RAPID程序或者不隶属于某个系统的单机程序；</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2）碰撞检测：碰撞检测功能可避免设备碰撞造成的严重损失。选定检测对象后，RobotStudio可自动监测并显示程序执行时这些对象是否会发生碰撞；</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3）Autoreach可自动进行可到达性分析，使用十分方便，用户可通过该功能任意移动机器人或工件，直到所有位置均可到达，在数分钟之内便可完成工作单元平面布置验证和优化；</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4）监控功能：系统通过仿真监控检测机器人是否能到达所有编程位置，可以计算解决该方案的工作周期，也可以通过路径和目标点去检测程序的准确性；</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5）路径优化：如果程序包含接近奇异点的机器人动作，RobotStudio可自动检测出来并发出报警，从而防止机器人在实际运行中发生这种现象。仿真监视器是一种用于 机器人运动优化的可视工具，红色线条显示可改进之处，以使机器人按照最有效方式运行。可以对TCP速度、加速度、奇异点或轴线等进行优化，缩短周期时间；</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6）CAD导入：RobotStudio可方便地导入各种主流CAD格式的数据，包括IGES、STEP、VRML、VDAFS、ACIS及CATIA等。机器人程序员可依据这些精确的数据编制精度更高的机器人程序，从而提高产品质量；</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7）AutoPath：RobotStudio中最能节省时间的功能之一。该功能通过使用待加工零件的CAD模型，仅在数分钟之内便可自动生成跟踪加工曲线所需要的机器人位置（路径），而这项任务以往通常需要数小时甚至数天；</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8）程序编辑器：程序编辑器（ProgramMaker）可生成机器人程序，使用户能够在Windows环境中离线开发或维护机器人程序，可显著缩短编程时间、改进程序结构；</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9）虚拟示教台：是实际示教台的图形显示，其核心技术是VirtualRobot。从本质上讲，所有可以在实际示教台上进行的工作都可以在虚拟示教台（QuickTeach）上完成，因而是一种非常出色的教学和培训工具；</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事件表：一种用于验证程序的结构与逻辑的理想工具。程序执行期间，可通过该工具直接观察工作单元的I/O状态。可将I/O连接到仿真事件，实现工位内机器人及所有设备的仿真。该功能是一种十分理想的调试工具</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11）Visual Basic for Applications (VBA)：可采用VBA改进和扩充RobotStudio功能，根据用户具体需要开发功能强大的外接插件、宏，或定制用户界面；</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12）PowerPac's：ABB协同合作伙伴采用VBA进行了一系列基于RobotStudio的应用开发，使RobotStudio能够更好地适用于弧焊、弯板机管理、点焊、CalibWare（绝对精度）、叶片研磨以及BendWizard（弯板机管理）等应用；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13）直接上传和下载：整个机器人程序无需任何转换便可直接下载到实际机器人系统，该功能得益于ABB独有的VirtualRobot技术。</w:t>
            </w:r>
          </w:p>
          <w:p>
            <w:pPr>
              <w:keepNext w:val="0"/>
              <w:keepLines w:val="0"/>
              <w:pageBreakBefore w:val="0"/>
              <w:numPr>
                <w:ilvl w:val="0"/>
                <w:numId w:val="1"/>
              </w:numPr>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云示教实训室数字孪生模型（工业机器人工作站模型）</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1套）</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提供工业机器人实训平台常用实训功能的数字孪生模型：</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1）工业机器人数字孪生模型</w:t>
            </w:r>
          </w:p>
          <w:p>
            <w:pPr>
              <w:keepNext w:val="0"/>
              <w:keepLines w:val="0"/>
              <w:pageBreakBefore w:val="0"/>
              <w:widowControl/>
              <w:numPr>
                <w:ilvl w:val="0"/>
                <w:numId w:val="2"/>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具体为6轴串联工业机器人；</w:t>
            </w:r>
          </w:p>
          <w:p>
            <w:pPr>
              <w:keepNext w:val="0"/>
              <w:keepLines w:val="0"/>
              <w:pageBreakBefore w:val="0"/>
              <w:widowControl/>
              <w:numPr>
                <w:ilvl w:val="0"/>
                <w:numId w:val="2"/>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具有关节轴位置反馈传感器，传感器数量：6个；</w:t>
            </w:r>
          </w:p>
          <w:p>
            <w:pPr>
              <w:keepNext w:val="0"/>
              <w:keepLines w:val="0"/>
              <w:pageBreakBefore w:val="0"/>
              <w:widowControl/>
              <w:numPr>
                <w:ilvl w:val="0"/>
                <w:numId w:val="2"/>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具有真实的物理特性，包括重力、速度、加速度和力矩等；</w:t>
            </w:r>
          </w:p>
          <w:p>
            <w:pPr>
              <w:keepNext w:val="0"/>
              <w:keepLines w:val="0"/>
              <w:pageBreakBefore w:val="0"/>
              <w:widowControl/>
              <w:numPr>
                <w:ilvl w:val="0"/>
                <w:numId w:val="2"/>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具有数据驱动模型接口，支持关节轴数据驱动模型；</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2）快换工具支架数字孪生模型</w:t>
            </w:r>
          </w:p>
          <w:p>
            <w:pPr>
              <w:keepNext w:val="0"/>
              <w:keepLines w:val="0"/>
              <w:pageBreakBefore w:val="0"/>
              <w:widowControl/>
              <w:numPr>
                <w:ilvl w:val="0"/>
                <w:numId w:val="3"/>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模型尺寸：300×300×180mm；</w:t>
            </w:r>
          </w:p>
          <w:p>
            <w:pPr>
              <w:keepNext w:val="0"/>
              <w:keepLines w:val="0"/>
              <w:pageBreakBefore w:val="0"/>
              <w:widowControl/>
              <w:numPr>
                <w:ilvl w:val="0"/>
                <w:numId w:val="3"/>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具有4个工位，最多可安装4个不同快换工具；</w:t>
            </w:r>
          </w:p>
          <w:p>
            <w:pPr>
              <w:keepNext w:val="0"/>
              <w:keepLines w:val="0"/>
              <w:pageBreakBefore w:val="0"/>
              <w:widowControl/>
              <w:numPr>
                <w:ilvl w:val="0"/>
                <w:numId w:val="3"/>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具有4个检测传感器；</w:t>
            </w:r>
          </w:p>
          <w:p>
            <w:pPr>
              <w:keepNext w:val="0"/>
              <w:keepLines w:val="0"/>
              <w:pageBreakBefore w:val="0"/>
              <w:widowControl/>
              <w:numPr>
                <w:ilvl w:val="0"/>
                <w:numId w:val="3"/>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具有真实的物理特性：</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▲3）快换工具数字孪生模型</w:t>
            </w:r>
          </w:p>
          <w:p>
            <w:pPr>
              <w:keepNext w:val="0"/>
              <w:keepLines w:val="0"/>
              <w:pageBreakBefore w:val="0"/>
              <w:widowControl/>
              <w:numPr>
                <w:ilvl w:val="0"/>
                <w:numId w:val="4"/>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模型具有平口手爪、弧口手爪、吸盘、模拟焊枪、绘图笔等多种不同功能的工具。其中，平口手爪和弧口手爪工具支持打开和闭合2种功能；吸盘工具支持吸附和松开2种功能，吸盘工具具有一定弹簧柔性功能，吸盘和工件碰撞时可以缩回；</w:t>
            </w:r>
          </w:p>
          <w:p>
            <w:pPr>
              <w:keepNext w:val="0"/>
              <w:keepLines w:val="0"/>
              <w:pageBreakBefore w:val="0"/>
              <w:widowControl/>
              <w:numPr>
                <w:ilvl w:val="0"/>
                <w:numId w:val="4"/>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具有数据驱动模型接口，支持信号驱动手爪和吸盘工具的动作；</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4）立体仓库数字孪生模型</w:t>
            </w:r>
          </w:p>
          <w:p>
            <w:pPr>
              <w:keepNext w:val="0"/>
              <w:keepLines w:val="0"/>
              <w:pageBreakBefore w:val="0"/>
              <w:widowControl/>
              <w:numPr>
                <w:ilvl w:val="0"/>
                <w:numId w:val="5"/>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模型尺寸：300×300×405mm；</w:t>
            </w:r>
          </w:p>
          <w:p>
            <w:pPr>
              <w:keepNext w:val="0"/>
              <w:keepLines w:val="0"/>
              <w:pageBreakBefore w:val="0"/>
              <w:widowControl/>
              <w:numPr>
                <w:ilvl w:val="0"/>
                <w:numId w:val="5"/>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库位数：6个；</w:t>
            </w:r>
          </w:p>
          <w:p>
            <w:pPr>
              <w:keepNext w:val="0"/>
              <w:keepLines w:val="0"/>
              <w:pageBreakBefore w:val="0"/>
              <w:widowControl/>
              <w:numPr>
                <w:ilvl w:val="0"/>
                <w:numId w:val="5"/>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库位具有工件检测传感器，共有4个传感器；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5）井式供料数字孪生模型</w:t>
            </w:r>
          </w:p>
          <w:p>
            <w:pPr>
              <w:keepNext w:val="0"/>
              <w:keepLines w:val="0"/>
              <w:pageBreakBefore w:val="0"/>
              <w:widowControl/>
              <w:numPr>
                <w:ilvl w:val="0"/>
                <w:numId w:val="6"/>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模型尺寸：300×300×319mm；</w:t>
            </w:r>
          </w:p>
          <w:p>
            <w:pPr>
              <w:keepNext w:val="0"/>
              <w:keepLines w:val="0"/>
              <w:pageBreakBefore w:val="0"/>
              <w:widowControl/>
              <w:numPr>
                <w:ilvl w:val="0"/>
                <w:numId w:val="6"/>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具有一个推料气缸，可将工件从料桶推出；</w:t>
            </w:r>
          </w:p>
          <w:p>
            <w:pPr>
              <w:keepNext w:val="0"/>
              <w:keepLines w:val="0"/>
              <w:pageBreakBefore w:val="0"/>
              <w:widowControl/>
              <w:numPr>
                <w:ilvl w:val="0"/>
                <w:numId w:val="6"/>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具有工件检测传感器，可检测料桶有无料；</w:t>
            </w:r>
          </w:p>
          <w:p>
            <w:pPr>
              <w:keepNext w:val="0"/>
              <w:keepLines w:val="0"/>
              <w:pageBreakBefore w:val="0"/>
              <w:widowControl/>
              <w:numPr>
                <w:ilvl w:val="0"/>
                <w:numId w:val="6"/>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具有真实的物理特性：重力、摩擦力、阻力等；</w:t>
            </w:r>
          </w:p>
          <w:p>
            <w:pPr>
              <w:keepNext w:val="0"/>
              <w:keepLines w:val="0"/>
              <w:pageBreakBefore w:val="0"/>
              <w:widowControl/>
              <w:numPr>
                <w:ilvl w:val="0"/>
                <w:numId w:val="6"/>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具有数据驱动模型接口，支持信号驱动推料气缸伸出和缩回；</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6）输送带数字孪生模型</w:t>
            </w:r>
          </w:p>
          <w:p>
            <w:pPr>
              <w:keepNext w:val="0"/>
              <w:keepLines w:val="0"/>
              <w:pageBreakBefore w:val="0"/>
              <w:widowControl/>
              <w:numPr>
                <w:ilvl w:val="0"/>
                <w:numId w:val="7"/>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模型尺寸：600×300×180mm；</w:t>
            </w:r>
          </w:p>
          <w:p>
            <w:pPr>
              <w:keepNext w:val="0"/>
              <w:keepLines w:val="0"/>
              <w:pageBreakBefore w:val="0"/>
              <w:widowControl/>
              <w:numPr>
                <w:ilvl w:val="0"/>
                <w:numId w:val="7"/>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具有2个工件检测传感器，分别安装与输送带的起始端和末端；</w:t>
            </w:r>
          </w:p>
          <w:p>
            <w:pPr>
              <w:keepNext w:val="0"/>
              <w:keepLines w:val="0"/>
              <w:pageBreakBefore w:val="0"/>
              <w:widowControl/>
              <w:numPr>
                <w:ilvl w:val="0"/>
                <w:numId w:val="7"/>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具有输送平面，可以输送工件；</w:t>
            </w:r>
          </w:p>
          <w:p>
            <w:pPr>
              <w:keepNext w:val="0"/>
              <w:keepLines w:val="0"/>
              <w:pageBreakBefore w:val="0"/>
              <w:widowControl/>
              <w:numPr>
                <w:ilvl w:val="0"/>
                <w:numId w:val="7"/>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具有数据驱动模型接口，支持信号驱动输送带的启动和停止；</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▲7）变位机数字孪生模型</w:t>
            </w:r>
          </w:p>
          <w:p>
            <w:pPr>
              <w:keepNext w:val="0"/>
              <w:keepLines w:val="0"/>
              <w:pageBreakBefore w:val="0"/>
              <w:widowControl/>
              <w:numPr>
                <w:ilvl w:val="0"/>
                <w:numId w:val="8"/>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模型尺寸：600×300×310mm；</w:t>
            </w:r>
          </w:p>
          <w:p>
            <w:pPr>
              <w:keepNext w:val="0"/>
              <w:keepLines w:val="0"/>
              <w:pageBreakBefore w:val="0"/>
              <w:widowControl/>
              <w:numPr>
                <w:ilvl w:val="0"/>
                <w:numId w:val="8"/>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行程：-45°～ +45°；</w:t>
            </w:r>
          </w:p>
          <w:p>
            <w:pPr>
              <w:keepNext w:val="0"/>
              <w:keepLines w:val="0"/>
              <w:pageBreakBefore w:val="0"/>
              <w:widowControl/>
              <w:numPr>
                <w:ilvl w:val="0"/>
                <w:numId w:val="8"/>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具有速度和位置反馈传感器，可实时反馈变位机的速度和位置；</w:t>
            </w:r>
          </w:p>
          <w:p>
            <w:pPr>
              <w:keepNext w:val="0"/>
              <w:keepLines w:val="0"/>
              <w:pageBreakBefore w:val="0"/>
              <w:widowControl/>
              <w:numPr>
                <w:ilvl w:val="0"/>
                <w:numId w:val="8"/>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具有数据驱动模型接口，支持通过使能、速度和位置等数据驱动变位机运动到指定位置；</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8）装配工位数字孪生模型</w:t>
            </w:r>
          </w:p>
          <w:p>
            <w:pPr>
              <w:keepNext w:val="0"/>
              <w:keepLines w:val="0"/>
              <w:pageBreakBefore w:val="0"/>
              <w:widowControl/>
              <w:numPr>
                <w:ilvl w:val="0"/>
                <w:numId w:val="9"/>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模型尺寸：300×150×53mm；</w:t>
            </w:r>
          </w:p>
          <w:p>
            <w:pPr>
              <w:keepNext w:val="0"/>
              <w:keepLines w:val="0"/>
              <w:pageBreakBefore w:val="0"/>
              <w:widowControl/>
              <w:numPr>
                <w:ilvl w:val="0"/>
                <w:numId w:val="9"/>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具有装配气缸，气缸行程：50mm；</w:t>
            </w:r>
          </w:p>
          <w:p>
            <w:pPr>
              <w:keepNext w:val="0"/>
              <w:keepLines w:val="0"/>
              <w:pageBreakBefore w:val="0"/>
              <w:widowControl/>
              <w:numPr>
                <w:ilvl w:val="0"/>
                <w:numId w:val="9"/>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具有真实的物理特性：重力、摩擦力、阻力和力矩等；</w:t>
            </w:r>
          </w:p>
          <w:p>
            <w:pPr>
              <w:keepNext w:val="0"/>
              <w:keepLines w:val="0"/>
              <w:pageBreakBefore w:val="0"/>
              <w:widowControl/>
              <w:numPr>
                <w:ilvl w:val="0"/>
                <w:numId w:val="9"/>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具有数据驱动模型接口，支持信号驱动装配气缸的伸出和缩回；</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▲9）旋转供料数字孪生模型</w:t>
            </w:r>
          </w:p>
          <w:p>
            <w:pPr>
              <w:keepNext w:val="0"/>
              <w:keepLines w:val="0"/>
              <w:pageBreakBefore w:val="0"/>
              <w:widowControl/>
              <w:numPr>
                <w:ilvl w:val="0"/>
                <w:numId w:val="10"/>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模型尺寸：300×300×270mm；</w:t>
            </w:r>
          </w:p>
          <w:p>
            <w:pPr>
              <w:keepNext w:val="0"/>
              <w:keepLines w:val="0"/>
              <w:pageBreakBefore w:val="0"/>
              <w:widowControl/>
              <w:numPr>
                <w:ilvl w:val="0"/>
                <w:numId w:val="10"/>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库位数：6个；</w:t>
            </w:r>
          </w:p>
          <w:p>
            <w:pPr>
              <w:keepNext w:val="0"/>
              <w:keepLines w:val="0"/>
              <w:pageBreakBefore w:val="0"/>
              <w:widowControl/>
              <w:numPr>
                <w:ilvl w:val="0"/>
                <w:numId w:val="10"/>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具有2个工件检测传感器和1个原点位置传感器；</w:t>
            </w:r>
          </w:p>
          <w:p>
            <w:pPr>
              <w:keepNext w:val="0"/>
              <w:keepLines w:val="0"/>
              <w:pageBreakBefore w:val="0"/>
              <w:widowControl/>
              <w:numPr>
                <w:ilvl w:val="0"/>
                <w:numId w:val="10"/>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具有数据驱动模型接口，支持数据驱动模型到达指定位置；</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10）实训平台数字孪生模型</w:t>
            </w:r>
          </w:p>
          <w:p>
            <w:pPr>
              <w:keepNext w:val="0"/>
              <w:keepLines w:val="0"/>
              <w:pageBreakBefore w:val="0"/>
              <w:widowControl/>
              <w:numPr>
                <w:ilvl w:val="0"/>
                <w:numId w:val="11"/>
              </w:numPr>
              <w:kinsoku/>
              <w:wordWrap/>
              <w:overflowPunct/>
              <w:topLinePunct w:val="0"/>
              <w:autoSpaceDE/>
              <w:autoSpaceDN/>
              <w:bidi w:val="0"/>
              <w:snapToGrid/>
              <w:spacing w:line="400" w:lineRule="exact"/>
              <w:ind w:left="210" w:leftChars="10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模型尺寸：约等于1300×1200×880mm；</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▲11）工业机器人应用实训平台整体孪生模型</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整体模型展示需具有上述实训平台、工业机器人、快换工具支架、快换工具、立体仓库、井式供料、输送带、变位机、装配工位、旋转供料等数字孪生模型。</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以上加“▲”重点指标项需提供在配套数字孪生软件中打开的模型截图</w:t>
            </w:r>
          </w:p>
          <w:p>
            <w:pPr>
              <w:keepNext w:val="0"/>
              <w:keepLines w:val="0"/>
              <w:pageBreakBefore w:val="0"/>
              <w:numPr>
                <w:ilvl w:val="0"/>
                <w:numId w:val="1"/>
              </w:numPr>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工业级易拆装工业机器人实训平台（1套）</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6.1工业机器人</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 xml:space="preserve"> 拆装工业机器人主要由工业机器人、安装底板、机器人控制柜</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
                <w:sz w:val="24"/>
                <w:szCs w:val="24"/>
                <w:highlight w:val="none"/>
              </w:rPr>
              <w:t>和示教盒等组</w:t>
            </w:r>
            <w:r>
              <w:rPr>
                <w:rFonts w:hint="eastAsia" w:ascii="仿宋" w:hAnsi="仿宋" w:eastAsia="仿宋" w:cs="仿宋"/>
                <w:color w:val="auto"/>
                <w:sz w:val="24"/>
                <w:szCs w:val="24"/>
                <w:highlight w:val="none"/>
              </w:rPr>
              <w:t>成。</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7"/>
                <w:position w:val="11"/>
                <w:sz w:val="24"/>
                <w:szCs w:val="24"/>
                <w:highlight w:val="none"/>
              </w:rPr>
              <w:t>主</w:t>
            </w:r>
            <w:r>
              <w:rPr>
                <w:rFonts w:hint="eastAsia" w:ascii="仿宋" w:hAnsi="仿宋" w:eastAsia="仿宋" w:cs="仿宋"/>
                <w:color w:val="auto"/>
                <w:spacing w:val="-4"/>
                <w:position w:val="11"/>
                <w:sz w:val="24"/>
                <w:szCs w:val="24"/>
                <w:highlight w:val="none"/>
              </w:rPr>
              <w:t>要技术参数：</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1)自由度：6 个</w:t>
            </w:r>
            <w:r>
              <w:rPr>
                <w:rFonts w:hint="eastAsia" w:ascii="仿宋" w:hAnsi="仿宋" w:eastAsia="仿宋" w:cs="仿宋"/>
                <w:color w:val="auto"/>
                <w:spacing w:val="1"/>
                <w:sz w:val="24"/>
                <w:szCs w:val="24"/>
                <w:highlight w:val="none"/>
              </w:rPr>
              <w:t>。</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 xml:space="preserve">2)驱动方式： </w:t>
            </w:r>
            <w:r>
              <w:rPr>
                <w:rFonts w:hint="eastAsia" w:ascii="仿宋" w:hAnsi="仿宋" w:eastAsia="仿宋" w:cs="仿宋"/>
                <w:color w:val="auto"/>
                <w:sz w:val="24"/>
                <w:szCs w:val="24"/>
                <w:highlight w:val="none"/>
              </w:rPr>
              <w:t>伺服驱动。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w:t>
            </w:r>
            <w:r>
              <w:rPr>
                <w:rFonts w:hint="eastAsia" w:ascii="仿宋" w:hAnsi="仿宋" w:eastAsia="仿宋" w:cs="仿宋"/>
                <w:b/>
                <w:bCs w:val="0"/>
                <w:color w:val="auto"/>
                <w:spacing w:val="-1"/>
                <w:sz w:val="24"/>
                <w:szCs w:val="24"/>
                <w:highlight w:val="none"/>
              </w:rPr>
              <w:t>3) 负载能力：</w:t>
            </w:r>
            <w:r>
              <w:rPr>
                <w:rFonts w:hint="eastAsia" w:ascii="仿宋" w:hAnsi="仿宋" w:eastAsia="仿宋" w:cs="仿宋"/>
                <w:b/>
                <w:bCs w:val="0"/>
                <w:color w:val="auto"/>
                <w:sz w:val="24"/>
                <w:szCs w:val="24"/>
                <w:highlight w:val="none"/>
              </w:rPr>
              <w:t>≥3kg。</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▲4) 重复定位精度：≤±0.05mm。</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5)</w:t>
            </w:r>
            <w:r>
              <w:rPr>
                <w:rFonts w:hint="eastAsia" w:ascii="仿宋" w:hAnsi="仿宋" w:eastAsia="仿宋" w:cs="仿宋"/>
                <w:color w:val="auto"/>
                <w:spacing w:val="-1"/>
                <w:sz w:val="24"/>
                <w:szCs w:val="24"/>
                <w:highlight w:val="none"/>
              </w:rPr>
              <w:t>动作范围：</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关</w:t>
            </w:r>
            <w:r>
              <w:rPr>
                <w:rFonts w:hint="eastAsia" w:ascii="仿宋" w:hAnsi="仿宋" w:eastAsia="仿宋" w:cs="仿宋"/>
                <w:color w:val="auto"/>
                <w:spacing w:val="-18"/>
                <w:sz w:val="24"/>
                <w:szCs w:val="24"/>
                <w:highlight w:val="none"/>
              </w:rPr>
              <w:t>节Ⅰ : ≥±165°</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9"/>
                <w:position w:val="10"/>
                <w:sz w:val="24"/>
                <w:szCs w:val="24"/>
                <w:highlight w:val="none"/>
              </w:rPr>
              <w:t>关</w:t>
            </w:r>
            <w:r>
              <w:rPr>
                <w:rFonts w:hint="eastAsia" w:ascii="仿宋" w:hAnsi="仿宋" w:eastAsia="仿宋" w:cs="仿宋"/>
                <w:color w:val="auto"/>
                <w:spacing w:val="-7"/>
                <w:position w:val="10"/>
                <w:sz w:val="24"/>
                <w:szCs w:val="24"/>
                <w:highlight w:val="none"/>
              </w:rPr>
              <w:t>节Ⅱ : ≥-90°~110°</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2"/>
                <w:sz w:val="24"/>
                <w:szCs w:val="24"/>
                <w:highlight w:val="none"/>
              </w:rPr>
              <w:t>关</w:t>
            </w:r>
            <w:r>
              <w:rPr>
                <w:rFonts w:hint="eastAsia" w:ascii="仿宋" w:hAnsi="仿宋" w:eastAsia="仿宋" w:cs="仿宋"/>
                <w:color w:val="auto"/>
                <w:spacing w:val="-11"/>
                <w:sz w:val="24"/>
                <w:szCs w:val="24"/>
                <w:highlight w:val="none"/>
              </w:rPr>
              <w:t>节</w:t>
            </w:r>
            <w:r>
              <w:rPr>
                <w:rFonts w:hint="eastAsia" w:ascii="仿宋" w:hAnsi="仿宋" w:eastAsia="仿宋" w:cs="仿宋"/>
                <w:color w:val="auto"/>
                <w:spacing w:val="-6"/>
                <w:sz w:val="24"/>
                <w:szCs w:val="24"/>
                <w:highlight w:val="none"/>
              </w:rPr>
              <w:t>Ⅲ : ≥ -110°~60°</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0"/>
                <w:position w:val="11"/>
                <w:sz w:val="24"/>
                <w:szCs w:val="24"/>
                <w:highlight w:val="none"/>
              </w:rPr>
              <w:t>关</w:t>
            </w:r>
            <w:r>
              <w:rPr>
                <w:rFonts w:hint="eastAsia" w:ascii="仿宋" w:hAnsi="仿宋" w:eastAsia="仿宋" w:cs="仿宋"/>
                <w:color w:val="auto"/>
                <w:spacing w:val="-18"/>
                <w:position w:val="11"/>
                <w:sz w:val="24"/>
                <w:szCs w:val="24"/>
                <w:highlight w:val="none"/>
              </w:rPr>
              <w:t>节Ⅳ : ≥±270°</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关</w:t>
            </w:r>
            <w:r>
              <w:rPr>
                <w:rFonts w:hint="eastAsia" w:ascii="仿宋" w:hAnsi="仿宋" w:eastAsia="仿宋" w:cs="仿宋"/>
                <w:color w:val="auto"/>
                <w:spacing w:val="-18"/>
                <w:sz w:val="24"/>
                <w:szCs w:val="24"/>
                <w:highlight w:val="none"/>
              </w:rPr>
              <w:t>节Ⅴ : ≥±120°</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关</w:t>
            </w:r>
            <w:r>
              <w:rPr>
                <w:rFonts w:hint="eastAsia" w:ascii="仿宋" w:hAnsi="仿宋" w:eastAsia="仿宋" w:cs="仿宋"/>
                <w:color w:val="auto"/>
                <w:spacing w:val="-18"/>
                <w:sz w:val="24"/>
                <w:szCs w:val="24"/>
                <w:highlight w:val="none"/>
              </w:rPr>
              <w:t>节Ⅵ : ≥±360°</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6)最大速度：</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7"/>
                <w:position w:val="11"/>
                <w:sz w:val="24"/>
                <w:szCs w:val="24"/>
                <w:highlight w:val="none"/>
              </w:rPr>
              <w:t>关</w:t>
            </w:r>
            <w:r>
              <w:rPr>
                <w:rFonts w:hint="eastAsia" w:ascii="仿宋" w:hAnsi="仿宋" w:eastAsia="仿宋" w:cs="仿宋"/>
                <w:color w:val="auto"/>
                <w:spacing w:val="-16"/>
                <w:position w:val="11"/>
                <w:sz w:val="24"/>
                <w:szCs w:val="24"/>
                <w:highlight w:val="none"/>
              </w:rPr>
              <w:t>节Ⅰ : ≥200°/s</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7"/>
                <w:sz w:val="24"/>
                <w:szCs w:val="24"/>
                <w:highlight w:val="none"/>
              </w:rPr>
              <w:t>关</w:t>
            </w:r>
            <w:r>
              <w:rPr>
                <w:rFonts w:hint="eastAsia" w:ascii="仿宋" w:hAnsi="仿宋" w:eastAsia="仿宋" w:cs="仿宋"/>
                <w:color w:val="auto"/>
                <w:spacing w:val="-16"/>
                <w:sz w:val="24"/>
                <w:szCs w:val="24"/>
                <w:highlight w:val="none"/>
              </w:rPr>
              <w:t>节Ⅱ : ≥200°/s</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7"/>
                <w:sz w:val="24"/>
                <w:szCs w:val="24"/>
                <w:highlight w:val="none"/>
              </w:rPr>
              <w:t>关</w:t>
            </w:r>
            <w:r>
              <w:rPr>
                <w:rFonts w:hint="eastAsia" w:ascii="仿宋" w:hAnsi="仿宋" w:eastAsia="仿宋" w:cs="仿宋"/>
                <w:color w:val="auto"/>
                <w:spacing w:val="-16"/>
                <w:sz w:val="24"/>
                <w:szCs w:val="24"/>
                <w:highlight w:val="none"/>
              </w:rPr>
              <w:t>节Ⅲ : ≥200°/s</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7"/>
                <w:sz w:val="24"/>
                <w:szCs w:val="24"/>
                <w:highlight w:val="none"/>
              </w:rPr>
              <w:t>关</w:t>
            </w:r>
            <w:r>
              <w:rPr>
                <w:rFonts w:hint="eastAsia" w:ascii="仿宋" w:hAnsi="仿宋" w:eastAsia="仿宋" w:cs="仿宋"/>
                <w:color w:val="auto"/>
                <w:spacing w:val="-16"/>
                <w:sz w:val="24"/>
                <w:szCs w:val="24"/>
                <w:highlight w:val="none"/>
              </w:rPr>
              <w:t>节Ⅳ : ≥180°/s</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7"/>
                <w:sz w:val="24"/>
                <w:szCs w:val="24"/>
                <w:highlight w:val="none"/>
              </w:rPr>
              <w:t>关</w:t>
            </w:r>
            <w:r>
              <w:rPr>
                <w:rFonts w:hint="eastAsia" w:ascii="仿宋" w:hAnsi="仿宋" w:eastAsia="仿宋" w:cs="仿宋"/>
                <w:color w:val="auto"/>
                <w:spacing w:val="-16"/>
                <w:sz w:val="24"/>
                <w:szCs w:val="24"/>
                <w:highlight w:val="none"/>
              </w:rPr>
              <w:t>节Ⅴ : ≥270°/s</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7"/>
                <w:sz w:val="24"/>
                <w:szCs w:val="24"/>
                <w:highlight w:val="none"/>
              </w:rPr>
              <w:t>关</w:t>
            </w:r>
            <w:r>
              <w:rPr>
                <w:rFonts w:hint="eastAsia" w:ascii="仿宋" w:hAnsi="仿宋" w:eastAsia="仿宋" w:cs="仿宋"/>
                <w:color w:val="auto"/>
                <w:spacing w:val="-16"/>
                <w:sz w:val="24"/>
                <w:szCs w:val="24"/>
                <w:highlight w:val="none"/>
              </w:rPr>
              <w:t>节Ⅵ : ≥360°/s</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position w:val="11"/>
                <w:sz w:val="24"/>
                <w:szCs w:val="24"/>
                <w:highlight w:val="none"/>
              </w:rPr>
              <w:t>最大展开半径:</w:t>
            </w:r>
            <w:r>
              <w:rPr>
                <w:rFonts w:hint="eastAsia" w:ascii="仿宋" w:hAnsi="仿宋" w:eastAsia="仿宋" w:cs="仿宋"/>
                <w:color w:val="auto"/>
                <w:position w:val="11"/>
                <w:sz w:val="24"/>
                <w:szCs w:val="24"/>
                <w:highlight w:val="none"/>
              </w:rPr>
              <w:t>545mm</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7)减速机：谐波减速机</w:t>
            </w:r>
            <w:r>
              <w:rPr>
                <w:rFonts w:hint="eastAsia" w:ascii="仿宋" w:hAnsi="仿宋" w:eastAsia="仿宋" w:cs="仿宋"/>
                <w:color w:val="auto"/>
                <w:spacing w:val="7"/>
                <w:sz w:val="24"/>
                <w:szCs w:val="24"/>
                <w:highlight w:val="none"/>
              </w:rPr>
              <w:t>。</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8)伺服系统：</w:t>
            </w:r>
            <w:r>
              <w:rPr>
                <w:rFonts w:hint="eastAsia" w:ascii="仿宋" w:hAnsi="仿宋" w:eastAsia="仿宋" w:cs="仿宋"/>
                <w:color w:val="auto"/>
                <w:spacing w:val="-4"/>
                <w:sz w:val="24"/>
                <w:szCs w:val="24"/>
                <w:highlight w:val="none"/>
              </w:rPr>
              <w:t xml:space="preserve"> </w:t>
            </w:r>
            <w:r>
              <w:rPr>
                <w:rFonts w:hint="eastAsia" w:ascii="仿宋" w:hAnsi="仿宋" w:eastAsia="仿宋" w:cs="仿宋"/>
                <w:color w:val="auto"/>
                <w:spacing w:val="-3"/>
                <w:sz w:val="24"/>
                <w:szCs w:val="24"/>
                <w:highlight w:val="none"/>
              </w:rPr>
              <w:t>多摩川伺服电机 EtherCAT 总线通讯绝对值控制。</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pacing w:val="-6"/>
                <w:sz w:val="24"/>
                <w:szCs w:val="24"/>
                <w:highlight w:val="none"/>
              </w:rPr>
              <w:t>注：</w:t>
            </w:r>
            <w:r>
              <w:rPr>
                <w:rFonts w:hint="eastAsia" w:ascii="仿宋" w:hAnsi="仿宋" w:eastAsia="仿宋" w:cs="仿宋"/>
                <w:b/>
                <w:bCs/>
                <w:color w:val="auto"/>
                <w:spacing w:val="-4"/>
                <w:sz w:val="24"/>
                <w:szCs w:val="24"/>
                <w:highlight w:val="none"/>
              </w:rPr>
              <w:t>针</w:t>
            </w:r>
            <w:r>
              <w:rPr>
                <w:rFonts w:hint="eastAsia" w:ascii="仿宋" w:hAnsi="仿宋" w:eastAsia="仿宋" w:cs="仿宋"/>
                <w:b/>
                <w:bCs/>
                <w:color w:val="auto"/>
                <w:spacing w:val="-3"/>
                <w:sz w:val="24"/>
                <w:szCs w:val="24"/>
                <w:highlight w:val="none"/>
              </w:rPr>
              <w:t>对</w:t>
            </w:r>
            <w:r>
              <w:rPr>
                <w:rFonts w:hint="eastAsia" w:ascii="仿宋" w:hAnsi="仿宋" w:eastAsia="仿宋" w:cs="仿宋"/>
                <w:bCs/>
                <w:color w:val="auto"/>
                <w:sz w:val="24"/>
                <w:szCs w:val="24"/>
                <w:highlight w:val="none"/>
              </w:rPr>
              <w:t>▲</w:t>
            </w:r>
            <w:r>
              <w:rPr>
                <w:rFonts w:hint="eastAsia" w:ascii="仿宋" w:hAnsi="仿宋" w:eastAsia="仿宋" w:cs="仿宋"/>
                <w:b/>
                <w:bCs/>
                <w:color w:val="auto"/>
                <w:spacing w:val="-3"/>
                <w:sz w:val="24"/>
                <w:szCs w:val="24"/>
                <w:highlight w:val="none"/>
              </w:rPr>
              <w:t>技术条款须提供机器人本体工程图和 DH 参数。</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6.2机器人控制系统</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机器人控</w:t>
            </w:r>
            <w:r>
              <w:rPr>
                <w:rFonts w:hint="eastAsia" w:ascii="仿宋" w:hAnsi="仿宋" w:eastAsia="仿宋" w:cs="仿宋"/>
                <w:color w:val="auto"/>
                <w:spacing w:val="2"/>
                <w:sz w:val="24"/>
                <w:szCs w:val="24"/>
                <w:highlight w:val="none"/>
              </w:rPr>
              <w:t>制系统根据用户指令对机器人本体进行操作和控制，完</w:t>
            </w:r>
            <w:r>
              <w:rPr>
                <w:rFonts w:hint="eastAsia" w:ascii="仿宋" w:hAnsi="仿宋" w:eastAsia="仿宋" w:cs="仿宋"/>
                <w:color w:val="auto"/>
                <w:spacing w:val="-4"/>
                <w:sz w:val="24"/>
                <w:szCs w:val="24"/>
                <w:highlight w:val="none"/>
              </w:rPr>
              <w:t>成作</w:t>
            </w:r>
            <w:r>
              <w:rPr>
                <w:rFonts w:hint="eastAsia" w:ascii="仿宋" w:hAnsi="仿宋" w:eastAsia="仿宋" w:cs="仿宋"/>
                <w:color w:val="auto"/>
                <w:spacing w:val="-2"/>
                <w:sz w:val="24"/>
                <w:szCs w:val="24"/>
                <w:highlight w:val="none"/>
              </w:rPr>
              <w:t>业的各种动作。</w:t>
            </w:r>
          </w:p>
          <w:p>
            <w:pPr>
              <w:keepNext w:val="0"/>
              <w:keepLines w:val="0"/>
              <w:pageBreakBefore w:val="0"/>
              <w:numPr>
                <w:ilvl w:val="0"/>
                <w:numId w:val="0"/>
              </w:numPr>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kern w:val="2"/>
                <w:sz w:val="24"/>
                <w:szCs w:val="24"/>
                <w:highlight w:val="none"/>
                <w:lang w:val="en-US" w:eastAsia="zh-CN" w:bidi="ar-SA"/>
              </w:rPr>
              <w:t>1)</w:t>
            </w:r>
            <w:r>
              <w:rPr>
                <w:rFonts w:hint="eastAsia" w:ascii="仿宋" w:hAnsi="仿宋" w:eastAsia="仿宋" w:cs="仿宋"/>
                <w:color w:val="auto"/>
                <w:spacing w:val="-7"/>
                <w:sz w:val="24"/>
                <w:szCs w:val="24"/>
                <w:highlight w:val="none"/>
              </w:rPr>
              <w:t>内置 12 种机器人运动模型； 可添加 lin 直线轴和 Ro</w:t>
            </w:r>
            <w:r>
              <w:rPr>
                <w:rFonts w:hint="eastAsia" w:ascii="仿宋" w:hAnsi="仿宋" w:eastAsia="仿宋" w:cs="仿宋"/>
                <w:color w:val="auto"/>
                <w:spacing w:val="-2"/>
                <w:sz w:val="24"/>
                <w:szCs w:val="24"/>
                <w:highlight w:val="none"/>
              </w:rPr>
              <w:t>t</w:t>
            </w:r>
            <w:r>
              <w:rPr>
                <w:rFonts w:hint="eastAsia" w:ascii="仿宋" w:hAnsi="仿宋" w:eastAsia="仿宋" w:cs="仿宋"/>
                <w:color w:val="auto"/>
                <w:spacing w:val="-7"/>
                <w:sz w:val="24"/>
                <w:szCs w:val="24"/>
                <w:highlight w:val="none"/>
              </w:rPr>
              <w:t xml:space="preserve"> 旋转轴</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8"/>
                <w:sz w:val="24"/>
                <w:szCs w:val="24"/>
                <w:highlight w:val="none"/>
              </w:rPr>
              <w:t>外部轴，根据不同的应用，可配置为 Simple 类型， Robo</w:t>
            </w:r>
            <w:r>
              <w:rPr>
                <w:rFonts w:hint="eastAsia" w:ascii="仿宋" w:hAnsi="仿宋" w:eastAsia="仿宋" w:cs="仿宋"/>
                <w:color w:val="auto"/>
                <w:spacing w:val="-3"/>
                <w:sz w:val="24"/>
                <w:szCs w:val="24"/>
                <w:highlight w:val="none"/>
              </w:rPr>
              <w:t>t</w:t>
            </w:r>
            <w:r>
              <w:rPr>
                <w:rFonts w:hint="eastAsia" w:ascii="仿宋" w:hAnsi="仿宋" w:eastAsia="仿宋" w:cs="仿宋"/>
                <w:color w:val="auto"/>
                <w:spacing w:val="-8"/>
                <w:sz w:val="24"/>
                <w:szCs w:val="24"/>
                <w:highlight w:val="none"/>
              </w:rPr>
              <w:t xml:space="preserve"> 类型，</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0"/>
                <w:sz w:val="24"/>
                <w:szCs w:val="24"/>
                <w:highlight w:val="none"/>
              </w:rPr>
              <w:t>External</w:t>
            </w:r>
            <w:r>
              <w:rPr>
                <w:rFonts w:hint="eastAsia" w:ascii="仿宋" w:hAnsi="仿宋" w:eastAsia="仿宋" w:cs="仿宋"/>
                <w:color w:val="auto"/>
                <w:spacing w:val="-20"/>
                <w:sz w:val="24"/>
                <w:szCs w:val="24"/>
                <w:highlight w:val="none"/>
              </w:rPr>
              <w:t xml:space="preserve"> </w:t>
            </w:r>
            <w:r>
              <w:rPr>
                <w:rFonts w:hint="eastAsia" w:ascii="仿宋" w:hAnsi="仿宋" w:eastAsia="仿宋" w:cs="仿宋"/>
                <w:color w:val="auto"/>
                <w:spacing w:val="-11"/>
                <w:sz w:val="24"/>
                <w:szCs w:val="24"/>
                <w:highlight w:val="none"/>
              </w:rPr>
              <w:t>类</w:t>
            </w:r>
            <w:r>
              <w:rPr>
                <w:rFonts w:hint="eastAsia" w:ascii="仿宋" w:hAnsi="仿宋" w:eastAsia="仿宋" w:cs="仿宋"/>
                <w:color w:val="auto"/>
                <w:spacing w:val="-10"/>
                <w:sz w:val="24"/>
                <w:szCs w:val="24"/>
                <w:highlight w:val="none"/>
              </w:rPr>
              <w:t>型；支持多品牌、多型号驱动器，最多可驱动 64 个轴。</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2)机器人开发软件：支持 EtherCAT、</w:t>
            </w:r>
            <w:r>
              <w:rPr>
                <w:rFonts w:hint="eastAsia" w:ascii="仿宋" w:hAnsi="仿宋" w:eastAsia="仿宋" w:cs="仿宋"/>
                <w:color w:val="auto"/>
                <w:sz w:val="24"/>
                <w:szCs w:val="24"/>
                <w:highlight w:val="none"/>
              </w:rPr>
              <w:t>TCP</w:t>
            </w:r>
            <w:r>
              <w:rPr>
                <w:rFonts w:hint="eastAsia" w:ascii="仿宋" w:hAnsi="仿宋" w:eastAsia="仿宋" w:cs="仿宋"/>
                <w:color w:val="auto"/>
                <w:spacing w:val="-1"/>
                <w:sz w:val="24"/>
                <w:szCs w:val="24"/>
                <w:highlight w:val="none"/>
              </w:rPr>
              <w:t>/</w:t>
            </w:r>
            <w:r>
              <w:rPr>
                <w:rFonts w:hint="eastAsia" w:ascii="仿宋" w:hAnsi="仿宋" w:eastAsia="仿宋" w:cs="仿宋"/>
                <w:color w:val="auto"/>
                <w:sz w:val="24"/>
                <w:szCs w:val="24"/>
                <w:highlight w:val="none"/>
              </w:rPr>
              <w:t>IP</w:t>
            </w:r>
            <w:r>
              <w:rPr>
                <w:rFonts w:hint="eastAsia" w:ascii="仿宋" w:hAnsi="仿宋" w:eastAsia="仿宋" w:cs="仿宋"/>
                <w:color w:val="auto"/>
                <w:spacing w:val="-1"/>
                <w:sz w:val="24"/>
                <w:szCs w:val="24"/>
                <w:highlight w:val="none"/>
              </w:rPr>
              <w:t xml:space="preserve"> 等通讯协议，支持</w:t>
            </w:r>
            <w:r>
              <w:rPr>
                <w:rFonts w:hint="eastAsia" w:ascii="仿宋" w:hAnsi="仿宋" w:eastAsia="仿宋" w:cs="仿宋"/>
                <w:color w:val="auto"/>
                <w:spacing w:val="-7"/>
                <w:sz w:val="24"/>
                <w:szCs w:val="24"/>
                <w:highlight w:val="none"/>
              </w:rPr>
              <w:t>多轴伺服驱动系统；支持 IE</w:t>
            </w:r>
            <w:r>
              <w:rPr>
                <w:rFonts w:hint="eastAsia" w:ascii="仿宋" w:hAnsi="仿宋" w:eastAsia="仿宋" w:cs="仿宋"/>
                <w:color w:val="auto"/>
                <w:sz w:val="24"/>
                <w:szCs w:val="24"/>
                <w:highlight w:val="none"/>
              </w:rPr>
              <w:t>C</w:t>
            </w:r>
            <w:r>
              <w:rPr>
                <w:rFonts w:hint="eastAsia" w:ascii="仿宋" w:hAnsi="仿宋" w:eastAsia="仿宋" w:cs="仿宋"/>
                <w:color w:val="auto"/>
                <w:spacing w:val="-7"/>
                <w:sz w:val="24"/>
                <w:szCs w:val="24"/>
                <w:highlight w:val="none"/>
              </w:rPr>
              <w:t>_61131 所描述的所有语言；支持在</w:t>
            </w:r>
            <w:r>
              <w:rPr>
                <w:rFonts w:hint="eastAsia" w:ascii="仿宋" w:hAnsi="仿宋" w:eastAsia="仿宋" w:cs="仿宋"/>
                <w:color w:val="auto"/>
                <w:spacing w:val="-4"/>
                <w:sz w:val="24"/>
                <w:szCs w:val="24"/>
                <w:highlight w:val="none"/>
              </w:rPr>
              <w:t>线监</w:t>
            </w:r>
            <w:r>
              <w:rPr>
                <w:rFonts w:hint="eastAsia" w:ascii="仿宋" w:hAnsi="仿宋" w:eastAsia="仿宋" w:cs="仿宋"/>
                <w:color w:val="auto"/>
                <w:spacing w:val="-2"/>
                <w:sz w:val="24"/>
                <w:szCs w:val="24"/>
                <w:highlight w:val="none"/>
              </w:rPr>
              <w:t>控与调试。</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1"/>
                <w:sz w:val="24"/>
                <w:szCs w:val="24"/>
                <w:highlight w:val="none"/>
              </w:rPr>
              <w:t>3</w:t>
            </w:r>
            <w:r>
              <w:rPr>
                <w:rFonts w:hint="eastAsia" w:ascii="仿宋" w:hAnsi="仿宋" w:eastAsia="仿宋" w:cs="仿宋"/>
                <w:color w:val="auto"/>
                <w:spacing w:val="6"/>
                <w:sz w:val="24"/>
                <w:szCs w:val="24"/>
                <w:highlight w:val="none"/>
              </w:rPr>
              <w:t>)控制系统主要参数：</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6"/>
                <w:sz w:val="24"/>
                <w:szCs w:val="24"/>
                <w:highlight w:val="none"/>
              </w:rPr>
              <w:t>(</w:t>
            </w:r>
            <w:r>
              <w:rPr>
                <w:rFonts w:hint="eastAsia" w:ascii="仿宋" w:hAnsi="仿宋" w:eastAsia="仿宋" w:cs="仿宋"/>
                <w:color w:val="auto"/>
                <w:spacing w:val="13"/>
                <w:sz w:val="24"/>
                <w:szCs w:val="24"/>
                <w:highlight w:val="none"/>
              </w:rPr>
              <w:t>1) 控制器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4"/>
                <w:position w:val="11"/>
                <w:sz w:val="24"/>
                <w:szCs w:val="24"/>
                <w:highlight w:val="none"/>
              </w:rPr>
              <w:t>电</w:t>
            </w:r>
            <w:r>
              <w:rPr>
                <w:rFonts w:hint="eastAsia" w:ascii="仿宋" w:hAnsi="仿宋" w:eastAsia="仿宋" w:cs="仿宋"/>
                <w:color w:val="auto"/>
                <w:spacing w:val="-12"/>
                <w:position w:val="11"/>
                <w:sz w:val="24"/>
                <w:szCs w:val="24"/>
                <w:highlight w:val="none"/>
              </w:rPr>
              <w:t>源电压： DC24V</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最大总功耗：9</w:t>
            </w:r>
            <w:r>
              <w:rPr>
                <w:rFonts w:hint="eastAsia" w:ascii="仿宋" w:hAnsi="仿宋" w:eastAsia="仿宋" w:cs="仿宋"/>
                <w:color w:val="auto"/>
                <w:sz w:val="24"/>
                <w:szCs w:val="24"/>
                <w:highlight w:val="none"/>
              </w:rPr>
              <w:t>5W</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7"/>
                <w:sz w:val="24"/>
                <w:szCs w:val="24"/>
                <w:highlight w:val="none"/>
              </w:rPr>
              <w:t>(</w:t>
            </w:r>
            <w:r>
              <w:rPr>
                <w:rFonts w:hint="eastAsia" w:ascii="仿宋" w:hAnsi="仿宋" w:eastAsia="仿宋" w:cs="仿宋"/>
                <w:color w:val="auto"/>
                <w:spacing w:val="11"/>
                <w:sz w:val="24"/>
                <w:szCs w:val="24"/>
                <w:highlight w:val="none"/>
              </w:rPr>
              <w:t>2) 系统性能</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position w:val="11"/>
                <w:sz w:val="24"/>
                <w:szCs w:val="24"/>
                <w:highlight w:val="none"/>
              </w:rPr>
              <w:t>处理器：1.6GH</w:t>
            </w:r>
            <w:r>
              <w:rPr>
                <w:rFonts w:hint="eastAsia" w:ascii="仿宋" w:hAnsi="仿宋" w:eastAsia="仿宋" w:cs="仿宋"/>
                <w:color w:val="auto"/>
                <w:position w:val="11"/>
                <w:sz w:val="24"/>
                <w:szCs w:val="24"/>
                <w:highlight w:val="none"/>
              </w:rPr>
              <w:t>z</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内</w:t>
            </w:r>
            <w:r>
              <w:rPr>
                <w:rFonts w:hint="eastAsia" w:ascii="仿宋" w:hAnsi="仿宋" w:eastAsia="仿宋" w:cs="仿宋"/>
                <w:color w:val="auto"/>
                <w:spacing w:val="-18"/>
                <w:sz w:val="24"/>
                <w:szCs w:val="24"/>
                <w:highlight w:val="none"/>
              </w:rPr>
              <w:t>存： 1GB</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w:t>
            </w:r>
            <w:r>
              <w:rPr>
                <w:rFonts w:hint="eastAsia" w:ascii="仿宋" w:hAnsi="仿宋" w:eastAsia="仿宋" w:cs="仿宋"/>
                <w:color w:val="auto"/>
                <w:spacing w:val="-5"/>
                <w:sz w:val="24"/>
                <w:szCs w:val="24"/>
                <w:highlight w:val="none"/>
              </w:rPr>
              <w:t>3)数字量输入</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输入通道数：16 个</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2"/>
                <w:sz w:val="24"/>
                <w:szCs w:val="24"/>
                <w:highlight w:val="none"/>
              </w:rPr>
              <w:t>处理频率： 1m</w:t>
            </w:r>
            <w:r>
              <w:rPr>
                <w:rFonts w:hint="eastAsia" w:ascii="仿宋" w:hAnsi="仿宋" w:eastAsia="仿宋" w:cs="仿宋"/>
                <w:color w:val="auto"/>
                <w:spacing w:val="-11"/>
                <w:sz w:val="24"/>
                <w:szCs w:val="24"/>
                <w:highlight w:val="none"/>
              </w:rPr>
              <w:t>s</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w:t>
            </w:r>
            <w:r>
              <w:rPr>
                <w:rFonts w:hint="eastAsia" w:ascii="仿宋" w:hAnsi="仿宋" w:eastAsia="仿宋" w:cs="仿宋"/>
                <w:color w:val="auto"/>
                <w:spacing w:val="-5"/>
                <w:sz w:val="24"/>
                <w:szCs w:val="24"/>
                <w:highlight w:val="none"/>
              </w:rPr>
              <w:t>4)数字量输出</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输出通道数：16 个</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2"/>
                <w:sz w:val="24"/>
                <w:szCs w:val="24"/>
                <w:highlight w:val="none"/>
              </w:rPr>
              <w:t>处理频率： 1m</w:t>
            </w:r>
            <w:r>
              <w:rPr>
                <w:rFonts w:hint="eastAsia" w:ascii="仿宋" w:hAnsi="仿宋" w:eastAsia="仿宋" w:cs="仿宋"/>
                <w:color w:val="auto"/>
                <w:spacing w:val="-11"/>
                <w:sz w:val="24"/>
                <w:szCs w:val="24"/>
                <w:highlight w:val="none"/>
              </w:rPr>
              <w:t>s</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5"/>
                <w:sz w:val="24"/>
                <w:szCs w:val="24"/>
                <w:highlight w:val="none"/>
              </w:rPr>
              <w:t>额</w:t>
            </w:r>
            <w:r>
              <w:rPr>
                <w:rFonts w:hint="eastAsia" w:ascii="仿宋" w:hAnsi="仿宋" w:eastAsia="仿宋" w:cs="仿宋"/>
                <w:color w:val="auto"/>
                <w:spacing w:val="-13"/>
                <w:sz w:val="24"/>
                <w:szCs w:val="24"/>
                <w:highlight w:val="none"/>
              </w:rPr>
              <w:t>定电流： 2A</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(5)通信接口</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CA</w:t>
            </w:r>
            <w:r>
              <w:rPr>
                <w:rFonts w:hint="eastAsia" w:ascii="仿宋" w:hAnsi="仿宋" w:eastAsia="仿宋" w:cs="仿宋"/>
                <w:color w:val="auto"/>
                <w:spacing w:val="-7"/>
                <w:sz w:val="24"/>
                <w:szCs w:val="24"/>
                <w:highlight w:val="none"/>
              </w:rPr>
              <w:t>N</w:t>
            </w:r>
            <w:r>
              <w:rPr>
                <w:rFonts w:hint="eastAsia" w:ascii="仿宋" w:hAnsi="仿宋" w:eastAsia="仿宋" w:cs="仿宋"/>
                <w:color w:val="auto"/>
                <w:spacing w:val="-8"/>
                <w:sz w:val="24"/>
                <w:szCs w:val="24"/>
                <w:highlight w:val="none"/>
              </w:rPr>
              <w:t xml:space="preserve"> 总线接口数：1 个</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以太网接口： 3 个(其中Ethernet2 口为 EtherCA</w:t>
            </w:r>
            <w:r>
              <w:rPr>
                <w:rFonts w:hint="eastAsia" w:ascii="仿宋" w:hAnsi="仿宋" w:eastAsia="仿宋" w:cs="仿宋"/>
                <w:color w:val="auto"/>
                <w:sz w:val="24"/>
                <w:szCs w:val="24"/>
                <w:highlight w:val="none"/>
              </w:rPr>
              <w:t>T</w:t>
            </w:r>
            <w:r>
              <w:rPr>
                <w:rFonts w:hint="eastAsia" w:ascii="仿宋" w:hAnsi="仿宋" w:eastAsia="仿宋" w:cs="仿宋"/>
                <w:color w:val="auto"/>
                <w:spacing w:val="-7"/>
                <w:sz w:val="24"/>
                <w:szCs w:val="24"/>
                <w:highlight w:val="none"/>
              </w:rPr>
              <w:t xml:space="preserve"> 总线接口</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7"/>
                <w:sz w:val="24"/>
                <w:szCs w:val="24"/>
                <w:highlight w:val="none"/>
              </w:rPr>
              <w:t>通</w:t>
            </w:r>
            <w:r>
              <w:rPr>
                <w:rFonts w:hint="eastAsia" w:ascii="仿宋" w:hAnsi="仿宋" w:eastAsia="仿宋" w:cs="仿宋"/>
                <w:color w:val="auto"/>
                <w:spacing w:val="-6"/>
                <w:sz w:val="24"/>
                <w:szCs w:val="24"/>
                <w:highlight w:val="none"/>
              </w:rPr>
              <w:t>信速率： 10/100Mbit/s</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8"/>
                <w:position w:val="11"/>
                <w:sz w:val="24"/>
                <w:szCs w:val="24"/>
                <w:highlight w:val="none"/>
              </w:rPr>
              <w:t>USB</w:t>
            </w:r>
            <w:r>
              <w:rPr>
                <w:rFonts w:hint="eastAsia" w:ascii="仿宋" w:hAnsi="仿宋" w:eastAsia="仿宋" w:cs="仿宋"/>
                <w:color w:val="auto"/>
                <w:spacing w:val="-23"/>
                <w:position w:val="11"/>
                <w:sz w:val="24"/>
                <w:szCs w:val="24"/>
                <w:highlight w:val="none"/>
              </w:rPr>
              <w:t xml:space="preserve"> </w:t>
            </w:r>
            <w:r>
              <w:rPr>
                <w:rFonts w:hint="eastAsia" w:ascii="仿宋" w:hAnsi="仿宋" w:eastAsia="仿宋" w:cs="仿宋"/>
                <w:color w:val="auto"/>
                <w:spacing w:val="-18"/>
                <w:position w:val="11"/>
                <w:sz w:val="24"/>
                <w:szCs w:val="24"/>
                <w:highlight w:val="none"/>
              </w:rPr>
              <w:t>接口： 2 个</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w:t>
            </w:r>
            <w:r>
              <w:rPr>
                <w:rFonts w:hint="eastAsia" w:ascii="仿宋" w:hAnsi="仿宋" w:eastAsia="仿宋" w:cs="仿宋"/>
                <w:color w:val="auto"/>
                <w:spacing w:val="-5"/>
                <w:sz w:val="24"/>
                <w:szCs w:val="24"/>
                <w:highlight w:val="none"/>
              </w:rPr>
              <w:t>6)伺服驱动器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驱</w:t>
            </w:r>
            <w:r>
              <w:rPr>
                <w:rFonts w:hint="eastAsia" w:ascii="仿宋" w:hAnsi="仿宋" w:eastAsia="仿宋" w:cs="仿宋"/>
                <w:color w:val="auto"/>
                <w:spacing w:val="-5"/>
                <w:sz w:val="24"/>
                <w:szCs w:val="24"/>
                <w:highlight w:val="none"/>
              </w:rPr>
              <w:t>动轴数量: 6 轴</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供</w:t>
            </w:r>
            <w:r>
              <w:rPr>
                <w:rFonts w:hint="eastAsia" w:ascii="仿宋" w:hAnsi="仿宋" w:eastAsia="仿宋" w:cs="仿宋"/>
                <w:color w:val="auto"/>
                <w:spacing w:val="-12"/>
                <w:sz w:val="24"/>
                <w:szCs w:val="24"/>
                <w:highlight w:val="none"/>
              </w:rPr>
              <w:t>电</w:t>
            </w:r>
            <w:r>
              <w:rPr>
                <w:rFonts w:hint="eastAsia" w:ascii="仿宋" w:hAnsi="仿宋" w:eastAsia="仿宋" w:cs="仿宋"/>
                <w:color w:val="auto"/>
                <w:spacing w:val="-10"/>
                <w:sz w:val="24"/>
                <w:szCs w:val="24"/>
                <w:highlight w:val="none"/>
              </w:rPr>
              <w:t>电压： 单相交流 220V</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6.3、机器人示教盒</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机</w:t>
            </w:r>
            <w:r>
              <w:rPr>
                <w:rFonts w:hint="eastAsia" w:ascii="仿宋" w:hAnsi="仿宋" w:eastAsia="仿宋" w:cs="仿宋"/>
                <w:color w:val="auto"/>
                <w:spacing w:val="-8"/>
                <w:sz w:val="24"/>
                <w:szCs w:val="24"/>
                <w:highlight w:val="none"/>
              </w:rPr>
              <w:t>器人示教盒是主要人机交互终端， 使用机器</w:t>
            </w:r>
            <w:r>
              <w:rPr>
                <w:rFonts w:hint="eastAsia" w:ascii="仿宋" w:hAnsi="仿宋" w:eastAsia="仿宋" w:cs="仿宋"/>
                <w:color w:val="auto"/>
                <w:spacing w:val="-2"/>
                <w:sz w:val="24"/>
                <w:szCs w:val="24"/>
                <w:highlight w:val="none"/>
              </w:rPr>
              <w:t>人示教</w:t>
            </w:r>
            <w:r>
              <w:rPr>
                <w:rFonts w:hint="eastAsia" w:ascii="仿宋" w:hAnsi="仿宋" w:eastAsia="仿宋" w:cs="仿宋"/>
                <w:color w:val="auto"/>
                <w:spacing w:val="-1"/>
                <w:sz w:val="24"/>
                <w:szCs w:val="24"/>
                <w:highlight w:val="none"/>
              </w:rPr>
              <w:t>盒可更加方便快捷的控制机器人。</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lang w:val="en-US" w:eastAsia="zh-CN"/>
              </w:rPr>
              <w:t>1）</w:t>
            </w:r>
            <w:r>
              <w:rPr>
                <w:rFonts w:hint="eastAsia" w:ascii="仿宋" w:hAnsi="仿宋" w:eastAsia="仿宋" w:cs="仿宋"/>
                <w:color w:val="auto"/>
                <w:spacing w:val="-7"/>
                <w:sz w:val="24"/>
                <w:szCs w:val="24"/>
                <w:highlight w:val="none"/>
              </w:rPr>
              <w:t>主</w:t>
            </w:r>
            <w:r>
              <w:rPr>
                <w:rFonts w:hint="eastAsia" w:ascii="仿宋" w:hAnsi="仿宋" w:eastAsia="仿宋" w:cs="仿宋"/>
                <w:color w:val="auto"/>
                <w:spacing w:val="-4"/>
                <w:sz w:val="24"/>
                <w:szCs w:val="24"/>
                <w:highlight w:val="none"/>
              </w:rPr>
              <w:t>要功能要求：</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rPr>
              <w:t>1) 示教盒急停:与电柜前面板急停串联，功能相同</w:t>
            </w:r>
            <w:r>
              <w:rPr>
                <w:rFonts w:hint="eastAsia" w:ascii="仿宋" w:hAnsi="仿宋" w:eastAsia="仿宋" w:cs="仿宋"/>
                <w:color w:val="auto"/>
                <w:spacing w:val="-1"/>
                <w:sz w:val="24"/>
                <w:szCs w:val="24"/>
                <w:highlight w:val="none"/>
              </w:rPr>
              <w:t>，用于机器人</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6"/>
                <w:sz w:val="24"/>
                <w:szCs w:val="24"/>
                <w:highlight w:val="none"/>
              </w:rPr>
              <w:t>的</w:t>
            </w:r>
            <w:r>
              <w:rPr>
                <w:rFonts w:hint="eastAsia" w:ascii="仿宋" w:hAnsi="仿宋" w:eastAsia="仿宋" w:cs="仿宋"/>
                <w:color w:val="auto"/>
                <w:spacing w:val="-4"/>
                <w:sz w:val="24"/>
                <w:szCs w:val="24"/>
                <w:highlight w:val="none"/>
              </w:rPr>
              <w:t>紧</w:t>
            </w:r>
            <w:r>
              <w:rPr>
                <w:rFonts w:hint="eastAsia" w:ascii="仿宋" w:hAnsi="仿宋" w:eastAsia="仿宋" w:cs="仿宋"/>
                <w:color w:val="auto"/>
                <w:spacing w:val="-3"/>
                <w:sz w:val="24"/>
                <w:szCs w:val="24"/>
                <w:highlight w:val="none"/>
              </w:rPr>
              <w:t>急急停。</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rPr>
              <w:t>2) 模式选择开关:分</w:t>
            </w:r>
            <w:r>
              <w:rPr>
                <w:rFonts w:hint="eastAsia" w:ascii="仿宋" w:hAnsi="仿宋" w:eastAsia="仿宋" w:cs="仿宋"/>
                <w:color w:val="auto"/>
                <w:spacing w:val="-1"/>
                <w:sz w:val="24"/>
                <w:szCs w:val="24"/>
                <w:highlight w:val="none"/>
              </w:rPr>
              <w:t>为两个档，左为手动示教模式，右为自动模</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2"/>
                <w:sz w:val="24"/>
                <w:szCs w:val="24"/>
                <w:highlight w:val="none"/>
              </w:rPr>
              <w:t>式</w:t>
            </w:r>
            <w:r>
              <w:rPr>
                <w:rFonts w:hint="eastAsia" w:ascii="仿宋" w:hAnsi="仿宋" w:eastAsia="仿宋" w:cs="仿宋"/>
                <w:color w:val="auto"/>
                <w:spacing w:val="-1"/>
                <w:sz w:val="24"/>
                <w:szCs w:val="24"/>
                <w:highlight w:val="none"/>
              </w:rPr>
              <w:t>。手动模式时示教盒背面的三位使能开关有效。</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6"/>
                <w:sz w:val="24"/>
                <w:szCs w:val="24"/>
                <w:highlight w:val="none"/>
                <w:lang w:eastAsia="zh-CN"/>
              </w:rPr>
              <w:t>（</w:t>
            </w:r>
            <w:r>
              <w:rPr>
                <w:rFonts w:hint="eastAsia" w:ascii="仿宋" w:hAnsi="仿宋" w:eastAsia="仿宋" w:cs="仿宋"/>
                <w:color w:val="auto"/>
                <w:spacing w:val="-16"/>
                <w:sz w:val="24"/>
                <w:szCs w:val="24"/>
                <w:highlight w:val="none"/>
              </w:rPr>
              <w:t>3</w:t>
            </w:r>
            <w:r>
              <w:rPr>
                <w:rFonts w:hint="eastAsia" w:ascii="仿宋" w:hAnsi="仿宋" w:eastAsia="仿宋" w:cs="仿宋"/>
                <w:color w:val="auto"/>
                <w:spacing w:val="-9"/>
                <w:sz w:val="24"/>
                <w:szCs w:val="24"/>
                <w:highlight w:val="none"/>
              </w:rPr>
              <w:t>)</w:t>
            </w:r>
            <w:r>
              <w:rPr>
                <w:rFonts w:hint="eastAsia" w:ascii="仿宋" w:hAnsi="仿宋" w:eastAsia="仿宋" w:cs="仿宋"/>
                <w:color w:val="auto"/>
                <w:spacing w:val="-8"/>
                <w:sz w:val="24"/>
                <w:szCs w:val="24"/>
                <w:highlight w:val="none"/>
              </w:rPr>
              <w:t xml:space="preserve"> 运行:自动模式下，机器人使能，按下此按钮，开始运行程序。</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pacing w:val="-2"/>
                <w:sz w:val="24"/>
                <w:szCs w:val="24"/>
                <w:highlight w:val="none"/>
              </w:rPr>
            </w:pPr>
            <w:r>
              <w:rPr>
                <w:rFonts w:hint="eastAsia" w:ascii="仿宋" w:hAnsi="仿宋" w:eastAsia="仿宋" w:cs="仿宋"/>
                <w:color w:val="auto"/>
                <w:spacing w:val="-14"/>
                <w:sz w:val="24"/>
                <w:szCs w:val="24"/>
                <w:highlight w:val="none"/>
                <w:lang w:eastAsia="zh-CN"/>
              </w:rPr>
              <w:t>（</w:t>
            </w:r>
            <w:r>
              <w:rPr>
                <w:rFonts w:hint="eastAsia" w:ascii="仿宋" w:hAnsi="仿宋" w:eastAsia="仿宋" w:cs="仿宋"/>
                <w:color w:val="auto"/>
                <w:spacing w:val="-14"/>
                <w:sz w:val="24"/>
                <w:szCs w:val="24"/>
                <w:highlight w:val="none"/>
              </w:rPr>
              <w:t xml:space="preserve">4) </w:t>
            </w:r>
            <w:r>
              <w:rPr>
                <w:rFonts w:hint="eastAsia" w:ascii="仿宋" w:hAnsi="仿宋" w:eastAsia="仿宋" w:cs="仿宋"/>
                <w:color w:val="auto"/>
                <w:spacing w:val="-7"/>
                <w:sz w:val="24"/>
                <w:szCs w:val="24"/>
                <w:highlight w:val="none"/>
              </w:rPr>
              <w:t>暂停:自动模式下， 机器人运行过程中按下此按钮， 机器人暂</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4"/>
                <w:sz w:val="24"/>
                <w:szCs w:val="24"/>
                <w:highlight w:val="none"/>
              </w:rPr>
              <w:t>停</w:t>
            </w:r>
            <w:r>
              <w:rPr>
                <w:rFonts w:hint="eastAsia" w:ascii="仿宋" w:hAnsi="仿宋" w:eastAsia="仿宋" w:cs="仿宋"/>
                <w:color w:val="auto"/>
                <w:spacing w:val="-3"/>
                <w:sz w:val="24"/>
                <w:szCs w:val="24"/>
                <w:highlight w:val="none"/>
              </w:rPr>
              <w:t>运</w:t>
            </w:r>
            <w:r>
              <w:rPr>
                <w:rFonts w:hint="eastAsia" w:ascii="仿宋" w:hAnsi="仿宋" w:eastAsia="仿宋" w:cs="仿宋"/>
                <w:color w:val="auto"/>
                <w:spacing w:val="-2"/>
                <w:sz w:val="24"/>
                <w:szCs w:val="24"/>
                <w:highlight w:val="none"/>
              </w:rPr>
              <w:t>动，使能还在。</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lang w:val="en-US" w:eastAsia="zh-CN"/>
              </w:rPr>
              <w:t>2）</w:t>
            </w:r>
            <w:r>
              <w:rPr>
                <w:rFonts w:hint="eastAsia" w:ascii="仿宋" w:hAnsi="仿宋" w:eastAsia="仿宋" w:cs="仿宋"/>
                <w:color w:val="auto"/>
                <w:spacing w:val="-1"/>
                <w:sz w:val="24"/>
                <w:szCs w:val="24"/>
                <w:highlight w:val="none"/>
              </w:rPr>
              <w:t>实现功</w:t>
            </w:r>
            <w:r>
              <w:rPr>
                <w:rFonts w:hint="eastAsia" w:ascii="仿宋" w:hAnsi="仿宋" w:eastAsia="仿宋" w:cs="仿宋"/>
                <w:color w:val="auto"/>
                <w:sz w:val="24"/>
                <w:szCs w:val="24"/>
                <w:highlight w:val="none"/>
              </w:rPr>
              <w:t>能：</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lang w:eastAsia="zh-CN"/>
              </w:rPr>
              <w:t>（</w:t>
            </w:r>
            <w:r>
              <w:rPr>
                <w:rFonts w:hint="eastAsia" w:ascii="仿宋" w:hAnsi="仿宋" w:eastAsia="仿宋" w:cs="仿宋"/>
                <w:color w:val="auto"/>
                <w:spacing w:val="-4"/>
                <w:sz w:val="24"/>
                <w:szCs w:val="24"/>
                <w:highlight w:val="none"/>
              </w:rPr>
              <w:t>1）示教器界面 DH 参数调整: 根据标定的实际杆长，调整界面内</w:t>
            </w:r>
            <w:r>
              <w:rPr>
                <w:rFonts w:hint="eastAsia" w:ascii="仿宋" w:hAnsi="仿宋" w:eastAsia="仿宋" w:cs="仿宋"/>
                <w:color w:val="auto"/>
                <w:spacing w:val="-14"/>
                <w:sz w:val="24"/>
                <w:szCs w:val="24"/>
                <w:highlight w:val="none"/>
              </w:rPr>
              <w:t>的</w:t>
            </w:r>
            <w:r>
              <w:rPr>
                <w:rFonts w:hint="eastAsia" w:ascii="仿宋" w:hAnsi="仿宋" w:eastAsia="仿宋" w:cs="仿宋"/>
                <w:color w:val="auto"/>
                <w:spacing w:val="-11"/>
                <w:sz w:val="24"/>
                <w:szCs w:val="24"/>
                <w:highlight w:val="none"/>
              </w:rPr>
              <w:t xml:space="preserve"> </w:t>
            </w:r>
            <w:r>
              <w:rPr>
                <w:rFonts w:hint="eastAsia" w:ascii="仿宋" w:hAnsi="仿宋" w:eastAsia="仿宋" w:cs="仿宋"/>
                <w:color w:val="auto"/>
                <w:spacing w:val="-7"/>
                <w:sz w:val="24"/>
                <w:szCs w:val="24"/>
                <w:highlight w:val="none"/>
              </w:rPr>
              <w:t>DH 参数，从而提高机器人的定位精度。</w:t>
            </w:r>
            <w:r>
              <w:rPr>
                <w:rFonts w:hint="eastAsia" w:ascii="仿宋" w:hAnsi="仿宋" w:eastAsia="仿宋" w:cs="仿宋"/>
                <w:color w:val="auto"/>
                <w:sz w:val="24"/>
                <w:szCs w:val="24"/>
                <w:highlight w:val="none"/>
              </w:rPr>
              <w:t xml:space="preserve">                    </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rPr>
              <w:t>2)示教</w:t>
            </w:r>
            <w:r>
              <w:rPr>
                <w:rFonts w:hint="eastAsia" w:ascii="仿宋" w:hAnsi="仿宋" w:eastAsia="仿宋" w:cs="仿宋"/>
                <w:color w:val="auto"/>
                <w:spacing w:val="-1"/>
                <w:sz w:val="24"/>
                <w:szCs w:val="24"/>
                <w:highlight w:val="none"/>
              </w:rPr>
              <w:t>器界面传动参数调整:运动范围调整，速度、加速度等参</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
                <w:sz w:val="24"/>
                <w:szCs w:val="24"/>
                <w:highlight w:val="none"/>
              </w:rPr>
              <w:t>数调整。</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rPr>
              <w:t>3)机器人控制</w:t>
            </w:r>
            <w:r>
              <w:rPr>
                <w:rFonts w:hint="eastAsia" w:ascii="仿宋" w:hAnsi="仿宋" w:eastAsia="仿宋" w:cs="仿宋"/>
                <w:color w:val="auto"/>
                <w:spacing w:val="-5"/>
                <w:sz w:val="24"/>
                <w:szCs w:val="24"/>
                <w:highlight w:val="none"/>
              </w:rPr>
              <w:t>系</w:t>
            </w:r>
            <w:r>
              <w:rPr>
                <w:rFonts w:hint="eastAsia" w:ascii="仿宋" w:hAnsi="仿宋" w:eastAsia="仿宋" w:cs="仿宋"/>
                <w:color w:val="auto"/>
                <w:spacing w:val="-3"/>
                <w:sz w:val="24"/>
                <w:szCs w:val="24"/>
                <w:highlight w:val="none"/>
              </w:rPr>
              <w:t>统支持二次开发:在 Kemotion 环境下， 可对机</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2"/>
                <w:sz w:val="24"/>
                <w:szCs w:val="24"/>
                <w:highlight w:val="none"/>
              </w:rPr>
              <w:t>器人控制系</w:t>
            </w:r>
            <w:r>
              <w:rPr>
                <w:rFonts w:hint="eastAsia" w:ascii="仿宋" w:hAnsi="仿宋" w:eastAsia="仿宋" w:cs="仿宋"/>
                <w:color w:val="auto"/>
                <w:spacing w:val="-1"/>
                <w:sz w:val="24"/>
                <w:szCs w:val="24"/>
                <w:highlight w:val="none"/>
              </w:rPr>
              <w:t>统进行二次开发，结合系统自带的 Lib 库，指令系统</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4"/>
                <w:sz w:val="24"/>
                <w:szCs w:val="24"/>
                <w:highlight w:val="none"/>
              </w:rPr>
              <w:t>等设计</w:t>
            </w:r>
            <w:r>
              <w:rPr>
                <w:rFonts w:hint="eastAsia" w:ascii="仿宋" w:hAnsi="仿宋" w:eastAsia="仿宋" w:cs="仿宋"/>
                <w:color w:val="auto"/>
                <w:spacing w:val="3"/>
                <w:sz w:val="24"/>
                <w:szCs w:val="24"/>
                <w:highlight w:val="none"/>
              </w:rPr>
              <w:t>应</w:t>
            </w:r>
            <w:r>
              <w:rPr>
                <w:rFonts w:hint="eastAsia" w:ascii="仿宋" w:hAnsi="仿宋" w:eastAsia="仿宋" w:cs="仿宋"/>
                <w:color w:val="auto"/>
                <w:spacing w:val="2"/>
                <w:sz w:val="24"/>
                <w:szCs w:val="24"/>
                <w:highlight w:val="none"/>
              </w:rPr>
              <w:t>用，实现不同的功能满足实际使用需求，包括通信协议</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2"/>
                <w:sz w:val="24"/>
                <w:szCs w:val="24"/>
                <w:highlight w:val="none"/>
              </w:rPr>
              <w:t>的开发，示教器</w:t>
            </w:r>
            <w:r>
              <w:rPr>
                <w:rFonts w:hint="eastAsia" w:ascii="仿宋" w:hAnsi="仿宋" w:eastAsia="仿宋" w:cs="仿宋"/>
                <w:color w:val="auto"/>
                <w:spacing w:val="-1"/>
                <w:sz w:val="24"/>
                <w:szCs w:val="24"/>
                <w:highlight w:val="none"/>
              </w:rPr>
              <w:t>界面开发等。</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lang w:eastAsia="zh-CN"/>
              </w:rPr>
              <w:t>（</w:t>
            </w:r>
            <w:r>
              <w:rPr>
                <w:rFonts w:hint="eastAsia" w:ascii="仿宋" w:hAnsi="仿宋" w:eastAsia="仿宋" w:cs="仿宋"/>
                <w:color w:val="auto"/>
                <w:spacing w:val="-6"/>
                <w:sz w:val="24"/>
                <w:szCs w:val="24"/>
                <w:highlight w:val="none"/>
              </w:rPr>
              <w:t xml:space="preserve">4)支持 </w:t>
            </w:r>
            <w:r>
              <w:rPr>
                <w:rFonts w:hint="eastAsia" w:ascii="仿宋" w:hAnsi="仿宋" w:eastAsia="仿宋" w:cs="仿宋"/>
                <w:color w:val="auto"/>
                <w:spacing w:val="-3"/>
                <w:sz w:val="24"/>
                <w:szCs w:val="24"/>
                <w:highlight w:val="none"/>
              </w:rPr>
              <w:t>EtherCAT</w:t>
            </w:r>
            <w:r>
              <w:rPr>
                <w:rFonts w:hint="eastAsia" w:ascii="仿宋" w:hAnsi="仿宋" w:eastAsia="仿宋" w:cs="仿宋"/>
                <w:color w:val="auto"/>
                <w:spacing w:val="-6"/>
                <w:sz w:val="24"/>
                <w:szCs w:val="24"/>
                <w:highlight w:val="none"/>
              </w:rPr>
              <w:t xml:space="preserve"> 现场</w:t>
            </w:r>
            <w:r>
              <w:rPr>
                <w:rFonts w:hint="eastAsia" w:ascii="仿宋" w:hAnsi="仿宋" w:eastAsia="仿宋" w:cs="仿宋"/>
                <w:color w:val="auto"/>
                <w:spacing w:val="-4"/>
                <w:sz w:val="24"/>
                <w:szCs w:val="24"/>
                <w:highlight w:val="none"/>
              </w:rPr>
              <w:t>总</w:t>
            </w:r>
            <w:r>
              <w:rPr>
                <w:rFonts w:hint="eastAsia" w:ascii="仿宋" w:hAnsi="仿宋" w:eastAsia="仿宋" w:cs="仿宋"/>
                <w:color w:val="auto"/>
                <w:spacing w:val="-3"/>
                <w:sz w:val="24"/>
                <w:szCs w:val="24"/>
                <w:highlight w:val="none"/>
              </w:rPr>
              <w:t>线：支持 EtherCAT 总线通信功能，支</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
                <w:sz w:val="24"/>
                <w:szCs w:val="24"/>
                <w:highlight w:val="none"/>
              </w:rPr>
              <w:t>持多轴伺服驱</w:t>
            </w:r>
            <w:r>
              <w:rPr>
                <w:rFonts w:hint="eastAsia" w:ascii="仿宋" w:hAnsi="仿宋" w:eastAsia="仿宋" w:cs="仿宋"/>
                <w:color w:val="auto"/>
                <w:sz w:val="24"/>
                <w:szCs w:val="24"/>
                <w:highlight w:val="none"/>
              </w:rPr>
              <w:t>动系统的联动控制。</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6.4、末端气动工具</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pacing w:val="-1"/>
                <w:sz w:val="24"/>
                <w:szCs w:val="24"/>
                <w:highlight w:val="none"/>
              </w:rPr>
            </w:pPr>
            <w:r>
              <w:rPr>
                <w:rFonts w:hint="eastAsia" w:ascii="仿宋" w:hAnsi="仿宋" w:eastAsia="仿宋" w:cs="仿宋"/>
                <w:color w:val="auto"/>
                <w:spacing w:val="2"/>
                <w:sz w:val="24"/>
                <w:szCs w:val="24"/>
                <w:highlight w:val="none"/>
              </w:rPr>
              <w:t>易拆装机器人末端配置独立的气动手爪工具，用</w:t>
            </w:r>
            <w:r>
              <w:rPr>
                <w:rFonts w:hint="eastAsia" w:ascii="仿宋" w:hAnsi="仿宋" w:eastAsia="仿宋" w:cs="仿宋"/>
                <w:color w:val="auto"/>
                <w:spacing w:val="1"/>
                <w:sz w:val="24"/>
                <w:szCs w:val="24"/>
                <w:highlight w:val="none"/>
              </w:rPr>
              <w:t>于拾取样件进行</w:t>
            </w:r>
            <w:r>
              <w:rPr>
                <w:rFonts w:hint="eastAsia" w:ascii="仿宋" w:hAnsi="仿宋" w:eastAsia="仿宋" w:cs="仿宋"/>
                <w:color w:val="auto"/>
                <w:spacing w:val="-6"/>
                <w:sz w:val="24"/>
                <w:szCs w:val="24"/>
                <w:highlight w:val="none"/>
              </w:rPr>
              <w:t>搬运装配编程实操等作业。气动手爪工具侧边配有 TC</w:t>
            </w:r>
            <w:r>
              <w:rPr>
                <w:rFonts w:hint="eastAsia" w:ascii="仿宋" w:hAnsi="仿宋" w:eastAsia="仿宋" w:cs="仿宋"/>
                <w:color w:val="auto"/>
                <w:spacing w:val="-2"/>
                <w:sz w:val="24"/>
                <w:szCs w:val="24"/>
                <w:highlight w:val="none"/>
              </w:rPr>
              <w:t>P</w:t>
            </w:r>
            <w:r>
              <w:rPr>
                <w:rFonts w:hint="eastAsia" w:ascii="仿宋" w:hAnsi="仿宋" w:eastAsia="仿宋" w:cs="仿宋"/>
                <w:color w:val="auto"/>
                <w:spacing w:val="-6"/>
                <w:sz w:val="24"/>
                <w:szCs w:val="24"/>
                <w:highlight w:val="none"/>
              </w:rPr>
              <w:t xml:space="preserve"> 标定工具，</w:t>
            </w:r>
            <w:r>
              <w:rPr>
                <w:rFonts w:hint="eastAsia" w:ascii="仿宋" w:hAnsi="仿宋" w:eastAsia="仿宋" w:cs="仿宋"/>
                <w:color w:val="auto"/>
                <w:spacing w:val="-2"/>
                <w:sz w:val="24"/>
                <w:szCs w:val="24"/>
                <w:highlight w:val="none"/>
              </w:rPr>
              <w:t>TCP</w:t>
            </w:r>
            <w:r>
              <w:rPr>
                <w:rFonts w:hint="eastAsia" w:ascii="仿宋" w:hAnsi="仿宋" w:eastAsia="仿宋" w:cs="仿宋"/>
                <w:color w:val="auto"/>
                <w:spacing w:val="-4"/>
                <w:sz w:val="24"/>
                <w:szCs w:val="24"/>
                <w:highlight w:val="none"/>
              </w:rPr>
              <w:t xml:space="preserve"> 固定端的尖针</w:t>
            </w:r>
            <w:r>
              <w:rPr>
                <w:rFonts w:hint="eastAsia" w:ascii="仿宋" w:hAnsi="仿宋" w:eastAsia="仿宋" w:cs="仿宋"/>
                <w:color w:val="auto"/>
                <w:spacing w:val="-3"/>
                <w:sz w:val="24"/>
                <w:szCs w:val="24"/>
                <w:highlight w:val="none"/>
              </w:rPr>
              <w:t>安</w:t>
            </w:r>
            <w:r>
              <w:rPr>
                <w:rFonts w:hint="eastAsia" w:ascii="仿宋" w:hAnsi="仿宋" w:eastAsia="仿宋" w:cs="仿宋"/>
                <w:color w:val="auto"/>
                <w:spacing w:val="-2"/>
                <w:sz w:val="24"/>
                <w:szCs w:val="24"/>
                <w:highlight w:val="none"/>
              </w:rPr>
              <w:t>装在铝材支架上。</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val="0"/>
                <w:color w:val="auto"/>
                <w:sz w:val="24"/>
                <w:szCs w:val="24"/>
                <w:highlight w:val="none"/>
              </w:rPr>
              <w:t>▲6.5、防静电拆装一体化实训台</w:t>
            </w:r>
            <w:r>
              <w:rPr>
                <w:rFonts w:hint="eastAsia" w:ascii="仿宋" w:hAnsi="仿宋" w:eastAsia="仿宋" w:cs="仿宋"/>
                <w:color w:val="auto"/>
                <w:sz w:val="24"/>
                <w:szCs w:val="24"/>
                <w:highlight w:val="none"/>
              </w:rPr>
              <w:t xml:space="preserve">                           </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1）防静电拆装一体化实训台主体由钢板焊接而成， 两侧安装喷 塑钢板， 下方配置推拉式抽屉，用于放置机器人拆装工具， 整体 结构牢固美观， 便于机器人的拆装及搬运装配作业。</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pacing w:val="-1"/>
                <w:sz w:val="24"/>
                <w:szCs w:val="24"/>
                <w:highlight w:val="none"/>
              </w:rPr>
              <w:t>实训台尺</w:t>
            </w:r>
            <w:r>
              <w:rPr>
                <w:rFonts w:hint="eastAsia" w:ascii="仿宋" w:hAnsi="仿宋" w:eastAsia="仿宋" w:cs="仿宋"/>
                <w:color w:val="auto"/>
                <w:sz w:val="24"/>
                <w:szCs w:val="24"/>
                <w:highlight w:val="none"/>
              </w:rPr>
              <w:t>寸：≥2000×1000×850mm。</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注：须提供实际产</w:t>
            </w:r>
            <w:r>
              <w:rPr>
                <w:rFonts w:hint="eastAsia" w:ascii="仿宋" w:hAnsi="仿宋" w:eastAsia="仿宋" w:cs="仿宋"/>
                <w:color w:val="auto"/>
                <w:sz w:val="24"/>
                <w:szCs w:val="24"/>
                <w:highlight w:val="none"/>
              </w:rPr>
              <w:t>品图片和产品工程图。</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6.6、铝材支架与工件</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铝材支架主要由铝型材搭建而成， 其表面</w:t>
            </w:r>
            <w:r>
              <w:rPr>
                <w:rFonts w:hint="eastAsia" w:ascii="仿宋" w:hAnsi="仿宋" w:eastAsia="仿宋" w:cs="仿宋"/>
                <w:color w:val="auto"/>
                <w:spacing w:val="-1"/>
                <w:sz w:val="24"/>
                <w:szCs w:val="24"/>
                <w:highlight w:val="none"/>
              </w:rPr>
              <w:t>配</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4"/>
                <w:sz w:val="24"/>
                <w:szCs w:val="24"/>
                <w:highlight w:val="none"/>
              </w:rPr>
              <w:t>套定位装置。工</w:t>
            </w:r>
            <w:r>
              <w:rPr>
                <w:rFonts w:hint="eastAsia" w:ascii="仿宋" w:hAnsi="仿宋" w:eastAsia="仿宋" w:cs="仿宋"/>
                <w:color w:val="auto"/>
                <w:spacing w:val="2"/>
                <w:sz w:val="24"/>
                <w:szCs w:val="24"/>
                <w:highlight w:val="none"/>
              </w:rPr>
              <w:t>件放置在实验支架的定位装置中，机器人示教再</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4"/>
                <w:sz w:val="24"/>
                <w:szCs w:val="24"/>
                <w:highlight w:val="none"/>
              </w:rPr>
              <w:t>现进行样</w:t>
            </w:r>
            <w:r>
              <w:rPr>
                <w:rFonts w:hint="eastAsia" w:ascii="仿宋" w:hAnsi="仿宋" w:eastAsia="仿宋" w:cs="仿宋"/>
                <w:color w:val="auto"/>
                <w:spacing w:val="3"/>
                <w:sz w:val="24"/>
                <w:szCs w:val="24"/>
                <w:highlight w:val="none"/>
              </w:rPr>
              <w:t>件</w:t>
            </w:r>
            <w:r>
              <w:rPr>
                <w:rFonts w:hint="eastAsia" w:ascii="仿宋" w:hAnsi="仿宋" w:eastAsia="仿宋" w:cs="仿宋"/>
                <w:color w:val="auto"/>
                <w:spacing w:val="2"/>
                <w:sz w:val="24"/>
                <w:szCs w:val="24"/>
                <w:highlight w:val="none"/>
              </w:rPr>
              <w:t>的搬运作业。铝材支架上面固定四处尖针，以便进行</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7"/>
                <w:sz w:val="24"/>
                <w:szCs w:val="24"/>
                <w:highlight w:val="none"/>
              </w:rPr>
              <w:t>TCP</w:t>
            </w:r>
            <w:r>
              <w:rPr>
                <w:rFonts w:hint="eastAsia" w:ascii="仿宋" w:hAnsi="仿宋" w:eastAsia="仿宋" w:cs="仿宋"/>
                <w:color w:val="auto"/>
                <w:spacing w:val="-14"/>
                <w:sz w:val="24"/>
                <w:szCs w:val="24"/>
                <w:highlight w:val="none"/>
              </w:rPr>
              <w:t xml:space="preserve"> </w:t>
            </w:r>
            <w:r>
              <w:rPr>
                <w:rFonts w:hint="eastAsia" w:ascii="仿宋" w:hAnsi="仿宋" w:eastAsia="仿宋" w:cs="仿宋"/>
                <w:color w:val="auto"/>
                <w:spacing w:val="-7"/>
                <w:sz w:val="24"/>
                <w:szCs w:val="24"/>
                <w:highlight w:val="none"/>
              </w:rPr>
              <w:t>标定验证。</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position w:val="11"/>
                <w:sz w:val="24"/>
                <w:szCs w:val="24"/>
                <w:highlight w:val="none"/>
              </w:rPr>
              <w:t>主要技术</w:t>
            </w:r>
            <w:r>
              <w:rPr>
                <w:rFonts w:hint="eastAsia" w:ascii="仿宋" w:hAnsi="仿宋" w:eastAsia="仿宋" w:cs="仿宋"/>
                <w:color w:val="auto"/>
                <w:position w:val="11"/>
                <w:sz w:val="24"/>
                <w:szCs w:val="24"/>
                <w:highlight w:val="none"/>
              </w:rPr>
              <w:t>参数：</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9"/>
                <w:sz w:val="24"/>
                <w:szCs w:val="24"/>
                <w:highlight w:val="none"/>
              </w:rPr>
              <w:t>1</w:t>
            </w:r>
            <w:r>
              <w:rPr>
                <w:rFonts w:hint="eastAsia" w:ascii="仿宋" w:hAnsi="仿宋" w:eastAsia="仿宋" w:cs="仿宋"/>
                <w:color w:val="auto"/>
                <w:spacing w:val="11"/>
                <w:sz w:val="24"/>
                <w:szCs w:val="24"/>
                <w:highlight w:val="none"/>
              </w:rPr>
              <w:t>)外形尺寸(长×宽×高)：≥400×120×200</w:t>
            </w:r>
            <w:r>
              <w:rPr>
                <w:rFonts w:hint="eastAsia" w:ascii="仿宋" w:hAnsi="仿宋" w:eastAsia="仿宋" w:cs="仿宋"/>
                <w:color w:val="auto"/>
                <w:sz w:val="24"/>
                <w:szCs w:val="24"/>
                <w:highlight w:val="none"/>
              </w:rPr>
              <w:t>mm</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2</w:t>
            </w:r>
            <w:r>
              <w:rPr>
                <w:rFonts w:hint="eastAsia" w:ascii="仿宋" w:hAnsi="仿宋" w:eastAsia="仿宋" w:cs="仿宋"/>
                <w:color w:val="auto"/>
                <w:spacing w:val="-7"/>
                <w:sz w:val="24"/>
                <w:szCs w:val="24"/>
                <w:highlight w:val="none"/>
              </w:rPr>
              <w:t>)</w:t>
            </w:r>
            <w:r>
              <w:rPr>
                <w:rFonts w:hint="eastAsia" w:ascii="仿宋" w:hAnsi="仿宋" w:eastAsia="仿宋" w:cs="仿宋"/>
                <w:color w:val="auto"/>
                <w:spacing w:val="-4"/>
                <w:sz w:val="24"/>
                <w:szCs w:val="24"/>
                <w:highlight w:val="none"/>
              </w:rPr>
              <w:t>工位数量： ≥4 个</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6"/>
                <w:sz w:val="24"/>
                <w:szCs w:val="24"/>
                <w:highlight w:val="none"/>
              </w:rPr>
              <w:t>3</w:t>
            </w:r>
            <w:r>
              <w:rPr>
                <w:rFonts w:hint="eastAsia" w:ascii="仿宋" w:hAnsi="仿宋" w:eastAsia="仿宋" w:cs="仿宋"/>
                <w:color w:val="auto"/>
                <w:spacing w:val="-11"/>
                <w:sz w:val="24"/>
                <w:szCs w:val="24"/>
                <w:highlight w:val="none"/>
              </w:rPr>
              <w:t>) TCP 固定尖针数量： ≥4 个</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▲6.7、机器人控制柜铝型材桌台</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1）控制柜铝型材桌台采用铝材搭建，上部 安装喷塑钢板， 放置搬运机器人控制柜体，整体牢固美观      </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2）外形尺寸(长×宽×高) : 600×500×700mm。</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注：须提供实际产</w:t>
            </w:r>
            <w:r>
              <w:rPr>
                <w:rFonts w:hint="eastAsia" w:ascii="仿宋" w:hAnsi="仿宋" w:eastAsia="仿宋" w:cs="仿宋"/>
                <w:color w:val="auto"/>
                <w:sz w:val="24"/>
                <w:szCs w:val="24"/>
                <w:highlight w:val="none"/>
              </w:rPr>
              <w:t>品图片和产品工程图。</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6.8、配套设施</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position w:val="11"/>
                <w:sz w:val="24"/>
                <w:szCs w:val="24"/>
                <w:highlight w:val="none"/>
              </w:rPr>
              <w:t>1）无油静</w:t>
            </w:r>
            <w:r>
              <w:rPr>
                <w:rFonts w:hint="eastAsia" w:ascii="仿宋" w:hAnsi="仿宋" w:eastAsia="仿宋" w:cs="仿宋"/>
                <w:color w:val="auto"/>
                <w:position w:val="11"/>
                <w:sz w:val="24"/>
                <w:szCs w:val="24"/>
                <w:highlight w:val="none"/>
              </w:rPr>
              <w:t>音气泵：无油静音气泵与实训平台配套。</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2）收纳盒与</w:t>
            </w:r>
            <w:r>
              <w:rPr>
                <w:rFonts w:hint="eastAsia" w:ascii="仿宋" w:hAnsi="仿宋" w:eastAsia="仿宋" w:cs="仿宋"/>
                <w:color w:val="auto"/>
                <w:sz w:val="24"/>
                <w:szCs w:val="24"/>
                <w:highlight w:val="none"/>
              </w:rPr>
              <w:t>装配专用工具模块.</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3）工具套装：</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6.9、教学资源</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视频展示项</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1）产品拆装介绍视频</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2）产品实训方案指导书</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3）机器人电气操作维护手册</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4）机器人编程手册</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5）机器人机械使用维护手册</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0" w:leftChars="0" w:right="0" w:rightChars="0" w:firstLine="240" w:firstLineChars="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以上教学资源需与工业级易拆装机器人实训平台中配套的机器人匹配。以上资源需要投标视频演示；</w:t>
            </w:r>
          </w:p>
          <w:p>
            <w:pPr>
              <w:keepNext w:val="0"/>
              <w:keepLines w:val="0"/>
              <w:pageBreakBefore w:val="0"/>
              <w:numPr>
                <w:ilvl w:val="0"/>
                <w:numId w:val="1"/>
              </w:numPr>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云示教实训室工业机器人数字孪生模型开发</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1项）</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项目建设方需将学校现有工业机器人实训室的数字孪生模型建设完整后交付学校配合云示教平台使用。</w:t>
            </w:r>
          </w:p>
          <w:p>
            <w:pPr>
              <w:keepNext w:val="0"/>
              <w:keepLines w:val="0"/>
              <w:pageBreakBefore w:val="0"/>
              <w:numPr>
                <w:ilvl w:val="0"/>
                <w:numId w:val="1"/>
              </w:numPr>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配套服务</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1）配套工业机器人操作编程实训指导书</w:t>
            </w:r>
          </w:p>
          <w:p>
            <w:pPr>
              <w:keepNext w:val="0"/>
              <w:keepLines w:val="0"/>
              <w:pageBreakBefore w:val="0"/>
              <w:tabs>
                <w:tab w:val="left" w:pos="6090"/>
              </w:tabs>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b w:val="0"/>
                <w:color w:val="auto"/>
                <w:sz w:val="24"/>
                <w:szCs w:val="24"/>
                <w:highlight w:val="none"/>
              </w:rPr>
              <w:t>2）配套云示教相关软硬件操作手册</w:t>
            </w:r>
          </w:p>
          <w:p>
            <w:pPr>
              <w:pStyle w:val="6"/>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3）配合学校开展教学所需的培训及资源开发服务</w:t>
            </w:r>
          </w:p>
          <w:p>
            <w:pPr>
              <w:pStyle w:val="2"/>
              <w:ind w:left="0" w:leftChars="0" w:firstLine="241" w:firstLineChars="100"/>
              <w:rPr>
                <w:rFonts w:hint="eastAsia" w:ascii="仿宋" w:hAnsi="仿宋" w:eastAsia="仿宋" w:cs="仿宋"/>
                <w:color w:val="auto"/>
                <w:sz w:val="24"/>
                <w:szCs w:val="24"/>
                <w:highlight w:val="none"/>
              </w:rPr>
            </w:pPr>
            <w:r>
              <w:rPr>
                <w:rFonts w:hint="eastAsia" w:ascii="仿宋" w:hAnsi="仿宋" w:eastAsia="仿宋" w:cs="仿宋"/>
                <w:b/>
                <w:bCs w:val="0"/>
                <w:color w:val="auto"/>
                <w:sz w:val="24"/>
                <w:szCs w:val="24"/>
                <w:highlight w:val="none"/>
              </w:rPr>
              <w:t>▲</w:t>
            </w:r>
            <w:r>
              <w:rPr>
                <w:rFonts w:hint="eastAsia" w:ascii="仿宋" w:hAnsi="仿宋" w:eastAsia="仿宋" w:cs="仿宋"/>
                <w:color w:val="auto"/>
                <w:sz w:val="24"/>
                <w:szCs w:val="24"/>
                <w:highlight w:val="none"/>
              </w:rPr>
              <w:t>4）配套工业机器人数字孪生与虚拟调试配套教材1本，不少于6个实训项目，不少于18个实训任务（提供教材展示录制视频）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trPr>
        <w:tc>
          <w:tcPr>
            <w:tcW w:w="761" w:type="dxa"/>
            <w:vAlign w:val="center"/>
          </w:tcPr>
          <w:p>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313"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四足服务机器人</w:t>
            </w:r>
          </w:p>
        </w:tc>
        <w:tc>
          <w:tcPr>
            <w:tcW w:w="7932" w:type="dxa"/>
            <w:vAlign w:val="center"/>
          </w:tcPr>
          <w:p>
            <w:pPr>
              <w:keepNext w:val="0"/>
              <w:keepLines w:val="0"/>
              <w:pageBreakBefore w:val="0"/>
              <w:numPr>
                <w:ilvl w:val="0"/>
                <w:numId w:val="12"/>
              </w:numPr>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四足服务机器人（2套）</w:t>
            </w:r>
          </w:p>
          <w:p>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.1硬件平台参数</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1）整机重量（带电池）：不低于14kg，不高于16kg</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2）长宽高（站立时）约 0.7×0.31×0.4 m</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3）负载能力：行走时最大负载能力8kg</w:t>
            </w:r>
            <w:r>
              <w:rPr>
                <w:rFonts w:hint="eastAsia" w:ascii="仿宋" w:hAnsi="仿宋" w:eastAsia="仿宋" w:cs="仿宋"/>
                <w:color w:val="auto"/>
                <w:sz w:val="24"/>
                <w:szCs w:val="24"/>
                <w:highlight w:val="none"/>
              </w:rPr>
              <w:tab/>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4）机器狗配备足端力传感器，数量为4个。</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5）最大行走速度：≥3.7m/s</w:t>
            </w:r>
            <w:r>
              <w:rPr>
                <w:rFonts w:hint="eastAsia" w:ascii="仿宋" w:hAnsi="仿宋" w:eastAsia="仿宋" w:cs="仿宋"/>
                <w:color w:val="auto"/>
                <w:sz w:val="24"/>
                <w:szCs w:val="24"/>
                <w:highlight w:val="none"/>
              </w:rPr>
              <w:tab/>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6）最大爬坡角度可≥35°</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7）最大攀爬落差高度≥15cm</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8）全系支持智能OTA升级</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9）配备4G通信，内置eSIM</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10）内置WiFi6双频无线模组，支持2.4G以及5.8G wifi ,且同时支持STA和AP 两种模式。内置蓝牙5.2模组</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11）具备Android及IOS端APP，具备APP高清图传、遥控、机器狗状态查看等功能，具备图形化编程功能（提供产品彩页和手机操作截图）</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12）机器狗本体与电池应采用分体式设计，支持无工具辅助快速更换，单次更换时间≤5秒。</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13）电池宜采用锂电池，电池BMS（电池管理模块）需由机器狗制造商自主研发，确保稳定可靠。</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14）关节模组外径≥80mm，关节模组直径越大，关节输出扭矩越大，机器狗运动性能越好，采用外转子电机。</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15）机器狗膝关节电机附近内置专利热管辅助散热；</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16）机器狗膝关节内走线，机器狗小腿和大腿关节之间无外置线缆                                                                                                                  </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17）小腿和大腿关节之间具备散热空间</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ab/>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18）腿和机身连接处具备全向柔性缓冲结构，可有效吸收全向冲击，避免腿和机身连接处结构摔坏。</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19）要求机器狗具备良好的缓冲功能，具备从高度1米处跌落不会损坏并能在2秒内继续行走的能力</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20）电池容量不得低于8000mAh，额定能量不得低于236.8Wh；</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21）具备100Tops超大算力的拓展坞，含AI算法及技术支持</w:t>
            </w:r>
            <w:r>
              <w:rPr>
                <w:rFonts w:hint="eastAsia" w:ascii="仿宋" w:hAnsi="仿宋" w:eastAsia="仿宋" w:cs="仿宋"/>
                <w:color w:val="auto"/>
                <w:sz w:val="24"/>
                <w:szCs w:val="24"/>
                <w:highlight w:val="none"/>
              </w:rPr>
              <w:tab/>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▲22)机器狗配备足端力传感器，数量大于等于4个;(提供产品彩页和专利证明材料)</w:t>
            </w:r>
          </w:p>
          <w:p>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.2运动控制模块</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1）配备月球步（即太空步）功能，配备并腿跑功能</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2）配备侧边步功能（即在右前脚右后脚悬空的情况下用左前脚左后脚移动，或在左前脚左后脚悬空的情况下用右前脚右后脚移动</w:t>
            </w:r>
            <w:r>
              <w:rPr>
                <w:rFonts w:hint="eastAsia" w:ascii="仿宋" w:hAnsi="仿宋" w:eastAsia="仿宋" w:cs="仿宋"/>
                <w:color w:val="auto"/>
                <w:sz w:val="24"/>
                <w:szCs w:val="24"/>
                <w:highlight w:val="none"/>
              </w:rPr>
              <w:tab/>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3）配备交叉步功能（即在右前脚左后脚悬空的情况下用左前脚右后脚移动，或在左前脚右后脚悬空的情况下用右前脚左后脚移动</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4）提供多种展示动作，包括向上跳、向前跳、前空翻、握手、坐下、作揖、打滚等多种创意动作</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5）一键即可触发伸懒腰动作：机器狗伸懒腰的动作</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6）一键即可触发扑人动作：后腿蹬地，身体竖立，两前腿延长，往前扑</w:t>
            </w:r>
          </w:p>
          <w:p>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.3智能感知模块</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1）内置语音识别模块，具备语音交互功能，毫秒级语音交互响应，采用行业先进的语音识别技术，识别准确率高，识字速度快</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2）广角摄像头具有1080P高清拍摄能力，通光孔径F2.2，支持人体跟踪识别等算法开发</w:t>
            </w:r>
            <w:r>
              <w:rPr>
                <w:rFonts w:hint="eastAsia" w:ascii="仿宋" w:hAnsi="仿宋" w:eastAsia="仿宋" w:cs="仿宋"/>
                <w:color w:val="auto"/>
                <w:sz w:val="24"/>
                <w:szCs w:val="24"/>
                <w:highlight w:val="none"/>
              </w:rPr>
              <w:tab/>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3）机器狗下巴处配置1台超广角3D激光雷达：FOV360°× 90°,扫描距离20m；近处盲区为0.05m；可实现探物避障</w:t>
            </w:r>
            <w:r>
              <w:rPr>
                <w:rFonts w:hint="eastAsia" w:ascii="仿宋" w:hAnsi="仿宋" w:eastAsia="仿宋" w:cs="仿宋"/>
                <w:color w:val="auto"/>
                <w:sz w:val="24"/>
                <w:szCs w:val="24"/>
                <w:highlight w:val="none"/>
              </w:rPr>
              <w:tab/>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▲4）配备无线矢量定位及控制系统，无需使用遥控器控制机器狗即可实现机器狗位于人的侧向余光视线内伴随（提供产品彩页、样机照片或其他证明材料）</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5）支持大模型ChatGPT,可以让机器狗更加智能（体现为：语音控制机器狗，其自动完成对应指令动作）</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6）具备3D 激光雷达，含导航算法及技术支持</w:t>
            </w:r>
            <w:r>
              <w:rPr>
                <w:rFonts w:hint="eastAsia" w:ascii="仿宋" w:hAnsi="仿宋" w:eastAsia="仿宋" w:cs="仿宋"/>
                <w:color w:val="auto"/>
                <w:sz w:val="24"/>
                <w:szCs w:val="24"/>
                <w:highlight w:val="none"/>
              </w:rPr>
              <w:tab/>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7）配备深度相机：Intel Realsense D435i,支持单目彩色图像、双目灰度图像、深度点云、内部imu数据输出，可用于视觉SLAM、地形建图开发，彩色图像1920×1080@30FPS;灰度图像1280×720@30FPS;深度点云1280×720@30FPS，支持25D地形建图，支持视觉算法开发。</w:t>
            </w:r>
          </w:p>
          <w:p>
            <w:pPr>
              <w:keepNext w:val="0"/>
              <w:keepLines w:val="0"/>
              <w:pageBreakBefore w:val="0"/>
              <w:widowControl w:val="0"/>
              <w:kinsoku/>
              <w:wordWrap/>
              <w:overflowPunct/>
              <w:topLinePunct w:val="0"/>
              <w:autoSpaceDE/>
              <w:autoSpaceDN/>
              <w:bidi w:val="0"/>
              <w:adjustRightInd w:val="0"/>
              <w:snapToGrid/>
              <w:spacing w:line="400" w:lineRule="exact"/>
              <w:ind w:left="210" w:leftChars="10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8）具备realsense D435i深度相机</w:t>
            </w:r>
          </w:p>
          <w:p>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.4二次开发</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1）机器人配备操作系统Ubuntu-ROS。支持ROS操作系统</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详细的用户使用，软件开发等手册等，提供高层控制功能的二次开发文档及例程，提供底层控制（电机的位置、速度和力矩）功能的二次开发文档及例程。提供各类功能算法的代码及说明，并且提供调用运动控制的接口</w:t>
            </w:r>
          </w:p>
          <w:p>
            <w:pPr>
              <w:keepNext w:val="0"/>
              <w:keepLines w:val="0"/>
              <w:pageBreakBefore w:val="0"/>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.5舵机机械臂（2套）</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机械臂置于四足机器狗背部，可以配合机器狗完成所需的任务。</w:t>
            </w:r>
          </w:p>
          <w:p>
            <w:pPr>
              <w:keepNext w:val="0"/>
              <w:keepLines w:val="0"/>
              <w:pageBreakBefore w:val="0"/>
              <w:tabs>
                <w:tab w:val="left" w:pos="432"/>
              </w:tabs>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舵机机械臂参数要求：自由度：6、最大臂展≥600mm（不包含夹爪长度，后续结构变更可能有小范围变动）；≥715mm（包含夹爪长度，后续结构变更可能有小范围变动）、电源需求：24V 2.5A (MAX 5A)、接口：DC5.5-2.1、功率：60W、控制接口：控制通信接口 RJ45 （ETH）、关节参数：</w:t>
            </w:r>
          </w:p>
          <w:p>
            <w:pPr>
              <w:keepNext w:val="0"/>
              <w:keepLines w:val="0"/>
              <w:pageBreakBefore w:val="0"/>
              <w:tabs>
                <w:tab w:val="left" w:pos="432"/>
              </w:tabs>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J1  ±135°</w:t>
            </w:r>
          </w:p>
          <w:p>
            <w:pPr>
              <w:keepNext w:val="0"/>
              <w:keepLines w:val="0"/>
              <w:pageBreakBefore w:val="0"/>
              <w:tabs>
                <w:tab w:val="left" w:pos="432"/>
              </w:tabs>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J2  ±90°</w:t>
            </w:r>
          </w:p>
          <w:p>
            <w:pPr>
              <w:keepNext w:val="0"/>
              <w:keepLines w:val="0"/>
              <w:pageBreakBefore w:val="0"/>
              <w:tabs>
                <w:tab w:val="left" w:pos="432"/>
              </w:tabs>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J3  ±90°</w:t>
            </w:r>
          </w:p>
          <w:p>
            <w:pPr>
              <w:keepNext w:val="0"/>
              <w:keepLines w:val="0"/>
              <w:pageBreakBefore w:val="0"/>
              <w:tabs>
                <w:tab w:val="left" w:pos="432"/>
              </w:tabs>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J4  ±135°</w:t>
            </w:r>
          </w:p>
          <w:p>
            <w:pPr>
              <w:keepNext w:val="0"/>
              <w:keepLines w:val="0"/>
              <w:pageBreakBefore w:val="0"/>
              <w:tabs>
                <w:tab w:val="left" w:pos="432"/>
              </w:tabs>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J5  ±90°</w:t>
            </w:r>
          </w:p>
          <w:p>
            <w:pPr>
              <w:keepNext w:val="0"/>
              <w:keepLines w:val="0"/>
              <w:pageBreakBefore w:val="0"/>
              <w:tabs>
                <w:tab w:val="left" w:pos="432"/>
              </w:tabs>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b w:val="0"/>
                <w:color w:val="auto"/>
                <w:sz w:val="24"/>
                <w:szCs w:val="24"/>
                <w:highlight w:val="none"/>
              </w:rPr>
              <w:t>J6  ±135°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trPr>
        <w:tc>
          <w:tcPr>
            <w:tcW w:w="761" w:type="dxa"/>
            <w:vAlign w:val="center"/>
          </w:tcPr>
          <w:p>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313" w:type="dxa"/>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六足机器人</w:t>
            </w:r>
          </w:p>
        </w:tc>
        <w:tc>
          <w:tcPr>
            <w:tcW w:w="7932" w:type="dxa"/>
            <w:vAlign w:val="center"/>
          </w:tcPr>
          <w:p>
            <w:pPr>
              <w:keepNext w:val="0"/>
              <w:keepLines w:val="0"/>
              <w:pageBreakBefore w:val="0"/>
              <w:numPr>
                <w:ilvl w:val="0"/>
                <w:numId w:val="13"/>
              </w:numPr>
              <w:kinsoku/>
              <w:wordWrap/>
              <w:overflowPunct/>
              <w:topLinePunct w:val="0"/>
              <w:autoSpaceDE/>
              <w:autoSpaceDN/>
              <w:bidi w:val="0"/>
              <w:snapToGrid/>
              <w:spacing w:line="400" w:lineRule="exact"/>
              <w:ind w:left="0" w:leftChars="0" w:right="0" w:righ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六足机器人（1台）</w:t>
            </w:r>
          </w:p>
          <w:p>
            <w:pPr>
              <w:keepNext w:val="0"/>
              <w:keepLines w:val="0"/>
              <w:pageBreakBefore w:val="0"/>
              <w:widowControl/>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1）产品尺寸：≥长513.4mm；宽467.6mm；高224mm；</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2）主控系统：采用树莓派5,4G控制主板，内存≥4GB，外部存储配备64GB TF卡；</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3）编程功能：支持自定义Python编程、支持多次编程开发；</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4）视频功能：支持实时视频传输；</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5）视觉功能：支持视觉识别、配置摄像头云台、支持颜色跟踪、支持人脸跟踪；</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6）遥控方式：支持wifi/手柄遥控、手机APP遥控；</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7）自由度：18个自由度；</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8）续航时间：≥4小时；</w:t>
            </w:r>
          </w:p>
          <w:p>
            <w:pPr>
              <w:pStyle w:val="2"/>
              <w:keepNext w:val="0"/>
              <w:keepLines w:val="0"/>
              <w:pageBreakBefore w:val="0"/>
              <w:tabs>
                <w:tab w:val="left" w:pos="525"/>
                <w:tab w:val="left" w:pos="4320"/>
              </w:tabs>
              <w:kinsoku/>
              <w:wordWrap/>
              <w:overflowPunct/>
              <w:topLinePunct w:val="0"/>
              <w:autoSpaceDE/>
              <w:autoSpaceDN/>
              <w:bidi w:val="0"/>
              <w:snapToGrid/>
              <w:spacing w:after="0" w:line="400" w:lineRule="exact"/>
              <w:ind w:left="210" w:leftChars="100" w:right="0" w:righ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9）联网方式：蓝牙、wifi；</w:t>
            </w:r>
          </w:p>
          <w:p>
            <w:pPr>
              <w:keepNext w:val="0"/>
              <w:keepLines w:val="0"/>
              <w:pageBreakBefore w:val="0"/>
              <w:kinsoku/>
              <w:wordWrap/>
              <w:overflowPunct/>
              <w:topLinePunct w:val="0"/>
              <w:autoSpaceDE/>
              <w:autoSpaceDN/>
              <w:bidi w:val="0"/>
              <w:snapToGrid/>
              <w:spacing w:line="400" w:lineRule="exact"/>
              <w:ind w:left="210" w:leftChars="100" w:right="0" w:rightChars="0" w:firstLine="0" w:firstLineChars="0"/>
              <w:textAlignment w:val="auto"/>
              <w:outlineLvl w:val="9"/>
              <w:rPr>
                <w:rFonts w:hint="eastAsia" w:ascii="仿宋" w:hAnsi="仿宋" w:eastAsia="仿宋" w:cs="仿宋"/>
                <w:b w:val="0"/>
                <w:color w:val="auto"/>
                <w:sz w:val="24"/>
                <w:szCs w:val="24"/>
                <w:highlight w:val="none"/>
              </w:rPr>
            </w:pPr>
            <w:r>
              <w:rPr>
                <w:rFonts w:hint="eastAsia" w:ascii="仿宋" w:hAnsi="仿宋" w:eastAsia="仿宋" w:cs="仿宋"/>
                <w:color w:val="auto"/>
                <w:sz w:val="24"/>
                <w:szCs w:val="24"/>
                <w:highlight w:val="none"/>
              </w:rPr>
              <w:t>10)电源配置：充电器、电池；</w:t>
            </w:r>
          </w:p>
        </w:tc>
      </w:tr>
    </w:tbl>
    <w:p>
      <w:pPr>
        <w:spacing w:line="400" w:lineRule="exact"/>
        <w:rPr>
          <w:rFonts w:hint="eastAsia" w:ascii="仿宋_GB2312" w:hAnsi="Calibri" w:eastAsia="仿宋_GB2312"/>
          <w:b/>
          <w:color w:val="auto"/>
          <w:sz w:val="24"/>
          <w:highlight w:val="none"/>
        </w:rPr>
      </w:pPr>
    </w:p>
    <w:p>
      <w:pPr>
        <w:spacing w:line="400" w:lineRule="exact"/>
        <w:rPr>
          <w:rFonts w:ascii="仿宋_GB2312" w:hAnsi="Calibri" w:eastAsia="仿宋_GB2312"/>
          <w:b/>
          <w:color w:val="auto"/>
          <w:sz w:val="24"/>
          <w:highlight w:val="none"/>
        </w:rPr>
      </w:pPr>
      <w:r>
        <w:rPr>
          <w:rFonts w:hint="eastAsia" w:ascii="仿宋_GB2312" w:hAnsi="Calibri" w:eastAsia="仿宋_GB2312"/>
          <w:b/>
          <w:color w:val="auto"/>
          <w:sz w:val="24"/>
          <w:highlight w:val="none"/>
        </w:rPr>
        <w:t>1.</w:t>
      </w:r>
      <w:r>
        <w:rPr>
          <w:rFonts w:hint="eastAsia" w:ascii="仿宋_GB2312" w:hAnsi="Calibri" w:eastAsia="仿宋_GB2312"/>
          <w:b/>
          <w:color w:val="auto"/>
          <w:sz w:val="24"/>
          <w:highlight w:val="none"/>
          <w:lang w:val="en-US" w:eastAsia="zh-CN"/>
        </w:rPr>
        <w:t>3</w:t>
      </w:r>
      <w:r>
        <w:rPr>
          <w:rFonts w:hint="eastAsia" w:ascii="仿宋_GB2312" w:hAnsi="Calibri" w:eastAsia="仿宋_GB2312"/>
          <w:b/>
          <w:color w:val="auto"/>
          <w:sz w:val="24"/>
          <w:highlight w:val="none"/>
        </w:rPr>
        <w:t>其它要求与说明：</w:t>
      </w:r>
    </w:p>
    <w:p>
      <w:pPr>
        <w:spacing w:line="400" w:lineRule="exact"/>
        <w:rPr>
          <w:rFonts w:ascii="仿宋_GB2312" w:hAnsi="Calibri" w:eastAsia="仿宋_GB2312"/>
          <w:b/>
          <w:color w:val="auto"/>
          <w:sz w:val="24"/>
          <w:highlight w:val="none"/>
        </w:rPr>
      </w:pPr>
      <w:r>
        <w:rPr>
          <w:rFonts w:hint="eastAsia" w:ascii="仿宋_GB2312" w:hAnsi="Calibri" w:eastAsia="仿宋_GB2312"/>
          <w:b/>
          <w:color w:val="auto"/>
          <w:sz w:val="24"/>
          <w:highlight w:val="none"/>
        </w:rPr>
        <w:t>1.</w:t>
      </w:r>
      <w:r>
        <w:rPr>
          <w:rFonts w:hint="eastAsia" w:ascii="仿宋_GB2312" w:hAnsi="Calibri" w:eastAsia="仿宋_GB2312"/>
          <w:b/>
          <w:color w:val="auto"/>
          <w:sz w:val="24"/>
          <w:highlight w:val="none"/>
          <w:lang w:val="en-US" w:eastAsia="zh-CN"/>
        </w:rPr>
        <w:t>3</w:t>
      </w:r>
      <w:r>
        <w:rPr>
          <w:rFonts w:hint="eastAsia" w:ascii="仿宋_GB2312" w:hAnsi="Calibri" w:eastAsia="仿宋_GB2312"/>
          <w:b/>
          <w:color w:val="auto"/>
          <w:sz w:val="24"/>
          <w:highlight w:val="none"/>
        </w:rPr>
        <w:t>.1付款方式：</w:t>
      </w:r>
    </w:p>
    <w:p>
      <w:pPr>
        <w:widowControl/>
        <w:snapToGrid w:val="0"/>
        <w:spacing w:line="400" w:lineRule="exact"/>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浙江省财政厅关于进一步发挥政府采购政策功能全力推动经济稳进提质的通知》（浙财采监〔2022〕3号）文件要求执行，具体付款方式由双方协商后在合同中明确。缴纳不高于合同金额的1%作为履约保证金，验收合格后无息退还（如上级有文件，按新发文件要求为准）。</w:t>
      </w:r>
    </w:p>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ascii="仿宋_GB2312" w:hAnsi="Calibri" w:eastAsia="仿宋_GB2312"/>
          <w:b/>
          <w:color w:val="auto"/>
          <w:sz w:val="24"/>
          <w:highlight w:val="none"/>
        </w:rPr>
      </w:pPr>
      <w:r>
        <w:rPr>
          <w:rFonts w:hint="eastAsia" w:ascii="仿宋_GB2312" w:hAnsi="Calibri" w:eastAsia="仿宋_GB2312"/>
          <w:b/>
          <w:color w:val="auto"/>
          <w:sz w:val="24"/>
          <w:highlight w:val="none"/>
        </w:rPr>
        <w:t>1.</w:t>
      </w:r>
      <w:r>
        <w:rPr>
          <w:rFonts w:hint="eastAsia" w:ascii="仿宋_GB2312" w:hAnsi="Calibri" w:eastAsia="仿宋_GB2312"/>
          <w:b/>
          <w:color w:val="auto"/>
          <w:sz w:val="24"/>
          <w:highlight w:val="none"/>
          <w:lang w:val="en-US" w:eastAsia="zh-CN"/>
        </w:rPr>
        <w:t>3</w:t>
      </w:r>
      <w:r>
        <w:rPr>
          <w:rFonts w:hint="eastAsia" w:ascii="仿宋_GB2312" w:hAnsi="Calibri" w:eastAsia="仿宋_GB2312"/>
          <w:b/>
          <w:color w:val="auto"/>
          <w:sz w:val="24"/>
          <w:highlight w:val="none"/>
        </w:rPr>
        <w:t>.2交货期：</w:t>
      </w:r>
    </w:p>
    <w:p>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_GB2312" w:hAnsi="Calibri" w:eastAsia="仿宋_GB2312"/>
          <w:color w:val="auto"/>
          <w:sz w:val="24"/>
          <w:highlight w:val="none"/>
        </w:rPr>
      </w:pPr>
      <w:r>
        <w:rPr>
          <w:rFonts w:hint="eastAsia" w:ascii="仿宋_GB2312" w:hAnsi="Calibri" w:eastAsia="仿宋_GB2312"/>
          <w:color w:val="auto"/>
          <w:sz w:val="24"/>
          <w:highlight w:val="none"/>
        </w:rPr>
        <w:t>中标单位必须在签订采购合同之日起，</w:t>
      </w:r>
      <w:r>
        <w:rPr>
          <w:rFonts w:hint="eastAsia" w:ascii="仿宋_GB2312" w:hAnsi="Calibri" w:eastAsia="仿宋_GB2312"/>
          <w:color w:val="auto"/>
          <w:sz w:val="24"/>
          <w:highlight w:val="none"/>
          <w:lang w:val="en-US" w:eastAsia="zh-CN"/>
        </w:rPr>
        <w:t>5</w:t>
      </w:r>
      <w:r>
        <w:rPr>
          <w:rFonts w:hint="eastAsia" w:ascii="仿宋_GB2312" w:hAnsi="Calibri" w:eastAsia="仿宋_GB2312"/>
          <w:color w:val="auto"/>
          <w:sz w:val="24"/>
          <w:highlight w:val="none"/>
        </w:rPr>
        <w:t>0天内完成全部招标设备的完整供货</w:t>
      </w:r>
      <w:r>
        <w:rPr>
          <w:rFonts w:hint="eastAsia" w:ascii="仿宋_GB2312" w:hAnsi="Calibri" w:eastAsia="仿宋_GB2312"/>
          <w:color w:val="auto"/>
          <w:sz w:val="24"/>
          <w:highlight w:val="none"/>
          <w:lang w:eastAsia="zh-CN"/>
        </w:rPr>
        <w:t>、</w:t>
      </w:r>
      <w:r>
        <w:rPr>
          <w:rFonts w:hint="eastAsia" w:ascii="仿宋_GB2312" w:hAnsi="Calibri" w:eastAsia="仿宋_GB2312"/>
          <w:color w:val="auto"/>
          <w:sz w:val="24"/>
          <w:highlight w:val="none"/>
        </w:rPr>
        <w:t>安装和调试完毕。</w:t>
      </w:r>
    </w:p>
    <w:p>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textAlignment w:val="auto"/>
        <w:outlineLvl w:val="9"/>
        <w:rPr>
          <w:rFonts w:ascii="仿宋_GB2312" w:hAnsi="Calibri" w:eastAsia="仿宋_GB2312"/>
          <w:b/>
          <w:color w:val="auto"/>
          <w:sz w:val="24"/>
          <w:highlight w:val="none"/>
        </w:rPr>
      </w:pPr>
      <w:r>
        <w:rPr>
          <w:rFonts w:hint="eastAsia" w:ascii="仿宋_GB2312" w:hAnsi="Calibri" w:eastAsia="仿宋_GB2312"/>
          <w:b/>
          <w:color w:val="auto"/>
          <w:sz w:val="24"/>
          <w:highlight w:val="none"/>
        </w:rPr>
        <w:t>1.2.3售后服务承诺及质保要求：</w:t>
      </w:r>
    </w:p>
    <w:p>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ascii="仿宋_GB2312" w:hAnsi="Calibri" w:eastAsia="仿宋_GB2312"/>
          <w:b/>
          <w:bCs/>
          <w:color w:val="auto"/>
          <w:sz w:val="24"/>
          <w:highlight w:val="none"/>
        </w:rPr>
      </w:pPr>
      <w:r>
        <w:rPr>
          <w:rFonts w:hint="eastAsia" w:ascii="仿宋_GB2312" w:hAnsi="Calibri" w:eastAsia="仿宋_GB2312"/>
          <w:b/>
          <w:color w:val="auto"/>
          <w:sz w:val="24"/>
          <w:highlight w:val="none"/>
        </w:rPr>
        <w:t>质保期</w:t>
      </w:r>
      <w:r>
        <w:rPr>
          <w:rFonts w:hint="eastAsia" w:ascii="仿宋_GB2312" w:hAnsi="Calibri" w:eastAsia="仿宋_GB2312"/>
          <w:b/>
          <w:color w:val="auto"/>
          <w:sz w:val="24"/>
          <w:highlight w:val="none"/>
          <w:lang w:eastAsia="zh-CN"/>
        </w:rPr>
        <w:t>为</w:t>
      </w:r>
      <w:r>
        <w:rPr>
          <w:rFonts w:hint="eastAsia" w:ascii="仿宋_GB2312" w:hAnsi="Calibri" w:eastAsia="仿宋_GB2312"/>
          <w:b/>
          <w:color w:val="auto"/>
          <w:sz w:val="24"/>
          <w:highlight w:val="none"/>
        </w:rPr>
        <w:t>3年</w:t>
      </w:r>
      <w:r>
        <w:rPr>
          <w:rFonts w:hint="eastAsia" w:ascii="仿宋_GB2312" w:hAnsi="Calibri" w:eastAsia="仿宋_GB2312"/>
          <w:color w:val="auto"/>
          <w:sz w:val="24"/>
          <w:highlight w:val="none"/>
        </w:rPr>
        <w:t>，以设备验收通过之日起计算。质保服务不少于清单规定的相关要求年限。提供7*24小时服务响应。保修期内，如设备出现故障问题，中标人应在接到电话2小时内必须赶到现场，如有违约采购单位有权延长履约保证金付款期限，由此产生的相关维修费用必须由中标单位承担。如果3个工作日无法修复的要求提供备机以不影响学校正常使用。过保后的续保费不得高于中标价的8%。</w:t>
      </w:r>
    </w:p>
    <w:p>
      <w:pPr>
        <w:spacing w:line="400" w:lineRule="exact"/>
        <w:ind w:left="721" w:leftChars="1" w:hanging="719" w:hangingChars="199"/>
        <w:outlineLvl w:val="0"/>
        <w:rPr>
          <w:rFonts w:ascii="仿宋" w:hAnsi="仿宋" w:eastAsia="仿宋" w:cs="仿宋"/>
          <w:b/>
          <w:color w:val="auto"/>
          <w:sz w:val="36"/>
          <w:szCs w:val="36"/>
          <w:highlight w:val="none"/>
        </w:rPr>
      </w:pPr>
    </w:p>
    <w:p>
      <w:pPr>
        <w:spacing w:line="360" w:lineRule="auto"/>
        <w:ind w:left="720" w:leftChars="343" w:firstLine="1626" w:firstLineChars="450"/>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p>
    <w:p>
      <w:pPr>
        <w:pStyle w:val="25"/>
        <w:jc w:val="center"/>
        <w:rPr>
          <w:rFonts w:ascii="仿宋" w:hAnsi="仿宋" w:eastAsia="仿宋" w:cs="宋体"/>
          <w:b/>
          <w:bCs/>
          <w:color w:val="auto"/>
          <w:spacing w:val="-20"/>
          <w:kern w:val="44"/>
          <w:sz w:val="44"/>
          <w:szCs w:val="44"/>
          <w:highlight w:val="none"/>
        </w:rPr>
      </w:pPr>
    </w:p>
    <w:p>
      <w:pPr>
        <w:pStyle w:val="25"/>
        <w:jc w:val="center"/>
        <w:rPr>
          <w:rFonts w:ascii="仿宋" w:hAnsi="仿宋" w:eastAsia="仿宋" w:cs="宋体"/>
          <w:b/>
          <w:bCs/>
          <w:color w:val="auto"/>
          <w:spacing w:val="-20"/>
          <w:kern w:val="44"/>
          <w:sz w:val="44"/>
          <w:szCs w:val="44"/>
          <w:highlight w:val="none"/>
        </w:rPr>
      </w:pPr>
    </w:p>
    <w:p>
      <w:pPr>
        <w:pStyle w:val="25"/>
        <w:jc w:val="center"/>
        <w:rPr>
          <w:rFonts w:ascii="仿宋" w:hAnsi="仿宋" w:eastAsia="仿宋" w:cs="宋体"/>
          <w:b/>
          <w:bCs/>
          <w:color w:val="auto"/>
          <w:spacing w:val="-20"/>
          <w:kern w:val="44"/>
          <w:sz w:val="44"/>
          <w:szCs w:val="44"/>
          <w:highlight w:val="none"/>
        </w:rPr>
      </w:pPr>
    </w:p>
    <w:p>
      <w:pPr>
        <w:pStyle w:val="25"/>
        <w:jc w:val="center"/>
        <w:rPr>
          <w:rFonts w:ascii="仿宋" w:hAnsi="仿宋" w:eastAsia="仿宋" w:cs="宋体"/>
          <w:b/>
          <w:bCs/>
          <w:color w:val="auto"/>
          <w:spacing w:val="-20"/>
          <w:kern w:val="44"/>
          <w:sz w:val="44"/>
          <w:szCs w:val="44"/>
          <w:highlight w:val="none"/>
        </w:rPr>
      </w:pPr>
      <w:r>
        <w:rPr>
          <w:rFonts w:hint="eastAsia" w:ascii="仿宋" w:hAnsi="仿宋" w:eastAsia="仿宋" w:cs="宋体"/>
          <w:b/>
          <w:bCs/>
          <w:color w:val="auto"/>
          <w:spacing w:val="-20"/>
          <w:kern w:val="44"/>
          <w:sz w:val="44"/>
          <w:szCs w:val="44"/>
          <w:highlight w:val="none"/>
        </w:rPr>
        <w:t>政府采购货物买卖合同</w:t>
      </w:r>
    </w:p>
    <w:p>
      <w:pPr>
        <w:pStyle w:val="25"/>
        <w:jc w:val="center"/>
        <w:rPr>
          <w:rFonts w:ascii="仿宋" w:hAnsi="仿宋" w:eastAsia="仿宋" w:cs="宋体"/>
          <w:b/>
          <w:bCs/>
          <w:color w:val="auto"/>
          <w:spacing w:val="-20"/>
          <w:kern w:val="44"/>
          <w:sz w:val="44"/>
          <w:szCs w:val="44"/>
          <w:highlight w:val="none"/>
        </w:rPr>
      </w:pPr>
      <w:r>
        <w:rPr>
          <w:rFonts w:hint="eastAsia" w:ascii="仿宋" w:hAnsi="仿宋" w:eastAsia="仿宋" w:cs="宋体"/>
          <w:b/>
          <w:bCs/>
          <w:color w:val="auto"/>
          <w:spacing w:val="-20"/>
          <w:kern w:val="44"/>
          <w:sz w:val="44"/>
          <w:szCs w:val="44"/>
          <w:highlight w:val="none"/>
        </w:rPr>
        <w:t>（试行）</w:t>
      </w:r>
    </w:p>
    <w:p>
      <w:pPr>
        <w:rPr>
          <w:rFonts w:ascii="仿宋" w:hAnsi="仿宋" w:eastAsia="仿宋" w:cs="宋体"/>
          <w:b/>
          <w:bCs/>
          <w:color w:val="auto"/>
          <w:spacing w:val="-20"/>
          <w:kern w:val="44"/>
          <w:sz w:val="24"/>
          <w:highlight w:val="none"/>
        </w:rPr>
      </w:pPr>
    </w:p>
    <w:p>
      <w:pPr>
        <w:rPr>
          <w:rFonts w:ascii="仿宋" w:hAnsi="仿宋" w:eastAsia="仿宋" w:cs="宋体"/>
          <w:b/>
          <w:bCs/>
          <w:color w:val="auto"/>
          <w:spacing w:val="-20"/>
          <w:kern w:val="44"/>
          <w:sz w:val="24"/>
          <w:highlight w:val="none"/>
        </w:rPr>
      </w:pPr>
    </w:p>
    <w:p>
      <w:pPr>
        <w:rPr>
          <w:rFonts w:ascii="仿宋" w:hAnsi="仿宋" w:eastAsia="仿宋" w:cs="宋体"/>
          <w:b/>
          <w:bCs/>
          <w:color w:val="auto"/>
          <w:spacing w:val="-20"/>
          <w:kern w:val="44"/>
          <w:sz w:val="24"/>
          <w:highlight w:val="none"/>
        </w:rPr>
      </w:pPr>
    </w:p>
    <w:p>
      <w:pPr>
        <w:spacing w:line="360" w:lineRule="auto"/>
        <w:ind w:left="420" w:leftChars="200"/>
        <w:rPr>
          <w:rFonts w:ascii="仿宋" w:hAnsi="仿宋" w:eastAsia="仿宋"/>
          <w:color w:val="auto"/>
          <w:sz w:val="24"/>
          <w:highlight w:val="none"/>
        </w:rPr>
      </w:pPr>
      <w:r>
        <w:rPr>
          <w:rFonts w:hint="eastAsia" w:ascii="仿宋" w:hAnsi="仿宋" w:eastAsia="仿宋" w:cs="宋体"/>
          <w:color w:val="auto"/>
          <w:kern w:val="0"/>
          <w:sz w:val="24"/>
          <w:highlight w:val="none"/>
        </w:rPr>
        <w:t>项目名称：</w:t>
      </w:r>
      <w:r>
        <w:rPr>
          <w:rFonts w:hint="eastAsia" w:ascii="仿宋" w:hAnsi="仿宋" w:eastAsia="仿宋"/>
          <w:color w:val="auto"/>
          <w:sz w:val="24"/>
          <w:highlight w:val="none"/>
          <w:u w:val="single"/>
        </w:rPr>
        <w:t xml:space="preserve">                             </w:t>
      </w:r>
    </w:p>
    <w:p>
      <w:pPr>
        <w:spacing w:line="360" w:lineRule="auto"/>
        <w:ind w:left="420" w:leftChars="200"/>
        <w:rPr>
          <w:rFonts w:ascii="仿宋" w:hAnsi="仿宋" w:eastAsia="仿宋"/>
          <w:color w:val="auto"/>
          <w:sz w:val="24"/>
          <w:highlight w:val="none"/>
          <w:u w:val="single"/>
        </w:rPr>
      </w:pPr>
      <w:r>
        <w:rPr>
          <w:rFonts w:hint="eastAsia" w:ascii="仿宋" w:hAnsi="仿宋" w:eastAsia="仿宋"/>
          <w:color w:val="auto"/>
          <w:sz w:val="24"/>
          <w:highlight w:val="none"/>
        </w:rPr>
        <w:t>合同编号：</w:t>
      </w:r>
      <w:r>
        <w:rPr>
          <w:rFonts w:hint="eastAsia" w:ascii="仿宋" w:hAnsi="仿宋" w:eastAsia="仿宋"/>
          <w:color w:val="auto"/>
          <w:sz w:val="24"/>
          <w:highlight w:val="none"/>
          <w:u w:val="single"/>
        </w:rPr>
        <w:t xml:space="preserve">                             </w:t>
      </w:r>
    </w:p>
    <w:p>
      <w:pPr>
        <w:spacing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甲    方：</w:t>
      </w:r>
      <w:r>
        <w:rPr>
          <w:rFonts w:hint="eastAsia" w:ascii="仿宋" w:hAnsi="仿宋" w:eastAsia="仿宋"/>
          <w:color w:val="auto"/>
          <w:sz w:val="24"/>
          <w:highlight w:val="none"/>
          <w:u w:val="single"/>
        </w:rPr>
        <w:t xml:space="preserve">                             </w:t>
      </w:r>
    </w:p>
    <w:p>
      <w:pPr>
        <w:spacing w:line="360" w:lineRule="auto"/>
        <w:ind w:left="420" w:leftChars="200"/>
        <w:rPr>
          <w:rFonts w:ascii="仿宋" w:hAnsi="仿宋" w:eastAsia="仿宋"/>
          <w:color w:val="auto"/>
          <w:sz w:val="24"/>
          <w:highlight w:val="none"/>
          <w:u w:val="single"/>
        </w:rPr>
      </w:pPr>
      <w:r>
        <w:rPr>
          <w:rFonts w:hint="eastAsia" w:ascii="仿宋" w:hAnsi="仿宋" w:eastAsia="仿宋"/>
          <w:color w:val="auto"/>
          <w:sz w:val="24"/>
          <w:highlight w:val="none"/>
        </w:rPr>
        <w:t>乙    方：</w:t>
      </w:r>
      <w:r>
        <w:rPr>
          <w:rFonts w:hint="eastAsia" w:ascii="仿宋" w:hAnsi="仿宋" w:eastAsia="仿宋"/>
          <w:color w:val="auto"/>
          <w:sz w:val="24"/>
          <w:highlight w:val="none"/>
          <w:u w:val="single"/>
        </w:rPr>
        <w:t xml:space="preserve">                             </w:t>
      </w:r>
    </w:p>
    <w:p>
      <w:pPr>
        <w:spacing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签订时间：</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rPr>
          <w:rFonts w:ascii="仿宋" w:hAnsi="仿宋" w:eastAsia="仿宋"/>
          <w:color w:val="auto"/>
          <w:sz w:val="24"/>
          <w:highlight w:val="none"/>
        </w:rPr>
      </w:pPr>
    </w:p>
    <w:p>
      <w:pPr>
        <w:rPr>
          <w:rFonts w:ascii="仿宋" w:hAnsi="仿宋" w:eastAsia="仿宋"/>
          <w:color w:val="auto"/>
          <w:sz w:val="24"/>
          <w:highlight w:val="none"/>
        </w:rPr>
      </w:pPr>
      <w:r>
        <w:rPr>
          <w:rFonts w:ascii="仿宋" w:hAnsi="仿宋" w:eastAsia="仿宋"/>
          <w:color w:val="auto"/>
          <w:sz w:val="24"/>
          <w:highlight w:val="none"/>
        </w:rPr>
        <w:br w:type="page"/>
      </w:r>
    </w:p>
    <w:p>
      <w:pPr>
        <w:rPr>
          <w:rFonts w:ascii="仿宋" w:hAnsi="仿宋" w:eastAsia="仿宋"/>
          <w:color w:val="auto"/>
          <w:sz w:val="24"/>
          <w:highlight w:val="none"/>
        </w:rPr>
      </w:pPr>
    </w:p>
    <w:p>
      <w:pPr>
        <w:rPr>
          <w:rFonts w:ascii="仿宋" w:hAnsi="仿宋" w:eastAsia="仿宋"/>
          <w:color w:val="auto"/>
          <w:sz w:val="24"/>
          <w:highlight w:val="none"/>
        </w:rPr>
      </w:pPr>
    </w:p>
    <w:p>
      <w:pPr>
        <w:jc w:val="center"/>
        <w:rPr>
          <w:rFonts w:ascii="仿宋" w:hAnsi="仿宋" w:eastAsia="仿宋"/>
          <w:color w:val="auto"/>
          <w:sz w:val="24"/>
          <w:highlight w:val="none"/>
        </w:rPr>
      </w:pPr>
      <w:r>
        <w:rPr>
          <w:rFonts w:hint="eastAsia" w:ascii="仿宋" w:hAnsi="仿宋" w:eastAsia="仿宋"/>
          <w:color w:val="auto"/>
          <w:sz w:val="24"/>
          <w:highlight w:val="none"/>
        </w:rPr>
        <w:t>使 用 说 明</w:t>
      </w:r>
    </w:p>
    <w:p>
      <w:pPr>
        <w:ind w:firstLine="480" w:firstLineChars="200"/>
        <w:rPr>
          <w:rFonts w:ascii="仿宋" w:hAnsi="仿宋" w:eastAsia="仿宋" w:cs="仿宋_GB2312"/>
          <w:color w:val="auto"/>
          <w:sz w:val="24"/>
          <w:highlight w:val="none"/>
        </w:rPr>
      </w:pPr>
    </w:p>
    <w:p>
      <w:pPr>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1.本合同标准文本适用于购买现成货物的采购项目，不包括需要供应商定制开发、创新研发的货物采购项目。</w:t>
      </w:r>
    </w:p>
    <w:p>
      <w:pPr>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hint="eastAsia" w:ascii="仿宋" w:hAnsi="仿宋" w:eastAsia="仿宋" w:cs="仿宋_GB2312"/>
          <w:color w:val="auto"/>
          <w:sz w:val="24"/>
          <w:highlight w:val="none"/>
        </w:rPr>
        <w:t>2.本合同标准文本为政府采购货物买卖合同编制提供参考，可以结合采购项目具体情况，对文本作必要的调整修订后使用。</w:t>
      </w:r>
    </w:p>
    <w:p>
      <w:pPr>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3.本合同标准文本各条款中，如涉及填写多家供应商、制造商，多种采购标的、分包主要内容等信息的，可根据采购项目具体情况添加信息项。</w:t>
      </w:r>
    </w:p>
    <w:p>
      <w:pPr>
        <w:ind w:firstLine="480" w:firstLineChars="200"/>
        <w:rPr>
          <w:rFonts w:ascii="仿宋" w:hAnsi="仿宋" w:eastAsia="仿宋"/>
          <w:color w:val="auto"/>
          <w:sz w:val="24"/>
          <w:highlight w:val="none"/>
        </w:rPr>
        <w:sectPr>
          <w:headerReference r:id="rId13" w:type="default"/>
          <w:footerReference r:id="rId14" w:type="default"/>
          <w:pgSz w:w="11906" w:h="16838"/>
          <w:pgMar w:top="1134" w:right="1134" w:bottom="1134" w:left="1417" w:header="567" w:footer="595" w:gutter="0"/>
          <w:cols w:space="0" w:num="1"/>
          <w:docGrid w:linePitch="312" w:charSpace="0"/>
        </w:sectPr>
      </w:pPr>
    </w:p>
    <w:p>
      <w:pPr>
        <w:pStyle w:val="5"/>
        <w:adjustRightInd w:val="0"/>
        <w:snapToGrid w:val="0"/>
        <w:spacing w:line="400" w:lineRule="exact"/>
        <w:jc w:val="center"/>
        <w:rPr>
          <w:rFonts w:ascii="仿宋" w:eastAsia="仿宋"/>
          <w:b w:val="0"/>
          <w:bCs w:val="0"/>
          <w:color w:val="auto"/>
          <w:sz w:val="24"/>
          <w:szCs w:val="24"/>
          <w:highlight w:val="none"/>
        </w:rPr>
      </w:pPr>
      <w:bookmarkStart w:id="43" w:name="_Toc22209"/>
      <w:r>
        <w:rPr>
          <w:rFonts w:hint="eastAsia" w:ascii="仿宋" w:eastAsia="仿宋"/>
          <w:b w:val="0"/>
          <w:bCs w:val="0"/>
          <w:color w:val="auto"/>
          <w:sz w:val="24"/>
          <w:szCs w:val="24"/>
          <w:highlight w:val="none"/>
        </w:rPr>
        <w:t>第一节 政府采购合同协议书</w:t>
      </w:r>
      <w:bookmarkEnd w:id="43"/>
    </w:p>
    <w:p>
      <w:pPr>
        <w:pStyle w:val="5"/>
        <w:adjustRightInd w:val="0"/>
        <w:snapToGrid w:val="0"/>
        <w:spacing w:line="400" w:lineRule="exact"/>
        <w:jc w:val="center"/>
        <w:rPr>
          <w:rFonts w:ascii="仿宋" w:eastAsia="仿宋"/>
          <w:b w:val="0"/>
          <w:bCs w:val="0"/>
          <w:color w:val="auto"/>
          <w:sz w:val="24"/>
          <w:szCs w:val="24"/>
          <w:highlight w:val="none"/>
        </w:rPr>
      </w:pPr>
    </w:p>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甲方（全称）：</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（采购人、受采购人委托签订合同的单位或采购</w:t>
      </w:r>
      <w:r>
        <w:rPr>
          <w:rFonts w:hint="eastAsia" w:ascii="仿宋" w:hAnsi="仿宋" w:eastAsia="仿宋"/>
          <w:color w:val="auto"/>
          <w:sz w:val="24"/>
          <w:highlight w:val="none"/>
        </w:rPr>
        <w:tab/>
      </w:r>
      <w:r>
        <w:rPr>
          <w:rFonts w:hint="eastAsia" w:ascii="仿宋" w:hAnsi="仿宋" w:eastAsia="仿宋"/>
          <w:color w:val="auto"/>
          <w:sz w:val="24"/>
          <w:highlight w:val="none"/>
        </w:rPr>
        <w:t xml:space="preserve">                                   文件约定的合同甲方）</w:t>
      </w:r>
    </w:p>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乙方1（全称）：</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（供应商）</w:t>
      </w:r>
    </w:p>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乙方2（全称）：</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（联合体成员供应商或其他合同主体）（如有）</w:t>
      </w:r>
    </w:p>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乙方3（全称）</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（联合体成员供应商或其他合同主体）（如有）</w:t>
      </w:r>
    </w:p>
    <w:p>
      <w:pPr>
        <w:spacing w:line="400" w:lineRule="exact"/>
        <w:rPr>
          <w:rFonts w:ascii="仿宋" w:hAnsi="仿宋" w:eastAsia="仿宋"/>
          <w:color w:val="auto"/>
          <w:sz w:val="24"/>
          <w:highlight w:val="none"/>
        </w:rPr>
      </w:pPr>
    </w:p>
    <w:p>
      <w:pPr>
        <w:pStyle w:val="3"/>
        <w:snapToGrid w:val="0"/>
        <w:spacing w:line="400" w:lineRule="exact"/>
        <w:rPr>
          <w:rFonts w:ascii="仿宋" w:hAnsi="仿宋" w:eastAsia="仿宋"/>
          <w:color w:val="auto"/>
          <w:highlight w:val="none"/>
        </w:rPr>
      </w:pPr>
      <w:r>
        <w:rPr>
          <w:rFonts w:hint="eastAsia" w:ascii="仿宋" w:hAnsi="仿宋" w:eastAsia="仿宋"/>
          <w:color w:val="auto"/>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4"/>
        </w:numPr>
        <w:snapToGrid w:val="0"/>
        <w:spacing w:line="40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项目信息</w:t>
      </w:r>
    </w:p>
    <w:p>
      <w:pPr>
        <w:pStyle w:val="3"/>
        <w:numPr>
          <w:ilvl w:val="0"/>
          <w:numId w:val="15"/>
        </w:numPr>
        <w:snapToGrid w:val="0"/>
        <w:spacing w:line="400" w:lineRule="exact"/>
        <w:rPr>
          <w:rFonts w:ascii="仿宋" w:hAnsi="仿宋" w:eastAsia="仿宋"/>
          <w:color w:val="auto"/>
          <w:highlight w:val="none"/>
          <w:u w:val="single"/>
        </w:rPr>
      </w:pPr>
      <w:r>
        <w:rPr>
          <w:rFonts w:hint="eastAsia" w:ascii="仿宋" w:hAnsi="仿宋" w:eastAsia="仿宋"/>
          <w:color w:val="auto"/>
          <w:highlight w:val="none"/>
        </w:rPr>
        <w:t>采购项目名称：</w:t>
      </w:r>
      <w:r>
        <w:rPr>
          <w:rFonts w:ascii="仿宋" w:hAnsi="仿宋" w:eastAsia="仿宋"/>
          <w:color w:val="auto"/>
          <w:highlight w:val="none"/>
          <w:u w:val="single"/>
        </w:rPr>
        <w:t xml:space="preserve">                                          </w:t>
      </w:r>
    </w:p>
    <w:p>
      <w:pPr>
        <w:pStyle w:val="3"/>
        <w:numPr>
          <w:ilvl w:val="255"/>
          <w:numId w:val="0"/>
        </w:numPr>
        <w:tabs>
          <w:tab w:val="left" w:pos="999"/>
        </w:tabs>
        <w:snapToGrid w:val="0"/>
        <w:spacing w:line="400" w:lineRule="exact"/>
        <w:rPr>
          <w:rFonts w:ascii="仿宋" w:hAnsi="仿宋" w:eastAsia="仿宋"/>
          <w:color w:val="auto"/>
          <w:highlight w:val="none"/>
        </w:rPr>
      </w:pPr>
      <w:r>
        <w:rPr>
          <w:rFonts w:hint="eastAsia" w:ascii="仿宋" w:hAnsi="仿宋" w:eastAsia="仿宋"/>
          <w:color w:val="auto"/>
          <w:highlight w:val="none"/>
        </w:rPr>
        <w:t xml:space="preserve">         采购项目编号：</w:t>
      </w:r>
      <w:r>
        <w:rPr>
          <w:rFonts w:ascii="仿宋" w:hAnsi="仿宋" w:eastAsia="仿宋"/>
          <w:color w:val="auto"/>
          <w:highlight w:val="none"/>
          <w:u w:val="single"/>
        </w:rPr>
        <w:t xml:space="preserve">                                          </w:t>
      </w:r>
    </w:p>
    <w:p>
      <w:pPr>
        <w:pStyle w:val="3"/>
        <w:snapToGrid w:val="0"/>
        <w:spacing w:line="400" w:lineRule="exact"/>
        <w:rPr>
          <w:rFonts w:ascii="仿宋" w:hAnsi="仿宋" w:eastAsia="仿宋"/>
          <w:color w:val="auto"/>
          <w:highlight w:val="none"/>
        </w:rPr>
      </w:pPr>
      <w:r>
        <w:rPr>
          <w:rFonts w:hint="eastAsia" w:ascii="仿宋" w:hAnsi="仿宋" w:eastAsia="仿宋"/>
          <w:color w:val="auto"/>
          <w:highlight w:val="none"/>
        </w:rPr>
        <w:t>（2）采购计划编号：</w:t>
      </w:r>
      <w:r>
        <w:rPr>
          <w:rFonts w:ascii="仿宋" w:hAnsi="仿宋" w:eastAsia="仿宋"/>
          <w:color w:val="auto"/>
          <w:highlight w:val="none"/>
          <w:u w:val="single"/>
        </w:rPr>
        <w:t xml:space="preserve">                     </w:t>
      </w:r>
      <w:r>
        <w:rPr>
          <w:rFonts w:hint="eastAsia" w:ascii="仿宋" w:hAnsi="仿宋" w:eastAsia="仿宋"/>
          <w:color w:val="auto"/>
          <w:highlight w:val="none"/>
          <w:u w:val="single"/>
        </w:rPr>
        <w:t xml:space="preserve">                </w:t>
      </w:r>
      <w:r>
        <w:rPr>
          <w:rFonts w:ascii="仿宋" w:hAnsi="仿宋" w:eastAsia="仿宋"/>
          <w:color w:val="auto"/>
          <w:highlight w:val="none"/>
          <w:u w:val="single"/>
        </w:rPr>
        <w:t xml:space="preserve">     </w:t>
      </w:r>
      <w:r>
        <w:rPr>
          <w:rFonts w:ascii="仿宋" w:hAnsi="仿宋" w:eastAsia="仿宋"/>
          <w:color w:val="auto"/>
          <w:highlight w:val="none"/>
        </w:rPr>
        <w:t xml:space="preserve"> </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（3）项目内容：</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采购标的及数量（台/套</w:t>
      </w:r>
      <w:r>
        <w:rPr>
          <w:rFonts w:ascii="仿宋" w:hAnsi="仿宋" w:eastAsia="仿宋"/>
          <w:color w:val="auto"/>
          <w:sz w:val="24"/>
          <w:highlight w:val="none"/>
          <w:lang w:val="en"/>
        </w:rPr>
        <w:t>/</w:t>
      </w:r>
      <w:r>
        <w:rPr>
          <w:rFonts w:hint="eastAsia" w:ascii="仿宋" w:hAnsi="仿宋" w:eastAsia="仿宋"/>
          <w:color w:val="auto"/>
          <w:sz w:val="24"/>
          <w:highlight w:val="none"/>
          <w:lang w:val="en"/>
        </w:rPr>
        <w:t>个</w:t>
      </w:r>
      <w:r>
        <w:rPr>
          <w:rFonts w:ascii="仿宋" w:hAnsi="仿宋" w:eastAsia="仿宋"/>
          <w:color w:val="auto"/>
          <w:sz w:val="24"/>
          <w:highlight w:val="none"/>
          <w:lang w:val="en"/>
        </w:rPr>
        <w:t>/</w:t>
      </w:r>
      <w:r>
        <w:rPr>
          <w:rFonts w:hint="eastAsia" w:ascii="仿宋" w:hAnsi="仿宋" w:eastAsia="仿宋"/>
          <w:color w:val="auto"/>
          <w:sz w:val="24"/>
          <w:highlight w:val="none"/>
          <w:lang w:val="en"/>
        </w:rPr>
        <w:t>架</w:t>
      </w:r>
      <w:r>
        <w:rPr>
          <w:rFonts w:ascii="仿宋" w:hAnsi="仿宋" w:eastAsia="仿宋"/>
          <w:color w:val="auto"/>
          <w:sz w:val="24"/>
          <w:highlight w:val="none"/>
          <w:lang w:val="en"/>
        </w:rPr>
        <w:t>/</w:t>
      </w:r>
      <w:r>
        <w:rPr>
          <w:rFonts w:hint="eastAsia" w:ascii="仿宋" w:hAnsi="仿宋" w:eastAsia="仿宋"/>
          <w:color w:val="auto"/>
          <w:sz w:val="24"/>
          <w:highlight w:val="none"/>
          <w:lang w:val="en"/>
        </w:rPr>
        <w:t>组等</w:t>
      </w:r>
      <w:r>
        <w:rPr>
          <w:rFonts w:hint="eastAsia" w:ascii="仿宋" w:hAnsi="仿宋" w:eastAsia="仿宋"/>
          <w:color w:val="auto"/>
          <w:sz w:val="24"/>
          <w:highlight w:val="none"/>
        </w:rPr>
        <w:t>）：</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p>
    <w:p>
      <w:pPr>
        <w:numPr>
          <w:ilvl w:val="255"/>
          <w:numId w:val="0"/>
        </w:numPr>
        <w:snapToGrid w:val="0"/>
        <w:spacing w:line="400" w:lineRule="exact"/>
        <w:ind w:firstLine="480" w:firstLineChars="200"/>
        <w:rPr>
          <w:rFonts w:ascii="仿宋" w:hAnsi="仿宋" w:eastAsia="仿宋" w:cs="宋体"/>
          <w:color w:val="auto"/>
          <w:sz w:val="24"/>
          <w:highlight w:val="none"/>
          <w:lang w:val="en"/>
        </w:rPr>
      </w:pPr>
      <w:r>
        <w:rPr>
          <w:rFonts w:hint="eastAsia" w:ascii="仿宋" w:hAnsi="仿宋" w:eastAsia="仿宋"/>
          <w:color w:val="auto"/>
          <w:sz w:val="24"/>
          <w:highlight w:val="none"/>
        </w:rPr>
        <w:t xml:space="preserve">     </w:t>
      </w:r>
      <w:r>
        <w:rPr>
          <w:rFonts w:hint="eastAsia" w:ascii="仿宋" w:hAnsi="仿宋" w:eastAsia="仿宋" w:cs="宋体"/>
          <w:color w:val="auto"/>
          <w:sz w:val="24"/>
          <w:highlight w:val="none"/>
        </w:rPr>
        <w:t>品牌：</w:t>
      </w:r>
      <w:r>
        <w:rPr>
          <w:rFonts w:hint="eastAsia" w:ascii="仿宋" w:hAnsi="仿宋" w:eastAsia="仿宋" w:cs="宋体"/>
          <w:color w:val="auto"/>
          <w:sz w:val="24"/>
          <w:highlight w:val="none"/>
          <w:u w:val="single"/>
        </w:rPr>
        <w:t xml:space="preserve">      </w:t>
      </w:r>
      <w:r>
        <w:rPr>
          <w:rFonts w:ascii="仿宋" w:hAnsi="仿宋" w:eastAsia="仿宋" w:cs="宋体"/>
          <w:color w:val="auto"/>
          <w:sz w:val="24"/>
          <w:highlight w:val="none"/>
          <w:u w:val="single"/>
          <w:lang w:val="en"/>
        </w:rPr>
        <w:t xml:space="preserve">   </w:t>
      </w:r>
      <w:r>
        <w:rPr>
          <w:rFonts w:hint="eastAsia" w:ascii="仿宋" w:hAnsi="仿宋" w:eastAsia="仿宋" w:cs="宋体"/>
          <w:color w:val="auto"/>
          <w:sz w:val="24"/>
          <w:highlight w:val="none"/>
          <w:u w:val="single"/>
        </w:rPr>
        <w:t xml:space="preserve">    </w:t>
      </w:r>
      <w:r>
        <w:rPr>
          <w:rFonts w:ascii="仿宋" w:hAnsi="仿宋" w:eastAsia="仿宋" w:cs="宋体"/>
          <w:color w:val="auto"/>
          <w:sz w:val="24"/>
          <w:highlight w:val="none"/>
          <w:u w:val="single"/>
          <w:lang w:val="en"/>
        </w:rPr>
        <w:t xml:space="preserve"> </w:t>
      </w:r>
      <w:r>
        <w:rPr>
          <w:rFonts w:hint="eastAsia" w:ascii="仿宋" w:hAnsi="仿宋" w:eastAsia="仿宋" w:cs="宋体"/>
          <w:color w:val="auto"/>
          <w:sz w:val="24"/>
          <w:highlight w:val="none"/>
          <w:u w:val="single"/>
        </w:rPr>
        <w:t xml:space="preserve"> </w:t>
      </w:r>
      <w:r>
        <w:rPr>
          <w:rFonts w:ascii="仿宋" w:hAnsi="仿宋" w:eastAsia="仿宋" w:cs="宋体"/>
          <w:color w:val="auto"/>
          <w:sz w:val="24"/>
          <w:highlight w:val="none"/>
          <w:lang w:val="en"/>
        </w:rPr>
        <w:t xml:space="preserve">     </w:t>
      </w:r>
      <w:r>
        <w:rPr>
          <w:rFonts w:hint="eastAsia" w:ascii="仿宋" w:hAnsi="仿宋" w:eastAsia="仿宋" w:cs="宋体"/>
          <w:color w:val="auto"/>
          <w:sz w:val="24"/>
          <w:highlight w:val="none"/>
        </w:rPr>
        <w:t>规格型号：</w:t>
      </w:r>
      <w:r>
        <w:rPr>
          <w:rFonts w:hint="eastAsia" w:ascii="仿宋" w:hAnsi="仿宋" w:eastAsia="仿宋" w:cs="宋体"/>
          <w:color w:val="auto"/>
          <w:sz w:val="24"/>
          <w:highlight w:val="none"/>
          <w:u w:val="single"/>
        </w:rPr>
        <w:t xml:space="preserve">   </w:t>
      </w:r>
      <w:r>
        <w:rPr>
          <w:rFonts w:ascii="仿宋" w:hAnsi="仿宋" w:eastAsia="仿宋" w:cs="宋体"/>
          <w:color w:val="auto"/>
          <w:sz w:val="24"/>
          <w:highlight w:val="none"/>
          <w:u w:val="single"/>
          <w:lang w:val="en"/>
        </w:rPr>
        <w:t xml:space="preserve">  </w:t>
      </w:r>
      <w:r>
        <w:rPr>
          <w:rFonts w:hint="eastAsia" w:ascii="仿宋" w:hAnsi="仿宋" w:eastAsia="仿宋" w:cs="宋体"/>
          <w:color w:val="auto"/>
          <w:sz w:val="24"/>
          <w:highlight w:val="none"/>
          <w:u w:val="single"/>
        </w:rPr>
        <w:t xml:space="preserve">       </w:t>
      </w:r>
      <w:r>
        <w:rPr>
          <w:rFonts w:ascii="仿宋" w:hAnsi="仿宋" w:eastAsia="仿宋" w:cs="宋体"/>
          <w:color w:val="auto"/>
          <w:sz w:val="24"/>
          <w:highlight w:val="none"/>
          <w:u w:val="single"/>
          <w:lang w:val="en"/>
        </w:rPr>
        <w:t xml:space="preserve">   </w:t>
      </w:r>
    </w:p>
    <w:p>
      <w:pPr>
        <w:snapToGrid w:val="0"/>
        <w:spacing w:line="400" w:lineRule="exact"/>
        <w:ind w:firstLine="1080" w:firstLineChars="450"/>
        <w:rPr>
          <w:rFonts w:ascii="仿宋" w:hAnsi="仿宋" w:eastAsia="仿宋"/>
          <w:color w:val="auto"/>
          <w:sz w:val="24"/>
          <w:highlight w:val="none"/>
          <w:u w:val="single"/>
        </w:rPr>
      </w:pPr>
      <w:r>
        <w:rPr>
          <w:rFonts w:hint="eastAsia" w:ascii="仿宋" w:hAnsi="仿宋" w:eastAsia="仿宋"/>
          <w:color w:val="auto"/>
          <w:sz w:val="24"/>
          <w:highlight w:val="none"/>
        </w:rPr>
        <w:t>采购标的的技术要求、商务要求具体见附件。</w:t>
      </w:r>
    </w:p>
    <w:p>
      <w:pPr>
        <w:numPr>
          <w:ilvl w:val="255"/>
          <w:numId w:val="0"/>
        </w:numPr>
        <w:snapToGrid w:val="0"/>
        <w:spacing w:line="400" w:lineRule="exact"/>
        <w:ind w:firstLine="1080" w:firstLineChars="450"/>
        <w:rPr>
          <w:rFonts w:ascii="仿宋" w:hAnsi="仿宋" w:eastAsia="仿宋" w:cs="宋体"/>
          <w:color w:val="auto"/>
          <w:sz w:val="24"/>
          <w:highlight w:val="none"/>
        </w:rPr>
      </w:pPr>
      <w:r>
        <w:rPr>
          <w:rFonts w:hint="eastAsia" w:ascii="仿宋" w:hAnsi="仿宋" w:eastAsia="仿宋" w:cs="汉仪书宋二S"/>
          <w:color w:val="auto"/>
          <w:sz w:val="24"/>
          <w:highlight w:val="none"/>
        </w:rPr>
        <w:t>①</w:t>
      </w:r>
      <w:r>
        <w:rPr>
          <w:rFonts w:hint="eastAsia" w:ascii="仿宋" w:hAnsi="仿宋" w:eastAsia="仿宋" w:cs="宋体"/>
          <w:color w:val="auto"/>
          <w:sz w:val="24"/>
          <w:highlight w:val="none"/>
        </w:rPr>
        <w:t>涉及信息类产品，请填写该产品关键部件的品牌、型号：</w:t>
      </w:r>
    </w:p>
    <w:p>
      <w:pPr>
        <w:numPr>
          <w:ilvl w:val="255"/>
          <w:numId w:val="0"/>
        </w:numPr>
        <w:snapToGrid w:val="0"/>
        <w:spacing w:line="400" w:lineRule="exact"/>
        <w:ind w:firstLine="480" w:firstLineChars="200"/>
        <w:rPr>
          <w:rFonts w:ascii="仿宋" w:hAnsi="仿宋" w:eastAsia="仿宋" w:cs="宋体"/>
          <w:color w:val="auto"/>
          <w:kern w:val="0"/>
          <w:sz w:val="24"/>
          <w:highlight w:val="none"/>
          <w:u w:val="single"/>
        </w:rPr>
      </w:pPr>
      <w:r>
        <w:rPr>
          <w:rFonts w:hint="eastAsia" w:ascii="仿宋" w:hAnsi="仿宋" w:eastAsia="仿宋" w:cs="宋体"/>
          <w:color w:val="auto"/>
          <w:sz w:val="24"/>
          <w:highlight w:val="none"/>
        </w:rPr>
        <w:t xml:space="preserve">     标的名称：</w:t>
      </w:r>
      <w:r>
        <w:rPr>
          <w:rFonts w:hint="eastAsia" w:ascii="仿宋" w:hAnsi="仿宋" w:eastAsia="仿宋" w:cs="宋体"/>
          <w:color w:val="auto"/>
          <w:kern w:val="0"/>
          <w:sz w:val="24"/>
          <w:highlight w:val="none"/>
          <w:u w:val="single"/>
        </w:rPr>
        <w:t xml:space="preserve">      </w:t>
      </w:r>
      <w:r>
        <w:rPr>
          <w:rFonts w:ascii="仿宋" w:hAnsi="仿宋" w:eastAsia="仿宋" w:cs="宋体"/>
          <w:color w:val="auto"/>
          <w:kern w:val="0"/>
          <w:sz w:val="24"/>
          <w:highlight w:val="none"/>
          <w:u w:val="single"/>
          <w:lang w:val="en"/>
        </w:rPr>
        <w:t xml:space="preserve">               </w:t>
      </w:r>
      <w:r>
        <w:rPr>
          <w:rFonts w:hint="eastAsia" w:ascii="仿宋" w:hAnsi="仿宋" w:eastAsia="仿宋" w:cs="宋体"/>
          <w:color w:val="auto"/>
          <w:kern w:val="0"/>
          <w:sz w:val="24"/>
          <w:highlight w:val="none"/>
          <w:u w:val="single"/>
        </w:rPr>
        <w:t xml:space="preserve">    </w:t>
      </w:r>
    </w:p>
    <w:p>
      <w:pPr>
        <w:numPr>
          <w:ilvl w:val="255"/>
          <w:numId w:val="0"/>
        </w:numPr>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     关键部件：</w:t>
      </w:r>
      <w:r>
        <w:rPr>
          <w:rFonts w:hint="eastAsia" w:ascii="仿宋" w:hAnsi="仿宋" w:eastAsia="仿宋" w:cs="宋体"/>
          <w:color w:val="auto"/>
          <w:kern w:val="0"/>
          <w:sz w:val="24"/>
          <w:highlight w:val="none"/>
          <w:u w:val="single"/>
        </w:rPr>
        <w:t xml:space="preserve">          </w:t>
      </w:r>
      <w:r>
        <w:rPr>
          <w:rFonts w:hint="eastAsia" w:ascii="仿宋" w:hAnsi="仿宋" w:eastAsia="仿宋" w:cs="宋体"/>
          <w:color w:val="auto"/>
          <w:kern w:val="0"/>
          <w:sz w:val="24"/>
          <w:highlight w:val="none"/>
        </w:rPr>
        <w:t xml:space="preserve"> </w:t>
      </w:r>
      <w:r>
        <w:rPr>
          <w:rFonts w:hint="eastAsia" w:ascii="仿宋" w:hAnsi="仿宋" w:eastAsia="仿宋" w:cs="宋体"/>
          <w:color w:val="auto"/>
          <w:sz w:val="24"/>
          <w:highlight w:val="none"/>
        </w:rPr>
        <w:t>品牌：</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 xml:space="preserve"> 型号：</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 xml:space="preserve"> </w:t>
      </w:r>
    </w:p>
    <w:p>
      <w:pPr>
        <w:pStyle w:val="963"/>
        <w:ind w:firstLine="48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 xml:space="preserve">     </w:t>
      </w:r>
      <w:r>
        <w:rPr>
          <w:rFonts w:hint="eastAsia" w:ascii="仿宋" w:hAnsi="仿宋" w:eastAsia="仿宋" w:cs="宋体"/>
          <w:color w:val="auto"/>
          <w:kern w:val="2"/>
          <w:sz w:val="24"/>
          <w:szCs w:val="24"/>
          <w:highlight w:val="none"/>
        </w:rPr>
        <w:t>关键部件</w:t>
      </w:r>
      <w:r>
        <w:rPr>
          <w:rFonts w:hint="eastAsia" w:ascii="仿宋" w:hAnsi="仿宋" w:eastAsia="仿宋" w:cs="宋体"/>
          <w:color w:val="auto"/>
          <w:sz w:val="24"/>
          <w:szCs w:val="24"/>
          <w:highlight w:val="none"/>
        </w:rPr>
        <w:t>：</w:t>
      </w:r>
      <w:r>
        <w:rPr>
          <w:rFonts w:hint="eastAsia" w:ascii="仿宋" w:hAnsi="仿宋" w:eastAsia="仿宋" w:cs="宋体"/>
          <w:color w:val="auto"/>
          <w:sz w:val="24"/>
          <w:szCs w:val="24"/>
          <w:highlight w:val="none"/>
          <w:u w:val="single"/>
        </w:rPr>
        <w:t xml:space="preserve">          </w:t>
      </w:r>
      <w:r>
        <w:rPr>
          <w:rFonts w:hint="eastAsia" w:ascii="仿宋" w:hAnsi="仿宋" w:eastAsia="仿宋" w:cs="宋体"/>
          <w:color w:val="auto"/>
          <w:sz w:val="24"/>
          <w:szCs w:val="24"/>
          <w:highlight w:val="none"/>
        </w:rPr>
        <w:t xml:space="preserve"> 品牌：</w:t>
      </w:r>
      <w:r>
        <w:rPr>
          <w:rFonts w:hint="eastAsia" w:ascii="仿宋" w:hAnsi="仿宋" w:eastAsia="仿宋" w:cs="宋体"/>
          <w:color w:val="auto"/>
          <w:sz w:val="24"/>
          <w:szCs w:val="24"/>
          <w:highlight w:val="none"/>
          <w:u w:val="single"/>
        </w:rPr>
        <w:t xml:space="preserve">        </w:t>
      </w:r>
      <w:r>
        <w:rPr>
          <w:rFonts w:hint="eastAsia" w:ascii="仿宋" w:hAnsi="仿宋" w:eastAsia="仿宋" w:cs="宋体"/>
          <w:color w:val="auto"/>
          <w:sz w:val="24"/>
          <w:szCs w:val="24"/>
          <w:highlight w:val="none"/>
        </w:rPr>
        <w:t xml:space="preserve"> 型号：</w:t>
      </w:r>
      <w:r>
        <w:rPr>
          <w:rFonts w:hint="eastAsia" w:ascii="仿宋" w:hAnsi="仿宋" w:eastAsia="仿宋" w:cs="宋体"/>
          <w:color w:val="auto"/>
          <w:sz w:val="24"/>
          <w:szCs w:val="24"/>
          <w:highlight w:val="none"/>
          <w:u w:val="single"/>
        </w:rPr>
        <w:t xml:space="preserve">       </w:t>
      </w:r>
      <w:r>
        <w:rPr>
          <w:rFonts w:hint="eastAsia" w:ascii="仿宋" w:hAnsi="仿宋" w:eastAsia="仿宋" w:cs="宋体"/>
          <w:color w:val="auto"/>
          <w:sz w:val="24"/>
          <w:szCs w:val="24"/>
          <w:highlight w:val="none"/>
        </w:rPr>
        <w:t xml:space="preserve"> </w:t>
      </w:r>
    </w:p>
    <w:p>
      <w:pPr>
        <w:pStyle w:val="963"/>
        <w:ind w:firstLine="48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 xml:space="preserve">     关键部件：</w:t>
      </w:r>
      <w:r>
        <w:rPr>
          <w:rFonts w:hint="eastAsia" w:ascii="仿宋" w:hAnsi="仿宋" w:eastAsia="仿宋" w:cs="宋体"/>
          <w:color w:val="auto"/>
          <w:sz w:val="24"/>
          <w:szCs w:val="24"/>
          <w:highlight w:val="none"/>
          <w:u w:val="single"/>
        </w:rPr>
        <w:t xml:space="preserve">          </w:t>
      </w:r>
      <w:r>
        <w:rPr>
          <w:rFonts w:hint="eastAsia" w:ascii="仿宋" w:hAnsi="仿宋" w:eastAsia="仿宋" w:cs="宋体"/>
          <w:color w:val="auto"/>
          <w:sz w:val="24"/>
          <w:szCs w:val="24"/>
          <w:highlight w:val="none"/>
        </w:rPr>
        <w:t xml:space="preserve"> 品牌：</w:t>
      </w:r>
      <w:r>
        <w:rPr>
          <w:rFonts w:hint="eastAsia" w:ascii="仿宋" w:hAnsi="仿宋" w:eastAsia="仿宋" w:cs="宋体"/>
          <w:color w:val="auto"/>
          <w:sz w:val="24"/>
          <w:szCs w:val="24"/>
          <w:highlight w:val="none"/>
          <w:u w:val="single"/>
        </w:rPr>
        <w:t xml:space="preserve">        </w:t>
      </w:r>
      <w:r>
        <w:rPr>
          <w:rFonts w:hint="eastAsia" w:ascii="仿宋" w:hAnsi="仿宋" w:eastAsia="仿宋" w:cs="宋体"/>
          <w:color w:val="auto"/>
          <w:sz w:val="24"/>
          <w:szCs w:val="24"/>
          <w:highlight w:val="none"/>
        </w:rPr>
        <w:t xml:space="preserve"> 型号：</w:t>
      </w:r>
      <w:r>
        <w:rPr>
          <w:rFonts w:hint="eastAsia" w:ascii="仿宋" w:hAnsi="仿宋" w:eastAsia="仿宋" w:cs="宋体"/>
          <w:color w:val="auto"/>
          <w:sz w:val="24"/>
          <w:szCs w:val="24"/>
          <w:highlight w:val="none"/>
          <w:u w:val="single"/>
        </w:rPr>
        <w:t xml:space="preserve">       </w:t>
      </w:r>
    </w:p>
    <w:p>
      <w:pPr>
        <w:pStyle w:val="963"/>
        <w:numPr>
          <w:ilvl w:val="255"/>
          <w:numId w:val="0"/>
        </w:numPr>
        <w:snapToGrid w:val="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 xml:space="preserve">   （注：关键部件是指财政部会同有关部门发布的政府采购需求标准规定的需要通过国家有关部门指定的测评机构开展的安全可靠测评的软硬件，如CPU芯片、操作系统、数据库等。）</w:t>
      </w:r>
    </w:p>
    <w:p>
      <w:pPr>
        <w:pStyle w:val="963"/>
        <w:numPr>
          <w:ilvl w:val="255"/>
          <w:numId w:val="0"/>
        </w:numPr>
        <w:snapToGrid w:val="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 xml:space="preserve">         </w:t>
      </w:r>
      <w:r>
        <w:rPr>
          <w:rFonts w:hint="eastAsia" w:ascii="仿宋" w:hAnsi="仿宋" w:eastAsia="仿宋" w:cs="汉仪书宋二S"/>
          <w:color w:val="auto"/>
          <w:sz w:val="24"/>
          <w:szCs w:val="24"/>
          <w:highlight w:val="none"/>
        </w:rPr>
        <w:t>②</w:t>
      </w:r>
      <w:r>
        <w:rPr>
          <w:rFonts w:hint="eastAsia" w:ascii="仿宋" w:hAnsi="仿宋" w:eastAsia="仿宋" w:cs="宋体"/>
          <w:color w:val="auto"/>
          <w:sz w:val="24"/>
          <w:szCs w:val="24"/>
          <w:highlight w:val="none"/>
        </w:rPr>
        <w:t>涉及车辆采购，请填写是否属于新能源汽车：</w:t>
      </w:r>
    </w:p>
    <w:p>
      <w:pPr>
        <w:pStyle w:val="963"/>
        <w:numPr>
          <w:ilvl w:val="255"/>
          <w:numId w:val="0"/>
        </w:numPr>
        <w:snapToGrid w:val="0"/>
        <w:rPr>
          <w:rFonts w:ascii="仿宋" w:hAnsi="仿宋" w:eastAsia="仿宋" w:cstheme="minorEastAsia"/>
          <w:color w:val="auto"/>
          <w:sz w:val="24"/>
          <w:szCs w:val="24"/>
          <w:highlight w:val="none"/>
        </w:rPr>
      </w:pPr>
      <w:r>
        <w:rPr>
          <w:rFonts w:hint="eastAsia" w:ascii="仿宋" w:hAnsi="仿宋" w:eastAsia="仿宋" w:cstheme="minorEastAsia"/>
          <w:color w:val="auto"/>
          <w:sz w:val="24"/>
          <w:szCs w:val="24"/>
          <w:highlight w:val="none"/>
        </w:rPr>
        <w:t xml:space="preserve">         </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是，《政府采购品目分类目录》底级品目名称：</w:t>
      </w:r>
      <w:r>
        <w:rPr>
          <w:rFonts w:hint="eastAsia" w:ascii="仿宋" w:hAnsi="仿宋" w:eastAsia="仿宋" w:cs="宋体"/>
          <w:color w:val="auto"/>
          <w:sz w:val="24"/>
          <w:szCs w:val="24"/>
          <w:highlight w:val="none"/>
          <w:u w:val="single"/>
        </w:rPr>
        <w:t xml:space="preserve">     </w:t>
      </w:r>
      <w:r>
        <w:rPr>
          <w:rFonts w:hint="eastAsia" w:ascii="仿宋" w:hAnsi="仿宋" w:eastAsia="仿宋" w:cstheme="minorEastAsia"/>
          <w:color w:val="auto"/>
          <w:sz w:val="24"/>
          <w:szCs w:val="24"/>
          <w:highlight w:val="none"/>
        </w:rPr>
        <w:t xml:space="preserve"> 数量：</w:t>
      </w:r>
      <w:r>
        <w:rPr>
          <w:rFonts w:hint="eastAsia" w:ascii="仿宋" w:hAnsi="仿宋" w:eastAsia="仿宋" w:cstheme="minorEastAsia"/>
          <w:color w:val="auto"/>
          <w:sz w:val="24"/>
          <w:szCs w:val="24"/>
          <w:highlight w:val="none"/>
          <w:u w:val="single"/>
        </w:rPr>
        <w:t xml:space="preserve"> </w:t>
      </w:r>
      <w:r>
        <w:rPr>
          <w:rFonts w:hint="eastAsia" w:ascii="仿宋" w:hAnsi="仿宋" w:eastAsia="仿宋" w:cs="宋体"/>
          <w:color w:val="auto"/>
          <w:sz w:val="24"/>
          <w:szCs w:val="24"/>
          <w:highlight w:val="none"/>
          <w:u w:val="single"/>
        </w:rPr>
        <w:t xml:space="preserve">   </w:t>
      </w:r>
      <w:r>
        <w:rPr>
          <w:rFonts w:hint="eastAsia" w:ascii="仿宋" w:hAnsi="仿宋" w:eastAsia="仿宋" w:cstheme="minorEastAsia"/>
          <w:color w:val="auto"/>
          <w:sz w:val="24"/>
          <w:szCs w:val="24"/>
          <w:highlight w:val="none"/>
        </w:rPr>
        <w:t xml:space="preserve"> 金额：</w:t>
      </w:r>
      <w:r>
        <w:rPr>
          <w:rFonts w:hint="eastAsia" w:ascii="仿宋" w:hAnsi="仿宋" w:eastAsia="仿宋" w:cs="宋体"/>
          <w:color w:val="auto"/>
          <w:sz w:val="24"/>
          <w:szCs w:val="24"/>
          <w:highlight w:val="none"/>
          <w:u w:val="single"/>
        </w:rPr>
        <w:t xml:space="preserve">     </w:t>
      </w:r>
      <w:r>
        <w:rPr>
          <w:rFonts w:hint="eastAsia" w:ascii="仿宋" w:hAnsi="仿宋" w:eastAsia="仿宋" w:cstheme="minorEastAsia"/>
          <w:color w:val="auto"/>
          <w:sz w:val="24"/>
          <w:szCs w:val="24"/>
          <w:highlight w:val="none"/>
        </w:rPr>
        <w:t xml:space="preserve"> </w:t>
      </w:r>
    </w:p>
    <w:p>
      <w:pPr>
        <w:pStyle w:val="963"/>
        <w:numPr>
          <w:ilvl w:val="255"/>
          <w:numId w:val="0"/>
        </w:numPr>
        <w:snapToGrid w:val="0"/>
        <w:rPr>
          <w:rFonts w:ascii="仿宋" w:hAnsi="仿宋" w:eastAsia="仿宋" w:cstheme="minorEastAsia"/>
          <w:color w:val="auto"/>
          <w:sz w:val="24"/>
          <w:szCs w:val="24"/>
          <w:highlight w:val="none"/>
        </w:rPr>
      </w:pPr>
      <w:r>
        <w:rPr>
          <w:rFonts w:hint="eastAsia" w:ascii="仿宋" w:hAnsi="仿宋" w:eastAsia="仿宋" w:cstheme="minorEastAsia"/>
          <w:color w:val="auto"/>
          <w:sz w:val="24"/>
          <w:szCs w:val="24"/>
          <w:highlight w:val="none"/>
        </w:rPr>
        <w:t xml:space="preserve">         </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否</w:t>
      </w:r>
    </w:p>
    <w:p>
      <w:pPr>
        <w:pStyle w:val="963"/>
        <w:numPr>
          <w:ilvl w:val="255"/>
          <w:numId w:val="0"/>
        </w:numPr>
        <w:snapToGrid w:val="0"/>
        <w:rPr>
          <w:rFonts w:ascii="仿宋" w:hAnsi="仿宋" w:eastAsia="仿宋" w:cstheme="minorEastAsia"/>
          <w:color w:val="auto"/>
          <w:sz w:val="24"/>
          <w:szCs w:val="24"/>
          <w:highlight w:val="none"/>
        </w:rPr>
      </w:pPr>
      <w:r>
        <w:rPr>
          <w:rFonts w:hint="eastAsia" w:ascii="仿宋" w:hAnsi="仿宋" w:eastAsia="仿宋" w:cstheme="minorEastAsia"/>
          <w:color w:val="auto"/>
          <w:sz w:val="24"/>
          <w:szCs w:val="24"/>
          <w:highlight w:val="none"/>
        </w:rPr>
        <w:t xml:space="preserve">    （</w:t>
      </w:r>
      <w:r>
        <w:rPr>
          <w:rFonts w:ascii="仿宋" w:hAnsi="仿宋" w:eastAsia="仿宋" w:cstheme="minorEastAsia"/>
          <w:color w:val="auto"/>
          <w:sz w:val="24"/>
          <w:szCs w:val="24"/>
          <w:highlight w:val="none"/>
          <w:lang w:val="en"/>
        </w:rPr>
        <w:t>4</w:t>
      </w:r>
      <w:r>
        <w:rPr>
          <w:rFonts w:hint="eastAsia" w:ascii="仿宋" w:hAnsi="仿宋" w:eastAsia="仿宋" w:cstheme="minorEastAsia"/>
          <w:color w:val="auto"/>
          <w:sz w:val="24"/>
          <w:szCs w:val="24"/>
          <w:highlight w:val="none"/>
        </w:rPr>
        <w:t>）政府采购组织形式：</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 xml:space="preserve">政府集中采购  </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 xml:space="preserve">部门集中采购  </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分散采购</w:t>
      </w:r>
    </w:p>
    <w:p>
      <w:pPr>
        <w:pStyle w:val="963"/>
        <w:numPr>
          <w:ilvl w:val="255"/>
          <w:numId w:val="0"/>
        </w:numPr>
        <w:snapToGrid w:val="0"/>
        <w:ind w:firstLine="420"/>
        <w:rPr>
          <w:rFonts w:ascii="仿宋" w:hAnsi="仿宋" w:eastAsia="仿宋" w:cstheme="minorEastAsia"/>
          <w:color w:val="auto"/>
          <w:sz w:val="24"/>
          <w:szCs w:val="24"/>
          <w:highlight w:val="none"/>
        </w:rPr>
      </w:pPr>
      <w:r>
        <w:rPr>
          <w:rFonts w:hint="eastAsia" w:ascii="仿宋" w:hAnsi="仿宋" w:eastAsia="仿宋" w:cstheme="minorEastAsia"/>
          <w:color w:val="auto"/>
          <w:sz w:val="24"/>
          <w:szCs w:val="24"/>
          <w:highlight w:val="none"/>
        </w:rPr>
        <w:t>（</w:t>
      </w:r>
      <w:r>
        <w:rPr>
          <w:rFonts w:ascii="仿宋" w:hAnsi="仿宋" w:eastAsia="仿宋" w:cstheme="minorEastAsia"/>
          <w:color w:val="auto"/>
          <w:sz w:val="24"/>
          <w:szCs w:val="24"/>
          <w:highlight w:val="none"/>
          <w:lang w:val="en"/>
        </w:rPr>
        <w:t>5</w:t>
      </w:r>
      <w:r>
        <w:rPr>
          <w:rFonts w:hint="eastAsia" w:ascii="仿宋" w:hAnsi="仿宋" w:eastAsia="仿宋" w:cstheme="minorEastAsia"/>
          <w:color w:val="auto"/>
          <w:sz w:val="24"/>
          <w:szCs w:val="24"/>
          <w:highlight w:val="none"/>
        </w:rPr>
        <w:t>）政府采购方式：</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 xml:space="preserve">公开招标 </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 xml:space="preserve">邀请招标 </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 xml:space="preserve">竞争性谈判 </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竞争性磋商</w:t>
      </w:r>
    </w:p>
    <w:p>
      <w:pPr>
        <w:pStyle w:val="963"/>
        <w:numPr>
          <w:ilvl w:val="255"/>
          <w:numId w:val="0"/>
        </w:numPr>
        <w:snapToGrid w:val="0"/>
        <w:ind w:firstLine="420"/>
        <w:rPr>
          <w:rFonts w:ascii="仿宋" w:hAnsi="仿宋" w:eastAsia="仿宋" w:cs="宋体"/>
          <w:color w:val="auto"/>
          <w:sz w:val="24"/>
          <w:szCs w:val="24"/>
          <w:highlight w:val="none"/>
          <w:u w:val="single"/>
        </w:rPr>
      </w:pPr>
      <w:r>
        <w:rPr>
          <w:rFonts w:hint="eastAsia" w:ascii="仿宋" w:hAnsi="仿宋" w:eastAsia="仿宋" w:cs="宋体"/>
          <w:color w:val="auto"/>
          <w:sz w:val="24"/>
          <w:szCs w:val="24"/>
          <w:highlight w:val="none"/>
        </w:rPr>
        <w:t xml:space="preserve">                  </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 xml:space="preserve">询价 </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 xml:space="preserve">单一来源 </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 xml:space="preserve">框架协议 </w:t>
      </w:r>
      <w:r>
        <w:rPr>
          <w:rFonts w:hint="eastAsia" w:ascii="仿宋" w:hAnsi="仿宋" w:eastAsia="仿宋" w:cstheme="minorEastAsia"/>
          <w:color w:val="auto"/>
          <w:sz w:val="24"/>
          <w:szCs w:val="24"/>
          <w:highlight w:val="none"/>
        </w:rPr>
        <w:sym w:font="Wingdings" w:char="00A8"/>
      </w:r>
      <w:r>
        <w:rPr>
          <w:rFonts w:hint="eastAsia" w:ascii="仿宋" w:hAnsi="仿宋" w:eastAsia="仿宋" w:cstheme="minorEastAsia"/>
          <w:color w:val="auto"/>
          <w:sz w:val="24"/>
          <w:szCs w:val="24"/>
          <w:highlight w:val="none"/>
        </w:rPr>
        <w:t>其他：</w:t>
      </w:r>
      <w:r>
        <w:rPr>
          <w:rFonts w:hint="eastAsia" w:ascii="仿宋" w:hAnsi="仿宋" w:eastAsia="仿宋" w:cs="宋体"/>
          <w:color w:val="auto"/>
          <w:sz w:val="24"/>
          <w:szCs w:val="24"/>
          <w:highlight w:val="none"/>
          <w:u w:val="single"/>
        </w:rPr>
        <w:t xml:space="preserve">          </w:t>
      </w:r>
    </w:p>
    <w:p>
      <w:pPr>
        <w:pStyle w:val="963"/>
        <w:numPr>
          <w:ilvl w:val="255"/>
          <w:numId w:val="0"/>
        </w:numPr>
        <w:snapToGrid w:val="0"/>
        <w:ind w:firstLine="42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（注：在框架协议采购的第二阶段，可选择使用该合同文本）</w:t>
      </w:r>
    </w:p>
    <w:p>
      <w:pPr>
        <w:pStyle w:val="963"/>
        <w:numPr>
          <w:ilvl w:val="255"/>
          <w:numId w:val="0"/>
        </w:numPr>
        <w:snapToGrid w:val="0"/>
        <w:ind w:firstLine="240" w:firstLineChars="100"/>
        <w:rPr>
          <w:rFonts w:ascii="仿宋" w:hAnsi="仿宋" w:eastAsia="仿宋" w:cs="Times New Roman"/>
          <w:color w:val="auto"/>
          <w:kern w:val="2"/>
          <w:sz w:val="24"/>
          <w:szCs w:val="24"/>
          <w:highlight w:val="none"/>
        </w:rPr>
      </w:pPr>
      <w:r>
        <w:rPr>
          <w:rFonts w:hint="eastAsia" w:ascii="仿宋" w:hAnsi="仿宋" w:eastAsia="仿宋"/>
          <w:color w:val="auto"/>
          <w:sz w:val="24"/>
          <w:szCs w:val="24"/>
          <w:highlight w:val="none"/>
        </w:rPr>
        <w:t xml:space="preserve"> （</w:t>
      </w:r>
      <w:r>
        <w:rPr>
          <w:rFonts w:ascii="仿宋" w:hAnsi="仿宋" w:eastAsia="仿宋"/>
          <w:color w:val="auto"/>
          <w:sz w:val="24"/>
          <w:szCs w:val="24"/>
          <w:highlight w:val="none"/>
          <w:lang w:val="en"/>
        </w:rPr>
        <w:t>6</w:t>
      </w:r>
      <w:r>
        <w:rPr>
          <w:rFonts w:hint="eastAsia" w:ascii="仿宋" w:hAnsi="仿宋" w:eastAsia="仿宋"/>
          <w:color w:val="auto"/>
          <w:sz w:val="24"/>
          <w:szCs w:val="24"/>
          <w:highlight w:val="none"/>
        </w:rPr>
        <w:t>）</w:t>
      </w:r>
      <w:r>
        <w:rPr>
          <w:rFonts w:hint="eastAsia" w:ascii="仿宋" w:hAnsi="仿宋" w:eastAsia="仿宋" w:cs="Times New Roman"/>
          <w:color w:val="auto"/>
          <w:kern w:val="2"/>
          <w:sz w:val="24"/>
          <w:szCs w:val="24"/>
          <w:highlight w:val="none"/>
        </w:rPr>
        <w:t>中标（成交）采购标的制造商是否为中小企业：</w:t>
      </w:r>
      <w:r>
        <w:rPr>
          <w:rFonts w:hint="eastAsia" w:ascii="仿宋" w:hAnsi="仿宋" w:eastAsia="仿宋" w:cs="Times New Roman"/>
          <w:color w:val="auto"/>
          <w:kern w:val="2"/>
          <w:sz w:val="24"/>
          <w:szCs w:val="24"/>
          <w:highlight w:val="none"/>
        </w:rPr>
        <w:sym w:font="Wingdings" w:char="00A8"/>
      </w:r>
      <w:r>
        <w:rPr>
          <w:rFonts w:hint="eastAsia" w:ascii="仿宋" w:hAnsi="仿宋" w:eastAsia="仿宋" w:cs="Times New Roman"/>
          <w:color w:val="auto"/>
          <w:kern w:val="2"/>
          <w:sz w:val="24"/>
          <w:szCs w:val="24"/>
          <w:highlight w:val="none"/>
        </w:rPr>
        <w:t xml:space="preserve">是      </w:t>
      </w:r>
      <w:r>
        <w:rPr>
          <w:rFonts w:hint="eastAsia" w:ascii="仿宋" w:hAnsi="仿宋" w:eastAsia="仿宋" w:cs="Times New Roman"/>
          <w:color w:val="auto"/>
          <w:kern w:val="2"/>
          <w:sz w:val="24"/>
          <w:szCs w:val="24"/>
          <w:highlight w:val="none"/>
        </w:rPr>
        <w:sym w:font="Wingdings" w:char="00A8"/>
      </w:r>
      <w:r>
        <w:rPr>
          <w:rFonts w:hint="eastAsia" w:ascii="仿宋" w:hAnsi="仿宋" w:eastAsia="仿宋" w:cs="Times New Roman"/>
          <w:color w:val="auto"/>
          <w:kern w:val="2"/>
          <w:sz w:val="24"/>
          <w:szCs w:val="24"/>
          <w:highlight w:val="none"/>
        </w:rPr>
        <w:t>否</w:t>
      </w:r>
    </w:p>
    <w:p>
      <w:pPr>
        <w:numPr>
          <w:ilvl w:val="255"/>
          <w:numId w:val="0"/>
        </w:numPr>
        <w:snapToGrid w:val="0"/>
        <w:spacing w:line="400" w:lineRule="exact"/>
        <w:rPr>
          <w:rFonts w:ascii="仿宋" w:hAnsi="仿宋" w:eastAsia="仿宋"/>
          <w:iCs/>
          <w:color w:val="auto"/>
          <w:sz w:val="24"/>
          <w:highlight w:val="none"/>
        </w:rPr>
      </w:pPr>
      <w:r>
        <w:rPr>
          <w:rFonts w:hint="eastAsia" w:ascii="仿宋" w:hAnsi="仿宋" w:eastAsia="仿宋"/>
          <w:color w:val="auto"/>
          <w:sz w:val="24"/>
          <w:highlight w:val="none"/>
        </w:rPr>
        <w:t xml:space="preserve">         本合同是否为专门面向中小企业的采购合同（中小企业预留合同）：</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是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否</w:t>
      </w:r>
    </w:p>
    <w:p>
      <w:pPr>
        <w:numPr>
          <w:ilvl w:val="255"/>
          <w:numId w:val="0"/>
        </w:numPr>
        <w:snapToGrid w:val="0"/>
        <w:spacing w:line="400" w:lineRule="exact"/>
        <w:rPr>
          <w:rFonts w:ascii="仿宋" w:hAnsi="仿宋" w:eastAsia="仿宋"/>
          <w:iCs/>
          <w:color w:val="auto"/>
          <w:sz w:val="24"/>
          <w:highlight w:val="none"/>
        </w:rPr>
      </w:pPr>
      <w:r>
        <w:rPr>
          <w:rFonts w:hint="eastAsia" w:ascii="仿宋" w:hAnsi="仿宋" w:eastAsia="仿宋"/>
          <w:color w:val="auto"/>
          <w:sz w:val="24"/>
          <w:highlight w:val="none"/>
        </w:rPr>
        <w:t xml:space="preserve">         若本项目不专门面向中小企业采购，是否给予小微企业评审优惠：</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是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否</w:t>
      </w:r>
    </w:p>
    <w:p>
      <w:pPr>
        <w:numPr>
          <w:ilvl w:val="255"/>
          <w:numId w:val="0"/>
        </w:numPr>
        <w:snapToGrid w:val="0"/>
        <w:spacing w:line="400" w:lineRule="exact"/>
        <w:rPr>
          <w:rFonts w:ascii="仿宋" w:hAnsi="仿宋" w:eastAsia="仿宋"/>
          <w:iCs/>
          <w:color w:val="auto"/>
          <w:sz w:val="24"/>
          <w:highlight w:val="none"/>
        </w:rPr>
      </w:pPr>
      <w:r>
        <w:rPr>
          <w:rFonts w:hint="eastAsia" w:ascii="仿宋" w:hAnsi="仿宋" w:eastAsia="仿宋"/>
          <w:color w:val="auto"/>
          <w:sz w:val="24"/>
          <w:highlight w:val="none"/>
        </w:rPr>
        <w:t xml:space="preserve">         中标（成交）采购标的制造商是否为残疾人福利性单位：</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是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否</w:t>
      </w:r>
    </w:p>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 xml:space="preserve">         中标（成交）采购标的制造商是否为监狱企业：</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是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否</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lang w:val="en"/>
        </w:rPr>
        <w:t>7</w:t>
      </w:r>
      <w:r>
        <w:rPr>
          <w:rFonts w:hint="eastAsia" w:ascii="仿宋" w:hAnsi="仿宋" w:eastAsia="仿宋"/>
          <w:color w:val="auto"/>
          <w:sz w:val="24"/>
          <w:highlight w:val="none"/>
        </w:rPr>
        <w:t>）合同是否分包：</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是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否</w:t>
      </w:r>
    </w:p>
    <w:p>
      <w:pPr>
        <w:snapToGrid w:val="0"/>
        <w:spacing w:line="400" w:lineRule="exac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 xml:space="preserve"> 分包主要内容：</w:t>
      </w:r>
      <w:r>
        <w:rPr>
          <w:rFonts w:hint="eastAsia" w:ascii="仿宋" w:hAnsi="仿宋" w:eastAsia="仿宋"/>
          <w:color w:val="auto"/>
          <w:sz w:val="24"/>
          <w:highlight w:val="none"/>
          <w:u w:val="single"/>
        </w:rPr>
        <w:t xml:space="preserve">                                            </w:t>
      </w:r>
    </w:p>
    <w:p>
      <w:pPr>
        <w:snapToGrid w:val="0"/>
        <w:spacing w:line="400" w:lineRule="exact"/>
        <w:ind w:firstLine="960" w:firstLineChars="400"/>
        <w:rPr>
          <w:rFonts w:ascii="仿宋" w:hAnsi="仿宋" w:eastAsia="仿宋"/>
          <w:color w:val="auto"/>
          <w:sz w:val="24"/>
          <w:highlight w:val="none"/>
        </w:rPr>
      </w:pPr>
      <w:r>
        <w:rPr>
          <w:rFonts w:hint="eastAsia" w:ascii="仿宋" w:hAnsi="仿宋" w:eastAsia="仿宋"/>
          <w:color w:val="auto"/>
          <w:sz w:val="24"/>
          <w:highlight w:val="none"/>
        </w:rPr>
        <w:t xml:space="preserve"> 分包供应商/制造商名称（如供应商和制造商不同，请分别填写）：</w:t>
      </w:r>
    </w:p>
    <w:p>
      <w:pPr>
        <w:snapToGrid w:val="0"/>
        <w:spacing w:line="400" w:lineRule="exac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sz w:val="24"/>
          <w:highlight w:val="none"/>
          <w:u w:val="single"/>
        </w:rPr>
        <w:t xml:space="preserve">                                                          </w:t>
      </w:r>
    </w:p>
    <w:p>
      <w:pPr>
        <w:snapToGrid w:val="0"/>
        <w:spacing w:line="400" w:lineRule="exact"/>
        <w:ind w:firstLine="960" w:firstLineChars="400"/>
        <w:rPr>
          <w:rFonts w:ascii="仿宋" w:hAnsi="仿宋" w:eastAsia="仿宋"/>
          <w:color w:val="auto"/>
          <w:sz w:val="24"/>
          <w:highlight w:val="none"/>
        </w:rPr>
      </w:pPr>
      <w:r>
        <w:rPr>
          <w:rFonts w:hint="eastAsia" w:ascii="仿宋" w:hAnsi="仿宋" w:eastAsia="仿宋"/>
          <w:color w:val="auto"/>
          <w:sz w:val="24"/>
          <w:highlight w:val="none"/>
        </w:rPr>
        <w:t xml:space="preserve"> 分包供应商/制造商类型（如果供应商和制造商不同，只填写制造商类型）：</w:t>
      </w:r>
    </w:p>
    <w:p>
      <w:pPr>
        <w:snapToGrid w:val="0"/>
        <w:spacing w:line="400" w:lineRule="exact"/>
        <w:ind w:firstLine="960" w:firstLineChars="400"/>
        <w:rPr>
          <w:rFonts w:ascii="仿宋" w:hAnsi="仿宋" w:eastAsia="仿宋"/>
          <w:iCs/>
          <w:color w:val="auto"/>
          <w:sz w:val="24"/>
          <w:highlight w:val="none"/>
        </w:rPr>
      </w:pPr>
      <w:r>
        <w:rPr>
          <w:rFonts w:hint="eastAsia" w:ascii="仿宋" w:hAnsi="仿宋" w:eastAsia="仿宋"/>
          <w:iCs/>
          <w:color w:val="auto"/>
          <w:sz w:val="24"/>
          <w:highlight w:val="none"/>
        </w:rPr>
        <w:t xml:space="preserve">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大型企业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中型企业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小微型企业  </w:t>
      </w:r>
    </w:p>
    <w:p>
      <w:pPr>
        <w:snapToGrid w:val="0"/>
        <w:spacing w:line="400" w:lineRule="exact"/>
        <w:ind w:firstLine="960" w:firstLineChars="400"/>
        <w:rPr>
          <w:rFonts w:ascii="仿宋" w:hAnsi="仿宋" w:eastAsia="仿宋"/>
          <w:color w:val="auto"/>
          <w:sz w:val="24"/>
          <w:highlight w:val="none"/>
        </w:rPr>
      </w:pPr>
      <w:r>
        <w:rPr>
          <w:rFonts w:hint="eastAsia" w:ascii="仿宋" w:hAnsi="仿宋" w:eastAsia="仿宋"/>
          <w:iCs/>
          <w:color w:val="auto"/>
          <w:sz w:val="24"/>
          <w:highlight w:val="none"/>
        </w:rPr>
        <w:t xml:space="preserve">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残疾人福利性单位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监狱企业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其他</w:t>
      </w:r>
    </w:p>
    <w:p>
      <w:pPr>
        <w:numPr>
          <w:ilvl w:val="255"/>
          <w:numId w:val="0"/>
        </w:numPr>
        <w:snapToGrid w:val="0"/>
        <w:spacing w:line="400" w:lineRule="exact"/>
        <w:rPr>
          <w:rFonts w:ascii="仿宋" w:hAnsi="仿宋" w:eastAsia="仿宋" w:cs="宋体"/>
          <w:iCs/>
          <w:color w:val="auto"/>
          <w:sz w:val="24"/>
          <w:highlight w:val="none"/>
        </w:rPr>
      </w:pPr>
      <w:r>
        <w:rPr>
          <w:rFonts w:hint="eastAsia" w:ascii="仿宋" w:hAnsi="仿宋" w:eastAsia="仿宋"/>
          <w:color w:val="auto"/>
          <w:sz w:val="24"/>
          <w:highlight w:val="none"/>
        </w:rPr>
        <w:t xml:space="preserve">    </w:t>
      </w:r>
      <w:r>
        <w:rPr>
          <w:rFonts w:hint="eastAsia" w:ascii="仿宋" w:hAnsi="仿宋" w:eastAsia="仿宋" w:cs="宋体"/>
          <w:color w:val="auto"/>
          <w:sz w:val="24"/>
          <w:highlight w:val="none"/>
        </w:rPr>
        <w:t>（</w:t>
      </w:r>
      <w:r>
        <w:rPr>
          <w:rFonts w:ascii="仿宋" w:hAnsi="仿宋" w:eastAsia="仿宋" w:cs="宋体"/>
          <w:color w:val="auto"/>
          <w:sz w:val="24"/>
          <w:highlight w:val="none"/>
          <w:lang w:val="en"/>
        </w:rPr>
        <w:t>8</w:t>
      </w:r>
      <w:r>
        <w:rPr>
          <w:rFonts w:hint="eastAsia" w:ascii="仿宋" w:hAnsi="仿宋" w:eastAsia="仿宋" w:cs="宋体"/>
          <w:color w:val="auto"/>
          <w:sz w:val="24"/>
          <w:highlight w:val="none"/>
        </w:rPr>
        <w:t>）中标（成交）供应商是否为外商投资企业：</w:t>
      </w:r>
      <w:r>
        <w:rPr>
          <w:rFonts w:hint="eastAsia" w:ascii="仿宋" w:hAnsi="仿宋" w:eastAsia="仿宋" w:cs="宋体"/>
          <w:iCs/>
          <w:color w:val="auto"/>
          <w:sz w:val="24"/>
          <w:highlight w:val="none"/>
        </w:rPr>
        <w:sym w:font="Wingdings" w:char="00A8"/>
      </w:r>
      <w:r>
        <w:rPr>
          <w:rFonts w:hint="eastAsia" w:ascii="仿宋" w:hAnsi="仿宋" w:eastAsia="仿宋" w:cs="宋体"/>
          <w:iCs/>
          <w:color w:val="auto"/>
          <w:sz w:val="24"/>
          <w:highlight w:val="none"/>
        </w:rPr>
        <w:t xml:space="preserve">是       </w:t>
      </w:r>
      <w:r>
        <w:rPr>
          <w:rFonts w:hint="eastAsia" w:ascii="仿宋" w:hAnsi="仿宋" w:eastAsia="仿宋" w:cs="宋体"/>
          <w:iCs/>
          <w:color w:val="auto"/>
          <w:sz w:val="24"/>
          <w:highlight w:val="none"/>
        </w:rPr>
        <w:sym w:font="Wingdings" w:char="00A8"/>
      </w:r>
      <w:r>
        <w:rPr>
          <w:rFonts w:hint="eastAsia" w:ascii="仿宋" w:hAnsi="仿宋" w:eastAsia="仿宋" w:cs="宋体"/>
          <w:iCs/>
          <w:color w:val="auto"/>
          <w:sz w:val="24"/>
          <w:highlight w:val="none"/>
        </w:rPr>
        <w:t>否</w:t>
      </w:r>
    </w:p>
    <w:p>
      <w:pPr>
        <w:pStyle w:val="963"/>
        <w:tabs>
          <w:tab w:val="left" w:pos="1340"/>
        </w:tabs>
        <w:ind w:firstLine="480"/>
        <w:rPr>
          <w:rFonts w:ascii="仿宋" w:hAnsi="仿宋" w:eastAsia="仿宋" w:cs="宋体"/>
          <w:color w:val="auto"/>
          <w:sz w:val="24"/>
          <w:szCs w:val="24"/>
          <w:highlight w:val="none"/>
          <w:u w:val="single"/>
        </w:rPr>
      </w:pPr>
      <w:r>
        <w:rPr>
          <w:rFonts w:hint="eastAsia" w:ascii="仿宋" w:hAnsi="仿宋" w:eastAsia="仿宋" w:cs="宋体"/>
          <w:color w:val="auto"/>
          <w:sz w:val="24"/>
          <w:szCs w:val="24"/>
          <w:highlight w:val="none"/>
        </w:rPr>
        <w:t xml:space="preserve">     外商投资企业类型：</w:t>
      </w:r>
      <w:r>
        <w:rPr>
          <w:rFonts w:hint="eastAsia" w:ascii="仿宋" w:hAnsi="仿宋" w:eastAsia="仿宋" w:cs="宋体"/>
          <w:iCs/>
          <w:color w:val="auto"/>
          <w:sz w:val="24"/>
          <w:szCs w:val="24"/>
          <w:highlight w:val="none"/>
        </w:rPr>
        <w:sym w:font="Wingdings" w:char="00A8"/>
      </w:r>
      <w:r>
        <w:rPr>
          <w:rFonts w:hint="eastAsia" w:ascii="仿宋" w:hAnsi="仿宋" w:eastAsia="仿宋" w:cs="宋体"/>
          <w:color w:val="auto"/>
          <w:sz w:val="24"/>
          <w:szCs w:val="24"/>
          <w:highlight w:val="none"/>
        </w:rPr>
        <w:t xml:space="preserve">全部由外国投资者投资  </w:t>
      </w:r>
      <w:r>
        <w:rPr>
          <w:rFonts w:hint="eastAsia" w:ascii="仿宋" w:hAnsi="仿宋" w:eastAsia="仿宋" w:cs="宋体"/>
          <w:iCs/>
          <w:color w:val="auto"/>
          <w:sz w:val="24"/>
          <w:szCs w:val="24"/>
          <w:highlight w:val="none"/>
        </w:rPr>
        <w:sym w:font="Wingdings" w:char="00A8"/>
      </w:r>
      <w:r>
        <w:rPr>
          <w:rFonts w:hint="eastAsia" w:ascii="仿宋" w:hAnsi="仿宋" w:eastAsia="仿宋" w:cs="宋体"/>
          <w:iCs/>
          <w:color w:val="auto"/>
          <w:sz w:val="24"/>
          <w:szCs w:val="24"/>
          <w:highlight w:val="none"/>
        </w:rPr>
        <w:t>部分由外国投资者投资</w:t>
      </w:r>
    </w:p>
    <w:p>
      <w:pPr>
        <w:numPr>
          <w:ilvl w:val="255"/>
          <w:numId w:val="0"/>
        </w:numPr>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w:t>
      </w:r>
      <w:r>
        <w:rPr>
          <w:rFonts w:ascii="仿宋" w:hAnsi="仿宋" w:eastAsia="仿宋" w:cs="宋体"/>
          <w:color w:val="auto"/>
          <w:sz w:val="24"/>
          <w:highlight w:val="none"/>
          <w:lang w:val="en"/>
        </w:rPr>
        <w:t>9</w:t>
      </w:r>
      <w:r>
        <w:rPr>
          <w:rFonts w:hint="eastAsia" w:ascii="仿宋" w:hAnsi="仿宋" w:eastAsia="仿宋" w:cs="宋体"/>
          <w:color w:val="auto"/>
          <w:sz w:val="24"/>
          <w:highlight w:val="none"/>
        </w:rPr>
        <w:t>）是否涉及进口产品：</w:t>
      </w:r>
    </w:p>
    <w:p>
      <w:pPr>
        <w:numPr>
          <w:ilvl w:val="255"/>
          <w:numId w:val="0"/>
        </w:numPr>
        <w:snapToGrid w:val="0"/>
        <w:spacing w:line="400" w:lineRule="exact"/>
        <w:ind w:firstLine="960" w:firstLineChars="400"/>
        <w:rPr>
          <w:rFonts w:ascii="仿宋" w:hAnsi="仿宋" w:eastAsia="仿宋" w:cs="宋体"/>
          <w:color w:val="auto"/>
          <w:sz w:val="24"/>
          <w:highlight w:val="none"/>
          <w:u w:val="single"/>
        </w:rPr>
      </w:pPr>
      <w:r>
        <w:rPr>
          <w:rFonts w:hint="eastAsia" w:ascii="仿宋" w:hAnsi="仿宋" w:eastAsia="仿宋" w:cs="宋体"/>
          <w:color w:val="auto"/>
          <w:sz w:val="24"/>
          <w:highlight w:val="none"/>
        </w:rPr>
        <w:t xml:space="preserve"> </w:t>
      </w:r>
      <w:r>
        <w:rPr>
          <w:rFonts w:hint="eastAsia" w:ascii="仿宋" w:hAnsi="仿宋" w:eastAsia="仿宋" w:cs="宋体"/>
          <w:color w:val="auto"/>
          <w:sz w:val="24"/>
          <w:highlight w:val="none"/>
        </w:rPr>
        <w:sym w:font="Wingdings" w:char="00A8"/>
      </w:r>
      <w:r>
        <w:rPr>
          <w:rFonts w:hint="eastAsia" w:ascii="仿宋" w:hAnsi="仿宋" w:eastAsia="仿宋" w:cs="宋体"/>
          <w:color w:val="auto"/>
          <w:sz w:val="24"/>
          <w:highlight w:val="none"/>
        </w:rPr>
        <w:t>是，《政府采购品目分类目录》底级品目名称：</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 xml:space="preserve"> 金额：</w:t>
      </w:r>
      <w:r>
        <w:rPr>
          <w:rFonts w:hint="eastAsia" w:ascii="仿宋" w:hAnsi="仿宋" w:eastAsia="仿宋" w:cs="宋体"/>
          <w:color w:val="auto"/>
          <w:sz w:val="24"/>
          <w:highlight w:val="none"/>
          <w:u w:val="single"/>
        </w:rPr>
        <w:t xml:space="preserve">        </w:t>
      </w:r>
    </w:p>
    <w:p>
      <w:pPr>
        <w:numPr>
          <w:ilvl w:val="255"/>
          <w:numId w:val="0"/>
        </w:numPr>
        <w:snapToGrid w:val="0"/>
        <w:spacing w:line="400" w:lineRule="exact"/>
        <w:ind w:firstLine="960" w:firstLineChars="400"/>
        <w:rPr>
          <w:rFonts w:ascii="仿宋" w:hAnsi="仿宋" w:eastAsia="仿宋"/>
          <w:color w:val="auto"/>
          <w:sz w:val="24"/>
          <w:highlight w:val="none"/>
        </w:rPr>
      </w:pPr>
      <w:r>
        <w:rPr>
          <w:rFonts w:hint="eastAsia" w:ascii="仿宋" w:hAnsi="仿宋" w:eastAsia="仿宋" w:cs="宋体"/>
          <w:color w:val="auto"/>
          <w:sz w:val="24"/>
          <w:highlight w:val="none"/>
        </w:rPr>
        <w:t xml:space="preserve">        国别：</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 xml:space="preserve"> 品牌：</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 xml:space="preserve"> 规格型号：</w:t>
      </w:r>
      <w:r>
        <w:rPr>
          <w:rFonts w:hint="eastAsia" w:ascii="仿宋" w:hAnsi="仿宋" w:eastAsia="仿宋" w:cs="宋体"/>
          <w:color w:val="auto"/>
          <w:sz w:val="24"/>
          <w:highlight w:val="none"/>
          <w:u w:val="single"/>
        </w:rPr>
        <w:t xml:space="preserve">        </w:t>
      </w:r>
      <w:r>
        <w:rPr>
          <w:rFonts w:hint="eastAsia" w:ascii="仿宋" w:hAnsi="仿宋" w:eastAsia="仿宋"/>
          <w:color w:val="auto"/>
          <w:sz w:val="24"/>
          <w:highlight w:val="none"/>
        </w:rPr>
        <w:t xml:space="preserve">      </w:t>
      </w:r>
    </w:p>
    <w:p>
      <w:pPr>
        <w:snapToGrid w:val="0"/>
        <w:spacing w:line="400" w:lineRule="exact"/>
        <w:ind w:firstLine="960" w:firstLineChars="400"/>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hint="eastAsia" w:ascii="仿宋" w:hAnsi="仿宋" w:eastAsia="仿宋"/>
          <w:color w:val="auto"/>
          <w:sz w:val="24"/>
          <w:highlight w:val="none"/>
        </w:rPr>
        <w:sym w:font="Wingdings" w:char="00A8"/>
      </w:r>
      <w:r>
        <w:rPr>
          <w:rFonts w:hint="eastAsia" w:ascii="仿宋" w:hAnsi="仿宋" w:eastAsia="仿宋"/>
          <w:color w:val="auto"/>
          <w:sz w:val="24"/>
          <w:highlight w:val="none"/>
        </w:rPr>
        <w:t>否</w:t>
      </w:r>
    </w:p>
    <w:p>
      <w:pPr>
        <w:numPr>
          <w:ilvl w:val="255"/>
          <w:numId w:val="0"/>
        </w:numPr>
        <w:tabs>
          <w:tab w:val="left" w:pos="740"/>
        </w:tabs>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 xml:space="preserve">    （1</w:t>
      </w:r>
      <w:r>
        <w:rPr>
          <w:rFonts w:ascii="仿宋" w:hAnsi="仿宋" w:eastAsia="仿宋"/>
          <w:color w:val="auto"/>
          <w:sz w:val="24"/>
          <w:highlight w:val="none"/>
          <w:lang w:val="en"/>
        </w:rPr>
        <w:t>0</w:t>
      </w:r>
      <w:r>
        <w:rPr>
          <w:rFonts w:hint="eastAsia" w:ascii="仿宋" w:hAnsi="仿宋" w:eastAsia="仿宋"/>
          <w:color w:val="auto"/>
          <w:sz w:val="24"/>
          <w:highlight w:val="none"/>
        </w:rPr>
        <w:t>）是否涉及节能产品：</w:t>
      </w:r>
    </w:p>
    <w:p>
      <w:pPr>
        <w:numPr>
          <w:ilvl w:val="255"/>
          <w:numId w:val="0"/>
        </w:numPr>
        <w:tabs>
          <w:tab w:val="left" w:pos="740"/>
        </w:tabs>
        <w:snapToGrid w:val="0"/>
        <w:spacing w:line="400" w:lineRule="exact"/>
        <w:rPr>
          <w:rFonts w:ascii="仿宋" w:hAnsi="仿宋" w:eastAsia="仿宋"/>
          <w:iCs/>
          <w:color w:val="auto"/>
          <w:sz w:val="24"/>
          <w:highlight w:val="none"/>
        </w:rPr>
      </w:pPr>
      <w:r>
        <w:rPr>
          <w:rFonts w:hint="eastAsia" w:ascii="仿宋" w:hAnsi="仿宋" w:eastAsia="仿宋"/>
          <w:color w:val="auto"/>
          <w:sz w:val="24"/>
          <w:highlight w:val="none"/>
        </w:rPr>
        <w:t xml:space="preserve">         </w:t>
      </w:r>
      <w:r>
        <w:rPr>
          <w:rFonts w:hint="eastAsia" w:ascii="仿宋" w:hAnsi="仿宋" w:eastAsia="仿宋"/>
          <w:color w:val="auto"/>
          <w:sz w:val="24"/>
          <w:highlight w:val="none"/>
        </w:rPr>
        <w:sym w:font="Wingdings" w:char="00A8"/>
      </w:r>
      <w:r>
        <w:rPr>
          <w:rFonts w:hint="eastAsia" w:ascii="仿宋" w:hAnsi="仿宋" w:eastAsia="仿宋"/>
          <w:color w:val="auto"/>
          <w:sz w:val="24"/>
          <w:highlight w:val="none"/>
        </w:rPr>
        <w:t>是，《节能产品政府采购品目清单》的底级品目名称：</w:t>
      </w:r>
      <w:r>
        <w:rPr>
          <w:rFonts w:hint="eastAsia" w:ascii="仿宋" w:hAnsi="仿宋" w:eastAsia="仿宋"/>
          <w:color w:val="auto"/>
          <w:sz w:val="24"/>
          <w:highlight w:val="none"/>
          <w:u w:val="single"/>
        </w:rPr>
        <w:t xml:space="preserve">         </w:t>
      </w:r>
      <w:r>
        <w:rPr>
          <w:rFonts w:hint="eastAsia" w:ascii="仿宋" w:hAnsi="仿宋" w:eastAsia="仿宋"/>
          <w:iCs/>
          <w:color w:val="auto"/>
          <w:sz w:val="24"/>
          <w:highlight w:val="none"/>
        </w:rPr>
        <w:t xml:space="preserve">     </w:t>
      </w:r>
    </w:p>
    <w:p>
      <w:pPr>
        <w:numPr>
          <w:ilvl w:val="255"/>
          <w:numId w:val="0"/>
        </w:numPr>
        <w:tabs>
          <w:tab w:val="left" w:pos="740"/>
        </w:tabs>
        <w:snapToGrid w:val="0"/>
        <w:spacing w:line="400" w:lineRule="exact"/>
        <w:rPr>
          <w:rFonts w:ascii="仿宋" w:hAnsi="仿宋" w:eastAsia="仿宋"/>
          <w:iCs/>
          <w:color w:val="auto"/>
          <w:sz w:val="24"/>
          <w:highlight w:val="none"/>
        </w:rPr>
      </w:pPr>
      <w:r>
        <w:rPr>
          <w:rFonts w:hint="eastAsia" w:ascii="仿宋" w:hAnsi="仿宋" w:eastAsia="仿宋"/>
          <w:iCs/>
          <w:color w:val="auto"/>
          <w:sz w:val="24"/>
          <w:highlight w:val="none"/>
        </w:rPr>
        <w:t xml:space="preserve">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强制采购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优先采购    </w:t>
      </w:r>
    </w:p>
    <w:p>
      <w:pPr>
        <w:numPr>
          <w:ilvl w:val="255"/>
          <w:numId w:val="0"/>
        </w:numPr>
        <w:tabs>
          <w:tab w:val="left" w:pos="740"/>
        </w:tabs>
        <w:snapToGrid w:val="0"/>
        <w:spacing w:line="400" w:lineRule="exact"/>
        <w:rPr>
          <w:rFonts w:ascii="仿宋" w:hAnsi="仿宋" w:eastAsia="仿宋"/>
          <w:color w:val="auto"/>
          <w:sz w:val="24"/>
          <w:highlight w:val="none"/>
        </w:rPr>
      </w:pPr>
      <w:r>
        <w:rPr>
          <w:rFonts w:hint="eastAsia" w:ascii="仿宋" w:hAnsi="仿宋" w:eastAsia="仿宋"/>
          <w:iCs/>
          <w:color w:val="auto"/>
          <w:sz w:val="24"/>
          <w:highlight w:val="none"/>
        </w:rPr>
        <w:t xml:space="preserve">         </w:t>
      </w:r>
      <w:r>
        <w:rPr>
          <w:rFonts w:hint="eastAsia" w:ascii="仿宋" w:hAnsi="仿宋" w:eastAsia="仿宋"/>
          <w:color w:val="auto"/>
          <w:sz w:val="24"/>
          <w:highlight w:val="none"/>
        </w:rPr>
        <w:sym w:font="Wingdings" w:char="00A8"/>
      </w:r>
      <w:r>
        <w:rPr>
          <w:rFonts w:hint="eastAsia" w:ascii="仿宋" w:hAnsi="仿宋" w:eastAsia="仿宋"/>
          <w:color w:val="auto"/>
          <w:sz w:val="24"/>
          <w:highlight w:val="none"/>
        </w:rPr>
        <w:t>否</w:t>
      </w:r>
    </w:p>
    <w:p>
      <w:pPr>
        <w:numPr>
          <w:ilvl w:val="255"/>
          <w:numId w:val="0"/>
        </w:numPr>
        <w:tabs>
          <w:tab w:val="left" w:pos="740"/>
        </w:tabs>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 xml:space="preserve">          是否涉及环境标志产品：</w:t>
      </w:r>
    </w:p>
    <w:p>
      <w:pPr>
        <w:numPr>
          <w:ilvl w:val="255"/>
          <w:numId w:val="0"/>
        </w:numPr>
        <w:tabs>
          <w:tab w:val="left" w:pos="740"/>
        </w:tabs>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hint="eastAsia" w:ascii="仿宋" w:hAnsi="仿宋" w:eastAsia="仿宋"/>
          <w:color w:val="auto"/>
          <w:sz w:val="24"/>
          <w:highlight w:val="none"/>
        </w:rPr>
        <w:sym w:font="Wingdings" w:char="00A8"/>
      </w:r>
      <w:r>
        <w:rPr>
          <w:rFonts w:hint="eastAsia" w:ascii="仿宋" w:hAnsi="仿宋" w:eastAsia="仿宋"/>
          <w:color w:val="auto"/>
          <w:sz w:val="24"/>
          <w:highlight w:val="none"/>
        </w:rPr>
        <w:t>是，《环境标志产品政府采购品目清单》的底级品目名称：</w:t>
      </w:r>
      <w:r>
        <w:rPr>
          <w:rFonts w:hint="eastAsia" w:ascii="仿宋" w:hAnsi="仿宋" w:eastAsia="仿宋"/>
          <w:color w:val="auto"/>
          <w:sz w:val="24"/>
          <w:highlight w:val="none"/>
          <w:u w:val="single"/>
        </w:rPr>
        <w:t xml:space="preserve">         </w:t>
      </w:r>
      <w:r>
        <w:rPr>
          <w:rFonts w:hint="eastAsia" w:ascii="仿宋" w:hAnsi="仿宋" w:eastAsia="仿宋"/>
          <w:iCs/>
          <w:color w:val="auto"/>
          <w:sz w:val="24"/>
          <w:highlight w:val="none"/>
        </w:rPr>
        <w:t xml:space="preserve"> </w:t>
      </w:r>
    </w:p>
    <w:p>
      <w:pPr>
        <w:numPr>
          <w:ilvl w:val="255"/>
          <w:numId w:val="0"/>
        </w:numPr>
        <w:tabs>
          <w:tab w:val="left" w:pos="740"/>
        </w:tabs>
        <w:snapToGrid w:val="0"/>
        <w:spacing w:line="400" w:lineRule="exact"/>
        <w:rPr>
          <w:rFonts w:ascii="仿宋" w:hAnsi="仿宋" w:eastAsia="仿宋"/>
          <w:iCs/>
          <w:color w:val="auto"/>
          <w:sz w:val="24"/>
          <w:highlight w:val="none"/>
        </w:rPr>
      </w:pPr>
      <w:r>
        <w:rPr>
          <w:rFonts w:hint="eastAsia" w:ascii="仿宋" w:hAnsi="仿宋" w:eastAsia="仿宋"/>
          <w:iCs/>
          <w:color w:val="auto"/>
          <w:sz w:val="24"/>
          <w:highlight w:val="none"/>
        </w:rPr>
        <w:t xml:space="preserve">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强制采购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优先采购    </w:t>
      </w:r>
    </w:p>
    <w:p>
      <w:pPr>
        <w:numPr>
          <w:ilvl w:val="255"/>
          <w:numId w:val="0"/>
        </w:numPr>
        <w:tabs>
          <w:tab w:val="left" w:pos="740"/>
        </w:tabs>
        <w:snapToGrid w:val="0"/>
        <w:spacing w:line="400" w:lineRule="exact"/>
        <w:rPr>
          <w:rFonts w:ascii="仿宋" w:hAnsi="仿宋" w:eastAsia="仿宋"/>
          <w:color w:val="auto"/>
          <w:sz w:val="24"/>
          <w:highlight w:val="none"/>
        </w:rPr>
      </w:pPr>
      <w:r>
        <w:rPr>
          <w:rFonts w:hint="eastAsia" w:ascii="仿宋" w:hAnsi="仿宋" w:eastAsia="仿宋"/>
          <w:iCs/>
          <w:color w:val="auto"/>
          <w:sz w:val="24"/>
          <w:highlight w:val="none"/>
        </w:rPr>
        <w:t xml:space="preserve">         </w:t>
      </w:r>
      <w:r>
        <w:rPr>
          <w:rFonts w:hint="eastAsia" w:ascii="仿宋" w:hAnsi="仿宋" w:eastAsia="仿宋"/>
          <w:color w:val="auto"/>
          <w:sz w:val="24"/>
          <w:highlight w:val="none"/>
        </w:rPr>
        <w:sym w:font="Wingdings" w:char="00A8"/>
      </w:r>
      <w:r>
        <w:rPr>
          <w:rFonts w:hint="eastAsia" w:ascii="仿宋" w:hAnsi="仿宋" w:eastAsia="仿宋"/>
          <w:color w:val="auto"/>
          <w:sz w:val="24"/>
          <w:highlight w:val="none"/>
        </w:rPr>
        <w:t>否</w:t>
      </w:r>
    </w:p>
    <w:p>
      <w:pPr>
        <w:pStyle w:val="963"/>
        <w:numPr>
          <w:ilvl w:val="255"/>
          <w:numId w:val="0"/>
        </w:numPr>
        <w:snapToGrid w:val="0"/>
        <w:rPr>
          <w:rFonts w:ascii="仿宋" w:hAnsi="仿宋" w:eastAsia="仿宋" w:cs="Times New Roman"/>
          <w:color w:val="auto"/>
          <w:kern w:val="2"/>
          <w:sz w:val="24"/>
          <w:szCs w:val="24"/>
          <w:highlight w:val="none"/>
        </w:rPr>
      </w:pPr>
      <w:r>
        <w:rPr>
          <w:rFonts w:hint="eastAsia" w:ascii="仿宋" w:hAnsi="仿宋" w:eastAsia="仿宋"/>
          <w:color w:val="auto"/>
          <w:sz w:val="24"/>
          <w:szCs w:val="24"/>
          <w:highlight w:val="none"/>
        </w:rPr>
        <w:t xml:space="preserve">          </w:t>
      </w:r>
      <w:r>
        <w:rPr>
          <w:rFonts w:hint="eastAsia" w:ascii="仿宋" w:hAnsi="仿宋" w:eastAsia="仿宋" w:cs="Times New Roman"/>
          <w:color w:val="auto"/>
          <w:kern w:val="2"/>
          <w:sz w:val="24"/>
          <w:szCs w:val="24"/>
          <w:highlight w:val="none"/>
        </w:rPr>
        <w:t xml:space="preserve">是否涉及绿色产品： </w:t>
      </w:r>
    </w:p>
    <w:p>
      <w:pPr>
        <w:pStyle w:val="963"/>
        <w:ind w:firstLine="420" w:firstLineChars="0"/>
        <w:rPr>
          <w:rFonts w:ascii="仿宋" w:hAnsi="仿宋" w:eastAsia="仿宋"/>
          <w:color w:val="auto"/>
          <w:sz w:val="24"/>
          <w:szCs w:val="24"/>
          <w:highlight w:val="none"/>
          <w:u w:val="single"/>
        </w:rPr>
      </w:pPr>
      <w:r>
        <w:rPr>
          <w:rFonts w:hint="eastAsia" w:ascii="仿宋" w:hAnsi="仿宋" w:eastAsia="仿宋" w:cs="Times New Roman"/>
          <w:color w:val="auto"/>
          <w:kern w:val="2"/>
          <w:sz w:val="24"/>
          <w:szCs w:val="24"/>
          <w:highlight w:val="none"/>
        </w:rPr>
        <w:t xml:space="preserve">     </w:t>
      </w:r>
      <w:r>
        <w:rPr>
          <w:rFonts w:hint="eastAsia" w:ascii="仿宋" w:hAnsi="仿宋" w:eastAsia="仿宋" w:cs="Times New Roman"/>
          <w:color w:val="auto"/>
          <w:kern w:val="2"/>
          <w:sz w:val="24"/>
          <w:szCs w:val="24"/>
          <w:highlight w:val="none"/>
        </w:rPr>
        <w:sym w:font="Wingdings" w:char="00A8"/>
      </w:r>
      <w:r>
        <w:rPr>
          <w:rFonts w:hint="eastAsia" w:ascii="仿宋" w:hAnsi="仿宋" w:eastAsia="仿宋" w:cs="Times New Roman"/>
          <w:color w:val="auto"/>
          <w:kern w:val="2"/>
          <w:sz w:val="24"/>
          <w:szCs w:val="24"/>
          <w:highlight w:val="none"/>
        </w:rPr>
        <w:t>是，绿色产品政府采购相关政策确定的底级品目名称：</w:t>
      </w:r>
      <w:r>
        <w:rPr>
          <w:rFonts w:hint="eastAsia" w:ascii="仿宋" w:hAnsi="仿宋" w:eastAsia="仿宋"/>
          <w:color w:val="auto"/>
          <w:sz w:val="24"/>
          <w:szCs w:val="24"/>
          <w:highlight w:val="none"/>
          <w:u w:val="single"/>
        </w:rPr>
        <w:t xml:space="preserve">         </w:t>
      </w:r>
    </w:p>
    <w:p>
      <w:pPr>
        <w:numPr>
          <w:ilvl w:val="255"/>
          <w:numId w:val="0"/>
        </w:numPr>
        <w:tabs>
          <w:tab w:val="left" w:pos="740"/>
        </w:tabs>
        <w:snapToGrid w:val="0"/>
        <w:spacing w:line="400" w:lineRule="exact"/>
        <w:rPr>
          <w:rFonts w:ascii="仿宋" w:hAnsi="仿宋" w:eastAsia="仿宋"/>
          <w:iCs/>
          <w:color w:val="auto"/>
          <w:sz w:val="24"/>
          <w:highlight w:val="none"/>
        </w:rPr>
      </w:pPr>
      <w:r>
        <w:rPr>
          <w:rFonts w:hint="eastAsia" w:ascii="仿宋" w:hAnsi="仿宋" w:eastAsia="仿宋"/>
          <w:iCs/>
          <w:color w:val="auto"/>
          <w:sz w:val="24"/>
          <w:highlight w:val="none"/>
        </w:rPr>
        <w:t xml:space="preserve">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强制采购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优先采购    </w:t>
      </w:r>
    </w:p>
    <w:p>
      <w:pPr>
        <w:pStyle w:val="963"/>
        <w:ind w:firstLine="420" w:firstLineChars="0"/>
        <w:rPr>
          <w:rFonts w:ascii="仿宋" w:hAnsi="仿宋" w:eastAsia="仿宋"/>
          <w:color w:val="auto"/>
          <w:sz w:val="24"/>
          <w:szCs w:val="24"/>
          <w:highlight w:val="none"/>
        </w:rPr>
      </w:pPr>
      <w:r>
        <w:rPr>
          <w:rFonts w:hint="eastAsia" w:ascii="仿宋" w:hAnsi="仿宋" w:eastAsia="仿宋" w:cs="Times New Roman"/>
          <w:color w:val="auto"/>
          <w:kern w:val="2"/>
          <w:sz w:val="24"/>
          <w:szCs w:val="24"/>
          <w:highlight w:val="none"/>
        </w:rPr>
        <w:t xml:space="preserve">     </w:t>
      </w:r>
      <w:r>
        <w:rPr>
          <w:rFonts w:hint="eastAsia" w:ascii="仿宋" w:hAnsi="仿宋" w:eastAsia="仿宋" w:cs="Times New Roman"/>
          <w:color w:val="auto"/>
          <w:kern w:val="2"/>
          <w:sz w:val="24"/>
          <w:szCs w:val="24"/>
          <w:highlight w:val="none"/>
        </w:rPr>
        <w:sym w:font="Wingdings" w:char="00A8"/>
      </w:r>
      <w:r>
        <w:rPr>
          <w:rFonts w:hint="eastAsia" w:ascii="仿宋" w:hAnsi="仿宋" w:eastAsia="仿宋" w:cs="Times New Roman"/>
          <w:color w:val="auto"/>
          <w:kern w:val="2"/>
          <w:sz w:val="24"/>
          <w:szCs w:val="24"/>
          <w:highlight w:val="none"/>
        </w:rPr>
        <w:t>否</w:t>
      </w:r>
    </w:p>
    <w:p>
      <w:pPr>
        <w:numPr>
          <w:ilvl w:val="255"/>
          <w:numId w:val="0"/>
        </w:num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 xml:space="preserve">    （1</w:t>
      </w:r>
      <w:r>
        <w:rPr>
          <w:rFonts w:ascii="仿宋" w:hAnsi="仿宋" w:eastAsia="仿宋"/>
          <w:color w:val="auto"/>
          <w:sz w:val="24"/>
          <w:highlight w:val="none"/>
          <w:lang w:val="en"/>
        </w:rPr>
        <w:t>1</w:t>
      </w:r>
      <w:r>
        <w:rPr>
          <w:rFonts w:hint="eastAsia" w:ascii="仿宋" w:hAnsi="仿宋" w:eastAsia="仿宋"/>
          <w:color w:val="auto"/>
          <w:sz w:val="24"/>
          <w:highlight w:val="none"/>
        </w:rPr>
        <w:t>）涉及商品包装和快递包装的，是否参考《商品包装政府采购需求标准（试行）》、《快递包装政府采购需求标准（试行）》明确产品及相关快递服务的具体包装要求：</w:t>
      </w:r>
    </w:p>
    <w:p>
      <w:pPr>
        <w:numPr>
          <w:ilvl w:val="255"/>
          <w:numId w:val="0"/>
        </w:numPr>
        <w:snapToGrid w:val="0"/>
        <w:spacing w:line="400" w:lineRule="exact"/>
        <w:ind w:firstLine="960" w:firstLineChars="400"/>
        <w:rPr>
          <w:rFonts w:ascii="仿宋" w:hAnsi="仿宋" w:eastAsia="仿宋"/>
          <w:color w:val="auto"/>
          <w:sz w:val="24"/>
          <w:highlight w:val="none"/>
        </w:rPr>
      </w:pPr>
      <w:r>
        <w:rPr>
          <w:rFonts w:hint="eastAsia" w:ascii="仿宋" w:hAnsi="仿宋" w:eastAsia="仿宋"/>
          <w:color w:val="auto"/>
          <w:sz w:val="24"/>
          <w:highlight w:val="none"/>
        </w:rPr>
        <w:sym w:font="Wingdings" w:char="00A8"/>
      </w:r>
      <w:r>
        <w:rPr>
          <w:rFonts w:hint="eastAsia" w:ascii="仿宋" w:hAnsi="仿宋" w:eastAsia="仿宋"/>
          <w:color w:val="auto"/>
          <w:sz w:val="24"/>
          <w:highlight w:val="none"/>
        </w:rPr>
        <w:t xml:space="preserve">是       </w:t>
      </w:r>
      <w:r>
        <w:rPr>
          <w:rFonts w:hint="eastAsia" w:ascii="仿宋" w:hAnsi="仿宋" w:eastAsia="仿宋"/>
          <w:color w:val="auto"/>
          <w:sz w:val="24"/>
          <w:highlight w:val="none"/>
        </w:rPr>
        <w:sym w:font="Wingdings" w:char="00A8"/>
      </w:r>
      <w:r>
        <w:rPr>
          <w:rFonts w:hint="eastAsia" w:ascii="仿宋" w:hAnsi="仿宋" w:eastAsia="仿宋"/>
          <w:color w:val="auto"/>
          <w:sz w:val="24"/>
          <w:highlight w:val="none"/>
        </w:rPr>
        <w:t xml:space="preserve">否      </w:t>
      </w:r>
      <w:r>
        <w:rPr>
          <w:rFonts w:hint="eastAsia" w:ascii="仿宋" w:hAnsi="仿宋" w:eastAsia="仿宋"/>
          <w:color w:val="auto"/>
          <w:sz w:val="24"/>
          <w:highlight w:val="none"/>
        </w:rPr>
        <w:sym w:font="Wingdings" w:char="00A8"/>
      </w:r>
      <w:r>
        <w:rPr>
          <w:rFonts w:hint="eastAsia" w:ascii="仿宋" w:hAnsi="仿宋" w:eastAsia="仿宋"/>
          <w:color w:val="auto"/>
          <w:sz w:val="24"/>
          <w:highlight w:val="none"/>
        </w:rPr>
        <w:t>不涉及</w:t>
      </w:r>
    </w:p>
    <w:p>
      <w:pPr>
        <w:numPr>
          <w:ilvl w:val="0"/>
          <w:numId w:val="14"/>
        </w:numPr>
        <w:snapToGrid w:val="0"/>
        <w:spacing w:line="40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合同金额</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（1）合同金额小写：</w:t>
      </w:r>
      <w:r>
        <w:rPr>
          <w:rFonts w:hint="eastAsia" w:ascii="仿宋" w:hAnsi="仿宋" w:eastAsia="仿宋"/>
          <w:color w:val="auto"/>
          <w:sz w:val="24"/>
          <w:highlight w:val="none"/>
          <w:u w:val="single"/>
        </w:rPr>
        <w:t xml:space="preserve">                           </w:t>
      </w:r>
    </w:p>
    <w:p>
      <w:pPr>
        <w:snapToGrid w:val="0"/>
        <w:spacing w:line="400" w:lineRule="exact"/>
        <w:rPr>
          <w:rFonts w:ascii="仿宋" w:hAnsi="仿宋" w:eastAsia="仿宋"/>
          <w:color w:val="auto"/>
          <w:sz w:val="24"/>
          <w:highlight w:val="none"/>
          <w:u w:val="single"/>
        </w:rPr>
      </w:pPr>
      <w:r>
        <w:rPr>
          <w:rFonts w:hint="eastAsia" w:ascii="仿宋" w:hAnsi="仿宋" w:eastAsia="仿宋"/>
          <w:color w:val="auto"/>
          <w:sz w:val="24"/>
          <w:highlight w:val="none"/>
        </w:rPr>
        <w:t xml:space="preserve">                 大写：</w:t>
      </w:r>
      <w:r>
        <w:rPr>
          <w:rFonts w:hint="eastAsia" w:ascii="仿宋" w:hAnsi="仿宋" w:eastAsia="仿宋"/>
          <w:color w:val="auto"/>
          <w:sz w:val="24"/>
          <w:highlight w:val="none"/>
          <w:u w:val="single"/>
        </w:rPr>
        <w:t xml:space="preserve">                           </w:t>
      </w:r>
    </w:p>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 xml:space="preserve">         分包金额（如有）小写：</w:t>
      </w:r>
      <w:r>
        <w:rPr>
          <w:rFonts w:hint="eastAsia" w:ascii="仿宋" w:hAnsi="仿宋" w:eastAsia="仿宋"/>
          <w:color w:val="auto"/>
          <w:sz w:val="24"/>
          <w:highlight w:val="none"/>
          <w:u w:val="single"/>
        </w:rPr>
        <w:t xml:space="preserve">                   </w:t>
      </w:r>
    </w:p>
    <w:p>
      <w:pPr>
        <w:snapToGrid w:val="0"/>
        <w:spacing w:line="400" w:lineRule="exact"/>
        <w:rPr>
          <w:rFonts w:ascii="仿宋" w:hAnsi="仿宋" w:eastAsia="仿宋"/>
          <w:color w:val="auto"/>
          <w:sz w:val="24"/>
          <w:highlight w:val="none"/>
          <w:u w:val="single"/>
        </w:rPr>
      </w:pPr>
      <w:r>
        <w:rPr>
          <w:rFonts w:hint="eastAsia" w:ascii="仿宋" w:hAnsi="仿宋" w:eastAsia="仿宋"/>
          <w:color w:val="auto"/>
          <w:sz w:val="24"/>
          <w:highlight w:val="none"/>
        </w:rPr>
        <w:t xml:space="preserve">                     大写：</w:t>
      </w:r>
      <w:r>
        <w:rPr>
          <w:rFonts w:hint="eastAsia" w:ascii="仿宋" w:hAnsi="仿宋" w:eastAsia="仿宋"/>
          <w:color w:val="auto"/>
          <w:sz w:val="24"/>
          <w:highlight w:val="none"/>
          <w:u w:val="single"/>
        </w:rPr>
        <w:t xml:space="preserve">                       </w:t>
      </w:r>
    </w:p>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 xml:space="preserve">    （注：固定单价合同应填写单价和最高限价）</w:t>
      </w:r>
    </w:p>
    <w:p>
      <w:pPr>
        <w:numPr>
          <w:ilvl w:val="255"/>
          <w:numId w:val="0"/>
        </w:num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 xml:space="preserve">    （2）合同定价方式（采用组合定价方式的，可以勾选多项）：</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iCs/>
          <w:color w:val="auto"/>
          <w:sz w:val="24"/>
          <w:highlight w:val="none"/>
        </w:rPr>
        <w:t xml:space="preserve">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固定总价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固定单价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固定费率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成本补偿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 xml:space="preserve">绩效激励 </w:t>
      </w:r>
      <w:r>
        <w:rPr>
          <w:rFonts w:hint="eastAsia" w:ascii="仿宋" w:hAnsi="仿宋" w:eastAsia="仿宋"/>
          <w:iCs/>
          <w:color w:val="auto"/>
          <w:sz w:val="24"/>
          <w:highlight w:val="none"/>
        </w:rPr>
        <w:sym w:font="Wingdings" w:char="00A8"/>
      </w:r>
      <w:r>
        <w:rPr>
          <w:rFonts w:hint="eastAsia" w:ascii="仿宋" w:hAnsi="仿宋" w:eastAsia="仿宋"/>
          <w:iCs/>
          <w:color w:val="auto"/>
          <w:sz w:val="24"/>
          <w:highlight w:val="none"/>
        </w:rPr>
        <w:t>其他</w:t>
      </w:r>
      <w:r>
        <w:rPr>
          <w:rFonts w:hint="eastAsia" w:ascii="仿宋" w:hAnsi="仿宋" w:eastAsia="仿宋"/>
          <w:color w:val="auto"/>
          <w:sz w:val="24"/>
          <w:highlight w:val="none"/>
          <w:u w:val="single"/>
        </w:rPr>
        <w:t xml:space="preserve">       </w:t>
      </w:r>
    </w:p>
    <w:p>
      <w:pPr>
        <w:pStyle w:val="256"/>
        <w:spacing w:after="120" w:line="400" w:lineRule="exact"/>
        <w:ind w:firstLine="480"/>
        <w:rPr>
          <w:rFonts w:ascii="仿宋" w:hAnsi="仿宋" w:eastAsia="仿宋"/>
          <w:color w:val="auto"/>
          <w:highlight w:val="none"/>
        </w:rPr>
      </w:pPr>
      <w:r>
        <w:rPr>
          <w:rFonts w:hint="eastAsia" w:ascii="仿宋" w:hAnsi="仿宋" w:eastAsia="仿宋"/>
          <w:color w:val="auto"/>
          <w:highlight w:val="none"/>
        </w:rPr>
        <w:t>（3）付款方式（按项目实际勾选填写）：</w:t>
      </w:r>
    </w:p>
    <w:p>
      <w:pPr>
        <w:snapToGrid w:val="0"/>
        <w:spacing w:line="400" w:lineRule="exact"/>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rPr>
        <w:sym w:font="Wingdings" w:char="00A8"/>
      </w:r>
      <w:r>
        <w:rPr>
          <w:rFonts w:hint="eastAsia" w:ascii="仿宋" w:hAnsi="仿宋" w:eastAsia="仿宋"/>
          <w:color w:val="auto"/>
          <w:sz w:val="24"/>
          <w:highlight w:val="none"/>
        </w:rPr>
        <w:t>全额付款：</w:t>
      </w:r>
      <w:r>
        <w:rPr>
          <w:rFonts w:hint="eastAsia" w:ascii="仿宋" w:hAnsi="仿宋" w:eastAsia="仿宋"/>
          <w:color w:val="auto"/>
          <w:sz w:val="24"/>
          <w:highlight w:val="none"/>
          <w:u w:val="single"/>
        </w:rPr>
        <w:t xml:space="preserve">     （应明确一次性支付合同款项的条件）                    </w:t>
      </w:r>
    </w:p>
    <w:p>
      <w:pPr>
        <w:snapToGrid w:val="0"/>
        <w:spacing w:line="400" w:lineRule="exact"/>
        <w:ind w:firstLine="720" w:firstLineChars="300"/>
        <w:rPr>
          <w:rFonts w:ascii="仿宋" w:hAnsi="仿宋" w:eastAsia="仿宋"/>
          <w:color w:val="auto"/>
          <w:sz w:val="24"/>
          <w:highlight w:val="none"/>
        </w:rPr>
      </w:pPr>
      <w:r>
        <w:rPr>
          <w:rFonts w:hint="eastAsia" w:ascii="仿宋" w:hAnsi="仿宋" w:eastAsia="仿宋"/>
          <w:color w:val="auto"/>
          <w:sz w:val="24"/>
          <w:highlight w:val="none"/>
        </w:rPr>
        <w:sym w:font="Wingdings" w:char="00A8"/>
      </w:r>
      <w:r>
        <w:rPr>
          <w:rFonts w:hint="eastAsia" w:ascii="仿宋" w:hAnsi="仿宋" w:eastAsia="仿宋"/>
          <w:color w:val="auto"/>
          <w:sz w:val="24"/>
          <w:highlight w:val="none"/>
        </w:rPr>
        <w:t>分期付款：</w:t>
      </w:r>
      <w:r>
        <w:rPr>
          <w:rFonts w:hint="eastAsia" w:ascii="仿宋" w:hAnsi="仿宋" w:eastAsia="仿宋"/>
          <w:color w:val="auto"/>
          <w:sz w:val="24"/>
          <w:highlight w:val="none"/>
          <w:u w:val="single"/>
        </w:rPr>
        <w:t xml:space="preserve">  （应明确分期支付合同款项的各期比例和支付条件，各期支付条件应与分期履约验收情况挂钩） </w:t>
      </w:r>
      <w:r>
        <w:rPr>
          <w:rFonts w:hint="eastAsia" w:ascii="仿宋" w:hAnsi="仿宋" w:eastAsia="仿宋"/>
          <w:color w:val="auto"/>
          <w:sz w:val="24"/>
          <w:highlight w:val="none"/>
        </w:rPr>
        <w:t>，其中涉及预付款的：</w:t>
      </w:r>
      <w:r>
        <w:rPr>
          <w:rFonts w:hint="eastAsia" w:ascii="仿宋" w:hAnsi="仿宋" w:eastAsia="仿宋"/>
          <w:color w:val="auto"/>
          <w:sz w:val="24"/>
          <w:highlight w:val="none"/>
          <w:u w:val="single"/>
        </w:rPr>
        <w:t xml:space="preserve"> （应明确预付款的支付比例和支付条件） </w:t>
      </w:r>
    </w:p>
    <w:p>
      <w:pPr>
        <w:snapToGrid w:val="0"/>
        <w:spacing w:line="400" w:lineRule="exact"/>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rPr>
        <w:sym w:font="Wingdings" w:char="00A8"/>
      </w:r>
      <w:r>
        <w:rPr>
          <w:rFonts w:hint="eastAsia" w:ascii="仿宋" w:hAnsi="仿宋" w:eastAsia="仿宋"/>
          <w:color w:val="auto"/>
          <w:sz w:val="24"/>
          <w:highlight w:val="none"/>
        </w:rPr>
        <w:t>成本补偿：</w:t>
      </w:r>
      <w:r>
        <w:rPr>
          <w:rFonts w:hint="eastAsia" w:ascii="仿宋" w:hAnsi="仿宋" w:eastAsia="仿宋"/>
          <w:color w:val="auto"/>
          <w:sz w:val="24"/>
          <w:highlight w:val="none"/>
          <w:u w:val="single"/>
        </w:rPr>
        <w:t xml:space="preserve">      （应明确按照成本补偿方式的支付方式和支付条件）   </w:t>
      </w:r>
    </w:p>
    <w:p>
      <w:pPr>
        <w:snapToGrid w:val="0"/>
        <w:spacing w:line="400" w:lineRule="exact"/>
        <w:ind w:firstLine="720" w:firstLineChars="300"/>
        <w:rPr>
          <w:rFonts w:ascii="仿宋" w:hAnsi="仿宋" w:eastAsia="仿宋"/>
          <w:color w:val="auto"/>
          <w:sz w:val="24"/>
          <w:highlight w:val="none"/>
        </w:rPr>
      </w:pPr>
      <w:r>
        <w:rPr>
          <w:rFonts w:hint="eastAsia" w:ascii="仿宋" w:hAnsi="仿宋" w:eastAsia="仿宋"/>
          <w:color w:val="auto"/>
          <w:sz w:val="24"/>
          <w:highlight w:val="none"/>
        </w:rPr>
        <w:sym w:font="Wingdings" w:char="00A8"/>
      </w:r>
      <w:r>
        <w:rPr>
          <w:rFonts w:hint="eastAsia" w:ascii="仿宋" w:hAnsi="仿宋" w:eastAsia="仿宋"/>
          <w:color w:val="auto"/>
          <w:sz w:val="24"/>
          <w:highlight w:val="none"/>
        </w:rPr>
        <w:t>绩效激励：</w:t>
      </w:r>
      <w:r>
        <w:rPr>
          <w:rFonts w:hint="eastAsia" w:ascii="仿宋" w:hAnsi="仿宋" w:eastAsia="仿宋"/>
          <w:color w:val="auto"/>
          <w:sz w:val="24"/>
          <w:highlight w:val="none"/>
          <w:u w:val="single"/>
        </w:rPr>
        <w:t xml:space="preserve">      （应明确按照绩效激励方式的支付方式和支付条件）   </w:t>
      </w:r>
    </w:p>
    <w:p>
      <w:pPr>
        <w:numPr>
          <w:ilvl w:val="0"/>
          <w:numId w:val="14"/>
        </w:numPr>
        <w:snapToGrid w:val="0"/>
        <w:spacing w:line="400" w:lineRule="exact"/>
        <w:ind w:firstLine="482" w:firstLineChars="200"/>
        <w:rPr>
          <w:rFonts w:ascii="仿宋" w:hAnsi="仿宋" w:eastAsia="仿宋"/>
          <w:b/>
          <w:color w:val="auto"/>
          <w:sz w:val="24"/>
          <w:highlight w:val="none"/>
          <w:u w:val="single"/>
        </w:rPr>
      </w:pPr>
      <w:r>
        <w:rPr>
          <w:rFonts w:hint="eastAsia" w:ascii="仿宋" w:hAnsi="仿宋" w:eastAsia="仿宋"/>
          <w:b/>
          <w:color w:val="auto"/>
          <w:sz w:val="24"/>
          <w:highlight w:val="none"/>
        </w:rPr>
        <w:t>合同履行</w:t>
      </w:r>
    </w:p>
    <w:p>
      <w:pPr>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（1）起始日期：</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年</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月</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日，完成日期：</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年</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月</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日。</w:t>
      </w:r>
    </w:p>
    <w:p>
      <w:pPr>
        <w:snapToGrid w:val="0"/>
        <w:spacing w:line="40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（2）履约地点</w:t>
      </w:r>
      <w:r>
        <w:rPr>
          <w:rFonts w:hint="eastAsia" w:ascii="仿宋" w:hAnsi="仿宋" w:eastAsia="仿宋" w:cs="宋体"/>
          <w:bCs/>
          <w:color w:val="auto"/>
          <w:sz w:val="24"/>
          <w:highlight w:val="none"/>
        </w:rPr>
        <w:t>：</w:t>
      </w:r>
      <w:r>
        <w:rPr>
          <w:rFonts w:hint="eastAsia" w:ascii="仿宋" w:hAnsi="仿宋" w:eastAsia="仿宋" w:cs="宋体"/>
          <w:color w:val="auto"/>
          <w:sz w:val="24"/>
          <w:highlight w:val="none"/>
          <w:u w:val="single"/>
        </w:rPr>
        <w:t xml:space="preserve">                             </w:t>
      </w:r>
    </w:p>
    <w:p>
      <w:pPr>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s="宋体"/>
          <w:bCs/>
          <w:color w:val="auto"/>
          <w:sz w:val="24"/>
          <w:highlight w:val="none"/>
        </w:rPr>
        <w:t>（3）履约担保：</w:t>
      </w:r>
      <w:r>
        <w:rPr>
          <w:rFonts w:hint="eastAsia" w:ascii="仿宋" w:hAnsi="仿宋" w:eastAsia="仿宋" w:cs="宋体"/>
          <w:color w:val="auto"/>
          <w:sz w:val="24"/>
          <w:highlight w:val="none"/>
        </w:rPr>
        <w:t>是否收取履约保证金：</w:t>
      </w:r>
      <w:r>
        <w:rPr>
          <w:rFonts w:hint="eastAsia" w:ascii="仿宋" w:hAnsi="仿宋" w:eastAsia="仿宋" w:cs="宋体"/>
          <w:color w:val="auto"/>
          <w:sz w:val="24"/>
          <w:highlight w:val="none"/>
        </w:rPr>
        <w:sym w:font="Wingdings" w:char="00A8"/>
      </w:r>
      <w:r>
        <w:rPr>
          <w:rFonts w:hint="eastAsia" w:ascii="仿宋" w:hAnsi="仿宋" w:eastAsia="仿宋" w:cs="宋体"/>
          <w:color w:val="auto"/>
          <w:sz w:val="24"/>
          <w:highlight w:val="none"/>
        </w:rPr>
        <w:t xml:space="preserve">是    </w:t>
      </w:r>
      <w:r>
        <w:rPr>
          <w:rFonts w:hint="eastAsia" w:ascii="仿宋" w:hAnsi="仿宋" w:eastAsia="仿宋" w:cs="宋体"/>
          <w:color w:val="auto"/>
          <w:sz w:val="24"/>
          <w:highlight w:val="none"/>
        </w:rPr>
        <w:sym w:font="Wingdings" w:char="00A8"/>
      </w:r>
      <w:r>
        <w:rPr>
          <w:rFonts w:hint="eastAsia" w:ascii="仿宋" w:hAnsi="仿宋" w:eastAsia="仿宋" w:cs="宋体"/>
          <w:color w:val="auto"/>
          <w:sz w:val="24"/>
          <w:highlight w:val="none"/>
        </w:rPr>
        <w:t>否</w:t>
      </w:r>
    </w:p>
    <w:p>
      <w:pPr>
        <w:pStyle w:val="963"/>
        <w:ind w:firstLine="480"/>
        <w:rPr>
          <w:rFonts w:ascii="仿宋" w:hAnsi="仿宋" w:eastAsia="仿宋" w:cs="宋体"/>
          <w:color w:val="auto"/>
          <w:sz w:val="24"/>
          <w:szCs w:val="24"/>
          <w:highlight w:val="none"/>
        </w:rPr>
      </w:pPr>
      <w:r>
        <w:rPr>
          <w:rFonts w:hint="eastAsia" w:ascii="仿宋" w:hAnsi="仿宋" w:eastAsia="仿宋" w:cs="宋体"/>
          <w:bCs/>
          <w:color w:val="auto"/>
          <w:sz w:val="24"/>
          <w:szCs w:val="24"/>
          <w:highlight w:val="none"/>
        </w:rPr>
        <w:t xml:space="preserve">  </w:t>
      </w:r>
      <w:r>
        <w:rPr>
          <w:rFonts w:hint="eastAsia" w:ascii="仿宋" w:hAnsi="仿宋" w:eastAsia="仿宋" w:cs="宋体"/>
          <w:color w:val="auto"/>
          <w:sz w:val="24"/>
          <w:szCs w:val="24"/>
          <w:highlight w:val="none"/>
        </w:rPr>
        <w:t xml:space="preserve">  收取履约保证金形式：</w:t>
      </w:r>
      <w:r>
        <w:rPr>
          <w:rFonts w:hint="eastAsia" w:ascii="仿宋" w:hAnsi="仿宋" w:eastAsia="仿宋" w:cs="宋体"/>
          <w:bCs/>
          <w:color w:val="auto"/>
          <w:sz w:val="24"/>
          <w:szCs w:val="24"/>
          <w:highlight w:val="none"/>
          <w:u w:val="single"/>
        </w:rPr>
        <w:t xml:space="preserve">                            </w:t>
      </w:r>
    </w:p>
    <w:p>
      <w:pPr>
        <w:pStyle w:val="963"/>
        <w:ind w:firstLine="48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 xml:space="preserve">    收取履约保证金金额：</w:t>
      </w:r>
      <w:r>
        <w:rPr>
          <w:rFonts w:hint="eastAsia" w:ascii="仿宋" w:hAnsi="仿宋" w:eastAsia="仿宋" w:cs="宋体"/>
          <w:bCs/>
          <w:color w:val="auto"/>
          <w:sz w:val="24"/>
          <w:szCs w:val="24"/>
          <w:highlight w:val="none"/>
          <w:u w:val="single"/>
        </w:rPr>
        <w:t xml:space="preserve">                            </w:t>
      </w:r>
    </w:p>
    <w:p>
      <w:pPr>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s="宋体"/>
          <w:bCs/>
          <w:color w:val="auto"/>
          <w:sz w:val="24"/>
          <w:highlight w:val="none"/>
        </w:rPr>
        <w:t xml:space="preserve">    履约担保期限：</w:t>
      </w:r>
      <w:r>
        <w:rPr>
          <w:rFonts w:hint="eastAsia" w:ascii="仿宋" w:hAnsi="仿宋" w:eastAsia="仿宋" w:cs="宋体"/>
          <w:bCs/>
          <w:color w:val="auto"/>
          <w:sz w:val="24"/>
          <w:highlight w:val="none"/>
          <w:u w:val="single"/>
        </w:rPr>
        <w:t xml:space="preserve">                                  </w:t>
      </w:r>
    </w:p>
    <w:p>
      <w:pPr>
        <w:snapToGrid w:val="0"/>
        <w:spacing w:line="400" w:lineRule="exact"/>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（4）分期履行要求：</w:t>
      </w:r>
      <w:r>
        <w:rPr>
          <w:rFonts w:hint="eastAsia" w:ascii="仿宋" w:hAnsi="仿宋" w:eastAsia="仿宋" w:cs="宋体"/>
          <w:bCs/>
          <w:color w:val="auto"/>
          <w:sz w:val="24"/>
          <w:highlight w:val="none"/>
          <w:u w:val="single"/>
        </w:rPr>
        <w:t xml:space="preserve">                                                        </w:t>
      </w:r>
    </w:p>
    <w:p>
      <w:pPr>
        <w:snapToGrid w:val="0"/>
        <w:spacing w:line="400" w:lineRule="exact"/>
        <w:ind w:firstLine="480" w:firstLineChars="200"/>
        <w:rPr>
          <w:rFonts w:ascii="仿宋" w:hAnsi="仿宋" w:eastAsia="仿宋" w:cs="宋体"/>
          <w:color w:val="auto"/>
          <w:sz w:val="24"/>
          <w:highlight w:val="none"/>
          <w:u w:val="single"/>
        </w:rPr>
      </w:pPr>
      <w:r>
        <w:rPr>
          <w:rFonts w:hint="eastAsia" w:ascii="仿宋" w:hAnsi="仿宋" w:eastAsia="仿宋" w:cs="宋体"/>
          <w:bCs/>
          <w:color w:val="auto"/>
          <w:sz w:val="24"/>
          <w:highlight w:val="none"/>
        </w:rPr>
        <w:t>（5）风险处置措施和替代方案：</w:t>
      </w:r>
      <w:r>
        <w:rPr>
          <w:rFonts w:hint="eastAsia" w:ascii="仿宋" w:hAnsi="仿宋" w:eastAsia="仿宋" w:cs="宋体"/>
          <w:color w:val="auto"/>
          <w:sz w:val="24"/>
          <w:highlight w:val="none"/>
          <w:u w:val="single"/>
        </w:rPr>
        <w:t xml:space="preserve">                                                               </w:t>
      </w:r>
    </w:p>
    <w:p>
      <w:pPr>
        <w:numPr>
          <w:ilvl w:val="0"/>
          <w:numId w:val="14"/>
        </w:numPr>
        <w:snapToGrid w:val="0"/>
        <w:spacing w:line="40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合同验收</w:t>
      </w:r>
    </w:p>
    <w:p>
      <w:pPr>
        <w:numPr>
          <w:ilvl w:val="0"/>
          <w:numId w:val="16"/>
        </w:numPr>
        <w:snapToGrid w:val="0"/>
        <w:spacing w:line="40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验收组织方式：</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 xml:space="preserve">自行组织 </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委托第三方组织</w:t>
      </w:r>
    </w:p>
    <w:p>
      <w:pPr>
        <w:snapToGrid w:val="0"/>
        <w:spacing w:line="400" w:lineRule="exact"/>
        <w:rPr>
          <w:rFonts w:ascii="仿宋" w:hAnsi="仿宋" w:eastAsia="仿宋"/>
          <w:bCs/>
          <w:color w:val="auto"/>
          <w:sz w:val="24"/>
          <w:highlight w:val="none"/>
        </w:rPr>
      </w:pPr>
      <w:r>
        <w:rPr>
          <w:rFonts w:hint="eastAsia" w:ascii="仿宋" w:hAnsi="仿宋" w:eastAsia="仿宋"/>
          <w:bCs/>
          <w:color w:val="auto"/>
          <w:sz w:val="24"/>
          <w:highlight w:val="none"/>
        </w:rPr>
        <w:t xml:space="preserve">         验收主体：</w:t>
      </w:r>
      <w:r>
        <w:rPr>
          <w:rFonts w:hint="eastAsia" w:ascii="仿宋" w:hAnsi="仿宋" w:eastAsia="仿宋"/>
          <w:bCs/>
          <w:color w:val="auto"/>
          <w:sz w:val="24"/>
          <w:highlight w:val="none"/>
          <w:u w:val="single"/>
        </w:rPr>
        <w:t xml:space="preserve">                  </w:t>
      </w:r>
    </w:p>
    <w:p>
      <w:pPr>
        <w:snapToGrid w:val="0"/>
        <w:spacing w:line="400" w:lineRule="exact"/>
        <w:rPr>
          <w:rFonts w:ascii="仿宋" w:hAnsi="仿宋" w:eastAsia="仿宋"/>
          <w:bCs/>
          <w:color w:val="auto"/>
          <w:sz w:val="24"/>
          <w:highlight w:val="none"/>
        </w:rPr>
      </w:pPr>
      <w:r>
        <w:rPr>
          <w:rFonts w:hint="eastAsia" w:ascii="仿宋" w:hAnsi="仿宋" w:eastAsia="仿宋"/>
          <w:bCs/>
          <w:color w:val="auto"/>
          <w:sz w:val="24"/>
          <w:highlight w:val="none"/>
        </w:rPr>
        <w:t xml:space="preserve">        是否邀请本项目的其他供应商参加验收：</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 xml:space="preserve">是  </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否</w:t>
      </w:r>
    </w:p>
    <w:p>
      <w:pPr>
        <w:snapToGrid w:val="0"/>
        <w:spacing w:line="400" w:lineRule="exact"/>
        <w:ind w:firstLine="960" w:firstLineChars="400"/>
        <w:rPr>
          <w:rFonts w:ascii="仿宋" w:hAnsi="仿宋" w:eastAsia="仿宋"/>
          <w:bCs/>
          <w:color w:val="auto"/>
          <w:sz w:val="24"/>
          <w:highlight w:val="none"/>
        </w:rPr>
      </w:pPr>
      <w:r>
        <w:rPr>
          <w:rFonts w:hint="eastAsia" w:ascii="仿宋" w:hAnsi="仿宋" w:eastAsia="仿宋"/>
          <w:bCs/>
          <w:color w:val="auto"/>
          <w:sz w:val="24"/>
          <w:highlight w:val="none"/>
        </w:rPr>
        <w:t>是否邀请专家参加验收：</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 xml:space="preserve">是  </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否</w:t>
      </w:r>
    </w:p>
    <w:p>
      <w:pPr>
        <w:snapToGrid w:val="0"/>
        <w:spacing w:line="400" w:lineRule="exact"/>
        <w:ind w:firstLine="960" w:firstLineChars="400"/>
        <w:rPr>
          <w:rFonts w:ascii="仿宋" w:hAnsi="仿宋" w:eastAsia="仿宋"/>
          <w:bCs/>
          <w:color w:val="auto"/>
          <w:sz w:val="24"/>
          <w:highlight w:val="none"/>
        </w:rPr>
      </w:pPr>
      <w:r>
        <w:rPr>
          <w:rFonts w:hint="eastAsia" w:ascii="仿宋" w:hAnsi="仿宋" w:eastAsia="仿宋"/>
          <w:bCs/>
          <w:color w:val="auto"/>
          <w:sz w:val="24"/>
          <w:highlight w:val="none"/>
        </w:rPr>
        <w:t>是否邀请服务对象参加验收：</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 xml:space="preserve">是  </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否</w:t>
      </w:r>
    </w:p>
    <w:p>
      <w:pPr>
        <w:snapToGrid w:val="0"/>
        <w:spacing w:line="400" w:lineRule="exact"/>
        <w:ind w:firstLine="960" w:firstLineChars="400"/>
        <w:rPr>
          <w:rFonts w:ascii="仿宋" w:hAnsi="仿宋" w:eastAsia="仿宋"/>
          <w:bCs/>
          <w:color w:val="auto"/>
          <w:sz w:val="24"/>
          <w:highlight w:val="none"/>
        </w:rPr>
      </w:pPr>
      <w:r>
        <w:rPr>
          <w:rFonts w:hint="eastAsia" w:ascii="仿宋" w:hAnsi="仿宋" w:eastAsia="仿宋"/>
          <w:bCs/>
          <w:color w:val="auto"/>
          <w:sz w:val="24"/>
          <w:highlight w:val="none"/>
        </w:rPr>
        <w:t>是否邀请第三方检测机构参加验收：</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 xml:space="preserve">是  </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否</w:t>
      </w:r>
    </w:p>
    <w:p>
      <w:pPr>
        <w:snapToGrid w:val="0"/>
        <w:spacing w:line="400" w:lineRule="exact"/>
        <w:ind w:firstLine="960" w:firstLineChars="400"/>
        <w:rPr>
          <w:rFonts w:ascii="仿宋" w:hAnsi="仿宋" w:eastAsia="仿宋"/>
          <w:bCs/>
          <w:color w:val="auto"/>
          <w:sz w:val="24"/>
          <w:highlight w:val="none"/>
        </w:rPr>
      </w:pPr>
      <w:r>
        <w:rPr>
          <w:rFonts w:hint="eastAsia" w:ascii="仿宋" w:hAnsi="仿宋" w:eastAsia="仿宋"/>
          <w:bCs/>
          <w:color w:val="auto"/>
          <w:sz w:val="24"/>
          <w:highlight w:val="none"/>
        </w:rPr>
        <w:t>是否进行抽查检测：</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是，抽查比例：</w:t>
      </w:r>
      <w:r>
        <w:rPr>
          <w:rFonts w:hint="eastAsia" w:ascii="仿宋" w:hAnsi="仿宋" w:eastAsia="仿宋"/>
          <w:bCs/>
          <w:color w:val="auto"/>
          <w:sz w:val="24"/>
          <w:highlight w:val="none"/>
          <w:u w:val="single"/>
        </w:rPr>
        <w:t xml:space="preserve">        </w:t>
      </w:r>
      <w:r>
        <w:rPr>
          <w:rFonts w:hint="eastAsia" w:ascii="仿宋" w:hAnsi="仿宋" w:eastAsia="仿宋"/>
          <w:bCs/>
          <w:color w:val="auto"/>
          <w:sz w:val="24"/>
          <w:highlight w:val="none"/>
        </w:rPr>
        <w:t xml:space="preserve"> </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否</w:t>
      </w:r>
    </w:p>
    <w:p>
      <w:pPr>
        <w:snapToGrid w:val="0"/>
        <w:spacing w:line="400" w:lineRule="exact"/>
        <w:ind w:firstLine="960" w:firstLineChars="400"/>
        <w:rPr>
          <w:rFonts w:ascii="仿宋" w:hAnsi="仿宋" w:eastAsia="仿宋"/>
          <w:bCs/>
          <w:color w:val="auto"/>
          <w:sz w:val="24"/>
          <w:highlight w:val="none"/>
          <w:u w:val="single"/>
        </w:rPr>
      </w:pPr>
      <w:r>
        <w:rPr>
          <w:rFonts w:hint="eastAsia" w:ascii="仿宋" w:hAnsi="仿宋" w:eastAsia="仿宋"/>
          <w:bCs/>
          <w:color w:val="auto"/>
          <w:sz w:val="24"/>
          <w:highlight w:val="none"/>
        </w:rPr>
        <w:t>是否存在破坏性检测：</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是，</w:t>
      </w:r>
      <w:r>
        <w:rPr>
          <w:rFonts w:hint="eastAsia" w:ascii="仿宋" w:hAnsi="仿宋" w:eastAsia="仿宋"/>
          <w:bCs/>
          <w:color w:val="auto"/>
          <w:sz w:val="24"/>
          <w:highlight w:val="none"/>
          <w:u w:val="single"/>
        </w:rPr>
        <w:t>（应明确对被破坏的检测产品的处理方式）</w:t>
      </w:r>
    </w:p>
    <w:p>
      <w:pPr>
        <w:snapToGrid w:val="0"/>
        <w:spacing w:line="400" w:lineRule="exact"/>
        <w:ind w:firstLine="960" w:firstLineChars="400"/>
        <w:rPr>
          <w:rFonts w:ascii="仿宋" w:hAnsi="仿宋" w:eastAsia="仿宋"/>
          <w:bCs/>
          <w:color w:val="auto"/>
          <w:sz w:val="24"/>
          <w:highlight w:val="none"/>
        </w:rPr>
      </w:pPr>
      <w:r>
        <w:rPr>
          <w:rFonts w:hint="eastAsia" w:ascii="仿宋" w:hAnsi="仿宋" w:eastAsia="仿宋"/>
          <w:bCs/>
          <w:color w:val="auto"/>
          <w:sz w:val="24"/>
          <w:highlight w:val="none"/>
        </w:rPr>
        <w:t xml:space="preserve">                    </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否</w:t>
      </w:r>
    </w:p>
    <w:p>
      <w:pPr>
        <w:snapToGrid w:val="0"/>
        <w:spacing w:line="400" w:lineRule="exact"/>
        <w:ind w:firstLine="960" w:firstLineChars="400"/>
        <w:rPr>
          <w:rFonts w:ascii="仿宋" w:hAnsi="仿宋" w:eastAsia="仿宋"/>
          <w:bCs/>
          <w:color w:val="auto"/>
          <w:sz w:val="24"/>
          <w:highlight w:val="none"/>
          <w:u w:val="single"/>
        </w:rPr>
      </w:pPr>
      <w:r>
        <w:rPr>
          <w:rFonts w:hint="eastAsia" w:ascii="仿宋" w:hAnsi="仿宋" w:eastAsia="仿宋"/>
          <w:bCs/>
          <w:color w:val="auto"/>
          <w:sz w:val="24"/>
          <w:highlight w:val="none"/>
        </w:rPr>
        <w:t>验收组织的其他事项：</w:t>
      </w:r>
      <w:r>
        <w:rPr>
          <w:rFonts w:hint="eastAsia" w:ascii="仿宋" w:hAnsi="仿宋" w:eastAsia="仿宋"/>
          <w:bCs/>
          <w:color w:val="auto"/>
          <w:sz w:val="24"/>
          <w:highlight w:val="none"/>
          <w:u w:val="single"/>
        </w:rPr>
        <w:t xml:space="preserve">                </w:t>
      </w:r>
    </w:p>
    <w:p>
      <w:pPr>
        <w:snapToGrid w:val="0"/>
        <w:spacing w:line="400" w:lineRule="exact"/>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rPr>
        <w:t>（2）履约验收时间：</w:t>
      </w:r>
      <w:r>
        <w:rPr>
          <w:rFonts w:hint="eastAsia" w:ascii="仿宋" w:hAnsi="仿宋" w:eastAsia="仿宋"/>
          <w:bCs/>
          <w:color w:val="auto"/>
          <w:sz w:val="24"/>
          <w:highlight w:val="none"/>
          <w:u w:val="single"/>
        </w:rPr>
        <w:t xml:space="preserve">（计划于何时验收/供应商提出验收申请之日起   日内组织验收） </w:t>
      </w:r>
    </w:p>
    <w:p>
      <w:pPr>
        <w:snapToGrid w:val="0"/>
        <w:spacing w:line="40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（3）履约验收方式：</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 xml:space="preserve">一次性验收         </w:t>
      </w:r>
    </w:p>
    <w:p>
      <w:pPr>
        <w:snapToGrid w:val="0"/>
        <w:spacing w:line="400" w:lineRule="exact"/>
        <w:rPr>
          <w:rFonts w:ascii="仿宋" w:hAnsi="仿宋" w:eastAsia="仿宋"/>
          <w:bCs/>
          <w:color w:val="auto"/>
          <w:sz w:val="24"/>
          <w:highlight w:val="none"/>
        </w:rPr>
      </w:pPr>
      <w:r>
        <w:rPr>
          <w:rFonts w:hint="eastAsia" w:ascii="仿宋" w:hAnsi="仿宋" w:eastAsia="仿宋"/>
          <w:bCs/>
          <w:color w:val="auto"/>
          <w:sz w:val="24"/>
          <w:highlight w:val="none"/>
        </w:rPr>
        <w:t xml:space="preserve">                       </w:t>
      </w:r>
      <w:r>
        <w:rPr>
          <w:rFonts w:hint="eastAsia" w:ascii="仿宋" w:hAnsi="仿宋" w:eastAsia="仿宋" w:cs="宋体"/>
          <w:color w:val="auto"/>
          <w:sz w:val="24"/>
          <w:highlight w:val="none"/>
        </w:rPr>
        <w:sym w:font="Wingdings" w:char="00A8"/>
      </w:r>
      <w:r>
        <w:rPr>
          <w:rFonts w:hint="eastAsia" w:ascii="仿宋" w:hAnsi="仿宋" w:eastAsia="仿宋"/>
          <w:bCs/>
          <w:color w:val="auto"/>
          <w:sz w:val="24"/>
          <w:highlight w:val="none"/>
        </w:rPr>
        <w:t>分期/分项验收：</w:t>
      </w:r>
      <w:r>
        <w:rPr>
          <w:rFonts w:hint="eastAsia" w:ascii="仿宋" w:hAnsi="仿宋" w:eastAsia="仿宋"/>
          <w:bCs/>
          <w:color w:val="auto"/>
          <w:sz w:val="24"/>
          <w:highlight w:val="none"/>
          <w:u w:val="single"/>
        </w:rPr>
        <w:t xml:space="preserve"> （应明确分期</w:t>
      </w:r>
      <w:r>
        <w:rPr>
          <w:rFonts w:ascii="仿宋" w:hAnsi="仿宋" w:eastAsia="仿宋"/>
          <w:bCs/>
          <w:color w:val="auto"/>
          <w:sz w:val="24"/>
          <w:highlight w:val="none"/>
          <w:u w:val="single"/>
          <w:lang w:val="en"/>
        </w:rPr>
        <w:t>/</w:t>
      </w:r>
      <w:r>
        <w:rPr>
          <w:rFonts w:hint="eastAsia" w:ascii="仿宋" w:hAnsi="仿宋" w:eastAsia="仿宋"/>
          <w:bCs/>
          <w:color w:val="auto"/>
          <w:sz w:val="24"/>
          <w:highlight w:val="none"/>
          <w:u w:val="single"/>
          <w:lang w:val="en"/>
        </w:rPr>
        <w:t>分项验收的工作安排</w:t>
      </w:r>
      <w:r>
        <w:rPr>
          <w:rFonts w:hint="eastAsia" w:ascii="仿宋" w:hAnsi="仿宋" w:eastAsia="仿宋"/>
          <w:bCs/>
          <w:color w:val="auto"/>
          <w:sz w:val="24"/>
          <w:highlight w:val="none"/>
          <w:u w:val="single"/>
        </w:rPr>
        <w:t xml:space="preserve">）  </w:t>
      </w:r>
    </w:p>
    <w:p>
      <w:pPr>
        <w:snapToGrid w:val="0"/>
        <w:spacing w:line="40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（4）履约验收程序：</w:t>
      </w:r>
      <w:r>
        <w:rPr>
          <w:rFonts w:hint="eastAsia" w:ascii="仿宋" w:hAnsi="仿宋" w:eastAsia="仿宋"/>
          <w:bCs/>
          <w:color w:val="auto"/>
          <w:sz w:val="24"/>
          <w:highlight w:val="none"/>
          <w:u w:val="single"/>
        </w:rPr>
        <w:t xml:space="preserve">                                         </w:t>
      </w:r>
    </w:p>
    <w:p>
      <w:pPr>
        <w:snapToGrid w:val="0"/>
        <w:spacing w:line="400" w:lineRule="exact"/>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rPr>
        <w:t>（5）履约验收的内容：</w:t>
      </w:r>
      <w:r>
        <w:rPr>
          <w:rFonts w:hint="eastAsia" w:ascii="仿宋" w:hAnsi="仿宋" w:eastAsia="仿宋"/>
          <w:bCs/>
          <w:color w:val="auto"/>
          <w:sz w:val="24"/>
          <w:highlight w:val="none"/>
          <w:u w:val="single"/>
        </w:rPr>
        <w:t xml:space="preserve"> （应当包括每一项技术和商务要求的履约情况，特别是落实政府采购扶持中小企业，支持绿色发展和乡村振兴等政策情况）                                      </w:t>
      </w:r>
    </w:p>
    <w:p>
      <w:pPr>
        <w:snapToGrid w:val="0"/>
        <w:spacing w:line="400" w:lineRule="exact"/>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rPr>
        <w:t>（6）履约验收标准：</w:t>
      </w:r>
      <w:r>
        <w:rPr>
          <w:rFonts w:hint="eastAsia" w:ascii="仿宋" w:hAnsi="仿宋" w:eastAsia="仿宋"/>
          <w:bCs/>
          <w:color w:val="auto"/>
          <w:sz w:val="24"/>
          <w:highlight w:val="none"/>
          <w:u w:val="single"/>
        </w:rPr>
        <w:t xml:space="preserve">                                         </w:t>
      </w:r>
    </w:p>
    <w:p>
      <w:pPr>
        <w:pStyle w:val="963"/>
        <w:ind w:firstLine="480"/>
        <w:rPr>
          <w:rFonts w:ascii="仿宋" w:hAnsi="仿宋" w:eastAsia="仿宋" w:cs="宋体"/>
          <w:color w:val="auto"/>
          <w:sz w:val="24"/>
          <w:szCs w:val="24"/>
          <w:highlight w:val="none"/>
        </w:rPr>
      </w:pPr>
      <w:r>
        <w:rPr>
          <w:rFonts w:hint="eastAsia" w:ascii="仿宋" w:hAnsi="仿宋" w:eastAsia="仿宋" w:cs="宋体"/>
          <w:bCs/>
          <w:color w:val="auto"/>
          <w:sz w:val="24"/>
          <w:szCs w:val="24"/>
          <w:highlight w:val="none"/>
        </w:rPr>
        <w:t>（7）是否以采购活动中供应商提供的样品作为参考：</w:t>
      </w:r>
      <w:r>
        <w:rPr>
          <w:rFonts w:hint="eastAsia" w:ascii="仿宋" w:hAnsi="仿宋" w:eastAsia="仿宋" w:cs="宋体"/>
          <w:color w:val="auto"/>
          <w:sz w:val="24"/>
          <w:szCs w:val="24"/>
          <w:highlight w:val="none"/>
        </w:rPr>
        <w:sym w:font="Wingdings" w:char="00A8"/>
      </w:r>
      <w:r>
        <w:rPr>
          <w:rFonts w:hint="eastAsia" w:ascii="仿宋" w:hAnsi="仿宋" w:eastAsia="仿宋" w:cs="宋体"/>
          <w:bCs/>
          <w:color w:val="auto"/>
          <w:sz w:val="24"/>
          <w:szCs w:val="24"/>
          <w:highlight w:val="none"/>
        </w:rPr>
        <w:t xml:space="preserve">是  </w:t>
      </w:r>
      <w:r>
        <w:rPr>
          <w:rFonts w:hint="eastAsia" w:ascii="仿宋" w:hAnsi="仿宋" w:eastAsia="仿宋" w:cs="宋体"/>
          <w:color w:val="auto"/>
          <w:sz w:val="24"/>
          <w:szCs w:val="24"/>
          <w:highlight w:val="none"/>
        </w:rPr>
        <w:sym w:font="Wingdings" w:char="00A8"/>
      </w:r>
      <w:r>
        <w:rPr>
          <w:rFonts w:hint="eastAsia" w:ascii="仿宋" w:hAnsi="仿宋" w:eastAsia="仿宋" w:cs="宋体"/>
          <w:bCs/>
          <w:color w:val="auto"/>
          <w:sz w:val="24"/>
          <w:szCs w:val="24"/>
          <w:highlight w:val="none"/>
        </w:rPr>
        <w:t>否</w:t>
      </w:r>
    </w:p>
    <w:p>
      <w:pPr>
        <w:snapToGrid w:val="0"/>
        <w:spacing w:line="400" w:lineRule="exact"/>
        <w:ind w:firstLine="480" w:firstLineChars="200"/>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（8）履约验收其他事项：</w:t>
      </w:r>
      <w:r>
        <w:rPr>
          <w:rFonts w:hint="eastAsia" w:ascii="仿宋" w:hAnsi="仿宋" w:eastAsia="仿宋" w:cs="宋体"/>
          <w:bCs/>
          <w:color w:val="auto"/>
          <w:sz w:val="24"/>
          <w:highlight w:val="none"/>
          <w:u w:val="single"/>
        </w:rPr>
        <w:t xml:space="preserve">      （产权过户登记等）          </w:t>
      </w:r>
    </w:p>
    <w:p>
      <w:pPr>
        <w:numPr>
          <w:ilvl w:val="0"/>
          <w:numId w:val="14"/>
        </w:numPr>
        <w:snapToGrid w:val="0"/>
        <w:spacing w:line="40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组成合同的文件</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本协议书与下列文件一起构成合同文件，如下述文件之间有任何抵触、矛盾或歧义，应按以下顺序解释：</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（1）政府采购合同协议书及其变更、补充协议</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（2）政府采购合同专用条款</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（3）政府采购合同通用条款</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（4）中标（成交）通知书</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（5）投标（响应）文件</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（6）采购文件</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（7）有关技术文件，图纸</w:t>
      </w:r>
    </w:p>
    <w:p>
      <w:pPr>
        <w:pStyle w:val="963"/>
        <w:ind w:firstLine="480"/>
        <w:rPr>
          <w:rFonts w:ascii="仿宋" w:hAnsi="仿宋" w:eastAsia="仿宋" w:cs="宋体"/>
          <w:color w:val="auto"/>
          <w:kern w:val="2"/>
          <w:sz w:val="24"/>
          <w:szCs w:val="24"/>
          <w:highlight w:val="none"/>
        </w:rPr>
      </w:pPr>
      <w:r>
        <w:rPr>
          <w:rFonts w:hint="eastAsia" w:ascii="仿宋" w:hAnsi="仿宋" w:eastAsia="仿宋" w:cs="宋体"/>
          <w:color w:val="auto"/>
          <w:sz w:val="24"/>
          <w:szCs w:val="24"/>
          <w:highlight w:val="none"/>
        </w:rPr>
        <w:t>（8）</w:t>
      </w:r>
      <w:r>
        <w:rPr>
          <w:rFonts w:hint="eastAsia" w:ascii="仿宋" w:hAnsi="仿宋" w:eastAsia="仿宋" w:cs="宋体"/>
          <w:color w:val="auto"/>
          <w:kern w:val="2"/>
          <w:sz w:val="24"/>
          <w:szCs w:val="24"/>
          <w:highlight w:val="none"/>
        </w:rPr>
        <w:t>国家法律、行政法规和规章制度规定或合同约定的作为合同组成部分的其他文件</w:t>
      </w:r>
    </w:p>
    <w:p>
      <w:pPr>
        <w:numPr>
          <w:ilvl w:val="0"/>
          <w:numId w:val="14"/>
        </w:numPr>
        <w:snapToGrid w:val="0"/>
        <w:spacing w:line="40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合同生效</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本合同自</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生效。</w:t>
      </w:r>
    </w:p>
    <w:p>
      <w:pPr>
        <w:numPr>
          <w:ilvl w:val="0"/>
          <w:numId w:val="14"/>
        </w:numPr>
        <w:snapToGrid w:val="0"/>
        <w:spacing w:line="40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合同份数</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本合同一式</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份，甲方执</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份，乙方执</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份，均具有同等法律效力。</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合同订立时间：</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日</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合同订立地点：</w:t>
      </w:r>
      <w:r>
        <w:rPr>
          <w:rFonts w:hint="eastAsia" w:ascii="仿宋" w:hAnsi="仿宋" w:eastAsia="仿宋"/>
          <w:color w:val="auto"/>
          <w:sz w:val="24"/>
          <w:highlight w:val="none"/>
          <w:u w:val="single"/>
        </w:rPr>
        <w:t xml:space="preserve">                           </w:t>
      </w:r>
    </w:p>
    <w:p>
      <w:pPr>
        <w:snapToGrid w:val="0"/>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附件：具体标的及其技术要求和商务要求、联合协议、分包意向协议等。</w:t>
      </w:r>
    </w:p>
    <w:p>
      <w:pPr>
        <w:pStyle w:val="256"/>
        <w:spacing w:after="120" w:line="400" w:lineRule="exact"/>
        <w:ind w:firstLine="480"/>
        <w:rPr>
          <w:rFonts w:ascii="仿宋" w:hAnsi="仿宋" w:eastAsia="仿宋"/>
          <w:color w:val="auto"/>
          <w:highlight w:val="none"/>
        </w:rPr>
      </w:pPr>
    </w:p>
    <w:p>
      <w:pPr>
        <w:pStyle w:val="5"/>
        <w:spacing w:line="400" w:lineRule="exact"/>
        <w:rPr>
          <w:rFonts w:ascii="仿宋" w:eastAsia="仿宋"/>
          <w:b w:val="0"/>
          <w:bCs w:val="0"/>
          <w:color w:val="auto"/>
          <w:sz w:val="24"/>
          <w:szCs w:val="24"/>
          <w:highlight w:val="none"/>
        </w:rPr>
      </w:pPr>
      <w:r>
        <w:rPr>
          <w:rFonts w:ascii="仿宋" w:eastAsia="仿宋"/>
          <w:color w:val="auto"/>
          <w:sz w:val="24"/>
          <w:szCs w:val="24"/>
          <w:highlight w:val="none"/>
          <w:lang w:val="en"/>
        </w:rPr>
        <w:t xml:space="preserve">   </w:t>
      </w:r>
    </w:p>
    <w:p>
      <w:pPr>
        <w:rPr>
          <w:rFonts w:ascii="仿宋" w:hAnsi="仿宋" w:eastAsia="仿宋"/>
          <w:color w:val="auto"/>
          <w:sz w:val="24"/>
          <w:highlight w:val="none"/>
        </w:rPr>
      </w:pPr>
      <w:r>
        <w:rPr>
          <w:rFonts w:hint="eastAsia" w:ascii="仿宋" w:hAnsi="仿宋" w:eastAsia="仿宋"/>
          <w:color w:val="auto"/>
          <w:sz w:val="24"/>
          <w:highlight w:val="none"/>
        </w:rPr>
        <w:br w:type="page"/>
      </w:r>
    </w:p>
    <w:p>
      <w:pPr>
        <w:pStyle w:val="256"/>
        <w:spacing w:after="120"/>
        <w:ind w:firstLine="480"/>
        <w:rPr>
          <w:rFonts w:ascii="仿宋" w:hAnsi="仿宋" w:eastAsia="仿宋"/>
          <w:color w:val="auto"/>
          <w:highlight w:val="none"/>
        </w:rPr>
      </w:pPr>
    </w:p>
    <w:tbl>
      <w:tblPr>
        <w:tblStyle w:val="62"/>
        <w:tblW w:w="9040"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632" w:type="dxa"/>
            <w:gridSpan w:val="2"/>
            <w:tcBorders>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甲方</w:t>
            </w:r>
            <w:r>
              <w:rPr>
                <w:rFonts w:hint="eastAsia" w:ascii="仿宋" w:hAnsi="仿宋" w:eastAsia="仿宋"/>
                <w:color w:val="auto"/>
                <w:sz w:val="24"/>
                <w:highlight w:val="none"/>
              </w:rPr>
              <w:t>（采购人、受采购人委托签订合同的单位或采购文件约定的合同甲方）</w:t>
            </w:r>
          </w:p>
        </w:tc>
        <w:tc>
          <w:tcPr>
            <w:tcW w:w="4408" w:type="dxa"/>
            <w:gridSpan w:val="2"/>
            <w:tcBorders>
              <w:left w:val="single" w:color="auto" w:sz="2" w:space="0"/>
              <w:bottom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乙方</w:t>
            </w:r>
            <w:r>
              <w:rPr>
                <w:rFonts w:hint="eastAsia" w:ascii="仿宋" w:hAnsi="仿宋" w:eastAsia="仿宋"/>
                <w:color w:val="auto"/>
                <w:sz w:val="24"/>
                <w:highlight w:val="none"/>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单位名称</w:t>
            </w:r>
            <w:r>
              <w:rPr>
                <w:rFonts w:hint="eastAsia" w:ascii="仿宋" w:hAnsi="仿宋" w:eastAsia="仿宋"/>
                <w:color w:val="auto"/>
                <w:sz w:val="24"/>
                <w:highlight w:val="none"/>
              </w:rPr>
              <w:t>（公章或合同章）</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单位名称</w:t>
            </w:r>
            <w:r>
              <w:rPr>
                <w:rFonts w:hint="eastAsia" w:ascii="仿宋" w:hAnsi="仿宋" w:eastAsia="仿宋"/>
                <w:color w:val="auto"/>
                <w:sz w:val="24"/>
                <w:highlight w:val="none"/>
              </w:rPr>
              <w:t>（公章或合同章）</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036" w:type="dxa"/>
            <w:vMerge w:val="restart"/>
            <w:tcBorders>
              <w:top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法定代表人</w:t>
            </w:r>
          </w:p>
          <w:p>
            <w:pPr>
              <w:snapToGrid w:val="0"/>
              <w:spacing w:line="300" w:lineRule="exact"/>
              <w:ind w:firstLine="115" w:firstLineChars="48"/>
              <w:jc w:val="center"/>
              <w:rPr>
                <w:rFonts w:ascii="仿宋" w:hAnsi="仿宋" w:eastAsia="仿宋"/>
                <w:color w:val="auto"/>
                <w:sz w:val="24"/>
                <w:highlight w:val="none"/>
              </w:rPr>
            </w:pPr>
            <w:r>
              <w:rPr>
                <w:rFonts w:hint="eastAsia" w:ascii="仿宋" w:hAnsi="仿宋" w:eastAsia="仿宋"/>
                <w:color w:val="auto"/>
                <w:sz w:val="24"/>
                <w:highlight w:val="none"/>
              </w:rPr>
              <w:t>或其</w:t>
            </w:r>
            <w:r>
              <w:rPr>
                <w:rFonts w:ascii="仿宋" w:hAnsi="仿宋" w:eastAsia="仿宋"/>
                <w:color w:val="auto"/>
                <w:sz w:val="24"/>
                <w:highlight w:val="none"/>
              </w:rPr>
              <w:t>委托代理人</w:t>
            </w:r>
            <w:r>
              <w:rPr>
                <w:rFonts w:hint="eastAsia" w:ascii="仿宋" w:hAnsi="仿宋" w:eastAsia="仿宋"/>
                <w:color w:val="auto"/>
                <w:sz w:val="24"/>
                <w:highlight w:val="none"/>
              </w:rPr>
              <w:t>（签章）</w:t>
            </w:r>
          </w:p>
        </w:tc>
        <w:tc>
          <w:tcPr>
            <w:tcW w:w="2596" w:type="dxa"/>
            <w:vMerge w:val="restar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法定代表人</w:t>
            </w:r>
          </w:p>
          <w:p>
            <w:pPr>
              <w:snapToGrid w:val="0"/>
              <w:spacing w:line="300" w:lineRule="exact"/>
              <w:jc w:val="center"/>
              <w:rPr>
                <w:rFonts w:ascii="仿宋" w:hAnsi="仿宋" w:eastAsia="仿宋"/>
                <w:color w:val="auto"/>
                <w:sz w:val="24"/>
                <w:highlight w:val="none"/>
              </w:rPr>
            </w:pPr>
            <w:r>
              <w:rPr>
                <w:rFonts w:hint="eastAsia" w:ascii="仿宋" w:hAnsi="仿宋" w:eastAsia="仿宋"/>
                <w:color w:val="auto"/>
                <w:sz w:val="24"/>
                <w:highlight w:val="none"/>
              </w:rPr>
              <w:t>或其</w:t>
            </w:r>
            <w:r>
              <w:rPr>
                <w:rFonts w:ascii="仿宋" w:hAnsi="仿宋" w:eastAsia="仿宋"/>
                <w:color w:val="auto"/>
                <w:sz w:val="24"/>
                <w:highlight w:val="none"/>
              </w:rPr>
              <w:t>委托代理人</w:t>
            </w:r>
            <w:r>
              <w:rPr>
                <w:rFonts w:hint="eastAsia" w:ascii="仿宋" w:hAnsi="仿宋" w:eastAsia="仿宋"/>
                <w:color w:val="auto"/>
                <w:sz w:val="24"/>
                <w:highlight w:val="none"/>
              </w:rPr>
              <w:t>（签章）</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vMerge w:val="continue"/>
            <w:tcBorders>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596" w:type="dxa"/>
            <w:vMerge w:val="continue"/>
            <w:tcBorders>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hint="eastAsia" w:ascii="仿宋" w:hAnsi="仿宋" w:eastAsia="仿宋"/>
                <w:color w:val="auto"/>
                <w:sz w:val="24"/>
                <w:highlight w:val="none"/>
              </w:rPr>
              <w:t>拥有者性别</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hint="eastAsia" w:ascii="仿宋" w:hAnsi="仿宋" w:eastAsia="仿宋"/>
                <w:color w:val="auto"/>
                <w:sz w:val="24"/>
                <w:highlight w:val="none"/>
              </w:rPr>
              <w:t>住  所</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hint="eastAsia" w:ascii="仿宋" w:hAnsi="仿宋" w:eastAsia="仿宋"/>
                <w:color w:val="auto"/>
                <w:sz w:val="24"/>
                <w:highlight w:val="none"/>
              </w:rPr>
              <w:t>住  所</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联 系 人</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联系电话</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hint="eastAsia" w:ascii="仿宋" w:hAnsi="仿宋" w:eastAsia="仿宋"/>
                <w:color w:val="auto"/>
                <w:sz w:val="24"/>
                <w:highlight w:val="none"/>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hint="eastAsia" w:ascii="仿宋" w:hAnsi="仿宋" w:eastAsia="仿宋"/>
                <w:color w:val="auto"/>
                <w:sz w:val="24"/>
                <w:highlight w:val="none"/>
              </w:rPr>
              <w:t>通信地址</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邮政编码</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hint="eastAsia" w:ascii="仿宋" w:hAnsi="仿宋" w:eastAsia="仿宋"/>
                <w:color w:val="auto"/>
                <w:sz w:val="24"/>
                <w:highlight w:val="none"/>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hint="eastAsia" w:ascii="仿宋" w:hAnsi="仿宋" w:eastAsia="仿宋"/>
                <w:color w:val="auto"/>
                <w:sz w:val="24"/>
                <w:highlight w:val="none"/>
              </w:rPr>
              <w:t>电子邮箱</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hint="eastAsia" w:ascii="仿宋" w:hAnsi="仿宋" w:eastAsia="仿宋"/>
                <w:color w:val="auto"/>
                <w:sz w:val="24"/>
                <w:highlight w:val="none"/>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hint="eastAsia" w:ascii="仿宋" w:hAnsi="仿宋" w:eastAsia="仿宋"/>
                <w:color w:val="auto"/>
                <w:sz w:val="24"/>
                <w:highlight w:val="none"/>
              </w:rPr>
              <w:t>统一社会信用代码</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开户名称</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开户银行</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olor w:val="auto"/>
                <w:sz w:val="24"/>
                <w:highlight w:val="none"/>
              </w:rPr>
            </w:pPr>
            <w:r>
              <w:rPr>
                <w:rFonts w:ascii="仿宋" w:hAnsi="仿宋" w:eastAsia="仿宋"/>
                <w:color w:val="auto"/>
                <w:sz w:val="24"/>
                <w:highlight w:val="none"/>
              </w:rPr>
              <w:t>银行账号</w:t>
            </w:r>
          </w:p>
        </w:tc>
        <w:tc>
          <w:tcPr>
            <w:tcW w:w="2278" w:type="dxa"/>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040" w:type="dxa"/>
            <w:gridSpan w:val="4"/>
            <w:tcBorders>
              <w:top w:val="single" w:color="auto" w:sz="2" w:space="0"/>
            </w:tcBorders>
            <w:vAlign w:val="center"/>
          </w:tcPr>
          <w:p>
            <w:pPr>
              <w:pStyle w:val="3"/>
              <w:snapToGrid w:val="0"/>
              <w:spacing w:before="120" w:beforeLines="50" w:line="360" w:lineRule="auto"/>
              <w:jc w:val="left"/>
              <w:rPr>
                <w:rFonts w:ascii="仿宋" w:hAnsi="仿宋" w:eastAsia="仿宋"/>
                <w:color w:val="auto"/>
                <w:spacing w:val="20"/>
                <w:highlight w:val="none"/>
              </w:rPr>
            </w:pPr>
            <w:r>
              <w:rPr>
                <w:rFonts w:hint="eastAsia" w:ascii="仿宋" w:hAnsi="仿宋" w:eastAsia="仿宋"/>
                <w:color w:val="auto"/>
                <w:highlight w:val="none"/>
              </w:rPr>
              <w:t>注：涉及联合体或其他合同主体的信息应按上表格式加列。</w:t>
            </w:r>
          </w:p>
        </w:tc>
      </w:tr>
    </w:tbl>
    <w:p>
      <w:pPr>
        <w:pStyle w:val="5"/>
        <w:adjustRightInd w:val="0"/>
        <w:snapToGrid w:val="0"/>
        <w:spacing w:before="120" w:beforeLines="50"/>
        <w:jc w:val="center"/>
        <w:rPr>
          <w:rFonts w:ascii="仿宋" w:eastAsia="仿宋"/>
          <w:color w:val="auto"/>
          <w:sz w:val="24"/>
          <w:szCs w:val="24"/>
          <w:highlight w:val="none"/>
        </w:rPr>
      </w:pPr>
      <w:r>
        <w:rPr>
          <w:rFonts w:ascii="仿宋" w:eastAsia="仿宋"/>
          <w:color w:val="auto"/>
          <w:sz w:val="24"/>
          <w:szCs w:val="24"/>
          <w:highlight w:val="none"/>
          <w:u w:val="single"/>
        </w:rPr>
        <w:br w:type="page"/>
      </w:r>
      <w:bookmarkStart w:id="44" w:name="_Toc27624"/>
      <w:r>
        <w:rPr>
          <w:rFonts w:hint="eastAsia" w:ascii="仿宋" w:eastAsia="仿宋"/>
          <w:b w:val="0"/>
          <w:bCs w:val="0"/>
          <w:color w:val="auto"/>
          <w:sz w:val="24"/>
          <w:szCs w:val="24"/>
          <w:highlight w:val="none"/>
        </w:rPr>
        <w:t>第二节 政府采购合同通用条款</w:t>
      </w:r>
      <w:bookmarkEnd w:id="44"/>
    </w:p>
    <w:p>
      <w:pPr>
        <w:tabs>
          <w:tab w:val="left" w:pos="8820"/>
          <w:tab w:val="left" w:pos="9345"/>
          <w:tab w:val="left" w:pos="9765"/>
        </w:tabs>
        <w:snapToGrid w:val="0"/>
        <w:spacing w:line="400" w:lineRule="exact"/>
        <w:jc w:val="left"/>
        <w:rPr>
          <w:rFonts w:ascii="仿宋" w:hAnsi="仿宋" w:eastAsia="仿宋"/>
          <w:b/>
          <w:bCs/>
          <w:color w:val="auto"/>
          <w:sz w:val="24"/>
          <w:highlight w:val="none"/>
        </w:rPr>
      </w:pPr>
      <w:r>
        <w:rPr>
          <w:rFonts w:hint="eastAsia" w:ascii="仿宋" w:hAnsi="仿宋" w:eastAsia="仿宋"/>
          <w:b/>
          <w:color w:val="auto"/>
          <w:sz w:val="24"/>
          <w:highlight w:val="none"/>
        </w:rPr>
        <w:t xml:space="preserve">1. </w:t>
      </w:r>
      <w:r>
        <w:rPr>
          <w:rFonts w:hint="eastAsia" w:ascii="仿宋" w:hAnsi="仿宋" w:eastAsia="仿宋"/>
          <w:b/>
          <w:bCs/>
          <w:color w:val="auto"/>
          <w:sz w:val="24"/>
          <w:highlight w:val="none"/>
        </w:rPr>
        <w:t>定义</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1.1合同当事人</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（3）其他合同主体是指除采购人和供应商以外，</w:t>
      </w:r>
      <w:r>
        <w:rPr>
          <w:rFonts w:hint="eastAsia" w:ascii="仿宋" w:hAnsi="仿宋" w:eastAsia="仿宋" w:cs="宋体"/>
          <w:bCs/>
          <w:color w:val="auto"/>
          <w:sz w:val="24"/>
          <w:highlight w:val="none"/>
        </w:rPr>
        <w:t>依法参与合同缔结或履行，享有权利、承担义务的合同当事人</w:t>
      </w:r>
      <w:r>
        <w:rPr>
          <w:rFonts w:hint="eastAsia" w:ascii="仿宋" w:hAnsi="仿宋" w:eastAsia="仿宋"/>
          <w:color w:val="auto"/>
          <w:sz w:val="24"/>
          <w:highlight w:val="none"/>
        </w:rPr>
        <w:t>。</w:t>
      </w:r>
    </w:p>
    <w:p>
      <w:pPr>
        <w:tabs>
          <w:tab w:val="left" w:pos="570"/>
          <w:tab w:val="left" w:pos="9240"/>
          <w:tab w:val="left" w:pos="9555"/>
        </w:tabs>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1.2本合同下列术语应解释为：</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（1）“合同”系指</w:t>
      </w:r>
      <w:r>
        <w:rPr>
          <w:rFonts w:hint="eastAsia" w:ascii="仿宋" w:hAnsi="仿宋" w:eastAsia="仿宋" w:cs="宋体"/>
          <w:bCs/>
          <w:color w:val="auto"/>
          <w:sz w:val="24"/>
          <w:highlight w:val="none"/>
        </w:rPr>
        <w:t>合同当事人意思表示达成一致的任何协议，包括签署的</w:t>
      </w:r>
      <w:r>
        <w:rPr>
          <w:rFonts w:hint="eastAsia" w:ascii="仿宋" w:hAnsi="仿宋" w:eastAsia="仿宋"/>
          <w:color w:val="auto"/>
          <w:sz w:val="24"/>
          <w:highlight w:val="none"/>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宋体"/>
          <w:color w:val="auto"/>
          <w:sz w:val="24"/>
          <w:highlight w:val="none"/>
        </w:rPr>
        <w:t>国家法律、行政法规和规章制度规定或合同约定的作为合同组成部分的其他文件</w:t>
      </w:r>
      <w:r>
        <w:rPr>
          <w:rFonts w:hint="eastAsia" w:ascii="仿宋" w:hAnsi="仿宋" w:eastAsia="仿宋"/>
          <w:color w:val="auto"/>
          <w:sz w:val="24"/>
          <w:highlight w:val="none"/>
        </w:rPr>
        <w:t>。</w:t>
      </w:r>
    </w:p>
    <w:p>
      <w:pPr>
        <w:tabs>
          <w:tab w:val="left" w:pos="570"/>
          <w:tab w:val="left" w:pos="9240"/>
          <w:tab w:val="left" w:pos="9555"/>
        </w:tabs>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（3）“货物”系指乙方根据本合同规定须向甲方提供的各种形态和种类的物品，包括原材料、设备、产品（包括软件）及相关的其备品备件、工具、手册及</w:t>
      </w:r>
      <w:r>
        <w:rPr>
          <w:rFonts w:ascii="仿宋" w:hAnsi="仿宋" w:eastAsia="仿宋"/>
          <w:color w:val="auto"/>
          <w:sz w:val="24"/>
          <w:highlight w:val="none"/>
          <w:lang w:val="en"/>
        </w:rPr>
        <w:t>其他</w:t>
      </w:r>
      <w:r>
        <w:rPr>
          <w:rFonts w:hint="eastAsia" w:ascii="仿宋" w:hAnsi="仿宋" w:eastAsia="仿宋"/>
          <w:color w:val="auto"/>
          <w:sz w:val="24"/>
          <w:highlight w:val="none"/>
        </w:rPr>
        <w:t>技术资料和材料等。</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（4）“相关服务”系指根据合同规定，乙方应提供的与货物有关的技术、管理和</w:t>
      </w:r>
      <w:r>
        <w:rPr>
          <w:rFonts w:ascii="仿宋" w:hAnsi="仿宋" w:eastAsia="仿宋"/>
          <w:color w:val="auto"/>
          <w:sz w:val="24"/>
          <w:highlight w:val="none"/>
          <w:lang w:val="en"/>
        </w:rPr>
        <w:t>其他</w:t>
      </w:r>
      <w:r>
        <w:rPr>
          <w:rFonts w:hint="eastAsia" w:ascii="仿宋" w:hAnsi="仿宋" w:eastAsia="仿宋"/>
          <w:color w:val="auto"/>
          <w:sz w:val="24"/>
          <w:highlight w:val="none"/>
        </w:rPr>
        <w:t>服务，包括但不限于：管理和质量保证、运输、保险、检验、现场准备、安装、集成、调试、培训、维修、废弃处置、技术支持等以及合同中规定乙方应承担的</w:t>
      </w:r>
      <w:r>
        <w:rPr>
          <w:rFonts w:ascii="仿宋" w:hAnsi="仿宋" w:eastAsia="仿宋"/>
          <w:color w:val="auto"/>
          <w:sz w:val="24"/>
          <w:highlight w:val="none"/>
          <w:lang w:val="en"/>
        </w:rPr>
        <w:t>其他</w:t>
      </w:r>
      <w:r>
        <w:rPr>
          <w:rFonts w:hint="eastAsia" w:ascii="仿宋" w:hAnsi="仿宋" w:eastAsia="仿宋"/>
          <w:color w:val="auto"/>
          <w:sz w:val="24"/>
          <w:highlight w:val="none"/>
        </w:rPr>
        <w:t>义务。</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b/>
          <w:bCs/>
          <w:color w:val="auto"/>
          <w:sz w:val="24"/>
          <w:highlight w:val="none"/>
        </w:rPr>
        <w:t>政府采购合同专用条款</w:t>
      </w:r>
      <w:r>
        <w:rPr>
          <w:rFonts w:hint="eastAsia" w:ascii="仿宋" w:hAnsi="仿宋" w:eastAsia="仿宋"/>
          <w:color w:val="auto"/>
          <w:sz w:val="24"/>
          <w:highlight w:val="none"/>
        </w:rPr>
        <w:t>】。</w:t>
      </w:r>
    </w:p>
    <w:p>
      <w:pPr>
        <w:tabs>
          <w:tab w:val="left" w:pos="570"/>
          <w:tab w:val="left" w:pos="9240"/>
          <w:tab w:val="left" w:pos="9555"/>
        </w:tabs>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（7）其他术语解释，见【</w:t>
      </w:r>
      <w:r>
        <w:rPr>
          <w:rFonts w:hint="eastAsia" w:ascii="仿宋" w:hAnsi="仿宋" w:eastAsia="仿宋"/>
          <w:b/>
          <w:bCs/>
          <w:color w:val="auto"/>
          <w:sz w:val="24"/>
          <w:highlight w:val="none"/>
        </w:rPr>
        <w:t>政府采购合同专用条款</w:t>
      </w:r>
      <w:r>
        <w:rPr>
          <w:rFonts w:hint="eastAsia" w:ascii="仿宋" w:hAnsi="仿宋" w:eastAsia="仿宋"/>
          <w:color w:val="auto"/>
          <w:sz w:val="24"/>
          <w:highlight w:val="none"/>
        </w:rPr>
        <w:t>】。</w:t>
      </w:r>
    </w:p>
    <w:p>
      <w:pPr>
        <w:numPr>
          <w:ilvl w:val="0"/>
          <w:numId w:val="17"/>
        </w:numPr>
        <w:autoSpaceDE w:val="0"/>
        <w:autoSpaceDN w:val="0"/>
        <w:snapToGrid w:val="0"/>
        <w:spacing w:line="400" w:lineRule="exact"/>
        <w:jc w:val="left"/>
        <w:rPr>
          <w:rFonts w:ascii="仿宋" w:hAnsi="仿宋" w:eastAsia="仿宋"/>
          <w:b/>
          <w:bCs/>
          <w:color w:val="auto"/>
          <w:sz w:val="24"/>
          <w:highlight w:val="none"/>
        </w:rPr>
      </w:pPr>
      <w:r>
        <w:rPr>
          <w:rFonts w:hint="eastAsia" w:ascii="仿宋" w:hAnsi="仿宋" w:eastAsia="仿宋"/>
          <w:b/>
          <w:color w:val="auto"/>
          <w:sz w:val="24"/>
          <w:highlight w:val="none"/>
        </w:rPr>
        <w:t>合同标的及金额</w:t>
      </w:r>
    </w:p>
    <w:p>
      <w:pPr>
        <w:autoSpaceDE w:val="0"/>
        <w:autoSpaceDN w:val="0"/>
        <w:snapToGrid w:val="0"/>
        <w:spacing w:line="400" w:lineRule="exact"/>
        <w:ind w:firstLine="480" w:firstLineChars="200"/>
        <w:jc w:val="left"/>
        <w:rPr>
          <w:rFonts w:ascii="仿宋" w:hAnsi="仿宋" w:eastAsia="仿宋"/>
          <w:b/>
          <w:bCs/>
          <w:i/>
          <w:iCs/>
          <w:color w:val="auto"/>
          <w:sz w:val="24"/>
          <w:highlight w:val="none"/>
        </w:rPr>
      </w:pPr>
      <w:r>
        <w:rPr>
          <w:rFonts w:hint="eastAsia" w:ascii="仿宋" w:hAnsi="仿宋" w:eastAsia="仿宋"/>
          <w:color w:val="auto"/>
          <w:sz w:val="24"/>
          <w:highlight w:val="none"/>
        </w:rPr>
        <w:t>2.1 合同标的及金额应与中标（成交）结果一致。乙方为履行本合同而发生的所有费用均应包含在合同价款中，甲方不再另行支付</w:t>
      </w:r>
      <w:r>
        <w:rPr>
          <w:rFonts w:ascii="仿宋" w:hAnsi="仿宋" w:eastAsia="仿宋"/>
          <w:color w:val="auto"/>
          <w:sz w:val="24"/>
          <w:highlight w:val="none"/>
          <w:lang w:val="en"/>
        </w:rPr>
        <w:t>其他</w:t>
      </w:r>
      <w:r>
        <w:rPr>
          <w:rFonts w:hint="eastAsia" w:ascii="仿宋" w:hAnsi="仿宋" w:eastAsia="仿宋"/>
          <w:color w:val="auto"/>
          <w:sz w:val="24"/>
          <w:highlight w:val="none"/>
        </w:rPr>
        <w:t>任何费用。</w:t>
      </w:r>
    </w:p>
    <w:p>
      <w:pPr>
        <w:snapToGrid w:val="0"/>
        <w:spacing w:line="400" w:lineRule="exact"/>
        <w:jc w:val="left"/>
        <w:rPr>
          <w:rFonts w:ascii="仿宋" w:hAnsi="仿宋" w:eastAsia="仿宋"/>
          <w:b/>
          <w:color w:val="auto"/>
          <w:sz w:val="24"/>
          <w:highlight w:val="none"/>
        </w:rPr>
      </w:pPr>
      <w:r>
        <w:rPr>
          <w:rFonts w:hint="eastAsia" w:ascii="仿宋" w:hAnsi="仿宋" w:eastAsia="仿宋"/>
          <w:b/>
          <w:color w:val="auto"/>
          <w:sz w:val="24"/>
          <w:highlight w:val="none"/>
        </w:rPr>
        <w:t>3. 履行合同的时间、地点和方式</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3.1 </w:t>
      </w:r>
      <w:r>
        <w:rPr>
          <w:rFonts w:hint="eastAsia" w:ascii="仿宋" w:hAnsi="仿宋" w:eastAsia="仿宋" w:cs="宋体"/>
          <w:color w:val="auto"/>
          <w:sz w:val="24"/>
          <w:highlight w:val="none"/>
        </w:rPr>
        <w:t>乙方应当在约定的时间、地点，按照约定方式履行合同。</w:t>
      </w:r>
    </w:p>
    <w:p>
      <w:pPr>
        <w:autoSpaceDE w:val="0"/>
        <w:autoSpaceDN w:val="0"/>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4. 甲方的权利和义务</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4.1</w:t>
      </w:r>
      <w:r>
        <w:rPr>
          <w:rFonts w:ascii="仿宋" w:hAnsi="仿宋" w:eastAsia="仿宋"/>
          <w:color w:val="auto"/>
          <w:sz w:val="24"/>
          <w:highlight w:val="none"/>
        </w:rPr>
        <w:t xml:space="preserve"> 签署合同后，甲方</w:t>
      </w:r>
      <w:r>
        <w:rPr>
          <w:rFonts w:hint="eastAsia" w:ascii="仿宋" w:hAnsi="仿宋" w:eastAsia="仿宋"/>
          <w:color w:val="auto"/>
          <w:sz w:val="24"/>
          <w:highlight w:val="none"/>
        </w:rPr>
        <w:t>应</w:t>
      </w:r>
      <w:r>
        <w:rPr>
          <w:rFonts w:ascii="仿宋" w:hAnsi="仿宋" w:eastAsia="仿宋"/>
          <w:color w:val="auto"/>
          <w:sz w:val="24"/>
          <w:highlight w:val="none"/>
        </w:rPr>
        <w:t>确定</w:t>
      </w:r>
      <w:r>
        <w:rPr>
          <w:rFonts w:hint="eastAsia" w:ascii="仿宋" w:hAnsi="仿宋" w:eastAsia="仿宋"/>
          <w:color w:val="auto"/>
          <w:sz w:val="24"/>
          <w:highlight w:val="none"/>
        </w:rPr>
        <w:t>项目负责人（或项目联系人）</w:t>
      </w:r>
      <w:r>
        <w:rPr>
          <w:rFonts w:ascii="仿宋" w:hAnsi="仿宋" w:eastAsia="仿宋"/>
          <w:color w:val="auto"/>
          <w:sz w:val="24"/>
          <w:highlight w:val="none"/>
        </w:rPr>
        <w:t>，负责与本合同有关的事务。</w:t>
      </w:r>
      <w:r>
        <w:rPr>
          <w:rFonts w:hint="eastAsia" w:ascii="仿宋" w:hAnsi="仿宋" w:eastAsia="仿宋"/>
          <w:color w:val="auto"/>
          <w:sz w:val="24"/>
          <w:highlight w:val="none"/>
        </w:rPr>
        <w:t>甲方有权对乙方的履约行为进行检查，并</w:t>
      </w:r>
      <w:r>
        <w:rPr>
          <w:rFonts w:ascii="仿宋" w:hAnsi="仿宋" w:eastAsia="仿宋"/>
          <w:color w:val="auto"/>
          <w:sz w:val="24"/>
          <w:highlight w:val="none"/>
        </w:rPr>
        <w:t>及时确认乙方提交的事项</w:t>
      </w:r>
      <w:r>
        <w:rPr>
          <w:rFonts w:hint="eastAsia" w:ascii="仿宋" w:hAnsi="仿宋" w:eastAsia="仿宋"/>
          <w:color w:val="auto"/>
          <w:sz w:val="24"/>
          <w:highlight w:val="none"/>
        </w:rPr>
        <w:t>。甲方应当</w:t>
      </w:r>
      <w:r>
        <w:rPr>
          <w:rFonts w:ascii="仿宋" w:hAnsi="仿宋" w:eastAsia="仿宋"/>
          <w:color w:val="auto"/>
          <w:sz w:val="24"/>
          <w:highlight w:val="none"/>
        </w:rPr>
        <w:t>配合乙方完成</w:t>
      </w:r>
      <w:r>
        <w:rPr>
          <w:rFonts w:hint="eastAsia" w:ascii="仿宋" w:hAnsi="仿宋" w:eastAsia="仿宋"/>
          <w:color w:val="auto"/>
          <w:sz w:val="24"/>
          <w:highlight w:val="none"/>
        </w:rPr>
        <w:t>相关项目</w:t>
      </w:r>
      <w:r>
        <w:rPr>
          <w:rFonts w:ascii="仿宋" w:hAnsi="仿宋" w:eastAsia="仿宋"/>
          <w:color w:val="auto"/>
          <w:sz w:val="24"/>
          <w:highlight w:val="none"/>
        </w:rPr>
        <w:t>实施工作。</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4.2 </w:t>
      </w:r>
      <w:r>
        <w:rPr>
          <w:rFonts w:ascii="仿宋" w:hAnsi="仿宋" w:eastAsia="仿宋"/>
          <w:color w:val="auto"/>
          <w:sz w:val="24"/>
          <w:highlight w:val="none"/>
        </w:rPr>
        <w:t>甲方有权要求乙方按时提交各阶段有关</w:t>
      </w:r>
      <w:r>
        <w:rPr>
          <w:rFonts w:hint="eastAsia" w:ascii="仿宋" w:hAnsi="仿宋" w:eastAsia="仿宋"/>
          <w:color w:val="auto"/>
          <w:sz w:val="24"/>
          <w:highlight w:val="none"/>
        </w:rPr>
        <w:t>安排计划</w:t>
      </w:r>
      <w:r>
        <w:rPr>
          <w:rFonts w:ascii="仿宋" w:hAnsi="仿宋" w:eastAsia="仿宋"/>
          <w:color w:val="auto"/>
          <w:sz w:val="24"/>
          <w:highlight w:val="none"/>
        </w:rPr>
        <w:t>，并有权</w:t>
      </w:r>
      <w:r>
        <w:rPr>
          <w:rFonts w:hint="eastAsia" w:ascii="仿宋" w:hAnsi="仿宋" w:eastAsia="仿宋"/>
          <w:color w:val="auto"/>
          <w:sz w:val="24"/>
          <w:highlight w:val="none"/>
        </w:rPr>
        <w:t>定期核对乙方提供货物数量、规格、质量等内容。甲方</w:t>
      </w:r>
      <w:r>
        <w:rPr>
          <w:rFonts w:ascii="仿宋" w:hAnsi="仿宋" w:eastAsia="仿宋"/>
          <w:color w:val="auto"/>
          <w:sz w:val="24"/>
          <w:highlight w:val="none"/>
        </w:rPr>
        <w:t>有权督促乙方工作并要求乙方</w:t>
      </w:r>
      <w:r>
        <w:rPr>
          <w:rFonts w:hint="eastAsia" w:ascii="仿宋" w:hAnsi="仿宋" w:eastAsia="仿宋"/>
          <w:color w:val="auto"/>
          <w:sz w:val="24"/>
          <w:highlight w:val="none"/>
        </w:rPr>
        <w:t>更</w:t>
      </w:r>
      <w:r>
        <w:rPr>
          <w:rFonts w:ascii="仿宋" w:hAnsi="仿宋" w:eastAsia="仿宋"/>
          <w:color w:val="auto"/>
          <w:sz w:val="24"/>
          <w:highlight w:val="none"/>
        </w:rPr>
        <w:t>换不符合要求的</w:t>
      </w:r>
      <w:r>
        <w:rPr>
          <w:rFonts w:hint="eastAsia" w:ascii="仿宋" w:hAnsi="仿宋" w:eastAsia="仿宋"/>
          <w:color w:val="auto"/>
          <w:sz w:val="24"/>
          <w:highlight w:val="none"/>
        </w:rPr>
        <w:t>货物</w:t>
      </w:r>
      <w:r>
        <w:rPr>
          <w:rFonts w:ascii="仿宋" w:hAnsi="仿宋" w:eastAsia="仿宋"/>
          <w:color w:val="auto"/>
          <w:sz w:val="24"/>
          <w:highlight w:val="none"/>
        </w:rPr>
        <w:t>。</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w:t>
      </w:r>
      <w:r>
        <w:rPr>
          <w:rFonts w:ascii="仿宋" w:hAnsi="仿宋" w:eastAsia="仿宋"/>
          <w:color w:val="auto"/>
          <w:sz w:val="24"/>
          <w:highlight w:val="none"/>
        </w:rPr>
        <w:t>3</w:t>
      </w:r>
      <w:r>
        <w:rPr>
          <w:rFonts w:hint="eastAsia" w:ascii="仿宋" w:hAnsi="仿宋" w:eastAsia="仿宋"/>
          <w:color w:val="auto"/>
          <w:sz w:val="24"/>
          <w:highlight w:val="none"/>
        </w:rPr>
        <w:t xml:space="preserve"> </w:t>
      </w:r>
      <w:r>
        <w:rPr>
          <w:rFonts w:ascii="仿宋" w:hAnsi="仿宋" w:eastAsia="仿宋"/>
          <w:color w:val="auto"/>
          <w:sz w:val="24"/>
          <w:highlight w:val="none"/>
        </w:rPr>
        <w:t>甲方</w:t>
      </w:r>
      <w:r>
        <w:rPr>
          <w:rFonts w:hint="eastAsia" w:ascii="仿宋" w:hAnsi="仿宋" w:eastAsia="仿宋"/>
          <w:color w:val="auto"/>
          <w:sz w:val="24"/>
          <w:highlight w:val="none"/>
        </w:rPr>
        <w:t>有权要求乙方对缺陷部分予以修复，并按合同约定享有货物保修及其他合同约定的权利。</w:t>
      </w:r>
    </w:p>
    <w:p>
      <w:pPr>
        <w:snapToGrid w:val="0"/>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4.4 甲方应当按照合同约定及时对交付的货物进行验收</w:t>
      </w:r>
      <w:r>
        <w:rPr>
          <w:rFonts w:hint="eastAsia" w:ascii="仿宋" w:hAnsi="仿宋" w:eastAsia="仿宋"/>
          <w:color w:val="auto"/>
          <w:sz w:val="24"/>
          <w:highlight w:val="none"/>
        </w:rPr>
        <w:t>，</w:t>
      </w:r>
      <w:r>
        <w:rPr>
          <w:rFonts w:hint="eastAsia" w:ascii="仿宋" w:hAnsi="仿宋" w:eastAsia="仿宋" w:cs="宋体"/>
          <w:color w:val="auto"/>
          <w:sz w:val="24"/>
          <w:highlight w:val="none"/>
        </w:rPr>
        <w:t>未</w:t>
      </w:r>
      <w:r>
        <w:rPr>
          <w:rFonts w:hint="eastAsia" w:ascii="仿宋" w:hAnsi="仿宋" w:eastAsia="仿宋"/>
          <w:color w:val="auto"/>
          <w:sz w:val="24"/>
          <w:highlight w:val="none"/>
        </w:rPr>
        <w:t>在</w:t>
      </w:r>
      <w:r>
        <w:rPr>
          <w:rFonts w:hint="eastAsia" w:ascii="仿宋" w:hAnsi="仿宋" w:eastAsia="仿宋" w:cs="宋体"/>
          <w:b/>
          <w:bCs/>
          <w:color w:val="auto"/>
          <w:sz w:val="24"/>
          <w:highlight w:val="none"/>
        </w:rPr>
        <w:t>【政府采购合同专用条款】</w:t>
      </w:r>
      <w:r>
        <w:rPr>
          <w:rFonts w:hint="eastAsia" w:ascii="仿宋" w:hAnsi="仿宋" w:eastAsia="仿宋" w:cs="宋体"/>
          <w:color w:val="auto"/>
          <w:sz w:val="24"/>
          <w:highlight w:val="none"/>
        </w:rPr>
        <w:t>约定的期限内对乙方履约提出任何异议或者向乙方作出任何说明的，</w:t>
      </w:r>
      <w:r>
        <w:rPr>
          <w:rFonts w:hint="eastAsia" w:ascii="仿宋" w:hAnsi="仿宋" w:eastAsia="仿宋"/>
          <w:color w:val="auto"/>
          <w:sz w:val="24"/>
          <w:highlight w:val="none"/>
        </w:rPr>
        <w:t>视为验收通过。</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w:t>
      </w:r>
      <w:r>
        <w:rPr>
          <w:rFonts w:ascii="仿宋" w:hAnsi="仿宋" w:eastAsia="仿宋"/>
          <w:color w:val="auto"/>
          <w:sz w:val="24"/>
          <w:highlight w:val="none"/>
        </w:rPr>
        <w:t xml:space="preserve">5 </w:t>
      </w:r>
      <w:r>
        <w:rPr>
          <w:rFonts w:hint="eastAsia" w:ascii="仿宋" w:hAnsi="仿宋" w:eastAsia="仿宋"/>
          <w:color w:val="auto"/>
          <w:sz w:val="24"/>
          <w:highlight w:val="none"/>
        </w:rPr>
        <w:t>甲方应当根据合同约定及时向乙方支付合同价款</w:t>
      </w:r>
      <w:r>
        <w:rPr>
          <w:rFonts w:ascii="仿宋" w:hAnsi="仿宋" w:eastAsia="仿宋"/>
          <w:color w:val="auto"/>
          <w:sz w:val="24"/>
          <w:highlight w:val="none"/>
        </w:rPr>
        <w:t>，不得以内部人员变更、履行内部付款流程等为由，拒绝或迟延支付。</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4.6</w:t>
      </w:r>
      <w:r>
        <w:rPr>
          <w:rFonts w:ascii="仿宋" w:hAnsi="仿宋" w:eastAsia="仿宋"/>
          <w:color w:val="auto"/>
          <w:sz w:val="24"/>
          <w:highlight w:val="none"/>
        </w:rPr>
        <w:t xml:space="preserve"> </w:t>
      </w:r>
      <w:r>
        <w:rPr>
          <w:rFonts w:hint="eastAsia" w:ascii="仿宋" w:hAnsi="仿宋" w:eastAsia="仿宋"/>
          <w:color w:val="auto"/>
          <w:sz w:val="24"/>
          <w:highlight w:val="none"/>
        </w:rPr>
        <w:t>国家法律法规规定及</w:t>
      </w:r>
      <w:r>
        <w:rPr>
          <w:rFonts w:hint="eastAsia" w:ascii="仿宋" w:hAnsi="仿宋" w:eastAsia="仿宋" w:cs="宋体"/>
          <w:b/>
          <w:bCs/>
          <w:color w:val="auto"/>
          <w:sz w:val="24"/>
          <w:highlight w:val="none"/>
        </w:rPr>
        <w:t>【政府采购合同专用条款】</w:t>
      </w:r>
      <w:r>
        <w:rPr>
          <w:rFonts w:hint="eastAsia" w:ascii="仿宋" w:hAnsi="仿宋" w:eastAsia="仿宋"/>
          <w:color w:val="auto"/>
          <w:sz w:val="24"/>
          <w:highlight w:val="none"/>
        </w:rPr>
        <w:t>约定应由甲方承担的其他义务和责任。</w:t>
      </w:r>
    </w:p>
    <w:p>
      <w:pPr>
        <w:autoSpaceDE w:val="0"/>
        <w:autoSpaceDN w:val="0"/>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5. 乙方的权利和义务</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5.1 </w:t>
      </w:r>
      <w:r>
        <w:rPr>
          <w:rFonts w:ascii="仿宋" w:hAnsi="仿宋" w:eastAsia="仿宋"/>
          <w:color w:val="auto"/>
          <w:sz w:val="24"/>
          <w:highlight w:val="none"/>
        </w:rPr>
        <w:t>签署合同后，乙方</w:t>
      </w:r>
      <w:r>
        <w:rPr>
          <w:rFonts w:hint="eastAsia" w:ascii="仿宋" w:hAnsi="仿宋" w:eastAsia="仿宋"/>
          <w:color w:val="auto"/>
          <w:sz w:val="24"/>
          <w:highlight w:val="none"/>
        </w:rPr>
        <w:t>应</w:t>
      </w:r>
      <w:r>
        <w:rPr>
          <w:rFonts w:ascii="仿宋" w:hAnsi="仿宋" w:eastAsia="仿宋"/>
          <w:color w:val="auto"/>
          <w:sz w:val="24"/>
          <w:highlight w:val="none"/>
        </w:rPr>
        <w:t>确定</w:t>
      </w:r>
      <w:r>
        <w:rPr>
          <w:rFonts w:hint="eastAsia" w:ascii="仿宋" w:hAnsi="仿宋" w:eastAsia="仿宋"/>
          <w:color w:val="auto"/>
          <w:sz w:val="24"/>
          <w:highlight w:val="none"/>
        </w:rPr>
        <w:t>项目负责人（或项目联系人）</w:t>
      </w:r>
      <w:r>
        <w:rPr>
          <w:rFonts w:ascii="仿宋" w:hAnsi="仿宋" w:eastAsia="仿宋"/>
          <w:color w:val="auto"/>
          <w:sz w:val="24"/>
          <w:highlight w:val="none"/>
        </w:rPr>
        <w:t>，负责与本合同有关的事务。</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w:t>
      </w:r>
      <w:r>
        <w:rPr>
          <w:rFonts w:ascii="仿宋" w:hAnsi="仿宋" w:eastAsia="仿宋"/>
          <w:color w:val="auto"/>
          <w:sz w:val="24"/>
          <w:highlight w:val="none"/>
        </w:rPr>
        <w:t>2 乙方应按照合同要求</w:t>
      </w:r>
      <w:r>
        <w:rPr>
          <w:rFonts w:hint="eastAsia" w:ascii="仿宋" w:hAnsi="仿宋" w:eastAsia="仿宋"/>
          <w:color w:val="auto"/>
          <w:sz w:val="24"/>
          <w:highlight w:val="none"/>
        </w:rPr>
        <w:t>履约</w:t>
      </w:r>
      <w:r>
        <w:rPr>
          <w:rFonts w:ascii="仿宋" w:hAnsi="仿宋" w:eastAsia="仿宋"/>
          <w:color w:val="auto"/>
          <w:sz w:val="24"/>
          <w:highlight w:val="none"/>
        </w:rPr>
        <w:t>，充分合理安排，确保</w:t>
      </w:r>
      <w:r>
        <w:rPr>
          <w:rFonts w:hint="eastAsia" w:ascii="仿宋" w:hAnsi="仿宋" w:eastAsia="仿宋"/>
          <w:color w:val="auto"/>
          <w:sz w:val="24"/>
          <w:highlight w:val="none"/>
        </w:rPr>
        <w:t>提供的货物及相关服务符合合同有关</w:t>
      </w:r>
      <w:r>
        <w:rPr>
          <w:rFonts w:ascii="仿宋" w:hAnsi="仿宋" w:eastAsia="仿宋"/>
          <w:color w:val="auto"/>
          <w:sz w:val="24"/>
          <w:highlight w:val="none"/>
        </w:rPr>
        <w:t>要求</w:t>
      </w:r>
      <w:r>
        <w:rPr>
          <w:rFonts w:hint="eastAsia" w:ascii="仿宋" w:hAnsi="仿宋" w:eastAsia="仿宋"/>
          <w:color w:val="auto"/>
          <w:sz w:val="24"/>
          <w:highlight w:val="none"/>
        </w:rPr>
        <w:t>。接受项目行业管理部门及政府有关部门的指导，配合甲方的履约检查及验收，并</w:t>
      </w:r>
      <w:r>
        <w:rPr>
          <w:rFonts w:ascii="仿宋" w:hAnsi="仿宋" w:eastAsia="仿宋"/>
          <w:color w:val="auto"/>
          <w:sz w:val="24"/>
          <w:highlight w:val="none"/>
        </w:rPr>
        <w:t>负责项目实施过程中的所有协调工作。</w:t>
      </w:r>
    </w:p>
    <w:p>
      <w:pPr>
        <w:pStyle w:val="25"/>
        <w:spacing w:line="400" w:lineRule="exact"/>
        <w:ind w:firstLine="422" w:firstLineChars="176"/>
        <w:rPr>
          <w:rFonts w:ascii="仿宋" w:hAnsi="仿宋" w:eastAsia="仿宋" w:cs="宋体"/>
          <w:color w:val="auto"/>
          <w:szCs w:val="24"/>
          <w:highlight w:val="none"/>
        </w:rPr>
      </w:pPr>
      <w:r>
        <w:rPr>
          <w:rFonts w:hint="eastAsia" w:ascii="仿宋" w:hAnsi="仿宋" w:eastAsia="仿宋"/>
          <w:color w:val="auto"/>
          <w:szCs w:val="24"/>
          <w:highlight w:val="none"/>
        </w:rPr>
        <w:t>5.</w:t>
      </w:r>
      <w:r>
        <w:rPr>
          <w:rFonts w:ascii="仿宋" w:hAnsi="仿宋" w:eastAsia="仿宋"/>
          <w:color w:val="auto"/>
          <w:szCs w:val="24"/>
          <w:highlight w:val="none"/>
        </w:rPr>
        <w:t>3</w:t>
      </w:r>
      <w:r>
        <w:rPr>
          <w:rFonts w:hint="eastAsia" w:ascii="仿宋" w:hAnsi="仿宋" w:eastAsia="仿宋"/>
          <w:color w:val="auto"/>
          <w:szCs w:val="24"/>
          <w:highlight w:val="none"/>
        </w:rPr>
        <w:t>乙方有权</w:t>
      </w:r>
      <w:r>
        <w:rPr>
          <w:rFonts w:hint="eastAsia" w:ascii="仿宋" w:hAnsi="仿宋" w:eastAsia="仿宋" w:cs="宋体"/>
          <w:color w:val="auto"/>
          <w:szCs w:val="24"/>
          <w:highlight w:val="none"/>
        </w:rPr>
        <w:t>根据合同约定向甲方收取合同价款。</w:t>
      </w:r>
    </w:p>
    <w:p>
      <w:pPr>
        <w:pStyle w:val="25"/>
        <w:spacing w:line="400" w:lineRule="exact"/>
        <w:ind w:firstLine="422" w:firstLineChars="176"/>
        <w:rPr>
          <w:rFonts w:ascii="仿宋" w:hAnsi="仿宋" w:eastAsia="仿宋" w:cs="宋体"/>
          <w:color w:val="auto"/>
          <w:szCs w:val="24"/>
          <w:highlight w:val="none"/>
        </w:rPr>
      </w:pPr>
      <w:r>
        <w:rPr>
          <w:rFonts w:hint="eastAsia" w:ascii="仿宋" w:hAnsi="仿宋" w:eastAsia="仿宋"/>
          <w:color w:val="auto"/>
          <w:szCs w:val="24"/>
          <w:highlight w:val="none"/>
        </w:rPr>
        <w:t>5.</w:t>
      </w:r>
      <w:r>
        <w:rPr>
          <w:rFonts w:ascii="仿宋" w:hAnsi="仿宋" w:eastAsia="仿宋"/>
          <w:color w:val="auto"/>
          <w:szCs w:val="24"/>
          <w:highlight w:val="none"/>
        </w:rPr>
        <w:t>4</w:t>
      </w:r>
      <w:r>
        <w:rPr>
          <w:rFonts w:hint="eastAsia" w:ascii="仿宋" w:hAnsi="仿宋" w:eastAsia="仿宋" w:cs="宋体"/>
          <w:color w:val="auto"/>
          <w:szCs w:val="24"/>
          <w:highlight w:val="none"/>
        </w:rPr>
        <w:t>国家法律法规规定</w:t>
      </w:r>
      <w:r>
        <w:rPr>
          <w:rFonts w:hint="eastAsia" w:ascii="仿宋" w:hAnsi="仿宋" w:eastAsia="仿宋"/>
          <w:color w:val="auto"/>
          <w:szCs w:val="24"/>
          <w:highlight w:val="none"/>
        </w:rPr>
        <w:t>及</w:t>
      </w:r>
      <w:r>
        <w:rPr>
          <w:rFonts w:hint="eastAsia" w:ascii="仿宋" w:hAnsi="仿宋" w:eastAsia="仿宋" w:cs="宋体"/>
          <w:b/>
          <w:bCs/>
          <w:color w:val="auto"/>
          <w:szCs w:val="24"/>
          <w:highlight w:val="none"/>
        </w:rPr>
        <w:t>【政府采购合同专用条款】</w:t>
      </w:r>
      <w:r>
        <w:rPr>
          <w:rFonts w:hint="eastAsia" w:ascii="仿宋" w:hAnsi="仿宋" w:eastAsia="仿宋" w:cs="宋体"/>
          <w:color w:val="auto"/>
          <w:szCs w:val="24"/>
          <w:highlight w:val="none"/>
        </w:rPr>
        <w:t>约定应由乙方承担的其他义务和责任。</w:t>
      </w:r>
    </w:p>
    <w:p>
      <w:pPr>
        <w:numPr>
          <w:ilvl w:val="0"/>
          <w:numId w:val="18"/>
        </w:numPr>
        <w:autoSpaceDE w:val="0"/>
        <w:autoSpaceDN w:val="0"/>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合同履行</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6.1 甲乙双方应当按照</w:t>
      </w:r>
      <w:r>
        <w:rPr>
          <w:rFonts w:hint="eastAsia" w:ascii="仿宋" w:hAnsi="仿宋" w:eastAsia="仿宋" w:cs="宋体"/>
          <w:b/>
          <w:bCs/>
          <w:color w:val="auto"/>
          <w:sz w:val="24"/>
          <w:highlight w:val="none"/>
        </w:rPr>
        <w:t>【政府采购合同专用条款】</w:t>
      </w:r>
      <w:r>
        <w:rPr>
          <w:rFonts w:hint="eastAsia" w:ascii="仿宋" w:hAnsi="仿宋" w:eastAsia="仿宋"/>
          <w:color w:val="auto"/>
          <w:sz w:val="24"/>
          <w:highlight w:val="none"/>
        </w:rPr>
        <w:t>约定顺序履行合同义务；如果没有先后顺序的，应当同时履行。</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7. 货物包装、运输、保险和交付要求</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7.1 本合同</w:t>
      </w:r>
      <w:r>
        <w:rPr>
          <w:rFonts w:hint="eastAsia" w:ascii="仿宋" w:hAnsi="仿宋" w:eastAsia="仿宋"/>
          <w:bCs/>
          <w:color w:val="auto"/>
          <w:sz w:val="24"/>
          <w:highlight w:val="none"/>
        </w:rPr>
        <w:t>涉及商品包装、快递包装的，</w:t>
      </w:r>
      <w:r>
        <w:rPr>
          <w:rFonts w:hint="eastAsia" w:ascii="仿宋" w:hAnsi="仿宋" w:eastAsia="仿宋"/>
          <w:color w:val="auto"/>
          <w:sz w:val="24"/>
          <w:highlight w:val="none"/>
        </w:rPr>
        <w:t>除</w:t>
      </w:r>
      <w:r>
        <w:rPr>
          <w:rFonts w:hint="eastAsia" w:ascii="仿宋" w:hAnsi="仿宋" w:eastAsia="仿宋"/>
          <w:b/>
          <w:color w:val="auto"/>
          <w:sz w:val="24"/>
          <w:highlight w:val="none"/>
        </w:rPr>
        <w:t>【政府采购合同专用条款】</w:t>
      </w:r>
      <w:r>
        <w:rPr>
          <w:rFonts w:hint="eastAsia" w:ascii="仿宋" w:hAnsi="仿宋" w:eastAsia="仿宋"/>
          <w:bCs/>
          <w:color w:val="auto"/>
          <w:sz w:val="24"/>
          <w:highlight w:val="none"/>
        </w:rPr>
        <w:t>另有约定外，</w:t>
      </w:r>
      <w:r>
        <w:rPr>
          <w:rFonts w:hint="eastAsia" w:ascii="仿宋" w:hAnsi="仿宋" w:eastAsia="仿宋"/>
          <w:color w:val="auto"/>
          <w:sz w:val="24"/>
          <w:highlight w:val="none"/>
        </w:rPr>
        <w:t>包装应适应远距离运输、防潮、防震、防锈和防野蛮装卸等要求，确保货物安全无损地运抵</w:t>
      </w:r>
      <w:r>
        <w:rPr>
          <w:rFonts w:hint="eastAsia" w:ascii="仿宋" w:hAnsi="仿宋" w:eastAsia="仿宋"/>
          <w:b/>
          <w:color w:val="auto"/>
          <w:sz w:val="24"/>
          <w:highlight w:val="none"/>
        </w:rPr>
        <w:t>【政府采购合同专用条款】</w:t>
      </w:r>
      <w:r>
        <w:rPr>
          <w:rFonts w:hint="eastAsia" w:ascii="仿宋" w:hAnsi="仿宋" w:eastAsia="仿宋"/>
          <w:bCs/>
          <w:color w:val="auto"/>
          <w:sz w:val="24"/>
          <w:highlight w:val="none"/>
        </w:rPr>
        <w:t>约定的</w:t>
      </w:r>
      <w:r>
        <w:rPr>
          <w:rFonts w:hint="eastAsia" w:ascii="仿宋" w:hAnsi="仿宋" w:eastAsia="仿宋"/>
          <w:color w:val="auto"/>
          <w:sz w:val="24"/>
          <w:highlight w:val="none"/>
        </w:rPr>
        <w:t>指定现场。</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7.2 除</w:t>
      </w:r>
      <w:r>
        <w:rPr>
          <w:rFonts w:hint="eastAsia" w:ascii="仿宋" w:hAnsi="仿宋" w:eastAsia="仿宋"/>
          <w:b/>
          <w:color w:val="auto"/>
          <w:sz w:val="24"/>
          <w:highlight w:val="none"/>
        </w:rPr>
        <w:t>【政府采购合同专用条款】</w:t>
      </w:r>
      <w:r>
        <w:rPr>
          <w:rFonts w:hint="eastAsia" w:ascii="仿宋" w:hAnsi="仿宋" w:eastAsia="仿宋"/>
          <w:bCs/>
          <w:color w:val="auto"/>
          <w:sz w:val="24"/>
          <w:highlight w:val="none"/>
        </w:rPr>
        <w:t>另有约定外，</w:t>
      </w:r>
      <w:r>
        <w:rPr>
          <w:rFonts w:hint="eastAsia" w:ascii="仿宋" w:hAnsi="仿宋" w:eastAsia="仿宋"/>
          <w:color w:val="auto"/>
          <w:sz w:val="24"/>
          <w:highlight w:val="none"/>
        </w:rPr>
        <w:t>乙方负责办理将货物运抵本合同规定的交货地点，并装卸、交付至甲方的一切运输事项，相关费用应包含在合同价款中。</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7.3 货物保险要求按</w:t>
      </w:r>
      <w:r>
        <w:rPr>
          <w:rFonts w:hint="eastAsia" w:ascii="仿宋" w:hAnsi="仿宋" w:eastAsia="仿宋"/>
          <w:b/>
          <w:color w:val="auto"/>
          <w:sz w:val="24"/>
          <w:highlight w:val="none"/>
        </w:rPr>
        <w:t>【政府采购合同专用条款】</w:t>
      </w:r>
      <w:r>
        <w:rPr>
          <w:rFonts w:hint="eastAsia" w:ascii="仿宋" w:hAnsi="仿宋" w:eastAsia="仿宋"/>
          <w:bCs/>
          <w:color w:val="auto"/>
          <w:sz w:val="24"/>
          <w:highlight w:val="none"/>
        </w:rPr>
        <w:t>规定执行</w:t>
      </w:r>
      <w:r>
        <w:rPr>
          <w:rFonts w:hint="eastAsia" w:ascii="仿宋" w:hAnsi="仿宋" w:eastAsia="仿宋"/>
          <w:color w:val="auto"/>
          <w:sz w:val="24"/>
          <w:highlight w:val="none"/>
        </w:rPr>
        <w:t>。</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7.5 </w:t>
      </w:r>
      <w:r>
        <w:rPr>
          <w:rFonts w:hint="eastAsia" w:ascii="仿宋" w:hAnsi="仿宋" w:eastAsia="仿宋" w:cs="宋体"/>
          <w:color w:val="auto"/>
          <w:sz w:val="24"/>
          <w:highlight w:val="none"/>
        </w:rPr>
        <w:t>乙方在运输到达之前应提前通知甲方，并提示货物运输装卸的注意事项，甲方配合乙方做好货物的接收工作。</w:t>
      </w:r>
    </w:p>
    <w:p>
      <w:pPr>
        <w:pStyle w:val="963"/>
        <w:ind w:firstLine="480"/>
        <w:rPr>
          <w:rFonts w:ascii="仿宋" w:hAnsi="仿宋" w:eastAsia="仿宋"/>
          <w:color w:val="auto"/>
          <w:sz w:val="24"/>
          <w:szCs w:val="24"/>
          <w:highlight w:val="none"/>
        </w:rPr>
      </w:pPr>
      <w:r>
        <w:rPr>
          <w:rFonts w:hint="eastAsia" w:ascii="仿宋" w:hAnsi="仿宋" w:eastAsia="仿宋" w:cs="Times New Roman"/>
          <w:color w:val="auto"/>
          <w:kern w:val="2"/>
          <w:sz w:val="24"/>
          <w:szCs w:val="24"/>
          <w:highlight w:val="none"/>
        </w:rPr>
        <w:t>7.6 如因包装、运输问题导致货物损毁、丢失或者品质下降，甲方有权要求降价、换货、拒收部分或整批货物，由此产生的费用和损失，均由乙方承担。</w:t>
      </w:r>
    </w:p>
    <w:p>
      <w:pPr>
        <w:snapToGrid w:val="0"/>
        <w:spacing w:line="400" w:lineRule="exact"/>
        <w:jc w:val="left"/>
        <w:rPr>
          <w:rFonts w:ascii="仿宋" w:hAnsi="仿宋" w:eastAsia="仿宋"/>
          <w:b/>
          <w:color w:val="auto"/>
          <w:sz w:val="24"/>
          <w:highlight w:val="none"/>
        </w:rPr>
      </w:pPr>
      <w:r>
        <w:rPr>
          <w:rFonts w:hint="eastAsia" w:ascii="仿宋" w:hAnsi="仿宋" w:eastAsia="仿宋"/>
          <w:b/>
          <w:color w:val="auto"/>
          <w:sz w:val="24"/>
          <w:highlight w:val="none"/>
        </w:rPr>
        <w:t>8. 质量标准和保证</w:t>
      </w:r>
    </w:p>
    <w:p>
      <w:pPr>
        <w:pStyle w:val="34"/>
        <w:snapToGrid w:val="0"/>
        <w:spacing w:line="400" w:lineRule="exact"/>
        <w:ind w:firstLine="480" w:firstLineChars="200"/>
        <w:jc w:val="left"/>
        <w:rPr>
          <w:rFonts w:ascii="仿宋" w:hAnsi="仿宋" w:eastAsia="仿宋"/>
          <w:b/>
          <w:color w:val="auto"/>
          <w:sz w:val="24"/>
          <w:szCs w:val="24"/>
          <w:highlight w:val="none"/>
        </w:rPr>
      </w:pPr>
      <w:r>
        <w:rPr>
          <w:rFonts w:hint="eastAsia" w:ascii="仿宋" w:hAnsi="仿宋" w:eastAsia="仿宋"/>
          <w:color w:val="auto"/>
          <w:sz w:val="24"/>
          <w:szCs w:val="24"/>
          <w:highlight w:val="none"/>
        </w:rPr>
        <w:t>8.1 质量标准</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（1）本合同下提供的货物应符合合同</w:t>
      </w:r>
      <w:r>
        <w:rPr>
          <w:rFonts w:hint="eastAsia" w:ascii="仿宋" w:hAnsi="仿宋" w:eastAsia="仿宋" w:cs="宋体"/>
          <w:color w:val="auto"/>
          <w:sz w:val="24"/>
          <w:highlight w:val="none"/>
        </w:rPr>
        <w:t>约定的品牌、规格型号、技术性能、配置、质量、数量等要求。</w:t>
      </w:r>
      <w:r>
        <w:rPr>
          <w:rFonts w:hint="eastAsia" w:ascii="仿宋" w:hAnsi="仿宋" w:eastAsia="仿宋"/>
          <w:color w:val="auto"/>
          <w:sz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4"/>
        <w:snapToGrid w:val="0"/>
        <w:spacing w:line="400" w:lineRule="exact"/>
        <w:ind w:firstLine="480" w:firstLineChars="200"/>
        <w:jc w:val="left"/>
        <w:rPr>
          <w:rFonts w:ascii="仿宋" w:hAnsi="仿宋" w:eastAsia="仿宋"/>
          <w:color w:val="auto"/>
          <w:sz w:val="24"/>
          <w:szCs w:val="24"/>
          <w:highlight w:val="none"/>
        </w:rPr>
      </w:pPr>
      <w:r>
        <w:rPr>
          <w:rFonts w:hint="eastAsia" w:ascii="仿宋" w:hAnsi="仿宋" w:eastAsia="仿宋"/>
          <w:color w:val="auto"/>
          <w:sz w:val="24"/>
          <w:szCs w:val="24"/>
          <w:highlight w:val="none"/>
        </w:rPr>
        <w:t>（2）采用中华人民共和国法定计量单位。</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（3）乙方所提供的货物应符合国家有关安全、环保、卫生的规定。</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8.2 保证</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（1）乙方应保证提供的货物完全符合合同规定的质量、规格和性能要求。乙方应保证货物在正确安装、正常使用和保养条件下，</w:t>
      </w:r>
      <w:r>
        <w:rPr>
          <w:rFonts w:hint="eastAsia" w:ascii="仿宋" w:hAnsi="仿宋" w:eastAsia="仿宋" w:cs="宋体"/>
          <w:color w:val="auto"/>
          <w:sz w:val="24"/>
          <w:highlight w:val="none"/>
        </w:rPr>
        <w:t>在其使用寿命期内具备合同约定的性能</w:t>
      </w:r>
      <w:r>
        <w:rPr>
          <w:rFonts w:hint="eastAsia" w:ascii="仿宋" w:hAnsi="仿宋" w:eastAsia="仿宋"/>
          <w:color w:val="auto"/>
          <w:sz w:val="24"/>
          <w:highlight w:val="none"/>
        </w:rPr>
        <w:t>。存在质量保证期的，货物最终交付验收合格后在</w:t>
      </w:r>
      <w:r>
        <w:rPr>
          <w:rFonts w:hint="eastAsia" w:ascii="仿宋" w:hAnsi="仿宋" w:eastAsia="仿宋"/>
          <w:b/>
          <w:color w:val="auto"/>
          <w:sz w:val="24"/>
          <w:highlight w:val="none"/>
        </w:rPr>
        <w:t>【政府采购合同专用条款】</w:t>
      </w:r>
      <w:r>
        <w:rPr>
          <w:rFonts w:hint="eastAsia" w:ascii="仿宋" w:hAnsi="仿宋" w:eastAsia="仿宋"/>
          <w:color w:val="auto"/>
          <w:sz w:val="24"/>
          <w:highlight w:val="none"/>
        </w:rPr>
        <w:t>规定或乙方书面承诺（两者以较长的为准）的质量保证期内，本保证保持有效。</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（2）在质量保证期内所发现的缺陷，甲方应尽快以书面形式通知乙方。</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（3）乙方收到通知后，应在</w:t>
      </w:r>
      <w:r>
        <w:rPr>
          <w:rFonts w:hint="eastAsia" w:ascii="仿宋" w:hAnsi="仿宋" w:eastAsia="仿宋"/>
          <w:b/>
          <w:color w:val="auto"/>
          <w:sz w:val="24"/>
          <w:highlight w:val="none"/>
        </w:rPr>
        <w:t>【政府采购合同专用条款】</w:t>
      </w:r>
      <w:r>
        <w:rPr>
          <w:rFonts w:hint="eastAsia" w:ascii="仿宋" w:hAnsi="仿宋" w:eastAsia="仿宋"/>
          <w:color w:val="auto"/>
          <w:sz w:val="24"/>
          <w:highlight w:val="none"/>
        </w:rPr>
        <w:t>规定的响应时间内以合理的速度免费维修或更换有缺陷的货物或部件。</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（4）在质量保证期内，如果货物的质量或规格与合同不符，或证实货物是有缺陷的，包括潜在的缺陷或使用不符合要求的材料等，甲方可以根据本合同第15.1条规定以书面形式追究乙方的违约责任。</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9. 权利瑕疵担保</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9.1 乙方保证对其出售的货物享有合法的权利。</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9.2 </w:t>
      </w:r>
      <w:r>
        <w:rPr>
          <w:rFonts w:hint="eastAsia" w:ascii="仿宋" w:hAnsi="仿宋" w:eastAsia="仿宋" w:cs="宋体"/>
          <w:color w:val="auto"/>
          <w:sz w:val="24"/>
          <w:highlight w:val="none"/>
        </w:rPr>
        <w:t>乙方保证在交付的货物上不存在抵押权等担保物权。</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9.3 如甲方使用上述货物构成对第三人侵权的，则由乙方承担全部责任。</w:t>
      </w:r>
    </w:p>
    <w:p>
      <w:pPr>
        <w:autoSpaceDE w:val="0"/>
        <w:autoSpaceDN w:val="0"/>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10. 知识产权保护</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10.1 乙方对其所销售的货物应当享有知识产权或经权利人合法授权，保证没有侵犯任何第三人的知识产权等权利。</w:t>
      </w:r>
      <w:bookmarkStart w:id="45" w:name="_Hlk163047038"/>
      <w:r>
        <w:rPr>
          <w:rFonts w:hint="eastAsia" w:ascii="仿宋" w:hAnsi="仿宋" w:eastAsia="仿宋" w:cs="宋体"/>
          <w:color w:val="auto"/>
          <w:sz w:val="24"/>
          <w:highlight w:val="none"/>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olor w:val="auto"/>
          <w:sz w:val="24"/>
          <w:highlight w:val="none"/>
        </w:rPr>
        <w:t>。</w:t>
      </w:r>
    </w:p>
    <w:p>
      <w:pPr>
        <w:autoSpaceDE w:val="0"/>
        <w:autoSpaceDN w:val="0"/>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11. 保密义务</w:t>
      </w:r>
    </w:p>
    <w:p>
      <w:pPr>
        <w:autoSpaceDE w:val="0"/>
        <w:autoSpaceDN w:val="0"/>
        <w:snapToGrid w:val="0"/>
        <w:spacing w:line="400" w:lineRule="exact"/>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宋体"/>
          <w:b/>
          <w:bCs/>
          <w:color w:val="auto"/>
          <w:sz w:val="24"/>
          <w:highlight w:val="none"/>
        </w:rPr>
        <w:t>【政府采购合同专用条款】</w:t>
      </w:r>
      <w:r>
        <w:rPr>
          <w:rFonts w:hint="eastAsia" w:ascii="仿宋" w:hAnsi="仿宋" w:eastAsia="仿宋" w:cs="宋体"/>
          <w:color w:val="auto"/>
          <w:sz w:val="24"/>
          <w:highlight w:val="none"/>
        </w:rPr>
        <w:t>中约定。</w:t>
      </w:r>
    </w:p>
    <w:p>
      <w:pPr>
        <w:autoSpaceDE w:val="0"/>
        <w:autoSpaceDN w:val="0"/>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12. 合同价款支付</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12.1 合同价款支付按照国库集中支付制度及财政管理相关规定执行。</w:t>
      </w:r>
    </w:p>
    <w:p>
      <w:pPr>
        <w:pStyle w:val="5"/>
        <w:spacing w:line="400" w:lineRule="exact"/>
        <w:ind w:firstLine="480" w:firstLineChars="200"/>
        <w:rPr>
          <w:rFonts w:ascii="仿宋" w:eastAsia="仿宋"/>
          <w:color w:val="auto"/>
          <w:sz w:val="24"/>
          <w:szCs w:val="24"/>
          <w:highlight w:val="none"/>
        </w:rPr>
      </w:pPr>
      <w:r>
        <w:rPr>
          <w:rFonts w:hint="eastAsia" w:ascii="仿宋" w:eastAsia="仿宋"/>
          <w:b w:val="0"/>
          <w:bCs w:val="0"/>
          <w:color w:val="auto"/>
          <w:sz w:val="24"/>
          <w:szCs w:val="24"/>
          <w:highlight w:val="none"/>
          <w:lang w:val="en-US"/>
        </w:rPr>
        <w:t xml:space="preserve">12.2 </w:t>
      </w:r>
      <w:r>
        <w:rPr>
          <w:rFonts w:hint="eastAsia" w:ascii="仿宋" w:eastAsia="仿宋"/>
          <w:b w:val="0"/>
          <w:bCs w:val="0"/>
          <w:color w:val="auto"/>
          <w:sz w:val="24"/>
          <w:szCs w:val="24"/>
          <w:highlight w:val="none"/>
        </w:rPr>
        <w:t>对于满足合同约定支付条件的，</w:t>
      </w:r>
      <w:r>
        <w:rPr>
          <w:rFonts w:hint="eastAsia" w:ascii="仿宋" w:eastAsia="仿宋"/>
          <w:b w:val="0"/>
          <w:bCs w:val="0"/>
          <w:color w:val="auto"/>
          <w:sz w:val="24"/>
          <w:szCs w:val="24"/>
          <w:highlight w:val="none"/>
          <w:lang w:val="en-US"/>
        </w:rPr>
        <w:t>甲方</w:t>
      </w:r>
      <w:r>
        <w:rPr>
          <w:rFonts w:hint="eastAsia" w:ascii="仿宋" w:eastAsia="仿宋"/>
          <w:b w:val="0"/>
          <w:bCs w:val="0"/>
          <w:color w:val="auto"/>
          <w:sz w:val="24"/>
          <w:szCs w:val="24"/>
          <w:highlight w:val="none"/>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b w:val="0"/>
          <w:bCs w:val="0"/>
          <w:color w:val="auto"/>
          <w:sz w:val="24"/>
          <w:szCs w:val="24"/>
          <w:highlight w:val="none"/>
          <w:lang w:val="en-US"/>
        </w:rPr>
        <w:t>乙方</w:t>
      </w:r>
      <w:r>
        <w:rPr>
          <w:rFonts w:hint="eastAsia" w:ascii="仿宋" w:eastAsia="仿宋"/>
          <w:b w:val="0"/>
          <w:bCs w:val="0"/>
          <w:color w:val="auto"/>
          <w:sz w:val="24"/>
          <w:szCs w:val="24"/>
          <w:highlight w:val="none"/>
        </w:rPr>
        <w:t>付款的条件。具体合同价款支付时间在【</w:t>
      </w:r>
      <w:r>
        <w:rPr>
          <w:rFonts w:hint="eastAsia" w:ascii="仿宋" w:eastAsia="仿宋"/>
          <w:color w:val="auto"/>
          <w:sz w:val="24"/>
          <w:szCs w:val="24"/>
          <w:highlight w:val="none"/>
        </w:rPr>
        <w:t>政府采购合同专用条款</w:t>
      </w:r>
      <w:r>
        <w:rPr>
          <w:rFonts w:hint="eastAsia" w:ascii="仿宋" w:eastAsia="仿宋"/>
          <w:b w:val="0"/>
          <w:bCs w:val="0"/>
          <w:color w:val="auto"/>
          <w:sz w:val="24"/>
          <w:szCs w:val="24"/>
          <w:highlight w:val="none"/>
        </w:rPr>
        <w:t>】中约定。</w:t>
      </w:r>
    </w:p>
    <w:p>
      <w:pPr>
        <w:pStyle w:val="25"/>
        <w:spacing w:line="400" w:lineRule="exact"/>
        <w:rPr>
          <w:rFonts w:ascii="仿宋" w:hAnsi="仿宋" w:eastAsia="仿宋"/>
          <w:b/>
          <w:bCs/>
          <w:color w:val="auto"/>
          <w:szCs w:val="24"/>
          <w:highlight w:val="none"/>
        </w:rPr>
      </w:pPr>
      <w:r>
        <w:rPr>
          <w:rFonts w:hint="eastAsia" w:ascii="仿宋" w:hAnsi="仿宋" w:eastAsia="仿宋"/>
          <w:b/>
          <w:bCs/>
          <w:color w:val="auto"/>
          <w:szCs w:val="24"/>
          <w:highlight w:val="none"/>
        </w:rPr>
        <w:t>13.</w:t>
      </w:r>
      <w:r>
        <w:rPr>
          <w:rFonts w:hint="eastAsia" w:ascii="仿宋" w:hAnsi="仿宋" w:eastAsia="仿宋"/>
          <w:b/>
          <w:bCs/>
          <w:color w:val="auto"/>
          <w:szCs w:val="24"/>
          <w:highlight w:val="none"/>
          <w:lang w:val="en-US"/>
        </w:rPr>
        <w:t xml:space="preserve"> </w:t>
      </w:r>
      <w:r>
        <w:rPr>
          <w:rFonts w:hint="eastAsia" w:ascii="仿宋" w:hAnsi="仿宋" w:eastAsia="仿宋"/>
          <w:b/>
          <w:bCs/>
          <w:color w:val="auto"/>
          <w:szCs w:val="24"/>
          <w:highlight w:val="none"/>
        </w:rPr>
        <w:t>履约保证金</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13.1 </w:t>
      </w:r>
      <w:r>
        <w:rPr>
          <w:rFonts w:hint="eastAsia" w:ascii="仿宋" w:hAnsi="仿宋" w:eastAsia="仿宋" w:cs="宋体"/>
          <w:color w:val="auto"/>
          <w:sz w:val="24"/>
          <w:highlight w:val="none"/>
        </w:rPr>
        <w:t>乙方应当以支票、汇票、本票或者金融机构、担保机构出具的保函等非现金形式提交。</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13.2 如果乙方出现</w:t>
      </w:r>
      <w:r>
        <w:rPr>
          <w:rFonts w:hint="eastAsia" w:ascii="仿宋" w:hAnsi="仿宋" w:eastAsia="仿宋" w:cs="宋体"/>
          <w:b/>
          <w:bCs/>
          <w:color w:val="auto"/>
          <w:sz w:val="24"/>
          <w:highlight w:val="none"/>
        </w:rPr>
        <w:t>【政府采购合同专用条款】</w:t>
      </w:r>
      <w:r>
        <w:rPr>
          <w:rFonts w:hint="eastAsia" w:ascii="仿宋" w:hAnsi="仿宋" w:eastAsia="仿宋" w:cs="宋体"/>
          <w:color w:val="auto"/>
          <w:sz w:val="24"/>
          <w:highlight w:val="none"/>
        </w:rPr>
        <w:t>约定情形的</w:t>
      </w:r>
      <w:r>
        <w:rPr>
          <w:rFonts w:hint="eastAsia" w:ascii="仿宋" w:hAnsi="仿宋" w:eastAsia="仿宋"/>
          <w:color w:val="auto"/>
          <w:sz w:val="24"/>
          <w:highlight w:val="none"/>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ascii="仿宋" w:hAnsi="仿宋" w:eastAsia="仿宋"/>
          <w:color w:val="auto"/>
          <w:sz w:val="24"/>
          <w:highlight w:val="none"/>
        </w:rPr>
      </w:pPr>
      <w:r>
        <w:rPr>
          <w:rFonts w:hint="eastAsia" w:ascii="仿宋" w:hAnsi="仿宋" w:eastAsia="仿宋"/>
          <w:color w:val="auto"/>
          <w:sz w:val="24"/>
          <w:highlight w:val="none"/>
        </w:rPr>
        <w:t>13.3 甲方在项目通过验收后按照</w:t>
      </w:r>
      <w:r>
        <w:rPr>
          <w:rFonts w:hint="eastAsia" w:ascii="仿宋" w:hAnsi="仿宋" w:eastAsia="仿宋"/>
          <w:b/>
          <w:color w:val="auto"/>
          <w:sz w:val="24"/>
          <w:highlight w:val="none"/>
        </w:rPr>
        <w:t>【政府采购合同专用条款】</w:t>
      </w:r>
      <w:r>
        <w:rPr>
          <w:rFonts w:hint="eastAsia" w:ascii="仿宋" w:hAnsi="仿宋" w:eastAsia="仿宋"/>
          <w:color w:val="auto"/>
          <w:sz w:val="24"/>
          <w:highlight w:val="none"/>
        </w:rPr>
        <w:t>规定的时间内将履约保证金退还乙方；逾期退还的，乙方可要求甲方支付违约金，违约金按照</w:t>
      </w:r>
      <w:r>
        <w:rPr>
          <w:rFonts w:hint="eastAsia" w:ascii="仿宋" w:hAnsi="仿宋" w:eastAsia="仿宋"/>
          <w:b/>
          <w:color w:val="auto"/>
          <w:sz w:val="24"/>
          <w:highlight w:val="none"/>
        </w:rPr>
        <w:t>【政府采购合同专用条款】</w:t>
      </w:r>
      <w:r>
        <w:rPr>
          <w:rFonts w:hint="eastAsia" w:ascii="仿宋" w:hAnsi="仿宋" w:eastAsia="仿宋"/>
          <w:color w:val="auto"/>
          <w:sz w:val="24"/>
          <w:highlight w:val="none"/>
        </w:rPr>
        <w:t>规定支付。</w:t>
      </w:r>
    </w:p>
    <w:p>
      <w:pPr>
        <w:autoSpaceDE w:val="0"/>
        <w:autoSpaceDN w:val="0"/>
        <w:snapToGrid w:val="0"/>
        <w:spacing w:line="400" w:lineRule="exact"/>
        <w:jc w:val="left"/>
        <w:rPr>
          <w:rFonts w:ascii="仿宋" w:hAnsi="仿宋" w:eastAsia="仿宋"/>
          <w:b/>
          <w:color w:val="auto"/>
          <w:sz w:val="24"/>
          <w:highlight w:val="none"/>
        </w:rPr>
      </w:pPr>
      <w:r>
        <w:rPr>
          <w:rFonts w:hint="eastAsia" w:ascii="仿宋" w:hAnsi="仿宋" w:eastAsia="仿宋"/>
          <w:b/>
          <w:bCs/>
          <w:color w:val="auto"/>
          <w:sz w:val="24"/>
          <w:highlight w:val="none"/>
        </w:rPr>
        <w:t xml:space="preserve">14. </w:t>
      </w:r>
      <w:r>
        <w:rPr>
          <w:rFonts w:hint="eastAsia" w:ascii="仿宋" w:hAnsi="仿宋" w:eastAsia="仿宋"/>
          <w:b/>
          <w:color w:val="auto"/>
          <w:sz w:val="24"/>
          <w:highlight w:val="none"/>
        </w:rPr>
        <w:t>售后服务</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14.1 除项目不涉及或采购活动中明确约定无须承担外，乙方还应提供下列服务：</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（1）货物的现场移动、安装、调试、启动监督及技术支持；</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（2）提供货物组装和维修所需的专用工具和辅助材料；</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（3）在</w:t>
      </w:r>
      <w:r>
        <w:rPr>
          <w:rFonts w:hint="eastAsia" w:ascii="仿宋" w:hAnsi="仿宋" w:eastAsia="仿宋" w:cs="宋体"/>
          <w:b/>
          <w:bCs/>
          <w:color w:val="auto"/>
          <w:sz w:val="24"/>
          <w:highlight w:val="none"/>
        </w:rPr>
        <w:t>【政府采购合同专用条款】</w:t>
      </w:r>
      <w:r>
        <w:rPr>
          <w:rFonts w:hint="eastAsia" w:ascii="仿宋" w:hAnsi="仿宋" w:eastAsia="仿宋"/>
          <w:color w:val="auto"/>
          <w:sz w:val="24"/>
          <w:highlight w:val="none"/>
        </w:rPr>
        <w:t>约定的期限内对所有的货物实施运行监督、维修，但前提条件是该服务并不能免除乙方在质量保证期内所承担的义务；</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（4）在制造商所在地或指定现场就货物的安装、启动、运营、维护、废弃处置等对甲方操作人员进行培训</w:t>
      </w:r>
      <w:r>
        <w:rPr>
          <w:rFonts w:hint="eastAsia" w:ascii="仿宋" w:hAnsi="仿宋" w:eastAsia="仿宋" w:cs="宋体"/>
          <w:color w:val="auto"/>
          <w:sz w:val="24"/>
          <w:highlight w:val="none"/>
        </w:rPr>
        <w:t>；</w:t>
      </w:r>
    </w:p>
    <w:p>
      <w:pPr>
        <w:pStyle w:val="963"/>
        <w:ind w:firstLine="48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（5）依照法律、行政法规的规定或者按照</w:t>
      </w:r>
      <w:r>
        <w:rPr>
          <w:rFonts w:hint="eastAsia" w:ascii="仿宋" w:hAnsi="仿宋" w:eastAsia="仿宋" w:cs="宋体"/>
          <w:b/>
          <w:bCs/>
          <w:color w:val="auto"/>
          <w:sz w:val="24"/>
          <w:szCs w:val="24"/>
          <w:highlight w:val="none"/>
        </w:rPr>
        <w:t>【政府采购合同专用条款】</w:t>
      </w:r>
      <w:r>
        <w:rPr>
          <w:rFonts w:hint="eastAsia" w:ascii="仿宋" w:hAnsi="仿宋" w:eastAsia="仿宋" w:cs="宋体"/>
          <w:color w:val="auto"/>
          <w:sz w:val="24"/>
          <w:szCs w:val="24"/>
          <w:highlight w:val="none"/>
        </w:rPr>
        <w:t>约定，货物在有效使用年限届满后应予回收的，乙方负有自行或者委托第三人对货物予以回收的义务；</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w:t>
      </w:r>
      <w:r>
        <w:rPr>
          <w:rFonts w:hint="eastAsia" w:ascii="仿宋" w:hAnsi="仿宋" w:eastAsia="仿宋"/>
          <w:b/>
          <w:color w:val="auto"/>
          <w:sz w:val="24"/>
          <w:highlight w:val="none"/>
        </w:rPr>
        <w:t>【政府采购合同专用条款】</w:t>
      </w:r>
      <w:r>
        <w:rPr>
          <w:rFonts w:hint="eastAsia" w:ascii="仿宋" w:hAnsi="仿宋" w:eastAsia="仿宋"/>
          <w:color w:val="auto"/>
          <w:sz w:val="24"/>
          <w:highlight w:val="none"/>
        </w:rPr>
        <w:t>规定由乙方提供的其他服务。</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14.2 乙方提供的售后服务的费用已包含在合同价款中，甲方不再另行支付。</w:t>
      </w:r>
    </w:p>
    <w:p>
      <w:pPr>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15. 违约责任</w:t>
      </w:r>
    </w:p>
    <w:p>
      <w:pPr>
        <w:snapToGrid w:val="0"/>
        <w:spacing w:line="400" w:lineRule="exact"/>
        <w:ind w:firstLine="480" w:firstLineChars="200"/>
        <w:jc w:val="left"/>
        <w:rPr>
          <w:rFonts w:ascii="仿宋" w:hAnsi="仿宋" w:eastAsia="仿宋"/>
          <w:bCs/>
          <w:color w:val="auto"/>
          <w:sz w:val="24"/>
          <w:highlight w:val="none"/>
        </w:rPr>
      </w:pPr>
      <w:r>
        <w:rPr>
          <w:rFonts w:hint="eastAsia" w:ascii="仿宋" w:hAnsi="仿宋" w:eastAsia="仿宋"/>
          <w:bCs/>
          <w:color w:val="auto"/>
          <w:sz w:val="24"/>
          <w:highlight w:val="none"/>
        </w:rPr>
        <w:t>15.1质量瑕疵的违约责任</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乙方提供的产品不符合合同约定的质量标准或存在产品质量缺陷，甲方有权要求乙方根据</w:t>
      </w:r>
      <w:r>
        <w:rPr>
          <w:rFonts w:hint="eastAsia" w:ascii="仿宋" w:hAnsi="仿宋" w:eastAsia="仿宋"/>
          <w:b/>
          <w:color w:val="auto"/>
          <w:sz w:val="24"/>
          <w:highlight w:val="none"/>
        </w:rPr>
        <w:t>【政府采购合同专用条款】</w:t>
      </w:r>
      <w:r>
        <w:rPr>
          <w:rFonts w:hint="eastAsia" w:ascii="仿宋" w:hAnsi="仿宋" w:eastAsia="仿宋"/>
          <w:bCs/>
          <w:color w:val="auto"/>
          <w:sz w:val="24"/>
          <w:highlight w:val="none"/>
        </w:rPr>
        <w:t>要求</w:t>
      </w:r>
      <w:r>
        <w:rPr>
          <w:rFonts w:hint="eastAsia" w:ascii="仿宋" w:hAnsi="仿宋" w:eastAsia="仿宋"/>
          <w:color w:val="auto"/>
          <w:sz w:val="24"/>
          <w:highlight w:val="none"/>
        </w:rPr>
        <w:t>及时修理、重作、更换，并承担由此给甲方造成的损失。</w:t>
      </w:r>
    </w:p>
    <w:p>
      <w:pPr>
        <w:autoSpaceDE w:val="0"/>
        <w:autoSpaceDN w:val="0"/>
        <w:snapToGrid w:val="0"/>
        <w:spacing w:line="400" w:lineRule="exact"/>
        <w:ind w:firstLine="480" w:firstLineChars="200"/>
        <w:jc w:val="left"/>
        <w:rPr>
          <w:rFonts w:ascii="仿宋" w:hAnsi="仿宋" w:eastAsia="仿宋"/>
          <w:bCs/>
          <w:color w:val="auto"/>
          <w:sz w:val="24"/>
          <w:highlight w:val="none"/>
        </w:rPr>
      </w:pPr>
      <w:r>
        <w:rPr>
          <w:rFonts w:hint="eastAsia" w:ascii="仿宋" w:hAnsi="仿宋" w:eastAsia="仿宋"/>
          <w:bCs/>
          <w:color w:val="auto"/>
          <w:sz w:val="24"/>
          <w:highlight w:val="none"/>
        </w:rPr>
        <w:t>15.2 迟延交货的违约责任</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b/>
          <w:color w:val="auto"/>
          <w:sz w:val="24"/>
          <w:highlight w:val="none"/>
        </w:rPr>
        <w:t>【政府采购合同专用条款】</w:t>
      </w:r>
      <w:r>
        <w:rPr>
          <w:rFonts w:hint="eastAsia" w:ascii="仿宋" w:hAnsi="仿宋" w:eastAsia="仿宋"/>
          <w:color w:val="auto"/>
          <w:sz w:val="24"/>
          <w:highlight w:val="none"/>
        </w:rPr>
        <w:t>规定执行。如果涉及公共利益，且赔偿金额无法弥补公共利益损失，甲方可要求继续履行或者采取其他补救措施。</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15.3 迟延支付的违约责任</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甲方存在迟延支付乙方合同款项的，应当承担</w:t>
      </w:r>
      <w:r>
        <w:rPr>
          <w:rFonts w:hint="eastAsia" w:ascii="仿宋" w:hAnsi="仿宋" w:eastAsia="仿宋"/>
          <w:b/>
          <w:bCs/>
          <w:color w:val="auto"/>
          <w:sz w:val="24"/>
          <w:highlight w:val="none"/>
        </w:rPr>
        <w:t>【政府采购合同专用条款】</w:t>
      </w:r>
      <w:r>
        <w:rPr>
          <w:rFonts w:hint="eastAsia" w:ascii="仿宋" w:hAnsi="仿宋" w:eastAsia="仿宋"/>
          <w:color w:val="auto"/>
          <w:sz w:val="24"/>
          <w:highlight w:val="none"/>
        </w:rPr>
        <w:t>规定的逾期付款利息。</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bCs/>
          <w:color w:val="auto"/>
          <w:sz w:val="24"/>
          <w:highlight w:val="none"/>
        </w:rPr>
        <w:t>15.4其他违约责任根据项目实际需要按</w:t>
      </w:r>
      <w:r>
        <w:rPr>
          <w:rFonts w:hint="eastAsia" w:ascii="仿宋" w:hAnsi="仿宋" w:eastAsia="仿宋"/>
          <w:b/>
          <w:bCs/>
          <w:color w:val="auto"/>
          <w:sz w:val="24"/>
          <w:highlight w:val="none"/>
        </w:rPr>
        <w:t>【政府采购合同专用条款】</w:t>
      </w:r>
      <w:r>
        <w:rPr>
          <w:rFonts w:hint="eastAsia" w:ascii="仿宋" w:hAnsi="仿宋" w:eastAsia="仿宋"/>
          <w:color w:val="auto"/>
          <w:sz w:val="24"/>
          <w:highlight w:val="none"/>
        </w:rPr>
        <w:t>规定执行。</w:t>
      </w:r>
    </w:p>
    <w:p>
      <w:pPr>
        <w:numPr>
          <w:ilvl w:val="0"/>
          <w:numId w:val="19"/>
        </w:numPr>
        <w:autoSpaceDE w:val="0"/>
        <w:autoSpaceDN w:val="0"/>
        <w:snapToGrid w:val="0"/>
        <w:spacing w:line="400" w:lineRule="exact"/>
        <w:jc w:val="left"/>
        <w:rPr>
          <w:rFonts w:ascii="仿宋" w:hAnsi="仿宋" w:eastAsia="仿宋"/>
          <w:b/>
          <w:color w:val="auto"/>
          <w:sz w:val="24"/>
          <w:highlight w:val="none"/>
        </w:rPr>
      </w:pPr>
      <w:r>
        <w:rPr>
          <w:rFonts w:hint="eastAsia" w:ascii="仿宋" w:hAnsi="仿宋" w:eastAsia="仿宋"/>
          <w:b/>
          <w:color w:val="auto"/>
          <w:sz w:val="24"/>
          <w:highlight w:val="none"/>
        </w:rPr>
        <w:t>合同变更、中止与终止</w:t>
      </w:r>
    </w:p>
    <w:p>
      <w:pPr>
        <w:snapToGrid w:val="0"/>
        <w:spacing w:line="400" w:lineRule="exact"/>
        <w:jc w:val="left"/>
        <w:rPr>
          <w:rFonts w:ascii="仿宋" w:hAnsi="仿宋" w:eastAsia="仿宋"/>
          <w:color w:val="auto"/>
          <w:sz w:val="24"/>
          <w:highlight w:val="none"/>
        </w:rPr>
      </w:pPr>
      <w:r>
        <w:rPr>
          <w:rFonts w:hint="eastAsia" w:ascii="仿宋" w:hAnsi="仿宋" w:eastAsia="仿宋"/>
          <w:color w:val="auto"/>
          <w:sz w:val="24"/>
          <w:highlight w:val="none"/>
        </w:rPr>
        <w:t xml:space="preserve">    16.1合同的变更</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16.2合同的中止</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（1）合同履行过程中因供应商就采购文件、采购过程或结果提起投诉的，甲方认为有必要的，可以中止合同的履行。</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963"/>
        <w:ind w:firstLine="480"/>
        <w:jc w:val="both"/>
        <w:rPr>
          <w:rFonts w:ascii="仿宋" w:hAnsi="仿宋" w:eastAsia="仿宋"/>
          <w:color w:val="auto"/>
          <w:sz w:val="24"/>
          <w:szCs w:val="24"/>
          <w:highlight w:val="none"/>
        </w:rPr>
      </w:pPr>
      <w:r>
        <w:rPr>
          <w:rFonts w:hint="eastAsia" w:ascii="仿宋" w:hAnsi="仿宋" w:eastAsia="仿宋" w:cs="宋体"/>
          <w:color w:val="auto"/>
          <w:sz w:val="24"/>
          <w:szCs w:val="24"/>
          <w:highlight w:val="none"/>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（4）甲方不得以行政区划调整、政府换届、机构或者职能调整以及相关责任人更替为由中止合同。</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16.3合同的终止</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（1）合同因有效期限届满而终止；</w:t>
      </w:r>
    </w:p>
    <w:p>
      <w:pPr>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olor w:val="auto"/>
          <w:sz w:val="24"/>
          <w:highlight w:val="none"/>
        </w:rPr>
        <w:t>（2）乙方未按合同约定履行，构成根本性违约的，甲方有权终止合同，</w:t>
      </w:r>
      <w:r>
        <w:rPr>
          <w:rFonts w:hint="eastAsia" w:ascii="仿宋" w:hAnsi="仿宋" w:eastAsia="仿宋" w:cs="宋体"/>
          <w:color w:val="auto"/>
          <w:sz w:val="24"/>
          <w:highlight w:val="none"/>
        </w:rPr>
        <w:t>并追究乙方的违约责任</w:t>
      </w:r>
      <w:r>
        <w:rPr>
          <w:rFonts w:hint="eastAsia" w:ascii="仿宋" w:hAnsi="仿宋" w:eastAsia="仿宋"/>
          <w:color w:val="auto"/>
          <w:sz w:val="24"/>
          <w:highlight w:val="none"/>
        </w:rPr>
        <w:t>。</w:t>
      </w:r>
    </w:p>
    <w:p>
      <w:pPr>
        <w:pStyle w:val="963"/>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16.4 </w:t>
      </w:r>
      <w:r>
        <w:rPr>
          <w:rFonts w:hint="eastAsia" w:ascii="仿宋" w:hAnsi="仿宋" w:eastAsia="仿宋" w:cs="Times New Roman"/>
          <w:color w:val="auto"/>
          <w:kern w:val="2"/>
          <w:sz w:val="24"/>
          <w:szCs w:val="24"/>
          <w:highlight w:val="none"/>
        </w:rPr>
        <w:t>涉及国家利益、社会公共利益的情形</w:t>
      </w:r>
    </w:p>
    <w:p>
      <w:pPr>
        <w:pStyle w:val="963"/>
        <w:ind w:firstLine="480"/>
        <w:jc w:val="both"/>
        <w:rPr>
          <w:rFonts w:ascii="仿宋" w:hAnsi="仿宋" w:eastAsia="仿宋"/>
          <w:color w:val="auto"/>
          <w:sz w:val="24"/>
          <w:szCs w:val="24"/>
          <w:highlight w:val="none"/>
        </w:rPr>
      </w:pPr>
      <w:r>
        <w:rPr>
          <w:rFonts w:hint="eastAsia" w:ascii="仿宋" w:hAnsi="仿宋" w:eastAsia="仿宋" w:cs="宋体"/>
          <w:color w:val="auto"/>
          <w:sz w:val="24"/>
          <w:szCs w:val="24"/>
          <w:highlight w:val="none"/>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17. 合同分包</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17.1 乙方不得将合同转包给其他供应商。涉及合同分包的，乙方应根据采购文件和投标（响应）文件规定进行合同分包。</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18. 不可抗力</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18.1 不可抗力是指合同双方不能预见、不能避免且不能克服的客观情况。</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19. 解决争议的方法</w:t>
      </w:r>
    </w:p>
    <w:p>
      <w:pPr>
        <w:pStyle w:val="963"/>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19.1 因本合同及合同有关事项发生的争议，由甲乙双方友好协商解决。协商不成时，可以向有关组织申请调解。合同一方或双方不愿调解或调解不成的，可以通过仲裁或诉讼的方式解决争议。</w:t>
      </w:r>
    </w:p>
    <w:p>
      <w:pPr>
        <w:pStyle w:val="963"/>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19.2 选择仲裁的，应在</w:t>
      </w:r>
      <w:r>
        <w:rPr>
          <w:rFonts w:hint="eastAsia" w:ascii="仿宋" w:hAnsi="仿宋" w:eastAsia="仿宋" w:cs="宋体"/>
          <w:b/>
          <w:bCs/>
          <w:color w:val="auto"/>
          <w:sz w:val="24"/>
          <w:szCs w:val="24"/>
          <w:highlight w:val="none"/>
        </w:rPr>
        <w:t>【政府采购合同专用条款】</w:t>
      </w:r>
      <w:r>
        <w:rPr>
          <w:rFonts w:hint="eastAsia" w:ascii="仿宋" w:hAnsi="仿宋" w:eastAsia="仿宋" w:cs="宋体"/>
          <w:color w:val="auto"/>
          <w:sz w:val="24"/>
          <w:szCs w:val="24"/>
          <w:highlight w:val="none"/>
        </w:rPr>
        <w:t>中明确仲裁机构及仲裁地；通过诉讼方式解决的，可以在</w:t>
      </w:r>
      <w:r>
        <w:rPr>
          <w:rFonts w:hint="eastAsia" w:ascii="仿宋" w:hAnsi="仿宋" w:eastAsia="仿宋" w:cs="宋体"/>
          <w:b/>
          <w:bCs/>
          <w:color w:val="auto"/>
          <w:sz w:val="24"/>
          <w:szCs w:val="24"/>
          <w:highlight w:val="none"/>
        </w:rPr>
        <w:t>【政府采购合同专用条款】</w:t>
      </w:r>
      <w:r>
        <w:rPr>
          <w:rFonts w:hint="eastAsia" w:ascii="仿宋" w:hAnsi="仿宋" w:eastAsia="仿宋" w:cs="宋体"/>
          <w:color w:val="auto"/>
          <w:sz w:val="24"/>
          <w:szCs w:val="24"/>
          <w:highlight w:val="none"/>
        </w:rPr>
        <w:t>中进一步约定选择与争议有实际联系的地点的人民法院管辖，但管辖法院的约定不得违反级别管辖和专属管辖的规定。</w:t>
      </w:r>
    </w:p>
    <w:p>
      <w:pPr>
        <w:pStyle w:val="963"/>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19.3 如甲乙双方有争议的事项不影响合同其他部分的履行，在争议解决期间，合同其他部分应当继续履行。</w:t>
      </w:r>
    </w:p>
    <w:p>
      <w:pPr>
        <w:autoSpaceDE w:val="0"/>
        <w:autoSpaceDN w:val="0"/>
        <w:snapToGrid w:val="0"/>
        <w:spacing w:line="400" w:lineRule="exact"/>
        <w:jc w:val="left"/>
        <w:rPr>
          <w:rFonts w:ascii="仿宋" w:hAnsi="仿宋" w:eastAsia="仿宋"/>
          <w:color w:val="auto"/>
          <w:sz w:val="24"/>
          <w:highlight w:val="none"/>
        </w:rPr>
      </w:pPr>
      <w:r>
        <w:rPr>
          <w:rFonts w:hint="eastAsia" w:ascii="仿宋" w:hAnsi="仿宋" w:eastAsia="仿宋"/>
          <w:b/>
          <w:color w:val="auto"/>
          <w:sz w:val="24"/>
          <w:highlight w:val="none"/>
        </w:rPr>
        <w:t>20. 政府采购政策</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20.1 </w:t>
      </w:r>
      <w:r>
        <w:rPr>
          <w:rFonts w:hint="eastAsia" w:ascii="仿宋" w:hAnsi="仿宋" w:eastAsia="仿宋" w:cs="宋体"/>
          <w:color w:val="auto"/>
          <w:sz w:val="24"/>
          <w:highlight w:val="none"/>
          <w:lang w:val="en-GB"/>
        </w:rPr>
        <w:t>本合同应当按照规定执行政府采购政策。</w:t>
      </w:r>
    </w:p>
    <w:p>
      <w:pPr>
        <w:autoSpaceDE w:val="0"/>
        <w:autoSpaceDN w:val="0"/>
        <w:snapToGrid w:val="0"/>
        <w:spacing w:line="400" w:lineRule="exact"/>
        <w:ind w:firstLine="480" w:firstLineChars="200"/>
        <w:jc w:val="left"/>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0.2 本合同依法执行政府采购政策的方式和内容，属于合同履约验收的范围。</w:t>
      </w:r>
      <w:r>
        <w:rPr>
          <w:rFonts w:hint="eastAsia" w:ascii="仿宋" w:hAnsi="仿宋" w:eastAsia="仿宋" w:cs="宋体"/>
          <w:color w:val="auto"/>
          <w:sz w:val="24"/>
          <w:highlight w:val="none"/>
        </w:rPr>
        <w:t>甲乙双方</w:t>
      </w:r>
      <w:r>
        <w:rPr>
          <w:rFonts w:hint="eastAsia" w:ascii="仿宋" w:hAnsi="仿宋" w:eastAsia="仿宋" w:cs="宋体"/>
          <w:color w:val="auto"/>
          <w:sz w:val="24"/>
          <w:highlight w:val="none"/>
          <w:lang w:val="en-GB"/>
        </w:rPr>
        <w:t>未按规定要求执行政府采购政策造成损失的</w:t>
      </w:r>
      <w:r>
        <w:rPr>
          <w:rFonts w:hint="eastAsia" w:ascii="仿宋" w:hAnsi="仿宋" w:eastAsia="仿宋"/>
          <w:color w:val="auto"/>
          <w:sz w:val="24"/>
          <w:highlight w:val="none"/>
        </w:rPr>
        <w:t>，有过错的一方应当承担赔偿责任，双方都有过错的，各自承担相应的责任。</w:t>
      </w:r>
    </w:p>
    <w:p>
      <w:pPr>
        <w:pStyle w:val="25"/>
        <w:spacing w:line="400" w:lineRule="exact"/>
        <w:ind w:firstLine="480" w:firstLineChars="200"/>
        <w:rPr>
          <w:rFonts w:ascii="仿宋" w:hAnsi="仿宋" w:eastAsia="仿宋"/>
          <w:color w:val="auto"/>
          <w:szCs w:val="24"/>
          <w:highlight w:val="none"/>
        </w:rPr>
      </w:pPr>
      <w:r>
        <w:rPr>
          <w:rFonts w:ascii="仿宋" w:hAnsi="仿宋" w:eastAsia="仿宋"/>
          <w:color w:val="auto"/>
          <w:szCs w:val="24"/>
          <w:highlight w:val="none"/>
        </w:rPr>
        <w:t>2</w:t>
      </w:r>
      <w:r>
        <w:rPr>
          <w:rFonts w:hint="eastAsia" w:ascii="仿宋" w:hAnsi="仿宋" w:eastAsia="仿宋"/>
          <w:color w:val="auto"/>
          <w:szCs w:val="24"/>
          <w:highlight w:val="none"/>
          <w:lang w:val="en-US"/>
        </w:rPr>
        <w:t>0</w:t>
      </w:r>
      <w:r>
        <w:rPr>
          <w:rFonts w:hint="eastAsia" w:ascii="仿宋" w:hAnsi="仿宋" w:eastAsia="仿宋"/>
          <w:color w:val="auto"/>
          <w:szCs w:val="24"/>
          <w:highlight w:val="none"/>
        </w:rPr>
        <w:t>.</w:t>
      </w:r>
      <w:r>
        <w:rPr>
          <w:rFonts w:hint="eastAsia" w:ascii="仿宋" w:hAnsi="仿宋" w:eastAsia="仿宋"/>
          <w:color w:val="auto"/>
          <w:szCs w:val="24"/>
          <w:highlight w:val="none"/>
          <w:lang w:val="en-US"/>
        </w:rPr>
        <w:t>3</w:t>
      </w:r>
      <w:r>
        <w:rPr>
          <w:rFonts w:hint="eastAsia" w:ascii="仿宋" w:hAnsi="仿宋" w:eastAsia="仿宋"/>
          <w:color w:val="auto"/>
          <w:szCs w:val="24"/>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ascii="仿宋" w:hAnsi="仿宋" w:eastAsia="仿宋"/>
          <w:b/>
          <w:color w:val="auto"/>
          <w:sz w:val="24"/>
          <w:highlight w:val="none"/>
        </w:rPr>
      </w:pPr>
      <w:r>
        <w:rPr>
          <w:rFonts w:hint="eastAsia" w:ascii="仿宋" w:hAnsi="仿宋" w:eastAsia="仿宋"/>
          <w:b/>
          <w:color w:val="auto"/>
          <w:sz w:val="24"/>
          <w:highlight w:val="none"/>
        </w:rPr>
        <w:t>21. 法律适用</w:t>
      </w:r>
    </w:p>
    <w:p>
      <w:pPr>
        <w:pStyle w:val="963"/>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21.1 本合同的订立、生效、解释、履行及与本合同有关的争议解决，均适用法律、行政法规。</w:t>
      </w:r>
    </w:p>
    <w:p>
      <w:pPr>
        <w:pStyle w:val="963"/>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21.2 本合同条款与法律、行政法规的强制性规定不一致的，双方当事人应按照法律、行政法规的强制性规定修改本合同的相关条款。</w:t>
      </w:r>
    </w:p>
    <w:p>
      <w:pPr>
        <w:numPr>
          <w:ilvl w:val="255"/>
          <w:numId w:val="0"/>
        </w:numPr>
        <w:autoSpaceDE w:val="0"/>
        <w:autoSpaceDN w:val="0"/>
        <w:snapToGrid w:val="0"/>
        <w:spacing w:line="400" w:lineRule="exact"/>
        <w:jc w:val="left"/>
        <w:rPr>
          <w:rFonts w:ascii="仿宋" w:hAnsi="仿宋" w:eastAsia="仿宋"/>
          <w:b/>
          <w:color w:val="auto"/>
          <w:sz w:val="24"/>
          <w:highlight w:val="none"/>
        </w:rPr>
      </w:pPr>
      <w:r>
        <w:rPr>
          <w:rFonts w:hint="eastAsia" w:ascii="仿宋" w:hAnsi="仿宋" w:eastAsia="仿宋"/>
          <w:b/>
          <w:color w:val="auto"/>
          <w:sz w:val="24"/>
          <w:highlight w:val="none"/>
        </w:rPr>
        <w:t>22. 通知</w:t>
      </w:r>
    </w:p>
    <w:p>
      <w:pPr>
        <w:pStyle w:val="963"/>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22.1 本合同任何一方向对方发出的通知、信件、数据电文等，应当发送至本合同第一部分《政府采购合同协议书》所约定的通讯地址、联系人、联系电话或电子邮箱。</w:t>
      </w:r>
    </w:p>
    <w:p>
      <w:pPr>
        <w:pStyle w:val="963"/>
        <w:ind w:firstLine="0" w:firstLineChars="0"/>
        <w:jc w:val="both"/>
        <w:rPr>
          <w:rFonts w:ascii="仿宋" w:hAnsi="仿宋" w:eastAsia="仿宋"/>
          <w:color w:val="auto"/>
          <w:sz w:val="24"/>
          <w:szCs w:val="24"/>
          <w:highlight w:val="none"/>
        </w:rPr>
      </w:pPr>
      <w:r>
        <w:rPr>
          <w:rFonts w:hint="eastAsia" w:ascii="仿宋" w:hAnsi="仿宋" w:eastAsia="仿宋" w:cs="宋体"/>
          <w:color w:val="auto"/>
          <w:sz w:val="24"/>
          <w:szCs w:val="24"/>
          <w:highlight w:val="none"/>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22.3本合同一方给另一方的通知均应采用书面形式，传真或快递送到本合同中规定的对方的地址和办理签收手续。</w:t>
      </w:r>
    </w:p>
    <w:p>
      <w:pPr>
        <w:snapToGri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22.4通知以送达之日或通知书中规定的生效之日起生效，两者中以较迟之日为准。</w:t>
      </w:r>
    </w:p>
    <w:p>
      <w:pPr>
        <w:numPr>
          <w:ilvl w:val="0"/>
          <w:numId w:val="20"/>
        </w:numPr>
        <w:snapToGrid w:val="0"/>
        <w:spacing w:line="40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合同未尽事项</w:t>
      </w:r>
    </w:p>
    <w:p>
      <w:pPr>
        <w:snapToGrid w:val="0"/>
        <w:spacing w:line="400" w:lineRule="exact"/>
        <w:ind w:firstLine="480" w:firstLineChars="200"/>
        <w:jc w:val="left"/>
        <w:rPr>
          <w:rFonts w:ascii="仿宋" w:hAnsi="仿宋" w:eastAsia="仿宋"/>
          <w:bCs/>
          <w:color w:val="auto"/>
          <w:sz w:val="24"/>
          <w:highlight w:val="none"/>
        </w:rPr>
      </w:pPr>
      <w:r>
        <w:rPr>
          <w:rFonts w:hint="eastAsia" w:ascii="仿宋" w:hAnsi="仿宋" w:eastAsia="仿宋"/>
          <w:bCs/>
          <w:color w:val="auto"/>
          <w:sz w:val="24"/>
          <w:highlight w:val="none"/>
        </w:rPr>
        <w:t>23.1合同未尽事项见</w:t>
      </w:r>
      <w:r>
        <w:rPr>
          <w:rFonts w:hint="eastAsia" w:ascii="仿宋" w:hAnsi="仿宋" w:eastAsia="仿宋"/>
          <w:b/>
          <w:color w:val="auto"/>
          <w:sz w:val="24"/>
          <w:highlight w:val="none"/>
        </w:rPr>
        <w:t>【政府采购合同专用条款】</w:t>
      </w:r>
      <w:r>
        <w:rPr>
          <w:rFonts w:hint="eastAsia" w:ascii="仿宋" w:hAnsi="仿宋" w:eastAsia="仿宋"/>
          <w:bCs/>
          <w:color w:val="auto"/>
          <w:sz w:val="24"/>
          <w:highlight w:val="none"/>
        </w:rPr>
        <w:t>。</w:t>
      </w:r>
    </w:p>
    <w:p>
      <w:pPr>
        <w:snapToGrid w:val="0"/>
        <w:spacing w:line="400" w:lineRule="exact"/>
        <w:jc w:val="left"/>
        <w:rPr>
          <w:rFonts w:ascii="仿宋" w:hAnsi="仿宋" w:eastAsia="仿宋"/>
          <w:color w:val="auto"/>
          <w:sz w:val="24"/>
          <w:highlight w:val="none"/>
        </w:rPr>
      </w:pPr>
      <w:r>
        <w:rPr>
          <w:rFonts w:hint="eastAsia" w:ascii="仿宋" w:hAnsi="仿宋" w:eastAsia="仿宋"/>
          <w:bCs/>
          <w:color w:val="auto"/>
          <w:sz w:val="24"/>
          <w:highlight w:val="none"/>
        </w:rPr>
        <w:t xml:space="preserve">    23.2 合同附件与合同正文具有同等的法律效力。</w:t>
      </w:r>
      <w:bookmarkStart w:id="46" w:name="_Toc20313"/>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br w:type="page"/>
      </w:r>
    </w:p>
    <w:p>
      <w:pPr>
        <w:pStyle w:val="5"/>
        <w:adjustRightInd w:val="0"/>
        <w:snapToGrid w:val="0"/>
        <w:jc w:val="center"/>
        <w:rPr>
          <w:rFonts w:ascii="仿宋" w:eastAsia="仿宋"/>
          <w:b w:val="0"/>
          <w:bCs w:val="0"/>
          <w:color w:val="auto"/>
          <w:sz w:val="24"/>
          <w:szCs w:val="24"/>
          <w:highlight w:val="none"/>
        </w:rPr>
      </w:pPr>
      <w:r>
        <w:rPr>
          <w:rFonts w:hint="eastAsia" w:ascii="仿宋" w:eastAsia="仿宋"/>
          <w:b w:val="0"/>
          <w:bCs w:val="0"/>
          <w:color w:val="auto"/>
          <w:sz w:val="24"/>
          <w:szCs w:val="24"/>
          <w:highlight w:val="none"/>
        </w:rPr>
        <w:t>第三节 政府采购合同专用条款</w:t>
      </w:r>
      <w:bookmarkEnd w:id="46"/>
    </w:p>
    <w:tbl>
      <w:tblPr>
        <w:tblStyle w:val="62"/>
        <w:tblW w:w="9471"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23"/>
        <w:gridCol w:w="2378"/>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第1.2（6）项</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联合体具体要求</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第1.2（7）项</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其他术语解释</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第4.4款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履约验收中甲方提出异议或作出说明的期限</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第4.6款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约定甲方承担的其他义务和责任</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第5.4款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约定乙方承担的其他义务和责任</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第6.1款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履行合同义务的顺序</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923" w:type="dxa"/>
            <w:vMerge w:val="restart"/>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第7.1款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包装特殊要求</w:t>
            </w:r>
          </w:p>
        </w:tc>
        <w:tc>
          <w:tcPr>
            <w:tcW w:w="5170" w:type="dxa"/>
            <w:vAlign w:val="center"/>
          </w:tcPr>
          <w:p>
            <w:pPr>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923" w:type="dxa"/>
            <w:vMerge w:val="continue"/>
            <w:vAlign w:val="center"/>
          </w:tcPr>
          <w:p>
            <w:pPr>
              <w:snapToGrid w:val="0"/>
              <w:jc w:val="center"/>
              <w:rPr>
                <w:rFonts w:ascii="仿宋" w:hAnsi="仿宋" w:eastAsia="仿宋"/>
                <w:color w:val="auto"/>
                <w:sz w:val="24"/>
                <w:highlight w:val="none"/>
              </w:rPr>
            </w:pP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指定现场</w:t>
            </w:r>
          </w:p>
        </w:tc>
        <w:tc>
          <w:tcPr>
            <w:tcW w:w="5170" w:type="dxa"/>
            <w:vAlign w:val="center"/>
          </w:tcPr>
          <w:p>
            <w:pPr>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72"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第7.2款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运输特殊要求</w:t>
            </w:r>
          </w:p>
        </w:tc>
        <w:tc>
          <w:tcPr>
            <w:tcW w:w="5170" w:type="dxa"/>
            <w:vAlign w:val="center"/>
          </w:tcPr>
          <w:p>
            <w:pPr>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第7.3款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保险要求</w:t>
            </w:r>
          </w:p>
        </w:tc>
        <w:tc>
          <w:tcPr>
            <w:tcW w:w="5170" w:type="dxa"/>
            <w:vAlign w:val="center"/>
          </w:tcPr>
          <w:p>
            <w:pPr>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第8.2（1）项</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质量保证期</w:t>
            </w:r>
          </w:p>
        </w:tc>
        <w:tc>
          <w:tcPr>
            <w:tcW w:w="5170" w:type="dxa"/>
            <w:vAlign w:val="center"/>
          </w:tcPr>
          <w:p>
            <w:pPr>
              <w:autoSpaceDE w:val="0"/>
              <w:autoSpaceDN w:val="0"/>
              <w:snapToGrid w:val="0"/>
              <w:ind w:firstLine="480" w:firstLineChars="20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第8.2（3）项</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货物质量缺陷</w:t>
            </w:r>
          </w:p>
          <w:p>
            <w:pPr>
              <w:snapToGrid w:val="0"/>
              <w:jc w:val="left"/>
              <w:rPr>
                <w:rFonts w:ascii="仿宋" w:hAnsi="仿宋" w:eastAsia="仿宋"/>
                <w:color w:val="auto"/>
                <w:sz w:val="24"/>
                <w:highlight w:val="none"/>
              </w:rPr>
            </w:pPr>
            <w:r>
              <w:rPr>
                <w:rFonts w:hint="eastAsia" w:ascii="仿宋" w:hAnsi="仿宋" w:eastAsia="仿宋"/>
                <w:color w:val="auto"/>
                <w:sz w:val="24"/>
                <w:highlight w:val="none"/>
              </w:rPr>
              <w:t>响应时间</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923" w:type="dxa"/>
            <w:vAlign w:val="center"/>
          </w:tcPr>
          <w:p>
            <w:pPr>
              <w:snapToGrid w:val="0"/>
              <w:jc w:val="center"/>
              <w:rPr>
                <w:rFonts w:ascii="仿宋" w:hAnsi="仿宋" w:eastAsia="仿宋" w:cs="宋体"/>
                <w:color w:val="auto"/>
                <w:sz w:val="24"/>
                <w:highlight w:val="none"/>
              </w:rPr>
            </w:pPr>
            <w:r>
              <w:rPr>
                <w:rFonts w:hint="eastAsia" w:ascii="仿宋" w:hAnsi="仿宋" w:eastAsia="仿宋" w:cs="宋体"/>
                <w:color w:val="auto"/>
                <w:sz w:val="24"/>
                <w:highlight w:val="none"/>
              </w:rPr>
              <w:t>第二节</w:t>
            </w:r>
          </w:p>
          <w:p>
            <w:pPr>
              <w:pStyle w:val="963"/>
              <w:ind w:firstLine="0" w:firstLineChars="0"/>
              <w:jc w:val="center"/>
              <w:rPr>
                <w:rFonts w:ascii="仿宋" w:hAnsi="仿宋" w:eastAsia="仿宋"/>
                <w:color w:val="auto"/>
                <w:sz w:val="24"/>
                <w:szCs w:val="24"/>
                <w:highlight w:val="none"/>
              </w:rPr>
            </w:pPr>
            <w:r>
              <w:rPr>
                <w:rFonts w:hint="eastAsia" w:ascii="仿宋" w:hAnsi="仿宋" w:eastAsia="仿宋" w:cs="宋体"/>
                <w:color w:val="auto"/>
                <w:sz w:val="24"/>
                <w:szCs w:val="24"/>
                <w:highlight w:val="none"/>
              </w:rPr>
              <w:t>第11.1款</w:t>
            </w:r>
          </w:p>
        </w:tc>
        <w:tc>
          <w:tcPr>
            <w:tcW w:w="2378" w:type="dxa"/>
            <w:vAlign w:val="center"/>
          </w:tcPr>
          <w:p>
            <w:pPr>
              <w:snapToGrid w:val="0"/>
              <w:rPr>
                <w:rFonts w:ascii="仿宋" w:hAnsi="仿宋" w:eastAsia="仿宋"/>
                <w:color w:val="auto"/>
                <w:sz w:val="24"/>
                <w:highlight w:val="none"/>
              </w:rPr>
            </w:pPr>
            <w:r>
              <w:rPr>
                <w:rFonts w:hint="eastAsia" w:ascii="仿宋" w:hAnsi="仿宋" w:eastAsia="仿宋"/>
                <w:color w:val="auto"/>
                <w:sz w:val="24"/>
                <w:highlight w:val="none"/>
              </w:rPr>
              <w:t>其他应当保密的信息</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第12.2款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合同价款支付时间</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第13.2款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履约保证金不予退还的情形</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第13.3款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履约保证金退还时间及逾期退还的违约金</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84"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第14.1（3）项</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运行监督、维修期限</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84"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第14.1（5）项</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货物回收的约定</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第14.1（6）项</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乙方提供的其他服务</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第15.1款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修理、重作、更换相关具体规定</w:t>
            </w:r>
          </w:p>
        </w:tc>
        <w:tc>
          <w:tcPr>
            <w:tcW w:w="5170" w:type="dxa"/>
            <w:vAlign w:val="center"/>
          </w:tcPr>
          <w:p>
            <w:pPr>
              <w:snapToGrid w:val="0"/>
              <w:jc w:val="left"/>
              <w:rPr>
                <w:rFonts w:ascii="仿宋" w:hAnsi="仿宋" w:eastAsia="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第15.2（2）项</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迟延交货赔偿费</w:t>
            </w:r>
          </w:p>
        </w:tc>
        <w:tc>
          <w:tcPr>
            <w:tcW w:w="5170" w:type="dxa"/>
            <w:vAlign w:val="center"/>
          </w:tcPr>
          <w:p>
            <w:pPr>
              <w:snapToGrid w:val="0"/>
              <w:jc w:val="left"/>
              <w:rPr>
                <w:rFonts w:ascii="仿宋" w:hAnsi="仿宋" w:eastAsia="仿宋"/>
                <w:color w:val="auto"/>
                <w:sz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第15.3款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逾期付款利息</w:t>
            </w:r>
          </w:p>
        </w:tc>
        <w:tc>
          <w:tcPr>
            <w:tcW w:w="5170" w:type="dxa"/>
            <w:vAlign w:val="center"/>
          </w:tcPr>
          <w:p>
            <w:pPr>
              <w:snapToGrid w:val="0"/>
              <w:jc w:val="left"/>
              <w:rPr>
                <w:rFonts w:ascii="仿宋" w:hAnsi="仿宋" w:eastAsia="仿宋"/>
                <w:color w:val="auto"/>
                <w:sz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876" w:hRule="atLeast"/>
        </w:trPr>
        <w:tc>
          <w:tcPr>
            <w:tcW w:w="1923" w:type="dxa"/>
            <w:tcBorders>
              <w:bottom w:val="single" w:color="auto" w:sz="2" w:space="0"/>
              <w:right w:val="single" w:color="auto" w:sz="2" w:space="0"/>
            </w:tcBorders>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第15.4款</w:t>
            </w:r>
          </w:p>
        </w:tc>
        <w:tc>
          <w:tcPr>
            <w:tcW w:w="2378" w:type="dxa"/>
            <w:tcBorders>
              <w:left w:val="single" w:color="auto" w:sz="2" w:space="0"/>
              <w:bottom w:val="single" w:color="auto" w:sz="2" w:space="0"/>
              <w:right w:val="single" w:color="auto" w:sz="2" w:space="0"/>
            </w:tcBorders>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其他违约责任</w:t>
            </w:r>
          </w:p>
        </w:tc>
        <w:tc>
          <w:tcPr>
            <w:tcW w:w="5170" w:type="dxa"/>
            <w:tcBorders>
              <w:left w:val="single" w:color="auto" w:sz="2" w:space="0"/>
              <w:bottom w:val="single" w:color="auto" w:sz="2" w:space="0"/>
            </w:tcBorders>
            <w:vAlign w:val="center"/>
          </w:tcPr>
          <w:p>
            <w:pPr>
              <w:snapToGrid w:val="0"/>
              <w:jc w:val="left"/>
              <w:rPr>
                <w:rFonts w:ascii="仿宋" w:hAnsi="仿宋" w:eastAsia="仿宋"/>
                <w:color w:val="auto"/>
                <w:sz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90" w:hRule="atLeast"/>
        </w:trPr>
        <w:tc>
          <w:tcPr>
            <w:tcW w:w="1923" w:type="dxa"/>
            <w:tcBorders>
              <w:top w:val="single" w:color="auto" w:sz="2" w:space="0"/>
              <w:right w:val="single" w:color="auto" w:sz="2" w:space="0"/>
            </w:tcBorders>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第19.2款</w:t>
            </w:r>
          </w:p>
        </w:tc>
        <w:tc>
          <w:tcPr>
            <w:tcW w:w="2378" w:type="dxa"/>
            <w:tcBorders>
              <w:top w:val="single" w:color="auto" w:sz="2" w:space="0"/>
              <w:left w:val="single" w:color="auto" w:sz="2" w:space="0"/>
              <w:right w:val="single" w:color="auto" w:sz="2" w:space="0"/>
            </w:tcBorders>
            <w:vAlign w:val="center"/>
          </w:tcPr>
          <w:p>
            <w:pPr>
              <w:snapToGrid w:val="0"/>
              <w:jc w:val="left"/>
              <w:rPr>
                <w:rFonts w:ascii="仿宋" w:hAnsi="仿宋" w:eastAsia="仿宋"/>
                <w:color w:val="auto"/>
                <w:sz w:val="24"/>
                <w:highlight w:val="none"/>
              </w:rPr>
            </w:pPr>
            <w:r>
              <w:rPr>
                <w:rFonts w:hint="eastAsia" w:ascii="仿宋" w:hAnsi="仿宋" w:eastAsia="仿宋"/>
                <w:color w:val="auto"/>
                <w:sz w:val="24"/>
                <w:highlight w:val="none"/>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ascii="仿宋" w:hAnsi="仿宋" w:eastAsia="仿宋" w:cs="宋体"/>
                <w:iCs/>
                <w:color w:val="auto"/>
                <w:sz w:val="24"/>
                <w:highlight w:val="none"/>
              </w:rPr>
            </w:pPr>
            <w:r>
              <w:rPr>
                <w:rFonts w:hint="eastAsia" w:ascii="仿宋" w:hAnsi="仿宋" w:eastAsia="仿宋" w:cs="宋体"/>
                <w:iCs/>
                <w:color w:val="auto"/>
                <w:sz w:val="24"/>
                <w:highlight w:val="none"/>
              </w:rPr>
              <w:t>因本合同及合同有关事项发生的争议，按下列第</w:t>
            </w:r>
            <w:r>
              <w:rPr>
                <w:rFonts w:hint="eastAsia" w:ascii="仿宋" w:hAnsi="仿宋" w:eastAsia="仿宋" w:cs="宋体"/>
                <w:iCs/>
                <w:color w:val="auto"/>
                <w:sz w:val="24"/>
                <w:highlight w:val="none"/>
                <w:u w:val="single"/>
              </w:rPr>
              <w:t xml:space="preserve">   </w:t>
            </w:r>
            <w:r>
              <w:rPr>
                <w:rFonts w:hint="eastAsia" w:ascii="仿宋" w:hAnsi="仿宋" w:eastAsia="仿宋" w:cs="宋体"/>
                <w:iCs/>
                <w:color w:val="auto"/>
                <w:sz w:val="24"/>
                <w:highlight w:val="none"/>
              </w:rPr>
              <w:t>种方式解决：</w:t>
            </w:r>
          </w:p>
          <w:p>
            <w:pPr>
              <w:autoSpaceDE w:val="0"/>
              <w:autoSpaceDN w:val="0"/>
              <w:snapToGrid w:val="0"/>
              <w:spacing w:line="400" w:lineRule="exact"/>
              <w:jc w:val="left"/>
              <w:rPr>
                <w:rFonts w:ascii="仿宋" w:hAnsi="仿宋" w:eastAsia="仿宋" w:cs="宋体"/>
                <w:iCs/>
                <w:color w:val="auto"/>
                <w:sz w:val="24"/>
                <w:highlight w:val="none"/>
              </w:rPr>
            </w:pPr>
            <w:r>
              <w:rPr>
                <w:rFonts w:hint="eastAsia" w:ascii="仿宋" w:hAnsi="仿宋" w:eastAsia="仿宋" w:cs="宋体"/>
                <w:iCs/>
                <w:color w:val="auto"/>
                <w:sz w:val="24"/>
                <w:highlight w:val="none"/>
              </w:rPr>
              <w:t>（1）向</w:t>
            </w:r>
            <w:r>
              <w:rPr>
                <w:rFonts w:hint="eastAsia" w:ascii="仿宋" w:hAnsi="仿宋" w:eastAsia="仿宋" w:cs="宋体"/>
                <w:iCs/>
                <w:color w:val="auto"/>
                <w:sz w:val="24"/>
                <w:highlight w:val="none"/>
                <w:u w:val="single"/>
              </w:rPr>
              <w:t xml:space="preserve">                    </w:t>
            </w:r>
            <w:r>
              <w:rPr>
                <w:rFonts w:hint="eastAsia" w:ascii="仿宋" w:hAnsi="仿宋" w:eastAsia="仿宋" w:cs="宋体"/>
                <w:iCs/>
                <w:color w:val="auto"/>
                <w:sz w:val="24"/>
                <w:highlight w:val="none"/>
              </w:rPr>
              <w:t>仲裁委员会申请仲裁，仲裁地点为</w:t>
            </w:r>
            <w:r>
              <w:rPr>
                <w:rFonts w:hint="eastAsia" w:ascii="仿宋" w:hAnsi="仿宋" w:eastAsia="仿宋" w:cs="宋体"/>
                <w:iCs/>
                <w:color w:val="auto"/>
                <w:sz w:val="24"/>
                <w:highlight w:val="none"/>
                <w:u w:val="single"/>
              </w:rPr>
              <w:t xml:space="preserve">           </w:t>
            </w:r>
            <w:r>
              <w:rPr>
                <w:rFonts w:hint="eastAsia" w:ascii="仿宋" w:hAnsi="仿宋" w:eastAsia="仿宋" w:cs="宋体"/>
                <w:iCs/>
                <w:color w:val="auto"/>
                <w:sz w:val="24"/>
                <w:highlight w:val="none"/>
              </w:rPr>
              <w:t>；</w:t>
            </w:r>
          </w:p>
          <w:p>
            <w:pPr>
              <w:snapToGrid w:val="0"/>
              <w:jc w:val="left"/>
              <w:rPr>
                <w:rFonts w:ascii="仿宋" w:hAnsi="仿宋" w:eastAsia="仿宋"/>
                <w:color w:val="auto"/>
                <w:sz w:val="24"/>
                <w:highlight w:val="none"/>
                <w:u w:val="single"/>
              </w:rPr>
            </w:pPr>
            <w:r>
              <w:rPr>
                <w:rFonts w:hint="eastAsia" w:ascii="仿宋" w:hAnsi="仿宋" w:eastAsia="仿宋" w:cs="宋体"/>
                <w:iCs/>
                <w:color w:val="auto"/>
                <w:sz w:val="24"/>
                <w:highlight w:val="none"/>
              </w:rPr>
              <w:t>（2）向</w:t>
            </w:r>
            <w:r>
              <w:rPr>
                <w:rFonts w:hint="eastAsia" w:ascii="仿宋" w:hAnsi="仿宋" w:eastAsia="仿宋" w:cs="宋体"/>
                <w:iCs/>
                <w:color w:val="auto"/>
                <w:sz w:val="24"/>
                <w:highlight w:val="none"/>
                <w:u w:val="single"/>
              </w:rPr>
              <w:t xml:space="preserve">                    </w:t>
            </w:r>
            <w:r>
              <w:rPr>
                <w:rFonts w:hint="eastAsia" w:ascii="仿宋" w:hAnsi="仿宋" w:eastAsia="仿宋" w:cs="宋体"/>
                <w:iCs/>
                <w:color w:val="auto"/>
                <w:sz w:val="24"/>
                <w:highlight w:val="none"/>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70" w:hRule="atLeast"/>
        </w:trPr>
        <w:tc>
          <w:tcPr>
            <w:tcW w:w="1923" w:type="dxa"/>
            <w:vAlign w:val="center"/>
          </w:tcPr>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第二节</w:t>
            </w:r>
          </w:p>
          <w:p>
            <w:pPr>
              <w:snapToGrid w:val="0"/>
              <w:jc w:val="center"/>
              <w:rPr>
                <w:rFonts w:ascii="仿宋" w:hAnsi="仿宋" w:eastAsia="仿宋"/>
                <w:color w:val="auto"/>
                <w:sz w:val="24"/>
                <w:highlight w:val="none"/>
              </w:rPr>
            </w:pPr>
            <w:r>
              <w:rPr>
                <w:rFonts w:hint="eastAsia" w:ascii="仿宋" w:hAnsi="仿宋" w:eastAsia="仿宋"/>
                <w:color w:val="auto"/>
                <w:sz w:val="24"/>
                <w:highlight w:val="none"/>
              </w:rPr>
              <w:t>第23.1款</w:t>
            </w:r>
          </w:p>
        </w:tc>
        <w:tc>
          <w:tcPr>
            <w:tcW w:w="2378" w:type="dxa"/>
            <w:vAlign w:val="center"/>
          </w:tcPr>
          <w:p>
            <w:pPr>
              <w:snapToGrid w:val="0"/>
              <w:jc w:val="left"/>
              <w:rPr>
                <w:rFonts w:ascii="仿宋" w:hAnsi="仿宋" w:eastAsia="仿宋"/>
                <w:color w:val="auto"/>
                <w:sz w:val="24"/>
                <w:highlight w:val="none"/>
              </w:rPr>
            </w:pPr>
            <w:r>
              <w:rPr>
                <w:rFonts w:hint="eastAsia" w:ascii="仿宋" w:hAnsi="仿宋" w:eastAsia="仿宋"/>
                <w:bCs/>
                <w:color w:val="auto"/>
                <w:sz w:val="24"/>
                <w:highlight w:val="none"/>
              </w:rPr>
              <w:t>其他专用条款</w:t>
            </w:r>
          </w:p>
        </w:tc>
        <w:tc>
          <w:tcPr>
            <w:tcW w:w="5170" w:type="dxa"/>
            <w:vAlign w:val="center"/>
          </w:tcPr>
          <w:p>
            <w:pPr>
              <w:snapToGrid w:val="0"/>
              <w:jc w:val="left"/>
              <w:rPr>
                <w:rFonts w:ascii="仿宋" w:hAnsi="仿宋" w:eastAsia="仿宋"/>
                <w:color w:val="auto"/>
                <w:sz w:val="24"/>
                <w:highlight w:val="none"/>
              </w:rPr>
            </w:pPr>
          </w:p>
        </w:tc>
      </w:tr>
    </w:tbl>
    <w:p>
      <w:pPr>
        <w:rPr>
          <w:rFonts w:ascii="仿宋" w:hAnsi="仿宋" w:eastAsia="仿宋"/>
          <w:color w:val="auto"/>
          <w:sz w:val="24"/>
          <w:highlight w:val="none"/>
        </w:rPr>
      </w:pPr>
    </w:p>
    <w:p>
      <w:pPr>
        <w:rPr>
          <w:rFonts w:ascii="仿宋" w:hAnsi="仿宋" w:eastAsia="仿宋"/>
          <w:color w:val="auto"/>
          <w:sz w:val="24"/>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w:t>
      </w:r>
      <w:r>
        <w:rPr>
          <w:rFonts w:hint="eastAsia" w:ascii="仿宋" w:hAnsi="仿宋" w:eastAsia="仿宋" w:cs="仿宋"/>
          <w:b/>
          <w:bCs/>
          <w:color w:val="auto"/>
          <w:sz w:val="24"/>
          <w:highlight w:val="none"/>
        </w:rPr>
        <w:t>综合评分法</w:t>
      </w:r>
      <w:r>
        <w:rPr>
          <w:rFonts w:hint="eastAsia" w:ascii="仿宋" w:hAnsi="仿宋" w:eastAsia="仿宋" w:cs="仿宋"/>
          <w:color w:val="auto"/>
          <w:sz w:val="24"/>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分。评分依下述所列为评标打分依据，分值如下（计算分值时，按其算术平均值保留小数2位）。</w:t>
      </w:r>
    </w:p>
    <w:p>
      <w:pPr>
        <w:spacing w:line="440" w:lineRule="exact"/>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60</w:t>
      </w:r>
      <w:r>
        <w:rPr>
          <w:rFonts w:hint="eastAsia" w:ascii="仿宋" w:hAnsi="仿宋" w:eastAsia="仿宋" w:cs="仿宋"/>
          <w:b/>
          <w:bCs/>
          <w:iCs/>
          <w:color w:val="auto"/>
          <w:sz w:val="24"/>
          <w:highlight w:val="none"/>
        </w:rPr>
        <w:t>分）</w:t>
      </w:r>
    </w:p>
    <w:tbl>
      <w:tblPr>
        <w:tblStyle w:val="62"/>
        <w:tblpPr w:leftFromText="180" w:rightFromText="180" w:vertAnchor="text" w:tblpXSpec="center" w:tblpY="1"/>
        <w:tblOverlap w:val="never"/>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66"/>
        <w:gridCol w:w="765"/>
        <w:gridCol w:w="6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75" w:type="dxa"/>
            <w:vAlign w:val="center"/>
          </w:tcPr>
          <w:p>
            <w:pPr>
              <w:spacing w:line="360" w:lineRule="auto"/>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序号</w:t>
            </w:r>
          </w:p>
        </w:tc>
        <w:tc>
          <w:tcPr>
            <w:tcW w:w="1266" w:type="dxa"/>
            <w:shd w:val="clear" w:color="auto" w:fill="auto"/>
            <w:vAlign w:val="center"/>
          </w:tcPr>
          <w:p>
            <w:pPr>
              <w:spacing w:line="360" w:lineRule="auto"/>
              <w:jc w:val="center"/>
              <w:rPr>
                <w:rFonts w:ascii="仿宋_GB2312" w:hAnsi="仿宋_GB2312" w:eastAsia="仿宋_GB2312" w:cs="仿宋_GB2312"/>
                <w:b/>
                <w:color w:val="auto"/>
                <w:kern w:val="0"/>
                <w:highlight w:val="none"/>
              </w:rPr>
            </w:pPr>
            <w:r>
              <w:rPr>
                <w:rFonts w:hint="eastAsia" w:ascii="仿宋_GB2312" w:hAnsi="仿宋_GB2312" w:eastAsia="仿宋_GB2312" w:cs="仿宋_GB2312"/>
                <w:b/>
                <w:color w:val="auto"/>
                <w:kern w:val="0"/>
                <w:highlight w:val="none"/>
              </w:rPr>
              <w:t>评分项目</w:t>
            </w:r>
          </w:p>
        </w:tc>
        <w:tc>
          <w:tcPr>
            <w:tcW w:w="765" w:type="dxa"/>
            <w:shd w:val="clear" w:color="auto" w:fill="auto"/>
            <w:vAlign w:val="center"/>
          </w:tcPr>
          <w:p>
            <w:pPr>
              <w:spacing w:line="360" w:lineRule="auto"/>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分值</w:t>
            </w:r>
          </w:p>
        </w:tc>
        <w:tc>
          <w:tcPr>
            <w:tcW w:w="6587" w:type="dxa"/>
            <w:shd w:val="clear" w:color="auto" w:fill="auto"/>
            <w:vAlign w:val="center"/>
          </w:tcPr>
          <w:p>
            <w:pPr>
              <w:keepNext w:val="0"/>
              <w:keepLines w:val="0"/>
              <w:pageBreakBefore w:val="0"/>
              <w:kinsoku/>
              <w:wordWrap/>
              <w:overflowPunct/>
              <w:topLinePunct w:val="0"/>
              <w:bidi w:val="0"/>
              <w:snapToGrid/>
              <w:spacing w:line="360" w:lineRule="exact"/>
              <w:ind w:left="0" w:leftChars="0" w:right="0" w:rightChars="0" w:firstLine="0" w:firstLineChars="0"/>
              <w:jc w:val="center"/>
              <w:textAlignment w:val="auto"/>
              <w:outlineLvl w:val="9"/>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675"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266" w:type="dxa"/>
            <w:shd w:val="clear" w:color="auto" w:fill="auto"/>
            <w:vAlign w:val="center"/>
          </w:tcPr>
          <w:p>
            <w:pPr>
              <w:jc w:val="center"/>
              <w:rPr>
                <w:rFonts w:ascii="仿宋_GB2312" w:hAnsi="仿宋_GB2312" w:eastAsia="仿宋_GB2312" w:cs="仿宋_GB2312"/>
                <w:color w:val="auto"/>
                <w:sz w:val="24"/>
                <w:highlight w:val="none"/>
              </w:rPr>
            </w:pPr>
            <w:r>
              <w:rPr>
                <w:rFonts w:hint="eastAsia" w:ascii="仿宋" w:hAnsi="仿宋" w:eastAsia="仿宋" w:cs="仿宋"/>
                <w:color w:val="auto"/>
                <w:sz w:val="24"/>
                <w:highlight w:val="none"/>
              </w:rPr>
              <w:t>所投产品技术指标的符合性</w:t>
            </w:r>
          </w:p>
        </w:tc>
        <w:tc>
          <w:tcPr>
            <w:tcW w:w="765" w:type="dxa"/>
            <w:shd w:val="clear" w:color="auto" w:fill="auto"/>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0-25</w:t>
            </w:r>
            <w:r>
              <w:rPr>
                <w:rFonts w:hint="eastAsia" w:ascii="仿宋_GB2312" w:hAnsi="仿宋_GB2312" w:eastAsia="仿宋_GB2312" w:cs="仿宋_GB2312"/>
                <w:color w:val="auto"/>
                <w:sz w:val="24"/>
                <w:highlight w:val="none"/>
              </w:rPr>
              <w:t>分</w:t>
            </w:r>
          </w:p>
        </w:tc>
        <w:tc>
          <w:tcPr>
            <w:tcW w:w="6587" w:type="dxa"/>
            <w:shd w:val="clear" w:color="auto" w:fill="auto"/>
            <w:vAlign w:val="center"/>
          </w:tcPr>
          <w:p>
            <w:pPr>
              <w:keepNext w:val="0"/>
              <w:keepLines w:val="0"/>
              <w:pageBreakBefore w:val="0"/>
              <w:widowControl/>
              <w:kinsoku/>
              <w:wordWrap/>
              <w:overflowPunct/>
              <w:topLinePunct w:val="0"/>
              <w:bidi w:val="0"/>
              <w:snapToGrid/>
              <w:spacing w:line="360" w:lineRule="exact"/>
              <w:ind w:left="0" w:leftChars="0" w:right="0" w:rightChars="0" w:firstLine="0" w:firstLineChars="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设备技术参数与功能配置符合度：对应于招标文件</w:t>
            </w:r>
            <w:r>
              <w:rPr>
                <w:rFonts w:hint="eastAsia" w:ascii="仿宋" w:hAnsi="仿宋" w:eastAsia="仿宋" w:cs="仿宋"/>
                <w:color w:val="auto"/>
                <w:sz w:val="24"/>
                <w:highlight w:val="none"/>
              </w:rPr>
              <w:t>中技术参数要求中技术条款进行打分，完全满足得</w:t>
            </w: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rPr>
              <w:t>分，</w:t>
            </w:r>
            <w:r>
              <w:rPr>
                <w:rFonts w:hint="eastAsia" w:ascii="仿宋" w:hAnsi="仿宋" w:eastAsia="仿宋" w:cs="仿宋"/>
                <w:color w:val="auto"/>
                <w:kern w:val="0"/>
                <w:sz w:val="24"/>
                <w:highlight w:val="none"/>
              </w:rPr>
              <w:t>打▲指标出现负偏离或未按要求提供证明材料每项扣2分；其他一般性指标负偏离每项扣0.5分，扣完为止。</w:t>
            </w:r>
          </w:p>
          <w:p>
            <w:pPr>
              <w:keepNext w:val="0"/>
              <w:keepLines w:val="0"/>
              <w:pageBreakBefore w:val="0"/>
              <w:kinsoku/>
              <w:wordWrap/>
              <w:overflowPunct/>
              <w:topLinePunct w:val="0"/>
              <w:bidi w:val="0"/>
              <w:snapToGrid/>
              <w:spacing w:line="360" w:lineRule="exact"/>
              <w:ind w:left="0" w:leftChars="0" w:right="0" w:rightChars="0" w:firstLine="0" w:firstLineChars="0"/>
              <w:textAlignment w:val="auto"/>
              <w:outlineLvl w:val="9"/>
              <w:rPr>
                <w:rFonts w:ascii="仿宋_GB2312" w:hAnsi="仿宋_GB2312" w:eastAsia="仿宋_GB2312" w:cs="仿宋_GB2312"/>
                <w:color w:val="auto"/>
                <w:sz w:val="24"/>
                <w:highlight w:val="none"/>
              </w:rPr>
            </w:pPr>
            <w:r>
              <w:rPr>
                <w:rFonts w:hint="eastAsia" w:ascii="仿宋" w:hAnsi="仿宋" w:eastAsia="仿宋" w:cs="仿宋"/>
                <w:color w:val="auto"/>
                <w:kern w:val="0"/>
                <w:sz w:val="24"/>
                <w:highlight w:val="none"/>
              </w:rPr>
              <w:t>注：投标文件中提供响应表，逐条如实应答技术要求作出承诺，根据各项参数要求提供证明材料，投标人虚假承诺的，一经发现将报项目相关监管部门依法处理。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2" w:hRule="atLeast"/>
        </w:trPr>
        <w:tc>
          <w:tcPr>
            <w:tcW w:w="675"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266" w:type="dxa"/>
            <w:shd w:val="clear" w:color="auto" w:fill="auto"/>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投标产品功能演示</w:t>
            </w:r>
          </w:p>
        </w:tc>
        <w:tc>
          <w:tcPr>
            <w:tcW w:w="765" w:type="dxa"/>
            <w:shd w:val="clear" w:color="auto" w:fill="auto"/>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0-15</w:t>
            </w:r>
            <w:r>
              <w:rPr>
                <w:rFonts w:hint="eastAsia" w:ascii="仿宋_GB2312" w:hAnsi="仿宋_GB2312" w:eastAsia="仿宋_GB2312" w:cs="仿宋_GB2312"/>
                <w:color w:val="auto"/>
                <w:sz w:val="24"/>
                <w:highlight w:val="none"/>
              </w:rPr>
              <w:t>分</w:t>
            </w:r>
          </w:p>
        </w:tc>
        <w:tc>
          <w:tcPr>
            <w:tcW w:w="6587" w:type="dxa"/>
            <w:shd w:val="clear" w:color="auto" w:fill="auto"/>
            <w:vAlign w:val="center"/>
          </w:tcPr>
          <w:p>
            <w:pPr>
              <w:keepNext w:val="0"/>
              <w:keepLines w:val="0"/>
              <w:pageBreakBefore w:val="0"/>
              <w:widowControl/>
              <w:kinsoku/>
              <w:wordWrap/>
              <w:overflowPunct/>
              <w:topLinePunct w:val="0"/>
              <w:bidi w:val="0"/>
              <w:snapToGrid/>
              <w:spacing w:line="360" w:lineRule="exact"/>
              <w:ind w:left="0" w:leftChars="0" w:right="0" w:rightChars="0" w:firstLine="0" w:firstLineChars="0"/>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按招标文件前附表的要求</w:t>
            </w:r>
            <w:r>
              <w:rPr>
                <w:rFonts w:hint="eastAsia" w:ascii="仿宋" w:hAnsi="仿宋" w:eastAsia="仿宋" w:cs="仿宋"/>
                <w:color w:val="auto"/>
                <w:kern w:val="0"/>
                <w:sz w:val="24"/>
                <w:highlight w:val="none"/>
              </w:rPr>
              <w:t>提供视频录像演示</w:t>
            </w:r>
            <w:r>
              <w:rPr>
                <w:rFonts w:hint="eastAsia" w:ascii="仿宋" w:hAnsi="仿宋" w:eastAsia="仿宋" w:cs="仿宋"/>
                <w:color w:val="auto"/>
                <w:kern w:val="0"/>
                <w:sz w:val="24"/>
                <w:highlight w:val="none"/>
                <w:lang w:val="en-US" w:eastAsia="zh-CN"/>
              </w:rPr>
              <w:t>U盘</w:t>
            </w:r>
            <w:r>
              <w:rPr>
                <w:rFonts w:hint="eastAsia" w:ascii="仿宋" w:hAnsi="仿宋" w:eastAsia="仿宋" w:cs="仿宋"/>
                <w:color w:val="auto"/>
                <w:kern w:val="0"/>
                <w:sz w:val="24"/>
                <w:highlight w:val="none"/>
                <w:lang w:eastAsia="zh-CN"/>
              </w:rPr>
              <w:t>：</w:t>
            </w:r>
          </w:p>
          <w:p>
            <w:pPr>
              <w:keepNext w:val="0"/>
              <w:keepLines w:val="0"/>
              <w:pageBreakBefore w:val="0"/>
              <w:widowControl/>
              <w:kinsoku/>
              <w:wordWrap/>
              <w:overflowPunct/>
              <w:topLinePunct w:val="0"/>
              <w:bidi w:val="0"/>
              <w:snapToGrid/>
              <w:spacing w:line="360" w:lineRule="exact"/>
              <w:ind w:left="0" w:leftChars="0" w:right="0" w:rightChars="0" w:firstLine="0" w:firstLineChars="0"/>
              <w:jc w:val="left"/>
              <w:textAlignment w:val="auto"/>
              <w:outlineLvl w:val="9"/>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一、云示教器产品实物演示（</w:t>
            </w:r>
            <w:r>
              <w:rPr>
                <w:rFonts w:hint="eastAsia" w:ascii="仿宋" w:hAnsi="仿宋" w:eastAsia="仿宋" w:cs="仿宋"/>
                <w:b/>
                <w:bCs/>
                <w:color w:val="auto"/>
                <w:kern w:val="0"/>
                <w:sz w:val="24"/>
                <w:highlight w:val="none"/>
                <w:lang w:val="en-US" w:eastAsia="zh-CN"/>
              </w:rPr>
              <w:t>3</w:t>
            </w:r>
            <w:r>
              <w:rPr>
                <w:rFonts w:hint="eastAsia" w:ascii="仿宋" w:hAnsi="仿宋" w:eastAsia="仿宋" w:cs="仿宋"/>
                <w:b/>
                <w:bCs/>
                <w:color w:val="auto"/>
                <w:kern w:val="0"/>
                <w:sz w:val="24"/>
                <w:highlight w:val="none"/>
              </w:rPr>
              <w:t>分）</w:t>
            </w:r>
          </w:p>
          <w:p>
            <w:pPr>
              <w:keepNext w:val="0"/>
              <w:keepLines w:val="0"/>
              <w:pageBreakBefore w:val="0"/>
              <w:widowControl/>
              <w:kinsoku/>
              <w:wordWrap/>
              <w:overflowPunct/>
              <w:topLinePunct w:val="0"/>
              <w:bidi w:val="0"/>
              <w:snapToGrid/>
              <w:spacing w:line="360" w:lineRule="exact"/>
              <w:ind w:left="0" w:leftChars="0" w:right="0" w:rightChars="0" w:firstLine="0" w:firstLineChars="0"/>
              <w:jc w:val="left"/>
              <w:textAlignment w:val="auto"/>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w:t>
            </w:r>
            <w:r>
              <w:rPr>
                <w:rFonts w:hint="eastAsia" w:ascii="仿宋" w:hAnsi="仿宋" w:eastAsia="仿宋" w:cs="仿宋"/>
                <w:color w:val="auto"/>
                <w:kern w:val="0"/>
                <w:sz w:val="24"/>
                <w:highlight w:val="none"/>
                <w:lang w:eastAsia="zh-CN"/>
              </w:rPr>
              <w:t>人</w:t>
            </w:r>
            <w:r>
              <w:rPr>
                <w:rFonts w:hint="eastAsia" w:ascii="仿宋" w:hAnsi="仿宋" w:eastAsia="仿宋" w:cs="仿宋"/>
                <w:color w:val="auto"/>
                <w:kern w:val="0"/>
                <w:sz w:val="24"/>
                <w:highlight w:val="none"/>
              </w:rPr>
              <w:t>对所投云示教器产品实物（软硬件）进行录像演示，要求演示对云示教器实际操作和孪生软件反馈效果进行实际录像，录像要求工业机器人操作台上模型资源齐全，示教器操作功能齐全，配音讲解</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演示功能清晰良好得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演示功能一般得1分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不演示不得分</w:t>
            </w:r>
            <w:r>
              <w:rPr>
                <w:rFonts w:hint="eastAsia" w:ascii="仿宋" w:hAnsi="仿宋" w:eastAsia="仿宋" w:cs="仿宋"/>
                <w:color w:val="auto"/>
                <w:kern w:val="0"/>
                <w:sz w:val="24"/>
                <w:highlight w:val="none"/>
                <w:lang w:eastAsia="zh-CN"/>
              </w:rPr>
              <w:t>。</w:t>
            </w:r>
          </w:p>
          <w:p>
            <w:pPr>
              <w:keepNext w:val="0"/>
              <w:keepLines w:val="0"/>
              <w:pageBreakBefore w:val="0"/>
              <w:widowControl/>
              <w:kinsoku/>
              <w:wordWrap/>
              <w:overflowPunct/>
              <w:topLinePunct w:val="0"/>
              <w:bidi w:val="0"/>
              <w:snapToGrid/>
              <w:spacing w:line="360" w:lineRule="exact"/>
              <w:ind w:left="0" w:leftChars="0" w:right="0" w:rightChars="0" w:firstLine="0" w:firstLineChars="0"/>
              <w:jc w:val="left"/>
              <w:textAlignment w:val="auto"/>
              <w:outlineLvl w:val="9"/>
              <w:rPr>
                <w:rFonts w:hint="default" w:ascii="仿宋" w:hAnsi="仿宋" w:eastAsia="仿宋" w:cs="仿宋"/>
                <w:color w:val="auto"/>
                <w:kern w:val="0"/>
                <w:sz w:val="24"/>
                <w:highlight w:val="none"/>
                <w:lang w:val="en-US" w:eastAsia="zh-CN"/>
              </w:rPr>
            </w:pPr>
            <w:r>
              <w:rPr>
                <w:rFonts w:hint="eastAsia" w:ascii="仿宋" w:hAnsi="仿宋" w:eastAsia="仿宋" w:cs="仿宋"/>
                <w:b/>
                <w:bCs/>
                <w:color w:val="auto"/>
                <w:sz w:val="24"/>
                <w:highlight w:val="none"/>
              </w:rPr>
              <w:t>二、</w:t>
            </w:r>
            <w:r>
              <w:rPr>
                <w:rFonts w:hint="eastAsia" w:ascii="仿宋" w:hAnsi="仿宋" w:eastAsia="仿宋" w:cs="仿宋"/>
                <w:b/>
                <w:bCs/>
                <w:color w:val="auto"/>
                <w:sz w:val="24"/>
                <w:highlight w:val="none"/>
                <w:lang w:val="en-US" w:eastAsia="zh-CN"/>
              </w:rPr>
              <w:t>数字化工厂仿真软件功能演示（3分）</w:t>
            </w:r>
          </w:p>
          <w:p>
            <w:pPr>
              <w:keepNext w:val="0"/>
              <w:keepLines w:val="0"/>
              <w:pageBreakBefore w:val="0"/>
              <w:widowControl/>
              <w:kinsoku/>
              <w:wordWrap/>
              <w:overflowPunct/>
              <w:topLinePunct w:val="0"/>
              <w:bidi w:val="0"/>
              <w:snapToGrid/>
              <w:spacing w:line="360" w:lineRule="exact"/>
              <w:ind w:left="0" w:leftChars="0" w:right="0" w:rightChars="0" w:firstLine="0" w:firstLineChars="0"/>
              <w:jc w:val="left"/>
              <w:textAlignment w:val="auto"/>
              <w:outlineLvl w:val="9"/>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根据招标参数</w:t>
            </w:r>
            <w:r>
              <w:rPr>
                <w:rFonts w:hint="eastAsia" w:ascii="仿宋" w:hAnsi="仿宋" w:eastAsia="仿宋" w:cs="仿宋"/>
                <w:color w:val="auto"/>
                <w:kern w:val="0"/>
                <w:sz w:val="24"/>
                <w:highlight w:val="none"/>
                <w:lang w:val="en-US" w:eastAsia="zh-CN"/>
              </w:rPr>
              <w:t>数字化工厂仿真软件项目中加“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rPr>
              <w:t>所列</w:t>
            </w:r>
            <w:r>
              <w:rPr>
                <w:rFonts w:hint="eastAsia" w:ascii="仿宋" w:hAnsi="仿宋" w:eastAsia="仿宋" w:cs="仿宋"/>
                <w:color w:val="auto"/>
                <w:kern w:val="0"/>
                <w:sz w:val="24"/>
                <w:highlight w:val="none"/>
                <w:lang w:val="en-US" w:eastAsia="zh-CN"/>
              </w:rPr>
              <w:t>要求“</w:t>
            </w:r>
            <w:r>
              <w:rPr>
                <w:rFonts w:hint="eastAsia" w:ascii="仿宋" w:hAnsi="仿宋" w:eastAsia="仿宋" w:cs="仿宋"/>
                <w:color w:val="auto"/>
                <w:sz w:val="24"/>
                <w:szCs w:val="24"/>
                <w:highlight w:val="none"/>
              </w:rPr>
              <w:t>提供不少于5分钟的虚实联调及数字孪生对应操作视频，用于现场演示。</w:t>
            </w:r>
            <w:r>
              <w:rPr>
                <w:rFonts w:hint="eastAsia" w:ascii="仿宋" w:hAnsi="仿宋" w:eastAsia="仿宋" w:cs="仿宋"/>
                <w:color w:val="auto"/>
                <w:kern w:val="0"/>
                <w:sz w:val="24"/>
                <w:highlight w:val="none"/>
                <w:lang w:val="en-US" w:eastAsia="zh-CN"/>
              </w:rPr>
              <w:t>”演示功能齐全展示描述功能齐全得3分；展示功能不全的1分；不演示不得分。</w:t>
            </w:r>
          </w:p>
          <w:p>
            <w:pPr>
              <w:pStyle w:val="2"/>
              <w:keepNext w:val="0"/>
              <w:keepLines w:val="0"/>
              <w:pageBreakBefore w:val="0"/>
              <w:tabs>
                <w:tab w:val="left" w:pos="525"/>
                <w:tab w:val="left" w:pos="4320"/>
              </w:tabs>
              <w:kinsoku/>
              <w:wordWrap/>
              <w:overflowPunct/>
              <w:topLinePunct w:val="0"/>
              <w:bidi w:val="0"/>
              <w:snapToGrid/>
              <w:spacing w:after="0" w:line="360" w:lineRule="exact"/>
              <w:ind w:left="0" w:leftChars="0" w:right="0" w:rightChars="0" w:firstLine="0" w:firstLineChars="0"/>
              <w:textAlignment w:val="auto"/>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kern w:val="0"/>
                <w:sz w:val="24"/>
                <w:highlight w:val="none"/>
                <w:lang w:val="en-US" w:eastAsia="zh-CN"/>
              </w:rPr>
              <w:t>三、</w:t>
            </w:r>
            <w:r>
              <w:rPr>
                <w:rFonts w:hint="eastAsia" w:ascii="仿宋" w:hAnsi="仿宋" w:eastAsia="仿宋" w:cs="仿宋"/>
                <w:b/>
                <w:bCs/>
                <w:color w:val="auto"/>
                <w:sz w:val="24"/>
                <w:highlight w:val="none"/>
                <w:lang w:val="en-US" w:eastAsia="zh-CN"/>
              </w:rPr>
              <w:t>工业级易拆装工业机器人实训平台教学资源展示（6分）</w:t>
            </w:r>
          </w:p>
          <w:p>
            <w:pPr>
              <w:keepNext w:val="0"/>
              <w:keepLines w:val="0"/>
              <w:pageBreakBefore w:val="0"/>
              <w:kinsoku/>
              <w:wordWrap/>
              <w:overflowPunct/>
              <w:topLinePunct w:val="0"/>
              <w:bidi w:val="0"/>
              <w:snapToGrid/>
              <w:spacing w:line="360" w:lineRule="exact"/>
              <w:ind w:left="0" w:leftChars="0" w:right="0" w:rightChars="0" w:firstLine="0" w:firstLineChars="0"/>
              <w:textAlignment w:val="auto"/>
              <w:outlineLvl w:val="9"/>
              <w:rPr>
                <w:rFonts w:hint="default"/>
                <w:color w:val="auto"/>
                <w:highlight w:val="none"/>
                <w:lang w:val="en-US" w:eastAsia="zh-CN"/>
              </w:rPr>
            </w:pPr>
            <w:r>
              <w:rPr>
                <w:rFonts w:hint="eastAsia" w:ascii="仿宋" w:hAnsi="仿宋" w:eastAsia="仿宋" w:cs="仿宋"/>
                <w:color w:val="auto"/>
                <w:kern w:val="0"/>
                <w:sz w:val="24"/>
                <w:highlight w:val="none"/>
              </w:rPr>
              <w:t>根据招标参数</w:t>
            </w:r>
            <w:r>
              <w:rPr>
                <w:rFonts w:hint="eastAsia" w:ascii="仿宋" w:hAnsi="仿宋" w:eastAsia="仿宋" w:cs="仿宋"/>
                <w:color w:val="auto"/>
                <w:kern w:val="0"/>
                <w:sz w:val="24"/>
                <w:highlight w:val="none"/>
                <w:lang w:val="en-US" w:eastAsia="zh-CN"/>
              </w:rPr>
              <w:t>对</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lang w:val="en-US" w:eastAsia="zh-CN"/>
              </w:rPr>
              <w:t>工业级易拆装工业机器人实训平台”进行完整的实物录像展示，展示中需明确展示招标参数中所列明的功能模块，展示齐全得3分</w:t>
            </w:r>
            <w:r>
              <w:rPr>
                <w:rFonts w:hint="eastAsia"/>
                <w:color w:val="auto"/>
                <w:highlight w:val="none"/>
                <w:lang w:eastAsia="zh-CN"/>
              </w:rPr>
              <w:t>，</w:t>
            </w:r>
            <w:r>
              <w:rPr>
                <w:rFonts w:hint="eastAsia" w:ascii="仿宋" w:hAnsi="仿宋" w:eastAsia="仿宋" w:cs="仿宋"/>
                <w:color w:val="auto"/>
                <w:sz w:val="24"/>
                <w:highlight w:val="none"/>
                <w:lang w:val="en-US" w:eastAsia="zh-CN"/>
              </w:rPr>
              <w:t>展示5项以上得0.5分，其他不得分。教学资源项目中加“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en-US" w:eastAsia="zh-CN"/>
              </w:rPr>
              <w:t>”号参数要求进行打分，所有加“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en-US" w:eastAsia="zh-CN"/>
              </w:rPr>
              <w:t>”号教学资源展示齐全得3分；展示其中4项的得1分；展示2项资源的得0.5分；其他情况不得分。</w:t>
            </w:r>
          </w:p>
          <w:p>
            <w:pPr>
              <w:keepNext w:val="0"/>
              <w:keepLines w:val="0"/>
              <w:pageBreakBefore w:val="0"/>
              <w:widowControl/>
              <w:kinsoku/>
              <w:wordWrap/>
              <w:overflowPunct/>
              <w:topLinePunct w:val="0"/>
              <w:bidi w:val="0"/>
              <w:snapToGrid/>
              <w:spacing w:line="360" w:lineRule="exact"/>
              <w:ind w:left="0" w:leftChars="0" w:right="0" w:rightChars="0" w:firstLine="0" w:firstLineChars="0"/>
              <w:jc w:val="left"/>
              <w:textAlignment w:val="auto"/>
              <w:outlineLvl w:val="9"/>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四</w:t>
            </w:r>
            <w:r>
              <w:rPr>
                <w:rFonts w:hint="eastAsia" w:ascii="仿宋" w:hAnsi="仿宋" w:eastAsia="仿宋" w:cs="仿宋"/>
                <w:b/>
                <w:bCs/>
                <w:color w:val="auto"/>
                <w:sz w:val="24"/>
                <w:highlight w:val="none"/>
              </w:rPr>
              <w:t>、校本教材展示（</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分）</w:t>
            </w:r>
          </w:p>
          <w:p>
            <w:pPr>
              <w:keepNext w:val="0"/>
              <w:keepLines w:val="0"/>
              <w:pageBreakBefore w:val="0"/>
              <w:widowControl/>
              <w:kinsoku/>
              <w:wordWrap/>
              <w:overflowPunct/>
              <w:topLinePunct w:val="0"/>
              <w:bidi w:val="0"/>
              <w:snapToGrid/>
              <w:spacing w:line="360" w:lineRule="exact"/>
              <w:ind w:left="0" w:leftChars="0" w:right="0" w:rightChars="0" w:firstLine="0" w:firstLineChars="0"/>
              <w:jc w:val="left"/>
              <w:textAlignment w:val="auto"/>
              <w:outlineLvl w:val="9"/>
              <w:rPr>
                <w:rFonts w:ascii="仿宋_GB2312" w:hAnsi="仿宋_GB2312" w:eastAsia="仿宋_GB2312" w:cs="仿宋_GB2312"/>
                <w:color w:val="auto"/>
                <w:sz w:val="24"/>
                <w:highlight w:val="none"/>
              </w:rPr>
            </w:pPr>
            <w:r>
              <w:rPr>
                <w:rFonts w:hint="eastAsia" w:ascii="仿宋" w:hAnsi="仿宋" w:eastAsia="仿宋" w:cs="仿宋"/>
                <w:color w:val="auto"/>
                <w:sz w:val="24"/>
                <w:highlight w:val="none"/>
                <w:lang w:val="en-US" w:eastAsia="zh-CN"/>
              </w:rPr>
              <w:t>招标参数“配套服务”项目中中</w:t>
            </w:r>
            <w:r>
              <w:rPr>
                <w:rFonts w:hint="eastAsia" w:ascii="仿宋" w:hAnsi="仿宋" w:eastAsia="仿宋" w:cs="仿宋"/>
                <w:color w:val="auto"/>
                <w:sz w:val="24"/>
                <w:highlight w:val="none"/>
              </w:rPr>
              <w:t>要求配套“工业机器人数字孪生与虚拟调试”教材1本，不少于6个实训项目，不少于18个实训任务，教材不少于200页；对教材进行录像展示，展示内容齐全清晰得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只</w:t>
            </w:r>
            <w:r>
              <w:rPr>
                <w:rFonts w:hint="eastAsia" w:ascii="仿宋" w:hAnsi="仿宋" w:eastAsia="仿宋" w:cs="仿宋"/>
                <w:color w:val="auto"/>
                <w:sz w:val="24"/>
                <w:highlight w:val="none"/>
              </w:rPr>
              <w:t>展示部分内容得1分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675"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266" w:type="dxa"/>
            <w:shd w:val="clear" w:color="auto" w:fill="auto"/>
            <w:vAlign w:val="center"/>
          </w:tcPr>
          <w:p>
            <w:pPr>
              <w:jc w:val="center"/>
              <w:rPr>
                <w:rFonts w:ascii="仿宋_GB2312" w:hAnsi="仿宋_GB2312" w:eastAsia="仿宋" w:cs="仿宋_GB2312"/>
                <w:color w:val="auto"/>
                <w:sz w:val="24"/>
                <w:highlight w:val="none"/>
              </w:rPr>
            </w:pPr>
            <w:r>
              <w:rPr>
                <w:rFonts w:hint="eastAsia" w:ascii="仿宋" w:hAnsi="仿宋" w:eastAsia="仿宋" w:cs="仿宋"/>
                <w:color w:val="auto"/>
                <w:kern w:val="0"/>
                <w:sz w:val="24"/>
                <w:highlight w:val="none"/>
              </w:rPr>
              <w:t>产品综合评价</w:t>
            </w:r>
          </w:p>
        </w:tc>
        <w:tc>
          <w:tcPr>
            <w:tcW w:w="765" w:type="dxa"/>
            <w:shd w:val="clear" w:color="auto" w:fill="auto"/>
            <w:vAlign w:val="center"/>
          </w:tcPr>
          <w:p>
            <w:pPr>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0-5分</w:t>
            </w:r>
          </w:p>
        </w:tc>
        <w:tc>
          <w:tcPr>
            <w:tcW w:w="6587" w:type="dxa"/>
            <w:shd w:val="clear" w:color="auto" w:fill="auto"/>
            <w:vAlign w:val="center"/>
          </w:tcPr>
          <w:p>
            <w:pPr>
              <w:keepNext w:val="0"/>
              <w:keepLines w:val="0"/>
              <w:pageBreakBefore w:val="0"/>
              <w:kinsoku/>
              <w:wordWrap/>
              <w:overflowPunct/>
              <w:topLinePunct w:val="0"/>
              <w:bidi w:val="0"/>
              <w:snapToGrid/>
              <w:spacing w:line="360" w:lineRule="exact"/>
              <w:ind w:left="0" w:leftChars="0" w:right="0" w:rightChars="0" w:firstLine="0" w:firstLineChars="0"/>
              <w:textAlignment w:val="auto"/>
              <w:outlineLvl w:val="9"/>
              <w:rPr>
                <w:color w:val="auto"/>
                <w:sz w:val="24"/>
                <w:highlight w:val="none"/>
              </w:rPr>
            </w:pPr>
            <w:r>
              <w:rPr>
                <w:rFonts w:hint="eastAsia" w:ascii="仿宋" w:hAnsi="仿宋" w:eastAsia="仿宋" w:cs="仿宋"/>
                <w:color w:val="auto"/>
                <w:kern w:val="0"/>
                <w:sz w:val="24"/>
                <w:highlight w:val="none"/>
              </w:rPr>
              <w:t>根据所投产品选型、配置、软硬件先进性、技术参数、教学资源展示情况等进行综合比较评价。方案详实、符合性高、针对性高、可行性高的得5分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方案完整、基本符合、针对性不强、可行性一般的得3分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方案针对性及符合性不高的得1分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675"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266" w:type="dxa"/>
            <w:shd w:val="clear" w:color="auto" w:fill="auto"/>
            <w:vAlign w:val="center"/>
          </w:tcPr>
          <w:p>
            <w:pPr>
              <w:jc w:val="center"/>
              <w:rPr>
                <w:rFonts w:ascii="仿宋" w:hAnsi="仿宋" w:eastAsia="仿宋"/>
                <w:bCs/>
                <w:iCs/>
                <w:color w:val="auto"/>
                <w:sz w:val="24"/>
                <w:highlight w:val="none"/>
              </w:rPr>
            </w:pPr>
            <w:r>
              <w:rPr>
                <w:rFonts w:hint="eastAsia" w:ascii="仿宋" w:hAnsi="仿宋" w:eastAsia="仿宋" w:cs="仿宋"/>
                <w:color w:val="auto"/>
                <w:sz w:val="24"/>
                <w:highlight w:val="none"/>
              </w:rPr>
              <w:t>项目实施方案</w:t>
            </w:r>
          </w:p>
        </w:tc>
        <w:tc>
          <w:tcPr>
            <w:tcW w:w="765" w:type="dxa"/>
            <w:shd w:val="clear" w:color="auto" w:fill="auto"/>
            <w:vAlign w:val="center"/>
          </w:tcPr>
          <w:p>
            <w:pPr>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0-5分</w:t>
            </w:r>
          </w:p>
        </w:tc>
        <w:tc>
          <w:tcPr>
            <w:tcW w:w="6587" w:type="dxa"/>
            <w:shd w:val="clear" w:color="auto" w:fill="auto"/>
            <w:vAlign w:val="center"/>
          </w:tcPr>
          <w:p>
            <w:pPr>
              <w:keepNext w:val="0"/>
              <w:keepLines w:val="0"/>
              <w:pageBreakBefore w:val="0"/>
              <w:kinsoku/>
              <w:wordWrap/>
              <w:overflowPunct/>
              <w:topLinePunct w:val="0"/>
              <w:bidi w:val="0"/>
              <w:snapToGrid/>
              <w:spacing w:line="360" w:lineRule="exact"/>
              <w:ind w:left="0" w:leftChars="0" w:right="0" w:rightChars="0" w:firstLine="0" w:firstLineChars="0"/>
              <w:textAlignment w:val="auto"/>
              <w:outlineLvl w:val="9"/>
              <w:rPr>
                <w:rFonts w:ascii="仿宋_GB2312" w:hAnsi="仿宋_GB2312" w:eastAsia="仿宋_GB2312" w:cs="仿宋_GB2312"/>
                <w:color w:val="auto"/>
                <w:sz w:val="24"/>
                <w:highlight w:val="none"/>
              </w:rPr>
            </w:pPr>
            <w:r>
              <w:rPr>
                <w:rFonts w:hint="eastAsia" w:ascii="仿宋" w:hAnsi="仿宋" w:eastAsia="仿宋" w:cs="仿宋"/>
                <w:color w:val="auto"/>
                <w:kern w:val="0"/>
                <w:sz w:val="24"/>
                <w:highlight w:val="none"/>
              </w:rPr>
              <w:t>根据投标人提供的项目组织实施方案的详细程度、合理性和可行性进行比较，包括安装调试、试运行、测试、系统培训、运行维护的措施方案，根据投标人提供项目进度计划安排、验收方案、项目完成后的技术文档移交等综合响应情</w:t>
            </w:r>
            <w:r>
              <w:rPr>
                <w:rFonts w:hint="eastAsia" w:ascii="仿宋" w:hAnsi="仿宋" w:eastAsia="仿宋" w:cs="仿宋"/>
                <w:color w:val="auto"/>
                <w:kern w:val="0"/>
                <w:sz w:val="24"/>
                <w:highlight w:val="none"/>
                <w:lang w:val="en-US" w:eastAsia="zh-CN"/>
              </w:rPr>
              <w:t>况</w:t>
            </w:r>
            <w:r>
              <w:rPr>
                <w:rFonts w:hint="eastAsia" w:ascii="仿宋" w:hAnsi="仿宋" w:eastAsia="仿宋" w:cs="仿宋"/>
                <w:color w:val="auto"/>
                <w:kern w:val="0"/>
                <w:sz w:val="24"/>
                <w:highlight w:val="none"/>
              </w:rPr>
              <w:t>评分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方案考虑充分措施有效得5分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方案合理措施一般得3分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方案考虑不够充分得1分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缺项0分。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75"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266" w:type="dxa"/>
            <w:shd w:val="clear" w:color="auto" w:fill="auto"/>
            <w:vAlign w:val="center"/>
          </w:tcPr>
          <w:p>
            <w:pPr>
              <w:jc w:val="center"/>
              <w:rPr>
                <w:rFonts w:ascii="仿宋" w:hAnsi="仿宋" w:eastAsia="仿宋"/>
                <w:bCs/>
                <w:iCs/>
                <w:color w:val="auto"/>
                <w:sz w:val="24"/>
                <w:highlight w:val="none"/>
              </w:rPr>
            </w:pPr>
            <w:r>
              <w:rPr>
                <w:rFonts w:hint="eastAsia" w:ascii="仿宋" w:hAnsi="仿宋" w:eastAsia="仿宋" w:cs="仿宋"/>
                <w:color w:val="auto"/>
                <w:sz w:val="24"/>
                <w:highlight w:val="none"/>
              </w:rPr>
              <w:t>培训方案</w:t>
            </w:r>
          </w:p>
        </w:tc>
        <w:tc>
          <w:tcPr>
            <w:tcW w:w="765" w:type="dxa"/>
            <w:shd w:val="clear" w:color="auto" w:fill="auto"/>
            <w:vAlign w:val="center"/>
          </w:tcPr>
          <w:p>
            <w:pPr>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0-3分</w:t>
            </w:r>
          </w:p>
        </w:tc>
        <w:tc>
          <w:tcPr>
            <w:tcW w:w="6587" w:type="dxa"/>
            <w:shd w:val="clear" w:color="auto" w:fill="auto"/>
            <w:vAlign w:val="center"/>
          </w:tcPr>
          <w:p>
            <w:pPr>
              <w:keepNext w:val="0"/>
              <w:keepLines w:val="0"/>
              <w:pageBreakBefore w:val="0"/>
              <w:widowControl/>
              <w:kinsoku/>
              <w:wordWrap/>
              <w:overflowPunct/>
              <w:topLinePunct w:val="0"/>
              <w:bidi w:val="0"/>
              <w:snapToGrid/>
              <w:spacing w:line="360" w:lineRule="exact"/>
              <w:ind w:left="0" w:leftChars="0" w:right="0" w:rightChars="0" w:firstLine="0" w:firstLineChars="0"/>
              <w:textAlignment w:val="auto"/>
              <w:outlineLvl w:val="9"/>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供应商提供详细的师资培训方案，包括培训内容安排、培训时间、地点、场地情况，培训师资水平情况</w:t>
            </w:r>
            <w:r>
              <w:rPr>
                <w:rFonts w:hint="eastAsia" w:ascii="仿宋" w:hAnsi="仿宋" w:eastAsia="仿宋" w:cs="仿宋"/>
                <w:color w:val="auto"/>
                <w:kern w:val="0"/>
                <w:sz w:val="24"/>
                <w:highlight w:val="none"/>
                <w:lang w:val="en-US" w:eastAsia="zh-CN"/>
              </w:rPr>
              <w:t>进行评分。</w:t>
            </w:r>
          </w:p>
          <w:p>
            <w:pPr>
              <w:pStyle w:val="79"/>
              <w:keepNext w:val="0"/>
              <w:keepLines w:val="0"/>
              <w:pageBreakBefore w:val="0"/>
              <w:kinsoku/>
              <w:wordWrap/>
              <w:overflowPunct/>
              <w:topLinePunct w:val="0"/>
              <w:bidi w:val="0"/>
              <w:snapToGrid/>
              <w:spacing w:line="360" w:lineRule="exact"/>
              <w:ind w:left="0" w:leftChars="0" w:right="0" w:rightChars="0" w:firstLine="0" w:firstLineChars="0"/>
              <w:textAlignment w:val="auto"/>
              <w:outlineLvl w:val="9"/>
              <w:rPr>
                <w:color w:val="auto"/>
                <w:highlight w:val="none"/>
              </w:rPr>
            </w:pPr>
            <w:r>
              <w:rPr>
                <w:rFonts w:hint="eastAsia" w:ascii="仿宋" w:hAnsi="仿宋" w:eastAsia="仿宋" w:cs="仿宋"/>
                <w:color w:val="auto"/>
                <w:kern w:val="0"/>
                <w:sz w:val="24"/>
                <w:highlight w:val="none"/>
              </w:rPr>
              <w:t>培训方案充分得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方案合理安排一般得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方案考虑不够充分得1分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缺项0分。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75" w:type="dxa"/>
            <w:vAlign w:val="center"/>
          </w:tcPr>
          <w:p>
            <w:pPr>
              <w:spacing w:line="360" w:lineRule="auto"/>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w:t>
            </w:r>
          </w:p>
        </w:tc>
        <w:tc>
          <w:tcPr>
            <w:tcW w:w="1266" w:type="dxa"/>
            <w:shd w:val="clear" w:color="auto" w:fill="auto"/>
            <w:vAlign w:val="center"/>
          </w:tcPr>
          <w:p>
            <w:pPr>
              <w:jc w:val="center"/>
              <w:rPr>
                <w:rFonts w:ascii="仿宋" w:hAnsi="仿宋" w:eastAsia="仿宋"/>
                <w:bCs/>
                <w:iCs/>
                <w:color w:val="auto"/>
                <w:sz w:val="24"/>
                <w:highlight w:val="none"/>
              </w:rPr>
            </w:pPr>
            <w:r>
              <w:rPr>
                <w:rFonts w:hint="eastAsia" w:ascii="仿宋" w:hAnsi="仿宋" w:eastAsia="仿宋" w:cs="仿宋"/>
                <w:color w:val="auto"/>
                <w:sz w:val="24"/>
                <w:highlight w:val="none"/>
              </w:rPr>
              <w:t>售后服务方案</w:t>
            </w:r>
          </w:p>
        </w:tc>
        <w:tc>
          <w:tcPr>
            <w:tcW w:w="765" w:type="dxa"/>
            <w:shd w:val="clear" w:color="auto" w:fill="auto"/>
            <w:vAlign w:val="center"/>
          </w:tcPr>
          <w:p>
            <w:pPr>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0-5分</w:t>
            </w:r>
          </w:p>
        </w:tc>
        <w:tc>
          <w:tcPr>
            <w:tcW w:w="6587" w:type="dxa"/>
            <w:shd w:val="clear" w:color="auto" w:fill="auto"/>
            <w:vAlign w:val="center"/>
          </w:tcPr>
          <w:p>
            <w:pPr>
              <w:keepNext w:val="0"/>
              <w:keepLines w:val="0"/>
              <w:pageBreakBefore w:val="0"/>
              <w:widowControl/>
              <w:kinsoku/>
              <w:wordWrap/>
              <w:overflowPunct/>
              <w:topLinePunct w:val="0"/>
              <w:bidi w:val="0"/>
              <w:snapToGrid/>
              <w:spacing w:line="360" w:lineRule="exact"/>
              <w:ind w:left="0" w:leftChars="0" w:right="0" w:rightChars="0" w:firstLine="0" w:firstLineChars="0"/>
              <w:textAlignment w:val="auto"/>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1.对</w:t>
            </w:r>
            <w:r>
              <w:rPr>
                <w:rFonts w:hint="eastAsia" w:ascii="仿宋" w:hAnsi="仿宋" w:eastAsia="仿宋" w:cs="仿宋"/>
                <w:color w:val="auto"/>
                <w:kern w:val="0"/>
                <w:sz w:val="24"/>
                <w:highlight w:val="none"/>
              </w:rPr>
              <w:t>售后服务方案，质保承诺方案、服务方案完善，相关技术支持响应满足要求等内容评价</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售后解决方案充分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所列内容齐全得3</w:t>
            </w:r>
            <w:r>
              <w:rPr>
                <w:rFonts w:hint="eastAsia" w:ascii="仿宋" w:hAnsi="仿宋" w:eastAsia="仿宋" w:cs="仿宋"/>
                <w:color w:val="auto"/>
                <w:kern w:val="0"/>
                <w:sz w:val="24"/>
                <w:highlight w:val="none"/>
              </w:rPr>
              <w:t>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方案合理安排一般得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方案考虑不够充分得1分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缺项0分。</w:t>
            </w:r>
          </w:p>
          <w:p>
            <w:pPr>
              <w:pStyle w:val="79"/>
              <w:keepNext w:val="0"/>
              <w:keepLines w:val="0"/>
              <w:pageBreakBefore w:val="0"/>
              <w:kinsoku/>
              <w:wordWrap/>
              <w:overflowPunct/>
              <w:topLinePunct w:val="0"/>
              <w:bidi w:val="0"/>
              <w:snapToGrid/>
              <w:spacing w:line="360" w:lineRule="exact"/>
              <w:ind w:left="0" w:leftChars="0" w:right="0" w:rightChars="0" w:firstLine="0" w:firstLineChars="0"/>
              <w:textAlignment w:val="auto"/>
              <w:outlineLvl w:val="9"/>
              <w:rPr>
                <w:color w:val="auto"/>
                <w:highlight w:val="none"/>
              </w:rPr>
            </w:pPr>
            <w:r>
              <w:rPr>
                <w:rFonts w:hint="eastAsia" w:ascii="仿宋" w:hAnsi="仿宋" w:eastAsia="仿宋" w:cs="仿宋"/>
                <w:snapToGrid/>
                <w:color w:val="auto"/>
                <w:kern w:val="0"/>
                <w:sz w:val="24"/>
                <w:szCs w:val="24"/>
                <w:highlight w:val="none"/>
                <w:lang w:val="en-US" w:eastAsia="zh-CN" w:bidi="ar-SA"/>
              </w:rPr>
              <w:t>2.项目团队2名以上成员具有工程师及以上职称证书的得2分，提供职称证书复印件及项目团队成员近3个月的社保加盖公章，否则不计分。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75" w:type="dxa"/>
            <w:vAlign w:val="center"/>
          </w:tcPr>
          <w:p>
            <w:pPr>
              <w:spacing w:line="360" w:lineRule="auto"/>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7</w:t>
            </w:r>
          </w:p>
        </w:tc>
        <w:tc>
          <w:tcPr>
            <w:tcW w:w="1266" w:type="dxa"/>
            <w:shd w:val="clear" w:color="auto" w:fill="auto"/>
            <w:vAlign w:val="center"/>
          </w:tcPr>
          <w:p>
            <w:pPr>
              <w:jc w:val="center"/>
              <w:rPr>
                <w:rFonts w:ascii="仿宋" w:hAnsi="仿宋" w:eastAsia="仿宋"/>
                <w:bCs/>
                <w:iCs/>
                <w:color w:val="auto"/>
                <w:sz w:val="24"/>
                <w:highlight w:val="none"/>
              </w:rPr>
            </w:pPr>
            <w:r>
              <w:rPr>
                <w:rFonts w:hint="eastAsia" w:ascii="仿宋" w:hAnsi="仿宋" w:eastAsia="仿宋" w:cs="仿宋"/>
                <w:color w:val="auto"/>
                <w:sz w:val="24"/>
                <w:highlight w:val="none"/>
              </w:rPr>
              <w:t>业绩案例</w:t>
            </w:r>
          </w:p>
        </w:tc>
        <w:tc>
          <w:tcPr>
            <w:tcW w:w="765" w:type="dxa"/>
            <w:shd w:val="clear" w:color="auto" w:fill="auto"/>
            <w:vAlign w:val="center"/>
          </w:tcPr>
          <w:p>
            <w:pPr>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0-2分</w:t>
            </w:r>
          </w:p>
        </w:tc>
        <w:tc>
          <w:tcPr>
            <w:tcW w:w="6587" w:type="dxa"/>
            <w:shd w:val="clear" w:color="auto" w:fill="auto"/>
            <w:vAlign w:val="center"/>
          </w:tcPr>
          <w:p>
            <w:pPr>
              <w:pStyle w:val="79"/>
              <w:keepNext w:val="0"/>
              <w:keepLines w:val="0"/>
              <w:pageBreakBefore w:val="0"/>
              <w:kinsoku/>
              <w:wordWrap/>
              <w:overflowPunct/>
              <w:topLinePunct w:val="0"/>
              <w:bidi w:val="0"/>
              <w:snapToGrid/>
              <w:spacing w:line="360" w:lineRule="exact"/>
              <w:ind w:left="0" w:leftChars="0" w:right="0" w:rightChars="0" w:firstLine="0" w:firstLineChars="0"/>
              <w:textAlignment w:val="auto"/>
              <w:outlineLvl w:val="9"/>
              <w:rPr>
                <w:color w:val="auto"/>
                <w:highlight w:val="none"/>
              </w:rPr>
            </w:pPr>
            <w:r>
              <w:rPr>
                <w:rFonts w:hint="eastAsia" w:ascii="仿宋" w:hAnsi="仿宋" w:eastAsia="仿宋" w:cs="仿宋"/>
                <w:color w:val="auto"/>
                <w:kern w:val="0"/>
                <w:sz w:val="24"/>
                <w:highlight w:val="none"/>
              </w:rPr>
              <w:t>投标人提供自2021年1月1日（以签订合同时间为准）至今，有</w:t>
            </w:r>
            <w:r>
              <w:rPr>
                <w:rFonts w:hint="eastAsia" w:ascii="仿宋" w:hAnsi="仿宋" w:eastAsia="仿宋" w:cs="仿宋"/>
                <w:color w:val="auto"/>
                <w:kern w:val="0"/>
                <w:sz w:val="24"/>
                <w:highlight w:val="none"/>
                <w:lang w:val="en-US" w:eastAsia="zh-CN"/>
              </w:rPr>
              <w:t>该项目中所列产品</w:t>
            </w:r>
            <w:r>
              <w:rPr>
                <w:rFonts w:hint="eastAsia" w:ascii="仿宋" w:hAnsi="仿宋" w:eastAsia="仿宋" w:cs="仿宋"/>
                <w:strike w:val="0"/>
                <w:dstrike w:val="0"/>
                <w:color w:val="auto"/>
                <w:kern w:val="0"/>
                <w:sz w:val="24"/>
                <w:highlight w:val="none"/>
                <w:lang w:eastAsia="zh-CN"/>
              </w:rPr>
              <w:t>类似业绩</w:t>
            </w:r>
            <w:r>
              <w:rPr>
                <w:rFonts w:hint="eastAsia" w:ascii="仿宋" w:hAnsi="仿宋" w:eastAsia="仿宋" w:cs="仿宋"/>
                <w:color w:val="auto"/>
                <w:kern w:val="0"/>
                <w:sz w:val="24"/>
                <w:highlight w:val="none"/>
              </w:rPr>
              <w:t>合同复印件、客户验收报告并加盖投标人公章，每有一份合同得1分，最高得2分。</w:t>
            </w:r>
          </w:p>
        </w:tc>
      </w:tr>
    </w:tbl>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4</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4</w:t>
      </w:r>
      <w:r>
        <w:rPr>
          <w:rFonts w:hint="eastAsia" w:ascii="仿宋" w:hAnsi="仿宋" w:eastAsia="仿宋" w:cs="仿宋"/>
          <w:bCs/>
          <w:iCs/>
          <w:color w:val="auto"/>
          <w:sz w:val="24"/>
          <w:highlight w:val="none"/>
          <w:u w:val="single"/>
        </w:rPr>
        <w:t>0</w:t>
      </w:r>
    </w:p>
    <w:bookmarkEnd w:id="41"/>
    <w:bookmarkEnd w:id="42"/>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5"/>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rPr>
          <w:rFonts w:ascii="仿宋" w:hAnsi="仿宋" w:eastAsia="仿宋" w:cs="仿宋"/>
          <w:color w:val="auto"/>
          <w:sz w:val="24"/>
          <w:highlight w:val="none"/>
        </w:rPr>
      </w:pP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sz w:val="24"/>
          <w:highlight w:val="none"/>
        </w:rPr>
        <w:t>：</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rPr>
        <w:t>（项目名称）【招标编号：（采购编号）】</w:t>
      </w:r>
      <w:r>
        <w:rPr>
          <w:rFonts w:hint="eastAsia" w:ascii="仿宋" w:hAnsi="仿宋" w:eastAsia="仿宋" w:cs="仿宋"/>
          <w:color w:val="auto"/>
          <w:sz w:val="24"/>
          <w:highlight w:val="none"/>
        </w:rPr>
        <w:t>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pStyle w:val="79"/>
        <w:rPr>
          <w:color w:val="auto"/>
          <w:highlight w:val="none"/>
        </w:rPr>
      </w:pPr>
    </w:p>
    <w:p>
      <w:pPr>
        <w:pStyle w:val="80"/>
        <w:rPr>
          <w:rFonts w:eastAsia="仿宋"/>
          <w:color w:val="auto"/>
          <w:highlight w:val="none"/>
        </w:rPr>
      </w:pPr>
    </w:p>
    <w:p>
      <w:pPr>
        <w:rPr>
          <w:color w:val="auto"/>
          <w:highlight w:val="none"/>
        </w:rPr>
      </w:pPr>
    </w:p>
    <w:p>
      <w:pPr>
        <w:pStyle w:val="79"/>
        <w:rPr>
          <w:color w:val="auto"/>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79"/>
        <w:rPr>
          <w:color w:val="auto"/>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2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904"/>
        <w:numPr>
          <w:ilvl w:val="0"/>
          <w:numId w:val="2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法定代表人授权书 ………………………………………………………… （页码）</w:t>
      </w:r>
    </w:p>
    <w:p>
      <w:pPr>
        <w:pStyle w:val="904"/>
        <w:numPr>
          <w:ilvl w:val="0"/>
          <w:numId w:val="2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4"/>
        <w:numPr>
          <w:ilvl w:val="0"/>
          <w:numId w:val="2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pPr>
        <w:pStyle w:val="904"/>
        <w:numPr>
          <w:ilvl w:val="0"/>
          <w:numId w:val="2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pPr>
        <w:pStyle w:val="904"/>
        <w:numPr>
          <w:ilvl w:val="0"/>
          <w:numId w:val="2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（12）项目小组人员名单………………………………………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pStyle w:val="79"/>
        <w:rPr>
          <w:color w:val="auto"/>
          <w:highlight w:val="none"/>
          <w:lang w:val="zh-CN"/>
        </w:rPr>
      </w:pPr>
    </w:p>
    <w:p>
      <w:pPr>
        <w:pStyle w:val="80"/>
        <w:rPr>
          <w:rFonts w:eastAsia="仿宋"/>
          <w:color w:val="auto"/>
          <w:highlight w:val="none"/>
          <w:lang w:val="zh-CN"/>
        </w:rPr>
      </w:pPr>
    </w:p>
    <w:p>
      <w:pPr>
        <w:rPr>
          <w:color w:val="auto"/>
          <w:highlight w:val="none"/>
          <w:lang w:val="zh-CN"/>
        </w:rPr>
      </w:pPr>
    </w:p>
    <w:p>
      <w:pPr>
        <w:pStyle w:val="79"/>
        <w:rPr>
          <w:color w:val="auto"/>
          <w:highlight w:val="none"/>
          <w:lang w:val="zh-CN"/>
        </w:rPr>
      </w:pPr>
    </w:p>
    <w:p>
      <w:pPr>
        <w:snapToGrid w:val="0"/>
        <w:ind w:firstLine="3855" w:firstLineChars="1200"/>
        <w:outlineLvl w:val="0"/>
        <w:rPr>
          <w:rFonts w:ascii="仿宋" w:hAnsi="仿宋" w:eastAsia="仿宋" w:cs="仿宋"/>
          <w:b/>
          <w:color w:val="auto"/>
          <w:kern w:val="0"/>
          <w:sz w:val="32"/>
          <w:szCs w:val="32"/>
          <w:highlight w:val="none"/>
        </w:rPr>
      </w:pPr>
    </w:p>
    <w:p>
      <w:pPr>
        <w:snapToGrid w:val="0"/>
        <w:ind w:firstLine="3855" w:firstLineChars="1200"/>
        <w:outlineLvl w:val="0"/>
        <w:rPr>
          <w:rFonts w:ascii="仿宋" w:hAnsi="仿宋" w:eastAsia="仿宋" w:cs="仿宋"/>
          <w:b/>
          <w:color w:val="auto"/>
          <w:kern w:val="0"/>
          <w:sz w:val="32"/>
          <w:szCs w:val="32"/>
          <w:highlight w:val="none"/>
        </w:rPr>
      </w:pPr>
    </w:p>
    <w:p>
      <w:pPr>
        <w:snapToGrid w:val="0"/>
        <w:ind w:firstLine="3855" w:firstLineChars="1200"/>
        <w:outlineLvl w:val="0"/>
        <w:rPr>
          <w:rFonts w:ascii="仿宋" w:hAnsi="仿宋" w:eastAsia="仿宋" w:cs="仿宋"/>
          <w:b/>
          <w:color w:val="auto"/>
          <w:kern w:val="0"/>
          <w:sz w:val="32"/>
          <w:szCs w:val="32"/>
          <w:highlight w:val="none"/>
        </w:rPr>
      </w:pPr>
    </w:p>
    <w:p>
      <w:pPr>
        <w:snapToGrid w:val="0"/>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spacing w:after="0" w:afterLines="0" w:line="36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395"/>
        <w:spacing w:after="0" w:afterLines="0" w:line="36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5"/>
        <w:spacing w:after="0" w:afterLines="0" w:line="36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5"/>
        <w:tabs>
          <w:tab w:val="clear" w:pos="1697"/>
        </w:tabs>
        <w:spacing w:after="0" w:afterLines="0" w:line="36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5"/>
        <w:spacing w:after="0" w:afterLines="0" w:line="36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95"/>
        <w:spacing w:after="0" w:afterLines="0" w:line="36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0" w:afterLines="0" w:line="36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5"/>
        <w:tabs>
          <w:tab w:val="clear" w:pos="1697"/>
        </w:tabs>
        <w:spacing w:after="0" w:afterLines="0" w:line="36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5"/>
        <w:spacing w:after="0" w:afterLines="0" w:line="36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5"/>
        <w:spacing w:after="120" w:line="336" w:lineRule="auto"/>
        <w:ind w:firstLine="480"/>
        <w:rPr>
          <w:rFonts w:ascii="仿宋" w:hAnsi="仿宋" w:eastAsia="仿宋" w:cs="仿宋"/>
          <w:color w:val="auto"/>
          <w:szCs w:val="24"/>
          <w:highlight w:val="none"/>
        </w:rPr>
      </w:pP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napToGrid w:val="0"/>
        <w:spacing w:line="360" w:lineRule="auto"/>
        <w:jc w:val="center"/>
        <w:rPr>
          <w:rFonts w:ascii="仿宋" w:hAnsi="仿宋" w:eastAsia="仿宋" w:cs="仿宋"/>
          <w:b/>
          <w:color w:val="auto"/>
          <w:kern w:val="0"/>
          <w:sz w:val="32"/>
          <w:szCs w:val="32"/>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p>
    <w:p>
      <w:pPr>
        <w:spacing w:line="800" w:lineRule="exact"/>
        <w:jc w:val="center"/>
        <w:rPr>
          <w:rFonts w:ascii="仿宋" w:hAnsi="仿宋" w:eastAsia="仿宋" w:cs="仿宋"/>
          <w:b/>
          <w:color w:val="auto"/>
          <w:sz w:val="30"/>
          <w:szCs w:val="30"/>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pStyle w:val="79"/>
        <w:rPr>
          <w:color w:val="auto"/>
          <w:highlight w:val="none"/>
        </w:rPr>
      </w:pPr>
    </w:p>
    <w:p>
      <w:pPr>
        <w:pStyle w:val="80"/>
        <w:rPr>
          <w:rFonts w:eastAsia="仿宋"/>
          <w:color w:val="auto"/>
          <w:highlight w:val="none"/>
        </w:rPr>
      </w:pPr>
    </w:p>
    <w:p>
      <w:pPr>
        <w:rPr>
          <w:color w:val="auto"/>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widowControl/>
        <w:adjustRightInd/>
        <w:jc w:val="center"/>
        <w:rPr>
          <w:rFonts w:ascii="仿宋" w:hAnsi="仿宋" w:eastAsia="仿宋" w:cs="仿宋"/>
          <w:b/>
          <w:bCs/>
          <w:color w:val="auto"/>
          <w:sz w:val="32"/>
          <w:szCs w:val="32"/>
          <w:highlight w:val="none"/>
        </w:rPr>
      </w:pPr>
    </w:p>
    <w:p>
      <w:pPr>
        <w:widowControl/>
        <w:adjustRightInd/>
        <w:jc w:val="center"/>
        <w:rPr>
          <w:rFonts w:ascii="仿宋" w:hAnsi="仿宋" w:eastAsia="仿宋" w:cs="仿宋"/>
          <w:b/>
          <w:bCs/>
          <w:color w:val="auto"/>
          <w:sz w:val="32"/>
          <w:szCs w:val="32"/>
          <w:highlight w:val="none"/>
        </w:rPr>
      </w:pPr>
    </w:p>
    <w:p>
      <w:pPr>
        <w:widowControl/>
        <w:adjustRightInd/>
        <w:jc w:val="center"/>
        <w:rPr>
          <w:rFonts w:ascii="仿宋" w:hAnsi="仿宋" w:eastAsia="仿宋" w:cs="仿宋"/>
          <w:b/>
          <w:bCs/>
          <w:color w:val="auto"/>
          <w:sz w:val="32"/>
          <w:szCs w:val="32"/>
          <w:highlight w:val="none"/>
        </w:rPr>
      </w:pPr>
    </w:p>
    <w:p>
      <w:pPr>
        <w:widowControl/>
        <w:adjustRightInd/>
        <w:jc w:val="center"/>
        <w:rPr>
          <w:rFonts w:ascii="仿宋" w:hAnsi="仿宋" w:eastAsia="仿宋" w:cs="仿宋"/>
          <w:b/>
          <w:bCs/>
          <w:color w:val="auto"/>
          <w:sz w:val="32"/>
          <w:szCs w:val="32"/>
          <w:highlight w:val="none"/>
        </w:rPr>
      </w:pPr>
    </w:p>
    <w:p>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kern w:val="0"/>
          <w:sz w:val="24"/>
          <w:highlight w:val="none"/>
          <w:u w:val="singl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七、</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八、技术解决方案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4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2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79"/>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Style w:val="79"/>
        <w:rPr>
          <w:color w:val="auto"/>
          <w:highlight w:val="none"/>
        </w:rPr>
      </w:pPr>
    </w:p>
    <w:p>
      <w:pPr>
        <w:pStyle w:val="80"/>
        <w:rPr>
          <w:rFonts w:eastAsia="仿宋_GB2312"/>
          <w:color w:val="auto"/>
          <w:highlight w:val="none"/>
        </w:rPr>
      </w:pPr>
    </w:p>
    <w:p>
      <w:pPr>
        <w:rPr>
          <w:color w:val="auto"/>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79"/>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十一、投标人售后服务能力证明材料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十二、项目小组人员名单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79"/>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79"/>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rPr>
          <w:rFonts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十三、</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十六、验收方案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十七、认为需要的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color w:val="auto"/>
          <w:highlight w:val="none"/>
        </w:rPr>
        <w:sectPr>
          <w:headerReference r:id="rId16" w:type="first"/>
          <w:footerReference r:id="rId18" w:type="first"/>
          <w:headerReference r:id="rId15" w:type="default"/>
          <w:footerReference r:id="rId17" w:type="default"/>
          <w:pgSz w:w="11906" w:h="16838"/>
          <w:pgMar w:top="1134" w:right="1134" w:bottom="1134" w:left="1417" w:header="567" w:footer="595" w:gutter="0"/>
          <w:cols w:space="0" w:num="1"/>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134" w:right="1134" w:bottom="1134" w:left="1417" w:header="567" w:footer="595" w:gutter="0"/>
          <w:cols w:space="0" w:num="1"/>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rPr>
        <w:t>（项目名称）</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rPr>
        <w:t>（采购编号）】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pPr w:leftFromText="180" w:rightFromText="180" w:vertAnchor="text" w:horzAnchor="page" w:tblpXSpec="center" w:tblpY="40"/>
        <w:tblOverlap w:val="never"/>
        <w:tblW w:w="9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06"/>
        <w:gridCol w:w="1843"/>
        <w:gridCol w:w="863"/>
        <w:gridCol w:w="578"/>
        <w:gridCol w:w="993"/>
        <w:gridCol w:w="1091"/>
        <w:gridCol w:w="1080"/>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534"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006"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1441" w:type="dxa"/>
            <w:gridSpan w:val="2"/>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091"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080"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1854" w:type="dxa"/>
            <w:vAlign w:val="center"/>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4"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006" w:type="dxa"/>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1441" w:type="dxa"/>
            <w:gridSpan w:val="2"/>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091"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854"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006" w:type="dxa"/>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1441" w:type="dxa"/>
            <w:gridSpan w:val="2"/>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091"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854"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006" w:type="dxa"/>
            <w:vAlign w:val="center"/>
          </w:tcPr>
          <w:p>
            <w:pPr>
              <w:snapToGrid w:val="0"/>
              <w:spacing w:line="360" w:lineRule="auto"/>
              <w:jc w:val="center"/>
              <w:rPr>
                <w:rFonts w:ascii="仿宋" w:hAnsi="仿宋" w:eastAsia="仿宋" w:cs="仿宋"/>
                <w:color w:val="auto"/>
                <w:sz w:val="24"/>
                <w:highlight w:val="none"/>
              </w:rPr>
            </w:pP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1441" w:type="dxa"/>
            <w:gridSpan w:val="2"/>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091"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854"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pPr>
              <w:spacing w:line="360" w:lineRule="auto"/>
              <w:jc w:val="center"/>
              <w:rPr>
                <w:rFonts w:ascii="仿宋" w:hAnsi="仿宋" w:eastAsia="仿宋" w:cs="仿宋"/>
                <w:color w:val="auto"/>
                <w:sz w:val="24"/>
                <w:highlight w:val="none"/>
              </w:rPr>
            </w:pPr>
          </w:p>
        </w:tc>
        <w:tc>
          <w:tcPr>
            <w:tcW w:w="1006" w:type="dxa"/>
            <w:vAlign w:val="center"/>
          </w:tcPr>
          <w:p>
            <w:pPr>
              <w:snapToGrid w:val="0"/>
              <w:spacing w:line="360" w:lineRule="auto"/>
              <w:jc w:val="center"/>
              <w:rPr>
                <w:rFonts w:ascii="仿宋" w:hAnsi="仿宋" w:eastAsia="仿宋" w:cs="仿宋"/>
                <w:color w:val="auto"/>
                <w:sz w:val="24"/>
                <w:highlight w:val="none"/>
              </w:rPr>
            </w:pP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1441" w:type="dxa"/>
            <w:gridSpan w:val="2"/>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091"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854"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46"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5596" w:type="dxa"/>
            <w:gridSpan w:val="5"/>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246"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5596" w:type="dxa"/>
            <w:gridSpan w:val="5"/>
            <w:vAlign w:val="center"/>
          </w:tcPr>
          <w:p>
            <w:pPr>
              <w:spacing w:line="360" w:lineRule="auto"/>
              <w:jc w:val="center"/>
              <w:rPr>
                <w:rFonts w:ascii="仿宋" w:hAnsi="仿宋" w:eastAsia="仿宋" w:cs="仿宋"/>
                <w:color w:val="auto"/>
                <w:sz w:val="24"/>
                <w:highlight w:val="none"/>
              </w:rPr>
            </w:pPr>
          </w:p>
        </w:tc>
      </w:tr>
    </w:tbl>
    <w:p>
      <w:pPr>
        <w:snapToGrid w:val="0"/>
        <w:spacing w:line="400" w:lineRule="exact"/>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400" w:lineRule="exact"/>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ind w:firstLine="482" w:firstLineChars="200"/>
        <w:rPr>
          <w:rFonts w:ascii="仿宋" w:hAnsi="仿宋" w:eastAsia="仿宋" w:cs="仿宋"/>
          <w:b/>
          <w:color w:val="auto"/>
          <w:kern w:val="0"/>
          <w:sz w:val="24"/>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134" w:right="1134" w:bottom="1134" w:left="1417" w:header="567" w:footer="595" w:gutter="0"/>
          <w:cols w:space="0" w:num="1"/>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7" w:name="_Hlk101259491"/>
      <w:r>
        <w:rPr>
          <w:rFonts w:hint="eastAsia" w:ascii="仿宋" w:hAnsi="仿宋" w:eastAsia="仿宋" w:cs="仿宋"/>
          <w:color w:val="auto"/>
          <w:sz w:val="32"/>
          <w:szCs w:val="32"/>
          <w:highlight w:val="none"/>
        </w:rPr>
        <w:t>（如果有）</w:t>
      </w:r>
      <w:bookmarkEnd w:id="47"/>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ascii="仿宋" w:hAnsi="仿宋" w:eastAsia="仿宋" w:cs="仿宋"/>
          <w:b/>
          <w:color w:val="auto"/>
          <w:highlight w:val="none"/>
        </w:rPr>
      </w:pPr>
    </w:p>
    <w:p>
      <w:pPr>
        <w:pStyle w:val="80"/>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79"/>
        <w:rPr>
          <w:rFonts w:ascii="仿宋" w:hAnsi="仿宋" w:eastAsia="仿宋" w:cs="仿宋"/>
          <w:b/>
          <w:color w:val="auto"/>
          <w:highlight w:val="none"/>
        </w:rPr>
      </w:pPr>
    </w:p>
    <w:p>
      <w:pPr>
        <w:pStyle w:val="80"/>
        <w:rPr>
          <w:color w:val="auto"/>
          <w:highlight w:val="none"/>
        </w:rPr>
      </w:pPr>
    </w:p>
    <w:p>
      <w:pPr>
        <w:pStyle w:val="80"/>
        <w:rPr>
          <w:color w:val="auto"/>
          <w:highlight w:val="none"/>
        </w:rPr>
      </w:pPr>
    </w:p>
    <w:p>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pPr>
        <w:pStyle w:val="79"/>
        <w:widowControl/>
        <w:spacing w:line="360" w:lineRule="auto"/>
        <w:ind w:firstLine="120" w:firstLineChars="50"/>
        <w:rPr>
          <w:rFonts w:ascii="仿宋" w:hAnsi="仿宋" w:eastAsia="仿宋" w:cs="仿宋"/>
          <w:b/>
          <w:color w:val="auto"/>
          <w:highlight w:val="none"/>
        </w:rPr>
      </w:pPr>
    </w:p>
    <w:p>
      <w:pPr>
        <w:pStyle w:val="80"/>
        <w:spacing w:line="360" w:lineRule="auto"/>
        <w:ind w:left="0" w:firstLine="120" w:firstLineChars="50"/>
        <w:jc w:val="left"/>
        <w:rPr>
          <w:rFonts w:ascii="仿宋" w:hAnsi="仿宋" w:eastAsia="仿宋" w:cs="仿宋"/>
          <w:b/>
          <w:color w:val="auto"/>
          <w:sz w:val="24"/>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4"/>
        <w:keepNext w:val="0"/>
        <w:keepLines w:val="0"/>
        <w:pageBreakBefore/>
        <w:widowControl/>
        <w:spacing w:before="0" w:after="0" w:line="500" w:lineRule="exact"/>
        <w:ind w:left="1293" w:firstLine="3092" w:firstLineChars="700"/>
        <w:rPr>
          <w:rFonts w:ascii="仿宋" w:hAnsi="仿宋" w:eastAsia="仿宋" w:cs="仿宋"/>
          <w:color w:val="auto"/>
          <w:highlight w:val="none"/>
        </w:rPr>
      </w:pPr>
      <w:bookmarkStart w:id="48" w:name="_Toc465665161"/>
      <w:r>
        <w:rPr>
          <w:rFonts w:hint="eastAsia" w:ascii="仿宋" w:hAnsi="仿宋" w:eastAsia="仿宋" w:cs="仿宋"/>
          <w:color w:val="auto"/>
          <w:highlight w:val="none"/>
        </w:rPr>
        <w:t>附件</w:t>
      </w:r>
      <w:bookmarkEnd w:id="48"/>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pStyle w:val="79"/>
        <w:rPr>
          <w:color w:val="auto"/>
          <w:highlight w:val="none"/>
        </w:rPr>
      </w:pPr>
    </w:p>
    <w:p>
      <w:pPr>
        <w:pStyle w:val="80"/>
        <w:rPr>
          <w:rFonts w:eastAsia="仿宋"/>
          <w:color w:val="auto"/>
          <w:highlight w:val="none"/>
        </w:rPr>
      </w:pPr>
    </w:p>
    <w:p>
      <w:pPr>
        <w:rPr>
          <w:color w:val="auto"/>
          <w:highlight w:val="none"/>
        </w:rPr>
      </w:pPr>
    </w:p>
    <w:p>
      <w:pPr>
        <w:pStyle w:val="79"/>
        <w:rPr>
          <w:color w:val="auto"/>
          <w:highlight w:val="none"/>
        </w:rPr>
      </w:pPr>
    </w:p>
    <w:p>
      <w:pPr>
        <w:pStyle w:val="80"/>
        <w:rPr>
          <w:rFonts w:eastAsia="仿宋"/>
          <w:color w:val="auto"/>
          <w:highlight w:val="none"/>
        </w:rPr>
      </w:pPr>
    </w:p>
    <w:p>
      <w:pPr>
        <w:rPr>
          <w:color w:val="auto"/>
          <w:highlight w:val="none"/>
        </w:rPr>
      </w:pPr>
    </w:p>
    <w:p>
      <w:pPr>
        <w:pStyle w:val="79"/>
        <w:rPr>
          <w:color w:val="auto"/>
          <w:highlight w:val="none"/>
        </w:rPr>
      </w:pPr>
    </w:p>
    <w:p>
      <w:pPr>
        <w:pStyle w:val="80"/>
        <w:rPr>
          <w:rFonts w:eastAsia="仿宋"/>
          <w:color w:val="auto"/>
          <w:highlight w:val="none"/>
        </w:rPr>
      </w:pPr>
    </w:p>
    <w:p>
      <w:pPr>
        <w:rPr>
          <w:color w:val="auto"/>
          <w:highlight w:val="none"/>
        </w:rPr>
      </w:pPr>
    </w:p>
    <w:p>
      <w:pPr>
        <w:pStyle w:val="79"/>
        <w:rPr>
          <w:color w:val="auto"/>
          <w:highlight w:val="none"/>
        </w:rPr>
      </w:pPr>
    </w:p>
    <w:p>
      <w:pPr>
        <w:pStyle w:val="80"/>
        <w:rPr>
          <w:rFonts w:eastAsia="仿宋"/>
          <w:color w:val="auto"/>
          <w:highlight w:val="none"/>
        </w:rPr>
      </w:pPr>
    </w:p>
    <w:p>
      <w:pPr>
        <w:rPr>
          <w:color w:val="auto"/>
          <w:highlight w:val="none"/>
        </w:rPr>
      </w:pPr>
    </w:p>
    <w:p>
      <w:pPr>
        <w:pStyle w:val="79"/>
        <w:rPr>
          <w:color w:val="auto"/>
          <w:highlight w:val="none"/>
        </w:rPr>
      </w:pPr>
    </w:p>
    <w:p>
      <w:pPr>
        <w:pStyle w:val="80"/>
        <w:rPr>
          <w:rFonts w:eastAsia="仿宋"/>
          <w:color w:val="auto"/>
          <w:highlight w:val="none"/>
        </w:rPr>
      </w:pPr>
    </w:p>
    <w:p>
      <w:pPr>
        <w:rPr>
          <w:color w:val="auto"/>
          <w:highlight w:val="none"/>
        </w:rPr>
      </w:pPr>
    </w:p>
    <w:p>
      <w:pPr>
        <w:pStyle w:val="79"/>
        <w:rPr>
          <w:color w:val="auto"/>
          <w:highlight w:val="none"/>
        </w:rPr>
      </w:pPr>
    </w:p>
    <w:p>
      <w:pPr>
        <w:pStyle w:val="80"/>
        <w:rPr>
          <w:rFonts w:eastAsia="仿宋"/>
          <w:color w:val="auto"/>
          <w:highlight w:val="none"/>
        </w:rPr>
      </w:pPr>
    </w:p>
    <w:p>
      <w:pPr>
        <w:rPr>
          <w:color w:val="auto"/>
          <w:highlight w:val="none"/>
        </w:rPr>
      </w:pPr>
    </w:p>
    <w:p>
      <w:pPr>
        <w:pStyle w:val="79"/>
        <w:rPr>
          <w:color w:val="auto"/>
          <w:highlight w:val="none"/>
        </w:rPr>
      </w:pPr>
    </w:p>
    <w:p>
      <w:pPr>
        <w:pStyle w:val="80"/>
        <w:rPr>
          <w:rFonts w:eastAsia="仿宋"/>
          <w:color w:val="auto"/>
          <w:highlight w:val="none"/>
        </w:rPr>
      </w:pPr>
    </w:p>
    <w:p>
      <w:pPr>
        <w:rPr>
          <w:color w:val="auto"/>
          <w:highlight w:val="none"/>
        </w:rPr>
      </w:pPr>
    </w:p>
    <w:p>
      <w:pPr>
        <w:pStyle w:val="79"/>
        <w:rPr>
          <w:color w:val="auto"/>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rPr>
          <w:color w:val="auto"/>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ascii="仿宋" w:hAnsi="仿宋" w:eastAsia="仿宋" w:cs="仿宋"/>
          <w:color w:val="auto"/>
          <w:kern w:val="0"/>
          <w:sz w:val="24"/>
          <w:highlight w:val="none"/>
          <w:lang w:val="zh-CN"/>
        </w:rPr>
      </w:pPr>
      <w:bookmarkStart w:id="4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49"/>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79"/>
        <w:rPr>
          <w:color w:val="auto"/>
          <w:highlight w:val="none"/>
        </w:rPr>
      </w:pPr>
    </w:p>
    <w:p>
      <w:pPr>
        <w:pStyle w:val="80"/>
        <w:rPr>
          <w:rFonts w:eastAsia="仿宋"/>
          <w:color w:val="auto"/>
          <w:highlight w:val="none"/>
        </w:rPr>
      </w:pPr>
    </w:p>
    <w:p>
      <w:pPr>
        <w:rPr>
          <w:color w:val="auto"/>
          <w:highlight w:val="none"/>
        </w:rPr>
      </w:pPr>
    </w:p>
    <w:p>
      <w:pPr>
        <w:pStyle w:val="79"/>
        <w:rPr>
          <w:color w:val="auto"/>
          <w:highlight w:val="none"/>
        </w:rPr>
      </w:pPr>
    </w:p>
    <w:p>
      <w:pPr>
        <w:pStyle w:val="80"/>
        <w:rPr>
          <w:rFonts w:eastAsia="仿宋"/>
          <w:color w:val="auto"/>
          <w:highlight w:val="none"/>
        </w:rPr>
      </w:pPr>
    </w:p>
    <w:p>
      <w:pPr>
        <w:rPr>
          <w:color w:val="auto"/>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spacing w:line="240" w:lineRule="auto"/>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napToGrid w:val="0"/>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0"/>
    </w:p>
    <w:p>
      <w:pPr>
        <w:snapToGrid w:val="0"/>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bookmarkStart w:id="51" w:name="OLE_LINK13"/>
      <w:bookmarkStart w:id="52" w:name="OLE_LINK14"/>
      <w:r>
        <w:rPr>
          <w:rFonts w:hint="eastAsia" w:ascii="仿宋" w:hAnsi="仿宋" w:eastAsia="仿宋" w:cs="仿宋"/>
          <w:b/>
          <w:color w:val="auto"/>
          <w:spacing w:val="6"/>
          <w:sz w:val="32"/>
          <w:szCs w:val="32"/>
          <w:highlight w:val="none"/>
        </w:rPr>
        <w:t>附件6：</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1"/>
    <w:bookmarkEnd w:id="52"/>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79"/>
        <w:rPr>
          <w:color w:val="auto"/>
          <w:highlight w:val="none"/>
        </w:rPr>
      </w:pPr>
    </w:p>
    <w:p>
      <w:pPr>
        <w:pStyle w:val="80"/>
        <w:rPr>
          <w:rFonts w:eastAsia="仿宋"/>
          <w:color w:val="auto"/>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 xml:space="preserve">（标的名称）  </w:t>
      </w:r>
      <w:r>
        <w:rPr>
          <w:rFonts w:hint="eastAsia" w:ascii="仿宋" w:hAnsi="仿宋" w:eastAsia="仿宋" w:cs="仿宋"/>
          <w:color w:val="auto"/>
          <w:sz w:val="24"/>
          <w:highlight w:val="none"/>
        </w:rPr>
        <w:t xml:space="preserve"> ，属于</w:t>
      </w:r>
      <w:r>
        <w:rPr>
          <w:rFonts w:hint="eastAsia" w:ascii="仿宋" w:hAnsi="仿宋" w:eastAsia="仿宋" w:cs="仿宋"/>
          <w:color w:val="auto"/>
          <w:sz w:val="24"/>
          <w:highlight w:val="none"/>
          <w:u w:val="single"/>
        </w:rPr>
        <w:t>工业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 xml:space="preserve">（标的名称）  </w:t>
      </w:r>
      <w:r>
        <w:rPr>
          <w:rFonts w:hint="eastAsia" w:ascii="仿宋" w:hAnsi="仿宋" w:eastAsia="仿宋" w:cs="仿宋"/>
          <w:color w:val="auto"/>
          <w:sz w:val="24"/>
          <w:highlight w:val="none"/>
        </w:rPr>
        <w:t xml:space="preserve"> ，属于</w:t>
      </w:r>
      <w:r>
        <w:rPr>
          <w:rFonts w:hint="eastAsia" w:ascii="仿宋" w:hAnsi="仿宋" w:eastAsia="仿宋" w:cs="仿宋"/>
          <w:color w:val="auto"/>
          <w:sz w:val="24"/>
          <w:highlight w:val="none"/>
          <w:u w:val="single"/>
        </w:rPr>
        <w:t>工业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ascii="仿宋" w:hAnsi="仿宋" w:eastAsia="仿宋" w:cs="仿宋"/>
          <w:color w:val="auto"/>
          <w:szCs w:val="21"/>
          <w:highlight w:val="none"/>
        </w:rPr>
      </w:pPr>
      <w:r>
        <w:rPr>
          <w:rFonts w:hint="eastAsia" w:ascii="仿宋" w:hAnsi="仿宋" w:eastAsia="仿宋" w:cs="仿宋"/>
          <w:color w:val="auto"/>
          <w:szCs w:val="21"/>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5"/>
        <w:rPr>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spacing w:line="360" w:lineRule="auto"/>
        <w:rPr>
          <w:rFonts w:ascii="宋体" w:hAnsi="宋体" w:cs="宋体"/>
          <w:bCs/>
          <w:color w:val="auto"/>
          <w:sz w:val="24"/>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134" w:right="1134" w:bottom="1134" w:left="1417" w:header="567" w:footer="595"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0000012" w:usb3="00000000" w:csb0="4002009F" w:csb1="DFD70000"/>
  </w:font>
  <w:font w:name="汉仪书宋二S">
    <w:altName w:val="Times New Roman"/>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91</w:t>
                          </w:r>
                          <w:r>
                            <w:rPr>
                              <w:rFonts w:hint="eastAsia"/>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91</w:t>
                    </w:r>
                    <w:r>
                      <w:rPr>
                        <w:rFonts w:hint="eastAsia"/>
                        <w:sz w:val="18"/>
                      </w:rPr>
                      <w:fldChar w:fldCharType="end"/>
                    </w:r>
                    <w:r>
                      <w:rPr>
                        <w:rFonts w:hint="eastAsia"/>
                        <w:sz w:val="18"/>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53" w:name="_Toc91899912"/>
    <w:bookmarkStart w:id="54" w:name="_Toc164085800"/>
    <w:bookmarkStart w:id="55" w:name="_Toc131845147"/>
    <w:bookmarkStart w:id="56" w:name="_Toc36110187"/>
    <w:r>
      <w:rPr>
        <w:rFonts w:hint="eastAsia" w:ascii="仿宋_GB2312" w:eastAsia="仿宋_GB2312"/>
        <w:kern w:val="0"/>
        <w:szCs w:val="21"/>
      </w:rPr>
      <w:t xml:space="preserve"> 页</w:t>
    </w:r>
    <w:bookmarkEnd w:id="53"/>
    <w:bookmarkEnd w:id="54"/>
    <w:bookmarkEnd w:id="55"/>
    <w:bookmarkEnd w:id="5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91</w:t>
                          </w:r>
                          <w:r>
                            <w:rPr>
                              <w:rFonts w:hint="eastAsia"/>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91</w:t>
                    </w:r>
                    <w:r>
                      <w:rPr>
                        <w:rFonts w:hint="eastAsia"/>
                        <w:sz w:val="18"/>
                      </w:rPr>
                      <w:fldChar w:fldCharType="end"/>
                    </w:r>
                    <w:r>
                      <w:rPr>
                        <w:rFonts w:hint="eastAsia"/>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91</w:t>
                          </w:r>
                          <w:r>
                            <w:rPr>
                              <w:rFonts w:hint="eastAsia"/>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91</w:t>
                    </w:r>
                    <w:r>
                      <w:rPr>
                        <w:rFonts w:hint="eastAsia"/>
                        <w:sz w:val="18"/>
                      </w:rPr>
                      <w:fldChar w:fldCharType="end"/>
                    </w:r>
                    <w:r>
                      <w:rPr>
                        <w:rFonts w:hint="eastAsia"/>
                        <w:sz w:val="18"/>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pPr>
    <w:r>
      <w:rPr>
        <w:rFonts w:hint="eastAsia" w:ascii="仿宋" w:hAnsi="仿宋" w:eastAsia="仿宋" w:cs="仿宋"/>
      </w:rPr>
      <w:t xml:space="preserve">（代理机构）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 w:hAnsi="仿宋" w:eastAsia="仿宋" w:cs="仿宋"/>
        <w:i/>
        <w:u w:val="single"/>
      </w:rPr>
    </w:pPr>
    <w:r>
      <w:rPr>
        <w:rFonts w:hint="eastAsia" w:ascii="仿宋" w:hAnsi="仿宋" w:eastAsia="仿宋" w:cs="仿宋"/>
      </w:rPr>
      <w:t xml:space="preserve">浙江翔实建设项目管理有限公司                                                  文件编号:  </w:t>
    </w:r>
    <w:r>
      <w:rPr>
        <w:rFonts w:hint="eastAsia" w:ascii="仿宋" w:hAnsi="仿宋" w:eastAsia="仿宋" w:cs="仿宋"/>
        <w:lang w:eastAsia="zh-CN"/>
      </w:rPr>
      <w:t>ZJXSC-2024-174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right"/>
      <w:rPr>
        <w:u w:val="single"/>
      </w:rPr>
    </w:pPr>
    <w:r>
      <w:rPr>
        <w:rFonts w:hint="eastAsia"/>
        <w:u w:val="single"/>
      </w:rPr>
      <w:t xml:space="preserve">浙江翔实建设项目管理有限公司                                             文件编号:  </w:t>
    </w:r>
    <w:r>
      <w:rPr>
        <w:rFonts w:hint="eastAsia"/>
        <w:u w:val="single"/>
        <w:lang w:eastAsia="zh-CN"/>
      </w:rPr>
      <w:t>ZJXSC-2024-174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rPr>
      <w:t xml:space="preserve">浙江翔实建设项目管理有限公司                                              文件编号:  </w:t>
    </w:r>
    <w:r>
      <w:rPr>
        <w:rFonts w:hint="eastAsia"/>
        <w:lang w:eastAsia="zh-CN"/>
      </w:rPr>
      <w:t>ZJXSC-2024-174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 w:hAnsi="仿宋" w:eastAsia="仿宋" w:cs="仿宋"/>
        <w:sz w:val="18"/>
        <w:szCs w:val="18"/>
        <w:u w:val="single"/>
      </w:rPr>
    </w:pPr>
    <w:r>
      <w:rPr>
        <w:rFonts w:hint="eastAsia" w:ascii="仿宋" w:hAnsi="仿宋" w:eastAsia="仿宋" w:cs="仿宋"/>
        <w:sz w:val="18"/>
        <w:szCs w:val="18"/>
        <w:u w:val="single"/>
      </w:rPr>
      <w:t xml:space="preserve">浙江翔实建设项目管理有限公司                                                  文件编号:  </w:t>
    </w:r>
    <w:r>
      <w:rPr>
        <w:rFonts w:hint="eastAsia" w:ascii="仿宋" w:hAnsi="仿宋" w:eastAsia="仿宋" w:cs="仿宋"/>
        <w:sz w:val="18"/>
        <w:szCs w:val="18"/>
        <w:u w:val="single"/>
        <w:lang w:eastAsia="zh-CN"/>
      </w:rPr>
      <w:t>ZJXSC-2024-174</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i/>
        <w:u w:val="single"/>
      </w:rPr>
    </w:pPr>
    <w:r>
      <w:rPr>
        <w:rFonts w:hint="eastAsia"/>
      </w:rPr>
      <w:t xml:space="preserve"> </w:t>
    </w:r>
    <w:r>
      <w:rPr>
        <w:rFonts w:hint="eastAsia" w:ascii="仿宋" w:hAnsi="仿宋" w:eastAsia="仿宋" w:cs="仿宋"/>
        <w:sz w:val="18"/>
        <w:szCs w:val="18"/>
        <w:u w:val="single"/>
      </w:rPr>
      <w:t xml:space="preserve">浙江翔实建设项目管理有限公司                                                 文件编号:  </w:t>
    </w:r>
    <w:r>
      <w:rPr>
        <w:rFonts w:hint="eastAsia" w:ascii="仿宋" w:hAnsi="仿宋" w:eastAsia="仿宋" w:cs="仿宋"/>
        <w:sz w:val="18"/>
        <w:szCs w:val="18"/>
        <w:u w:val="single"/>
        <w:lang w:eastAsia="zh-CN"/>
      </w:rPr>
      <w:t>ZJXSC-2024-174</w:t>
    </w:r>
    <w:r>
      <w:rPr>
        <w:rFonts w:hint="eastAsia" w:ascii="仿宋" w:hAnsi="仿宋" w:eastAsia="仿宋" w:cs="仿宋"/>
      </w:rPr>
      <w:t xml:space="preserve">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rPr>
      <w:t xml:space="preserve">浙江翔实建设项目管理有限公司                                       文件编号:  </w:t>
    </w:r>
    <w:r>
      <w:rPr>
        <w:rFonts w:hint="eastAsia"/>
        <w:lang w:eastAsia="zh-CN"/>
      </w:rPr>
      <w:t>ZJXSC-2024-174</w:t>
    </w:r>
  </w:p>
  <w:p>
    <w:pPr>
      <w:pStyle w:val="42"/>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rPr>
    </w:pPr>
    <w:r>
      <w:rPr>
        <w:rFonts w:hint="eastAsia" w:ascii="仿宋_GB2312" w:eastAsia="仿宋_GB2312"/>
      </w:rPr>
      <w:t xml:space="preserve">浙江翔实建设项目管理有限公司                                                  文件编号:  </w:t>
    </w:r>
    <w:r>
      <w:rPr>
        <w:rFonts w:hint="eastAsia" w:ascii="仿宋_GB2312" w:eastAsia="仿宋_GB2312"/>
        <w:lang w:eastAsia="zh-CN"/>
      </w:rPr>
      <w:t>ZJXSC-2024-174</w:t>
    </w:r>
  </w:p>
  <w:p>
    <w:pPr>
      <w:pStyle w:val="42"/>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D04AB"/>
    <w:multiLevelType w:val="singleLevel"/>
    <w:tmpl w:val="8F5D04AB"/>
    <w:lvl w:ilvl="0" w:tentative="0">
      <w:start w:val="1"/>
      <w:numFmt w:val="decimal"/>
      <w:lvlText w:val="(%1)"/>
      <w:lvlJc w:val="left"/>
      <w:pPr>
        <w:tabs>
          <w:tab w:val="left" w:pos="-420"/>
        </w:tabs>
        <w:ind w:left="5" w:hanging="425"/>
      </w:pPr>
      <w:rPr>
        <w:rFonts w:hint="default"/>
      </w:rPr>
    </w:lvl>
  </w:abstractNum>
  <w:abstractNum w:abstractNumId="1">
    <w:nsid w:val="B5485F02"/>
    <w:multiLevelType w:val="singleLevel"/>
    <w:tmpl w:val="B5485F02"/>
    <w:lvl w:ilvl="0" w:tentative="0">
      <w:start w:val="1"/>
      <w:numFmt w:val="decimal"/>
      <w:lvlText w:val="(%1)"/>
      <w:lvlJc w:val="left"/>
      <w:pPr>
        <w:tabs>
          <w:tab w:val="left" w:pos="-420"/>
        </w:tabs>
        <w:ind w:left="5" w:hanging="425"/>
      </w:pPr>
      <w:rPr>
        <w:rFonts w:hint="default"/>
      </w:rPr>
    </w:lvl>
  </w:abstractNum>
  <w:abstractNum w:abstractNumId="2">
    <w:nsid w:val="BBCB0B87"/>
    <w:multiLevelType w:val="singleLevel"/>
    <w:tmpl w:val="BBCB0B87"/>
    <w:lvl w:ilvl="0" w:tentative="0">
      <w:start w:val="1"/>
      <w:numFmt w:val="decimal"/>
      <w:lvlText w:val="(%1)"/>
      <w:lvlJc w:val="left"/>
      <w:pPr>
        <w:tabs>
          <w:tab w:val="left" w:pos="-420"/>
        </w:tabs>
        <w:ind w:left="5" w:hanging="425"/>
      </w:pPr>
      <w:rPr>
        <w:rFonts w:hint="default"/>
      </w:r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6CFE27A"/>
    <w:multiLevelType w:val="singleLevel"/>
    <w:tmpl w:val="D6CFE27A"/>
    <w:lvl w:ilvl="0" w:tentative="0">
      <w:start w:val="1"/>
      <w:numFmt w:val="decimal"/>
      <w:lvlText w:val="(%1)"/>
      <w:lvlJc w:val="left"/>
      <w:pPr>
        <w:tabs>
          <w:tab w:val="left" w:pos="-420"/>
        </w:tabs>
        <w:ind w:left="5" w:hanging="425"/>
      </w:pPr>
      <w:rPr>
        <w:rFonts w:hint="default"/>
      </w:rPr>
    </w:lvl>
  </w:abstractNum>
  <w:abstractNum w:abstractNumId="6">
    <w:nsid w:val="D92BC918"/>
    <w:multiLevelType w:val="singleLevel"/>
    <w:tmpl w:val="D92BC918"/>
    <w:lvl w:ilvl="0" w:tentative="0">
      <w:start w:val="1"/>
      <w:numFmt w:val="decimal"/>
      <w:lvlText w:val="(%1)"/>
      <w:lvlJc w:val="left"/>
      <w:pPr>
        <w:tabs>
          <w:tab w:val="left" w:pos="-420"/>
        </w:tabs>
        <w:ind w:left="5" w:hanging="425"/>
      </w:pPr>
      <w:rPr>
        <w:rFonts w:hint="default"/>
      </w:rPr>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2">
    <w:nsid w:val="125C117B"/>
    <w:multiLevelType w:val="singleLevel"/>
    <w:tmpl w:val="125C117B"/>
    <w:lvl w:ilvl="0" w:tentative="0">
      <w:start w:val="1"/>
      <w:numFmt w:val="decimal"/>
      <w:suff w:val="nothing"/>
      <w:lvlText w:val="（%1）"/>
      <w:lvlJc w:val="left"/>
    </w:lvl>
  </w:abstractNum>
  <w:abstractNum w:abstractNumId="13">
    <w:nsid w:val="16AB5D8B"/>
    <w:multiLevelType w:val="singleLevel"/>
    <w:tmpl w:val="16AB5D8B"/>
    <w:lvl w:ilvl="0" w:tentative="0">
      <w:start w:val="1"/>
      <w:numFmt w:val="decimal"/>
      <w:lvlText w:val="(%1)"/>
      <w:lvlJc w:val="left"/>
      <w:pPr>
        <w:tabs>
          <w:tab w:val="left" w:pos="-420"/>
        </w:tabs>
        <w:ind w:left="5" w:hanging="425"/>
      </w:pPr>
      <w:rPr>
        <w:rFonts w:hint="default"/>
      </w:rPr>
    </w:lvl>
  </w:abstractNum>
  <w:abstractNum w:abstractNumId="14">
    <w:nsid w:val="2CA3812E"/>
    <w:multiLevelType w:val="multilevel"/>
    <w:tmpl w:val="2CA3812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3054619"/>
    <w:multiLevelType w:val="singleLevel"/>
    <w:tmpl w:val="33054619"/>
    <w:lvl w:ilvl="0" w:tentative="0">
      <w:start w:val="1"/>
      <w:numFmt w:val="decimal"/>
      <w:lvlText w:val="(%1)"/>
      <w:lvlJc w:val="left"/>
      <w:pPr>
        <w:tabs>
          <w:tab w:val="left" w:pos="-420"/>
        </w:tabs>
        <w:ind w:left="5" w:hanging="425"/>
      </w:pPr>
      <w:rPr>
        <w:rFonts w:hint="default"/>
      </w:rPr>
    </w:lvl>
  </w:abstractNum>
  <w:abstractNum w:abstractNumId="16">
    <w:nsid w:val="43E31D4B"/>
    <w:multiLevelType w:val="multilevel"/>
    <w:tmpl w:val="43E31D4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05FBD6"/>
    <w:multiLevelType w:val="singleLevel"/>
    <w:tmpl w:val="4505FBD6"/>
    <w:lvl w:ilvl="0" w:tentative="0">
      <w:start w:val="1"/>
      <w:numFmt w:val="decimal"/>
      <w:lvlText w:val="(%1)"/>
      <w:lvlJc w:val="left"/>
      <w:pPr>
        <w:tabs>
          <w:tab w:val="left" w:pos="-420"/>
        </w:tabs>
        <w:ind w:left="5" w:hanging="425"/>
      </w:pPr>
      <w:rPr>
        <w:rFonts w:hint="default"/>
      </w:rPr>
    </w:lvl>
  </w:abstractNum>
  <w:abstractNum w:abstractNumId="18">
    <w:nsid w:val="599B32C2"/>
    <w:multiLevelType w:val="singleLevel"/>
    <w:tmpl w:val="599B32C2"/>
    <w:lvl w:ilvl="0" w:tentative="0">
      <w:start w:val="1"/>
      <w:numFmt w:val="decimal"/>
      <w:lvlText w:val="(%1)"/>
      <w:lvlJc w:val="left"/>
      <w:pPr>
        <w:tabs>
          <w:tab w:val="left" w:pos="-420"/>
        </w:tabs>
        <w:ind w:left="5" w:hanging="425"/>
      </w:pPr>
      <w:rPr>
        <w:rFonts w:hint="default"/>
      </w:rPr>
    </w:lvl>
  </w:abstractNum>
  <w:abstractNum w:abstractNumId="19">
    <w:nsid w:val="62C3518A"/>
    <w:multiLevelType w:val="multilevel"/>
    <w:tmpl w:val="62C3518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A0F6431"/>
    <w:multiLevelType w:val="singleLevel"/>
    <w:tmpl w:val="7A0F6431"/>
    <w:lvl w:ilvl="0" w:tentative="0">
      <w:start w:val="1"/>
      <w:numFmt w:val="decimal"/>
      <w:suff w:val="space"/>
      <w:lvlText w:val="%1."/>
      <w:lvlJc w:val="left"/>
    </w:lvl>
  </w:abstractNum>
  <w:abstractNum w:abstractNumId="21">
    <w:nsid w:val="7AC4A336"/>
    <w:multiLevelType w:val="singleLevel"/>
    <w:tmpl w:val="7AC4A336"/>
    <w:lvl w:ilvl="0" w:tentative="0">
      <w:start w:val="1"/>
      <w:numFmt w:val="decimal"/>
      <w:lvlText w:val="(%1)"/>
      <w:lvlJc w:val="left"/>
      <w:pPr>
        <w:tabs>
          <w:tab w:val="left" w:pos="-420"/>
        </w:tabs>
        <w:ind w:left="5" w:hanging="425"/>
      </w:pPr>
      <w:rPr>
        <w:rFonts w:hint="default"/>
      </w:rPr>
    </w:lvl>
  </w:abstractNum>
  <w:num w:numId="1">
    <w:abstractNumId w:val="16"/>
  </w:num>
  <w:num w:numId="2">
    <w:abstractNumId w:val="6"/>
  </w:num>
  <w:num w:numId="3">
    <w:abstractNumId w:val="17"/>
  </w:num>
  <w:num w:numId="4">
    <w:abstractNumId w:val="5"/>
  </w:num>
  <w:num w:numId="5">
    <w:abstractNumId w:val="2"/>
  </w:num>
  <w:num w:numId="6">
    <w:abstractNumId w:val="1"/>
  </w:num>
  <w:num w:numId="7">
    <w:abstractNumId w:val="15"/>
  </w:num>
  <w:num w:numId="8">
    <w:abstractNumId w:val="13"/>
  </w:num>
  <w:num w:numId="9">
    <w:abstractNumId w:val="0"/>
  </w:num>
  <w:num w:numId="10">
    <w:abstractNumId w:val="18"/>
  </w:num>
  <w:num w:numId="11">
    <w:abstractNumId w:val="21"/>
  </w:num>
  <w:num w:numId="12">
    <w:abstractNumId w:val="19"/>
  </w:num>
  <w:num w:numId="13">
    <w:abstractNumId w:val="14"/>
  </w:num>
  <w:num w:numId="14">
    <w:abstractNumId w:val="20"/>
  </w:num>
  <w:num w:numId="15">
    <w:abstractNumId w:val="4"/>
  </w:num>
  <w:num w:numId="16">
    <w:abstractNumId w:val="10"/>
  </w:num>
  <w:num w:numId="17">
    <w:abstractNumId w:val="8"/>
  </w:num>
  <w:num w:numId="18">
    <w:abstractNumId w:val="7"/>
  </w:num>
  <w:num w:numId="19">
    <w:abstractNumId w:val="3"/>
  </w:num>
  <w:num w:numId="20">
    <w:abstractNumId w:val="9"/>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xOGZhMzkxMWQ5YzJiNjRlZWU2YWNkYmU2OWQxOGIifQ=="/>
    <w:docVar w:name="KSO_WPS_MARK_KEY" w:val="adbb3d0e-73c2-41a2-9282-c81239c0acef"/>
  </w:docVars>
  <w:rsids>
    <w:rsidRoot w:val="003846BE"/>
    <w:rsid w:val="00002B2A"/>
    <w:rsid w:val="00085A48"/>
    <w:rsid w:val="0009109D"/>
    <w:rsid w:val="000B14FF"/>
    <w:rsid w:val="000B5B13"/>
    <w:rsid w:val="000D70FD"/>
    <w:rsid w:val="000E0F77"/>
    <w:rsid w:val="001039F8"/>
    <w:rsid w:val="0016621F"/>
    <w:rsid w:val="00181E30"/>
    <w:rsid w:val="00192893"/>
    <w:rsid w:val="001D3577"/>
    <w:rsid w:val="001E0657"/>
    <w:rsid w:val="001E3A3A"/>
    <w:rsid w:val="001E58BF"/>
    <w:rsid w:val="001E7725"/>
    <w:rsid w:val="001F038E"/>
    <w:rsid w:val="0023145D"/>
    <w:rsid w:val="0026541E"/>
    <w:rsid w:val="0027470A"/>
    <w:rsid w:val="002C364A"/>
    <w:rsid w:val="002D63F9"/>
    <w:rsid w:val="00324A15"/>
    <w:rsid w:val="003340B9"/>
    <w:rsid w:val="003406AF"/>
    <w:rsid w:val="00352AA2"/>
    <w:rsid w:val="0036361A"/>
    <w:rsid w:val="003846BE"/>
    <w:rsid w:val="003A7438"/>
    <w:rsid w:val="003B21BE"/>
    <w:rsid w:val="00423616"/>
    <w:rsid w:val="00454DE6"/>
    <w:rsid w:val="004B1CFD"/>
    <w:rsid w:val="004B2B8D"/>
    <w:rsid w:val="004B4ACB"/>
    <w:rsid w:val="004B7957"/>
    <w:rsid w:val="004C11F1"/>
    <w:rsid w:val="004D2402"/>
    <w:rsid w:val="004E16F7"/>
    <w:rsid w:val="00514BCB"/>
    <w:rsid w:val="0054128E"/>
    <w:rsid w:val="005729E1"/>
    <w:rsid w:val="00581244"/>
    <w:rsid w:val="00581DEA"/>
    <w:rsid w:val="00596F4D"/>
    <w:rsid w:val="005F58B3"/>
    <w:rsid w:val="00632B52"/>
    <w:rsid w:val="00694875"/>
    <w:rsid w:val="006C4399"/>
    <w:rsid w:val="006D605C"/>
    <w:rsid w:val="006E7156"/>
    <w:rsid w:val="006F0221"/>
    <w:rsid w:val="00722DC5"/>
    <w:rsid w:val="00726CB9"/>
    <w:rsid w:val="007D0F33"/>
    <w:rsid w:val="007F24AB"/>
    <w:rsid w:val="00872387"/>
    <w:rsid w:val="00893E0B"/>
    <w:rsid w:val="008E7136"/>
    <w:rsid w:val="0091463B"/>
    <w:rsid w:val="00923968"/>
    <w:rsid w:val="009B7DAD"/>
    <w:rsid w:val="009C088E"/>
    <w:rsid w:val="009C2E43"/>
    <w:rsid w:val="009C6D5B"/>
    <w:rsid w:val="00A37169"/>
    <w:rsid w:val="00A76B7A"/>
    <w:rsid w:val="00AA4E70"/>
    <w:rsid w:val="00AA5E89"/>
    <w:rsid w:val="00B45238"/>
    <w:rsid w:val="00C03DB7"/>
    <w:rsid w:val="00C52701"/>
    <w:rsid w:val="00C64621"/>
    <w:rsid w:val="00CE1540"/>
    <w:rsid w:val="00CE427F"/>
    <w:rsid w:val="00CF37E2"/>
    <w:rsid w:val="00D01237"/>
    <w:rsid w:val="00D03026"/>
    <w:rsid w:val="00D10D59"/>
    <w:rsid w:val="00D53402"/>
    <w:rsid w:val="00D86287"/>
    <w:rsid w:val="00DC6FFA"/>
    <w:rsid w:val="00DD0BFB"/>
    <w:rsid w:val="00DF45D2"/>
    <w:rsid w:val="00E16A1C"/>
    <w:rsid w:val="00E20BC2"/>
    <w:rsid w:val="00E20D27"/>
    <w:rsid w:val="00E65240"/>
    <w:rsid w:val="00E70A08"/>
    <w:rsid w:val="00E96D70"/>
    <w:rsid w:val="00E973D7"/>
    <w:rsid w:val="00EA7049"/>
    <w:rsid w:val="00F36856"/>
    <w:rsid w:val="01F01BD2"/>
    <w:rsid w:val="027A7D39"/>
    <w:rsid w:val="033E089E"/>
    <w:rsid w:val="04390EE3"/>
    <w:rsid w:val="06850076"/>
    <w:rsid w:val="06D74677"/>
    <w:rsid w:val="0700157C"/>
    <w:rsid w:val="07434BE5"/>
    <w:rsid w:val="07AE6A79"/>
    <w:rsid w:val="08907EFC"/>
    <w:rsid w:val="08A72892"/>
    <w:rsid w:val="090B54C9"/>
    <w:rsid w:val="097C1E32"/>
    <w:rsid w:val="0983157E"/>
    <w:rsid w:val="0A3724C6"/>
    <w:rsid w:val="0AD51080"/>
    <w:rsid w:val="0AF55F0A"/>
    <w:rsid w:val="0C3666C5"/>
    <w:rsid w:val="0F691F14"/>
    <w:rsid w:val="0FA0239A"/>
    <w:rsid w:val="104B4477"/>
    <w:rsid w:val="10ED2169"/>
    <w:rsid w:val="113F3F41"/>
    <w:rsid w:val="12373144"/>
    <w:rsid w:val="12995ED1"/>
    <w:rsid w:val="13EA2A98"/>
    <w:rsid w:val="14127BE9"/>
    <w:rsid w:val="16816414"/>
    <w:rsid w:val="169B1820"/>
    <w:rsid w:val="169E17AF"/>
    <w:rsid w:val="16B63C84"/>
    <w:rsid w:val="16FC612D"/>
    <w:rsid w:val="17184A0A"/>
    <w:rsid w:val="175207E1"/>
    <w:rsid w:val="18126685"/>
    <w:rsid w:val="18196380"/>
    <w:rsid w:val="192B4E46"/>
    <w:rsid w:val="19670574"/>
    <w:rsid w:val="1B842BA7"/>
    <w:rsid w:val="1BBC5BF6"/>
    <w:rsid w:val="1BD06EBA"/>
    <w:rsid w:val="1DDF4451"/>
    <w:rsid w:val="1E984D2C"/>
    <w:rsid w:val="1F090DCE"/>
    <w:rsid w:val="1F23640A"/>
    <w:rsid w:val="1F83778A"/>
    <w:rsid w:val="205267C0"/>
    <w:rsid w:val="205A041B"/>
    <w:rsid w:val="2094169A"/>
    <w:rsid w:val="20E06E5E"/>
    <w:rsid w:val="21311468"/>
    <w:rsid w:val="218477E9"/>
    <w:rsid w:val="218F490D"/>
    <w:rsid w:val="223959B7"/>
    <w:rsid w:val="2243170C"/>
    <w:rsid w:val="22B10AB2"/>
    <w:rsid w:val="23954983"/>
    <w:rsid w:val="248F097F"/>
    <w:rsid w:val="24D63974"/>
    <w:rsid w:val="24DF5E02"/>
    <w:rsid w:val="257638ED"/>
    <w:rsid w:val="271130F1"/>
    <w:rsid w:val="27A56316"/>
    <w:rsid w:val="28BA0029"/>
    <w:rsid w:val="28D728F5"/>
    <w:rsid w:val="291E6775"/>
    <w:rsid w:val="2A6578B8"/>
    <w:rsid w:val="2AD9320B"/>
    <w:rsid w:val="2C41564E"/>
    <w:rsid w:val="2CDA6E57"/>
    <w:rsid w:val="2D66710F"/>
    <w:rsid w:val="2E222864"/>
    <w:rsid w:val="2ED7364E"/>
    <w:rsid w:val="2EEB0EA8"/>
    <w:rsid w:val="2F2B399A"/>
    <w:rsid w:val="31B85D68"/>
    <w:rsid w:val="325B5340"/>
    <w:rsid w:val="329C25AC"/>
    <w:rsid w:val="33A578C5"/>
    <w:rsid w:val="35D6383D"/>
    <w:rsid w:val="35ED3757"/>
    <w:rsid w:val="36D6068F"/>
    <w:rsid w:val="37EC445B"/>
    <w:rsid w:val="39986719"/>
    <w:rsid w:val="3CC82828"/>
    <w:rsid w:val="3DF87C81"/>
    <w:rsid w:val="3DFB4052"/>
    <w:rsid w:val="3EF99246"/>
    <w:rsid w:val="3F326AC0"/>
    <w:rsid w:val="42535348"/>
    <w:rsid w:val="436C617E"/>
    <w:rsid w:val="4372726D"/>
    <w:rsid w:val="445E4D15"/>
    <w:rsid w:val="44B85EC5"/>
    <w:rsid w:val="46556368"/>
    <w:rsid w:val="46875502"/>
    <w:rsid w:val="46944E61"/>
    <w:rsid w:val="48064E6D"/>
    <w:rsid w:val="48356C5E"/>
    <w:rsid w:val="48BB76E5"/>
    <w:rsid w:val="49437E06"/>
    <w:rsid w:val="49A701BA"/>
    <w:rsid w:val="4A19661E"/>
    <w:rsid w:val="4AE12B4D"/>
    <w:rsid w:val="4C1A464A"/>
    <w:rsid w:val="4C4D6D26"/>
    <w:rsid w:val="4C7C718B"/>
    <w:rsid w:val="4D50548B"/>
    <w:rsid w:val="4DE4148C"/>
    <w:rsid w:val="4FAE554B"/>
    <w:rsid w:val="4FE67929"/>
    <w:rsid w:val="50130CAC"/>
    <w:rsid w:val="50C301CB"/>
    <w:rsid w:val="50DE49C6"/>
    <w:rsid w:val="51635D41"/>
    <w:rsid w:val="51D80FEA"/>
    <w:rsid w:val="52812F3C"/>
    <w:rsid w:val="52FB76C8"/>
    <w:rsid w:val="54D23DEC"/>
    <w:rsid w:val="55AC288F"/>
    <w:rsid w:val="55CA0F67"/>
    <w:rsid w:val="57770C7B"/>
    <w:rsid w:val="57DAE6E1"/>
    <w:rsid w:val="58543A90"/>
    <w:rsid w:val="58C906C7"/>
    <w:rsid w:val="59345014"/>
    <w:rsid w:val="59DB1995"/>
    <w:rsid w:val="5AA578AF"/>
    <w:rsid w:val="5B9C3935"/>
    <w:rsid w:val="5C0951A5"/>
    <w:rsid w:val="5C1346F0"/>
    <w:rsid w:val="5D69550A"/>
    <w:rsid w:val="5D7D276B"/>
    <w:rsid w:val="5E2751A9"/>
    <w:rsid w:val="5E453881"/>
    <w:rsid w:val="5E6113B0"/>
    <w:rsid w:val="5E992BED"/>
    <w:rsid w:val="5EB110F5"/>
    <w:rsid w:val="5EED0D02"/>
    <w:rsid w:val="5EF90A89"/>
    <w:rsid w:val="5F665FB3"/>
    <w:rsid w:val="615256FE"/>
    <w:rsid w:val="6263077A"/>
    <w:rsid w:val="62C85CA9"/>
    <w:rsid w:val="632B74E9"/>
    <w:rsid w:val="63546747"/>
    <w:rsid w:val="6367429A"/>
    <w:rsid w:val="64065861"/>
    <w:rsid w:val="642152E2"/>
    <w:rsid w:val="65077AE2"/>
    <w:rsid w:val="68B1353A"/>
    <w:rsid w:val="69894F6A"/>
    <w:rsid w:val="6A026ACA"/>
    <w:rsid w:val="6A956F47"/>
    <w:rsid w:val="6AEF1016"/>
    <w:rsid w:val="6BA0659B"/>
    <w:rsid w:val="6BC16FE9"/>
    <w:rsid w:val="6E2319A5"/>
    <w:rsid w:val="6E276AFF"/>
    <w:rsid w:val="6E8E2DFC"/>
    <w:rsid w:val="6E9B03C3"/>
    <w:rsid w:val="6F1F00F6"/>
    <w:rsid w:val="702600E8"/>
    <w:rsid w:val="705931BC"/>
    <w:rsid w:val="7091480B"/>
    <w:rsid w:val="70A93A7F"/>
    <w:rsid w:val="7206246C"/>
    <w:rsid w:val="72526EC2"/>
    <w:rsid w:val="729E74BD"/>
    <w:rsid w:val="74166DF6"/>
    <w:rsid w:val="74B037E8"/>
    <w:rsid w:val="74B975B3"/>
    <w:rsid w:val="75D05CCE"/>
    <w:rsid w:val="76276DE8"/>
    <w:rsid w:val="77535960"/>
    <w:rsid w:val="77860D3A"/>
    <w:rsid w:val="79367A77"/>
    <w:rsid w:val="79460254"/>
    <w:rsid w:val="7A1E6A62"/>
    <w:rsid w:val="7AFF2652"/>
    <w:rsid w:val="7BAB113E"/>
    <w:rsid w:val="7CFB7B26"/>
    <w:rsid w:val="7EB7B118"/>
    <w:rsid w:val="7ECB1729"/>
    <w:rsid w:val="7F1528AD"/>
    <w:rsid w:val="7F4DBC21"/>
    <w:rsid w:val="7F96250B"/>
    <w:rsid w:val="B5FFCCE9"/>
    <w:rsid w:val="DD7BA43F"/>
    <w:rsid w:val="ECDF148A"/>
    <w:rsid w:val="EF7FA0D7"/>
    <w:rsid w:val="FFFB181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6"/>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2">
    <w:name w:val="Body Text First Indent 2"/>
    <w:basedOn w:val="3"/>
    <w:link w:val="120"/>
    <w:qFormat/>
    <w:uiPriority w:val="0"/>
    <w:pPr>
      <w:adjustRightInd/>
      <w:spacing w:after="120" w:line="240" w:lineRule="auto"/>
      <w:ind w:left="420" w:leftChars="200" w:firstLine="210"/>
    </w:pPr>
    <w:rPr>
      <w:sz w:val="21"/>
    </w:rPr>
  </w:style>
  <w:style w:type="paragraph" w:styleId="3">
    <w:name w:val="Body Text Indent"/>
    <w:basedOn w:val="1"/>
    <w:next w:val="1"/>
    <w:link w:val="263"/>
    <w:qFormat/>
    <w:uiPriority w:val="0"/>
    <w:pPr>
      <w:spacing w:line="480" w:lineRule="exact"/>
      <w:ind w:firstLine="480" w:firstLineChars="200"/>
    </w:pPr>
    <w:rPr>
      <w:rFonts w:ascii="宋体" w:hAnsi="宋体"/>
      <w:sz w:val="24"/>
    </w:rPr>
  </w:style>
  <w:style w:type="paragraph" w:styleId="6">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0"/>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19"/>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0"/>
    <w:pPr>
      <w:tabs>
        <w:tab w:val="center" w:pos="4153"/>
        <w:tab w:val="right" w:pos="8306"/>
      </w:tabs>
      <w:snapToGrid w:val="0"/>
      <w:jc w:val="left"/>
    </w:pPr>
    <w:rPr>
      <w:sz w:val="18"/>
      <w:szCs w:val="18"/>
    </w:rPr>
  </w:style>
  <w:style w:type="paragraph" w:styleId="42">
    <w:name w:val="header"/>
    <w:basedOn w:val="1"/>
    <w:link w:val="390"/>
    <w:qFormat/>
    <w:uiPriority w:val="0"/>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qFormat/>
    <w:uiPriority w:val="0"/>
    <w:rPr>
      <w:b/>
      <w:bCs/>
    </w:rPr>
  </w:style>
  <w:style w:type="table" w:styleId="63">
    <w:name w:val="Table Grid"/>
    <w:basedOn w:val="6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0"/>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0"/>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basedOn w:val="69"/>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0"/>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3"/>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69"/>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0"/>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4">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965">
    <w:name w:val="列出段落6"/>
    <w:basedOn w:val="1"/>
    <w:qFormat/>
    <w:uiPriority w:val="34"/>
    <w:pPr>
      <w:adjustRightInd/>
      <w:jc w:val="center"/>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100</Pages>
  <Words>58331</Words>
  <Characters>62723</Characters>
  <Lines>485</Lines>
  <Paragraphs>136</Paragraphs>
  <TotalTime>15</TotalTime>
  <ScaleCrop>false</ScaleCrop>
  <LinksUpToDate>false</LinksUpToDate>
  <CharactersWithSpaces>71591</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2024-07-23T20:53:00Z</dcterms:created>
  <dc:creator>玥</dc:creator>
  <cp:lastModifiedBy>龙虎</cp:lastModifiedBy>
  <cp:lastPrinted>2024-06-28T23:46:00Z</cp:lastPrinted>
  <dcterms:modified xsi:type="dcterms:W3CDTF">2024-08-11T06:52:29Z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4A03C17E870844B49B9AF454C8832ABB_13</vt:lpwstr>
  </property>
</Properties>
</file>