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b/>
          <w:bCs/>
          <w:color w:val="auto"/>
          <w:sz w:val="52"/>
          <w:szCs w:val="52"/>
          <w:highlight w:val="none"/>
        </w:rPr>
      </w:pPr>
      <w:r>
        <w:rPr>
          <w:rFonts w:hint="eastAsia" w:ascii="仿宋" w:eastAsia="仿宋"/>
          <w:b/>
          <w:bCs/>
          <w:color w:val="auto"/>
          <w:sz w:val="52"/>
          <w:szCs w:val="52"/>
          <w:highlight w:val="none"/>
        </w:rPr>
        <w:t>滨海新区生物医</w:t>
      </w:r>
      <w:bookmarkStart w:id="83" w:name="_GoBack"/>
      <w:bookmarkEnd w:id="83"/>
      <w:r>
        <w:rPr>
          <w:rFonts w:hint="eastAsia" w:ascii="仿宋" w:eastAsia="仿宋"/>
          <w:b/>
          <w:bCs/>
          <w:color w:val="auto"/>
          <w:sz w:val="52"/>
          <w:szCs w:val="52"/>
          <w:highlight w:val="none"/>
        </w:rPr>
        <w:t>药“云上综合体”</w:t>
      </w:r>
    </w:p>
    <w:p>
      <w:pPr>
        <w:jc w:val="center"/>
        <w:rPr>
          <w:rFonts w:ascii="仿宋" w:eastAsia="仿宋"/>
          <w:b/>
          <w:bCs/>
          <w:color w:val="auto"/>
          <w:sz w:val="52"/>
          <w:szCs w:val="52"/>
          <w:highlight w:val="none"/>
        </w:rPr>
      </w:pPr>
      <w:r>
        <w:rPr>
          <w:rFonts w:hint="eastAsia" w:ascii="仿宋" w:eastAsia="仿宋"/>
          <w:b/>
          <w:bCs/>
          <w:color w:val="auto"/>
          <w:sz w:val="52"/>
          <w:szCs w:val="52"/>
          <w:highlight w:val="none"/>
        </w:rPr>
        <w:t>数字化平台项目</w:t>
      </w:r>
    </w:p>
    <w:p>
      <w:pPr>
        <w:rPr>
          <w:rFonts w:ascii="仿宋" w:eastAsia="仿宋"/>
          <w:color w:val="auto"/>
          <w:sz w:val="36"/>
          <w:szCs w:val="36"/>
          <w:highlight w:val="none"/>
        </w:rPr>
      </w:pPr>
    </w:p>
    <w:p>
      <w:pPr>
        <w:rPr>
          <w:rFonts w:ascii="仿宋" w:eastAsia="仿宋"/>
          <w:color w:val="auto"/>
          <w:sz w:val="36"/>
          <w:szCs w:val="36"/>
          <w:highlight w:val="none"/>
        </w:rPr>
      </w:pP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pPr>
        <w:rPr>
          <w:rFonts w:ascii="仿宋" w:eastAsia="仿宋"/>
          <w:color w:val="auto"/>
          <w:sz w:val="36"/>
          <w:szCs w:val="36"/>
          <w:highlight w:val="none"/>
        </w:rPr>
      </w:pPr>
    </w:p>
    <w:p>
      <w:pPr>
        <w:pStyle w:val="14"/>
        <w:rPr>
          <w:color w:val="auto"/>
          <w:highlight w:val="none"/>
        </w:rPr>
      </w:pPr>
    </w:p>
    <w:tbl>
      <w:tblPr>
        <w:tblStyle w:val="31"/>
        <w:tblW w:w="8047" w:type="dxa"/>
        <w:jc w:val="center"/>
        <w:tblLayout w:type="fixed"/>
        <w:tblCellMar>
          <w:top w:w="0" w:type="dxa"/>
          <w:left w:w="108" w:type="dxa"/>
          <w:bottom w:w="0" w:type="dxa"/>
          <w:right w:w="108" w:type="dxa"/>
        </w:tblCellMar>
      </w:tblPr>
      <w:tblGrid>
        <w:gridCol w:w="2179"/>
        <w:gridCol w:w="5868"/>
      </w:tblGrid>
      <w:tr>
        <w:tblPrEx>
          <w:tblCellMar>
            <w:top w:w="0" w:type="dxa"/>
            <w:left w:w="108" w:type="dxa"/>
            <w:bottom w:w="0" w:type="dxa"/>
            <w:right w:w="108" w:type="dxa"/>
          </w:tblCellMar>
        </w:tblPrEx>
        <w:trPr>
          <w:trHeight w:val="453" w:hRule="exact"/>
          <w:jc w:val="center"/>
        </w:trPr>
        <w:tc>
          <w:tcPr>
            <w:tcW w:w="2179"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项目编号：</w:t>
            </w:r>
          </w:p>
        </w:tc>
        <w:tc>
          <w:tcPr>
            <w:tcW w:w="5868" w:type="dxa"/>
            <w:tcBorders>
              <w:top w:val="nil"/>
              <w:left w:val="nil"/>
              <w:bottom w:val="nil"/>
              <w:right w:val="nil"/>
            </w:tcBorders>
            <w:noWrap/>
            <w:vAlign w:val="center"/>
          </w:tcPr>
          <w:p>
            <w:pPr>
              <w:rPr>
                <w:rFonts w:ascii="仿宋" w:eastAsia="仿宋"/>
                <w:color w:val="auto"/>
                <w:sz w:val="28"/>
                <w:highlight w:val="none"/>
                <w:u w:val="single"/>
              </w:rPr>
            </w:pPr>
            <w:r>
              <w:rPr>
                <w:rFonts w:hint="eastAsia" w:ascii="仿宋" w:eastAsia="仿宋"/>
                <w:color w:val="auto"/>
                <w:sz w:val="28"/>
                <w:highlight w:val="none"/>
                <w:u w:val="single"/>
              </w:rPr>
              <w:t>YCDL2024-06-0024</w:t>
            </w:r>
          </w:p>
        </w:tc>
      </w:tr>
      <w:tr>
        <w:tblPrEx>
          <w:tblCellMar>
            <w:top w:w="0" w:type="dxa"/>
            <w:left w:w="108" w:type="dxa"/>
            <w:bottom w:w="0" w:type="dxa"/>
            <w:right w:w="108" w:type="dxa"/>
          </w:tblCellMar>
        </w:tblPrEx>
        <w:trPr>
          <w:trHeight w:val="453" w:hRule="exact"/>
          <w:jc w:val="center"/>
        </w:trPr>
        <w:tc>
          <w:tcPr>
            <w:tcW w:w="2179"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采购单位：</w:t>
            </w:r>
          </w:p>
        </w:tc>
        <w:tc>
          <w:tcPr>
            <w:tcW w:w="5868"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绍兴滨海新区管理委员会</w:t>
            </w:r>
          </w:p>
        </w:tc>
      </w:tr>
      <w:tr>
        <w:tblPrEx>
          <w:tblCellMar>
            <w:top w:w="0" w:type="dxa"/>
            <w:left w:w="108" w:type="dxa"/>
            <w:bottom w:w="0" w:type="dxa"/>
            <w:right w:w="108" w:type="dxa"/>
          </w:tblCellMar>
        </w:tblPrEx>
        <w:trPr>
          <w:trHeight w:val="453" w:hRule="exact"/>
          <w:jc w:val="center"/>
        </w:trPr>
        <w:tc>
          <w:tcPr>
            <w:tcW w:w="2179"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采购代理机构：</w:t>
            </w:r>
          </w:p>
        </w:tc>
        <w:tc>
          <w:tcPr>
            <w:tcW w:w="5868"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浙江翔实建设项目管理有限公司</w:t>
            </w:r>
          </w:p>
        </w:tc>
      </w:tr>
      <w:tr>
        <w:tblPrEx>
          <w:tblCellMar>
            <w:top w:w="0" w:type="dxa"/>
            <w:left w:w="108" w:type="dxa"/>
            <w:bottom w:w="0" w:type="dxa"/>
            <w:right w:w="108" w:type="dxa"/>
          </w:tblCellMar>
        </w:tblPrEx>
        <w:trPr>
          <w:trHeight w:val="453" w:hRule="exact"/>
          <w:jc w:val="center"/>
        </w:trPr>
        <w:tc>
          <w:tcPr>
            <w:tcW w:w="2179" w:type="dxa"/>
            <w:vMerge w:val="restart"/>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监督单位：</w:t>
            </w:r>
          </w:p>
        </w:tc>
        <w:tc>
          <w:tcPr>
            <w:tcW w:w="5868"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绍兴市越城区公共资源交易管理委员会办公室</w:t>
            </w:r>
          </w:p>
        </w:tc>
      </w:tr>
      <w:tr>
        <w:tblPrEx>
          <w:tblCellMar>
            <w:top w:w="0" w:type="dxa"/>
            <w:left w:w="108" w:type="dxa"/>
            <w:bottom w:w="0" w:type="dxa"/>
            <w:right w:w="108" w:type="dxa"/>
          </w:tblCellMar>
        </w:tblPrEx>
        <w:trPr>
          <w:trHeight w:val="453" w:hRule="exact"/>
          <w:jc w:val="center"/>
        </w:trPr>
        <w:tc>
          <w:tcPr>
            <w:tcW w:w="2179" w:type="dxa"/>
            <w:vMerge w:val="continue"/>
            <w:tcBorders>
              <w:top w:val="nil"/>
              <w:left w:val="nil"/>
              <w:bottom w:val="nil"/>
              <w:right w:val="nil"/>
            </w:tcBorders>
            <w:noWrap/>
          </w:tcPr>
          <w:p>
            <w:pPr>
              <w:rPr>
                <w:color w:val="auto"/>
                <w:highlight w:val="none"/>
              </w:rPr>
            </w:pPr>
          </w:p>
        </w:tc>
        <w:tc>
          <w:tcPr>
            <w:tcW w:w="5868"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绍兴滨海新区管理委员会财政局</w:t>
            </w:r>
          </w:p>
        </w:tc>
      </w:tr>
    </w:tbl>
    <w:p>
      <w:pPr>
        <w:rPr>
          <w:rFonts w:ascii="仿宋" w:eastAsia="仿宋"/>
          <w:color w:val="auto"/>
          <w:sz w:val="28"/>
          <w:highlight w:val="none"/>
        </w:rPr>
      </w:pPr>
    </w:p>
    <w:p>
      <w:pPr>
        <w:jc w:val="center"/>
        <w:rPr>
          <w:rFonts w:ascii="仿宋" w:eastAsia="仿宋"/>
          <w:color w:val="auto"/>
          <w:sz w:val="28"/>
          <w:highlight w:val="none"/>
        </w:rPr>
      </w:pPr>
      <w:r>
        <w:rPr>
          <w:rFonts w:hint="eastAsia" w:ascii="仿宋" w:eastAsia="仿宋"/>
          <w:color w:val="auto"/>
          <w:sz w:val="28"/>
          <w:highlight w:val="none"/>
          <w:u w:val="single"/>
        </w:rPr>
        <w:t xml:space="preserve"> 2024 </w:t>
      </w:r>
      <w:r>
        <w:rPr>
          <w:rFonts w:hint="eastAsia" w:ascii="仿宋" w:eastAsia="仿宋"/>
          <w:color w:val="auto"/>
          <w:sz w:val="28"/>
          <w:highlight w:val="none"/>
        </w:rPr>
        <w:t>年</w:t>
      </w:r>
      <w:r>
        <w:rPr>
          <w:rFonts w:hint="eastAsia" w:ascii="仿宋" w:eastAsia="仿宋"/>
          <w:color w:val="auto"/>
          <w:sz w:val="28"/>
          <w:highlight w:val="none"/>
          <w:u w:val="single"/>
        </w:rPr>
        <w:t xml:space="preserve"> 10 </w:t>
      </w:r>
      <w:r>
        <w:rPr>
          <w:rFonts w:hint="eastAsia" w:ascii="仿宋" w:eastAsia="仿宋"/>
          <w:color w:val="auto"/>
          <w:sz w:val="28"/>
          <w:highlight w:val="none"/>
        </w:rPr>
        <w:t>月</w:t>
      </w:r>
    </w:p>
    <w:p>
      <w:pPr>
        <w:rPr>
          <w:rFonts w:ascii="仿宋" w:eastAsia="仿宋"/>
          <w:color w:val="auto"/>
          <w:sz w:val="28"/>
          <w:highlight w:val="none"/>
        </w:rPr>
      </w:pPr>
    </w:p>
    <w:p>
      <w:pPr>
        <w:jc w:val="center"/>
        <w:rPr>
          <w:rFonts w:ascii="仿宋" w:eastAsia="仿宋"/>
          <w:b/>
          <w:color w:val="auto"/>
          <w:sz w:val="44"/>
          <w:szCs w:val="44"/>
          <w:highlight w:val="none"/>
        </w:rPr>
        <w:sectPr>
          <w:footerReference r:id="rId5" w:type="default"/>
          <w:footerReference r:id="rId6" w:type="even"/>
          <w:pgSz w:w="11907" w:h="16840"/>
          <w:pgMar w:top="1417" w:right="1417" w:bottom="1417" w:left="1417" w:header="851" w:footer="850" w:gutter="0"/>
          <w:cols w:space="0" w:num="1"/>
          <w:docGrid w:type="lines" w:linePitch="312" w:charSpace="0"/>
        </w:sectPr>
      </w:pPr>
    </w:p>
    <w:p>
      <w:pPr>
        <w:jc w:val="center"/>
        <w:rPr>
          <w:rFonts w:ascii="仿宋" w:eastAsia="仿宋"/>
          <w:b/>
          <w:color w:val="auto"/>
          <w:sz w:val="44"/>
          <w:szCs w:val="44"/>
          <w:highlight w:val="none"/>
        </w:rPr>
      </w:pPr>
      <w:r>
        <w:rPr>
          <w:rFonts w:hint="eastAsia" w:ascii="仿宋" w:eastAsia="仿宋"/>
          <w:b/>
          <w:color w:val="auto"/>
          <w:sz w:val="44"/>
          <w:szCs w:val="44"/>
          <w:highlight w:val="none"/>
        </w:rPr>
        <w:t>目录</w:t>
      </w:r>
    </w:p>
    <w:p>
      <w:pPr>
        <w:pStyle w:val="22"/>
        <w:tabs>
          <w:tab w:val="right" w:leader="dot" w:pos="8641"/>
        </w:tabs>
        <w:spacing w:after="0" w:line="279" w:lineRule="auto"/>
        <w:rPr>
          <w:rFonts w:hint="eastAsia" w:ascii="仿宋" w:hAnsi="仿宋" w:eastAsia="仿宋" w:cs="仿宋"/>
          <w:color w:val="auto"/>
          <w:sz w:val="28"/>
          <w:szCs w:val="28"/>
          <w:highlight w:val="none"/>
        </w:rPr>
      </w:pPr>
    </w:p>
    <w:p>
      <w:pPr>
        <w:pStyle w:val="22"/>
        <w:tabs>
          <w:tab w:val="right" w:leader="dot" w:pos="8641"/>
        </w:tabs>
        <w:spacing w:after="0" w:line="279"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"_Toc25607" </w:instrText>
      </w:r>
      <w:r>
        <w:rPr>
          <w:color w:val="auto"/>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"_Toc13545" </w:instrText>
      </w:r>
      <w:r>
        <w:rPr>
          <w:color w:val="auto"/>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"_Toc5028" </w:instrText>
      </w:r>
      <w:r>
        <w:rPr>
          <w:color w:val="auto"/>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_Toc5028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"_Toc21572" </w:instrText>
      </w:r>
      <w:r>
        <w:rPr>
          <w:color w:val="auto"/>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_Toc21572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"_Toc18718" </w:instrText>
      </w:r>
      <w:r>
        <w:rPr>
          <w:color w:val="auto"/>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_Toc18718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"_Toc7885" </w:instrText>
      </w:r>
      <w:r>
        <w:rPr>
          <w:color w:val="auto"/>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"_Toc14262" </w:instrText>
      </w:r>
      <w:r>
        <w:rPr>
          <w:color w:val="auto"/>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"_Toc15113" </w:instrText>
      </w:r>
      <w:r>
        <w:rPr>
          <w:color w:val="auto"/>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"_Toc13080" </w:instrText>
      </w:r>
      <w:r>
        <w:rPr>
          <w:color w:val="auto"/>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_Toc13080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"_Toc16453" </w:instrText>
      </w:r>
      <w:r>
        <w:rPr>
          <w:color w:val="auto"/>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_Toc16453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"_Toc1639" </w:instrText>
      </w:r>
      <w:r>
        <w:rPr>
          <w:color w:val="auto"/>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"_Toc16886" </w:instrText>
      </w:r>
      <w:r>
        <w:rPr>
          <w:color w:val="auto"/>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_Toc16886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"_Toc8345" </w:instrText>
      </w:r>
      <w:r>
        <w:rPr>
          <w:color w:val="auto"/>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"_Toc24364" </w:instrText>
      </w:r>
      <w:r>
        <w:rPr>
          <w:color w:val="auto"/>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_Toc24364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"_Toc10413" </w:instrText>
      </w:r>
      <w:r>
        <w:rPr>
          <w:color w:val="auto"/>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_Toc10413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"_Toc15985" </w:instrText>
      </w:r>
      <w:r>
        <w:rPr>
          <w:color w:val="auto"/>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_Toc15985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spacing w:after="0" w:line="279"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"_Toc24698" </w:instrText>
      </w:r>
      <w:r>
        <w:rPr>
          <w:color w:val="auto"/>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_Toc24698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ind w:lef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pPr>
        <w:rPr>
          <w:rFonts w:ascii="仿宋" w:eastAsia="仿宋"/>
          <w:color w:val="auto"/>
          <w:sz w:val="28"/>
          <w:szCs w:val="28"/>
          <w:highlight w:val="none"/>
        </w:rPr>
      </w:pPr>
    </w:p>
    <w:p>
      <w:pPr>
        <w:pStyle w:val="3"/>
        <w:rPr>
          <w:rFonts w:ascii="仿宋"/>
          <w:color w:val="auto"/>
          <w:sz w:val="28"/>
          <w:szCs w:val="28"/>
          <w:highlight w:val="none"/>
        </w:rPr>
        <w:sectPr>
          <w:footerReference r:id="rId7" w:type="default"/>
          <w:pgSz w:w="11907" w:h="16840"/>
          <w:pgMar w:top="1417" w:right="1417" w:bottom="1417" w:left="1417" w:header="851" w:footer="850" w:gutter="0"/>
          <w:cols w:space="0" w:num="1"/>
          <w:docGrid w:type="lines" w:linePitch="312" w:charSpace="0"/>
        </w:sectPr>
      </w:pPr>
    </w:p>
    <w:p>
      <w:pPr>
        <w:pStyle w:val="3"/>
        <w:rPr>
          <w:rFonts w:ascii="仿宋"/>
          <w:color w:val="auto"/>
          <w:highlight w:val="none"/>
        </w:rPr>
      </w:pPr>
      <w:bookmarkStart w:id="0" w:name="_Toc25607"/>
      <w:r>
        <w:rPr>
          <w:rFonts w:hint="eastAsia" w:ascii="仿宋"/>
          <w:color w:val="auto"/>
          <w:highlight w:val="none"/>
        </w:rPr>
        <w:t>第一章  采购公告</w:t>
      </w:r>
      <w:bookmarkEnd w:id="0"/>
    </w:p>
    <w:p>
      <w:pPr>
        <w:pBdr>
          <w:top w:val="single" w:color="auto" w:sz="4" w:space="1"/>
          <w:left w:val="single" w:color="auto" w:sz="4" w:space="4"/>
          <w:bottom w:val="single" w:color="auto" w:sz="4" w:space="1"/>
          <w:right w:val="single" w:color="auto" w:sz="4" w:space="4"/>
        </w:pBdr>
        <w:spacing w:after="0"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after="0"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滨海新区生物医药“云上综合体”数字化平台项目</w:t>
      </w:r>
      <w:r>
        <w:rPr>
          <w:rFonts w:hint="eastAsia" w:ascii="仿宋" w:eastAsia="仿宋"/>
          <w:color w:val="auto"/>
          <w:sz w:val="24"/>
          <w:szCs w:val="24"/>
          <w:highlight w:val="none"/>
        </w:rPr>
        <w:t>招标项目的潜在投标人应在</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19</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09:00</w:t>
      </w:r>
      <w:r>
        <w:rPr>
          <w:rFonts w:hint="eastAsia" w:ascii="仿宋" w:eastAsia="仿宋"/>
          <w:bCs/>
          <w:color w:val="auto"/>
          <w:sz w:val="24"/>
          <w:szCs w:val="24"/>
          <w:highlight w:val="none"/>
          <w:u w:val="non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pPr>
        <w:rPr>
          <w:color w:val="auto"/>
          <w:sz w:val="24"/>
          <w:szCs w:val="24"/>
          <w:highlight w:val="none"/>
        </w:rPr>
      </w:pPr>
    </w:p>
    <w:p>
      <w:pPr>
        <w:spacing w:before="312" w:beforeLines="100" w:after="312" w:afterLines="100"/>
        <w:rPr>
          <w:rFonts w:hint="eastAsia" w:ascii="仿宋" w:hAnsi="仿宋" w:eastAsia="仿宋" w:cs="仿宋"/>
          <w:b/>
          <w:bCs/>
          <w:color w:val="auto"/>
          <w:sz w:val="24"/>
          <w:szCs w:val="24"/>
          <w:highlight w:val="none"/>
        </w:rPr>
      </w:pPr>
      <w:bookmarkStart w:id="1" w:name="_Toc35393621"/>
      <w:bookmarkStart w:id="2" w:name="_Toc28359079"/>
      <w:bookmarkStart w:id="3" w:name="_Toc28359002"/>
      <w:bookmarkStart w:id="4" w:name="_Toc35393790"/>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pPr>
        <w:spacing w:after="0"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YCDL2024-06-0024</w:t>
      </w:r>
      <w:r>
        <w:rPr>
          <w:rFonts w:ascii="仿宋" w:eastAsia="仿宋" w:cs="宋体"/>
          <w:bCs/>
          <w:color w:val="auto"/>
          <w:sz w:val="24"/>
          <w:szCs w:val="24"/>
          <w:highlight w:val="none"/>
          <w:u w:val="single"/>
        </w:rPr>
        <w:t xml:space="preserve"> </w:t>
      </w:r>
    </w:p>
    <w:p>
      <w:pPr>
        <w:spacing w:after="0"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滨海新区生物医药“云上综合体”数字化平台项目</w:t>
      </w:r>
      <w:r>
        <w:rPr>
          <w:rFonts w:ascii="仿宋" w:eastAsia="仿宋" w:cs="宋体"/>
          <w:bCs/>
          <w:color w:val="auto"/>
          <w:sz w:val="24"/>
          <w:szCs w:val="24"/>
          <w:highlight w:val="none"/>
          <w:u w:val="single"/>
        </w:rPr>
        <w:t xml:space="preserve"> </w:t>
      </w:r>
    </w:p>
    <w:bookmarkEnd w:id="5"/>
    <w:p>
      <w:pPr>
        <w:spacing w:after="0"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5000000</w:t>
      </w:r>
      <w:r>
        <w:rPr>
          <w:rFonts w:ascii="仿宋" w:eastAsia="仿宋" w:cs="宋体"/>
          <w:bCs/>
          <w:color w:val="auto"/>
          <w:sz w:val="24"/>
          <w:szCs w:val="24"/>
          <w:highlight w:val="none"/>
          <w:u w:val="single"/>
        </w:rPr>
        <w:t xml:space="preserve"> </w:t>
      </w:r>
    </w:p>
    <w:p>
      <w:pPr>
        <w:spacing w:after="0"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5000000</w:t>
      </w:r>
      <w:r>
        <w:rPr>
          <w:rFonts w:ascii="仿宋" w:eastAsia="仿宋" w:cs="宋体"/>
          <w:bCs/>
          <w:color w:val="auto"/>
          <w:sz w:val="24"/>
          <w:szCs w:val="24"/>
          <w:highlight w:val="none"/>
          <w:u w:val="single"/>
        </w:rPr>
        <w:t xml:space="preserve"> </w:t>
      </w:r>
    </w:p>
    <w:p>
      <w:pPr>
        <w:spacing w:after="0"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pPr>
        <w:spacing w:after="0"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pPr>
        <w:spacing w:after="0"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滨海新区生物医药“云上综合体”数字化平台项目</w:t>
      </w:r>
      <w:r>
        <w:rPr>
          <w:rFonts w:ascii="仿宋" w:eastAsia="仿宋" w:cs="宋体"/>
          <w:bCs/>
          <w:color w:val="auto"/>
          <w:sz w:val="24"/>
          <w:szCs w:val="24"/>
          <w:highlight w:val="none"/>
          <w:u w:val="single"/>
        </w:rPr>
        <w:t xml:space="preserve"> </w:t>
      </w:r>
    </w:p>
    <w:p>
      <w:pPr>
        <w:spacing w:after="0"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1</w:t>
      </w:r>
      <w:r>
        <w:rPr>
          <w:rFonts w:ascii="仿宋" w:eastAsia="仿宋" w:cs="宋体"/>
          <w:bCs/>
          <w:color w:val="auto"/>
          <w:sz w:val="24"/>
          <w:szCs w:val="24"/>
          <w:highlight w:val="none"/>
          <w:u w:val="single"/>
        </w:rPr>
        <w:t xml:space="preserve"> </w:t>
      </w:r>
    </w:p>
    <w:p>
      <w:pPr>
        <w:spacing w:after="0"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5000000</w:t>
      </w:r>
      <w:r>
        <w:rPr>
          <w:rFonts w:ascii="仿宋" w:eastAsia="仿宋" w:cs="宋体"/>
          <w:bCs/>
          <w:color w:val="auto"/>
          <w:sz w:val="24"/>
          <w:szCs w:val="24"/>
          <w:highlight w:val="none"/>
          <w:u w:val="single"/>
        </w:rPr>
        <w:t xml:space="preserve"> </w:t>
      </w:r>
    </w:p>
    <w:p>
      <w:pPr>
        <w:spacing w:after="0"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after="0" w:line="360" w:lineRule="auto"/>
        <w:ind w:firstLine="540"/>
        <w:rPr>
          <w:rFonts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rPr>
        <w:t>无</w:t>
      </w:r>
      <w:r>
        <w:rPr>
          <w:rFonts w:ascii="仿宋" w:eastAsia="仿宋" w:cs="宋体"/>
          <w:bCs/>
          <w:color w:val="auto"/>
          <w:sz w:val="24"/>
          <w:highlight w:val="none"/>
          <w:u w:val="single"/>
        </w:rPr>
        <w:t xml:space="preserve"> </w:t>
      </w:r>
    </w:p>
    <w:p>
      <w:pPr>
        <w:spacing w:after="0"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p>
    <w:p>
      <w:pPr>
        <w:spacing w:after="0"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是</w:t>
      </w:r>
      <w:r>
        <w:rPr>
          <w:rFonts w:hint="eastAsia" w:ascii="仿宋" w:eastAsia="仿宋" w:cs="宋体"/>
          <w:bCs/>
          <w:color w:val="auto"/>
          <w:sz w:val="24"/>
          <w:szCs w:val="24"/>
          <w:highlight w:val="none"/>
        </w:rPr>
        <w:t>）接受联合体投标。</w:t>
      </w:r>
    </w:p>
    <w:p>
      <w:pPr>
        <w:spacing w:before="312" w:beforeLines="100" w:after="312" w:afterLines="100"/>
        <w:rPr>
          <w:rFonts w:hint="eastAsia" w:ascii="仿宋" w:hAnsi="仿宋" w:eastAsia="仿宋" w:cs="仿宋"/>
          <w:b/>
          <w:bCs/>
          <w:color w:val="auto"/>
          <w:sz w:val="24"/>
          <w:szCs w:val="24"/>
          <w:highlight w:val="none"/>
        </w:rPr>
      </w:pPr>
      <w:bookmarkStart w:id="6" w:name="_Toc28359080"/>
      <w:bookmarkStart w:id="7" w:name="_Toc35393791"/>
      <w:bookmarkStart w:id="8" w:name="_Toc28359003"/>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pPr>
        <w:spacing w:after="0" w:line="360" w:lineRule="auto"/>
        <w:ind w:firstLine="539"/>
        <w:rPr>
          <w:rFonts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after="0" w:line="360" w:lineRule="auto"/>
        <w:ind w:firstLine="539"/>
        <w:rPr>
          <w:rFonts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pPr>
        <w:spacing w:after="0" w:line="360" w:lineRule="auto"/>
        <w:ind w:firstLine="539"/>
        <w:rPr>
          <w:rFonts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无</w:t>
      </w:r>
    </w:p>
    <w:p>
      <w:pPr>
        <w:spacing w:before="312" w:beforeLines="100" w:after="312" w:afterLines="100"/>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pPr>
        <w:spacing w:after="0" w:line="360" w:lineRule="auto"/>
        <w:ind w:firstLine="539"/>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2024</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12</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19</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pPr>
        <w:spacing w:after="0" w:line="360" w:lineRule="auto"/>
        <w:ind w:firstLine="539"/>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spacing w:after="0" w:line="360" w:lineRule="auto"/>
        <w:ind w:firstLine="539"/>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after="0" w:line="360" w:lineRule="auto"/>
        <w:ind w:firstLine="539"/>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spacing w:before="312" w:beforeLines="100" w:after="312" w:afterLines="100"/>
        <w:rPr>
          <w:rFonts w:hint="eastAsia" w:ascii="仿宋" w:hAnsi="仿宋" w:eastAsia="仿宋" w:cs="仿宋"/>
          <w:b/>
          <w:bCs/>
          <w:color w:val="auto"/>
          <w:sz w:val="24"/>
          <w:szCs w:val="24"/>
          <w:highlight w:val="none"/>
        </w:rPr>
      </w:pPr>
      <w:bookmarkStart w:id="14" w:name="_Toc28359005"/>
      <w:bookmarkStart w:id="15" w:name="_Toc28359082"/>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pPr>
        <w:spacing w:after="0"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19</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09:00</w:t>
      </w:r>
      <w:r>
        <w:rPr>
          <w:rFonts w:hint="eastAsia" w:ascii="仿宋" w:eastAsia="仿宋"/>
          <w:bCs/>
          <w:color w:val="auto"/>
          <w:sz w:val="24"/>
          <w:szCs w:val="24"/>
          <w:highlight w:val="none"/>
        </w:rPr>
        <w:t>（北京时间）</w:t>
      </w:r>
    </w:p>
    <w:p>
      <w:pPr>
        <w:spacing w:after="0"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：政采云平台http://www.zcygov.cn/在线递交</w:t>
      </w:r>
      <w:r>
        <w:rPr>
          <w:rFonts w:ascii="仿宋" w:eastAsia="仿宋"/>
          <w:color w:val="auto"/>
          <w:sz w:val="24"/>
          <w:szCs w:val="24"/>
          <w:highlight w:val="none"/>
        </w:rPr>
        <w:t>，不接收纸质投标文件。</w:t>
      </w:r>
    </w:p>
    <w:p>
      <w:pPr>
        <w:spacing w:after="0"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19</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09:00</w:t>
      </w:r>
      <w:r>
        <w:rPr>
          <w:rFonts w:hint="eastAsia" w:ascii="仿宋" w:eastAsia="仿宋"/>
          <w:bCs/>
          <w:color w:val="auto"/>
          <w:sz w:val="24"/>
          <w:szCs w:val="24"/>
          <w:highlight w:val="none"/>
        </w:rPr>
        <w:t>（北京时间）</w:t>
      </w:r>
    </w:p>
    <w:p>
      <w:pPr>
        <w:spacing w:after="0"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color w:val="auto"/>
          <w:sz w:val="24"/>
          <w:szCs w:val="24"/>
          <w:highlight w:val="none"/>
        </w:rPr>
        <w:t>政采云平台http://www.zcygov.cn/</w:t>
      </w:r>
      <w:r>
        <w:rPr>
          <w:rFonts w:ascii="仿宋" w:eastAsia="仿宋"/>
          <w:color w:val="auto"/>
          <w:sz w:val="24"/>
          <w:szCs w:val="24"/>
          <w:highlight w:val="none"/>
        </w:rPr>
        <w:t>；现场开标地点：浙江省绍兴市越城区延安东路660号绍兴市公共资源交易中心越城区分中心</w:t>
      </w:r>
      <w:r>
        <w:rPr>
          <w:rFonts w:hint="eastAsia" w:ascii="仿宋" w:eastAsia="仿宋"/>
          <w:color w:val="auto"/>
          <w:sz w:val="24"/>
          <w:szCs w:val="24"/>
          <w:highlight w:val="none"/>
          <w:lang w:val="en-US" w:eastAsia="zh-CN"/>
        </w:rPr>
        <w:t>332</w:t>
      </w:r>
      <w:r>
        <w:rPr>
          <w:rFonts w:ascii="仿宋" w:eastAsia="仿宋"/>
          <w:color w:val="auto"/>
          <w:sz w:val="24"/>
          <w:szCs w:val="24"/>
          <w:highlight w:val="none"/>
        </w:rPr>
        <w:t>室。</w:t>
      </w:r>
    </w:p>
    <w:p>
      <w:pPr>
        <w:spacing w:before="312" w:beforeLines="100" w:after="312" w:afterLines="100"/>
        <w:rPr>
          <w:rFonts w:hint="eastAsia" w:ascii="仿宋" w:hAnsi="仿宋" w:eastAsia="仿宋" w:cs="仿宋"/>
          <w:b/>
          <w:bCs/>
          <w:color w:val="auto"/>
          <w:sz w:val="24"/>
          <w:szCs w:val="24"/>
          <w:highlight w:val="none"/>
        </w:rPr>
      </w:pPr>
      <w:bookmarkStart w:id="18" w:name="_Toc35393794"/>
      <w:bookmarkStart w:id="19" w:name="_Toc28359007"/>
      <w:bookmarkStart w:id="20" w:name="_Toc28359084"/>
      <w:bookmarkStart w:id="21" w:name="_Toc35393625"/>
      <w:r>
        <w:rPr>
          <w:rFonts w:hint="eastAsia" w:ascii="仿宋" w:hAnsi="仿宋" w:eastAsia="仿宋" w:cs="仿宋"/>
          <w:b/>
          <w:bCs/>
          <w:color w:val="auto"/>
          <w:sz w:val="24"/>
          <w:szCs w:val="24"/>
          <w:highlight w:val="none"/>
        </w:rPr>
        <w:t>五、公告期限</w:t>
      </w:r>
      <w:bookmarkEnd w:id="18"/>
      <w:bookmarkEnd w:id="19"/>
      <w:bookmarkEnd w:id="20"/>
      <w:bookmarkEnd w:id="21"/>
    </w:p>
    <w:p>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pPr>
        <w:spacing w:before="312" w:beforeLines="100" w:after="312" w:afterLines="100"/>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pPr>
        <w:spacing w:after="0" w:line="279" w:lineRule="auto"/>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spacing w:after="0" w:line="279" w:lineRule="auto"/>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spacing w:after="0" w:line="279" w:lineRule="auto"/>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spacing w:before="312" w:beforeLines="100" w:after="312" w:afterLines="100"/>
        <w:rPr>
          <w:rFonts w:hint="eastAsia" w:ascii="仿宋" w:hAnsi="仿宋" w:eastAsia="仿宋" w:cs="仿宋"/>
          <w:b/>
          <w:bCs/>
          <w:color w:val="auto"/>
          <w:sz w:val="24"/>
          <w:szCs w:val="24"/>
          <w:highlight w:val="none"/>
        </w:rPr>
      </w:pPr>
      <w:bookmarkStart w:id="24" w:name="_Toc28359085"/>
      <w:bookmarkStart w:id="25" w:name="_Toc28359008"/>
      <w:bookmarkStart w:id="26" w:name="_Toc35393627"/>
      <w:bookmarkStart w:id="27" w:name="_Toc35393796"/>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pPr>
        <w:spacing w:after="0"/>
        <w:ind w:firstLine="480" w:firstLineChars="200"/>
        <w:jc w:val="left"/>
        <w:rPr>
          <w:rFonts w:ascii="仿宋_GB2312" w:eastAsia="仿宋_GB2312"/>
          <w:color w:val="auto"/>
          <w:sz w:val="24"/>
          <w:szCs w:val="24"/>
          <w:highlight w:val="none"/>
        </w:rPr>
      </w:pPr>
      <w:r>
        <w:rPr>
          <w:rFonts w:hint="eastAsia" w:ascii="仿宋" w:eastAsia="仿宋" w:cs="宋体"/>
          <w:color w:val="auto"/>
          <w:sz w:val="24"/>
          <w:szCs w:val="24"/>
          <w:highlight w:val="none"/>
        </w:rPr>
        <w:t>1.采购人信息</w:t>
      </w:r>
    </w:p>
    <w:p>
      <w:pPr>
        <w:spacing w:after="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绍兴滨海新区管理委员会</w:t>
      </w:r>
    </w:p>
    <w:p>
      <w:pPr>
        <w:spacing w:after="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绍兴滨海新区南滨东路98号</w:t>
      </w:r>
    </w:p>
    <w:p>
      <w:pPr>
        <w:spacing w:after="0" w:line="360" w:lineRule="auto"/>
        <w:ind w:firstLine="480" w:firstLineChars="200"/>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　 </w:t>
      </w:r>
      <w:bookmarkStart w:id="28" w:name="_Toc28359009"/>
      <w:bookmarkStart w:id="29" w:name="_Toc28359086"/>
    </w:p>
    <w:p>
      <w:pPr>
        <w:spacing w:after="0" w:line="360" w:lineRule="auto"/>
        <w:ind w:firstLine="480" w:firstLineChars="200"/>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尹琳</w:t>
      </w:r>
    </w:p>
    <w:p>
      <w:pPr>
        <w:spacing w:after="0" w:line="360" w:lineRule="auto"/>
        <w:ind w:firstLine="480" w:firstLineChars="200"/>
        <w:jc w:val="left"/>
        <w:rPr>
          <w:rFonts w:ascii="仿宋" w:eastAsia="仿宋" w:cs="宋体"/>
          <w:color w:val="auto"/>
          <w:sz w:val="24"/>
          <w:szCs w:val="24"/>
          <w:highlight w:val="none"/>
        </w:rPr>
      </w:pPr>
      <w:r>
        <w:rPr>
          <w:rFonts w:hint="eastAsia" w:ascii="仿宋" w:eastAsia="仿宋" w:cs="宋体"/>
          <w:color w:val="auto"/>
          <w:sz w:val="24"/>
          <w:szCs w:val="24"/>
          <w:highlight w:val="none"/>
        </w:rPr>
        <w:t>项目联系方式（询问）：</w:t>
      </w:r>
      <w:r>
        <w:rPr>
          <w:rFonts w:hint="eastAsia" w:ascii="仿宋" w:eastAsia="仿宋" w:cs="宋体"/>
          <w:color w:val="auto"/>
          <w:sz w:val="24"/>
          <w:szCs w:val="24"/>
          <w:highlight w:val="none"/>
          <w:u w:val="single"/>
        </w:rPr>
        <w:t>0575-89291632</w:t>
      </w:r>
    </w:p>
    <w:p>
      <w:pPr>
        <w:spacing w:after="0" w:line="360" w:lineRule="auto"/>
        <w:ind w:firstLine="480" w:firstLineChars="200"/>
        <w:jc w:val="left"/>
        <w:rPr>
          <w:rFonts w:ascii="仿宋" w:eastAsia="仿宋" w:cs="宋体"/>
          <w:color w:val="auto"/>
          <w:sz w:val="24"/>
          <w:szCs w:val="24"/>
          <w:highlight w:val="none"/>
        </w:rPr>
      </w:pPr>
      <w:r>
        <w:rPr>
          <w:rFonts w:hint="eastAsia" w:ascii="仿宋" w:eastAsia="仿宋" w:cs="宋体"/>
          <w:color w:val="auto"/>
          <w:sz w:val="24"/>
          <w:szCs w:val="24"/>
          <w:highlight w:val="none"/>
        </w:rPr>
        <w:t>质疑联系人：吴滨</w:t>
      </w:r>
    </w:p>
    <w:p>
      <w:pPr>
        <w:spacing w:after="0" w:line="360" w:lineRule="auto"/>
        <w:ind w:firstLine="480" w:firstLineChars="200"/>
        <w:jc w:val="left"/>
        <w:rPr>
          <w:rFonts w:ascii="仿宋" w:eastAsia="仿宋" w:cs="宋体"/>
          <w:color w:val="auto"/>
          <w:sz w:val="24"/>
          <w:szCs w:val="24"/>
          <w:highlight w:val="none"/>
          <w:u w:val="single"/>
        </w:rPr>
      </w:pPr>
      <w:r>
        <w:rPr>
          <w:rFonts w:hint="eastAsia" w:ascii="仿宋" w:eastAsia="仿宋" w:cs="宋体"/>
          <w:color w:val="auto"/>
          <w:sz w:val="24"/>
          <w:szCs w:val="24"/>
          <w:highlight w:val="none"/>
        </w:rPr>
        <w:t>质疑联系方式：</w:t>
      </w:r>
      <w:r>
        <w:rPr>
          <w:rFonts w:hint="eastAsia" w:ascii="仿宋" w:eastAsia="仿宋" w:cs="宋体"/>
          <w:color w:val="auto"/>
          <w:sz w:val="24"/>
          <w:szCs w:val="24"/>
          <w:highlight w:val="none"/>
          <w:u w:val="single"/>
        </w:rPr>
        <w:t>0575-81199519</w:t>
      </w:r>
    </w:p>
    <w:p>
      <w:pPr>
        <w:spacing w:after="0" w:line="360" w:lineRule="auto"/>
        <w:ind w:firstLine="480" w:firstLineChars="200"/>
        <w:jc w:val="left"/>
        <w:rPr>
          <w:rFonts w:ascii="仿宋" w:eastAsia="仿宋" w:cs="宋体"/>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pPr>
        <w:spacing w:after="0" w:line="360" w:lineRule="auto"/>
        <w:ind w:firstLine="480" w:firstLineChars="200"/>
        <w:jc w:val="left"/>
        <w:rPr>
          <w:rFonts w:ascii="仿宋" w:eastAsia="仿宋"/>
          <w:color w:val="auto"/>
          <w:sz w:val="24"/>
          <w:szCs w:val="24"/>
          <w:highlight w:val="none"/>
          <w:u w:val="single"/>
        </w:rPr>
      </w:pPr>
      <w:bookmarkStart w:id="30" w:name="_Toc28359087"/>
      <w:bookmarkStart w:id="31" w:name="_Toc28359010"/>
      <w:r>
        <w:rPr>
          <w:rFonts w:hint="eastAsia" w:ascii="仿宋" w:eastAsia="仿宋"/>
          <w:color w:val="auto"/>
          <w:sz w:val="24"/>
          <w:szCs w:val="24"/>
          <w:highlight w:val="none"/>
        </w:rPr>
        <w:t>名称：</w:t>
      </w:r>
      <w:r>
        <w:rPr>
          <w:rFonts w:hint="eastAsia" w:ascii="仿宋" w:eastAsia="仿宋"/>
          <w:color w:val="auto"/>
          <w:sz w:val="24"/>
          <w:szCs w:val="24"/>
          <w:highlight w:val="none"/>
          <w:u w:val="single"/>
        </w:rPr>
        <w:t>浙江翔实建设项目管理有限公司</w:t>
      </w:r>
    </w:p>
    <w:p>
      <w:pPr>
        <w:spacing w:after="0" w:line="360" w:lineRule="auto"/>
        <w:ind w:firstLine="480" w:firstLineChars="200"/>
        <w:jc w:val="left"/>
        <w:rPr>
          <w:rFonts w:ascii="仿宋" w:eastAsia="仿宋"/>
          <w:color w:val="auto"/>
          <w:sz w:val="24"/>
          <w:szCs w:val="24"/>
          <w:highlight w:val="none"/>
          <w:u w:val="singl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绍兴市越城区阳明北路692号</w:t>
      </w:r>
    </w:p>
    <w:p>
      <w:pPr>
        <w:spacing w:after="0" w:line="360" w:lineRule="auto"/>
        <w:ind w:firstLine="480" w:firstLineChars="200"/>
        <w:jc w:val="left"/>
        <w:rPr>
          <w:rFonts w:ascii="仿宋" w:eastAsia="仿宋"/>
          <w:color w:val="auto"/>
          <w:sz w:val="24"/>
          <w:szCs w:val="24"/>
          <w:highlight w:val="none"/>
          <w:u w:val="single"/>
        </w:rPr>
      </w:pPr>
      <w:r>
        <w:rPr>
          <w:rFonts w:hint="eastAsia" w:ascii="仿宋" w:eastAsia="仿宋"/>
          <w:color w:val="auto"/>
          <w:sz w:val="24"/>
          <w:szCs w:val="24"/>
          <w:highlight w:val="none"/>
        </w:rPr>
        <w:t>传真：</w:t>
      </w:r>
      <w:r>
        <w:rPr>
          <w:rFonts w:hint="eastAsia" w:ascii="仿宋" w:eastAsia="仿宋"/>
          <w:color w:val="auto"/>
          <w:sz w:val="24"/>
          <w:szCs w:val="24"/>
          <w:highlight w:val="none"/>
          <w:u w:val="single"/>
        </w:rPr>
        <w:t xml:space="preserve">   /      </w:t>
      </w:r>
    </w:p>
    <w:p>
      <w:pPr>
        <w:spacing w:after="0" w:line="360" w:lineRule="auto"/>
        <w:ind w:firstLine="480" w:firstLineChars="200"/>
        <w:jc w:val="left"/>
        <w:rPr>
          <w:rFonts w:ascii="仿宋" w:eastAsia="仿宋"/>
          <w:color w:val="auto"/>
          <w:sz w:val="24"/>
          <w:szCs w:val="24"/>
          <w:highlight w:val="none"/>
          <w:u w:val="single"/>
        </w:rPr>
      </w:pPr>
      <w:r>
        <w:rPr>
          <w:rFonts w:hint="eastAsia" w:ascii="仿宋" w:eastAsia="仿宋"/>
          <w:color w:val="auto"/>
          <w:sz w:val="24"/>
          <w:szCs w:val="24"/>
          <w:highlight w:val="none"/>
        </w:rPr>
        <w:t>项目联系人（询问）：</w:t>
      </w:r>
      <w:r>
        <w:rPr>
          <w:rFonts w:hint="eastAsia" w:ascii="仿宋" w:eastAsia="仿宋"/>
          <w:color w:val="auto"/>
          <w:sz w:val="24"/>
          <w:szCs w:val="24"/>
          <w:highlight w:val="none"/>
          <w:u w:val="single"/>
        </w:rPr>
        <w:t>孙莉</w:t>
      </w:r>
    </w:p>
    <w:p>
      <w:pPr>
        <w:spacing w:after="0" w:line="360" w:lineRule="auto"/>
        <w:ind w:firstLine="480" w:firstLineChars="200"/>
        <w:jc w:val="left"/>
        <w:rPr>
          <w:rFonts w:ascii="仿宋" w:eastAsia="仿宋"/>
          <w:color w:val="auto"/>
          <w:sz w:val="24"/>
          <w:szCs w:val="24"/>
          <w:highlight w:val="none"/>
          <w:u w:val="single"/>
        </w:rPr>
      </w:pPr>
      <w:r>
        <w:rPr>
          <w:rFonts w:hint="eastAsia" w:ascii="仿宋" w:eastAsia="仿宋"/>
          <w:color w:val="auto"/>
          <w:sz w:val="24"/>
          <w:szCs w:val="24"/>
          <w:highlight w:val="none"/>
        </w:rPr>
        <w:t>项目联系方式（询问）：</w:t>
      </w:r>
      <w:r>
        <w:rPr>
          <w:rFonts w:hint="eastAsia" w:ascii="仿宋" w:eastAsia="仿宋"/>
          <w:color w:val="auto"/>
          <w:sz w:val="24"/>
          <w:szCs w:val="24"/>
          <w:highlight w:val="none"/>
          <w:u w:val="single"/>
        </w:rPr>
        <w:t>0575-88976639</w:t>
      </w:r>
    </w:p>
    <w:p>
      <w:pPr>
        <w:spacing w:after="0" w:line="360" w:lineRule="auto"/>
        <w:ind w:firstLine="480" w:firstLineChars="200"/>
        <w:jc w:val="left"/>
        <w:rPr>
          <w:rFonts w:ascii="仿宋" w:eastAsia="仿宋"/>
          <w:color w:val="auto"/>
          <w:sz w:val="24"/>
          <w:szCs w:val="24"/>
          <w:highlight w:val="none"/>
          <w:u w:val="single"/>
        </w:rPr>
      </w:pPr>
      <w:r>
        <w:rPr>
          <w:rFonts w:hint="eastAsia" w:ascii="仿宋" w:eastAsia="仿宋"/>
          <w:color w:val="auto"/>
          <w:sz w:val="24"/>
          <w:szCs w:val="24"/>
          <w:highlight w:val="none"/>
        </w:rPr>
        <w:t>质疑联系人：</w:t>
      </w:r>
      <w:r>
        <w:rPr>
          <w:rFonts w:hint="eastAsia" w:ascii="仿宋" w:eastAsia="仿宋"/>
          <w:color w:val="auto"/>
          <w:sz w:val="24"/>
          <w:szCs w:val="24"/>
          <w:highlight w:val="none"/>
          <w:u w:val="single"/>
        </w:rPr>
        <w:t>金一静　</w:t>
      </w:r>
    </w:p>
    <w:p>
      <w:pPr>
        <w:spacing w:after="0" w:line="360" w:lineRule="auto"/>
        <w:ind w:firstLine="480" w:firstLineChars="200"/>
        <w:jc w:val="left"/>
        <w:rPr>
          <w:rFonts w:ascii="仿宋" w:eastAsia="仿宋"/>
          <w:color w:val="auto"/>
          <w:sz w:val="24"/>
          <w:szCs w:val="24"/>
          <w:highlight w:val="none"/>
          <w:u w:val="single"/>
        </w:rPr>
      </w:pPr>
      <w:r>
        <w:rPr>
          <w:rFonts w:hint="eastAsia" w:ascii="仿宋" w:eastAsia="仿宋"/>
          <w:color w:val="auto"/>
          <w:sz w:val="24"/>
          <w:szCs w:val="24"/>
          <w:highlight w:val="none"/>
        </w:rPr>
        <w:t>质疑联系方式：</w:t>
      </w:r>
      <w:r>
        <w:rPr>
          <w:rFonts w:hint="eastAsia" w:ascii="仿宋" w:eastAsia="仿宋"/>
          <w:color w:val="auto"/>
          <w:sz w:val="24"/>
          <w:szCs w:val="24"/>
          <w:highlight w:val="none"/>
          <w:u w:val="single"/>
        </w:rPr>
        <w:t>0575-88979683</w:t>
      </w:r>
    </w:p>
    <w:p>
      <w:pPr>
        <w:spacing w:after="0" w:line="360" w:lineRule="auto"/>
        <w:ind w:firstLine="480" w:firstLineChars="2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pPr>
        <w:spacing w:after="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绍兴滨海新区管理委员会财政局</w:t>
      </w:r>
    </w:p>
    <w:p>
      <w:pPr>
        <w:spacing w:after="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绍兴滨海新区南滨东路98号</w:t>
      </w:r>
    </w:p>
    <w:p>
      <w:pPr>
        <w:spacing w:after="0" w:line="360" w:lineRule="auto"/>
        <w:ind w:firstLine="480" w:firstLineChars="200"/>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pPr>
        <w:pStyle w:val="18"/>
        <w:spacing w:after="0"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rPr>
        <w:t>沈焱东</w:t>
      </w:r>
    </w:p>
    <w:p>
      <w:pPr>
        <w:spacing w:after="0" w:line="360" w:lineRule="auto"/>
        <w:ind w:firstLine="480" w:firstLineChars="2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ascii="仿宋" w:eastAsia="仿宋"/>
          <w:color w:val="auto"/>
          <w:sz w:val="24"/>
          <w:szCs w:val="24"/>
          <w:highlight w:val="none"/>
          <w:u w:val="single"/>
        </w:rPr>
        <w:t>0575-</w:t>
      </w:r>
      <w:r>
        <w:rPr>
          <w:rFonts w:hint="eastAsia" w:ascii="仿宋" w:eastAsia="仿宋"/>
          <w:color w:val="auto"/>
          <w:sz w:val="24"/>
          <w:szCs w:val="24"/>
          <w:highlight w:val="none"/>
          <w:u w:val="single"/>
        </w:rPr>
        <w:t>89181258</w:t>
      </w:r>
    </w:p>
    <w:p>
      <w:pPr>
        <w:widowControl/>
        <w:ind w:firstLine="420" w:firstLineChars="200"/>
        <w:jc w:val="left"/>
        <w:rPr>
          <w:rFonts w:ascii="仿宋" w:eastAsia="仿宋"/>
          <w:color w:val="auto"/>
          <w:szCs w:val="21"/>
          <w:highlight w:val="none"/>
        </w:rPr>
      </w:pPr>
    </w:p>
    <w:p>
      <w:pPr>
        <w:widowControl/>
        <w:spacing w:after="0" w:line="279" w:lineRule="auto"/>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w:t>
      </w:r>
      <w:r>
        <w:rPr>
          <w:rFonts w:hint="eastAsia" w:ascii="仿宋" w:eastAsia="仿宋"/>
          <w:color w:val="auto"/>
          <w:szCs w:val="21"/>
          <w:highlight w:val="none"/>
        </w:rPr>
        <w:t>95763</w:t>
      </w:r>
      <w:r>
        <w:rPr>
          <w:rFonts w:ascii="仿宋" w:eastAsia="仿宋"/>
          <w:color w:val="auto"/>
          <w:szCs w:val="21"/>
          <w:highlight w:val="none"/>
        </w:rPr>
        <w:t>获取热线服务帮助。</w:t>
      </w:r>
    </w:p>
    <w:p>
      <w:pPr>
        <w:widowControl/>
        <w:spacing w:after="0" w:line="279" w:lineRule="auto"/>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pPr>
        <w:widowControl/>
        <w:jc w:val="left"/>
        <w:rPr>
          <w:rFonts w:ascii="仿宋" w:eastAsia="仿宋"/>
          <w:color w:val="auto"/>
          <w:sz w:val="28"/>
          <w:szCs w:val="28"/>
          <w:highlight w:val="none"/>
        </w:rPr>
      </w:pPr>
    </w:p>
    <w:p>
      <w:pPr>
        <w:widowControl/>
        <w:jc w:val="center"/>
        <w:rPr>
          <w:rFonts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numPr>
          <w:ilvl w:val="0"/>
          <w:numId w:val="3"/>
        </w:numPr>
        <w:spacing w:after="0" w:line="360" w:lineRule="auto"/>
        <w:rPr>
          <w:rFonts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color w:val="auto"/>
          <w:sz w:val="24"/>
          <w:highlight w:val="none"/>
          <w:u w:val="single"/>
        </w:rPr>
        <w:t>分散采购-委托代理</w:t>
      </w:r>
      <w:r>
        <w:rPr>
          <w:rFonts w:ascii="仿宋" w:eastAsia="仿宋" w:cs="Arial"/>
          <w:bCs/>
          <w:color w:val="auto"/>
          <w:sz w:val="24"/>
          <w:highlight w:val="none"/>
          <w:u w:val="single"/>
        </w:rPr>
        <w:t xml:space="preserve"> </w:t>
      </w:r>
    </w:p>
    <w:p>
      <w:pPr>
        <w:numPr>
          <w:ilvl w:val="0"/>
          <w:numId w:val="3"/>
        </w:numPr>
        <w:spacing w:after="0" w:line="360" w:lineRule="auto"/>
        <w:rPr>
          <w:rFonts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pPr>
        <w:numPr>
          <w:ilvl w:val="0"/>
          <w:numId w:val="3"/>
        </w:numPr>
        <w:spacing w:after="0" w:line="360" w:lineRule="auto"/>
        <w:rPr>
          <w:rFonts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pPr>
        <w:numPr>
          <w:ilvl w:val="0"/>
          <w:numId w:val="3"/>
        </w:numPr>
        <w:spacing w:after="0" w:line="360" w:lineRule="auto"/>
        <w:rPr>
          <w:rFonts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numPr>
          <w:ilvl w:val="0"/>
          <w:numId w:val="3"/>
        </w:numPr>
        <w:spacing w:after="0" w:line="360" w:lineRule="auto"/>
        <w:rPr>
          <w:rFonts w:ascii="仿宋" w:eastAsia="仿宋" w:cs="Arial"/>
          <w:b/>
          <w:bCs/>
          <w:color w:val="auto"/>
          <w:sz w:val="24"/>
          <w:highlight w:val="none"/>
        </w:rPr>
      </w:pPr>
      <w:r>
        <w:rPr>
          <w:rFonts w:hint="eastAsia" w:ascii="仿宋" w:eastAsia="仿宋" w:cs="Arial"/>
          <w:b/>
          <w:bCs/>
          <w:color w:val="auto"/>
          <w:sz w:val="24"/>
          <w:highlight w:val="none"/>
        </w:rPr>
        <w:t>注意事项：</w:t>
      </w:r>
    </w:p>
    <w:p>
      <w:pPr>
        <w:spacing w:after="0" w:line="360" w:lineRule="auto"/>
        <w:ind w:firstLine="480"/>
        <w:rPr>
          <w:rFonts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pPr>
        <w:spacing w:after="0" w:line="360" w:lineRule="exact"/>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spacing w:after="0" w:line="440" w:lineRule="exact"/>
        <w:ind w:firstLine="464" w:firstLineChars="200"/>
        <w:rPr>
          <w:rFonts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37"/>
          <w:rFonts w:hint="eastAsia" w:ascii="仿宋" w:eastAsia="仿宋"/>
          <w:color w:val="auto"/>
          <w:spacing w:val="-4"/>
          <w:sz w:val="24"/>
          <w:highlight w:val="none"/>
        </w:rPr>
        <w:t>http://www.sxyc.gov.cn/art/2019/9/11/art_1559761_38044415.html</w:t>
      </w:r>
      <w:r>
        <w:rPr>
          <w:rStyle w:val="37"/>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spacing w:after="0" w:line="440" w:lineRule="exact"/>
        <w:ind w:firstLine="464" w:firstLineChars="200"/>
        <w:rPr>
          <w:rFonts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7"/>
          <w:rFonts w:hint="eastAsia" w:ascii="仿宋" w:eastAsia="仿宋" w:cs="Arial"/>
          <w:color w:val="auto"/>
          <w:sz w:val="24"/>
          <w:szCs w:val="24"/>
          <w:highlight w:val="none"/>
        </w:rPr>
        <w:t>https://service.zcygov.cn/#/knowledges/CW1EtGwBFdiHxlNd6I3m/6IMVAG0BFdiHxlNdQ8Na</w:t>
      </w:r>
      <w:r>
        <w:rPr>
          <w:rFonts w:hint="eastAsia" w:ascii="仿宋" w:eastAsia="仿宋" w:cs="Arial"/>
          <w:color w:val="auto"/>
          <w:sz w:val="24"/>
          <w:highlight w:val="none"/>
        </w:rPr>
        <w:t>。</w:t>
      </w:r>
    </w:p>
    <w:p>
      <w:pPr>
        <w:spacing w:after="0" w:line="440" w:lineRule="exact"/>
        <w:ind w:firstLine="480" w:firstLineChars="200"/>
        <w:rPr>
          <w:rFonts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pPr>
        <w:spacing w:after="0" w:line="360" w:lineRule="exact"/>
        <w:ind w:firstLine="480" w:firstLineChars="200"/>
        <w:rPr>
          <w:rFonts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pPr>
        <w:spacing w:after="0" w:line="360" w:lineRule="exact"/>
        <w:ind w:firstLine="482" w:firstLineChars="200"/>
        <w:rPr>
          <w:rFonts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spacing w:after="0" w:line="360" w:lineRule="exact"/>
        <w:ind w:firstLine="482" w:firstLineChars="200"/>
        <w:rPr>
          <w:rFonts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pPr>
        <w:spacing w:after="0" w:line="360" w:lineRule="auto"/>
        <w:ind w:firstLine="349" w:firstLineChars="150"/>
        <w:rPr>
          <w:rFonts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spacing w:after="0" w:line="380" w:lineRule="exact"/>
        <w:rPr>
          <w:rFonts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pPr>
        <w:spacing w:after="0" w:line="360" w:lineRule="exact"/>
        <w:ind w:firstLine="480" w:firstLineChars="200"/>
        <w:rPr>
          <w:rFonts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越城区内企业入驻咨询电话：0575-89116928；非越城区内企业入驻详询当地集中采购机构；浙江省外企业入驻咨询电话：95763</w:t>
      </w:r>
    </w:p>
    <w:p>
      <w:pPr>
        <w:spacing w:after="0" w:line="360" w:lineRule="exact"/>
        <w:ind w:firstLine="482" w:firstLineChars="200"/>
        <w:rPr>
          <w:rFonts w:ascii="仿宋" w:eastAsia="仿宋"/>
          <w:color w:val="auto"/>
          <w:sz w:val="24"/>
          <w:highlight w:val="none"/>
        </w:rPr>
      </w:pPr>
      <w:r>
        <w:rPr>
          <w:rFonts w:hint="eastAsia" w:ascii="仿宋" w:eastAsia="仿宋"/>
          <w:b/>
          <w:bCs/>
          <w:color w:val="auto"/>
          <w:sz w:val="24"/>
          <w:highlight w:val="none"/>
        </w:rPr>
        <w:t>供应商入驻操作指南：</w:t>
      </w:r>
    </w:p>
    <w:p>
      <w:pPr>
        <w:spacing w:after="0" w:line="380" w:lineRule="exact"/>
        <w:rPr>
          <w:rFonts w:ascii="仿宋" w:eastAsia="仿宋"/>
          <w:color w:val="auto"/>
          <w:highlight w:val="none"/>
        </w:rPr>
      </w:pPr>
      <w:r>
        <w:rPr>
          <w:rFonts w:hint="eastAsia" w:ascii="仿宋" w:eastAsia="仿宋"/>
          <w:color w:val="auto"/>
          <w:highlight w:val="none"/>
        </w:rPr>
        <w:t>https://service.zcygov.cn/#/knowledges/cm2eqWwBFdiHxlNd_otq/w3Cd3GwBFdiHxlNd-BRD</w:t>
      </w:r>
    </w:p>
    <w:p>
      <w:pPr>
        <w:pStyle w:val="3"/>
        <w:spacing w:before="0" w:after="0" w:line="240" w:lineRule="auto"/>
        <w:rPr>
          <w:rFonts w:ascii="仿宋"/>
          <w:color w:val="auto"/>
          <w:highlight w:val="none"/>
        </w:rPr>
      </w:pPr>
      <w:bookmarkStart w:id="34" w:name="_Toc13545"/>
      <w:r>
        <w:rPr>
          <w:rFonts w:hint="eastAsia" w:ascii="仿宋"/>
          <w:color w:val="auto"/>
          <w:highlight w:val="none"/>
        </w:rPr>
        <w:t>第二章  投标人须知</w:t>
      </w:r>
      <w:bookmarkEnd w:id="34"/>
    </w:p>
    <w:p>
      <w:pPr>
        <w:pStyle w:val="4"/>
        <w:spacing w:before="0" w:after="0" w:line="240" w:lineRule="auto"/>
        <w:rPr>
          <w:rFonts w:ascii="仿宋"/>
          <w:color w:val="auto"/>
          <w:highlight w:val="none"/>
        </w:rPr>
      </w:pPr>
      <w:bookmarkStart w:id="35" w:name="_Toc5028"/>
      <w:r>
        <w:rPr>
          <w:rFonts w:hint="eastAsia" w:ascii="仿宋"/>
          <w:color w:val="auto"/>
          <w:highlight w:val="none"/>
        </w:rPr>
        <w:t>一、前附表</w:t>
      </w:r>
      <w:bookmarkEnd w:id="35"/>
    </w:p>
    <w:tbl>
      <w:tblPr>
        <w:tblStyle w:val="3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center"/>
              <w:rPr>
                <w:rFonts w:ascii="仿宋" w:eastAsia="仿宋"/>
                <w:color w:val="auto"/>
                <w:sz w:val="24"/>
                <w:highlight w:val="none"/>
              </w:rPr>
            </w:pPr>
            <w:r>
              <w:rPr>
                <w:rFonts w:hint="eastAsia" w:ascii="仿宋" w:eastAsia="仿宋"/>
                <w:color w:val="auto"/>
                <w:sz w:val="24"/>
                <w:highlight w:val="none"/>
              </w:rPr>
              <w:t>序号</w:t>
            </w:r>
          </w:p>
        </w:tc>
        <w:tc>
          <w:tcPr>
            <w:tcW w:w="847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center"/>
              <w:rPr>
                <w:rFonts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center"/>
              <w:rPr>
                <w:rFonts w:ascii="仿宋" w:eastAsia="仿宋"/>
                <w:color w:val="auto"/>
                <w:sz w:val="24"/>
                <w:highlight w:val="none"/>
              </w:rPr>
            </w:pPr>
            <w:r>
              <w:rPr>
                <w:rFonts w:hint="eastAsia" w:ascii="仿宋" w:eastAsia="仿宋"/>
                <w:color w:val="auto"/>
                <w:sz w:val="24"/>
                <w:highlight w:val="none"/>
              </w:rPr>
              <w:t>1</w:t>
            </w:r>
          </w:p>
        </w:tc>
        <w:tc>
          <w:tcPr>
            <w:tcW w:w="847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rPr>
                <w:rFonts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rPr>
              <w:t xml:space="preserve"> 滨海新区生物医药“云上综合体”数字化平台项目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center"/>
              <w:rPr>
                <w:rFonts w:ascii="仿宋" w:eastAsia="仿宋"/>
                <w:color w:val="auto"/>
                <w:sz w:val="24"/>
                <w:highlight w:val="none"/>
              </w:rPr>
            </w:pPr>
            <w:r>
              <w:rPr>
                <w:rFonts w:hint="eastAsia" w:ascii="仿宋" w:eastAsia="仿宋"/>
                <w:color w:val="auto"/>
                <w:sz w:val="24"/>
                <w:highlight w:val="none"/>
              </w:rPr>
              <w:t>2</w:t>
            </w:r>
          </w:p>
        </w:tc>
        <w:tc>
          <w:tcPr>
            <w:tcW w:w="8477"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after="0" w:line="240" w:lineRule="auto"/>
              <w:textAlignment w:val="bottom"/>
              <w:rPr>
                <w:rFonts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center"/>
              <w:rPr>
                <w:rFonts w:ascii="仿宋" w:eastAsia="仿宋"/>
                <w:color w:val="auto"/>
                <w:sz w:val="24"/>
                <w:highlight w:val="none"/>
              </w:rPr>
            </w:pPr>
            <w:r>
              <w:rPr>
                <w:rFonts w:ascii="仿宋" w:eastAsia="仿宋"/>
                <w:color w:val="auto"/>
                <w:sz w:val="24"/>
                <w:highlight w:val="none"/>
              </w:rPr>
              <w:t>3</w:t>
            </w:r>
          </w:p>
        </w:tc>
        <w:tc>
          <w:tcPr>
            <w:tcW w:w="8477"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after="0" w:line="240" w:lineRule="auto"/>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center"/>
              <w:rPr>
                <w:rFonts w:ascii="仿宋" w:eastAsia="仿宋"/>
                <w:color w:val="auto"/>
                <w:sz w:val="24"/>
                <w:highlight w:val="none"/>
              </w:rPr>
            </w:pPr>
            <w:r>
              <w:rPr>
                <w:rFonts w:ascii="仿宋" w:eastAsia="仿宋"/>
                <w:color w:val="auto"/>
                <w:sz w:val="24"/>
                <w:highlight w:val="none"/>
              </w:rPr>
              <w:t>4</w:t>
            </w:r>
          </w:p>
        </w:tc>
        <w:tc>
          <w:tcPr>
            <w:tcW w:w="8477"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after="0" w:line="240" w:lineRule="auto"/>
              <w:textAlignment w:val="bottom"/>
              <w:rPr>
                <w:rFonts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center"/>
              <w:rPr>
                <w:rFonts w:ascii="仿宋" w:eastAsia="仿宋"/>
                <w:color w:val="auto"/>
                <w:sz w:val="24"/>
                <w:highlight w:val="none"/>
              </w:rPr>
            </w:pPr>
            <w:r>
              <w:rPr>
                <w:rFonts w:ascii="仿宋" w:eastAsia="仿宋"/>
                <w:color w:val="auto"/>
                <w:sz w:val="24"/>
                <w:highlight w:val="none"/>
              </w:rPr>
              <w:t>5</w:t>
            </w:r>
          </w:p>
        </w:tc>
        <w:tc>
          <w:tcPr>
            <w:tcW w:w="8477"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after="0" w:line="240" w:lineRule="auto"/>
              <w:textAlignment w:val="bottom"/>
              <w:rPr>
                <w:rFonts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center"/>
              <w:rPr>
                <w:rFonts w:ascii="仿宋" w:eastAsia="仿宋"/>
                <w:color w:val="auto"/>
                <w:sz w:val="24"/>
                <w:highlight w:val="none"/>
              </w:rPr>
            </w:pPr>
            <w:r>
              <w:rPr>
                <w:rFonts w:ascii="仿宋" w:eastAsia="仿宋"/>
                <w:color w:val="auto"/>
                <w:sz w:val="24"/>
                <w:highlight w:val="none"/>
              </w:rPr>
              <w:t>6</w:t>
            </w:r>
          </w:p>
        </w:tc>
        <w:tc>
          <w:tcPr>
            <w:tcW w:w="847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pPr>
              <w:spacing w:after="0" w:line="240" w:lineRule="auto"/>
              <w:rPr>
                <w:rFonts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center"/>
              <w:rPr>
                <w:rFonts w:ascii="仿宋" w:eastAsia="仿宋"/>
                <w:color w:val="auto"/>
                <w:sz w:val="24"/>
                <w:highlight w:val="none"/>
              </w:rPr>
            </w:pPr>
            <w:r>
              <w:rPr>
                <w:rFonts w:ascii="仿宋" w:eastAsia="仿宋"/>
                <w:color w:val="auto"/>
                <w:sz w:val="24"/>
                <w:highlight w:val="none"/>
              </w:rPr>
              <w:t>7</w:t>
            </w:r>
          </w:p>
        </w:tc>
        <w:tc>
          <w:tcPr>
            <w:tcW w:w="8477"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after="0" w:line="240" w:lineRule="auto"/>
              <w:textAlignment w:val="bottom"/>
              <w:rPr>
                <w:rFonts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中标合同金额的</w:t>
            </w:r>
            <w:r>
              <w:rPr>
                <w:rFonts w:ascii="仿宋" w:eastAsia="仿宋"/>
                <w:color w:val="auto"/>
                <w:sz w:val="24"/>
                <w:highlight w:val="none"/>
                <w:u w:val="single"/>
              </w:rPr>
              <w:t>1</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w:t>
            </w:r>
            <w:r>
              <w:rPr>
                <w:rFonts w:hint="eastAsia" w:ascii="仿宋" w:eastAsia="仿宋"/>
                <w:color w:val="auto"/>
                <w:sz w:val="24"/>
                <w:highlight w:val="none"/>
                <w:u w:val="single"/>
              </w:rPr>
              <w:t xml:space="preserve">履约保证金至合同履行完毕后28天内退还。 </w:t>
            </w:r>
          </w:p>
          <w:p>
            <w:pPr>
              <w:autoSpaceDE w:val="0"/>
              <w:autoSpaceDN w:val="0"/>
              <w:spacing w:after="0" w:line="240" w:lineRule="auto"/>
              <w:textAlignment w:val="bottom"/>
              <w:rPr>
                <w:rFonts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center"/>
              <w:rPr>
                <w:rFonts w:ascii="仿宋" w:eastAsia="仿宋"/>
                <w:color w:val="auto"/>
                <w:sz w:val="24"/>
                <w:highlight w:val="none"/>
              </w:rPr>
            </w:pPr>
            <w:r>
              <w:rPr>
                <w:rFonts w:ascii="仿宋" w:eastAsia="仿宋"/>
                <w:color w:val="auto"/>
                <w:sz w:val="24"/>
                <w:highlight w:val="none"/>
              </w:rPr>
              <w:t>8</w:t>
            </w:r>
          </w:p>
        </w:tc>
        <w:tc>
          <w:tcPr>
            <w:tcW w:w="847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left"/>
              <w:rPr>
                <w:rFonts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center"/>
              <w:rPr>
                <w:rFonts w:ascii="仿宋" w:eastAsia="仿宋"/>
                <w:color w:val="auto"/>
                <w:sz w:val="24"/>
                <w:highlight w:val="none"/>
              </w:rPr>
            </w:pPr>
            <w:r>
              <w:rPr>
                <w:rFonts w:hint="eastAsia" w:ascii="仿宋" w:eastAsia="仿宋"/>
                <w:color w:val="auto"/>
                <w:sz w:val="24"/>
                <w:highlight w:val="none"/>
              </w:rPr>
              <w:t>9</w:t>
            </w:r>
          </w:p>
        </w:tc>
        <w:tc>
          <w:tcPr>
            <w:tcW w:w="847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left"/>
              <w:rPr>
                <w:rFonts w:ascii="仿宋" w:eastAsia="仿宋"/>
                <w:b/>
                <w:bCs/>
                <w:color w:val="auto"/>
                <w:sz w:val="24"/>
                <w:highlight w:val="none"/>
              </w:rPr>
            </w:pPr>
            <w:r>
              <w:rPr>
                <w:rFonts w:hint="eastAsia" w:ascii="仿宋" w:eastAsia="仿宋"/>
                <w:b/>
                <w:bCs/>
                <w:color w:val="auto"/>
                <w:sz w:val="24"/>
                <w:highlight w:val="none"/>
              </w:rPr>
              <w:t>本项目采购标的（服务部分）所属行业：</w:t>
            </w:r>
          </w:p>
          <w:tbl>
            <w:tblPr>
              <w:tblStyle w:val="32"/>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077" w:type="dxa"/>
                  <w:vAlign w:val="center"/>
                </w:tcPr>
                <w:p>
                  <w:pPr>
                    <w:spacing w:after="0" w:line="240" w:lineRule="auto"/>
                    <w:jc w:val="center"/>
                    <w:rPr>
                      <w:rFonts w:ascii="仿宋" w:eastAsia="仿宋"/>
                      <w:b/>
                      <w:bCs/>
                      <w:color w:val="auto"/>
                      <w:sz w:val="24"/>
                      <w:highlight w:val="none"/>
                    </w:rPr>
                  </w:pPr>
                  <w:r>
                    <w:rPr>
                      <w:rFonts w:hint="eastAsia" w:ascii="仿宋" w:eastAsia="仿宋"/>
                      <w:b/>
                      <w:bCs/>
                      <w:color w:val="auto"/>
                      <w:sz w:val="24"/>
                      <w:highlight w:val="none"/>
                    </w:rPr>
                    <w:t>采购标的名称</w:t>
                  </w:r>
                </w:p>
              </w:tc>
              <w:tc>
                <w:tcPr>
                  <w:tcW w:w="4078" w:type="dxa"/>
                  <w:vAlign w:val="center"/>
                </w:tcPr>
                <w:p>
                  <w:pPr>
                    <w:spacing w:after="0" w:line="240" w:lineRule="auto"/>
                    <w:jc w:val="center"/>
                    <w:rPr>
                      <w:rFonts w:ascii="仿宋" w:eastAsia="仿宋"/>
                      <w:b/>
                      <w:bCs/>
                      <w:color w:val="auto"/>
                      <w:sz w:val="24"/>
                      <w:highlight w:val="none"/>
                    </w:rPr>
                  </w:pPr>
                  <w:r>
                    <w:rPr>
                      <w:rFonts w:hint="eastAsia" w:ascii="仿宋" w:eastAsia="仿宋"/>
                      <w:b/>
                      <w:bCs/>
                      <w:color w:val="auto"/>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pacing w:after="0" w:line="240" w:lineRule="auto"/>
                    <w:jc w:val="center"/>
                    <w:rPr>
                      <w:rFonts w:ascii="仿宋" w:eastAsia="仿宋"/>
                      <w:b/>
                      <w:bCs/>
                      <w:color w:val="auto"/>
                      <w:sz w:val="24"/>
                      <w:highlight w:val="none"/>
                    </w:rPr>
                  </w:pPr>
                  <w:r>
                    <w:rPr>
                      <w:rFonts w:ascii="仿宋" w:eastAsia="仿宋"/>
                      <w:b/>
                      <w:bCs/>
                      <w:color w:val="auto"/>
                      <w:sz w:val="24"/>
                      <w:highlight w:val="none"/>
                    </w:rPr>
                    <w:t>滨海新区生物医药“云上综合体”数字化平台</w:t>
                  </w:r>
                </w:p>
              </w:tc>
              <w:tc>
                <w:tcPr>
                  <w:tcW w:w="4078" w:type="dxa"/>
                  <w:vAlign w:val="center"/>
                </w:tcPr>
                <w:p>
                  <w:pPr>
                    <w:spacing w:after="0" w:line="240" w:lineRule="auto"/>
                    <w:jc w:val="center"/>
                    <w:rPr>
                      <w:rFonts w:ascii="仿宋" w:eastAsia="仿宋"/>
                      <w:b/>
                      <w:bCs/>
                      <w:color w:val="auto"/>
                      <w:sz w:val="24"/>
                      <w:highlight w:val="none"/>
                    </w:rPr>
                  </w:pPr>
                  <w:r>
                    <w:rPr>
                      <w:rFonts w:ascii="仿宋" w:eastAsia="仿宋"/>
                      <w:b/>
                      <w:bCs/>
                      <w:color w:val="auto"/>
                      <w:sz w:val="24"/>
                      <w:highlight w:val="none"/>
                    </w:rPr>
                    <w:t>软件和信息技术服务业</w:t>
                  </w:r>
                </w:p>
              </w:tc>
            </w:tr>
          </w:tbl>
          <w:p>
            <w:pPr>
              <w:spacing w:after="0" w:line="240" w:lineRule="auto"/>
              <w:jc w:val="left"/>
              <w:rPr>
                <w:rFonts w:ascii="仿宋" w:eastAsia="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jc w:val="center"/>
              <w:rPr>
                <w:rFonts w:ascii="仿宋" w:eastAsia="仿宋"/>
                <w:color w:val="auto"/>
                <w:sz w:val="24"/>
                <w:highlight w:val="none"/>
              </w:rPr>
            </w:pPr>
            <w:r>
              <w:rPr>
                <w:rFonts w:hint="eastAsia" w:ascii="仿宋" w:eastAsia="仿宋"/>
                <w:color w:val="auto"/>
                <w:sz w:val="24"/>
                <w:highlight w:val="none"/>
              </w:rPr>
              <w:t>10</w:t>
            </w:r>
          </w:p>
        </w:tc>
        <w:tc>
          <w:tcPr>
            <w:tcW w:w="847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0" w:line="240" w:lineRule="auto"/>
              <w:rPr>
                <w:rFonts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仿宋" w:eastAsia="仿宋" w:cs="仿宋_GB2312"/>
                <w:color w:val="auto"/>
                <w:sz w:val="24"/>
                <w:highlight w:val="none"/>
              </w:rPr>
            </w:pPr>
            <w:r>
              <w:rPr>
                <w:rFonts w:hint="eastAsia" w:ascii="仿宋" w:eastAsia="仿宋" w:cs="仿宋_GB2312"/>
                <w:color w:val="auto"/>
                <w:sz w:val="24"/>
                <w:highlight w:val="none"/>
              </w:rPr>
              <w:t>中标单位需支付以下费用，并在投标报价中自行考虑：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eastAsia="仿宋" w:cs="仿宋_GB2312"/>
                <w:color w:val="auto"/>
                <w:sz w:val="24"/>
                <w:highlight w:val="none"/>
              </w:rPr>
              <w:t>（1）代理服务费</w:t>
            </w:r>
            <w:r>
              <w:rPr>
                <w:rFonts w:hint="eastAsia" w:ascii="仿宋" w:hAnsi="仿宋" w:eastAsia="仿宋" w:cs="仿宋"/>
                <w:color w:val="auto"/>
                <w:sz w:val="24"/>
                <w:szCs w:val="24"/>
                <w:highlight w:val="none"/>
              </w:rPr>
              <w:t>按下列</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招标差额定率累进法计算方式计取后由中标人按80%</w:t>
            </w:r>
            <w:r>
              <w:rPr>
                <w:rFonts w:hint="default" w:ascii="Arial" w:hAnsi="Arial" w:eastAsia="仿宋" w:cs="Arial"/>
                <w:color w:val="auto"/>
                <w:sz w:val="24"/>
                <w:szCs w:val="24"/>
                <w:highlight w:val="none"/>
              </w:rPr>
              <w:t>×</w:t>
            </w:r>
            <w:r>
              <w:rPr>
                <w:rFonts w:hint="eastAsia" w:ascii="仿宋" w:hAnsi="仿宋" w:eastAsia="仿宋" w:cs="仿宋"/>
                <w:color w:val="auto"/>
                <w:sz w:val="24"/>
                <w:szCs w:val="24"/>
                <w:highlight w:val="none"/>
              </w:rPr>
              <w:t>(1-6%)支付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不足6500元的按6500元计取。</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1653"/>
              <w:gridCol w:w="165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932" w:type="dxa"/>
                  <w:noWrap w:val="0"/>
                  <w:vAlign w:val="top"/>
                  <mc:AlternateContent>
                    <mc:Choice Requires="wpsCustomData">
                      <wpsCustomData:diagonals>
                        <wpsCustomData:diagonal from="30000" to="7400">
                          <wpsCustomData:border w:val="single" w:color="auto" w:sz="4" w:space="0"/>
                        </wpsCustomData:diagonal>
                        <wpsCustomData:diagonal from="30000" to="127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eastAsia"/>
                      <w:b/>
                      <w:color w:val="auto"/>
                      <w:highlight w:val="none"/>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eastAsia"/>
                      <w:b/>
                      <w:color w:val="auto"/>
                      <w:spacing w:val="-6"/>
                      <w:sz w:val="21"/>
                      <w:highlight w:val="none"/>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textAlignment w:val="auto"/>
                    <mc:AlternateContent>
                      <mc:Choice Requires="wpsCustomData">
                        <wpsCustomData:diagonalParaType/>
                      </mc:Choice>
                    </mc:AlternateContent>
                    <w:rPr>
                      <w:rFonts w:hint="eastAsia" w:ascii="Times New Roman" w:hAnsi="Times New Roman" w:eastAsia="宋体" w:cs="Times New Roman"/>
                      <w:b/>
                      <w:color w:val="auto"/>
                      <w:szCs w:val="24"/>
                      <w:highlight w:val="none"/>
                    </w:rPr>
                  </w:pPr>
                  <w:r>
                    <w:rPr>
                      <w:rFonts w:hint="eastAsia"/>
                      <w:b/>
                      <w:color w:val="auto"/>
                      <w:spacing w:val="0"/>
                      <w:sz w:val="21"/>
                      <w:highlight w:val="none"/>
                      <w:lang w:eastAsia="zh-CN"/>
                    </w:rPr>
                    <w:t>中标金额</w:t>
                  </w:r>
                  <w:r>
                    <w:rPr>
                      <w:rFonts w:hint="eastAsia"/>
                      <w:b/>
                      <w:color w:val="auto"/>
                      <w:spacing w:val="0"/>
                      <w:sz w:val="21"/>
                      <w:highlight w:val="none"/>
                      <w:lang w:val="en-US" w:eastAsia="zh-CN"/>
                    </w:rPr>
                    <w:t>(</w:t>
                  </w:r>
                  <w:r>
                    <w:rPr>
                      <w:rFonts w:hint="eastAsia"/>
                      <w:b/>
                      <w:color w:val="auto"/>
                      <w:spacing w:val="0"/>
                      <w:sz w:val="21"/>
                      <w:highlight w:val="none"/>
                      <w:lang w:eastAsia="zh-CN"/>
                    </w:rPr>
                    <w:t>万元</w:t>
                  </w:r>
                  <w:r>
                    <w:rPr>
                      <w:rFonts w:hint="eastAsia"/>
                      <w:b/>
                      <w:color w:val="auto"/>
                      <w:spacing w:val="0"/>
                      <w:sz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eastAsia" w:ascii="Times New Roman" w:hAnsi="Times New Roman" w:eastAsia="宋体" w:cs="Times New Roman"/>
                      <w:b/>
                      <w:color w:val="auto"/>
                      <w:szCs w:val="24"/>
                      <w:highlight w:val="none"/>
                      <w:lang w:eastAsia="zh-CN"/>
                    </w:rPr>
                  </w:pPr>
                  <w:r>
                    <w:rPr>
                      <w:rFonts w:hint="eastAsia" w:ascii="Times New Roman" w:hAnsi="Times New Roman" w:eastAsia="宋体" w:cs="Times New Roman"/>
                      <w:b/>
                      <w:color w:val="auto"/>
                      <w:szCs w:val="24"/>
                      <w:highlight w:val="none"/>
                      <w:lang w:eastAsia="zh-CN"/>
                    </w:rPr>
                    <w:t>费</w:t>
                  </w:r>
                </w:p>
                <w:p>
                  <w:pPr>
                    <w:keepNext w:val="0"/>
                    <w:keepLines w:val="0"/>
                    <w:pageBreakBefore w:val="0"/>
                    <w:widowControl w:val="0"/>
                    <w:kinsoku/>
                    <w:wordWrap/>
                    <w:overflowPunct/>
                    <w:topLinePunct w:val="0"/>
                    <w:autoSpaceDE/>
                    <w:autoSpaceDN/>
                    <w:bidi w:val="0"/>
                    <w:adjustRightInd/>
                    <w:snapToGrid w:val="0"/>
                    <w:spacing w:after="0" w:line="240" w:lineRule="auto"/>
                    <w:textAlignment w:val="auto"/>
                    <mc:AlternateContent>
                      <mc:Choice Requires="wpsCustomData">
                        <wpsCustomData:diagonalParaType/>
                      </mc:Choice>
                    </mc:AlternateContent>
                    <w:rPr>
                      <w:rFonts w:hint="eastAsia" w:ascii="Times New Roman" w:hAnsi="Times New Roman" w:eastAsia="宋体" w:cs="Times New Roman"/>
                      <w:b/>
                      <w:color w:val="auto"/>
                      <w:szCs w:val="24"/>
                      <w:highlight w:val="none"/>
                      <w:lang w:eastAsia="zh-CN"/>
                    </w:rPr>
                  </w:pPr>
                  <w:r>
                    <w:rPr>
                      <w:rFonts w:hint="eastAsia" w:ascii="Times New Roman" w:hAnsi="Times New Roman" w:eastAsia="宋体" w:cs="Times New Roman"/>
                      <w:b/>
                      <w:color w:val="auto"/>
                      <w:szCs w:val="24"/>
                      <w:highlight w:val="none"/>
                      <w:lang w:eastAsia="zh-CN"/>
                    </w:rPr>
                    <w:t>率</w:t>
                  </w:r>
                </w:p>
                <w:p>
                  <w:pPr>
                    <w:keepNext w:val="0"/>
                    <w:keepLines w:val="0"/>
                    <w:pageBreakBefore w:val="0"/>
                    <w:widowControl w:val="0"/>
                    <w:kinsoku/>
                    <w:wordWrap/>
                    <w:overflowPunct/>
                    <w:topLinePunct w:val="0"/>
                    <w:autoSpaceDE/>
                    <w:autoSpaceDN/>
                    <w:bidi w:val="0"/>
                    <w:adjustRightInd/>
                    <w:snapToGrid w:val="0"/>
                    <w:spacing w:after="0" w:line="240" w:lineRule="auto"/>
                    <w:ind w:firstLine="422" w:firstLineChars="200"/>
                    <w:textAlignment w:val="auto"/>
                    <w:rPr>
                      <w:rFonts w:hint="eastAsia" w:ascii="Times New Roman" w:hAnsi="Times New Roman" w:eastAsia="宋体" w:cs="Times New Roman"/>
                      <w:b/>
                      <w:color w:val="auto"/>
                      <w:szCs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ind w:firstLine="211" w:firstLineChars="100"/>
                    <w:textAlignment w:val="auto"/>
                    <w:rPr>
                      <w:rFonts w:hint="eastAsia" w:ascii="Times New Roman" w:hAnsi="Times New Roman" w:eastAsia="宋体" w:cs="Times New Roman"/>
                      <w:b/>
                      <w:color w:val="auto"/>
                      <w:szCs w:val="24"/>
                      <w:highlight w:val="none"/>
                      <w:lang w:eastAsia="zh-CN"/>
                    </w:rPr>
                  </w:pPr>
                  <w:r>
                    <w:rPr>
                      <w:rFonts w:hint="eastAsia" w:ascii="Times New Roman" w:hAnsi="Times New Roman" w:eastAsia="宋体" w:cs="Times New Roman"/>
                      <w:b/>
                      <w:color w:val="auto"/>
                      <w:szCs w:val="24"/>
                      <w:highlight w:val="none"/>
                      <w:lang w:eastAsia="zh-CN"/>
                    </w:rPr>
                    <w:t>服务类型</w:t>
                  </w:r>
                </w:p>
              </w:tc>
              <w:tc>
                <w:tcPr>
                  <w:tcW w:w="1653" w:type="dxa"/>
                  <w:noWrap w:val="0"/>
                  <w:vAlign w:val="center"/>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货物招标</w:t>
                  </w:r>
                </w:p>
              </w:tc>
              <w:tc>
                <w:tcPr>
                  <w:tcW w:w="1653" w:type="dxa"/>
                  <w:noWrap w:val="0"/>
                  <w:vAlign w:val="center"/>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服务招标</w:t>
                  </w:r>
                </w:p>
              </w:tc>
              <w:tc>
                <w:tcPr>
                  <w:tcW w:w="1653" w:type="dxa"/>
                  <w:noWrap w:val="0"/>
                  <w:vAlign w:val="center"/>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2"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100以下</w:t>
                  </w:r>
                </w:p>
              </w:tc>
              <w:tc>
                <w:tcPr>
                  <w:tcW w:w="1653"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1.5%</w:t>
                  </w:r>
                </w:p>
              </w:tc>
              <w:tc>
                <w:tcPr>
                  <w:tcW w:w="1653"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1.5%</w:t>
                  </w:r>
                </w:p>
              </w:tc>
              <w:tc>
                <w:tcPr>
                  <w:tcW w:w="1653"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2"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100-500</w:t>
                  </w:r>
                </w:p>
              </w:tc>
              <w:tc>
                <w:tcPr>
                  <w:tcW w:w="1653"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1.1%</w:t>
                  </w:r>
                </w:p>
              </w:tc>
              <w:tc>
                <w:tcPr>
                  <w:tcW w:w="1653"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0.8%</w:t>
                  </w:r>
                </w:p>
              </w:tc>
              <w:tc>
                <w:tcPr>
                  <w:tcW w:w="1653"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2"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500-1000</w:t>
                  </w:r>
                </w:p>
              </w:tc>
              <w:tc>
                <w:tcPr>
                  <w:tcW w:w="1653"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0.8%</w:t>
                  </w:r>
                </w:p>
              </w:tc>
              <w:tc>
                <w:tcPr>
                  <w:tcW w:w="1653"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0.45%</w:t>
                  </w:r>
                </w:p>
              </w:tc>
              <w:tc>
                <w:tcPr>
                  <w:tcW w:w="1653"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2"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1000-5000</w:t>
                  </w:r>
                </w:p>
              </w:tc>
              <w:tc>
                <w:tcPr>
                  <w:tcW w:w="1653"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0.5%</w:t>
                  </w:r>
                </w:p>
              </w:tc>
              <w:tc>
                <w:tcPr>
                  <w:tcW w:w="1653"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0.25%</w:t>
                  </w:r>
                </w:p>
              </w:tc>
              <w:tc>
                <w:tcPr>
                  <w:tcW w:w="1653" w:type="dxa"/>
                  <w:noWrap w:val="0"/>
                  <w:vAlign w:val="top"/>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0.35%</w:t>
                  </w:r>
                </w:p>
              </w:tc>
            </w:tr>
          </w:tbl>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结算方式及时间为：中标通知书发出之日起7日内由中标人一次性向采购代理机构付清。</w:t>
            </w:r>
          </w:p>
          <w:p>
            <w:pPr>
              <w:spacing w:after="0" w:line="240" w:lineRule="auto"/>
              <w:jc w:val="left"/>
              <w:rPr>
                <w:rFonts w:ascii="仿宋" w:eastAsia="仿宋" w:cs="仿宋_GB2312"/>
                <w:color w:val="auto"/>
                <w:sz w:val="24"/>
                <w:highlight w:val="none"/>
              </w:rPr>
            </w:pPr>
            <w:r>
              <w:rPr>
                <w:rFonts w:hint="eastAsia" w:ascii="仿宋" w:eastAsia="仿宋" w:cs="仿宋_GB2312"/>
                <w:color w:val="auto"/>
                <w:sz w:val="24"/>
                <w:highlight w:val="none"/>
              </w:rPr>
              <w:t>（2）代理服务费的交纳方式：</w:t>
            </w:r>
          </w:p>
          <w:p>
            <w:pPr>
              <w:spacing w:after="0" w:line="240" w:lineRule="auto"/>
              <w:jc w:val="left"/>
              <w:rPr>
                <w:rFonts w:ascii="仿宋" w:eastAsia="仿宋" w:cs="仿宋_GB2312"/>
                <w:color w:val="auto"/>
                <w:sz w:val="24"/>
                <w:highlight w:val="none"/>
              </w:rPr>
            </w:pPr>
            <w:r>
              <w:rPr>
                <w:rFonts w:hint="eastAsia" w:ascii="仿宋" w:eastAsia="仿宋" w:cs="仿宋_GB2312"/>
                <w:color w:val="auto"/>
                <w:sz w:val="24"/>
                <w:highlight w:val="none"/>
              </w:rPr>
              <w:t>用银行支票、汇票、电汇、现金等付款方式直接交纳招标代理服务费。</w:t>
            </w:r>
          </w:p>
          <w:p>
            <w:pPr>
              <w:spacing w:after="0" w:line="240" w:lineRule="auto"/>
              <w:jc w:val="left"/>
              <w:rPr>
                <w:rFonts w:ascii="仿宋" w:eastAsia="仿宋" w:cs="仿宋_GB2312"/>
                <w:color w:val="auto"/>
                <w:sz w:val="24"/>
                <w:highlight w:val="none"/>
              </w:rPr>
            </w:pPr>
            <w:r>
              <w:rPr>
                <w:rFonts w:hint="eastAsia" w:ascii="仿宋" w:eastAsia="仿宋" w:cs="仿宋_GB2312"/>
                <w:color w:val="auto"/>
                <w:sz w:val="24"/>
                <w:highlight w:val="none"/>
              </w:rPr>
              <w:t>公司名称：浙江翔实建设项目管理有限公司</w:t>
            </w:r>
          </w:p>
          <w:p>
            <w:pPr>
              <w:spacing w:after="0" w:line="240" w:lineRule="auto"/>
              <w:jc w:val="left"/>
              <w:rPr>
                <w:rFonts w:ascii="仿宋" w:eastAsia="仿宋" w:cs="仿宋_GB2312"/>
                <w:color w:val="auto"/>
                <w:sz w:val="24"/>
                <w:highlight w:val="none"/>
              </w:rPr>
            </w:pPr>
            <w:r>
              <w:rPr>
                <w:rFonts w:hint="eastAsia" w:ascii="仿宋" w:eastAsia="仿宋" w:cs="仿宋_GB2312"/>
                <w:color w:val="auto"/>
                <w:sz w:val="24"/>
                <w:highlight w:val="none"/>
              </w:rPr>
              <w:t>开户行：建行绍兴越城支行</w:t>
            </w:r>
          </w:p>
          <w:p>
            <w:pPr>
              <w:spacing w:after="0" w:line="240" w:lineRule="auto"/>
              <w:jc w:val="left"/>
              <w:rPr>
                <w:rFonts w:ascii="仿宋" w:eastAsia="仿宋" w:cs="仿宋_GB2312"/>
                <w:color w:val="auto"/>
                <w:sz w:val="24"/>
                <w:highlight w:val="none"/>
              </w:rPr>
            </w:pPr>
            <w:r>
              <w:rPr>
                <w:rFonts w:hint="eastAsia" w:ascii="仿宋" w:eastAsia="仿宋" w:cs="仿宋_GB2312"/>
                <w:color w:val="auto"/>
                <w:sz w:val="24"/>
                <w:highlight w:val="none"/>
              </w:rPr>
              <w:t>账  号：33001653549053003519</w:t>
            </w:r>
          </w:p>
        </w:tc>
      </w:tr>
    </w:tbl>
    <w:p>
      <w:pPr>
        <w:ind w:left="238"/>
        <w:jc w:val="center"/>
        <w:rPr>
          <w:rFonts w:ascii="仿宋" w:eastAsia="仿宋"/>
          <w:color w:val="auto"/>
          <w:sz w:val="24"/>
          <w:highlight w:val="none"/>
        </w:rPr>
      </w:pPr>
    </w:p>
    <w:p>
      <w:pPr>
        <w:rPr>
          <w:rFonts w:ascii="仿宋"/>
          <w:color w:val="auto"/>
          <w:highlight w:val="none"/>
        </w:rPr>
      </w:pPr>
      <w:bookmarkStart w:id="36" w:name="_Toc21572"/>
      <w:r>
        <w:rPr>
          <w:rFonts w:hint="eastAsia" w:ascii="仿宋"/>
          <w:color w:val="auto"/>
          <w:highlight w:val="none"/>
        </w:rPr>
        <w:br w:type="page"/>
      </w:r>
    </w:p>
    <w:p>
      <w:pPr>
        <w:pStyle w:val="4"/>
        <w:rPr>
          <w:rFonts w:ascii="仿宋"/>
          <w:color w:val="auto"/>
          <w:highlight w:val="none"/>
        </w:rPr>
      </w:pPr>
      <w:r>
        <w:rPr>
          <w:rFonts w:hint="eastAsia" w:ascii="仿宋"/>
          <w:color w:val="auto"/>
          <w:highlight w:val="none"/>
        </w:rPr>
        <w:t>二、采购文件</w:t>
      </w:r>
      <w:bookmarkEnd w:id="36"/>
    </w:p>
    <w:p>
      <w:pPr>
        <w:snapToGrid w:val="0"/>
        <w:spacing w:after="0" w:line="440" w:lineRule="exact"/>
        <w:jc w:val="left"/>
        <w:rPr>
          <w:rFonts w:ascii="仿宋" w:eastAsia="仿宋"/>
          <w:b/>
          <w:color w:val="auto"/>
          <w:sz w:val="24"/>
          <w:highlight w:val="none"/>
        </w:rPr>
      </w:pPr>
      <w:r>
        <w:rPr>
          <w:rFonts w:hint="eastAsia" w:ascii="仿宋" w:eastAsia="仿宋"/>
          <w:b/>
          <w:color w:val="auto"/>
          <w:sz w:val="24"/>
          <w:highlight w:val="none"/>
        </w:rPr>
        <w:t>1. 采购文件效力</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pPr>
        <w:snapToGrid w:val="0"/>
        <w:spacing w:after="0"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pPr>
        <w:snapToGrid w:val="0"/>
        <w:spacing w:after="0" w:line="440" w:lineRule="exact"/>
        <w:jc w:val="left"/>
        <w:rPr>
          <w:rFonts w:ascii="仿宋" w:eastAsia="仿宋"/>
          <w:b/>
          <w:bCs/>
          <w:color w:val="auto"/>
          <w:sz w:val="24"/>
          <w:highlight w:val="none"/>
        </w:rPr>
      </w:pPr>
      <w:r>
        <w:rPr>
          <w:rFonts w:hint="eastAsia" w:ascii="仿宋" w:eastAsia="仿宋"/>
          <w:b/>
          <w:bCs/>
          <w:color w:val="auto"/>
          <w:sz w:val="24"/>
          <w:highlight w:val="none"/>
        </w:rPr>
        <w:t>2、名词定义</w:t>
      </w:r>
    </w:p>
    <w:p>
      <w:pPr>
        <w:snapToGrid w:val="0"/>
        <w:spacing w:after="0"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pPr>
        <w:snapToGrid w:val="0"/>
        <w:spacing w:after="0" w:line="440" w:lineRule="exact"/>
        <w:jc w:val="left"/>
        <w:rPr>
          <w:rFonts w:ascii="仿宋" w:eastAsia="仿宋"/>
          <w:b/>
          <w:bCs/>
          <w:color w:val="auto"/>
          <w:sz w:val="24"/>
          <w:highlight w:val="none"/>
        </w:rPr>
      </w:pPr>
      <w:r>
        <w:rPr>
          <w:rFonts w:hint="eastAsia" w:ascii="仿宋" w:eastAsia="仿宋"/>
          <w:b/>
          <w:bCs/>
          <w:color w:val="auto"/>
          <w:sz w:val="24"/>
          <w:highlight w:val="none"/>
        </w:rPr>
        <w:t>3、政府采购政策性规定</w:t>
      </w:r>
    </w:p>
    <w:p>
      <w:pPr>
        <w:snapToGrid w:val="0"/>
        <w:spacing w:after="0" w:line="440" w:lineRule="exact"/>
        <w:jc w:val="left"/>
        <w:rPr>
          <w:rFonts w:ascii="仿宋" w:eastAsia="仿宋"/>
          <w:color w:val="auto"/>
          <w:sz w:val="24"/>
          <w:highlight w:val="none"/>
        </w:rPr>
      </w:pPr>
      <w:r>
        <w:rPr>
          <w:rFonts w:hint="eastAsia" w:ascii="仿宋" w:eastAsia="仿宋"/>
          <w:b/>
          <w:bCs/>
          <w:color w:val="auto"/>
          <w:sz w:val="24"/>
          <w:highlight w:val="none"/>
        </w:rPr>
        <w:t>3.1采购国产</w:t>
      </w:r>
    </w:p>
    <w:p>
      <w:pPr>
        <w:snapToGrid w:val="0"/>
        <w:spacing w:after="0"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pPr>
        <w:snapToGrid w:val="0"/>
        <w:spacing w:after="0" w:line="440" w:lineRule="exact"/>
        <w:jc w:val="left"/>
        <w:rPr>
          <w:rFonts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pPr>
        <w:snapToGrid w:val="0"/>
        <w:spacing w:after="0"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本项目依据</w:t>
      </w:r>
      <w:r>
        <w:rPr>
          <w:rFonts w:ascii="仿宋" w:eastAsia="仿宋" w:cs="仿宋_GB2312"/>
          <w:color w:val="auto"/>
          <w:sz w:val="24"/>
          <w:highlight w:val="none"/>
        </w:rPr>
        <w:t>《政府采购促进中小企业发展管理办法》（</w:t>
      </w:r>
      <w:r>
        <w:rPr>
          <w:rFonts w:hint="eastAsia" w:ascii="楷体" w:eastAsia="楷体"/>
          <w:color w:val="auto"/>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color w:val="auto"/>
          <w:sz w:val="24"/>
          <w:szCs w:val="24"/>
          <w:highlight w:val="none"/>
          <w:shd w:val="clear" w:color="auto" w:fill="FFFFFF"/>
        </w:rPr>
        <w:t>〔202</w:t>
      </w:r>
      <w:r>
        <w:rPr>
          <w:rFonts w:ascii="楷体" w:eastAsia="楷体"/>
          <w:color w:val="auto"/>
          <w:sz w:val="24"/>
          <w:szCs w:val="24"/>
          <w:highlight w:val="none"/>
          <w:shd w:val="clear" w:color="auto" w:fill="FFFFFF"/>
        </w:rPr>
        <w:t>2</w:t>
      </w:r>
      <w:r>
        <w:rPr>
          <w:rFonts w:hint="eastAsia" w:ascii="楷体" w:eastAsia="楷体"/>
          <w:color w:val="auto"/>
          <w:sz w:val="24"/>
          <w:szCs w:val="24"/>
          <w:highlight w:val="none"/>
          <w:shd w:val="clear" w:color="auto" w:fill="FFFFFF"/>
        </w:rPr>
        <w:t>〕</w:t>
      </w:r>
      <w:r>
        <w:rPr>
          <w:rFonts w:ascii="楷体" w:eastAsia="楷体"/>
          <w:color w:val="auto"/>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规定，投标供应商提供的服务部分（不含货物部分，详见前附表）全部为小微企业承接的，</w:t>
      </w:r>
      <w:r>
        <w:rPr>
          <w:rFonts w:ascii="仿宋" w:eastAsia="仿宋" w:cs="仿宋_GB2312"/>
          <w:color w:val="auto"/>
          <w:sz w:val="24"/>
          <w:highlight w:val="none"/>
        </w:rPr>
        <w:t>对</w:t>
      </w:r>
      <w:r>
        <w:rPr>
          <w:rFonts w:hint="eastAsia" w:ascii="仿宋" w:eastAsia="仿宋" w:cs="仿宋_GB2312"/>
          <w:color w:val="auto"/>
          <w:sz w:val="24"/>
          <w:highlight w:val="none"/>
        </w:rPr>
        <w:t>投标报价给予1</w:t>
      </w:r>
      <w:r>
        <w:rPr>
          <w:rFonts w:ascii="仿宋" w:eastAsia="仿宋" w:cs="仿宋_GB2312"/>
          <w:color w:val="auto"/>
          <w:sz w:val="24"/>
          <w:highlight w:val="none"/>
        </w:rPr>
        <w:t>0</w:t>
      </w:r>
      <w:r>
        <w:rPr>
          <w:rFonts w:hint="eastAsia" w:ascii="仿宋" w:eastAsia="仿宋" w:cs="仿宋_GB2312"/>
          <w:color w:val="auto"/>
          <w:sz w:val="24"/>
          <w:highlight w:val="none"/>
        </w:rPr>
        <w:t>%的扣除，用扣除后的价格参加评审。</w:t>
      </w:r>
    </w:p>
    <w:p>
      <w:pPr>
        <w:snapToGrid w:val="0"/>
        <w:spacing w:after="0"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pPr>
        <w:snapToGrid w:val="0"/>
        <w:spacing w:after="0" w:line="420" w:lineRule="exact"/>
        <w:ind w:firstLine="480" w:firstLineChars="200"/>
        <w:rPr>
          <w:rFonts w:ascii="仿宋" w:eastAsia="仿宋" w:cs="仿宋_GB2312"/>
          <w:color w:val="auto"/>
          <w:sz w:val="24"/>
          <w:highlight w:val="none"/>
        </w:rPr>
      </w:pPr>
      <w:r>
        <w:rPr>
          <w:rFonts w:hint="eastAsia" w:ascii="仿宋" w:eastAsia="仿宋" w:cs="仿宋_GB2312"/>
          <w:color w:val="auto"/>
          <w:sz w:val="24"/>
          <w:highlight w:val="none"/>
        </w:rPr>
        <w:t>供应商应当在联合体协议或分包意向协议中约定各方承担的货物和服务内容以及各方的合同份额，并在《中小企业声明函》中填写服务承接商的小微企业相关信息，否则不予享受价格扣除。</w:t>
      </w:r>
    </w:p>
    <w:p>
      <w:pPr>
        <w:snapToGrid w:val="0"/>
        <w:spacing w:after="0" w:line="420" w:lineRule="exact"/>
        <w:ind w:firstLine="480" w:firstLineChars="200"/>
        <w:rPr>
          <w:rFonts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pPr>
        <w:snapToGrid w:val="0"/>
        <w:spacing w:after="0" w:line="440" w:lineRule="exact"/>
        <w:ind w:firstLine="480" w:firstLineChars="200"/>
        <w:jc w:val="left"/>
        <w:rPr>
          <w:rFonts w:ascii="仿宋" w:eastAsia="仿宋" w:cs="仿宋_GB2312"/>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pPr>
        <w:snapToGrid w:val="0"/>
        <w:spacing w:after="0" w:line="44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pPr>
        <w:snapToGrid w:val="0"/>
        <w:spacing w:after="0"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pPr>
        <w:snapToGrid w:val="0"/>
        <w:spacing w:after="0" w:line="440" w:lineRule="exact"/>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after="0"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after="0" w:line="440" w:lineRule="exact"/>
        <w:jc w:val="left"/>
        <w:rPr>
          <w:rFonts w:ascii="仿宋" w:eastAsia="仿宋"/>
          <w:b/>
          <w:bCs/>
          <w:color w:val="auto"/>
          <w:sz w:val="24"/>
          <w:highlight w:val="none"/>
        </w:rPr>
      </w:pPr>
      <w:r>
        <w:rPr>
          <w:rFonts w:hint="eastAsia" w:ascii="仿宋" w:eastAsia="仿宋"/>
          <w:b/>
          <w:bCs/>
          <w:color w:val="auto"/>
          <w:sz w:val="24"/>
          <w:highlight w:val="none"/>
        </w:rPr>
        <w:t>4.采购文件的澄清与修改</w:t>
      </w:r>
    </w:p>
    <w:p>
      <w:pPr>
        <w:pStyle w:val="9"/>
        <w:widowControl w:val="0"/>
        <w:numPr>
          <w:ilvl w:val="0"/>
          <w:numId w:val="0"/>
        </w:numPr>
        <w:spacing w:after="0" w:afterLines="0" w:line="440" w:lineRule="exact"/>
        <w:rPr>
          <w:rFonts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after="0" w:line="440" w:lineRule="exact"/>
        <w:jc w:val="left"/>
        <w:rPr>
          <w:rFonts w:ascii="仿宋" w:eastAsia="仿宋"/>
          <w:b/>
          <w:bCs/>
          <w:color w:val="auto"/>
          <w:sz w:val="24"/>
          <w:highlight w:val="none"/>
        </w:rPr>
      </w:pPr>
      <w:r>
        <w:rPr>
          <w:rFonts w:hint="eastAsia" w:ascii="仿宋" w:eastAsia="仿宋"/>
          <w:b/>
          <w:bCs/>
          <w:color w:val="auto"/>
          <w:sz w:val="24"/>
          <w:highlight w:val="none"/>
        </w:rPr>
        <w:t>5、参考品牌</w:t>
      </w:r>
    </w:p>
    <w:p>
      <w:pPr>
        <w:snapToGrid w:val="0"/>
        <w:spacing w:after="0"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rPr>
          <w:rFonts w:ascii="仿宋"/>
          <w:color w:val="auto"/>
          <w:highlight w:val="none"/>
        </w:rPr>
      </w:pPr>
      <w:bookmarkStart w:id="37" w:name="_Toc18718"/>
      <w:r>
        <w:rPr>
          <w:rFonts w:hint="eastAsia" w:ascii="仿宋"/>
          <w:color w:val="auto"/>
          <w:highlight w:val="none"/>
        </w:rPr>
        <w:t>三、投标文件</w:t>
      </w:r>
      <w:bookmarkEnd w:id="37"/>
    </w:p>
    <w:p>
      <w:pPr>
        <w:numPr>
          <w:ilvl w:val="0"/>
          <w:numId w:val="4"/>
        </w:numPr>
        <w:snapToGrid w:val="0"/>
        <w:spacing w:after="0" w:line="440" w:lineRule="exact"/>
        <w:jc w:val="left"/>
        <w:rPr>
          <w:rFonts w:ascii="仿宋" w:eastAsia="仿宋"/>
          <w:b/>
          <w:color w:val="auto"/>
          <w:sz w:val="24"/>
          <w:highlight w:val="none"/>
        </w:rPr>
      </w:pPr>
      <w:r>
        <w:rPr>
          <w:rFonts w:hint="eastAsia" w:ascii="仿宋" w:eastAsia="仿宋"/>
          <w:b/>
          <w:color w:val="auto"/>
          <w:sz w:val="24"/>
          <w:highlight w:val="none"/>
        </w:rPr>
        <w:t>投标文件的语言及货币单位</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pPr>
        <w:numPr>
          <w:ilvl w:val="0"/>
          <w:numId w:val="4"/>
        </w:numPr>
        <w:snapToGrid w:val="0"/>
        <w:spacing w:after="0" w:line="440" w:lineRule="exact"/>
        <w:jc w:val="left"/>
        <w:rPr>
          <w:rFonts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rPr>
        <w:t>（</w:t>
      </w:r>
      <w:r>
        <w:rPr>
          <w:rFonts w:ascii="仿宋" w:eastAsia="仿宋" w:cs="Arial"/>
          <w:b/>
          <w:bCs/>
          <w:color w:val="auto"/>
          <w:sz w:val="24"/>
          <w:highlight w:val="none"/>
        </w:rPr>
        <w:t>格式详见第六章附件</w:t>
      </w:r>
      <w:r>
        <w:rPr>
          <w:rFonts w:hint="eastAsia" w:ascii="仿宋" w:eastAsia="仿宋" w:cs="Arial"/>
          <w:bCs/>
          <w:color w:val="auto"/>
          <w:sz w:val="24"/>
          <w:highlight w:val="none"/>
        </w:rPr>
        <w:t>）</w:t>
      </w:r>
    </w:p>
    <w:p>
      <w:pPr>
        <w:snapToGrid w:val="0"/>
        <w:spacing w:after="0" w:line="440" w:lineRule="exact"/>
        <w:ind w:firstLine="479"/>
        <w:jc w:val="left"/>
        <w:rPr>
          <w:rFonts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pPr>
        <w:snapToGrid w:val="0"/>
        <w:spacing w:after="0"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2.1.1投标声明函；</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2.1.2联合体协议书（如有）；</w:t>
      </w:r>
    </w:p>
    <w:p>
      <w:pPr>
        <w:snapToGrid w:val="0"/>
        <w:spacing w:after="0" w:line="440" w:lineRule="exact"/>
        <w:jc w:val="left"/>
        <w:rPr>
          <w:rFonts w:ascii="仿宋" w:eastAsia="仿宋" w:cs="仿宋_GB2312"/>
          <w:color w:val="auto"/>
          <w:sz w:val="24"/>
          <w:szCs w:val="24"/>
          <w:highlight w:val="none"/>
        </w:rPr>
      </w:pPr>
      <w:r>
        <w:rPr>
          <w:rFonts w:hint="eastAsia" w:ascii="仿宋" w:eastAsia="仿宋"/>
          <w:color w:val="auto"/>
          <w:sz w:val="24"/>
          <w:highlight w:val="none"/>
        </w:rPr>
        <w:t>2.1.3</w:t>
      </w:r>
      <w:r>
        <w:rPr>
          <w:rFonts w:hint="eastAsia" w:ascii="仿宋" w:eastAsia="仿宋" w:cs="仿宋_GB2312"/>
          <w:color w:val="auto"/>
          <w:sz w:val="24"/>
          <w:szCs w:val="24"/>
          <w:highlight w:val="none"/>
        </w:rPr>
        <w:t>分包意向协议（如有）；</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2.1.4法定代表人授权委托书（个体工商户需经营者参与投标，不得授权）</w:t>
      </w:r>
      <w:r>
        <w:rPr>
          <w:rFonts w:hint="eastAsia" w:ascii="仿宋" w:eastAsia="仿宋" w:cs="Arial"/>
          <w:bCs/>
          <w:color w:val="auto"/>
          <w:sz w:val="24"/>
          <w:highlight w:val="none"/>
        </w:rPr>
        <w:t>；</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2.1.5法定代表人及其授权代表的身份证；</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1.6 资格条件证明材料：</w:t>
      </w:r>
    </w:p>
    <w:p>
      <w:pPr>
        <w:snapToGrid w:val="0"/>
        <w:spacing w:after="0"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2.1.6.1营业执照或事业单位法人登记证书；</w:t>
      </w:r>
    </w:p>
    <w:p>
      <w:pPr>
        <w:snapToGrid w:val="0"/>
        <w:spacing w:after="0"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2.1.6.2特定资格条件证明材料（如有）。</w:t>
      </w:r>
    </w:p>
    <w:p>
      <w:pPr>
        <w:snapToGrid w:val="0"/>
        <w:spacing w:after="0"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，2.1.5-2.1.6均为原件彩色扫描件或图片，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after="0"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2.2.1项目明细清单；</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2.2.4项目实施方案；</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2.2.5项目实施人员清单；</w:t>
      </w:r>
    </w:p>
    <w:p>
      <w:pPr>
        <w:pStyle w:val="46"/>
        <w:spacing w:after="0"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pPr>
        <w:pStyle w:val="46"/>
        <w:spacing w:after="0"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after="0"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pPr>
        <w:snapToGrid w:val="0"/>
        <w:spacing w:after="0" w:line="440" w:lineRule="exact"/>
        <w:jc w:val="left"/>
        <w:rPr>
          <w:rFonts w:ascii="仿宋" w:eastAsia="仿宋"/>
          <w:color w:val="auto"/>
          <w:sz w:val="24"/>
          <w:highlight w:val="none"/>
        </w:rPr>
      </w:pPr>
      <w:r>
        <w:rPr>
          <w:rFonts w:hint="eastAsia" w:ascii="仿宋" w:eastAsia="仿宋"/>
          <w:b/>
          <w:bCs/>
          <w:color w:val="auto"/>
          <w:sz w:val="32"/>
          <w:szCs w:val="32"/>
          <w:highlight w:val="none"/>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after="0" w:line="440" w:lineRule="exact"/>
        <w:jc w:val="left"/>
        <w:rPr>
          <w:rFonts w:ascii="仿宋" w:eastAsia="仿宋"/>
          <w:b/>
          <w:bCs/>
          <w:color w:val="auto"/>
          <w:sz w:val="24"/>
          <w:highlight w:val="none"/>
        </w:rPr>
      </w:pPr>
      <w:r>
        <w:rPr>
          <w:rFonts w:hint="eastAsia" w:ascii="仿宋" w:eastAsia="仿宋"/>
          <w:b/>
          <w:bCs/>
          <w:color w:val="auto"/>
          <w:sz w:val="24"/>
          <w:highlight w:val="none"/>
        </w:rPr>
        <w:t>2.3“报价文件”包括以下内容：</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2.3.1开标一览表；</w:t>
      </w:r>
    </w:p>
    <w:p>
      <w:pPr>
        <w:widowControl/>
        <w:snapToGrid w:val="0"/>
        <w:spacing w:after="0" w:line="440" w:lineRule="exact"/>
        <w:jc w:val="left"/>
        <w:rPr>
          <w:rFonts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rPr>
        <w:t>3.2中小企业声明函（如有）；</w:t>
      </w:r>
    </w:p>
    <w:p>
      <w:pPr>
        <w:widowControl/>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2.3.3残疾人福利性单位声明函（如有）；</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2.3.4关于报价的其他说明（如有，格式自拟）。</w:t>
      </w:r>
    </w:p>
    <w:p>
      <w:pPr>
        <w:snapToGrid w:val="0"/>
        <w:spacing w:after="0"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注：“开标一览表”需按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pPr>
        <w:snapToGrid w:val="0"/>
        <w:spacing w:after="0"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pPr>
        <w:numPr>
          <w:ilvl w:val="0"/>
          <w:numId w:val="4"/>
        </w:numPr>
        <w:snapToGrid w:val="0"/>
        <w:spacing w:after="0" w:line="440" w:lineRule="exact"/>
        <w:jc w:val="left"/>
        <w:rPr>
          <w:rFonts w:ascii="仿宋" w:eastAsia="仿宋"/>
          <w:b/>
          <w:color w:val="auto"/>
          <w:sz w:val="24"/>
          <w:highlight w:val="none"/>
        </w:rPr>
      </w:pPr>
      <w:r>
        <w:rPr>
          <w:rFonts w:hint="eastAsia" w:ascii="仿宋" w:eastAsia="仿宋"/>
          <w:b/>
          <w:color w:val="auto"/>
          <w:sz w:val="24"/>
          <w:highlight w:val="none"/>
        </w:rPr>
        <w:t>投标文件的制作要求</w:t>
      </w:r>
    </w:p>
    <w:p>
      <w:pPr>
        <w:snapToGrid w:val="0"/>
        <w:spacing w:after="0" w:line="440" w:lineRule="exact"/>
        <w:jc w:val="left"/>
        <w:rPr>
          <w:rFonts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pPr>
        <w:snapToGrid w:val="0"/>
        <w:spacing w:after="0" w:line="440" w:lineRule="exact"/>
        <w:jc w:val="left"/>
        <w:rPr>
          <w:rFonts w:ascii="仿宋" w:eastAsia="仿宋"/>
          <w:b/>
          <w:color w:val="auto"/>
          <w:sz w:val="24"/>
          <w:highlight w:val="none"/>
        </w:rPr>
      </w:pPr>
      <w:r>
        <w:rPr>
          <w:rFonts w:hint="eastAsia" w:ascii="仿宋" w:eastAsia="仿宋"/>
          <w:b/>
          <w:color w:val="auto"/>
          <w:sz w:val="24"/>
          <w:highlight w:val="none"/>
        </w:rPr>
        <w:t>3.2投标文件须为PDF格式文档。</w:t>
      </w:r>
    </w:p>
    <w:p>
      <w:pPr>
        <w:snapToGrid w:val="0"/>
        <w:spacing w:after="0" w:line="440" w:lineRule="exact"/>
        <w:jc w:val="left"/>
        <w:rPr>
          <w:rFonts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pPr>
        <w:snapToGrid w:val="0"/>
        <w:spacing w:after="0"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after="0"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pPr>
        <w:snapToGrid w:val="0"/>
        <w:spacing w:after="0" w:line="440" w:lineRule="exact"/>
        <w:jc w:val="left"/>
        <w:rPr>
          <w:rFonts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pPr>
        <w:widowControl/>
        <w:snapToGrid w:val="0"/>
        <w:spacing w:after="0" w:line="440" w:lineRule="exact"/>
        <w:rPr>
          <w:rFonts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pPr>
        <w:widowControl/>
        <w:snapToGrid w:val="0"/>
        <w:spacing w:after="0" w:line="44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9"/>
        <w:numPr>
          <w:ilvl w:val="0"/>
          <w:numId w:val="0"/>
        </w:numPr>
        <w:spacing w:after="0" w:afterLines="0" w:line="440" w:lineRule="atLeast"/>
        <w:rPr>
          <w:rFonts w:ascii="仿宋" w:eastAsia="仿宋"/>
          <w:b/>
          <w:color w:val="auto"/>
          <w:szCs w:val="24"/>
          <w:highlight w:val="none"/>
        </w:rPr>
      </w:pPr>
      <w:r>
        <w:rPr>
          <w:rFonts w:hint="eastAsia" w:ascii="仿宋" w:eastAsia="仿宋"/>
          <w:b/>
          <w:color w:val="auto"/>
          <w:szCs w:val="24"/>
          <w:highlight w:val="none"/>
        </w:rPr>
        <w:t>5.投标文件的有效期</w:t>
      </w:r>
    </w:p>
    <w:p>
      <w:pPr>
        <w:pStyle w:val="9"/>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pPr>
        <w:pStyle w:val="9"/>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pPr>
        <w:pStyle w:val="9"/>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pPr>
        <w:pStyle w:val="9"/>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5.4投标文件不予退还。</w:t>
      </w:r>
    </w:p>
    <w:p>
      <w:pPr>
        <w:pStyle w:val="9"/>
        <w:numPr>
          <w:ilvl w:val="0"/>
          <w:numId w:val="0"/>
        </w:numPr>
        <w:spacing w:after="0" w:afterLines="0" w:line="440" w:lineRule="atLeast"/>
        <w:rPr>
          <w:rFonts w:ascii="仿宋" w:eastAsia="仿宋"/>
          <w:b/>
          <w:bCs/>
          <w:color w:val="auto"/>
          <w:szCs w:val="24"/>
          <w:highlight w:val="none"/>
        </w:rPr>
      </w:pPr>
      <w:r>
        <w:rPr>
          <w:rFonts w:hint="eastAsia" w:ascii="仿宋" w:eastAsia="仿宋"/>
          <w:b/>
          <w:bCs/>
          <w:color w:val="auto"/>
          <w:szCs w:val="24"/>
          <w:highlight w:val="none"/>
        </w:rPr>
        <w:t>6.投标文件的保密</w:t>
      </w:r>
    </w:p>
    <w:p>
      <w:pPr>
        <w:spacing w:after="0"/>
        <w:jc w:val="left"/>
        <w:rPr>
          <w:rFonts w:ascii="仿宋" w:eastAsia="仿宋"/>
          <w:color w:val="auto"/>
          <w:sz w:val="24"/>
          <w:highlight w:val="none"/>
        </w:rPr>
      </w:pPr>
      <w:r>
        <w:rPr>
          <w:rFonts w:hint="eastAsia" w:ascii="仿宋" w:eastAsia="仿宋"/>
          <w:color w:val="auto"/>
          <w:sz w:val="24"/>
          <w:highlight w:val="none"/>
        </w:rPr>
        <w:t>6.1备份电子投标文件在解密前处于保密状态。</w:t>
      </w:r>
    </w:p>
    <w:p>
      <w:pPr>
        <w:spacing w:after="0"/>
        <w:jc w:val="left"/>
        <w:rPr>
          <w:rFonts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pPr>
        <w:pStyle w:val="4"/>
        <w:rPr>
          <w:rFonts w:ascii="仿宋"/>
          <w:color w:val="auto"/>
          <w:highlight w:val="none"/>
        </w:rPr>
      </w:pPr>
      <w:bookmarkStart w:id="38" w:name="_Toc7885"/>
      <w:r>
        <w:rPr>
          <w:rFonts w:hint="eastAsia" w:ascii="仿宋"/>
          <w:color w:val="auto"/>
          <w:highlight w:val="none"/>
        </w:rPr>
        <w:t>四、开标评标</w:t>
      </w:r>
      <w:bookmarkEnd w:id="38"/>
    </w:p>
    <w:p>
      <w:pPr>
        <w:snapToGrid w:val="0"/>
        <w:spacing w:after="0" w:line="440" w:lineRule="exact"/>
        <w:jc w:val="left"/>
        <w:rPr>
          <w:rFonts w:ascii="仿宋" w:eastAsia="仿宋"/>
          <w:b/>
          <w:bCs/>
          <w:color w:val="auto"/>
          <w:sz w:val="24"/>
          <w:highlight w:val="none"/>
        </w:rPr>
      </w:pPr>
      <w:r>
        <w:rPr>
          <w:rFonts w:hint="eastAsia" w:ascii="仿宋" w:eastAsia="仿宋"/>
          <w:b/>
          <w:bCs/>
          <w:color w:val="auto"/>
          <w:sz w:val="24"/>
          <w:highlight w:val="none"/>
        </w:rPr>
        <w:t>1．开标出席</w:t>
      </w:r>
    </w:p>
    <w:p>
      <w:pPr>
        <w:snapToGrid w:val="0"/>
        <w:spacing w:after="0"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after="0" w:line="480" w:lineRule="exact"/>
        <w:jc w:val="left"/>
        <w:rPr>
          <w:rFonts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pPr>
        <w:snapToGrid w:val="0"/>
        <w:spacing w:after="0" w:line="440" w:lineRule="exact"/>
        <w:jc w:val="left"/>
        <w:rPr>
          <w:rFonts w:ascii="仿宋" w:eastAsia="仿宋"/>
          <w:b/>
          <w:color w:val="auto"/>
          <w:sz w:val="24"/>
          <w:highlight w:val="none"/>
        </w:rPr>
      </w:pPr>
      <w:r>
        <w:rPr>
          <w:rFonts w:hint="eastAsia" w:ascii="仿宋" w:eastAsia="仿宋"/>
          <w:b/>
          <w:color w:val="auto"/>
          <w:sz w:val="24"/>
          <w:highlight w:val="none"/>
        </w:rPr>
        <w:t>2．开标大会程序</w:t>
      </w:r>
    </w:p>
    <w:p>
      <w:pPr>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开标大会由采购代理机构主持：</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2.1主持人宣布开标会开始，介绍到会单位和人员。</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2.2宣读完成加密电子投标文件上传的供应商名单。</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after="0" w:line="480" w:lineRule="exact"/>
        <w:jc w:val="left"/>
        <w:rPr>
          <w:rFonts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注：评审期间的询标、澄清都将在政采云平台上进行。</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2.7评审委员会对报价文件进行评审，计算价格分。</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pPr>
        <w:spacing w:after="0" w:line="480" w:lineRule="exact"/>
        <w:jc w:val="left"/>
        <w:rPr>
          <w:rFonts w:ascii="仿宋" w:eastAsia="仿宋"/>
          <w:b/>
          <w:bCs/>
          <w:color w:val="auto"/>
          <w:sz w:val="24"/>
          <w:highlight w:val="none"/>
        </w:rPr>
      </w:pPr>
      <w:r>
        <w:rPr>
          <w:rFonts w:hint="eastAsia" w:ascii="仿宋" w:eastAsia="仿宋"/>
          <w:b/>
          <w:bCs/>
          <w:color w:val="auto"/>
          <w:sz w:val="24"/>
          <w:highlight w:val="none"/>
        </w:rPr>
        <w:t>3.评审委员会的组成</w:t>
      </w:r>
    </w:p>
    <w:p>
      <w:pPr>
        <w:spacing w:after="0" w:line="480" w:lineRule="exact"/>
        <w:jc w:val="left"/>
        <w:rPr>
          <w:rFonts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pPr>
        <w:spacing w:after="0" w:line="480" w:lineRule="exact"/>
        <w:jc w:val="left"/>
        <w:rPr>
          <w:rFonts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pPr>
        <w:spacing w:after="0" w:line="480" w:lineRule="exact"/>
        <w:jc w:val="left"/>
        <w:rPr>
          <w:rFonts w:ascii="仿宋" w:eastAsia="仿宋" w:cs="宋体"/>
          <w:color w:val="auto"/>
          <w:sz w:val="24"/>
          <w:highlight w:val="none"/>
        </w:rPr>
      </w:pPr>
      <w:r>
        <w:rPr>
          <w:rFonts w:hint="eastAsia" w:ascii="仿宋" w:eastAsia="仿宋" w:cs="宋体"/>
          <w:color w:val="auto"/>
          <w:sz w:val="24"/>
          <w:highlight w:val="none"/>
        </w:rPr>
        <w:t>3.3采购人代表不担任评审组长。</w:t>
      </w:r>
    </w:p>
    <w:p>
      <w:pPr>
        <w:spacing w:after="0" w:line="480" w:lineRule="exact"/>
        <w:jc w:val="left"/>
        <w:rPr>
          <w:rFonts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pPr>
        <w:spacing w:after="0"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4.评审</w:t>
      </w:r>
    </w:p>
    <w:p>
      <w:pPr>
        <w:spacing w:after="0" w:line="480" w:lineRule="exact"/>
        <w:jc w:val="left"/>
        <w:rPr>
          <w:rFonts w:ascii="仿宋" w:eastAsia="仿宋" w:cs="宋体"/>
          <w:color w:val="auto"/>
          <w:sz w:val="24"/>
          <w:highlight w:val="none"/>
        </w:rPr>
      </w:pPr>
      <w:r>
        <w:rPr>
          <w:rFonts w:hint="eastAsia" w:ascii="仿宋" w:eastAsia="仿宋" w:cs="宋体"/>
          <w:color w:val="auto"/>
          <w:sz w:val="24"/>
          <w:highlight w:val="none"/>
        </w:rPr>
        <w:t>4.1评审程序：</w:t>
      </w:r>
    </w:p>
    <w:p>
      <w:pPr>
        <w:spacing w:after="0" w:line="480" w:lineRule="exact"/>
        <w:ind w:firstLine="480" w:firstLineChars="200"/>
        <w:jc w:val="left"/>
        <w:rPr>
          <w:rFonts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pPr>
        <w:spacing w:after="0" w:line="480" w:lineRule="exact"/>
        <w:ind w:firstLine="480" w:firstLineChars="200"/>
        <w:jc w:val="left"/>
        <w:rPr>
          <w:rFonts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after="0" w:line="480" w:lineRule="exact"/>
        <w:ind w:firstLine="480" w:firstLineChars="200"/>
        <w:jc w:val="left"/>
        <w:rPr>
          <w:rFonts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after="0" w:line="480" w:lineRule="exact"/>
        <w:ind w:firstLine="480" w:firstLineChars="200"/>
        <w:jc w:val="left"/>
        <w:rPr>
          <w:rFonts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after="0" w:line="480" w:lineRule="exact"/>
        <w:ind w:firstLine="480" w:firstLineChars="200"/>
        <w:jc w:val="left"/>
        <w:rPr>
          <w:rFonts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pPr>
        <w:spacing w:after="0" w:line="480" w:lineRule="exact"/>
        <w:jc w:val="left"/>
        <w:rPr>
          <w:rFonts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pPr>
        <w:spacing w:after="0" w:line="480" w:lineRule="exact"/>
        <w:jc w:val="left"/>
        <w:rPr>
          <w:rFonts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pPr>
        <w:spacing w:after="0" w:line="480" w:lineRule="exact"/>
        <w:jc w:val="left"/>
        <w:rPr>
          <w:rFonts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pPr>
        <w:widowControl/>
        <w:snapToGrid w:val="0"/>
        <w:spacing w:after="0" w:line="480" w:lineRule="exact"/>
        <w:rPr>
          <w:rFonts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pPr>
        <w:spacing w:after="0"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after="0" w:line="440" w:lineRule="exact"/>
        <w:jc w:val="left"/>
        <w:rPr>
          <w:rFonts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pPr>
        <w:spacing w:after="0" w:line="440" w:lineRule="exact"/>
        <w:jc w:val="left"/>
        <w:rPr>
          <w:rFonts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after="0" w:line="440" w:lineRule="exact"/>
        <w:jc w:val="left"/>
        <w:rPr>
          <w:rFonts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pPr>
        <w:spacing w:after="0" w:line="440" w:lineRule="exact"/>
        <w:jc w:val="left"/>
        <w:rPr>
          <w:rFonts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snapToGrid w:val="0"/>
        <w:spacing w:after="0"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pPr>
        <w:pStyle w:val="18"/>
        <w:snapToGrid w:val="0"/>
        <w:spacing w:after="0" w:line="440" w:lineRule="exact"/>
        <w:jc w:val="left"/>
        <w:rPr>
          <w:rFonts w:ascii="仿宋" w:eastAsia="仿宋"/>
          <w:b/>
          <w:color w:val="auto"/>
          <w:sz w:val="24"/>
          <w:szCs w:val="24"/>
          <w:highlight w:val="none"/>
        </w:rPr>
      </w:pPr>
      <w:r>
        <w:rPr>
          <w:rFonts w:hint="eastAsia" w:ascii="仿宋" w:eastAsia="仿宋"/>
          <w:b/>
          <w:color w:val="auto"/>
          <w:sz w:val="24"/>
          <w:szCs w:val="24"/>
          <w:highlight w:val="none"/>
        </w:rPr>
        <w:t>6．无效投标的情形</w:t>
      </w:r>
    </w:p>
    <w:p>
      <w:pPr>
        <w:tabs>
          <w:tab w:val="left" w:pos="4085"/>
        </w:tabs>
        <w:snapToGrid w:val="0"/>
        <w:spacing w:after="0"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投标响应文件有下列情形之一的作无效投标处理：</w:t>
      </w:r>
    </w:p>
    <w:p>
      <w:pPr>
        <w:snapToGrid w:val="0"/>
        <w:spacing w:after="0" w:line="440" w:lineRule="exact"/>
        <w:jc w:val="left"/>
        <w:rPr>
          <w:rFonts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pPr>
        <w:snapToGrid w:val="0"/>
        <w:spacing w:after="0" w:line="440" w:lineRule="exact"/>
        <w:jc w:val="left"/>
        <w:rPr>
          <w:rFonts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after="0" w:line="440" w:lineRule="exact"/>
        <w:jc w:val="left"/>
        <w:rPr>
          <w:rFonts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pPr>
        <w:snapToGrid w:val="0"/>
        <w:spacing w:after="0"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olor w:val="auto"/>
          <w:kern w:val="0"/>
          <w:sz w:val="24"/>
          <w:szCs w:val="24"/>
          <w:highlight w:val="none"/>
        </w:rPr>
        <w:t>《中小企业声明函》、《残疾人福利性单位声明函》提供不实信息的</w:t>
      </w:r>
      <w:r>
        <w:rPr>
          <w:rFonts w:hint="eastAsia" w:ascii="仿宋" w:eastAsia="仿宋"/>
          <w:b/>
          <w:color w:val="auto"/>
          <w:kern w:val="0"/>
          <w:sz w:val="24"/>
          <w:highlight w:val="none"/>
        </w:rPr>
        <w:t>；</w:t>
      </w:r>
    </w:p>
    <w:p>
      <w:pPr>
        <w:snapToGrid w:val="0"/>
        <w:spacing w:after="0"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pPr>
        <w:snapToGrid w:val="0"/>
        <w:spacing w:after="0" w:line="440" w:lineRule="exact"/>
        <w:ind w:firstLine="480" w:firstLineChars="200"/>
        <w:jc w:val="left"/>
        <w:rPr>
          <w:rFonts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pPr>
        <w:snapToGrid w:val="0"/>
        <w:spacing w:after="0"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pPr>
        <w:snapToGrid w:val="0"/>
        <w:spacing w:after="0"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pPr>
        <w:snapToGrid w:val="0"/>
        <w:spacing w:after="0"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6.5.4对招标服务或技术或产品等要求未详细应答或应答内容不全、有缺失的,经评审委员会认定为无法评审的；</w:t>
      </w:r>
    </w:p>
    <w:p>
      <w:pPr>
        <w:snapToGrid w:val="0"/>
        <w:spacing w:after="0"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pPr>
        <w:snapToGrid w:val="0"/>
        <w:spacing w:after="0" w:line="440" w:lineRule="exact"/>
        <w:ind w:firstLine="480" w:firstLineChars="200"/>
        <w:jc w:val="left"/>
        <w:rPr>
          <w:rFonts w:ascii="仿宋" w:eastAsia="仿宋"/>
          <w:color w:val="auto"/>
          <w:kern w:val="0"/>
          <w:sz w:val="24"/>
          <w:highlight w:val="none"/>
        </w:rPr>
      </w:pPr>
      <w:r>
        <w:rPr>
          <w:rFonts w:hint="eastAsia" w:ascii="仿宋" w:eastAsia="仿宋"/>
          <w:color w:val="auto"/>
          <w:sz w:val="24"/>
          <w:highlight w:val="none"/>
        </w:rPr>
        <w:t>6.5.6未按采购文件规定要求签署盖章的。</w:t>
      </w:r>
    </w:p>
    <w:p>
      <w:pPr>
        <w:snapToGrid w:val="0"/>
        <w:spacing w:after="0"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6.5.7在《开标一览表》中有2个（含）以上的报价或方案的。</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pPr>
        <w:pStyle w:val="18"/>
        <w:snapToGrid w:val="0"/>
        <w:spacing w:after="0" w:line="440" w:lineRule="exact"/>
        <w:jc w:val="left"/>
        <w:rPr>
          <w:rFonts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pPr>
        <w:tabs>
          <w:tab w:val="left" w:pos="3870"/>
          <w:tab w:val="left" w:pos="4085"/>
        </w:tabs>
        <w:snapToGrid w:val="0"/>
        <w:spacing w:after="0" w:line="440" w:lineRule="exact"/>
        <w:jc w:val="left"/>
        <w:rPr>
          <w:rFonts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pPr>
        <w:tabs>
          <w:tab w:val="left" w:pos="3870"/>
          <w:tab w:val="left" w:pos="4085"/>
        </w:tabs>
        <w:snapToGrid w:val="0"/>
        <w:spacing w:after="0" w:line="440" w:lineRule="exact"/>
        <w:jc w:val="left"/>
        <w:rPr>
          <w:rFonts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供应商的报价低于项目预算50%，但未能在报价文件中详细阐述不影响产品质量或者诚信履约的具体原因或具体原因未被评审委员会认可的；</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after="0" w:line="440" w:lineRule="exact"/>
        <w:jc w:val="left"/>
        <w:rPr>
          <w:rFonts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rPr>
        <w:t>电子响应文件解密失败，且未在规定时间内提交备份响应文件或备份响应文件无法读取的；</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6.13投标人对根据修正原则修正后的报价不确认的；</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pPr>
        <w:tabs>
          <w:tab w:val="left" w:pos="3870"/>
          <w:tab w:val="left" w:pos="4085"/>
        </w:tabs>
        <w:snapToGrid w:val="0"/>
        <w:spacing w:after="0" w:line="440" w:lineRule="exact"/>
        <w:ind w:firstLine="470" w:firstLineChars="196"/>
        <w:jc w:val="left"/>
        <w:rPr>
          <w:rFonts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after="0" w:line="440" w:lineRule="exact"/>
        <w:ind w:firstLine="480"/>
        <w:jc w:val="left"/>
        <w:rPr>
          <w:rFonts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6.15投标人串通投标的。</w:t>
      </w:r>
    </w:p>
    <w:p>
      <w:pPr>
        <w:tabs>
          <w:tab w:val="left" w:pos="3870"/>
          <w:tab w:val="left" w:pos="4085"/>
        </w:tabs>
        <w:snapToGrid w:val="0"/>
        <w:spacing w:after="0"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有下列情形之一的，视为投标人串通投标，其投标无效：</w:t>
      </w:r>
    </w:p>
    <w:p>
      <w:pPr>
        <w:tabs>
          <w:tab w:val="left" w:pos="3870"/>
          <w:tab w:val="left" w:pos="4085"/>
        </w:tabs>
        <w:snapToGrid w:val="0"/>
        <w:spacing w:after="0"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pPr>
        <w:tabs>
          <w:tab w:val="left" w:pos="3870"/>
          <w:tab w:val="left" w:pos="4085"/>
        </w:tabs>
        <w:snapToGrid w:val="0"/>
        <w:spacing w:after="0"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pPr>
        <w:tabs>
          <w:tab w:val="left" w:pos="3870"/>
          <w:tab w:val="left" w:pos="4085"/>
        </w:tabs>
        <w:snapToGrid w:val="0"/>
        <w:spacing w:after="0"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pPr>
        <w:tabs>
          <w:tab w:val="left" w:pos="3870"/>
          <w:tab w:val="left" w:pos="4085"/>
        </w:tabs>
        <w:snapToGrid w:val="0"/>
        <w:spacing w:after="0"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pPr>
        <w:tabs>
          <w:tab w:val="left" w:pos="3870"/>
          <w:tab w:val="left" w:pos="4085"/>
        </w:tabs>
        <w:snapToGrid w:val="0"/>
        <w:spacing w:after="0"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6.15.5不同投标人的投标文件相互混装；</w:t>
      </w:r>
    </w:p>
    <w:p>
      <w:pPr>
        <w:tabs>
          <w:tab w:val="left" w:pos="3870"/>
          <w:tab w:val="left" w:pos="4085"/>
        </w:tabs>
        <w:snapToGrid w:val="0"/>
        <w:spacing w:after="0"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6.15.6法律规定的其他串通投标情形。</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after="0" w:line="440" w:lineRule="exact"/>
        <w:jc w:val="left"/>
        <w:rPr>
          <w:rFonts w:ascii="仿宋" w:eastAsia="仿宋"/>
          <w:color w:val="auto"/>
          <w:sz w:val="24"/>
          <w:highlight w:val="none"/>
        </w:rPr>
      </w:pPr>
      <w:r>
        <w:rPr>
          <w:rFonts w:hint="eastAsia" w:ascii="仿宋" w:eastAsia="仿宋"/>
          <w:color w:val="auto"/>
          <w:sz w:val="24"/>
          <w:highlight w:val="none"/>
        </w:rPr>
        <w:t>6.18供应商违反政府采购强制执行的政策性规定的；</w:t>
      </w:r>
    </w:p>
    <w:p>
      <w:pPr>
        <w:tabs>
          <w:tab w:val="left" w:pos="3870"/>
          <w:tab w:val="left" w:pos="4085"/>
        </w:tabs>
        <w:snapToGrid w:val="0"/>
        <w:spacing w:after="0" w:line="440" w:lineRule="exact"/>
        <w:jc w:val="left"/>
        <w:rPr>
          <w:rFonts w:ascii="仿宋_GB2312" w:eastAsia="仿宋_GB2312"/>
          <w:color w:val="auto"/>
          <w:sz w:val="24"/>
          <w:highlight w:val="none"/>
        </w:rPr>
      </w:pPr>
      <w:r>
        <w:rPr>
          <w:rFonts w:hint="eastAsia" w:ascii="仿宋_GB2312" w:eastAsia="仿宋_GB2312"/>
          <w:color w:val="auto"/>
          <w:sz w:val="24"/>
          <w:highlight w:val="none"/>
        </w:rPr>
        <w:t>6.19未提供样品或提供的样品不满足采购需求实质性要求的；</w:t>
      </w:r>
    </w:p>
    <w:p>
      <w:pPr>
        <w:snapToGrid w:val="0"/>
        <w:spacing w:after="0" w:line="440" w:lineRule="exact"/>
        <w:rPr>
          <w:rFonts w:ascii="仿宋" w:eastAsia="仿宋"/>
          <w:color w:val="auto"/>
          <w:sz w:val="24"/>
          <w:highlight w:val="none"/>
        </w:rPr>
      </w:pPr>
      <w:r>
        <w:rPr>
          <w:rFonts w:hint="eastAsia" w:ascii="仿宋" w:eastAsia="仿宋"/>
          <w:color w:val="auto"/>
          <w:sz w:val="24"/>
          <w:highlight w:val="none"/>
        </w:rPr>
        <w:t>6.20违反法律、法规及本磋商文件规定的其他无效磋商情形。</w:t>
      </w:r>
    </w:p>
    <w:p>
      <w:pPr>
        <w:spacing w:after="0"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after="0" w:line="480" w:lineRule="exact"/>
        <w:rPr>
          <w:rFonts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pPr>
        <w:widowControl/>
        <w:snapToGrid w:val="0"/>
        <w:spacing w:after="0" w:line="480" w:lineRule="exact"/>
        <w:rPr>
          <w:rFonts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pPr>
        <w:spacing w:after="0"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8.中标通知书的申领</w:t>
      </w:r>
    </w:p>
    <w:p>
      <w:pPr>
        <w:widowControl/>
        <w:snapToGrid w:val="0"/>
        <w:spacing w:after="0" w:line="480" w:lineRule="exact"/>
        <w:rPr>
          <w:rFonts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pPr>
        <w:widowControl/>
        <w:snapToGrid w:val="0"/>
        <w:spacing w:after="0" w:line="480" w:lineRule="exact"/>
        <w:rPr>
          <w:rFonts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pPr>
        <w:widowControl/>
        <w:snapToGrid w:val="0"/>
        <w:spacing w:after="0" w:line="480" w:lineRule="exact"/>
        <w:rPr>
          <w:rFonts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pPr>
        <w:widowControl/>
        <w:snapToGrid w:val="0"/>
        <w:spacing w:after="0" w:line="480" w:lineRule="exact"/>
        <w:rPr>
          <w:rFonts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after="0" w:line="480" w:lineRule="exact"/>
        <w:jc w:val="left"/>
        <w:rPr>
          <w:rFonts w:ascii="仿宋" w:eastAsia="仿宋"/>
          <w:b/>
          <w:color w:val="auto"/>
          <w:sz w:val="24"/>
          <w:highlight w:val="none"/>
        </w:rPr>
      </w:pPr>
      <w:r>
        <w:rPr>
          <w:rFonts w:hint="eastAsia" w:ascii="仿宋" w:eastAsia="仿宋"/>
          <w:b/>
          <w:color w:val="auto"/>
          <w:sz w:val="24"/>
          <w:highlight w:val="none"/>
        </w:rPr>
        <w:t>9、中止电子交易的情形</w:t>
      </w:r>
    </w:p>
    <w:p>
      <w:pPr>
        <w:snapToGrid w:val="0"/>
        <w:spacing w:after="0" w:line="48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after="0" w:line="480" w:lineRule="exact"/>
        <w:jc w:val="left"/>
        <w:rPr>
          <w:rFonts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after="0" w:line="480" w:lineRule="exact"/>
        <w:ind w:firstLine="488"/>
        <w:rPr>
          <w:rFonts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仿宋" w:eastAsia="仿宋"/>
          <w:color w:val="auto"/>
          <w:kern w:val="0"/>
          <w:sz w:val="24"/>
          <w:highlight w:val="none"/>
        </w:rPr>
      </w:pPr>
    </w:p>
    <w:p>
      <w:pPr>
        <w:pStyle w:val="4"/>
        <w:rPr>
          <w:rFonts w:ascii="仿宋"/>
          <w:color w:val="auto"/>
          <w:highlight w:val="none"/>
        </w:rPr>
      </w:pPr>
      <w:bookmarkStart w:id="39" w:name="_Toc14262"/>
      <w:r>
        <w:rPr>
          <w:rFonts w:hint="eastAsia" w:ascii="仿宋"/>
          <w:color w:val="auto"/>
          <w:highlight w:val="none"/>
        </w:rPr>
        <w:t>五、合同签订及履约</w:t>
      </w:r>
      <w:bookmarkEnd w:id="39"/>
    </w:p>
    <w:p>
      <w:pPr>
        <w:spacing w:after="0"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after="0" w:line="480" w:lineRule="exact"/>
        <w:rPr>
          <w:rFonts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after="0" w:line="480" w:lineRule="exact"/>
        <w:rPr>
          <w:rFonts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pPr>
        <w:widowControl/>
        <w:snapToGrid w:val="0"/>
        <w:spacing w:after="0" w:line="480" w:lineRule="exact"/>
        <w:rPr>
          <w:rFonts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pPr>
        <w:spacing w:after="0" w:line="440" w:lineRule="exact"/>
        <w:jc w:val="left"/>
        <w:rPr>
          <w:rFonts w:ascii="仿宋" w:eastAsia="仿宋"/>
          <w:b/>
          <w:color w:val="auto"/>
          <w:sz w:val="24"/>
          <w:highlight w:val="none"/>
        </w:rPr>
      </w:pPr>
      <w:r>
        <w:rPr>
          <w:rFonts w:hint="eastAsia" w:ascii="仿宋" w:eastAsia="仿宋"/>
          <w:b/>
          <w:color w:val="auto"/>
          <w:sz w:val="24"/>
          <w:highlight w:val="none"/>
        </w:rPr>
        <w:t>2．履约保证金</w:t>
      </w:r>
    </w:p>
    <w:p>
      <w:pPr>
        <w:spacing w:after="0" w:line="440" w:lineRule="exact"/>
        <w:jc w:val="left"/>
        <w:rPr>
          <w:rFonts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pPr>
        <w:spacing w:after="0"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pPr>
        <w:spacing w:after="0" w:line="440" w:lineRule="exact"/>
        <w:jc w:val="left"/>
        <w:rPr>
          <w:rFonts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pPr>
        <w:spacing w:after="0" w:line="440" w:lineRule="exact"/>
        <w:jc w:val="left"/>
        <w:rPr>
          <w:rFonts w:ascii="仿宋" w:eastAsia="仿宋"/>
          <w:b/>
          <w:color w:val="auto"/>
          <w:sz w:val="24"/>
          <w:highlight w:val="none"/>
        </w:rPr>
      </w:pPr>
      <w:r>
        <w:rPr>
          <w:rFonts w:hint="eastAsia" w:ascii="仿宋" w:eastAsia="仿宋"/>
          <w:b/>
          <w:color w:val="auto"/>
          <w:sz w:val="24"/>
          <w:highlight w:val="none"/>
        </w:rPr>
        <w:t>3．合同备案</w:t>
      </w:r>
    </w:p>
    <w:p>
      <w:pPr>
        <w:spacing w:after="0" w:line="440" w:lineRule="exact"/>
        <w:jc w:val="left"/>
        <w:rPr>
          <w:rFonts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pPr>
        <w:spacing w:after="0" w:line="440" w:lineRule="exact"/>
        <w:jc w:val="left"/>
        <w:rPr>
          <w:rFonts w:ascii="仿宋" w:eastAsia="仿宋"/>
          <w:b/>
          <w:color w:val="auto"/>
          <w:sz w:val="24"/>
          <w:highlight w:val="none"/>
        </w:rPr>
      </w:pPr>
      <w:r>
        <w:rPr>
          <w:rFonts w:hint="eastAsia" w:ascii="仿宋" w:eastAsia="仿宋"/>
          <w:b/>
          <w:color w:val="auto"/>
          <w:sz w:val="24"/>
          <w:highlight w:val="none"/>
        </w:rPr>
        <w:t>4.履约验收</w:t>
      </w:r>
    </w:p>
    <w:p>
      <w:pPr>
        <w:spacing w:after="0" w:line="440" w:lineRule="exact"/>
        <w:jc w:val="left"/>
        <w:rPr>
          <w:rFonts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after="0" w:line="440" w:lineRule="exact"/>
        <w:jc w:val="left"/>
        <w:rPr>
          <w:rFonts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after="0" w:line="440" w:lineRule="exact"/>
        <w:jc w:val="left"/>
        <w:rPr>
          <w:rFonts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pPr>
        <w:spacing w:after="0" w:line="440" w:lineRule="exact"/>
        <w:jc w:val="left"/>
        <w:rPr>
          <w:rFonts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after="0" w:line="440" w:lineRule="exact"/>
        <w:jc w:val="left"/>
        <w:rPr>
          <w:rFonts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after="0"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after="0" w:line="440" w:lineRule="exact"/>
        <w:jc w:val="left"/>
        <w:rPr>
          <w:rFonts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pPr>
        <w:spacing w:after="0"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widowControl/>
        <w:jc w:val="left"/>
        <w:rPr>
          <w:rFonts w:ascii="仿宋" w:eastAsia="仿宋"/>
          <w:color w:val="auto"/>
          <w:kern w:val="0"/>
          <w:sz w:val="24"/>
          <w:highlight w:val="none"/>
        </w:rPr>
      </w:pPr>
      <w:r>
        <w:rPr>
          <w:rFonts w:ascii="仿宋" w:eastAsia="仿宋"/>
          <w:color w:val="auto"/>
          <w:kern w:val="0"/>
          <w:sz w:val="24"/>
          <w:highlight w:val="none"/>
        </w:rPr>
        <w:br w:type="page"/>
      </w:r>
    </w:p>
    <w:p>
      <w:pPr>
        <w:pStyle w:val="3"/>
        <w:rPr>
          <w:rFonts w:ascii="仿宋"/>
          <w:color w:val="auto"/>
          <w:highlight w:val="none"/>
        </w:rPr>
      </w:pPr>
      <w:bookmarkStart w:id="40" w:name="_Toc15113"/>
      <w:r>
        <w:rPr>
          <w:rFonts w:hint="eastAsia" w:ascii="仿宋"/>
          <w:color w:val="auto"/>
          <w:highlight w:val="none"/>
        </w:rPr>
        <w:t>第三章  采购需求</w:t>
      </w:r>
      <w:bookmarkEnd w:id="40"/>
    </w:p>
    <w:p>
      <w:pPr>
        <w:pStyle w:val="4"/>
        <w:rPr>
          <w:rFonts w:ascii="仿宋"/>
          <w:color w:val="auto"/>
          <w:highlight w:val="none"/>
        </w:rPr>
      </w:pPr>
      <w:bookmarkStart w:id="41" w:name="_Toc13080"/>
      <w:r>
        <w:rPr>
          <w:rFonts w:hint="eastAsia" w:ascii="仿宋"/>
          <w:color w:val="auto"/>
          <w:highlight w:val="none"/>
        </w:rPr>
        <w:t>一、服务清单及要求</w:t>
      </w:r>
      <w:bookmarkEnd w:id="41"/>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1.1项目背景</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浙江省省级产业创新服务综合体管理考核办法（试行）》（浙科领办〔2020〕3号），《滨海新区经济发展线专题协调会议纪要》（〔2023〕81号）等文件精神和要求，为加快推进数字化平台建设，助力滨海新区生物医药产业做大做强，打造具有滨海新区特色的数字服务运营体系，经综合考虑，决定开发滨海新区生物医药“云上综合体”数字化平台。</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1.2建设目标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w:t>
      </w:r>
      <w:r>
        <w:rPr>
          <w:rFonts w:hint="eastAsia" w:ascii="仿宋" w:hAnsi="仿宋" w:eastAsia="仿宋" w:cs="仿宋"/>
          <w:bCs/>
          <w:color w:val="auto"/>
          <w:sz w:val="24"/>
          <w:highlight w:val="none"/>
        </w:rPr>
        <w:t>柔性服务</w:t>
      </w:r>
      <w:r>
        <w:rPr>
          <w:rFonts w:hint="eastAsia" w:ascii="仿宋" w:hAnsi="仿宋" w:eastAsia="仿宋" w:cs="仿宋"/>
          <w:color w:val="auto"/>
          <w:sz w:val="24"/>
          <w:szCs w:val="24"/>
          <w:highlight w:val="none"/>
        </w:rPr>
        <w:t>、综合管理、以点及面、横向贯通”的总体要求，以</w:t>
      </w:r>
      <w:r>
        <w:rPr>
          <w:rFonts w:hint="eastAsia" w:ascii="仿宋" w:hAnsi="仿宋" w:eastAsia="仿宋" w:cs="仿宋"/>
          <w:bCs/>
          <w:color w:val="auto"/>
          <w:sz w:val="24"/>
          <w:highlight w:val="none"/>
        </w:rPr>
        <w:t>生物医药产业创新公共服务平台为基础</w:t>
      </w:r>
      <w:r>
        <w:rPr>
          <w:rFonts w:hint="eastAsia" w:ascii="仿宋" w:hAnsi="仿宋" w:eastAsia="仿宋" w:cs="仿宋"/>
          <w:color w:val="auto"/>
          <w:sz w:val="24"/>
          <w:szCs w:val="24"/>
          <w:highlight w:val="none"/>
        </w:rPr>
        <w:t>，建立以</w:t>
      </w:r>
      <w:r>
        <w:rPr>
          <w:rFonts w:hint="eastAsia" w:ascii="仿宋" w:hAnsi="仿宋" w:eastAsia="仿宋" w:cs="仿宋"/>
          <w:bCs/>
          <w:color w:val="auto"/>
          <w:sz w:val="24"/>
          <w:highlight w:val="none"/>
        </w:rPr>
        <w:t>市场为导向、政策为指引、企业为主体、各相关机构共同参与的模式，聚焦新动能培育和传统动能修复，培育新质生产力，集聚各类创新资源</w:t>
      </w:r>
      <w:r>
        <w:rPr>
          <w:rFonts w:hint="eastAsia" w:ascii="仿宋" w:hAnsi="仿宋" w:eastAsia="仿宋" w:cs="仿宋"/>
          <w:color w:val="auto"/>
          <w:sz w:val="24"/>
          <w:szCs w:val="24"/>
          <w:highlight w:val="none"/>
        </w:rPr>
        <w:t>，</w:t>
      </w:r>
      <w:r>
        <w:rPr>
          <w:rFonts w:hint="eastAsia" w:ascii="仿宋" w:hAnsi="仿宋" w:eastAsia="仿宋"/>
          <w:color w:val="auto"/>
          <w:sz w:val="24"/>
          <w:highlight w:val="none"/>
        </w:rPr>
        <w:t>搭建</w:t>
      </w:r>
      <w:r>
        <w:rPr>
          <w:rFonts w:hint="eastAsia" w:ascii="仿宋" w:hAnsi="仿宋" w:eastAsia="仿宋" w:cs="仿宋"/>
          <w:color w:val="auto"/>
          <w:sz w:val="24"/>
          <w:szCs w:val="24"/>
          <w:highlight w:val="none"/>
        </w:rPr>
        <w:t>滨海新区生物医药“云上综合体”数字化平台，为</w:t>
      </w:r>
      <w:r>
        <w:rPr>
          <w:rFonts w:hint="eastAsia" w:ascii="仿宋" w:hAnsi="仿宋" w:eastAsia="仿宋" w:cs="仿宋"/>
          <w:bCs/>
          <w:color w:val="auto"/>
          <w:sz w:val="24"/>
          <w:highlight w:val="none"/>
        </w:rPr>
        <w:t>广大中小企业创新发展提供全链条服务。</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1.3建设要求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建设覆盖政府侧和企业侧的PC和移动端，以“1+1+2+3”为体系架构，即一个数字化运营底座；一个综合云上门户；两个政府侧中心：产业监管&amp;决策中心、产业服务中心；三大企业侧场景：产业生态场景、人才&amp;科技链场景、新智造技术场景。整个云上综合体平台采用账号权限分级设计，面向企业、个人、政府三端开放，依照权限功能设计，可分别展示不同功能及内容，可兼容个人游客登录的使用需求。展开如下：</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（一）一个数字化运营底座</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要求，建立一个集大数据中心、物联中心、运营中心、算法中心、元宇宙中心于一体的产业数字化运营底座，高效、安全支撑滨海新区生物医药产业数字化转型。底座建设应充分考虑模块化拓展，满足未来可扩展性。</w:t>
      </w:r>
    </w:p>
    <w:tbl>
      <w:tblPr>
        <w:tblStyle w:val="31"/>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0"/>
        <w:gridCol w:w="1556"/>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需求内容</w:t>
            </w: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细化需求</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restart"/>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数字化运营底座</w:t>
            </w: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大数据中心</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实现大数据底座数据仓建设；</w:t>
            </w:r>
          </w:p>
          <w:p>
            <w:pPr>
              <w:spacing w:after="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建立覆盖数据“采、存、通、管、用”各环节的标准化数据仓管理体系；</w:t>
            </w:r>
          </w:p>
          <w:p>
            <w:pPr>
              <w:spacing w:after="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实现统一数据标准、统一数据采集、统一数据存储、统一数据共享、统一安全策略；</w:t>
            </w:r>
          </w:p>
          <w:p>
            <w:pPr>
              <w:spacing w:after="0" w:line="360" w:lineRule="auto"/>
              <w:rPr>
                <w:color w:val="auto"/>
                <w:highlight w:val="none"/>
              </w:rPr>
            </w:pPr>
            <w:r>
              <w:rPr>
                <w:rFonts w:hint="eastAsia" w:ascii="仿宋" w:hAnsi="仿宋" w:eastAsia="仿宋" w:cs="仿宋"/>
                <w:bCs/>
                <w:color w:val="auto"/>
                <w:sz w:val="24"/>
                <w:highlight w:val="none"/>
              </w:rPr>
              <w:t>为行业、政府侧、企业动态数据汇聚及分析提供基础底座。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物联中心</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支持全接口总线协议适配；</w:t>
            </w:r>
          </w:p>
          <w:p>
            <w:pPr>
              <w:spacing w:after="0" w:line="360" w:lineRule="auto"/>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支持千万级设备的接入与管理；</w:t>
            </w:r>
          </w:p>
          <w:p>
            <w:pPr>
              <w:spacing w:after="0" w:line="360" w:lineRule="auto"/>
              <w:textAlignment w:val="center"/>
              <w:rPr>
                <w:rFonts w:eastAsia="仿宋"/>
                <w:color w:val="auto"/>
                <w:highlight w:val="none"/>
              </w:rPr>
            </w:pPr>
            <w:r>
              <w:rPr>
                <w:rFonts w:hint="eastAsia" w:ascii="仿宋" w:hAnsi="仿宋" w:eastAsia="仿宋" w:cs="仿宋"/>
                <w:color w:val="auto"/>
                <w:sz w:val="24"/>
                <w:highlight w:val="none"/>
              </w:rPr>
              <w:t>为行业监管、智能制造提供基础底座。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运营中心</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eastAsia="仿宋"/>
                <w:color w:val="auto"/>
                <w:highlight w:val="none"/>
              </w:rPr>
            </w:pPr>
            <w:r>
              <w:rPr>
                <w:rFonts w:hint="eastAsia" w:ascii="仿宋" w:hAnsi="仿宋" w:eastAsia="仿宋" w:cs="仿宋"/>
                <w:color w:val="auto"/>
                <w:sz w:val="24"/>
                <w:highlight w:val="none"/>
              </w:rPr>
              <w:t>沉淀通用业务模块，形成产业运营统一PaaS平台。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算法中心</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提供描述类、诊断类、预测类、决策类模型生产能力，帮助企业降本增效。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元宇宙中心</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eastAsia="仿宋"/>
                <w:color w:val="auto"/>
                <w:highlight w:val="none"/>
              </w:rPr>
            </w:pPr>
            <w:r>
              <w:rPr>
                <w:rFonts w:hint="eastAsia" w:ascii="仿宋" w:hAnsi="仿宋" w:eastAsia="仿宋" w:cs="仿宋"/>
                <w:color w:val="auto"/>
                <w:sz w:val="24"/>
                <w:highlight w:val="none"/>
              </w:rPr>
              <w:t>提供逼真的动态模型仿真、模拟实际场景运行动画和实时数据监控，轻松掌握企业业务运行情况。</w:t>
            </w:r>
          </w:p>
        </w:tc>
      </w:tr>
    </w:tbl>
    <w:p>
      <w:pPr>
        <w:pStyle w:val="2"/>
        <w:rPr>
          <w:color w:val="auto"/>
          <w:highlight w:val="none"/>
        </w:rPr>
      </w:pP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（二）一个综合云上门户</w:t>
      </w:r>
    </w:p>
    <w:p>
      <w:pPr>
        <w:pStyle w:val="7"/>
        <w:keepNext w:val="0"/>
        <w:keepLines w:val="0"/>
        <w:spacing w:before="0" w:after="0" w:line="240" w:lineRule="auto"/>
        <w:ind w:left="0" w:firstLine="480" w:firstLineChars="200"/>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建设一个云上综合体门户中心，作为产业大脑的综合性应用的展示窗口，集成企业侧、个人侧、政府侧的各类功能模块、场景的统一入口。</w:t>
      </w:r>
    </w:p>
    <w:tbl>
      <w:tblPr>
        <w:tblStyle w:val="31"/>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0"/>
        <w:gridCol w:w="1556"/>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需求内容</w:t>
            </w: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细化需求</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restart"/>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综合云上门户</w:t>
            </w: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首页</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eastAsia="仿宋"/>
                <w:color w:val="auto"/>
                <w:highlight w:val="none"/>
              </w:rPr>
            </w:pPr>
            <w:r>
              <w:rPr>
                <w:rFonts w:hint="eastAsia" w:ascii="仿宋" w:hAnsi="仿宋" w:eastAsia="仿宋" w:cs="仿宋"/>
                <w:color w:val="auto"/>
                <w:sz w:val="24"/>
                <w:highlight w:val="none"/>
              </w:rPr>
              <w:t>首页主要展示滨海新区banner图片介绍、提供主要服务的快捷入口、展示本地特色服务、全连路供应商、精准活动推荐、最新产业动态。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找服务</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为门户浏览者快速找到行业、产品和软件服务。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找合作</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为门户浏览者提供项目查询、活动展会、供应链生态，打造初创企业、专利权人和投资机构的项目合作朋友圈、信息圈、交流圈。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找数据</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融合生物医药的全球产业公共数据、政府侧数据，形成机构库、人物库、企业库等，保持数据日更，数据类型包含期刊数据、在研数据、药品数据等。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行业知识库</w:t>
            </w:r>
          </w:p>
        </w:tc>
        <w:tc>
          <w:tcPr>
            <w:tcW w:w="6294" w:type="dxa"/>
            <w:vMerge w:val="restart"/>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详见产业服务中心模块。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技术培训课件</w:t>
            </w:r>
          </w:p>
        </w:tc>
        <w:tc>
          <w:tcPr>
            <w:tcW w:w="6294" w:type="dxa"/>
            <w:vMerge w:val="continue"/>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政策直通车</w:t>
            </w:r>
          </w:p>
        </w:tc>
        <w:tc>
          <w:tcPr>
            <w:tcW w:w="6294" w:type="dxa"/>
            <w:vMerge w:val="continue"/>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云上商城</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线上商城：为企业用户提供一站式采购商城，仪器、仪表、定制商品以及标准MRO商品，为用户提供专业技术选型服务，并通过API、Punch-out等数字化系统无缝对接企业采购系统，提高采购效率。</w:t>
            </w:r>
          </w:p>
          <w:p>
            <w:pPr>
              <w:spacing w:after="0" w:line="360" w:lineRule="auto"/>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联储联备：提供企业间生产物资联储联备的信息发布渠道与集中采购渠道，支持企业间物资的互助调度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金融服务</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打造线上融资平台，为企业提供便利融资渠道。由本地主管部门为平台牵线搭桥，将有意向的银行引入平台。对于资金有需求的企业，在平台端发布融资需求，并提供相应的证明文件；银行依据贷款要求，在平台快速完成企业评估，并对符合要求的企业快速完成贷款的发放。服务内容包括投资机构对接、产品推荐、金融动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应用市场</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为行业内企业提供一站式应用商城，围绕大数据、研发、临床、生产、营销、内控、其他七大领域，提供第三方应用入驻。挖掘企业优秀应用，归集至云上综合体，同步分享，共同成长。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ind w:firstLine="480"/>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智慧人才（科技）服务平台</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详见人才&amp;科技链场景</w:t>
            </w:r>
          </w:p>
        </w:tc>
      </w:tr>
    </w:tbl>
    <w:p>
      <w:pPr>
        <w:rPr>
          <w:color w:val="auto"/>
          <w:highlight w:val="none"/>
        </w:rPr>
      </w:pPr>
    </w:p>
    <w:p>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szCs w:val="24"/>
          <w:highlight w:val="none"/>
        </w:rPr>
        <w:t>（三）两个政府侧中心</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建立产业监管&amp;决策中心、产业服务中心，满足政府侧从“监管——决策——服务”的一站式应用覆盖，充分发挥政府的领导与统筹作用。产业服务中心作为政府侧向企业侧提供各类产业服务功能的板块，可实现由政府侧运营、管理产业服务内容，并面向企业侧开放使用。</w:t>
      </w:r>
    </w:p>
    <w:tbl>
      <w:tblPr>
        <w:tblStyle w:val="31"/>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0"/>
        <w:gridCol w:w="1556"/>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需求内容</w:t>
            </w: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细化需求</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restart"/>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产业监管&amp;决策中心</w:t>
            </w: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产业大脑运营平台（大脑驾驶舱）</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为政府端（G端）提供滨海新区以生物医药产业为主的产业链决策及监管能力。依托大数据分析等技术手段，实现产业链智慧化、精准化、科学化管理。根据链上各环节的企业体量、集聚度、经营指标、创新能力等对产业链进行评估。包含主导产业、招才引智、招商引资、产业平台建设情况、支撑要素、智能预警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人才地图&amp;产业图谱</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借助企查查、天眼查、浙江省数据开放平台等外部数据库，搜罗各类优质项目及优质企业，建立项目信息库并进行动态跟踪，根据项目所在位置绘制全球“引才招商地图”，对目标产业的产业链分析，找到园区重点布局产业的上下游企业、科研机构、人才团队，为精准引才招商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行业监管看板</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监管看板一张图，通过5G、物联网、大数据等新技术能力实现重要数据、重要资产、重要设备的采集及分析能力，充分发挥政府侧（G端）“看得见的手”的作用，赋能政府侧从经营数据、经营风险、安全生产、排污环保、节能减排、人才管服留用六大领域实现行业监管，提升政府监管能力，让问题早发现，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产业资源管理</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借助GIS、CIM技术，构建数字孪生产业资源（招商资源）一张图。结合地区现状及未来规划，根据CAD、GIS矢量测绘数据、卫星影像底图、倾斜摄影等资料及现场数据采集，对产业园区土地资源、创新中心、高校科研机构、各类平台资源、空间资源、交通资源等要素进行三维数字化建模，构建地形地貌、空间及建筑物、城市部件设施等在内的数字孪生CIM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restart"/>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产业服务中心</w:t>
            </w: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行业知识库</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罗列生物医药行业、新能源行业、新材料、电子电器等滨海新区重点产业相关行业标准、国家标准、国际标准等知识文件。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技术培训课件</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涵盖药品药物、医疗器械、行业趋势、专利申报、数字化转型、上市后营销等多种门类的课程。支持视频课程、直播分享等多种途径。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政策直通车</w:t>
            </w:r>
          </w:p>
          <w:p>
            <w:pPr>
              <w:spacing w:after="0" w:line="360" w:lineRule="auto"/>
              <w:jc w:val="center"/>
              <w:textAlignment w:val="center"/>
              <w:rPr>
                <w:rFonts w:hint="eastAsia" w:ascii="仿宋" w:hAnsi="仿宋" w:eastAsia="仿宋" w:cs="仿宋"/>
                <w:color w:val="auto"/>
                <w:sz w:val="24"/>
                <w:highlight w:val="none"/>
              </w:rPr>
            </w:pP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整理国家、省、市层级相应政策，打造一站式政策汇聚平台，具备政策自动汇集、分类能力，为企业端提供政策搜索及推荐、介绍、部门一键联系等功能；运用人工智能算法，可为企业自动匹配符合的申报政策（具体申报功能扔依照原路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人才-企业双链平台</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打造具有滨海特色的高层次人才链、企业链辅助平台，实现人才-企业两链路打通，以供需关系建立人才企业线上沟通渠道。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柔性服务站（AI云端）</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建设绍兴首个线上柔性服务站（AI云端）版，积极创新思维，借助AI人工智能在服务领域的运用，打造“柔性服务站AI虚拟人-小柔”。</w:t>
            </w:r>
          </w:p>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虚拟人提供如业务咨询、预约指导、政策宣讲等“可代替服务”，同时助力产品注册、申报资料预审、行政审批等“暂不可替代服务”的线下推进工作，实现“线上+线下”双融合模式，打造成为全省亮点。</w:t>
            </w:r>
          </w:p>
        </w:tc>
      </w:tr>
    </w:tbl>
    <w:p>
      <w:pPr>
        <w:pStyle w:val="14"/>
        <w:rPr>
          <w:color w:val="auto"/>
          <w:highlight w:val="none"/>
          <w:lang w:val="en-US"/>
        </w:rPr>
      </w:pP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（四）三大企业侧场景</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充分发挥数据赋能与技术归集优势，通过搭建产业生态场景、人才&amp;科技链场景、新智造技术场景，满足企业侧发展。</w:t>
      </w:r>
    </w:p>
    <w:tbl>
      <w:tblPr>
        <w:tblStyle w:val="31"/>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0"/>
        <w:gridCol w:w="1556"/>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需求内容</w:t>
            </w: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细化需求</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restart"/>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产业生态场景</w:t>
            </w: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一企一码</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联动市场监管部门的企业码进行延伸和拓展，结合滨海新区生物医药行业企业特点，打造产业生态场景中的企业e寻码。</w:t>
            </w:r>
          </w:p>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场景应包括一企一档、企业成长、企呼我应，具体表述如下：</w:t>
            </w:r>
          </w:p>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一企一档，包含基础数据、标签画像、企业评分、全景产业链、企业专题库</w:t>
            </w:r>
          </w:p>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企业成长，综合集成企业初创期、成长期、成熟期、扩张期、更生期企业服务，为企业智能推荐对应服务，打造企业全生命周期服务</w:t>
            </w:r>
          </w:p>
          <w:p>
            <w:pPr>
              <w:spacing w:after="0" w:line="360" w:lineRule="auto"/>
              <w:jc w:val="left"/>
              <w:textAlignment w:val="center"/>
              <w:rPr>
                <w:color w:val="auto"/>
                <w:highlight w:val="none"/>
              </w:rPr>
            </w:pPr>
            <w:r>
              <w:rPr>
                <w:rFonts w:hint="eastAsia" w:ascii="仿宋" w:hAnsi="仿宋" w:eastAsia="仿宋" w:cs="仿宋"/>
                <w:color w:val="auto"/>
                <w:sz w:val="24"/>
                <w:highlight w:val="none"/>
              </w:rPr>
              <w:t>企呼我应，企业专属网页以“一企一档”的数据呈现为基础，实现从需求侧出发，以企业用户为中心，提供个性化、精准化、主动化、智能化的特色服务，结合“问”、  “办”、“推”等服务形式，让企业找政府办事，政府端菜和群众点餐有机结合。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供应链生态</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追溯企业生产经营过程中各环节所需的各类供应商，帮助企业高效快速建立完整供应链。建设工艺设备、工业控制、工业软件、智能装备、检测服务等板块的供应链服务商。提供企业与供应服务商间的沟通渠道，实现“企业+平台+供应商”的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共享实验室与服务平台</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color w:val="auto"/>
                <w:highlight w:val="none"/>
              </w:rPr>
            </w:pPr>
            <w:r>
              <w:rPr>
                <w:rFonts w:hint="eastAsia" w:ascii="仿宋" w:hAnsi="仿宋" w:eastAsia="仿宋" w:cs="仿宋"/>
                <w:color w:val="auto"/>
                <w:sz w:val="24"/>
                <w:highlight w:val="none"/>
              </w:rPr>
              <w:t>通过数字化平台对社会仪器资源和需求的重新连接，提升企业研发人员的工作效率，助力科研。促进科研资源共享，降低企业研发成本，提高自主创新效率。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大型仪器预约共享平台</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通过预约共享管理系统，实现仪器的开放共享、预约授权、使用控制、计时计费、统计分析、数据上报等业务流程，为实验用户提供便捷高效的平台服务，有效减少仪器管理人员的繁杂手续。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40" w:type="dxa"/>
            <w:tcBorders>
              <w:tl2br w:val="nil"/>
              <w:tr2bl w:val="nil"/>
            </w:tcBorders>
            <w:shd w:val="clear" w:color="000000" w:fill="FFFFFF"/>
            <w:tcMar>
              <w:top w:w="10" w:type="dxa"/>
              <w:left w:w="10" w:type="dxa"/>
              <w:right w:w="10" w:type="dxa"/>
            </w:tcMar>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人才&amp;科技链场景</w:t>
            </w: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云上人才（科技）综合服务平台</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打造滨海新区集人才招引、技能培训、企业招聘、科技申报、技术合作、成果转化等于一体的人才（科技）综合服务平台。</w:t>
            </w:r>
          </w:p>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平台实现基础框架建设，旨在实现路径汇集、统一展示、智能匹配的平台目的。满足人社、科技等相关局办的各类申报平台、资料平台、人才（科技）应用、办事大厅等政务平台的汇聚，实现“打包一个总平台”的目标。</w:t>
            </w:r>
          </w:p>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具体功能因包括且不限于人才（科技）政策解读、人才招引、企业招聘、技能培训、项目申报、人才匹配选择器。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40" w:type="dxa"/>
            <w:vMerge w:val="restart"/>
            <w:tcBorders>
              <w:tl2br w:val="nil"/>
              <w:tr2bl w:val="nil"/>
            </w:tcBorders>
            <w:shd w:val="clear" w:color="000000" w:fill="FFFFFF"/>
            <w:tcMar>
              <w:top w:w="10" w:type="dxa"/>
              <w:left w:w="10" w:type="dxa"/>
              <w:right w:w="10" w:type="dxa"/>
            </w:tcMar>
            <w:vAlign w:val="center"/>
          </w:tcPr>
          <w:p>
            <w:pPr>
              <w:spacing w:after="0" w:line="360" w:lineRule="auto"/>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新智造技术场景</w:t>
            </w:r>
          </w:p>
        </w:tc>
        <w:tc>
          <w:tcPr>
            <w:tcW w:w="1556" w:type="dxa"/>
            <w:tcBorders>
              <w:tl2br w:val="nil"/>
              <w:tr2bl w:val="nil"/>
            </w:tcBorders>
            <w:shd w:val="clear" w:color="000000" w:fill="FFFFFF"/>
            <w:vAlign w:val="center"/>
          </w:tcPr>
          <w:p>
            <w:pPr>
              <w:spacing w:after="0"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SIL设备健康周期管理</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为进一步解决企业数字化鸿沟，应用新智能诊断服务，打造设备档案、备件管理、检维修管理、特种设备管理、移动巡检管理、风险监测预警、双重预防机制、特殊作业管理、人员定位、安全生产全要素、能源系统管理等多个模块的统一平台，为企业提供从诊断到应用上线的数字化转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40" w:type="dxa"/>
            <w:vMerge w:val="continue"/>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color w:val="auto"/>
                <w:highlight w:val="none"/>
              </w:rPr>
            </w:pPr>
          </w:p>
        </w:tc>
        <w:tc>
          <w:tcPr>
            <w:tcW w:w="1556" w:type="dxa"/>
            <w:tcBorders>
              <w:tl2br w:val="nil"/>
              <w:tr2bl w:val="nil"/>
            </w:tcBorders>
            <w:shd w:val="clear" w:color="000000" w:fill="FFFFFF"/>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智能制造诊断</w:t>
            </w:r>
          </w:p>
        </w:tc>
        <w:tc>
          <w:tcPr>
            <w:tcW w:w="6294" w:type="dxa"/>
            <w:tcBorders>
              <w:tl2br w:val="nil"/>
              <w:tr2bl w:val="nil"/>
            </w:tcBorders>
            <w:shd w:val="clear" w:color="000000" w:fill="FFFFFF"/>
            <w:tcMar>
              <w:top w:w="10" w:type="dxa"/>
              <w:left w:w="10" w:type="dxa"/>
              <w:right w:w="10" w:type="dxa"/>
            </w:tcMar>
            <w:vAlign w:val="center"/>
          </w:tcPr>
          <w:p>
            <w:pPr>
              <w:spacing w:after="0" w:line="36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重点解决行业相关知识技术资源分散、难以获取等问题，提供企业智能制造诊断服务，通过与企业的现状、战略目标、专业化应用的深度集成，帮助企业明确智能制造演进路径、定位技术成熟等级、判断智能化差距、确定阶段化升级改造、实施可落地的改进手段，赋能企业智能工厂建设。</w:t>
            </w:r>
          </w:p>
        </w:tc>
      </w:tr>
    </w:tbl>
    <w:p>
      <w:pPr>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1.4技术要求</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1.4.1性能需求</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本系统用户操作的响应速度应达到毫秒级，结果返回时间不超过</w:t>
      </w:r>
      <w:r>
        <w:rPr>
          <w:rFonts w:ascii="仿宋" w:hAnsi="仿宋" w:eastAsia="仿宋"/>
          <w:color w:val="auto"/>
          <w:sz w:val="24"/>
          <w:highlight w:val="none"/>
        </w:rPr>
        <w:t xml:space="preserve"> 5 </w:t>
      </w:r>
      <w:r>
        <w:rPr>
          <w:rFonts w:hint="eastAsia" w:ascii="仿宋" w:hAnsi="仿宋" w:eastAsia="仿宋"/>
          <w:color w:val="auto"/>
          <w:sz w:val="24"/>
          <w:highlight w:val="none"/>
        </w:rPr>
        <w:t>毫</w:t>
      </w:r>
      <w:r>
        <w:rPr>
          <w:rFonts w:ascii="仿宋" w:hAnsi="仿宋" w:eastAsia="仿宋"/>
          <w:color w:val="auto"/>
          <w:sz w:val="24"/>
          <w:highlight w:val="none"/>
        </w:rPr>
        <w:t>秒，确保用户体验良好。系统应和各类业务操作系统间具有广泛的集成性和数据抽取的稳定性。</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有效工作时间：保证系统</w:t>
      </w:r>
      <w:r>
        <w:rPr>
          <w:rFonts w:ascii="仿宋" w:hAnsi="仿宋" w:eastAsia="仿宋"/>
          <w:color w:val="auto"/>
          <w:sz w:val="24"/>
          <w:highlight w:val="none"/>
        </w:rPr>
        <w:t xml:space="preserve"> 7*24 小时不间断运行，系统有效工作时间≥99.9%。故障恢复时间：1 小时内恢复。</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在最大并发在线情况下，界面响应时间最长不超过 15 毫秒，数据库处理的响应时间最长不超过 10 毫秒；在2000并发用户情况下，事务平均响应时间小于等于50ms；吞吐量≥1200/秒；系统单个功能操作支持50000及以上用户并发。</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系统上线后一台或多台服务器消耗的软件和硬件资源占用需</w:t>
      </w:r>
      <w:r>
        <w:rPr>
          <w:rFonts w:ascii="仿宋" w:hAnsi="仿宋" w:eastAsia="仿宋"/>
          <w:color w:val="auto"/>
          <w:sz w:val="24"/>
          <w:highlight w:val="none"/>
        </w:rPr>
        <w:t>&lt;</w:t>
      </w:r>
      <w:r>
        <w:rPr>
          <w:rFonts w:hint="eastAsia" w:ascii="仿宋" w:hAnsi="仿宋" w:eastAsia="仿宋"/>
          <w:color w:val="auto"/>
          <w:sz w:val="24"/>
          <w:highlight w:val="none"/>
        </w:rPr>
        <w:t>50</w:t>
      </w:r>
      <w:r>
        <w:rPr>
          <w:rFonts w:ascii="仿宋" w:hAnsi="仿宋" w:eastAsia="仿宋"/>
          <w:color w:val="auto"/>
          <w:sz w:val="24"/>
          <w:highlight w:val="none"/>
        </w:rPr>
        <w:t>%；在日常或高峰时段允许系统失效时长所占的百分比</w:t>
      </w:r>
      <w:r>
        <w:rPr>
          <w:rFonts w:hint="eastAsia" w:ascii="仿宋" w:hAnsi="仿宋" w:eastAsia="仿宋"/>
          <w:color w:val="auto"/>
          <w:sz w:val="24"/>
          <w:highlight w:val="none"/>
        </w:rPr>
        <w:t>＜</w:t>
      </w:r>
      <w:r>
        <w:rPr>
          <w:rFonts w:ascii="仿宋" w:hAnsi="仿宋" w:eastAsia="仿宋"/>
          <w:color w:val="auto"/>
          <w:sz w:val="24"/>
          <w:highlight w:val="none"/>
        </w:rPr>
        <w:t>5%</w:t>
      </w:r>
      <w:r>
        <w:rPr>
          <w:rFonts w:hint="eastAsia" w:ascii="仿宋" w:hAnsi="仿宋" w:eastAsia="仿宋"/>
          <w:color w:val="auto"/>
          <w:sz w:val="24"/>
          <w:highlight w:val="none"/>
        </w:rPr>
        <w:t>。</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1.4.2安全需求</w:t>
      </w:r>
    </w:p>
    <w:p>
      <w:pPr>
        <w:spacing w:line="360" w:lineRule="auto"/>
        <w:ind w:firstLine="482" w:firstLineChars="200"/>
        <w:rPr>
          <w:rFonts w:hint="eastAsia" w:ascii="仿宋" w:hAnsi="仿宋" w:eastAsia="仿宋"/>
          <w:color w:val="auto"/>
          <w:sz w:val="24"/>
          <w:highlight w:val="none"/>
        </w:rPr>
      </w:pPr>
      <w:r>
        <w:rPr>
          <w:rFonts w:hint="eastAsia" w:ascii="仿宋" w:eastAsia="仿宋"/>
          <w:b/>
          <w:bCs/>
          <w:color w:val="auto"/>
          <w:kern w:val="0"/>
          <w:sz w:val="24"/>
          <w:highlight w:val="none"/>
        </w:rPr>
        <w:t>★</w:t>
      </w:r>
      <w:r>
        <w:rPr>
          <w:rFonts w:hint="eastAsia" w:ascii="仿宋" w:hAnsi="仿宋" w:eastAsia="仿宋"/>
          <w:color w:val="auto"/>
          <w:sz w:val="24"/>
          <w:highlight w:val="none"/>
        </w:rPr>
        <w:t>本系统安全等保级别为二级</w:t>
      </w:r>
      <w:r>
        <w:rPr>
          <w:rFonts w:hint="eastAsia" w:ascii="仿宋" w:hAnsi="仿宋" w:eastAsia="仿宋"/>
          <w:color w:val="auto"/>
          <w:sz w:val="24"/>
          <w:highlight w:val="none"/>
          <w:lang w:eastAsia="zh-CN"/>
        </w:rPr>
        <w:t>，项目完成后须通过等保二级测评。</w:t>
      </w:r>
      <w:r>
        <w:rPr>
          <w:rFonts w:ascii="仿宋" w:hAnsi="仿宋" w:eastAsia="仿宋"/>
          <w:color w:val="auto"/>
          <w:sz w:val="24"/>
          <w:highlight w:val="none"/>
        </w:rPr>
        <w:t>需在以下方面提供相关支持</w:t>
      </w:r>
      <w:r>
        <w:rPr>
          <w:rFonts w:hint="eastAsia" w:ascii="仿宋" w:hAnsi="仿宋" w:eastAsia="仿宋"/>
          <w:color w:val="auto"/>
          <w:sz w:val="24"/>
          <w:highlight w:val="none"/>
        </w:rPr>
        <w:t>，其中包括</w:t>
      </w:r>
      <w:r>
        <w:rPr>
          <w:rFonts w:ascii="仿宋" w:hAnsi="仿宋" w:eastAsia="仿宋"/>
          <w:color w:val="auto"/>
          <w:sz w:val="24"/>
          <w:highlight w:val="none"/>
        </w:rPr>
        <w:t>身份鉴别</w:t>
      </w:r>
      <w:r>
        <w:rPr>
          <w:rFonts w:hint="eastAsia" w:ascii="仿宋" w:hAnsi="仿宋" w:eastAsia="仿宋"/>
          <w:color w:val="auto"/>
          <w:sz w:val="24"/>
          <w:highlight w:val="none"/>
        </w:rPr>
        <w:t>、</w:t>
      </w:r>
      <w:r>
        <w:rPr>
          <w:rFonts w:ascii="仿宋" w:hAnsi="仿宋" w:eastAsia="仿宋"/>
          <w:color w:val="auto"/>
          <w:sz w:val="24"/>
          <w:highlight w:val="none"/>
        </w:rPr>
        <w:t>访问控制</w:t>
      </w:r>
      <w:r>
        <w:rPr>
          <w:rFonts w:hint="eastAsia" w:ascii="仿宋" w:hAnsi="仿宋" w:eastAsia="仿宋"/>
          <w:color w:val="auto"/>
          <w:sz w:val="24"/>
          <w:highlight w:val="none"/>
        </w:rPr>
        <w:t>、</w:t>
      </w:r>
      <w:r>
        <w:rPr>
          <w:rFonts w:ascii="仿宋" w:hAnsi="仿宋" w:eastAsia="仿宋"/>
          <w:color w:val="auto"/>
          <w:sz w:val="24"/>
          <w:highlight w:val="none"/>
        </w:rPr>
        <w:t>安全审计要求</w:t>
      </w:r>
      <w:r>
        <w:rPr>
          <w:rFonts w:hint="eastAsia" w:ascii="仿宋" w:hAnsi="仿宋" w:eastAsia="仿宋"/>
          <w:color w:val="auto"/>
          <w:sz w:val="24"/>
          <w:highlight w:val="none"/>
        </w:rPr>
        <w:t>、</w:t>
      </w:r>
      <w:r>
        <w:rPr>
          <w:rFonts w:ascii="仿宋" w:hAnsi="仿宋" w:eastAsia="仿宋"/>
          <w:color w:val="auto"/>
          <w:sz w:val="24"/>
          <w:highlight w:val="none"/>
        </w:rPr>
        <w:t>通信的完整性、保密性和抗抵赖性</w:t>
      </w:r>
      <w:r>
        <w:rPr>
          <w:rFonts w:hint="eastAsia" w:ascii="仿宋" w:hAnsi="仿宋" w:eastAsia="仿宋"/>
          <w:color w:val="auto"/>
          <w:sz w:val="24"/>
          <w:highlight w:val="none"/>
        </w:rPr>
        <w:t>、</w:t>
      </w:r>
      <w:r>
        <w:rPr>
          <w:rFonts w:ascii="仿宋" w:hAnsi="仿宋" w:eastAsia="仿宋"/>
          <w:color w:val="auto"/>
          <w:sz w:val="24"/>
          <w:highlight w:val="none"/>
        </w:rPr>
        <w:t>数据的完整性和保密性</w:t>
      </w:r>
      <w:r>
        <w:rPr>
          <w:rFonts w:hint="eastAsia" w:ascii="仿宋" w:hAnsi="仿宋" w:eastAsia="仿宋"/>
          <w:color w:val="auto"/>
          <w:sz w:val="24"/>
          <w:highlight w:val="none"/>
        </w:rPr>
        <w:t>、</w:t>
      </w:r>
      <w:r>
        <w:rPr>
          <w:rFonts w:ascii="仿宋" w:hAnsi="仿宋" w:eastAsia="仿宋"/>
          <w:color w:val="auto"/>
          <w:sz w:val="24"/>
          <w:highlight w:val="none"/>
        </w:rPr>
        <w:t>软件容错</w:t>
      </w:r>
      <w:r>
        <w:rPr>
          <w:rFonts w:hint="eastAsia" w:ascii="仿宋" w:hAnsi="仿宋" w:eastAsia="仿宋"/>
          <w:color w:val="auto"/>
          <w:sz w:val="24"/>
          <w:highlight w:val="none"/>
        </w:rPr>
        <w:t>、</w:t>
      </w:r>
      <w:r>
        <w:rPr>
          <w:rFonts w:ascii="仿宋" w:hAnsi="仿宋" w:eastAsia="仿宋"/>
          <w:color w:val="auto"/>
          <w:sz w:val="24"/>
          <w:highlight w:val="none"/>
        </w:rPr>
        <w:t>资源控制</w:t>
      </w:r>
      <w:r>
        <w:rPr>
          <w:rFonts w:hint="eastAsia" w:ascii="仿宋" w:hAnsi="仿宋" w:eastAsia="仿宋"/>
          <w:color w:val="auto"/>
          <w:sz w:val="24"/>
          <w:highlight w:val="none"/>
        </w:rPr>
        <w:t>、</w:t>
      </w:r>
      <w:r>
        <w:rPr>
          <w:rFonts w:ascii="仿宋" w:hAnsi="仿宋" w:eastAsia="仿宋"/>
          <w:color w:val="auto"/>
          <w:sz w:val="24"/>
          <w:highlight w:val="none"/>
        </w:rPr>
        <w:t>剩余信息保护</w:t>
      </w:r>
      <w:r>
        <w:rPr>
          <w:rFonts w:hint="eastAsia" w:ascii="仿宋" w:hAnsi="仿宋" w:eastAsia="仿宋"/>
          <w:color w:val="auto"/>
          <w:sz w:val="24"/>
          <w:highlight w:val="none"/>
        </w:rPr>
        <w:t>等。若平台遭到包括但不限于病毒攻击、数据受损等安全问题，将由中标单位承担全部损失。</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1.4.3技术路线</w:t>
      </w:r>
    </w:p>
    <w:p>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本项目的技术路线主要采用JavaEE</w:t>
      </w:r>
      <w:r>
        <w:rPr>
          <w:rFonts w:hint="eastAsia" w:ascii="仿宋" w:hAnsi="仿宋" w:eastAsia="仿宋"/>
          <w:color w:val="auto"/>
          <w:sz w:val="24"/>
          <w:highlight w:val="none"/>
        </w:rPr>
        <w:t>、微服务架构技术、前后端分离技术、容器的应用、Web服务技术、组件插件化、HTML5技术、分布式缓存、消息队列等技术进行系统建设，要求能与市里的系统兼容，具体如下：</w:t>
      </w:r>
    </w:p>
    <w:p>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（1）本项目采用 JAVA 语言开发，</w:t>
      </w:r>
      <w:r>
        <w:rPr>
          <w:rFonts w:hint="eastAsia" w:ascii="仿宋" w:hAnsi="仿宋" w:eastAsia="仿宋"/>
          <w:color w:val="auto"/>
          <w:sz w:val="24"/>
          <w:highlight w:val="none"/>
        </w:rPr>
        <w:t>后端采用</w:t>
      </w:r>
      <w:r>
        <w:rPr>
          <w:rFonts w:ascii="仿宋" w:hAnsi="仿宋" w:eastAsia="仿宋"/>
          <w:color w:val="auto"/>
          <w:sz w:val="24"/>
          <w:highlight w:val="none"/>
        </w:rPr>
        <w:t>SpringCloud</w:t>
      </w:r>
      <w:r>
        <w:rPr>
          <w:rFonts w:hint="eastAsia" w:ascii="仿宋" w:hAnsi="仿宋" w:eastAsia="仿宋"/>
          <w:color w:val="auto"/>
          <w:sz w:val="24"/>
          <w:highlight w:val="none"/>
        </w:rPr>
        <w:t>、</w:t>
      </w:r>
      <w:r>
        <w:rPr>
          <w:rFonts w:ascii="仿宋" w:hAnsi="仿宋" w:eastAsia="仿宋"/>
          <w:color w:val="auto"/>
          <w:sz w:val="24"/>
          <w:highlight w:val="none"/>
        </w:rPr>
        <w:t>SpringBoot</w:t>
      </w:r>
      <w:r>
        <w:rPr>
          <w:rFonts w:hint="eastAsia" w:ascii="仿宋" w:hAnsi="仿宋" w:eastAsia="仿宋"/>
          <w:color w:val="auto"/>
          <w:sz w:val="24"/>
          <w:highlight w:val="none"/>
        </w:rPr>
        <w:t>、</w:t>
      </w:r>
      <w:r>
        <w:rPr>
          <w:rFonts w:ascii="仿宋" w:hAnsi="仿宋" w:eastAsia="仿宋"/>
          <w:color w:val="auto"/>
          <w:sz w:val="24"/>
          <w:highlight w:val="none"/>
        </w:rPr>
        <w:t>MybatisPlus</w:t>
      </w:r>
      <w:r>
        <w:rPr>
          <w:rFonts w:hint="eastAsia" w:ascii="仿宋" w:hAnsi="仿宋" w:eastAsia="仿宋"/>
          <w:color w:val="auto"/>
          <w:sz w:val="24"/>
          <w:highlight w:val="none"/>
        </w:rPr>
        <w:t>等技术框架，</w:t>
      </w:r>
      <w:r>
        <w:rPr>
          <w:rFonts w:ascii="仿宋" w:hAnsi="仿宋" w:eastAsia="仿宋"/>
          <w:color w:val="auto"/>
          <w:sz w:val="24"/>
          <w:highlight w:val="none"/>
        </w:rPr>
        <w:t xml:space="preserve">前端采用 jQuery、VUE </w:t>
      </w:r>
      <w:r>
        <w:rPr>
          <w:rFonts w:hint="eastAsia" w:ascii="仿宋" w:hAnsi="仿宋" w:eastAsia="仿宋"/>
          <w:color w:val="auto"/>
          <w:sz w:val="24"/>
          <w:highlight w:val="none"/>
        </w:rPr>
        <w:t>、</w:t>
      </w:r>
      <w:r>
        <w:rPr>
          <w:rFonts w:ascii="仿宋" w:hAnsi="仿宋" w:eastAsia="仿宋"/>
          <w:color w:val="auto"/>
          <w:sz w:val="24"/>
          <w:highlight w:val="none"/>
        </w:rPr>
        <w:t>Vite等技术</w:t>
      </w:r>
      <w:r>
        <w:rPr>
          <w:rFonts w:hint="eastAsia" w:ascii="仿宋" w:hAnsi="仿宋" w:eastAsia="仿宋"/>
          <w:color w:val="auto"/>
          <w:sz w:val="24"/>
          <w:highlight w:val="none"/>
        </w:rPr>
        <w:t>框架。</w:t>
      </w:r>
    </w:p>
    <w:p>
      <w:pPr>
        <w:spacing w:line="360" w:lineRule="auto"/>
        <w:ind w:firstLine="420" w:firstLineChars="200"/>
        <w:rPr>
          <w:rFonts w:hint="eastAsia" w:ascii="仿宋" w:hAnsi="仿宋" w:eastAsia="仿宋"/>
          <w:color w:val="auto"/>
          <w:sz w:val="24"/>
          <w:highlight w:val="none"/>
        </w:rPr>
      </w:pPr>
      <w:r>
        <w:rPr>
          <w:rFonts w:hint="eastAsia" w:ascii="仿宋" w:hAnsi="仿宋" w:eastAsia="仿宋" w:cs="仿宋"/>
          <w:color w:val="auto"/>
          <w:kern w:val="0"/>
          <w:szCs w:val="21"/>
          <w:highlight w:val="none"/>
          <w:lang w:val="en-US" w:eastAsia="zh-CN"/>
        </w:rPr>
        <w:t>▲</w:t>
      </w:r>
      <w:r>
        <w:rPr>
          <w:rFonts w:ascii="仿宋" w:hAnsi="仿宋" w:eastAsia="仿宋"/>
          <w:color w:val="auto"/>
          <w:sz w:val="24"/>
          <w:highlight w:val="none"/>
        </w:rPr>
        <w:t>（</w:t>
      </w:r>
      <w:r>
        <w:rPr>
          <w:rFonts w:hint="eastAsia" w:ascii="仿宋" w:hAnsi="仿宋" w:eastAsia="仿宋"/>
          <w:color w:val="auto"/>
          <w:sz w:val="24"/>
          <w:highlight w:val="none"/>
        </w:rPr>
        <w:t>2</w:t>
      </w:r>
      <w:r>
        <w:rPr>
          <w:rFonts w:ascii="仿宋" w:hAnsi="仿宋" w:eastAsia="仿宋"/>
          <w:color w:val="auto"/>
          <w:sz w:val="24"/>
          <w:highlight w:val="none"/>
        </w:rPr>
        <w:t>）服务器操作系统</w:t>
      </w:r>
      <w:r>
        <w:rPr>
          <w:rFonts w:hint="eastAsia" w:ascii="仿宋" w:hAnsi="仿宋" w:eastAsia="仿宋"/>
          <w:color w:val="auto"/>
          <w:sz w:val="24"/>
          <w:highlight w:val="none"/>
        </w:rPr>
        <w:t>，</w:t>
      </w:r>
      <w:r>
        <w:rPr>
          <w:rFonts w:ascii="仿宋" w:hAnsi="仿宋" w:eastAsia="仿宋"/>
          <w:color w:val="auto"/>
          <w:sz w:val="24"/>
          <w:highlight w:val="none"/>
        </w:rPr>
        <w:t>支持 32 位和 64 位环境，支持中标麒麟 linux7.2及</w:t>
      </w:r>
      <w:r>
        <w:rPr>
          <w:rFonts w:hint="eastAsia" w:ascii="仿宋" w:hAnsi="仿宋" w:eastAsia="仿宋"/>
          <w:color w:val="auto"/>
          <w:sz w:val="24"/>
          <w:highlight w:val="none"/>
        </w:rPr>
        <w:t>以上主流操作系统；</w:t>
      </w:r>
    </w:p>
    <w:p>
      <w:pPr>
        <w:spacing w:line="360" w:lineRule="auto"/>
        <w:ind w:firstLine="420" w:firstLineChars="200"/>
        <w:rPr>
          <w:rFonts w:hint="eastAsia" w:eastAsia="仿宋"/>
          <w:color w:val="auto"/>
          <w:highlight w:val="none"/>
          <w:lang w:eastAsia="zh-CN"/>
        </w:rPr>
      </w:pPr>
      <w:r>
        <w:rPr>
          <w:rFonts w:hint="eastAsia" w:ascii="仿宋" w:hAnsi="仿宋" w:eastAsia="仿宋" w:cs="仿宋"/>
          <w:color w:val="auto"/>
          <w:kern w:val="0"/>
          <w:szCs w:val="21"/>
          <w:highlight w:val="none"/>
          <w:lang w:val="en-US" w:eastAsia="zh-CN"/>
        </w:rPr>
        <w:t>▲</w:t>
      </w:r>
      <w:r>
        <w:rPr>
          <w:rFonts w:ascii="仿宋" w:hAnsi="仿宋" w:eastAsia="仿宋"/>
          <w:color w:val="auto"/>
          <w:sz w:val="24"/>
          <w:highlight w:val="none"/>
        </w:rPr>
        <w:t>（</w:t>
      </w: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以上技术开发所涉及的语言、操作系统、中间件、数据库、组件等均满足国产化信创要求</w:t>
      </w:r>
      <w:r>
        <w:rPr>
          <w:rFonts w:hint="eastAsia" w:ascii="仿宋" w:hAnsi="仿宋" w:eastAsia="仿宋"/>
          <w:color w:val="auto"/>
          <w:sz w:val="24"/>
          <w:highlight w:val="none"/>
          <w:lang w:eastAsia="zh-CN"/>
        </w:rPr>
        <w:t>。</w:t>
      </w:r>
    </w:p>
    <w:p>
      <w:pPr>
        <w:spacing w:line="360" w:lineRule="auto"/>
        <w:ind w:firstLine="480" w:firstLineChars="200"/>
        <w:rPr>
          <w:rFonts w:eastAsia="仿宋"/>
          <w:color w:val="auto"/>
          <w:highlight w:val="none"/>
        </w:rPr>
      </w:pPr>
      <w:r>
        <w:rPr>
          <w:rFonts w:hint="eastAsia" w:ascii="仿宋" w:hAnsi="仿宋" w:eastAsia="仿宋"/>
          <w:color w:val="auto"/>
          <w:sz w:val="24"/>
          <w:highlight w:val="none"/>
        </w:rPr>
        <w:t>（</w:t>
      </w:r>
      <w:r>
        <w:rPr>
          <w:rFonts w:ascii="仿宋" w:hAnsi="仿宋" w:eastAsia="仿宋"/>
          <w:color w:val="auto"/>
          <w:sz w:val="24"/>
          <w:highlight w:val="none"/>
        </w:rPr>
        <w:t>4）客户端浏览器支持 Chrome 73</w:t>
      </w:r>
      <w:r>
        <w:rPr>
          <w:rFonts w:hint="eastAsia" w:ascii="仿宋" w:hAnsi="仿宋" w:eastAsia="仿宋"/>
          <w:color w:val="auto"/>
          <w:sz w:val="24"/>
          <w:highlight w:val="none"/>
        </w:rPr>
        <w:t>、国产化浏览器</w:t>
      </w:r>
      <w:r>
        <w:rPr>
          <w:rFonts w:ascii="仿宋" w:hAnsi="仿宋" w:eastAsia="仿宋"/>
          <w:color w:val="auto"/>
          <w:sz w:val="24"/>
          <w:highlight w:val="none"/>
        </w:rPr>
        <w:t>及以上。</w:t>
      </w:r>
    </w:p>
    <w:p>
      <w:pPr>
        <w:pStyle w:val="39"/>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1.4.4 </w:t>
      </w:r>
      <w:r>
        <w:rPr>
          <w:rFonts w:hint="eastAsia" w:ascii="仿宋" w:hAnsi="仿宋" w:eastAsia="仿宋" w:cs="仿宋"/>
          <w:b/>
          <w:bCs/>
          <w:color w:val="auto"/>
          <w:highlight w:val="none"/>
          <w:lang w:eastAsia="zh-CN"/>
        </w:rPr>
        <w:t>主要</w:t>
      </w:r>
      <w:r>
        <w:rPr>
          <w:rFonts w:hint="eastAsia" w:ascii="仿宋" w:hAnsi="仿宋" w:eastAsia="仿宋" w:cs="仿宋"/>
          <w:b/>
          <w:bCs/>
          <w:color w:val="auto"/>
          <w:highlight w:val="none"/>
        </w:rPr>
        <w:t>硬件设备</w:t>
      </w:r>
      <w:r>
        <w:rPr>
          <w:rFonts w:hint="eastAsia" w:ascii="仿宋" w:hAnsi="仿宋" w:eastAsia="仿宋" w:cs="仿宋"/>
          <w:b/>
          <w:bCs/>
          <w:color w:val="auto"/>
          <w:highlight w:val="none"/>
          <w:lang w:eastAsia="zh-CN"/>
        </w:rPr>
        <w:t>及服务清单</w:t>
      </w:r>
    </w:p>
    <w:tbl>
      <w:tblPr>
        <w:tblStyle w:val="3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05"/>
        <w:gridCol w:w="1537"/>
        <w:gridCol w:w="3706"/>
        <w:gridCol w:w="714"/>
        <w:gridCol w:w="75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5" w:type="dxa"/>
            <w:gridSpan w:val="7"/>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云上综合体-网络数据设施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105"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名称</w:t>
            </w:r>
          </w:p>
        </w:tc>
        <w:tc>
          <w:tcPr>
            <w:tcW w:w="1537"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模块</w:t>
            </w:r>
          </w:p>
        </w:tc>
        <w:tc>
          <w:tcPr>
            <w:tcW w:w="3706"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参数描述</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82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restart"/>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105" w:type="dxa"/>
            <w:vMerge w:val="restart"/>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云主机</w:t>
            </w: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应用服务器</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政务外网：4C、32G；系统盘500G；5T存储</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须符合信创要求</w:t>
            </w:r>
          </w:p>
        </w:tc>
        <w:tc>
          <w:tcPr>
            <w:tcW w:w="714" w:type="dxa"/>
            <w:vMerge w:val="restart"/>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Merge w:val="restart"/>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Merge w:val="restart"/>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vAlign w:val="center"/>
          </w:tcPr>
          <w:p>
            <w:pPr>
              <w:spacing w:after="0" w:line="360" w:lineRule="auto"/>
              <w:jc w:val="center"/>
              <w:rPr>
                <w:rFonts w:hint="eastAsia" w:ascii="仿宋" w:hAnsi="仿宋" w:eastAsia="仿宋" w:cs="仿宋"/>
                <w:color w:val="auto"/>
                <w:kern w:val="0"/>
                <w:szCs w:val="21"/>
                <w:highlight w:val="none"/>
              </w:rPr>
            </w:pPr>
          </w:p>
        </w:tc>
        <w:tc>
          <w:tcPr>
            <w:tcW w:w="1105"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前置机服务器</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互联网：4C、16G；系统盘100G；1000G存储</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须符合信创要求</w:t>
            </w:r>
          </w:p>
        </w:tc>
        <w:tc>
          <w:tcPr>
            <w:tcW w:w="714" w:type="dxa"/>
            <w:vMerge w:val="continue"/>
            <w:vAlign w:val="center"/>
          </w:tcPr>
          <w:p>
            <w:pPr>
              <w:spacing w:after="0" w:line="360" w:lineRule="auto"/>
              <w:jc w:val="center"/>
              <w:rPr>
                <w:rFonts w:hint="eastAsia" w:ascii="仿宋" w:hAnsi="仿宋" w:eastAsia="仿宋" w:cs="仿宋"/>
                <w:color w:val="auto"/>
                <w:kern w:val="0"/>
                <w:szCs w:val="21"/>
                <w:highlight w:val="none"/>
              </w:rPr>
            </w:pPr>
          </w:p>
        </w:tc>
        <w:tc>
          <w:tcPr>
            <w:tcW w:w="750" w:type="dxa"/>
            <w:vMerge w:val="continue"/>
            <w:vAlign w:val="center"/>
          </w:tcPr>
          <w:p>
            <w:pPr>
              <w:spacing w:after="0" w:line="360" w:lineRule="auto"/>
              <w:jc w:val="center"/>
              <w:rPr>
                <w:rFonts w:hint="eastAsia" w:ascii="仿宋" w:hAnsi="仿宋" w:eastAsia="仿宋" w:cs="仿宋"/>
                <w:color w:val="auto"/>
                <w:kern w:val="0"/>
                <w:szCs w:val="21"/>
                <w:highlight w:val="none"/>
              </w:rPr>
            </w:pPr>
          </w:p>
        </w:tc>
        <w:tc>
          <w:tcPr>
            <w:tcW w:w="820" w:type="dxa"/>
            <w:vMerge w:val="continue"/>
            <w:vAlign w:val="center"/>
          </w:tcPr>
          <w:p>
            <w:pPr>
              <w:spacing w:after="0" w:line="360" w:lineRule="auto"/>
              <w:jc w:val="left"/>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105"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vpc</w:t>
            </w: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vpc服务实例</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例如选择IP地址范围、配置路由表和网关</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105"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云网络</w:t>
            </w: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弹性IP</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100M</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105"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跨网</w:t>
            </w: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跨网通道</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用于政务环境与外部公网的交互</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路</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105"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RDS</w:t>
            </w: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企业级mysql</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企业级RDS，4C8G，2T存储</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信创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restart"/>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105" w:type="dxa"/>
            <w:vMerge w:val="restart"/>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安全服务二级标准</w:t>
            </w: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防火墙</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【标注版】500M吞吐量</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105"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WAF</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【标注版】1个一级域名和10个二级域名（流量上限为25M）</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105"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日志审计</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【标注版】20个日志源</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105"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安全堡垒机</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【标注版】20个资产管理</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105"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入侵防护</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【标注版】500M吞吐量</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105"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企业主机安全服务</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旗舰版</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105"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抗DDOS</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防护5G以下攻击流量</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105"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数据库审计</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以安全事件为中心，以全面审计和精确审计为基础，实时记录网络上的数据库活动，对数据库操作进行细粒度审计的合规性管理，对数据库遭受到的风险行为进行实时告警</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105" w:type="dxa"/>
            <w:vMerge w:val="continue"/>
            <w:vAlign w:val="center"/>
          </w:tcPr>
          <w:p>
            <w:pPr>
              <w:spacing w:after="0" w:line="360" w:lineRule="auto"/>
              <w:jc w:val="left"/>
              <w:rPr>
                <w:rFonts w:hint="eastAsia" w:ascii="仿宋" w:hAnsi="仿宋" w:eastAsia="仿宋" w:cs="仿宋"/>
                <w:color w:val="auto"/>
                <w:kern w:val="0"/>
                <w:szCs w:val="21"/>
                <w:highlight w:val="none"/>
              </w:rPr>
            </w:pP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等保</w:t>
            </w:r>
            <w:r>
              <w:rPr>
                <w:rFonts w:hint="eastAsia" w:ascii="仿宋" w:hAnsi="仿宋" w:eastAsia="仿宋" w:cs="仿宋"/>
                <w:color w:val="auto"/>
                <w:kern w:val="0"/>
                <w:szCs w:val="21"/>
                <w:highlight w:val="none"/>
                <w:lang w:eastAsia="zh-CN"/>
              </w:rPr>
              <w:t>建设及</w:t>
            </w:r>
            <w:r>
              <w:rPr>
                <w:rFonts w:hint="eastAsia" w:ascii="仿宋" w:hAnsi="仿宋" w:eastAsia="仿宋" w:cs="仿宋"/>
                <w:color w:val="auto"/>
                <w:kern w:val="0"/>
                <w:szCs w:val="21"/>
                <w:highlight w:val="none"/>
              </w:rPr>
              <w:t>测评</w:t>
            </w:r>
          </w:p>
        </w:tc>
        <w:tc>
          <w:tcPr>
            <w:tcW w:w="3706" w:type="dxa"/>
            <w:vAlign w:val="center"/>
          </w:tcPr>
          <w:p>
            <w:pPr>
              <w:spacing w:after="0"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对服务以及服务器进行二级等保检测，以</w:t>
            </w:r>
            <w:r>
              <w:rPr>
                <w:rFonts w:hint="eastAsia" w:ascii="仿宋" w:hAnsi="仿宋" w:eastAsia="仿宋" w:cs="仿宋"/>
                <w:color w:val="auto"/>
                <w:kern w:val="0"/>
                <w:szCs w:val="21"/>
                <w:highlight w:val="none"/>
                <w:lang w:eastAsia="zh-CN"/>
              </w:rPr>
              <w:t>确保通过测评，等保二级建设所需的各项安全服务及测评费用包含在此项中</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105"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短信服务</w:t>
            </w: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短信服务</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用于通知短信和推广短信</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105"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网络接入</w:t>
            </w:r>
          </w:p>
        </w:tc>
        <w:tc>
          <w:tcPr>
            <w:tcW w:w="1537"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互联网接入服务</w:t>
            </w:r>
          </w:p>
        </w:tc>
        <w:tc>
          <w:tcPr>
            <w:tcW w:w="3706"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用于互联网数据接入及服务</w:t>
            </w:r>
          </w:p>
        </w:tc>
        <w:tc>
          <w:tcPr>
            <w:tcW w:w="714"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50" w:type="dxa"/>
            <w:vAlign w:val="center"/>
          </w:tcPr>
          <w:p>
            <w:pPr>
              <w:spacing w:after="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820" w:type="dxa"/>
            <w:vAlign w:val="center"/>
          </w:tcPr>
          <w:p>
            <w:pPr>
              <w:spacing w:after="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bl>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1.5对项目负责人和技术负责人的要求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明确项目负责人和技术负责人在本项目中的岗位职责，根据项目工作建设工作的业务性质，投标人应分别配备经验丰富的项目负责人、技术负责人承担本项目工作。投标人应提出具体管理措施，以确保该承诺得到落实。</w:t>
      </w:r>
    </w:p>
    <w:p>
      <w:pPr>
        <w:tabs>
          <w:tab w:val="center" w:pos="4535"/>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1.6项目组织机构</w:t>
      </w:r>
      <w:r>
        <w:rPr>
          <w:rFonts w:hint="eastAsia" w:ascii="仿宋" w:hAnsi="仿宋" w:eastAsia="仿宋" w:cs="仿宋"/>
          <w:b/>
          <w:bCs/>
          <w:color w:val="auto"/>
          <w:sz w:val="24"/>
          <w:szCs w:val="24"/>
          <w:highlight w:val="none"/>
        </w:rPr>
        <w:tab/>
      </w:r>
    </w:p>
    <w:p>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必须成立合理的组织机构，建立健全保障项目顺利实施的各项管理制度和质量保证体系，按照招标要求安排好项目管理团队参加本项目的建设，包括但不限于平台管理运营、外部系统对接联调、业务专题数据运营、培训及日常答疑、技术沟通等内容。</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w:t>
      </w:r>
      <w:r>
        <w:rPr>
          <w:rFonts w:hint="eastAsia" w:ascii="仿宋" w:hAnsi="仿宋" w:eastAsia="仿宋" w:cs="仿宋"/>
          <w:b/>
          <w:bCs/>
          <w:color w:val="auto"/>
          <w:sz w:val="24"/>
          <w:szCs w:val="24"/>
          <w:highlight w:val="none"/>
          <w:lang w:val="en-US" w:eastAsia="zh-CN"/>
        </w:rPr>
        <w:t>运营</w:t>
      </w:r>
      <w:r>
        <w:rPr>
          <w:rFonts w:hint="eastAsia" w:ascii="仿宋" w:hAnsi="仿宋" w:eastAsia="仿宋" w:cs="仿宋"/>
          <w:b/>
          <w:bCs/>
          <w:color w:val="auto"/>
          <w:sz w:val="24"/>
          <w:szCs w:val="24"/>
          <w:highlight w:val="none"/>
        </w:rPr>
        <w:t>团队</w:t>
      </w:r>
      <w:r>
        <w:rPr>
          <w:rFonts w:hint="eastAsia" w:ascii="仿宋" w:hAnsi="仿宋" w:eastAsia="仿宋" w:cs="仿宋"/>
          <w:b/>
          <w:bCs/>
          <w:color w:val="auto"/>
          <w:sz w:val="24"/>
          <w:szCs w:val="24"/>
          <w:highlight w:val="none"/>
          <w:lang w:eastAsia="zh-CN"/>
        </w:rPr>
        <w:t>及运营服务</w:t>
      </w:r>
      <w:r>
        <w:rPr>
          <w:rFonts w:hint="eastAsia" w:ascii="仿宋" w:hAnsi="仿宋" w:eastAsia="仿宋" w:cs="仿宋"/>
          <w:b/>
          <w:bCs/>
          <w:color w:val="auto"/>
          <w:sz w:val="24"/>
          <w:szCs w:val="24"/>
          <w:highlight w:val="none"/>
        </w:rPr>
        <w:t>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1.7.1</w:t>
      </w:r>
      <w:r>
        <w:rPr>
          <w:rFonts w:hint="eastAsia" w:ascii="仿宋" w:hAnsi="仿宋" w:eastAsia="仿宋" w:cs="仿宋"/>
          <w:color w:val="auto"/>
          <w:sz w:val="24"/>
          <w:szCs w:val="24"/>
          <w:highlight w:val="none"/>
        </w:rPr>
        <w:t>需提供6人驻场（食宿自理）开展常态化</w:t>
      </w:r>
      <w:r>
        <w:rPr>
          <w:rFonts w:hint="eastAsia" w:ascii="仿宋" w:hAnsi="仿宋" w:eastAsia="仿宋" w:cs="仿宋"/>
          <w:color w:val="auto"/>
          <w:sz w:val="24"/>
          <w:szCs w:val="24"/>
          <w:highlight w:val="none"/>
          <w:lang w:val="en-US" w:eastAsia="zh-CN"/>
        </w:rPr>
        <w:t>运营</w:t>
      </w:r>
      <w:r>
        <w:rPr>
          <w:rFonts w:hint="eastAsia" w:ascii="仿宋" w:hAnsi="仿宋" w:eastAsia="仿宋" w:cs="仿宋"/>
          <w:color w:val="auto"/>
          <w:sz w:val="24"/>
          <w:szCs w:val="24"/>
          <w:highlight w:val="none"/>
        </w:rPr>
        <w:t>工作，驻场时间自项目建设期至</w:t>
      </w:r>
      <w:r>
        <w:rPr>
          <w:rFonts w:hint="eastAsia" w:ascii="仿宋" w:hAnsi="仿宋" w:eastAsia="仿宋" w:cs="仿宋"/>
          <w:color w:val="auto"/>
          <w:sz w:val="24"/>
          <w:szCs w:val="24"/>
          <w:highlight w:val="none"/>
          <w:lang w:eastAsia="zh-CN"/>
        </w:rPr>
        <w:t>运维</w:t>
      </w:r>
      <w:r>
        <w:rPr>
          <w:rFonts w:hint="eastAsia" w:ascii="仿宋" w:hAnsi="仿宋" w:eastAsia="仿宋" w:cs="仿宋"/>
          <w:color w:val="auto"/>
          <w:sz w:val="24"/>
          <w:szCs w:val="24"/>
          <w:highlight w:val="none"/>
        </w:rPr>
        <w:t>期满。运营团队需具备数据采集管理、营销推广、企业服务、活动举办、会员服务、资源整合等能力。4人负责平台日常运营，2人负责政府端对接、日常业务和申报服务等工作</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1.7.2</w:t>
      </w:r>
      <w:r>
        <w:rPr>
          <w:rFonts w:hint="eastAsia" w:ascii="仿宋" w:hAnsi="仿宋" w:eastAsia="仿宋" w:cs="仿宋"/>
          <w:color w:val="auto"/>
          <w:sz w:val="24"/>
          <w:szCs w:val="24"/>
          <w:highlight w:val="none"/>
          <w:lang w:eastAsia="zh-CN"/>
        </w:rPr>
        <w:t>运营内容及要求：投标人须提供完整、可靠的运营服务方案，包括运营团队工作人员名单、运营团队综合能力等。运营内容包括以下内容：</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数据采集：</w:t>
      </w:r>
      <w:r>
        <w:rPr>
          <w:rFonts w:hint="eastAsia" w:ascii="仿宋" w:hAnsi="仿宋" w:eastAsia="仿宋" w:cs="仿宋"/>
          <w:color w:val="auto"/>
          <w:sz w:val="24"/>
          <w:szCs w:val="24"/>
          <w:highlight w:val="none"/>
          <w:lang w:eastAsia="zh-CN"/>
        </w:rPr>
        <w:t>收集新区内的企业、从业人员相关信息，</w:t>
      </w:r>
      <w:r>
        <w:rPr>
          <w:rFonts w:hint="eastAsia" w:ascii="仿宋" w:hAnsi="仿宋" w:eastAsia="仿宋" w:cs="仿宋"/>
          <w:color w:val="auto"/>
          <w:sz w:val="24"/>
          <w:szCs w:val="24"/>
          <w:highlight w:val="none"/>
          <w:lang w:val="en-US" w:eastAsia="zh-CN"/>
        </w:rPr>
        <w:t>重视数据来源的合法性与合规性，</w:t>
      </w:r>
      <w:r>
        <w:rPr>
          <w:rFonts w:hint="eastAsia" w:ascii="仿宋" w:hAnsi="仿宋" w:eastAsia="仿宋" w:cs="仿宋"/>
          <w:color w:val="auto"/>
          <w:sz w:val="24"/>
          <w:szCs w:val="24"/>
          <w:highlight w:val="none"/>
          <w:lang w:eastAsia="zh-CN"/>
        </w:rPr>
        <w:t>切实保障数据来源的正当性以及所涉及个人或组织的隐私权益不受侵犯，</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lang w:eastAsia="zh-CN"/>
        </w:rPr>
        <w:t>构建一套完备且严谨的数据更新机制，</w:t>
      </w:r>
      <w:r>
        <w:rPr>
          <w:rFonts w:hint="eastAsia" w:ascii="仿宋" w:hAnsi="仿宋" w:eastAsia="仿宋" w:cs="仿宋"/>
          <w:color w:val="auto"/>
          <w:sz w:val="24"/>
          <w:szCs w:val="24"/>
          <w:highlight w:val="none"/>
          <w:lang w:val="en-US" w:eastAsia="zh-CN"/>
        </w:rPr>
        <w:t>对已采集的数据</w:t>
      </w:r>
      <w:r>
        <w:rPr>
          <w:rFonts w:hint="eastAsia" w:ascii="仿宋" w:hAnsi="仿宋" w:eastAsia="仿宋" w:cs="仿宋"/>
          <w:color w:val="auto"/>
          <w:sz w:val="24"/>
          <w:szCs w:val="24"/>
          <w:highlight w:val="none"/>
          <w:lang w:eastAsia="zh-CN"/>
        </w:rPr>
        <w:t>进行定期地更新与维护。</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平台推广：以地推、纸媒、广告、社交媒体、网站推广等多元化的宣传方式，将平台推广至新区各个企业用户、个人用户，全力确保新区内的各类企业用户以及广大个人用户都能充分知晓并便捷地使用本数字化平台。</w:t>
      </w:r>
      <w:r>
        <w:rPr>
          <w:rFonts w:hint="eastAsia" w:ascii="仿宋" w:hAnsi="仿宋" w:eastAsia="仿宋" w:cs="仿宋"/>
          <w:color w:val="auto"/>
          <w:sz w:val="24"/>
          <w:szCs w:val="24"/>
          <w:highlight w:val="none"/>
          <w:lang w:eastAsia="zh-CN"/>
        </w:rPr>
        <w:t>收集平台工作亮点与成效，发布宣传报道，国家级媒体每年发布6篇；平台内容宣传更新，每日2篇滨海新区</w:t>
      </w:r>
      <w:r>
        <w:rPr>
          <w:rFonts w:hint="default" w:ascii="仿宋" w:hAnsi="仿宋" w:eastAsia="仿宋" w:cs="仿宋"/>
          <w:color w:val="auto"/>
          <w:sz w:val="24"/>
          <w:szCs w:val="24"/>
          <w:highlight w:val="none"/>
          <w:lang w:eastAsia="zh-CN"/>
        </w:rPr>
        <w:t>科技创新或产业</w:t>
      </w:r>
      <w:r>
        <w:rPr>
          <w:rFonts w:hint="eastAsia" w:ascii="仿宋" w:hAnsi="仿宋" w:eastAsia="仿宋" w:cs="仿宋"/>
          <w:color w:val="auto"/>
          <w:sz w:val="24"/>
          <w:szCs w:val="24"/>
          <w:highlight w:val="none"/>
          <w:lang w:eastAsia="zh-CN"/>
        </w:rPr>
        <w:t>发展报道。</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CN"/>
        </w:rPr>
        <w:t xml:space="preserve">   </w:t>
      </w:r>
      <w:r>
        <w:rPr>
          <w:rFonts w:hint="default"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在线技术服务：协助采购人开展人才、科技、人社活动，包括且不限于：基于平台每年协助开展不少于4场人才校园招聘专场，为新区内企业线上宣讲和招聘、高校学生在线简历投递与面试等提供技术支持；每年协助开展不少于800人的线上人才技能培训；每年协助开展不少于1场的成果拍卖会、在线路演大赛、科技大咖交流会以及行业培训班；每年协助开展不少于4场高层次人才活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）企业服务：基于软件平台定期开展线下交流会，平台系统使用说明，提升服务效应；收集汇总平台上企业问题及需求，并进行受理回复，及时向上反馈；定期走访企业，回访平台服务情况，收集企业意见。</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5）后台管理，包括实现平台内容建设及更新，建立内容发布标准，确保发布的内容规范和完整；完成信息的收集、信息更新、信息发布；对平台内用户数据、企业数据的维护服务；及时更新省、市及滨海新区发布的政策信息，形成企业可查看的政策指引。</w:t>
      </w:r>
    </w:p>
    <w:p>
      <w:pPr>
        <w:snapToGrid w:val="0"/>
        <w:spacing w:line="440" w:lineRule="exact"/>
        <w:jc w:val="left"/>
        <w:rPr>
          <w:rFonts w:ascii="仿宋" w:eastAsia="仿宋"/>
          <w:b/>
          <w:bCs/>
          <w:color w:val="auto"/>
          <w:sz w:val="24"/>
          <w:szCs w:val="24"/>
          <w:highlight w:val="none"/>
        </w:rPr>
      </w:pPr>
      <w:r>
        <w:rPr>
          <w:rFonts w:hint="eastAsia" w:ascii="仿宋" w:eastAsia="仿宋"/>
          <w:b/>
          <w:bCs/>
          <w:color w:val="auto"/>
          <w:sz w:val="24"/>
          <w:szCs w:val="24"/>
          <w:highlight w:val="none"/>
        </w:rPr>
        <w:t>提示：柴油动力源低排放要求</w:t>
      </w:r>
    </w:p>
    <w:p>
      <w:pPr>
        <w:widowControl/>
        <w:snapToGrid w:val="0"/>
        <w:spacing w:line="480" w:lineRule="exact"/>
        <w:ind w:firstLine="480" w:firstLineChars="200"/>
        <w:rPr>
          <w:rFonts w:ascii="仿宋" w:eastAsia="仿宋"/>
          <w:b/>
          <w:bCs/>
          <w:color w:val="auto"/>
          <w:sz w:val="24"/>
          <w:highlight w:val="none"/>
        </w:rPr>
      </w:pPr>
      <w:r>
        <w:rPr>
          <w:rFonts w:hint="eastAsia" w:ascii="仿宋" w:eastAsia="仿宋"/>
          <w:color w:val="auto"/>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pPr>
        <w:widowControl/>
        <w:snapToGrid w:val="0"/>
        <w:spacing w:line="480" w:lineRule="exact"/>
        <w:rPr>
          <w:rFonts w:ascii="仿宋" w:eastAsia="仿宋"/>
          <w:b/>
          <w:bCs/>
          <w:color w:val="auto"/>
          <w:kern w:val="0"/>
          <w:sz w:val="24"/>
          <w:highlight w:val="none"/>
          <w:u w:val="single"/>
        </w:rPr>
      </w:pPr>
    </w:p>
    <w:p>
      <w:pPr>
        <w:pStyle w:val="4"/>
        <w:rPr>
          <w:rFonts w:ascii="仿宋"/>
          <w:color w:val="auto"/>
          <w:highlight w:val="none"/>
        </w:rPr>
      </w:pPr>
      <w:bookmarkStart w:id="42" w:name="_Toc16453"/>
      <w:r>
        <w:rPr>
          <w:rFonts w:hint="eastAsia" w:ascii="仿宋"/>
          <w:color w:val="auto"/>
          <w:highlight w:val="none"/>
        </w:rPr>
        <w:t>二、商务要求</w:t>
      </w:r>
      <w:bookmarkEnd w:id="42"/>
    </w:p>
    <w:p>
      <w:pPr>
        <w:spacing w:line="360" w:lineRule="auto"/>
        <w:rPr>
          <w:rFonts w:ascii="仿宋" w:eastAsia="仿宋"/>
          <w:b/>
          <w:bCs/>
          <w:color w:val="auto"/>
          <w:kern w:val="0"/>
          <w:sz w:val="24"/>
          <w:highlight w:val="none"/>
        </w:rPr>
      </w:pPr>
      <w:r>
        <w:rPr>
          <w:rFonts w:hint="eastAsia" w:ascii="仿宋" w:eastAsia="仿宋"/>
          <w:b/>
          <w:bCs/>
          <w:color w:val="auto"/>
          <w:kern w:val="0"/>
          <w:sz w:val="24"/>
          <w:highlight w:val="none"/>
        </w:rPr>
        <w:t>★2.1服务期限</w:t>
      </w:r>
    </w:p>
    <w:p>
      <w:pPr>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合同签订后</w:t>
      </w:r>
      <w:r>
        <w:rPr>
          <w:rFonts w:hint="eastAsia" w:ascii="仿宋" w:eastAsia="仿宋"/>
          <w:color w:val="auto"/>
          <w:kern w:val="0"/>
          <w:sz w:val="24"/>
          <w:highlight w:val="none"/>
          <w:lang w:val="en-US" w:eastAsia="zh-CN"/>
        </w:rPr>
        <w:t>6</w:t>
      </w:r>
      <w:r>
        <w:rPr>
          <w:rFonts w:hint="eastAsia" w:ascii="仿宋" w:eastAsia="仿宋"/>
          <w:color w:val="auto"/>
          <w:kern w:val="0"/>
          <w:sz w:val="24"/>
          <w:highlight w:val="none"/>
        </w:rPr>
        <w:t>个月内试运行上线，合同签订后7个月内完成平台全部建设，合同签订后1</w:t>
      </w:r>
      <w:r>
        <w:rPr>
          <w:rFonts w:hint="eastAsia" w:ascii="仿宋" w:eastAsia="仿宋"/>
          <w:color w:val="auto"/>
          <w:kern w:val="0"/>
          <w:sz w:val="24"/>
          <w:highlight w:val="none"/>
          <w:lang w:val="en-US" w:eastAsia="zh-CN"/>
        </w:rPr>
        <w:t>0</w:t>
      </w:r>
      <w:r>
        <w:rPr>
          <w:rFonts w:hint="eastAsia" w:ascii="仿宋" w:eastAsia="仿宋"/>
          <w:color w:val="auto"/>
          <w:kern w:val="0"/>
          <w:sz w:val="24"/>
          <w:highlight w:val="none"/>
        </w:rPr>
        <w:t>个月内完成最终验收。并提供项目交付后的3年运维服务，费用包含在投标总价中。</w:t>
      </w:r>
    </w:p>
    <w:p>
      <w:pPr>
        <w:spacing w:line="360" w:lineRule="auto"/>
        <w:rPr>
          <w:rFonts w:hint="eastAsia" w:ascii="仿宋" w:eastAsia="仿宋"/>
          <w:b/>
          <w:bCs/>
          <w:color w:val="auto"/>
          <w:kern w:val="0"/>
          <w:sz w:val="24"/>
          <w:highlight w:val="none"/>
          <w:lang w:eastAsia="zh-CN"/>
        </w:rPr>
      </w:pP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2</w:t>
      </w:r>
      <w:r>
        <w:rPr>
          <w:rFonts w:hint="eastAsia" w:ascii="仿宋" w:eastAsia="仿宋"/>
          <w:b/>
          <w:bCs/>
          <w:color w:val="auto"/>
          <w:kern w:val="0"/>
          <w:sz w:val="24"/>
          <w:highlight w:val="none"/>
          <w:lang w:eastAsia="zh-CN"/>
        </w:rPr>
        <w:t>质保期</w:t>
      </w:r>
    </w:p>
    <w:p>
      <w:pPr>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提供3年质保服务，质保期自项目终验合格之日算起，质保期内，中标人需提供包括系统bug修复、支撑环境与应用安全完善加固、系统功能维护、系统功能优化、模块调整开发、操作咨询等服务</w:t>
      </w:r>
      <w:r>
        <w:rPr>
          <w:rFonts w:hint="eastAsia" w:ascii="仿宋" w:eastAsia="仿宋"/>
          <w:color w:val="auto"/>
          <w:kern w:val="0"/>
          <w:sz w:val="24"/>
          <w:highlight w:val="none"/>
          <w:lang w:eastAsia="zh-CN"/>
        </w:rPr>
        <w:t>。</w:t>
      </w:r>
    </w:p>
    <w:p>
      <w:pPr>
        <w:spacing w:line="360" w:lineRule="auto"/>
        <w:rPr>
          <w:rFonts w:ascii="仿宋" w:eastAsia="仿宋"/>
          <w:b/>
          <w:bCs/>
          <w:color w:val="auto"/>
          <w:kern w:val="0"/>
          <w:sz w:val="24"/>
          <w:highlight w:val="none"/>
        </w:rPr>
      </w:pP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3</w:t>
      </w:r>
      <w:r>
        <w:rPr>
          <w:rFonts w:hint="eastAsia" w:ascii="仿宋" w:eastAsia="仿宋"/>
          <w:b/>
          <w:bCs/>
          <w:color w:val="auto"/>
          <w:kern w:val="0"/>
          <w:sz w:val="24"/>
          <w:highlight w:val="none"/>
        </w:rPr>
        <w:t>技术培训</w:t>
      </w:r>
    </w:p>
    <w:p>
      <w:pPr>
        <w:spacing w:line="360" w:lineRule="auto"/>
        <w:rPr>
          <w:rFonts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3</w:t>
      </w:r>
      <w:r>
        <w:rPr>
          <w:rFonts w:hint="eastAsia" w:ascii="仿宋" w:eastAsia="仿宋"/>
          <w:color w:val="auto"/>
          <w:kern w:val="0"/>
          <w:sz w:val="24"/>
          <w:highlight w:val="none"/>
        </w:rPr>
        <w:t>.1要求对相关人员进行系统使用培训，包括技术性能、安装、操作使用、测试、维护及故障排除等培训内容。</w:t>
      </w:r>
    </w:p>
    <w:p>
      <w:pPr>
        <w:spacing w:line="360" w:lineRule="auto"/>
        <w:rPr>
          <w:rFonts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3</w:t>
      </w:r>
      <w:r>
        <w:rPr>
          <w:rFonts w:hint="eastAsia" w:ascii="仿宋" w:eastAsia="仿宋"/>
          <w:color w:val="auto"/>
          <w:kern w:val="0"/>
          <w:sz w:val="24"/>
          <w:highlight w:val="none"/>
        </w:rPr>
        <w:t>.2要求对系统管理员进行系统维护培训，使其能够熟练管理本单位用户、权限、定制业务流程等。</w:t>
      </w:r>
    </w:p>
    <w:p>
      <w:pPr>
        <w:spacing w:line="360" w:lineRule="auto"/>
        <w:rPr>
          <w:rFonts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3</w:t>
      </w:r>
      <w:r>
        <w:rPr>
          <w:rFonts w:hint="eastAsia" w:ascii="仿宋" w:eastAsia="仿宋"/>
          <w:color w:val="auto"/>
          <w:kern w:val="0"/>
          <w:sz w:val="24"/>
          <w:highlight w:val="none"/>
        </w:rPr>
        <w:t>.3要求对技术人员进行培训，应包括系统的安装、配置、维护、系统灾备、恢复处理和性能优化方面的技术，使其能够独立地管理、维护和配置整个系统；还应对技术人员进行产品的产品开发培训、技术开发培训。</w:t>
      </w:r>
    </w:p>
    <w:p>
      <w:pPr>
        <w:spacing w:line="360" w:lineRule="auto"/>
        <w:rPr>
          <w:rFonts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4</w:t>
      </w:r>
      <w:r>
        <w:rPr>
          <w:rFonts w:hint="eastAsia" w:ascii="仿宋" w:eastAsia="仿宋"/>
          <w:b/>
          <w:bCs/>
          <w:color w:val="auto"/>
          <w:sz w:val="24"/>
          <w:highlight w:val="none"/>
        </w:rPr>
        <w:t>数量调整</w:t>
      </w:r>
    </w:p>
    <w:p>
      <w:pPr>
        <w:spacing w:line="360" w:lineRule="auto"/>
        <w:ind w:firstLine="479"/>
        <w:rPr>
          <w:rFonts w:ascii="仿宋" w:eastAsia="仿宋"/>
          <w:color w:val="auto"/>
          <w:kern w:val="0"/>
          <w:sz w:val="24"/>
          <w:highlight w:val="none"/>
        </w:rPr>
      </w:pPr>
      <w:r>
        <w:rPr>
          <w:rFonts w:hint="eastAsia" w:ascii="仿宋" w:eastAsia="仿宋"/>
          <w:color w:val="auto"/>
          <w:kern w:val="0"/>
          <w:sz w:val="24"/>
          <w:highlight w:val="none"/>
        </w:rPr>
        <w:t>招标人保留在签约时</w:t>
      </w:r>
      <w:r>
        <w:rPr>
          <w:rFonts w:ascii="仿宋" w:eastAsia="仿宋"/>
          <w:color w:val="auto"/>
          <w:kern w:val="0"/>
          <w:sz w:val="24"/>
          <w:highlight w:val="none"/>
        </w:rPr>
        <w:t>微调</w:t>
      </w:r>
      <w:r>
        <w:rPr>
          <w:rFonts w:hint="eastAsia" w:ascii="仿宋" w:eastAsia="仿宋"/>
          <w:color w:val="auto"/>
          <w:kern w:val="0"/>
          <w:sz w:val="24"/>
          <w:highlight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rPr>
        <w:t>。</w:t>
      </w:r>
    </w:p>
    <w:p>
      <w:pPr>
        <w:spacing w:line="360" w:lineRule="auto"/>
        <w:rPr>
          <w:rFonts w:ascii="仿宋" w:eastAsia="仿宋"/>
          <w:b/>
          <w:bCs/>
          <w:color w:val="auto"/>
          <w:kern w:val="0"/>
          <w:sz w:val="24"/>
          <w:highlight w:val="none"/>
        </w:rPr>
      </w:pP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5</w:t>
      </w:r>
      <w:r>
        <w:rPr>
          <w:rFonts w:hint="eastAsia" w:ascii="仿宋" w:eastAsia="仿宋"/>
          <w:b/>
          <w:bCs/>
          <w:color w:val="auto"/>
          <w:kern w:val="0"/>
          <w:sz w:val="24"/>
          <w:highlight w:val="none"/>
        </w:rPr>
        <w:t>验收</w:t>
      </w:r>
    </w:p>
    <w:p>
      <w:pPr>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中标人应在合同规定时间内，将招标范围内所界定的工作完成，满足本招标文件的项目实施要求，并提供第三方专业机构出具的软件验收测评报告。</w:t>
      </w:r>
    </w:p>
    <w:p>
      <w:pPr>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rPr>
        <w:t>）进行。</w:t>
      </w:r>
    </w:p>
    <w:p>
      <w:pPr>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spacing w:line="360" w:lineRule="auto"/>
        <w:rPr>
          <w:rFonts w:ascii="仿宋" w:eastAsia="仿宋"/>
          <w:b/>
          <w:bCs/>
          <w:color w:val="auto"/>
          <w:kern w:val="0"/>
          <w:sz w:val="24"/>
          <w:highlight w:val="none"/>
        </w:rPr>
      </w:pP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6</w:t>
      </w:r>
      <w:r>
        <w:rPr>
          <w:rFonts w:hint="eastAsia" w:ascii="仿宋" w:eastAsia="仿宋"/>
          <w:b/>
          <w:bCs/>
          <w:color w:val="auto"/>
          <w:kern w:val="0"/>
          <w:sz w:val="24"/>
          <w:highlight w:val="none"/>
        </w:rPr>
        <w:t>付款方式</w:t>
      </w:r>
    </w:p>
    <w:p>
      <w:pPr>
        <w:pStyle w:val="3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ascii="仿宋" w:hAnsi="Times New Roman" w:eastAsia="仿宋"/>
          <w:color w:val="auto"/>
          <w:sz w:val="24"/>
          <w:szCs w:val="20"/>
          <w:highlight w:val="none"/>
        </w:rPr>
      </w:pPr>
      <w:r>
        <w:rPr>
          <w:rFonts w:hint="eastAsia" w:ascii="仿宋" w:hAnsi="Times New Roman" w:eastAsia="仿宋"/>
          <w:color w:val="auto"/>
          <w:sz w:val="24"/>
          <w:szCs w:val="20"/>
          <w:highlight w:val="none"/>
        </w:rPr>
        <w:t>合同签订后</w:t>
      </w:r>
      <w:r>
        <w:rPr>
          <w:rFonts w:hint="eastAsia" w:ascii="仿宋" w:eastAsia="仿宋"/>
          <w:color w:val="auto"/>
          <w:sz w:val="24"/>
          <w:highlight w:val="none"/>
        </w:rPr>
        <w:t>一个月</w:t>
      </w:r>
      <w:r>
        <w:rPr>
          <w:rFonts w:hint="eastAsia" w:ascii="仿宋" w:hAnsi="Times New Roman" w:eastAsia="仿宋"/>
          <w:color w:val="auto"/>
          <w:sz w:val="24"/>
          <w:szCs w:val="20"/>
          <w:highlight w:val="none"/>
        </w:rPr>
        <w:t>内支付合同价的40%，项目运维期满一年后支付合同价的20%，项目运维两年期满后支付合同价的20%，</w:t>
      </w:r>
      <w:r>
        <w:rPr>
          <w:rFonts w:hint="eastAsia" w:ascii="仿宋" w:eastAsia="仿宋"/>
          <w:color w:val="auto"/>
          <w:sz w:val="24"/>
          <w:highlight w:val="none"/>
        </w:rPr>
        <w:t>项目运维期满三年后付清余款</w:t>
      </w:r>
      <w:r>
        <w:rPr>
          <w:rFonts w:hint="eastAsia" w:ascii="仿宋" w:hAnsi="Times New Roman" w:eastAsia="仿宋"/>
          <w:color w:val="auto"/>
          <w:sz w:val="24"/>
          <w:szCs w:val="20"/>
          <w:highlight w:val="none"/>
        </w:rPr>
        <w:t>。</w:t>
      </w:r>
      <w:r>
        <w:rPr>
          <w:rFonts w:ascii="仿宋" w:eastAsia="仿宋"/>
          <w:color w:val="auto"/>
          <w:sz w:val="24"/>
          <w:highlight w:val="none"/>
        </w:rPr>
        <w:t>（</w:t>
      </w:r>
      <w:r>
        <w:rPr>
          <w:rFonts w:hint="eastAsia" w:ascii="仿宋" w:eastAsia="仿宋"/>
          <w:color w:val="auto"/>
          <w:sz w:val="24"/>
          <w:highlight w:val="none"/>
        </w:rPr>
        <w:t>若涉及中小微企业合同的，合同付款方式按《浙江省财政厅关于进一步发挥政府采购政策功能全力推动经济稳进提质的通知》（浙财采监〔2022〕3号）等文件要求执行，具体付款方式由双方协商后在合同中明确。</w:t>
      </w:r>
      <w:r>
        <w:rPr>
          <w:rFonts w:ascii="仿宋" w:eastAsia="仿宋"/>
          <w:color w:val="auto"/>
          <w:sz w:val="24"/>
          <w:highlight w:val="none"/>
        </w:rPr>
        <w:t>）</w:t>
      </w:r>
    </w:p>
    <w:p>
      <w:pPr>
        <w:spacing w:line="360" w:lineRule="auto"/>
        <w:rPr>
          <w:rFonts w:ascii="仿宋" w:eastAsia="仿宋"/>
          <w:b/>
          <w:bCs/>
          <w:color w:val="auto"/>
          <w:kern w:val="0"/>
          <w:sz w:val="24"/>
          <w:highlight w:val="none"/>
        </w:rPr>
      </w:pP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7</w:t>
      </w:r>
      <w:r>
        <w:rPr>
          <w:rFonts w:hint="eastAsia" w:ascii="仿宋" w:eastAsia="仿宋"/>
          <w:b/>
          <w:bCs/>
          <w:color w:val="auto"/>
          <w:kern w:val="0"/>
          <w:sz w:val="24"/>
          <w:highlight w:val="none"/>
        </w:rPr>
        <w:t>其他要求</w:t>
      </w:r>
    </w:p>
    <w:p>
      <w:pPr>
        <w:spacing w:line="360" w:lineRule="auto"/>
        <w:rPr>
          <w:rFonts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7</w:t>
      </w:r>
      <w:r>
        <w:rPr>
          <w:rFonts w:hint="eastAsia" w:ascii="仿宋" w:eastAsia="仿宋"/>
          <w:color w:val="auto"/>
          <w:kern w:val="0"/>
          <w:sz w:val="24"/>
          <w:highlight w:val="none"/>
        </w:rPr>
        <w:t>.1提供7×24小时电话或电子邮件服务，响应时间不超过1小时，一般故障24小时内恢复，重大故障1小时内响应、4小时内给出解决方案；针对特殊无法修复故障（指平台自有的技术缺陷或现有技术无法克服的故障），中标人应全力配合解决，并确保系统和数据安全。</w:t>
      </w:r>
    </w:p>
    <w:p>
      <w:pPr>
        <w:spacing w:line="360" w:lineRule="auto"/>
        <w:rPr>
          <w:rFonts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7</w:t>
      </w:r>
      <w:r>
        <w:rPr>
          <w:rFonts w:hint="eastAsia" w:ascii="仿宋" w:eastAsia="仿宋"/>
          <w:color w:val="auto"/>
          <w:kern w:val="0"/>
          <w:sz w:val="24"/>
          <w:highlight w:val="none"/>
        </w:rPr>
        <w:t>.2针对此项目，投标人需提供详细的售后服务方案，包括服务方式、服务周期、响应机制、人员安排、服务承诺等等。中标人应成立专门的售后服务小组，提供完善的售后服务。</w:t>
      </w:r>
    </w:p>
    <w:p>
      <w:pPr>
        <w:rPr>
          <w:rFonts w:ascii="仿宋"/>
          <w:color w:val="auto"/>
          <w:highlight w:val="none"/>
        </w:rPr>
      </w:pPr>
      <w:bookmarkStart w:id="43" w:name="_Toc1639"/>
      <w:r>
        <w:rPr>
          <w:rFonts w:hint="eastAsia" w:ascii="仿宋"/>
          <w:color w:val="auto"/>
          <w:highlight w:val="none"/>
        </w:rPr>
        <w:br w:type="page"/>
      </w:r>
    </w:p>
    <w:p>
      <w:pPr>
        <w:pStyle w:val="3"/>
        <w:rPr>
          <w:rFonts w:ascii="仿宋"/>
          <w:color w:val="auto"/>
          <w:highlight w:val="none"/>
        </w:rPr>
      </w:pPr>
      <w:r>
        <w:rPr>
          <w:rFonts w:hint="eastAsia" w:ascii="仿宋"/>
          <w:color w:val="auto"/>
          <w:highlight w:val="none"/>
        </w:rPr>
        <w:t>第四章  拟签订合同的主要条款</w:t>
      </w:r>
      <w:bookmarkEnd w:id="43"/>
    </w:p>
    <w:p>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pPr>
        <w:widowControl/>
        <w:numPr>
          <w:ilvl w:val="0"/>
          <w:numId w:val="6"/>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pPr>
        <w:widowControl/>
        <w:numPr>
          <w:ilvl w:val="0"/>
          <w:numId w:val="6"/>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元。[履约保证金交至采购人处，服务完成</w:t>
      </w:r>
      <w:r>
        <w:rPr>
          <w:rFonts w:ascii="仿宋" w:eastAsia="仿宋"/>
          <w:color w:val="auto"/>
          <w:kern w:val="0"/>
          <w:sz w:val="24"/>
          <w:highlight w:val="none"/>
        </w:rPr>
        <w:t>并验收通过</w:t>
      </w:r>
      <w:r>
        <w:rPr>
          <w:rFonts w:hint="eastAsia" w:ascii="仿宋" w:eastAsia="仿宋"/>
          <w:color w:val="auto"/>
          <w:kern w:val="0"/>
          <w:sz w:val="24"/>
          <w:highlight w:val="none"/>
        </w:rPr>
        <w:t>后（   ）个工作日内无息退还</w:t>
      </w:r>
      <w:r>
        <w:rPr>
          <w:rFonts w:ascii="仿宋" w:eastAsia="仿宋"/>
          <w:color w:val="auto"/>
          <w:kern w:val="0"/>
          <w:sz w:val="24"/>
          <w:highlight w:val="none"/>
        </w:rPr>
        <w:t>。</w:t>
      </w:r>
      <w:r>
        <w:rPr>
          <w:rFonts w:hint="eastAsia" w:ascii="仿宋" w:eastAsia="仿宋"/>
          <w:color w:val="auto"/>
          <w:kern w:val="0"/>
          <w:sz w:val="24"/>
          <w:highlight w:val="none"/>
        </w:rPr>
        <w:t>]</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pPr>
        <w:widowControl/>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、违约责任</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5.解除合同应向财政备案。</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、不可抗力事件处理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、诉讼</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、合同生效及其他</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pPr>
        <w:rPr>
          <w:rFonts w:ascii="仿宋"/>
          <w:color w:val="auto"/>
          <w:highlight w:val="none"/>
        </w:rPr>
      </w:pPr>
      <w:bookmarkStart w:id="44" w:name="_Toc16886"/>
      <w:r>
        <w:rPr>
          <w:rFonts w:hint="eastAsia" w:ascii="仿宋"/>
          <w:color w:val="auto"/>
          <w:highlight w:val="none"/>
        </w:rPr>
        <w:br w:type="page"/>
      </w:r>
    </w:p>
    <w:p>
      <w:pPr>
        <w:pStyle w:val="3"/>
        <w:rPr>
          <w:rFonts w:ascii="仿宋"/>
          <w:color w:val="auto"/>
          <w:highlight w:val="none"/>
        </w:rPr>
      </w:pPr>
      <w:r>
        <w:rPr>
          <w:rFonts w:hint="eastAsia" w:ascii="仿宋"/>
          <w:color w:val="auto"/>
          <w:highlight w:val="none"/>
        </w:rPr>
        <w:t>第五章  评标办法及标准</w:t>
      </w:r>
      <w:bookmarkEnd w:id="44"/>
    </w:p>
    <w:p>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1.评标方法：</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rPr>
          <w:rFonts w:ascii="仿宋" w:eastAsia="仿宋"/>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 xml:space="preserve"> 70 </w:t>
      </w:r>
      <w:r>
        <w:rPr>
          <w:rFonts w:hint="eastAsia" w:ascii="仿宋" w:eastAsia="仿宋"/>
          <w:color w:val="auto"/>
          <w:sz w:val="24"/>
          <w:highlight w:val="none"/>
        </w:rPr>
        <w:t>分，价格分</w:t>
      </w:r>
      <w:r>
        <w:rPr>
          <w:rFonts w:hint="eastAsia" w:ascii="仿宋" w:eastAsia="仿宋"/>
          <w:color w:val="auto"/>
          <w:sz w:val="24"/>
          <w:highlight w:val="none"/>
          <w:u w:val="single"/>
        </w:rPr>
        <w:t xml:space="preserve"> 30 </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商务技术分</w:t>
      </w:r>
      <w:r>
        <w:rPr>
          <w:rFonts w:hint="eastAsia" w:ascii="仿宋" w:eastAsia="仿宋"/>
          <w:b/>
          <w:bCs/>
          <w:color w:val="auto"/>
          <w:kern w:val="0"/>
          <w:sz w:val="24"/>
          <w:highlight w:val="none"/>
          <w:lang w:val="en-US" w:eastAsia="zh-CN"/>
        </w:rPr>
        <w:t>70分</w:t>
      </w:r>
      <w:r>
        <w:rPr>
          <w:rFonts w:hint="eastAsia" w:ascii="仿宋" w:eastAsia="仿宋"/>
          <w:b/>
          <w:bCs/>
          <w:color w:val="auto"/>
          <w:kern w:val="0"/>
          <w:sz w:val="24"/>
          <w:highlight w:val="none"/>
        </w:rPr>
        <w:t>：</w:t>
      </w:r>
    </w:p>
    <w:tbl>
      <w:tblPr>
        <w:tblStyle w:val="31"/>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78"/>
        <w:gridCol w:w="633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2" w:type="dxa"/>
            <w:tcBorders>
              <w:top w:val="single" w:color="auto" w:sz="4" w:space="0"/>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478" w:type="dxa"/>
            <w:tcBorders>
              <w:top w:val="single" w:color="auto" w:sz="4" w:space="0"/>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评分项</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评分细则</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2" w:type="dxa"/>
            <w:tcBorders>
              <w:top w:val="single" w:color="auto" w:sz="4" w:space="0"/>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478" w:type="dxa"/>
            <w:tcBorders>
              <w:top w:val="single" w:color="auto" w:sz="4" w:space="0"/>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商务技术</w:t>
            </w:r>
          </w:p>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满足</w:t>
            </w:r>
            <w:r>
              <w:rPr>
                <w:rFonts w:hint="eastAsia" w:ascii="仿宋" w:hAnsi="仿宋" w:eastAsia="仿宋" w:cs="仿宋"/>
                <w:color w:val="auto"/>
                <w:szCs w:val="21"/>
                <w:highlight w:val="none"/>
                <w:lang w:eastAsia="zh-CN"/>
              </w:rPr>
              <w:t>采购需求</w:t>
            </w:r>
            <w:r>
              <w:rPr>
                <w:rFonts w:hint="eastAsia" w:ascii="仿宋" w:hAnsi="仿宋" w:eastAsia="仿宋" w:cs="仿宋"/>
                <w:color w:val="auto"/>
                <w:szCs w:val="21"/>
                <w:highlight w:val="none"/>
              </w:rPr>
              <w:t>技术指标和商务要求的得28分。打“★”号的实质性指标必须满足，如有负偏离则作无效投标处理；打“▲”号的重要指标，如有负偏离，每一项扣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分，扣完为止；其余指标每负偏离一项扣0.</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分，扣完为止。</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02" w:type="dxa"/>
            <w:tcBorders>
              <w:top w:val="single" w:color="auto" w:sz="4" w:space="0"/>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478" w:type="dxa"/>
            <w:tcBorders>
              <w:top w:val="single" w:color="auto" w:sz="4" w:space="0"/>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综合技术力量</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投标人具有有效的GB/T37988-2019数据安全能力成熟度认证证书</w:t>
            </w:r>
            <w:r>
              <w:rPr>
                <w:rFonts w:hint="eastAsia" w:ascii="仿宋" w:hAnsi="仿宋" w:eastAsia="仿宋" w:cs="仿宋"/>
                <w:color w:val="auto"/>
                <w:szCs w:val="21"/>
                <w:highlight w:val="none"/>
                <w:lang w:eastAsia="zh-CN"/>
              </w:rPr>
              <w:t>或</w:t>
            </w:r>
            <w:r>
              <w:rPr>
                <w:rFonts w:hint="eastAsia" w:ascii="仿宋" w:hAnsi="仿宋" w:eastAsia="仿宋" w:cs="仿宋"/>
                <w:color w:val="auto"/>
                <w:szCs w:val="21"/>
                <w:highlight w:val="none"/>
              </w:rPr>
              <w:t>ISO/IEC 27001信息安全管理体系</w:t>
            </w:r>
            <w:r>
              <w:rPr>
                <w:rFonts w:hint="eastAsia" w:ascii="仿宋" w:hAnsi="仿宋" w:eastAsia="仿宋" w:cs="仿宋"/>
                <w:color w:val="auto"/>
                <w:szCs w:val="21"/>
                <w:highlight w:val="none"/>
                <w:lang w:eastAsia="zh-CN"/>
              </w:rPr>
              <w:t>证书或</w:t>
            </w:r>
            <w:r>
              <w:rPr>
                <w:rFonts w:hint="eastAsia" w:ascii="仿宋" w:hAnsi="仿宋" w:eastAsia="仿宋" w:cs="仿宋"/>
                <w:color w:val="auto"/>
                <w:szCs w:val="21"/>
                <w:highlight w:val="none"/>
              </w:rPr>
              <w:t>ISO/IEC</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38505数据治理符合性评价证书，</w:t>
            </w:r>
            <w:r>
              <w:rPr>
                <w:rFonts w:hint="eastAsia" w:ascii="仿宋" w:hAnsi="仿宋" w:eastAsia="仿宋" w:cs="仿宋"/>
                <w:color w:val="auto"/>
                <w:szCs w:val="21"/>
                <w:highlight w:val="none"/>
                <w:lang w:val="en-US" w:eastAsia="zh-CN"/>
              </w:rPr>
              <w:t>每提供一个证书</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最高得</w:t>
            </w:r>
            <w:r>
              <w:rPr>
                <w:rFonts w:hint="eastAsia" w:ascii="仿宋" w:hAnsi="仿宋" w:eastAsia="仿宋" w:cs="仿宋"/>
                <w:color w:val="auto"/>
                <w:szCs w:val="21"/>
                <w:highlight w:val="none"/>
                <w:lang w:val="en-US" w:eastAsia="zh-CN"/>
              </w:rPr>
              <w:t>2分。</w:t>
            </w:r>
            <w:r>
              <w:rPr>
                <w:rFonts w:hint="eastAsia" w:ascii="仿宋" w:hAnsi="仿宋" w:eastAsia="仿宋" w:cs="仿宋"/>
                <w:b/>
                <w:bCs/>
                <w:color w:val="auto"/>
                <w:szCs w:val="21"/>
                <w:highlight w:val="none"/>
              </w:rPr>
              <w:t>（以上提供证书原件扫描件或彩色图片加盖投标单位公章，没有不得分）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478" w:type="dxa"/>
            <w:tcBorders>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著作权登记</w:t>
            </w:r>
          </w:p>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w:t>
            </w:r>
          </w:p>
        </w:tc>
        <w:tc>
          <w:tcPr>
            <w:tcW w:w="6339" w:type="dxa"/>
            <w:tcBorders>
              <w:top w:val="single" w:color="auto" w:sz="4" w:space="0"/>
              <w:left w:val="single" w:color="auto" w:sz="4" w:space="0"/>
              <w:right w:val="single" w:color="auto" w:sz="4" w:space="0"/>
            </w:tcBorders>
            <w:noWrap w:val="0"/>
            <w:vAlign w:val="center"/>
          </w:tcPr>
          <w:p>
            <w:pPr>
              <w:spacing w:after="0"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投标人具有“数据交换平台系统、数据安全管理系统、模型化业务架构支撑平台系统、服务集中管理系统、统一用户管理系统、全文检索系统”相关产品著作权登记证书</w:t>
            </w:r>
            <w:r>
              <w:rPr>
                <w:rFonts w:hint="eastAsia" w:ascii="仿宋" w:hAnsi="仿宋" w:eastAsia="仿宋" w:cs="仿宋"/>
                <w:color w:val="auto"/>
                <w:szCs w:val="21"/>
                <w:highlight w:val="none"/>
                <w:lang w:eastAsia="zh-CN"/>
              </w:rPr>
              <w:t>（如名称不完全一致，但内容符合的也予认可），</w:t>
            </w:r>
            <w:r>
              <w:rPr>
                <w:rFonts w:hint="eastAsia" w:ascii="仿宋" w:hAnsi="仿宋" w:eastAsia="仿宋" w:cs="仿宋"/>
                <w:color w:val="auto"/>
                <w:szCs w:val="21"/>
                <w:highlight w:val="none"/>
              </w:rPr>
              <w:t>每提供一个证书得0.5分,最高得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b/>
                <w:bCs/>
                <w:color w:val="auto"/>
                <w:szCs w:val="21"/>
                <w:highlight w:val="none"/>
              </w:rPr>
              <w:t>（以上提供原件扫描件或彩色图片加盖投标单位公章，没有不得分）</w:t>
            </w:r>
          </w:p>
        </w:tc>
        <w:tc>
          <w:tcPr>
            <w:tcW w:w="763" w:type="dxa"/>
            <w:tcBorders>
              <w:top w:val="single" w:color="auto" w:sz="4" w:space="0"/>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02" w:type="dxa"/>
            <w:tcBorders>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478" w:type="dxa"/>
            <w:tcBorders>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业绩</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投标人自2020年1月1日至今（以合同签订时间为准）承接过数据平台建设案例，每个得1分，最高得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r>
              <w:rPr>
                <w:rFonts w:hint="eastAsia" w:ascii="仿宋" w:hAnsi="仿宋" w:eastAsia="仿宋" w:cs="仿宋"/>
                <w:b/>
                <w:bCs/>
                <w:color w:val="auto"/>
                <w:szCs w:val="21"/>
                <w:highlight w:val="none"/>
              </w:rPr>
              <w:t>（提供合同原件扫描件或彩色图片并加盖投标单位公章，没有不得分）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02" w:type="dxa"/>
            <w:vMerge w:val="restart"/>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478" w:type="dxa"/>
            <w:vMerge w:val="restart"/>
            <w:tcBorders>
              <w:left w:val="single" w:color="auto" w:sz="4" w:space="0"/>
              <w:right w:val="single" w:color="auto" w:sz="4" w:space="0"/>
            </w:tcBorders>
            <w:noWrap w:val="0"/>
            <w:vAlign w:val="center"/>
          </w:tcPr>
          <w:p>
            <w:pPr>
              <w:spacing w:after="0"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项目团队</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拟投入本项目的项目经理具有数据分析师（高级）</w:t>
            </w:r>
            <w:r>
              <w:rPr>
                <w:rFonts w:hint="eastAsia" w:ascii="仿宋" w:hAnsi="仿宋" w:eastAsia="仿宋" w:cs="仿宋"/>
                <w:color w:val="auto"/>
                <w:szCs w:val="21"/>
                <w:highlight w:val="none"/>
                <w:lang w:eastAsia="zh-CN"/>
              </w:rPr>
              <w:t>或</w:t>
            </w:r>
            <w:r>
              <w:rPr>
                <w:rFonts w:hint="eastAsia" w:ascii="仿宋" w:hAnsi="仿宋" w:eastAsia="仿宋" w:cs="仿宋"/>
                <w:color w:val="auto"/>
                <w:szCs w:val="21"/>
                <w:highlight w:val="none"/>
              </w:rPr>
              <w:t>高级工程师（</w:t>
            </w:r>
            <w:r>
              <w:rPr>
                <w:rFonts w:hint="eastAsia" w:ascii="仿宋" w:hAnsi="仿宋" w:eastAsia="仿宋" w:cs="仿宋"/>
                <w:color w:val="auto"/>
                <w:szCs w:val="21"/>
                <w:highlight w:val="none"/>
                <w:lang w:eastAsia="zh-CN"/>
              </w:rPr>
              <w:t>软件类</w:t>
            </w:r>
            <w:r>
              <w:rPr>
                <w:rFonts w:hint="eastAsia" w:ascii="仿宋" w:hAnsi="仿宋" w:eastAsia="仿宋" w:cs="仿宋"/>
                <w:color w:val="auto"/>
                <w:szCs w:val="21"/>
                <w:highlight w:val="none"/>
              </w:rPr>
              <w:t>专业）</w:t>
            </w:r>
            <w:r>
              <w:rPr>
                <w:rFonts w:hint="eastAsia" w:ascii="仿宋" w:hAnsi="仿宋" w:eastAsia="仿宋" w:cs="仿宋"/>
                <w:color w:val="auto"/>
                <w:szCs w:val="21"/>
                <w:highlight w:val="none"/>
                <w:lang w:eastAsia="zh-CN"/>
              </w:rPr>
              <w:t>或</w:t>
            </w:r>
            <w:r>
              <w:rPr>
                <w:rFonts w:hint="eastAsia" w:ascii="仿宋" w:hAnsi="仿宋" w:eastAsia="仿宋" w:cs="仿宋"/>
                <w:color w:val="auto"/>
                <w:szCs w:val="21"/>
                <w:highlight w:val="none"/>
              </w:rPr>
              <w:t>云计算架构师</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分，最高得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p>
          <w:p>
            <w:pPr>
              <w:spacing w:after="0" w:line="240"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（提供资质证明和缴费期限包含2024年</w:t>
            </w:r>
            <w:r>
              <w:rPr>
                <w:rFonts w:hint="eastAsia" w:ascii="仿宋" w:hAnsi="仿宋" w:eastAsia="仿宋" w:cs="仿宋"/>
                <w:b/>
                <w:bCs/>
                <w:color w:val="auto"/>
                <w:szCs w:val="21"/>
                <w:highlight w:val="none"/>
                <w:lang w:val="en-US" w:eastAsia="zh-CN"/>
              </w:rPr>
              <w:t>8</w:t>
            </w:r>
            <w:r>
              <w:rPr>
                <w:rFonts w:hint="eastAsia" w:ascii="仿宋" w:hAnsi="仿宋" w:eastAsia="仿宋" w:cs="仿宋"/>
                <w:b/>
                <w:bCs/>
                <w:color w:val="auto"/>
                <w:szCs w:val="21"/>
                <w:highlight w:val="none"/>
              </w:rPr>
              <w:t>月至2024年</w:t>
            </w:r>
            <w:r>
              <w:rPr>
                <w:rFonts w:hint="eastAsia" w:ascii="仿宋" w:hAnsi="仿宋" w:eastAsia="仿宋" w:cs="仿宋"/>
                <w:b/>
                <w:bCs/>
                <w:color w:val="auto"/>
                <w:szCs w:val="21"/>
                <w:highlight w:val="none"/>
                <w:lang w:val="en-US" w:eastAsia="zh-CN"/>
              </w:rPr>
              <w:t>10</w:t>
            </w:r>
            <w:r>
              <w:rPr>
                <w:rFonts w:hint="eastAsia" w:ascii="仿宋" w:hAnsi="仿宋" w:eastAsia="仿宋" w:cs="仿宋"/>
                <w:b/>
                <w:bCs/>
                <w:color w:val="auto"/>
                <w:szCs w:val="21"/>
                <w:highlight w:val="none"/>
              </w:rPr>
              <w:t>月的本单位社保证明，否则不得分）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702" w:type="dxa"/>
            <w:vMerge w:val="continue"/>
            <w:tcBorders>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p>
        </w:tc>
        <w:tc>
          <w:tcPr>
            <w:tcW w:w="1478" w:type="dxa"/>
            <w:vMerge w:val="continue"/>
            <w:tcBorders>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p>
        </w:tc>
        <w:tc>
          <w:tcPr>
            <w:tcW w:w="633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项目团队（除项目经理外）情况：</w:t>
            </w:r>
          </w:p>
          <w:p>
            <w:pPr>
              <w:numPr>
                <w:ilvl w:val="0"/>
                <w:numId w:val="7"/>
              </w:numPr>
              <w:spacing w:after="0"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项目团体成员中具有软件类的高级系统分析师</w:t>
            </w:r>
            <w:r>
              <w:rPr>
                <w:rFonts w:hint="eastAsia" w:ascii="仿宋" w:hAnsi="仿宋" w:eastAsia="仿宋" w:cs="仿宋"/>
                <w:color w:val="auto"/>
                <w:szCs w:val="21"/>
                <w:highlight w:val="none"/>
                <w:lang w:eastAsia="zh-CN"/>
              </w:rPr>
              <w:t>或</w:t>
            </w:r>
            <w:r>
              <w:rPr>
                <w:rFonts w:hint="eastAsia" w:ascii="仿宋" w:hAnsi="仿宋" w:eastAsia="仿宋" w:cs="仿宋"/>
                <w:color w:val="auto"/>
                <w:szCs w:val="21"/>
                <w:highlight w:val="none"/>
              </w:rPr>
              <w:t>CISAW</w:t>
            </w:r>
            <w:r>
              <w:rPr>
                <w:rFonts w:hint="eastAsia" w:ascii="仿宋" w:hAnsi="仿宋" w:eastAsia="仿宋" w:cs="仿宋"/>
                <w:color w:val="auto"/>
                <w:szCs w:val="21"/>
                <w:highlight w:val="none"/>
                <w:lang w:eastAsia="zh-CN"/>
              </w:rPr>
              <w:t>或高级工程师（软件类</w:t>
            </w:r>
            <w:r>
              <w:rPr>
                <w:rFonts w:hint="eastAsia" w:ascii="仿宋" w:hAnsi="仿宋" w:eastAsia="仿宋" w:cs="仿宋"/>
                <w:color w:val="auto"/>
                <w:szCs w:val="21"/>
                <w:highlight w:val="none"/>
              </w:rPr>
              <w:t>专业</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p>
          <w:p>
            <w:pPr>
              <w:numPr>
                <w:ilvl w:val="0"/>
                <w:numId w:val="7"/>
              </w:numPr>
              <w:spacing w:after="0"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项目团体成员中具有软件类高级工程师的每提供一个得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分，具有软件类中级工程师的每提供一个得</w:t>
            </w:r>
            <w:r>
              <w:rPr>
                <w:rFonts w:hint="eastAsia" w:ascii="仿宋" w:hAnsi="仿宋" w:eastAsia="仿宋" w:cs="仿宋"/>
                <w:color w:val="auto"/>
                <w:szCs w:val="21"/>
                <w:highlight w:val="none"/>
                <w:lang w:val="en-US" w:eastAsia="zh-CN"/>
              </w:rPr>
              <w:t>0.25</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本项最多计两本证书，</w:t>
            </w:r>
            <w:r>
              <w:rPr>
                <w:rFonts w:hint="eastAsia" w:ascii="仿宋" w:hAnsi="仿宋" w:eastAsia="仿宋" w:cs="仿宋"/>
                <w:color w:val="auto"/>
                <w:szCs w:val="21"/>
                <w:highlight w:val="none"/>
              </w:rPr>
              <w:t>最高得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w:t>
            </w:r>
          </w:p>
          <w:p>
            <w:pPr>
              <w:spacing w:after="0" w:line="240"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（提供人员资质证明和缴费期限包含2024年</w:t>
            </w:r>
            <w:r>
              <w:rPr>
                <w:rFonts w:hint="eastAsia" w:ascii="仿宋" w:hAnsi="仿宋" w:eastAsia="仿宋" w:cs="仿宋"/>
                <w:b/>
                <w:bCs/>
                <w:color w:val="auto"/>
                <w:szCs w:val="21"/>
                <w:highlight w:val="none"/>
                <w:lang w:val="en-US" w:eastAsia="zh-CN"/>
              </w:rPr>
              <w:t>8</w:t>
            </w:r>
            <w:r>
              <w:rPr>
                <w:rFonts w:hint="eastAsia" w:ascii="仿宋" w:hAnsi="仿宋" w:eastAsia="仿宋" w:cs="仿宋"/>
                <w:b/>
                <w:bCs/>
                <w:color w:val="auto"/>
                <w:szCs w:val="21"/>
                <w:highlight w:val="none"/>
              </w:rPr>
              <w:t>月至2024年</w:t>
            </w:r>
            <w:r>
              <w:rPr>
                <w:rFonts w:hint="eastAsia" w:ascii="仿宋" w:hAnsi="仿宋" w:eastAsia="仿宋" w:cs="仿宋"/>
                <w:b/>
                <w:bCs/>
                <w:color w:val="auto"/>
                <w:szCs w:val="21"/>
                <w:highlight w:val="none"/>
                <w:lang w:val="en-US" w:eastAsia="zh-CN"/>
              </w:rPr>
              <w:t>10</w:t>
            </w:r>
            <w:r>
              <w:rPr>
                <w:rFonts w:hint="eastAsia" w:ascii="仿宋" w:hAnsi="仿宋" w:eastAsia="仿宋" w:cs="仿宋"/>
                <w:b/>
                <w:bCs/>
                <w:color w:val="auto"/>
                <w:szCs w:val="21"/>
                <w:highlight w:val="none"/>
              </w:rPr>
              <w:t>月的本单位社保证明，否则不得分）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02" w:type="dxa"/>
            <w:vMerge w:val="restart"/>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1478" w:type="dxa"/>
            <w:vMerge w:val="restart"/>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项目技术方案</w:t>
            </w:r>
          </w:p>
        </w:tc>
        <w:tc>
          <w:tcPr>
            <w:tcW w:w="6339" w:type="dxa"/>
            <w:tcBorders>
              <w:top w:val="single" w:color="auto" w:sz="4" w:space="0"/>
              <w:left w:val="single" w:color="auto" w:sz="4" w:space="0"/>
              <w:right w:val="single" w:color="auto" w:sz="4" w:space="0"/>
            </w:tcBorders>
            <w:shd w:val="clear" w:color="auto" w:fill="auto"/>
            <w:noWrap w:val="0"/>
            <w:vAlign w:val="center"/>
          </w:tcPr>
          <w:p>
            <w:pPr>
              <w:spacing w:after="0"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系统整体功能和性能方案：方案内容详实、科学合理、逻辑缜密，具有针对性、可实施性强的得3.1-4分；方案内容基本合理，针对性、可实施性一般的得1.6-3分；方案不够科学合理，针对性或可实施性差得0-1.5分；未提供相关描述不得分。</w:t>
            </w:r>
          </w:p>
        </w:tc>
        <w:tc>
          <w:tcPr>
            <w:tcW w:w="763" w:type="dxa"/>
            <w:tcBorders>
              <w:left w:val="single" w:color="auto" w:sz="4" w:space="0"/>
              <w:right w:val="single" w:color="auto" w:sz="4" w:space="0"/>
            </w:tcBorders>
            <w:shd w:val="clear" w:color="auto" w:fill="auto"/>
            <w:noWrap w:val="0"/>
            <w:vAlign w:val="center"/>
          </w:tcPr>
          <w:p>
            <w:pPr>
              <w:spacing w:after="0"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p>
        </w:tc>
        <w:tc>
          <w:tcPr>
            <w:tcW w:w="1478" w:type="dxa"/>
            <w:vMerge w:val="continue"/>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p>
        </w:tc>
        <w:tc>
          <w:tcPr>
            <w:tcW w:w="6339" w:type="dxa"/>
            <w:tcBorders>
              <w:top w:val="single" w:color="auto" w:sz="4" w:space="0"/>
              <w:left w:val="single" w:color="auto" w:sz="4" w:space="0"/>
              <w:right w:val="single" w:color="auto" w:sz="4" w:space="0"/>
            </w:tcBorders>
            <w:noWrap w:val="0"/>
            <w:vAlign w:val="center"/>
          </w:tcPr>
          <w:p>
            <w:pPr>
              <w:spacing w:after="0"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平台运维方案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信创运维方案</w:t>
            </w:r>
            <w:r>
              <w:rPr>
                <w:rFonts w:hint="eastAsia" w:ascii="仿宋" w:hAnsi="仿宋" w:eastAsia="仿宋" w:cs="仿宋"/>
                <w:color w:val="auto"/>
                <w:szCs w:val="21"/>
                <w:highlight w:val="none"/>
                <w:lang w:val="en-US" w:eastAsia="zh-CN"/>
              </w:rPr>
              <w:t>需单独描述)</w:t>
            </w:r>
            <w:r>
              <w:rPr>
                <w:rFonts w:hint="eastAsia" w:ascii="仿宋" w:hAnsi="仿宋" w:eastAsia="仿宋" w:cs="仿宋"/>
                <w:color w:val="auto"/>
                <w:szCs w:val="21"/>
                <w:highlight w:val="none"/>
              </w:rPr>
              <w:t>：方案内容科学合理，针对性、可实施性强的得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分；方案内容基本合理，针对性、可实施性一般的得</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分；方案不够科学合理，针对性或可实施性差得0-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分；未提供相关描述不得分。</w:t>
            </w:r>
          </w:p>
        </w:tc>
        <w:tc>
          <w:tcPr>
            <w:tcW w:w="763" w:type="dxa"/>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p>
        </w:tc>
        <w:tc>
          <w:tcPr>
            <w:tcW w:w="1478" w:type="dxa"/>
            <w:vMerge w:val="continue"/>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p>
        </w:tc>
        <w:tc>
          <w:tcPr>
            <w:tcW w:w="6339" w:type="dxa"/>
            <w:tcBorders>
              <w:top w:val="single" w:color="auto" w:sz="4" w:space="0"/>
              <w:left w:val="single" w:color="auto" w:sz="4" w:space="0"/>
              <w:right w:val="single" w:color="auto" w:sz="4" w:space="0"/>
            </w:tcBorders>
            <w:noWrap w:val="0"/>
            <w:vAlign w:val="center"/>
          </w:tcPr>
          <w:p>
            <w:pPr>
              <w:spacing w:after="0"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系统数据管理方案：对本项目数据对接、数据交换和采集方案、功能设计等方案进行评分，方案内容详实、科学合理、逻辑缜密，具有针对性、可实施性强的得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分；方案内容基本合理，针对性、可实施性一般的得</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分；方案不够科学合理，针对性或可实施性差得0-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分；未提供相关描述不得分。</w:t>
            </w:r>
          </w:p>
        </w:tc>
        <w:tc>
          <w:tcPr>
            <w:tcW w:w="763" w:type="dxa"/>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p>
        </w:tc>
        <w:tc>
          <w:tcPr>
            <w:tcW w:w="1478" w:type="dxa"/>
            <w:vMerge w:val="continue"/>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p>
        </w:tc>
        <w:tc>
          <w:tcPr>
            <w:tcW w:w="6339" w:type="dxa"/>
            <w:tcBorders>
              <w:top w:val="single" w:color="auto" w:sz="4" w:space="0"/>
              <w:left w:val="single" w:color="auto" w:sz="4" w:space="0"/>
              <w:right w:val="single" w:color="auto" w:sz="4" w:space="0"/>
            </w:tcBorders>
            <w:noWrap w:val="0"/>
            <w:vAlign w:val="center"/>
          </w:tcPr>
          <w:p>
            <w:pPr>
              <w:spacing w:after="0"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系统及数据安全方案：应符合浙江省政务系统关于数据加密、存储、脱敏的标准：方案能详细阐述安全架构设计、人员保密配置、网络安全培训、护网行动+攻防演练响应能力的，得2.6-5分；方案能基本阐述安全架构设计、人员保密配置、网络安全培训、护网行动+攻防演练响应能力的，得0-2.5分；方案无法阐述安全架构设计、人员保密配置、网络安全培训、护网行动+攻防演练响应能力的，不得分。</w:t>
            </w:r>
          </w:p>
        </w:tc>
        <w:tc>
          <w:tcPr>
            <w:tcW w:w="763" w:type="dxa"/>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702" w:type="dxa"/>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1478" w:type="dxa"/>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项目实施方案</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1.投标人提供严密的、具有逻辑性、成熟的实施方法，清晰定义项目实施各环节的任务和过程交付成果。根据材料情况，由专家进行综合评审。（0-1分）</w:t>
            </w:r>
          </w:p>
          <w:p>
            <w:pPr>
              <w:spacing w:after="0"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2.投标人须在项目实施过程中对项目实施团队进行严格要求，具备实施人员绩效考核体系。根据材料情况，由专家进行综合评审。（0-1分）</w:t>
            </w:r>
          </w:p>
          <w:p>
            <w:pPr>
              <w:spacing w:after="0"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3.投标人须提供项目质量管理和文档管理（包含开发质量、文档规范、测试质量等）方案，对项目质量具备可行有效的管理方法和控制手段。根据材料情况，由专家进行综合评审。（0-1分）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02" w:type="dxa"/>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1478" w:type="dxa"/>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信创云</w:t>
            </w:r>
            <w:r>
              <w:rPr>
                <w:rFonts w:hint="eastAsia" w:ascii="仿宋" w:hAnsi="仿宋" w:eastAsia="仿宋" w:cs="仿宋"/>
                <w:color w:val="auto"/>
                <w:szCs w:val="21"/>
                <w:highlight w:val="none"/>
                <w:lang w:eastAsia="zh-CN"/>
              </w:rPr>
              <w:t>适配</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投标人详细阐述信创适配及信创实施方案，根据适配实施方案合理性、科学性进行综合评分，内容完整、切实可行、思路清晰的得</w:t>
            </w:r>
            <w:r>
              <w:rPr>
                <w:rFonts w:hint="eastAsia" w:ascii="仿宋" w:hAnsi="仿宋" w:eastAsia="仿宋" w:cs="仿宋"/>
                <w:color w:val="auto"/>
                <w:szCs w:val="21"/>
                <w:highlight w:val="none"/>
                <w:lang w:val="en-US" w:eastAsia="zh-CN"/>
              </w:rPr>
              <w:t>4.1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分，分析方案一般、未全面得</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分，分析存在不足、简单得0-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分，未提供相关描述不得分。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02" w:type="dxa"/>
            <w:tcBorders>
              <w:left w:val="single" w:color="auto" w:sz="4" w:space="0"/>
              <w:right w:val="single" w:color="auto" w:sz="4" w:space="0"/>
            </w:tcBorders>
            <w:noWrap w:val="0"/>
            <w:vAlign w:val="center"/>
          </w:tcPr>
          <w:p>
            <w:pPr>
              <w:spacing w:after="0"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478" w:type="dxa"/>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售后服务</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Cs w:val="21"/>
                <w:highlight w:val="none"/>
                <w:lang w:val="zh-CN"/>
              </w:rPr>
              <w:t>投标人须提供完整、可靠的售后服务方案，包括售后服务技术和维护能力、升级服务、对故障的响应、解决问题的方案、维护人员和服务机构的设立情况、对用户系统突发事件的应急措施、</w:t>
            </w:r>
            <w:r>
              <w:rPr>
                <w:rFonts w:hint="eastAsia" w:ascii="仿宋" w:hAnsi="仿宋" w:eastAsia="仿宋" w:cs="仿宋"/>
                <w:color w:val="auto"/>
                <w:szCs w:val="21"/>
                <w:highlight w:val="none"/>
              </w:rPr>
              <w:t>售后服务承诺等</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方案内容详实、科学合理、可实施性强的得2.1-3分；方案内容基本合理，可实施性一般的得1.1-2分；方案不够科学合理，可实施性差得0-1分；未提供相关描述不得分。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02" w:type="dxa"/>
            <w:tcBorders>
              <w:left w:val="single" w:color="auto" w:sz="4" w:space="0"/>
              <w:right w:val="single" w:color="auto" w:sz="4" w:space="0"/>
            </w:tcBorders>
            <w:noWrap w:val="0"/>
            <w:vAlign w:val="center"/>
          </w:tcPr>
          <w:p>
            <w:pPr>
              <w:spacing w:after="0" w:line="240" w:lineRule="auto"/>
              <w:jc w:val="center"/>
              <w:rPr>
                <w:rFonts w:hint="default" w:ascii="仿宋" w:hAnsi="仿宋" w:eastAsia="仿宋" w:cs="仿宋"/>
                <w:strike w:val="0"/>
                <w:dstrike w:val="0"/>
                <w:color w:val="auto"/>
                <w:szCs w:val="21"/>
                <w:highlight w:val="none"/>
                <w:lang w:val="en-US" w:eastAsia="zh-CN"/>
              </w:rPr>
            </w:pPr>
            <w:r>
              <w:rPr>
                <w:rFonts w:hint="eastAsia" w:ascii="仿宋" w:hAnsi="仿宋" w:eastAsia="仿宋" w:cs="仿宋"/>
                <w:strike w:val="0"/>
                <w:dstrike w:val="0"/>
                <w:color w:val="auto"/>
                <w:szCs w:val="21"/>
                <w:highlight w:val="none"/>
                <w:lang w:val="en-US" w:eastAsia="zh-CN"/>
              </w:rPr>
              <w:t>10</w:t>
            </w:r>
          </w:p>
        </w:tc>
        <w:tc>
          <w:tcPr>
            <w:tcW w:w="1478" w:type="dxa"/>
            <w:tcBorders>
              <w:left w:val="single" w:color="auto" w:sz="4" w:space="0"/>
              <w:right w:val="single" w:color="auto" w:sz="4" w:space="0"/>
            </w:tcBorders>
            <w:noWrap w:val="0"/>
            <w:vAlign w:val="center"/>
          </w:tcPr>
          <w:p>
            <w:pPr>
              <w:spacing w:after="0" w:line="240" w:lineRule="auto"/>
              <w:jc w:val="center"/>
              <w:rPr>
                <w:rFonts w:hint="eastAsia" w:ascii="仿宋" w:hAnsi="仿宋" w:eastAsia="仿宋" w:cs="仿宋"/>
                <w:strike w:val="0"/>
                <w:dstrike w:val="0"/>
                <w:color w:val="auto"/>
                <w:kern w:val="2"/>
                <w:sz w:val="21"/>
                <w:szCs w:val="21"/>
                <w:highlight w:val="none"/>
                <w:lang w:val="en-US" w:eastAsia="zh-CN" w:bidi="ar-SA"/>
              </w:rPr>
            </w:pPr>
            <w:r>
              <w:rPr>
                <w:rFonts w:hint="eastAsia" w:ascii="仿宋" w:hAnsi="仿宋" w:eastAsia="仿宋" w:cs="仿宋"/>
                <w:strike w:val="0"/>
                <w:dstrike w:val="0"/>
                <w:color w:val="auto"/>
                <w:szCs w:val="21"/>
                <w:highlight w:val="none"/>
              </w:rPr>
              <w:t>运营服务</w:t>
            </w:r>
          </w:p>
        </w:tc>
        <w:tc>
          <w:tcPr>
            <w:tcW w:w="6339"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hint="eastAsia" w:ascii="仿宋" w:hAnsi="仿宋" w:eastAsia="仿宋" w:cs="仿宋"/>
                <w:strike w:val="0"/>
                <w:dstrike w:val="0"/>
                <w:color w:val="auto"/>
                <w:kern w:val="2"/>
                <w:sz w:val="21"/>
                <w:szCs w:val="21"/>
                <w:highlight w:val="none"/>
                <w:lang w:val="zh-CN" w:eastAsia="zh-CN" w:bidi="ar-SA"/>
              </w:rPr>
            </w:pPr>
            <w:r>
              <w:rPr>
                <w:rFonts w:hint="eastAsia" w:ascii="仿宋" w:hAnsi="仿宋" w:eastAsia="仿宋" w:cs="仿宋"/>
                <w:strike w:val="0"/>
                <w:dstrike w:val="0"/>
                <w:color w:val="auto"/>
                <w:szCs w:val="21"/>
                <w:highlight w:val="none"/>
                <w:lang w:val="zh-CN"/>
              </w:rPr>
              <w:t>投标人须提供完整、可靠的运营服务方案，包括运营团队工作人员名单、运营团队综合能力等。</w:t>
            </w:r>
            <w:r>
              <w:rPr>
                <w:rFonts w:hint="eastAsia" w:ascii="仿宋" w:hAnsi="仿宋" w:eastAsia="仿宋" w:cs="仿宋"/>
                <w:strike w:val="0"/>
                <w:dstrike w:val="0"/>
                <w:color w:val="auto"/>
                <w:szCs w:val="21"/>
                <w:highlight w:val="none"/>
              </w:rPr>
              <w:t>方案内容详实、科学合理、可实施性强的得</w:t>
            </w:r>
            <w:r>
              <w:rPr>
                <w:rFonts w:hint="eastAsia" w:ascii="仿宋" w:hAnsi="仿宋" w:eastAsia="仿宋" w:cs="仿宋"/>
                <w:color w:val="auto"/>
                <w:szCs w:val="21"/>
                <w:highlight w:val="none"/>
              </w:rPr>
              <w:t>2.1-3</w:t>
            </w:r>
            <w:r>
              <w:rPr>
                <w:rFonts w:hint="eastAsia" w:ascii="仿宋" w:hAnsi="仿宋" w:eastAsia="仿宋" w:cs="仿宋"/>
                <w:strike w:val="0"/>
                <w:dstrike w:val="0"/>
                <w:color w:val="auto"/>
                <w:szCs w:val="21"/>
                <w:highlight w:val="none"/>
              </w:rPr>
              <w:t>分；方案内容基本合理，可实施性一般的得</w:t>
            </w:r>
            <w:r>
              <w:rPr>
                <w:rFonts w:hint="eastAsia" w:ascii="仿宋" w:hAnsi="仿宋" w:eastAsia="仿宋" w:cs="仿宋"/>
                <w:color w:val="auto"/>
                <w:szCs w:val="21"/>
                <w:highlight w:val="none"/>
              </w:rPr>
              <w:t>1.1-2</w:t>
            </w:r>
            <w:r>
              <w:rPr>
                <w:rFonts w:hint="eastAsia" w:ascii="仿宋" w:hAnsi="仿宋" w:eastAsia="仿宋" w:cs="仿宋"/>
                <w:strike w:val="0"/>
                <w:dstrike w:val="0"/>
                <w:color w:val="auto"/>
                <w:szCs w:val="21"/>
                <w:highlight w:val="none"/>
              </w:rPr>
              <w:t>分；方案不够科学合理，可实施性差得0-</w:t>
            </w:r>
            <w:r>
              <w:rPr>
                <w:rFonts w:hint="eastAsia" w:ascii="仿宋" w:hAnsi="仿宋" w:eastAsia="仿宋" w:cs="仿宋"/>
                <w:strike w:val="0"/>
                <w:dstrike w:val="0"/>
                <w:color w:val="auto"/>
                <w:szCs w:val="21"/>
                <w:highlight w:val="none"/>
                <w:lang w:val="en-US" w:eastAsia="zh-CN"/>
              </w:rPr>
              <w:t>1</w:t>
            </w:r>
            <w:r>
              <w:rPr>
                <w:rFonts w:hint="eastAsia" w:ascii="仿宋" w:hAnsi="仿宋" w:eastAsia="仿宋" w:cs="仿宋"/>
                <w:strike w:val="0"/>
                <w:dstrike w:val="0"/>
                <w:color w:val="auto"/>
                <w:szCs w:val="21"/>
                <w:highlight w:val="none"/>
              </w:rPr>
              <w:t>分；未提供相关描述不得分。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hint="eastAsia" w:ascii="仿宋" w:hAnsi="仿宋" w:eastAsia="仿宋" w:cs="仿宋"/>
                <w:strike w:val="0"/>
                <w:dstrike w:val="0"/>
                <w:color w:val="auto"/>
                <w:kern w:val="2"/>
                <w:sz w:val="21"/>
                <w:szCs w:val="21"/>
                <w:highlight w:val="none"/>
                <w:lang w:val="en-US" w:eastAsia="zh-CN" w:bidi="ar-SA"/>
              </w:rPr>
            </w:pPr>
            <w:r>
              <w:rPr>
                <w:rFonts w:hint="eastAsia" w:ascii="仿宋" w:hAnsi="仿宋" w:eastAsia="仿宋" w:cs="仿宋"/>
                <w:strike w:val="0"/>
                <w:dstrike w:val="0"/>
                <w:color w:val="auto"/>
                <w:szCs w:val="21"/>
                <w:highlight w:val="none"/>
                <w:lang w:val="en-US" w:eastAsia="zh-CN"/>
              </w:rPr>
              <w:t>3</w:t>
            </w:r>
          </w:p>
        </w:tc>
      </w:tr>
    </w:tbl>
    <w:p>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pPr>
        <w:spacing w:line="44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pPr>
        <w:spacing w:line="38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38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pacing w:line="380" w:lineRule="exact"/>
        <w:rPr>
          <w:rFonts w:ascii="仿宋"/>
          <w:color w:val="auto"/>
          <w:highlight w:val="non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 xml:space="preserve"> 30 </w:t>
      </w:r>
      <w:bookmarkStart w:id="45" w:name="_Toc8345"/>
    </w:p>
    <w:p>
      <w:pPr>
        <w:rPr>
          <w:rFonts w:hint="eastAsia" w:ascii="仿宋"/>
          <w:color w:val="auto"/>
          <w:highlight w:val="none"/>
        </w:rPr>
      </w:pPr>
      <w:r>
        <w:rPr>
          <w:rFonts w:hint="eastAsia" w:ascii="仿宋"/>
          <w:color w:val="auto"/>
          <w:highlight w:val="none"/>
        </w:rPr>
        <w:br w:type="page"/>
      </w:r>
    </w:p>
    <w:p>
      <w:pPr>
        <w:pStyle w:val="3"/>
        <w:rPr>
          <w:rFonts w:ascii="仿宋"/>
          <w:color w:val="auto"/>
          <w:highlight w:val="none"/>
        </w:rPr>
      </w:pPr>
      <w:r>
        <w:rPr>
          <w:rFonts w:hint="eastAsia" w:ascii="仿宋"/>
          <w:color w:val="auto"/>
          <w:highlight w:val="none"/>
        </w:rPr>
        <w:t>第六章  投标文件格式附件</w:t>
      </w:r>
      <w:bookmarkEnd w:id="45"/>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ascii="仿宋" w:eastAsia="仿宋"/>
          <w:b/>
          <w:color w:val="auto"/>
          <w:sz w:val="30"/>
          <w:szCs w:val="30"/>
          <w:highlight w:val="none"/>
        </w:rPr>
      </w:pP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ascii="仿宋" w:eastAsia="仿宋"/>
          <w:color w:val="auto"/>
          <w:sz w:val="36"/>
          <w:szCs w:val="36"/>
          <w:highlight w:val="none"/>
        </w:rPr>
      </w:pP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ascii="仿宋" w:eastAsia="仿宋"/>
          <w:b/>
          <w:bCs/>
          <w:color w:val="auto"/>
          <w:sz w:val="30"/>
          <w:szCs w:val="30"/>
          <w:highlight w:val="none"/>
        </w:rPr>
      </w:pPr>
      <w:r>
        <w:rPr>
          <w:rFonts w:hint="eastAsia" w:ascii="仿宋" w:eastAsia="仿宋"/>
          <w:b/>
          <w:bCs/>
          <w:color w:val="auto"/>
          <w:sz w:val="30"/>
          <w:szCs w:val="30"/>
          <w:highlight w:val="none"/>
        </w:rPr>
        <w:br w:type="page"/>
      </w: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3.分包意向协议（如有）………………………………………………………（页码）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4.法定代表人授权委托书……………………………………………………（页码）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5.法定代表人及其授权代表身份证…………………………………………（页码）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6.资格条件证明材料</w:t>
      </w:r>
    </w:p>
    <w:p>
      <w:pPr>
        <w:pStyle w:val="46"/>
        <w:spacing w:line="360" w:lineRule="auto"/>
        <w:ind w:firstLine="240" w:firstLineChars="100"/>
        <w:jc w:val="left"/>
        <w:rPr>
          <w:rFonts w:ascii="仿宋" w:eastAsia="仿宋" w:cs="仿宋_GB2312"/>
          <w:color w:val="auto"/>
          <w:highlight w:val="none"/>
        </w:rPr>
      </w:pPr>
      <w:bookmarkStart w:id="47" w:name="_Toc64369787"/>
      <w:r>
        <w:rPr>
          <w:rFonts w:hint="eastAsia" w:ascii="仿宋" w:eastAsia="仿宋" w:cs="仿宋_GB2312"/>
          <w:color w:val="auto"/>
          <w:highlight w:val="none"/>
        </w:rPr>
        <w:t>6.1营业执照(或事业法人登记证书)………………………………………（页码）</w:t>
      </w:r>
      <w:bookmarkEnd w:id="47"/>
    </w:p>
    <w:p>
      <w:pPr>
        <w:pStyle w:val="46"/>
        <w:spacing w:line="360" w:lineRule="auto"/>
        <w:ind w:firstLine="240" w:firstLineChars="100"/>
        <w:jc w:val="left"/>
        <w:rPr>
          <w:rFonts w:ascii="仿宋" w:eastAsia="仿宋" w:cs="仿宋_GB2312"/>
          <w:color w:val="auto"/>
          <w:highlight w:val="none"/>
        </w:rPr>
      </w:pPr>
      <w:r>
        <w:rPr>
          <w:rFonts w:hint="eastAsia" w:ascii="仿宋" w:eastAsia="仿宋" w:cs="仿宋_GB2312"/>
          <w:color w:val="auto"/>
          <w:highlight w:val="none"/>
        </w:rPr>
        <w:t>6.2</w:t>
      </w:r>
      <w:bookmarkStart w:id="48" w:name="_Toc64369788"/>
      <w:r>
        <w:rPr>
          <w:rFonts w:hint="eastAsia" w:ascii="仿宋" w:eastAsia="仿宋" w:cs="仿宋_GB2312"/>
          <w:color w:val="auto"/>
          <w:highlight w:val="none"/>
        </w:rPr>
        <w:t>特定资格条件的有关证明材料（如有）………………………………（页码）</w:t>
      </w:r>
      <w:bookmarkEnd w:id="48"/>
    </w:p>
    <w:p>
      <w:pPr>
        <w:spacing w:line="360" w:lineRule="auto"/>
        <w:jc w:val="left"/>
        <w:rPr>
          <w:rFonts w:ascii="仿宋" w:eastAsia="仿宋" w:cs="仿宋_GB2312"/>
          <w:b/>
          <w:bCs/>
          <w:color w:val="auto"/>
          <w:sz w:val="24"/>
          <w:highlight w:val="none"/>
        </w:rPr>
      </w:pPr>
    </w:p>
    <w:p>
      <w:pPr>
        <w:spacing w:line="360" w:lineRule="auto"/>
        <w:jc w:val="left"/>
        <w:rPr>
          <w:rFonts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41"/>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41"/>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41"/>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8"/>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41"/>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41"/>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41"/>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41"/>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41"/>
        <w:spacing w:afterLines="0" w:line="440" w:lineRule="exact"/>
        <w:ind w:firstLine="480"/>
        <w:rPr>
          <w:rFonts w:ascii="仿宋" w:eastAsia="仿宋"/>
          <w:color w:val="auto"/>
          <w:szCs w:val="24"/>
          <w:highlight w:val="none"/>
        </w:rPr>
      </w:pPr>
    </w:p>
    <w:p>
      <w:pPr>
        <w:pStyle w:val="41"/>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法定代表人或其授权代表（签字或盖章）：</w:t>
      </w:r>
    </w:p>
    <w:p>
      <w:pPr>
        <w:pStyle w:val="41"/>
        <w:spacing w:afterLines="0" w:line="440" w:lineRule="exact"/>
        <w:ind w:firstLine="480"/>
        <w:rPr>
          <w:rFonts w:ascii="仿宋" w:eastAsia="仿宋"/>
          <w:color w:val="auto"/>
          <w:szCs w:val="24"/>
          <w:highlight w:val="none"/>
        </w:rPr>
      </w:pPr>
    </w:p>
    <w:p>
      <w:pPr>
        <w:pStyle w:val="41"/>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投标人(盖章)：　　　　　　　　　　　　　　　　　　　　日期：     </w:t>
      </w:r>
    </w:p>
    <w:p>
      <w:pPr>
        <w:pStyle w:val="41"/>
        <w:spacing w:afterLines="0" w:line="440" w:lineRule="exact"/>
        <w:ind w:firstLine="480"/>
        <w:rPr>
          <w:rFonts w:ascii="仿宋" w:eastAsia="仿宋"/>
          <w:color w:val="auto"/>
          <w:szCs w:val="24"/>
          <w:highlight w:val="none"/>
        </w:rPr>
      </w:pPr>
    </w:p>
    <w:p>
      <w:pPr>
        <w:pStyle w:val="41"/>
        <w:spacing w:afterLines="0" w:line="440" w:lineRule="exact"/>
        <w:ind w:firstLine="480"/>
        <w:rPr>
          <w:rFonts w:ascii="仿宋" w:eastAsia="仿宋"/>
          <w:color w:val="auto"/>
          <w:szCs w:val="24"/>
          <w:highlight w:val="none"/>
        </w:rPr>
      </w:pPr>
    </w:p>
    <w:p>
      <w:pPr>
        <w:rPr>
          <w:rFonts w:ascii="仿宋" w:eastAsia="仿宋"/>
          <w:b/>
          <w:bCs/>
          <w:color w:val="auto"/>
          <w:sz w:val="28"/>
          <w:szCs w:val="28"/>
          <w:highlight w:val="none"/>
        </w:rPr>
      </w:pPr>
      <w:r>
        <w:rPr>
          <w:rFonts w:hint="eastAsia" w:ascii="仿宋" w:eastAsia="仿宋"/>
          <w:b/>
          <w:bCs/>
          <w:color w:val="auto"/>
          <w:sz w:val="28"/>
          <w:szCs w:val="28"/>
          <w:highlight w:val="none"/>
        </w:rPr>
        <w:br w:type="page"/>
      </w:r>
    </w:p>
    <w:p>
      <w:pPr>
        <w:pStyle w:val="41"/>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pStyle w:val="10"/>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pPr>
        <w:pStyle w:val="10"/>
        <w:numPr>
          <w:ilvl w:val="0"/>
          <w:numId w:val="8"/>
        </w:numPr>
        <w:overflowPunct w:val="0"/>
        <w:spacing w:after="0"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pStyle w:val="10"/>
        <w:numPr>
          <w:ilvl w:val="0"/>
          <w:numId w:val="8"/>
        </w:numPr>
        <w:overflowPunct w:val="0"/>
        <w:spacing w:after="0"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六、如果中标，联合体各方在项目实施过程中承担的货物和服务为：</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pStyle w:val="10"/>
        <w:overflowPunct w:val="0"/>
        <w:spacing w:after="0"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pPr>
        <w:pStyle w:val="10"/>
        <w:overflowPunct w:val="0"/>
        <w:spacing w:after="0" w:line="460" w:lineRule="exact"/>
        <w:ind w:firstLine="513" w:firstLineChars="214"/>
        <w:rPr>
          <w:rFonts w:ascii="仿宋" w:eastAsia="仿宋"/>
          <w:color w:val="auto"/>
          <w:sz w:val="24"/>
          <w:szCs w:val="24"/>
          <w:highlight w:val="none"/>
        </w:rPr>
      </w:pPr>
    </w:p>
    <w:p>
      <w:pPr>
        <w:pStyle w:val="10"/>
        <w:overflowPunct w:val="0"/>
        <w:spacing w:after="0" w:line="460" w:lineRule="exact"/>
        <w:ind w:firstLine="513" w:firstLineChars="214"/>
        <w:rPr>
          <w:rFonts w:ascii="仿宋" w:eastAsia="仿宋"/>
          <w:color w:val="auto"/>
          <w:sz w:val="24"/>
          <w:szCs w:val="24"/>
          <w:highlight w:val="none"/>
        </w:rPr>
      </w:pPr>
    </w:p>
    <w:tbl>
      <w:tblPr>
        <w:tblStyle w:val="31"/>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pPr>
        <w:rPr>
          <w:rFonts w:ascii="仿宋" w:hAnsi="Calibri" w:eastAsia="仿宋"/>
          <w:b/>
          <w:bCs/>
          <w:color w:val="auto"/>
          <w:sz w:val="28"/>
          <w:szCs w:val="28"/>
          <w:highlight w:val="none"/>
        </w:rPr>
      </w:pPr>
      <w:r>
        <w:rPr>
          <w:rFonts w:hint="eastAsia" w:ascii="仿宋" w:hAnsi="Calibri" w:eastAsia="仿宋"/>
          <w:b/>
          <w:bCs/>
          <w:color w:val="auto"/>
          <w:sz w:val="28"/>
          <w:szCs w:val="28"/>
          <w:highlight w:val="none"/>
        </w:rPr>
        <w:br w:type="page"/>
      </w:r>
    </w:p>
    <w:p>
      <w:pPr>
        <w:pStyle w:val="41"/>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附件5：分包意向协议（如有）</w:t>
      </w:r>
    </w:p>
    <w:p>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pPr>
        <w:pStyle w:val="10"/>
        <w:overflowPunct w:val="0"/>
        <w:spacing w:after="0"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若成为</w:t>
      </w:r>
      <w:r>
        <w:rPr>
          <w:rFonts w:hint="eastAsia" w:ascii="仿宋" w:eastAsia="仿宋"/>
          <w:color w:val="auto"/>
          <w:sz w:val="24"/>
          <w:szCs w:val="24"/>
          <w:highlight w:val="none"/>
          <w:u w:val="single"/>
        </w:rPr>
        <w:t>（项目名称     ）(项目编号：   ）</w:t>
      </w:r>
      <w:r>
        <w:rPr>
          <w:rFonts w:hint="eastAsia" w:ascii="仿宋" w:eastAsia="仿宋"/>
          <w:color w:val="auto"/>
          <w:sz w:val="24"/>
          <w:szCs w:val="24"/>
          <w:highlight w:val="none"/>
          <w:lang w:val="zh-CN"/>
        </w:rPr>
        <w:t>的中标（成交）供应商，将依法采取分包方式履行合同。</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与</w:t>
      </w:r>
      <w:r>
        <w:rPr>
          <w:rFonts w:hint="eastAsia" w:ascii="仿宋" w:eastAsia="仿宋"/>
          <w:color w:val="auto"/>
          <w:sz w:val="24"/>
          <w:szCs w:val="24"/>
          <w:highlight w:val="none"/>
          <w:u w:val="single"/>
        </w:rPr>
        <w:t>（所有分包供应商名称    ）</w:t>
      </w:r>
      <w:r>
        <w:rPr>
          <w:rFonts w:hint="eastAsia" w:ascii="仿宋" w:eastAsia="仿宋"/>
          <w:color w:val="auto"/>
          <w:sz w:val="24"/>
          <w:szCs w:val="24"/>
          <w:highlight w:val="none"/>
        </w:rPr>
        <w:t>达成分包意向协议</w:t>
      </w:r>
      <w:r>
        <w:rPr>
          <w:rFonts w:hint="eastAsia" w:ascii="仿宋" w:eastAsia="仿宋"/>
          <w:color w:val="auto"/>
          <w:sz w:val="24"/>
          <w:szCs w:val="24"/>
          <w:highlight w:val="none"/>
          <w:lang w:val="zh-CN"/>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负责签署投标文件，其所有承诺均认为代表了</w:t>
      </w:r>
      <w:r>
        <w:rPr>
          <w:rFonts w:hint="eastAsia" w:ascii="仿宋" w:eastAsia="仿宋"/>
          <w:color w:val="auto"/>
          <w:sz w:val="24"/>
          <w:szCs w:val="24"/>
          <w:highlight w:val="none"/>
          <w:u w:val="single"/>
        </w:rPr>
        <w:t>（填写所有分包供应商名称       ）</w:t>
      </w:r>
      <w:r>
        <w:rPr>
          <w:rFonts w:hint="eastAsia" w:ascii="仿宋" w:eastAsia="仿宋"/>
          <w:color w:val="auto"/>
          <w:sz w:val="24"/>
          <w:szCs w:val="24"/>
          <w:highlight w:val="none"/>
        </w:rPr>
        <w:t>意愿。</w:t>
      </w:r>
    </w:p>
    <w:p>
      <w:pPr>
        <w:pStyle w:val="10"/>
        <w:overflowPunct w:val="0"/>
        <w:spacing w:after="0"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一、分包内容在采购文件分包要求的范围内，并符合相关法律规定等</w:t>
      </w:r>
    </w:p>
    <w:p>
      <w:pPr>
        <w:pStyle w:val="10"/>
        <w:overflowPunct w:val="0"/>
        <w:spacing w:after="0"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二、分包标的及合同占比</w:t>
      </w:r>
    </w:p>
    <w:p>
      <w:pPr>
        <w:pStyle w:val="10"/>
        <w:overflowPunct w:val="0"/>
        <w:spacing w:after="0"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工作内容1   </w:t>
      </w:r>
      <w:r>
        <w:rPr>
          <w:rFonts w:hint="eastAsia" w:ascii="仿宋" w:eastAsia="仿宋"/>
          <w:color w:val="auto"/>
          <w:sz w:val="24"/>
          <w:szCs w:val="24"/>
          <w:highlight w:val="none"/>
        </w:rPr>
        <w:t>分包给（填写分包供应商1名称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（填写分包供应商1名称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pPr>
        <w:pStyle w:val="10"/>
        <w:overflowPunct w:val="0"/>
        <w:spacing w:after="0"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工作内容2   </w:t>
      </w:r>
      <w:r>
        <w:rPr>
          <w:rFonts w:hint="eastAsia" w:ascii="仿宋" w:eastAsia="仿宋"/>
          <w:color w:val="auto"/>
          <w:sz w:val="24"/>
          <w:szCs w:val="24"/>
          <w:highlight w:val="none"/>
        </w:rPr>
        <w:t>分包给（填写分包供应商2名称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（填写分包供应商2名称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pPr>
        <w:pStyle w:val="10"/>
        <w:overflowPunct w:val="0"/>
        <w:spacing w:after="0"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lang w:val="zh-CN"/>
        </w:rPr>
        <w:t>……</w:t>
      </w:r>
      <w:r>
        <w:rPr>
          <w:rFonts w:hint="eastAsia" w:ascii="仿宋" w:eastAsia="仿宋"/>
          <w:color w:val="auto"/>
          <w:sz w:val="24"/>
          <w:szCs w:val="24"/>
          <w:highlight w:val="none"/>
        </w:rPr>
        <w:t xml:space="preserve">   </w:t>
      </w:r>
    </w:p>
    <w:p>
      <w:pPr>
        <w:pStyle w:val="10"/>
        <w:overflowPunct w:val="0"/>
        <w:spacing w:after="0"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rPr>
        <w:t>以上所有分包合同份额合计占到合同总金额的</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pPr>
        <w:pStyle w:val="10"/>
        <w:overflowPunct w:val="0"/>
        <w:spacing w:after="0" w:line="460" w:lineRule="exact"/>
        <w:ind w:left="479" w:leftChars="228" w:firstLine="31" w:firstLineChars="13"/>
        <w:jc w:val="left"/>
        <w:rPr>
          <w:rFonts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pPr>
        <w:pStyle w:val="10"/>
        <w:overflowPunct w:val="0"/>
        <w:spacing w:after="0" w:line="460" w:lineRule="exact"/>
        <w:ind w:firstLine="0"/>
        <w:rPr>
          <w:rFonts w:ascii="仿宋" w:eastAsia="仿宋"/>
          <w:color w:val="auto"/>
          <w:sz w:val="24"/>
          <w:szCs w:val="24"/>
          <w:highlight w:val="none"/>
        </w:rPr>
      </w:pPr>
      <w:r>
        <w:rPr>
          <w:rFonts w:hint="eastAsia" w:ascii="仿宋" w:eastAsia="仿宋"/>
          <w:color w:val="auto"/>
          <w:sz w:val="24"/>
          <w:szCs w:val="24"/>
          <w:highlight w:val="none"/>
        </w:rPr>
        <w:t xml:space="preserve">    本协议为意向协议，正式协议待中标（成交）后签署，正式协议不再对分包标的和合同占比进行调整。</w:t>
      </w:r>
    </w:p>
    <w:p>
      <w:pPr>
        <w:pStyle w:val="10"/>
        <w:overflowPunct w:val="0"/>
        <w:spacing w:after="0"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w:t>
      </w:r>
    </w:p>
    <w:p>
      <w:pPr>
        <w:pStyle w:val="10"/>
        <w:overflowPunct w:val="0"/>
        <w:spacing w:after="0"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投标供应商名称</w:t>
      </w:r>
      <w:r>
        <w:rPr>
          <w:rFonts w:hint="eastAsia" w:ascii="仿宋" w:eastAsia="仿宋"/>
          <w:color w:val="auto"/>
          <w:sz w:val="24"/>
          <w:szCs w:val="24"/>
          <w:highlight w:val="none"/>
          <w:lang w:val="zh-CN"/>
        </w:rPr>
        <w:t>(</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10"/>
        <w:overflowPunct w:val="0"/>
        <w:spacing w:after="0" w:line="460" w:lineRule="exact"/>
        <w:ind w:firstLine="513" w:firstLineChars="214"/>
        <w:rPr>
          <w:rFonts w:ascii="仿宋" w:eastAsia="仿宋"/>
          <w:color w:val="auto"/>
          <w:sz w:val="24"/>
          <w:szCs w:val="24"/>
          <w:highlight w:val="none"/>
          <w:lang w:val="zh-CN"/>
        </w:rPr>
      </w:pPr>
    </w:p>
    <w:p>
      <w:pPr>
        <w:pStyle w:val="10"/>
        <w:overflowPunct w:val="0"/>
        <w:spacing w:after="0"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1</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10"/>
        <w:overflowPunct w:val="0"/>
        <w:spacing w:after="0" w:line="460" w:lineRule="exact"/>
        <w:ind w:firstLine="513" w:firstLineChars="214"/>
        <w:rPr>
          <w:rFonts w:ascii="仿宋" w:eastAsia="仿宋"/>
          <w:color w:val="auto"/>
          <w:sz w:val="24"/>
          <w:szCs w:val="24"/>
          <w:highlight w:val="none"/>
          <w:lang w:val="zh-CN"/>
        </w:rPr>
      </w:pPr>
    </w:p>
    <w:p>
      <w:pPr>
        <w:pStyle w:val="10"/>
        <w:overflowPunct w:val="0"/>
        <w:spacing w:after="0"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2</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10"/>
        <w:overflowPunct w:val="0"/>
        <w:spacing w:after="0"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val="zh-CN"/>
        </w:rPr>
        <w:t>…………</w:t>
      </w:r>
    </w:p>
    <w:p>
      <w:pPr>
        <w:pStyle w:val="10"/>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日期：  年  月   日</w:t>
      </w:r>
    </w:p>
    <w:p>
      <w:pPr>
        <w:pStyle w:val="10"/>
        <w:overflowPunct w:val="0"/>
        <w:spacing w:line="460" w:lineRule="exact"/>
        <w:ind w:firstLine="513" w:firstLineChars="214"/>
        <w:rPr>
          <w:rFonts w:ascii="仿宋" w:eastAsia="仿宋"/>
          <w:color w:val="auto"/>
          <w:sz w:val="24"/>
          <w:szCs w:val="24"/>
          <w:highlight w:val="none"/>
          <w:lang w:val="zh-CN"/>
        </w:rPr>
      </w:pPr>
    </w:p>
    <w:p>
      <w:pPr>
        <w:pStyle w:val="10"/>
        <w:overflowPunct w:val="0"/>
        <w:spacing w:line="460" w:lineRule="exact"/>
        <w:ind w:firstLine="513" w:firstLineChars="214"/>
        <w:rPr>
          <w:rFonts w:ascii="仿宋" w:eastAsia="仿宋"/>
          <w:color w:val="auto"/>
          <w:sz w:val="24"/>
          <w:szCs w:val="24"/>
          <w:highlight w:val="none"/>
          <w:lang w:val="zh-CN"/>
        </w:rPr>
      </w:pPr>
    </w:p>
    <w:p>
      <w:pPr>
        <w:rPr>
          <w:rFonts w:ascii="仿宋" w:eastAsia="仿宋"/>
          <w:b/>
          <w:bCs/>
          <w:color w:val="auto"/>
          <w:sz w:val="28"/>
          <w:szCs w:val="28"/>
          <w:highlight w:val="none"/>
        </w:rPr>
      </w:pPr>
      <w:r>
        <w:rPr>
          <w:rFonts w:hint="eastAsia" w:ascii="仿宋" w:eastAsia="仿宋"/>
          <w:b/>
          <w:bCs/>
          <w:color w:val="auto"/>
          <w:sz w:val="28"/>
          <w:szCs w:val="28"/>
          <w:highlight w:val="none"/>
        </w:rPr>
        <w:br w:type="page"/>
      </w:r>
    </w:p>
    <w:p>
      <w:pPr>
        <w:pStyle w:val="41"/>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附件6：法定代表人授权委托书</w:t>
      </w:r>
    </w:p>
    <w:p>
      <w:pPr>
        <w:snapToGrid w:val="0"/>
        <w:spacing w:before="50" w:after="50"/>
        <w:jc w:val="center"/>
        <w:rPr>
          <w:rFonts w:ascii="仿宋" w:eastAsia="仿宋"/>
          <w:b/>
          <w:color w:val="auto"/>
          <w:sz w:val="36"/>
          <w:szCs w:val="36"/>
          <w:highlight w:val="none"/>
        </w:rPr>
      </w:pP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pPr>
        <w:widowControl/>
        <w:jc w:val="left"/>
        <w:rPr>
          <w:rFonts w:ascii="仿宋" w:eastAsia="仿宋"/>
          <w:color w:val="auto"/>
          <w:sz w:val="24"/>
          <w:szCs w:val="24"/>
          <w:highlight w:val="none"/>
          <w:u w:val="single"/>
        </w:rPr>
      </w:pPr>
    </w:p>
    <w:p>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color w:val="auto"/>
          <w:sz w:val="36"/>
          <w:szCs w:val="36"/>
          <w:highlight w:val="none"/>
        </w:rPr>
      </w:pPr>
    </w:p>
    <w:p>
      <w:pPr>
        <w:pStyle w:val="41"/>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附件7：法定代表人及其授权代表身份证</w:t>
      </w:r>
    </w:p>
    <w:p>
      <w:pPr>
        <w:pStyle w:val="41"/>
        <w:spacing w:afterLines="0" w:line="440" w:lineRule="exact"/>
        <w:ind w:firstLine="0" w:firstLineChars="0"/>
        <w:rPr>
          <w:rFonts w:ascii="仿宋" w:eastAsia="仿宋"/>
          <w:b/>
          <w:bCs/>
          <w:color w:val="auto"/>
          <w:sz w:val="28"/>
          <w:szCs w:val="28"/>
          <w:highlight w:val="none"/>
        </w:rPr>
      </w:pPr>
    </w:p>
    <w:p>
      <w:pPr>
        <w:pStyle w:val="41"/>
        <w:spacing w:afterLines="0" w:line="440" w:lineRule="exact"/>
        <w:ind w:firstLine="0" w:firstLineChars="0"/>
        <w:rPr>
          <w:rFonts w:ascii="仿宋" w:eastAsia="仿宋"/>
          <w:b/>
          <w:bCs/>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pPr>
        <w:pStyle w:val="41"/>
        <w:numPr>
          <w:ilvl w:val="0"/>
          <w:numId w:val="9"/>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pPr>
        <w:pStyle w:val="41"/>
        <w:numPr>
          <w:ilvl w:val="0"/>
          <w:numId w:val="9"/>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pPr>
        <w:pStyle w:val="41"/>
        <w:numPr>
          <w:ilvl w:val="0"/>
          <w:numId w:val="9"/>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snapToGrid w:val="0"/>
        <w:spacing w:before="156" w:beforeLines="50" w:after="50"/>
        <w:jc w:val="left"/>
        <w:rPr>
          <w:rFonts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附件8</w:t>
      </w:r>
      <w:r>
        <w:rPr>
          <w:rFonts w:hint="eastAsia" w:ascii="仿宋" w:eastAsia="仿宋"/>
          <w:b/>
          <w:color w:val="auto"/>
          <w:sz w:val="30"/>
          <w:szCs w:val="30"/>
          <w:highlight w:val="none"/>
        </w:rPr>
        <w:t>：商务和技术文件封面</w:t>
      </w: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pPr>
        <w:spacing w:after="0"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商</w:t>
      </w:r>
    </w:p>
    <w:p>
      <w:pPr>
        <w:spacing w:after="0"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务</w:t>
      </w:r>
    </w:p>
    <w:p>
      <w:pPr>
        <w:spacing w:after="0"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和</w:t>
      </w:r>
    </w:p>
    <w:p>
      <w:pPr>
        <w:spacing w:after="0"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技</w:t>
      </w:r>
    </w:p>
    <w:p>
      <w:pPr>
        <w:spacing w:after="0"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术</w:t>
      </w:r>
    </w:p>
    <w:p>
      <w:pPr>
        <w:spacing w:after="0"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after="0"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附件9：商务和技术文件目录</w:t>
      </w:r>
    </w:p>
    <w:p>
      <w:pPr>
        <w:snapToGrid w:val="0"/>
        <w:spacing w:before="156"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46"/>
        <w:spacing w:line="360" w:lineRule="auto"/>
        <w:ind w:firstLine="0" w:firstLineChars="0"/>
        <w:jc w:val="left"/>
        <w:rPr>
          <w:rFonts w:ascii="仿宋" w:eastAsia="仿宋" w:cs="仿宋_GB2312"/>
          <w:color w:val="auto"/>
          <w:highlight w:val="none"/>
        </w:rPr>
      </w:pPr>
      <w:bookmarkStart w:id="49"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9"/>
    </w:p>
    <w:p>
      <w:pPr>
        <w:pStyle w:val="46"/>
        <w:spacing w:line="360" w:lineRule="auto"/>
        <w:ind w:firstLine="0" w:firstLineChars="0"/>
        <w:jc w:val="left"/>
        <w:rPr>
          <w:rFonts w:ascii="仿宋" w:eastAsia="仿宋" w:cs="仿宋_GB2312"/>
          <w:color w:val="auto"/>
          <w:highlight w:val="none"/>
        </w:rPr>
      </w:pPr>
      <w:bookmarkStart w:id="50" w:name="_Toc64369790"/>
      <w:r>
        <w:rPr>
          <w:rFonts w:hint="eastAsia" w:ascii="仿宋" w:eastAsia="仿宋" w:cs="仿宋_GB2312"/>
          <w:color w:val="auto"/>
          <w:highlight w:val="none"/>
        </w:rPr>
        <w:t>2.技术响应表…………………………………………………………………（页码）</w:t>
      </w:r>
      <w:bookmarkEnd w:id="50"/>
    </w:p>
    <w:p>
      <w:pPr>
        <w:pStyle w:val="46"/>
        <w:spacing w:line="360" w:lineRule="auto"/>
        <w:ind w:firstLine="0" w:firstLineChars="0"/>
        <w:jc w:val="left"/>
        <w:rPr>
          <w:rFonts w:ascii="仿宋" w:eastAsia="仿宋" w:cs="仿宋_GB2312"/>
          <w:color w:val="auto"/>
          <w:highlight w:val="none"/>
        </w:rPr>
      </w:pPr>
      <w:bookmarkStart w:id="51" w:name="_Toc64369791"/>
      <w:r>
        <w:rPr>
          <w:rFonts w:hint="eastAsia" w:ascii="仿宋" w:eastAsia="仿宋" w:cs="仿宋_GB2312"/>
          <w:color w:val="auto"/>
          <w:highlight w:val="none"/>
        </w:rPr>
        <w:t>3.商务响应表…………………………………………………………………（页码）</w:t>
      </w:r>
      <w:bookmarkEnd w:id="51"/>
    </w:p>
    <w:p>
      <w:pPr>
        <w:pStyle w:val="46"/>
        <w:spacing w:line="360" w:lineRule="auto"/>
        <w:ind w:firstLine="0" w:firstLineChars="0"/>
        <w:jc w:val="left"/>
        <w:rPr>
          <w:rFonts w:ascii="仿宋" w:eastAsia="仿宋" w:cs="仿宋_GB2312"/>
          <w:color w:val="auto"/>
          <w:highlight w:val="none"/>
        </w:rPr>
      </w:pPr>
      <w:bookmarkStart w:id="52"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pPr>
        <w:pStyle w:val="46"/>
        <w:spacing w:line="360" w:lineRule="auto"/>
        <w:ind w:firstLine="0" w:firstLineChars="0"/>
        <w:jc w:val="left"/>
        <w:rPr>
          <w:rFonts w:ascii="仿宋" w:eastAsia="仿宋" w:cs="仿宋_GB2312"/>
          <w:color w:val="auto"/>
          <w:highlight w:val="none"/>
        </w:rPr>
      </w:pPr>
      <w:bookmarkStart w:id="53"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pPr>
        <w:pStyle w:val="46"/>
        <w:spacing w:line="360" w:lineRule="auto"/>
        <w:ind w:firstLine="0" w:firstLineChars="0"/>
        <w:jc w:val="left"/>
        <w:rPr>
          <w:rFonts w:ascii="仿宋" w:eastAsia="仿宋" w:cs="仿宋_GB2312"/>
          <w:color w:val="auto"/>
          <w:highlight w:val="none"/>
        </w:rPr>
      </w:pPr>
      <w:bookmarkStart w:id="54"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pPr>
        <w:pStyle w:val="44"/>
        <w:numPr>
          <w:ilvl w:val="0"/>
          <w:numId w:val="0"/>
        </w:numPr>
        <w:rPr>
          <w:rFonts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pPr>
        <w:pStyle w:val="46"/>
        <w:spacing w:line="360" w:lineRule="auto"/>
        <w:ind w:firstLine="0" w:firstLineChars="0"/>
        <w:jc w:val="left"/>
        <w:rPr>
          <w:rFonts w:ascii="仿宋" w:eastAsia="仿宋" w:cs="仿宋_GB2312"/>
          <w:color w:val="auto"/>
          <w:highlight w:val="none"/>
        </w:rPr>
      </w:pPr>
      <w:bookmarkStart w:id="55"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pPr>
        <w:pStyle w:val="46"/>
        <w:spacing w:line="360" w:lineRule="auto"/>
        <w:ind w:firstLine="0" w:firstLineChars="0"/>
        <w:jc w:val="left"/>
        <w:rPr>
          <w:rFonts w:ascii="仿宋" w:eastAsia="仿宋" w:cs="仿宋_GB2312"/>
          <w:color w:val="auto"/>
          <w:highlight w:val="none"/>
          <w:lang w:val="zh-CN"/>
        </w:rPr>
      </w:pPr>
      <w:r>
        <w:rPr>
          <w:rFonts w:ascii="仿宋" w:eastAsia="仿宋" w:cs="仿宋_GB2312"/>
          <w:color w:val="auto"/>
          <w:highlight w:val="none"/>
          <w:lang w:val="zh-CN"/>
        </w:rPr>
        <w:t>9</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6"/>
        <w:spacing w:line="360" w:lineRule="auto"/>
        <w:ind w:firstLine="0" w:firstLineChars="0"/>
        <w:jc w:val="left"/>
        <w:rPr>
          <w:rFonts w:ascii="仿宋" w:eastAsia="仿宋" w:cs="仿宋_GB2312"/>
          <w:color w:val="auto"/>
          <w:highlight w:val="none"/>
        </w:rPr>
      </w:pPr>
      <w:bookmarkStart w:id="56"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pPr>
        <w:pStyle w:val="44"/>
        <w:numPr>
          <w:ilvl w:val="0"/>
          <w:numId w:val="0"/>
        </w:numPr>
        <w:rPr>
          <w:rFonts w:ascii="仿宋" w:eastAsia="仿宋"/>
          <w:color w:val="auto"/>
          <w:highlight w:val="none"/>
        </w:rPr>
      </w:pPr>
    </w:p>
    <w:p>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b/>
          <w:bCs/>
          <w:color w:val="auto"/>
          <w:sz w:val="28"/>
          <w:szCs w:val="28"/>
          <w:highlight w:val="none"/>
        </w:rPr>
      </w:pPr>
      <w:r>
        <w:rPr>
          <w:rFonts w:hint="eastAsia" w:ascii="仿宋" w:eastAsia="仿宋"/>
          <w:b/>
          <w:bCs/>
          <w:color w:val="auto"/>
          <w:sz w:val="28"/>
          <w:szCs w:val="28"/>
          <w:highlight w:val="none"/>
        </w:rPr>
        <w:br w:type="page"/>
      </w:r>
    </w:p>
    <w:p>
      <w:pPr>
        <w:pStyle w:val="41"/>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附件10：项目明细清单</w:t>
      </w: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ascii="仿宋" w:eastAsia="仿宋"/>
          <w:b/>
          <w:color w:val="auto"/>
          <w:spacing w:val="40"/>
          <w:kern w:val="0"/>
          <w:sz w:val="36"/>
          <w:szCs w:val="36"/>
          <w:highlight w:val="none"/>
        </w:rPr>
      </w:pPr>
    </w:p>
    <w:p>
      <w:pPr>
        <w:pStyle w:val="11"/>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服务部分</w:t>
      </w:r>
    </w:p>
    <w:tbl>
      <w:tblPr>
        <w:tblStyle w:val="3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pStyle w:val="11"/>
        <w:snapToGrid w:val="0"/>
        <w:rPr>
          <w:rFonts w:ascii="仿宋" w:eastAsia="仿宋"/>
          <w:color w:val="auto"/>
          <w:sz w:val="30"/>
          <w:szCs w:val="30"/>
          <w:highlight w:val="none"/>
        </w:rPr>
      </w:pPr>
      <w:r>
        <w:rPr>
          <w:rFonts w:hint="eastAsia" w:ascii="仿宋" w:eastAsia="仿宋"/>
          <w:color w:val="auto"/>
          <w:sz w:val="30"/>
          <w:szCs w:val="30"/>
          <w:highlight w:val="none"/>
        </w:rPr>
        <w:t>货物部分（如有）</w:t>
      </w:r>
    </w:p>
    <w:tbl>
      <w:tblPr>
        <w:tblStyle w:val="3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156" w:beforeLines="50"/>
        <w:rPr>
          <w:rFonts w:ascii="仿宋" w:eastAsia="仿宋"/>
          <w:color w:val="auto"/>
          <w:spacing w:val="20"/>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rPr>
        <w:t>1：技术响应表</w:t>
      </w:r>
    </w:p>
    <w:p>
      <w:pPr>
        <w:snapToGrid w:val="0"/>
        <w:spacing w:before="50" w:after="50"/>
        <w:rPr>
          <w:rFonts w:ascii="仿宋" w:eastAsia="仿宋"/>
          <w:b/>
          <w:bCs/>
          <w:color w:val="auto"/>
          <w:sz w:val="30"/>
          <w:szCs w:val="30"/>
          <w:highlight w:val="none"/>
        </w:rPr>
      </w:pP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ascii="仿宋" w:eastAsia="仿宋"/>
          <w:b/>
          <w:color w:val="auto"/>
          <w:spacing w:val="40"/>
          <w:kern w:val="0"/>
          <w:sz w:val="36"/>
          <w:szCs w:val="36"/>
          <w:highlight w:val="none"/>
        </w:rPr>
      </w:pPr>
    </w:p>
    <w:p>
      <w:pPr>
        <w:pStyle w:val="11"/>
        <w:snapToGrid w:val="0"/>
        <w:rPr>
          <w:rFonts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pPr>
        <w:pStyle w:val="11"/>
        <w:snapToGrid w:val="0"/>
        <w:rPr>
          <w:rFonts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31"/>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57" w:name="_Toc64369807"/>
            <w:r>
              <w:rPr>
                <w:rFonts w:hint="eastAsia" w:ascii="仿宋" w:eastAsia="仿宋"/>
                <w:color w:val="auto"/>
                <w:spacing w:val="20"/>
                <w:sz w:val="24"/>
                <w:szCs w:val="24"/>
                <w:highlight w:val="none"/>
              </w:rPr>
              <w:t>服务部分</w:t>
            </w:r>
            <w:bookmarkEnd w:id="5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58" w:name="_Toc64369800"/>
            <w:r>
              <w:rPr>
                <w:rFonts w:hint="eastAsia" w:ascii="仿宋" w:eastAsia="仿宋"/>
                <w:color w:val="auto"/>
                <w:spacing w:val="20"/>
                <w:sz w:val="24"/>
                <w:szCs w:val="24"/>
                <w:highlight w:val="none"/>
              </w:rPr>
              <w:t>序号</w:t>
            </w:r>
            <w:bookmarkEnd w:id="5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59" w:name="_Toc64369801"/>
            <w:bookmarkStart w:id="60" w:name="_Toc64369802"/>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59"/>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0"/>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1" w:name="_Toc64369803"/>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2" w:name="_Toc64369804"/>
            <w:r>
              <w:rPr>
                <w:rFonts w:hint="eastAsia" w:ascii="仿宋" w:eastAsia="仿宋"/>
                <w:color w:val="auto"/>
                <w:spacing w:val="20"/>
                <w:sz w:val="24"/>
                <w:szCs w:val="24"/>
                <w:highlight w:val="none"/>
              </w:rPr>
              <w:t>1</w:t>
            </w:r>
            <w:bookmarkEnd w:id="62"/>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3" w:name="_Toc64369805"/>
            <w:r>
              <w:rPr>
                <w:rFonts w:hint="eastAsia" w:ascii="仿宋" w:eastAsia="仿宋"/>
                <w:color w:val="auto"/>
                <w:spacing w:val="20"/>
                <w:sz w:val="24"/>
                <w:szCs w:val="24"/>
                <w:highlight w:val="none"/>
              </w:rPr>
              <w:t>2</w:t>
            </w:r>
            <w:bookmarkEnd w:id="63"/>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4" w:name="_Toc64369806"/>
            <w:bookmarkEnd w:id="64"/>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5"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5"/>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6" w:name="_Toc64369808"/>
            <w:r>
              <w:rPr>
                <w:rFonts w:hint="eastAsia" w:ascii="仿宋" w:eastAsia="仿宋"/>
                <w:color w:val="auto"/>
                <w:spacing w:val="20"/>
                <w:sz w:val="24"/>
                <w:szCs w:val="24"/>
                <w:highlight w:val="none"/>
              </w:rPr>
              <w:t>序号</w:t>
            </w:r>
            <w:bookmarkEnd w:id="66"/>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7" w:name="_Toc64369809"/>
            <w:bookmarkStart w:id="68" w:name="_Toc64369810"/>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7"/>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8"/>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24"/>
                <w:szCs w:val="24"/>
                <w:highlight w:val="none"/>
              </w:rPr>
            </w:pPr>
            <w:bookmarkStart w:id="69" w:name="_Toc64369811"/>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70" w:name="_Toc64369814"/>
            <w:r>
              <w:rPr>
                <w:rFonts w:hint="eastAsia" w:ascii="仿宋" w:eastAsia="仿宋"/>
                <w:color w:val="auto"/>
                <w:spacing w:val="20"/>
                <w:sz w:val="24"/>
                <w:szCs w:val="24"/>
                <w:highlight w:val="none"/>
              </w:rPr>
              <w:t>…</w:t>
            </w:r>
            <w:bookmarkEnd w:id="70"/>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bl>
    <w:p>
      <w:pPr>
        <w:pStyle w:val="13"/>
        <w:rPr>
          <w:rFonts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30"/>
          <w:szCs w:val="30"/>
          <w:highlight w:val="none"/>
        </w:rPr>
      </w:pPr>
      <w:r>
        <w:rPr>
          <w:rFonts w:hint="eastAsia" w:ascii="仿宋" w:eastAsia="仿宋"/>
          <w:color w:val="auto"/>
          <w:spacing w:val="20"/>
          <w:sz w:val="24"/>
          <w:szCs w:val="24"/>
          <w:highlight w:val="none"/>
        </w:rPr>
        <w:t>2、“采购文件要求”一列按采购需求中的“服务清单及要求”填写。</w:t>
      </w:r>
    </w:p>
    <w:p>
      <w:pPr>
        <w:snapToGrid w:val="0"/>
        <w:spacing w:before="156" w:beforeLines="50"/>
        <w:rPr>
          <w:rFonts w:ascii="仿宋" w:eastAsia="仿宋"/>
          <w:color w:val="auto"/>
          <w:sz w:val="24"/>
          <w:szCs w:val="24"/>
          <w:highlight w:val="none"/>
        </w:rPr>
      </w:pPr>
    </w:p>
    <w:p>
      <w:pPr>
        <w:snapToGrid w:val="0"/>
        <w:spacing w:before="156" w:beforeLines="50"/>
        <w:rPr>
          <w:rFonts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pPr>
        <w:snapToGrid w:val="0"/>
        <w:spacing w:before="156" w:beforeLines="50"/>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附件12：商务响应表</w:t>
      </w:r>
    </w:p>
    <w:p>
      <w:pPr>
        <w:snapToGrid w:val="0"/>
        <w:spacing w:before="50" w:after="156" w:afterLines="50"/>
        <w:jc w:val="center"/>
        <w:rPr>
          <w:rFonts w:ascii="仿宋" w:eastAsia="仿宋"/>
          <w:b/>
          <w:color w:val="auto"/>
          <w:spacing w:val="40"/>
          <w:kern w:val="0"/>
          <w:sz w:val="36"/>
          <w:szCs w:val="36"/>
          <w:highlight w:val="none"/>
        </w:rPr>
      </w:pP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156" w:afterLines="50"/>
        <w:jc w:val="center"/>
        <w:rPr>
          <w:rFonts w:ascii="仿宋" w:eastAsia="仿宋"/>
          <w:b/>
          <w:color w:val="auto"/>
          <w:sz w:val="32"/>
          <w:szCs w:val="32"/>
          <w:highlight w:val="none"/>
        </w:rPr>
      </w:pPr>
    </w:p>
    <w:p>
      <w:pPr>
        <w:pStyle w:val="11"/>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1"/>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1"/>
        <w:tblW w:w="92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651"/>
        <w:gridCol w:w="2958"/>
        <w:gridCol w:w="2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color w:val="auto"/>
                <w:spacing w:val="20"/>
                <w:sz w:val="28"/>
                <w:szCs w:val="28"/>
                <w:highlight w:val="none"/>
              </w:rPr>
            </w:pPr>
            <w:bookmarkStart w:id="71" w:name="_Toc64369815"/>
            <w:r>
              <w:rPr>
                <w:rFonts w:hint="eastAsia" w:ascii="仿宋" w:eastAsia="仿宋" w:cs="仿宋_GB2312"/>
                <w:color w:val="auto"/>
                <w:spacing w:val="20"/>
                <w:sz w:val="28"/>
                <w:szCs w:val="28"/>
                <w:highlight w:val="none"/>
              </w:rPr>
              <w:t>类别</w:t>
            </w:r>
            <w:bookmarkEnd w:id="71"/>
          </w:p>
        </w:tc>
        <w:tc>
          <w:tcPr>
            <w:tcW w:w="2651"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color w:val="auto"/>
                <w:sz w:val="30"/>
                <w:szCs w:val="30"/>
                <w:highlight w:val="none"/>
              </w:rPr>
            </w:pPr>
            <w:bookmarkStart w:id="72" w:name="_Toc64369816"/>
            <w:r>
              <w:rPr>
                <w:rFonts w:hint="eastAsia" w:ascii="仿宋" w:eastAsia="仿宋" w:cs="仿宋_GB2312"/>
                <w:color w:val="auto"/>
                <w:sz w:val="30"/>
                <w:szCs w:val="30"/>
                <w:highlight w:val="none"/>
              </w:rPr>
              <w:t>采购文件要求</w:t>
            </w:r>
            <w:bookmarkEnd w:id="72"/>
          </w:p>
        </w:tc>
        <w:tc>
          <w:tcPr>
            <w:tcW w:w="2958"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color w:val="auto"/>
                <w:sz w:val="30"/>
                <w:szCs w:val="30"/>
                <w:highlight w:val="none"/>
              </w:rPr>
            </w:pPr>
            <w:bookmarkStart w:id="73" w:name="_Toc64369817"/>
            <w:r>
              <w:rPr>
                <w:rFonts w:hint="eastAsia" w:ascii="仿宋" w:eastAsia="仿宋" w:cs="仿宋_GB2312"/>
                <w:color w:val="auto"/>
                <w:sz w:val="30"/>
                <w:szCs w:val="30"/>
                <w:highlight w:val="none"/>
              </w:rPr>
              <w:t>投标文件响应</w:t>
            </w:r>
            <w:bookmarkEnd w:id="73"/>
          </w:p>
        </w:tc>
        <w:tc>
          <w:tcPr>
            <w:tcW w:w="2038"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color w:val="auto"/>
                <w:sz w:val="30"/>
                <w:szCs w:val="30"/>
                <w:highlight w:val="none"/>
              </w:rPr>
            </w:pPr>
            <w:bookmarkStart w:id="74" w:name="_Toc64369818"/>
            <w:r>
              <w:rPr>
                <w:rFonts w:hint="eastAsia" w:ascii="仿宋" w:eastAsia="仿宋" w:cs="仿宋_GB2312"/>
                <w:color w:val="auto"/>
                <w:sz w:val="30"/>
                <w:szCs w:val="30"/>
                <w:highlight w:val="none"/>
              </w:rPr>
              <w:t>偏离情况</w:t>
            </w:r>
            <w:bookmarkEnd w:id="7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51"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color w:val="auto"/>
                <w:sz w:val="28"/>
                <w:szCs w:val="28"/>
                <w:highlight w:val="none"/>
              </w:rPr>
            </w:pPr>
          </w:p>
        </w:tc>
        <w:tc>
          <w:tcPr>
            <w:tcW w:w="2958"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color w:val="auto"/>
                <w:sz w:val="28"/>
                <w:szCs w:val="28"/>
                <w:highlight w:val="none"/>
              </w:rPr>
            </w:pPr>
          </w:p>
        </w:tc>
        <w:tc>
          <w:tcPr>
            <w:tcW w:w="2038"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3" w:hRule="atLeast"/>
        </w:trPr>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技术培训</w:t>
            </w:r>
          </w:p>
        </w:tc>
        <w:tc>
          <w:tcPr>
            <w:tcW w:w="2651"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color w:val="auto"/>
                <w:sz w:val="28"/>
                <w:szCs w:val="28"/>
                <w:highlight w:val="none"/>
              </w:rPr>
            </w:pPr>
          </w:p>
        </w:tc>
        <w:tc>
          <w:tcPr>
            <w:tcW w:w="2958"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color w:val="auto"/>
                <w:sz w:val="28"/>
                <w:szCs w:val="28"/>
                <w:highlight w:val="none"/>
              </w:rPr>
            </w:pPr>
          </w:p>
        </w:tc>
        <w:tc>
          <w:tcPr>
            <w:tcW w:w="2038" w:type="dxa"/>
            <w:tcBorders>
              <w:top w:val="single" w:color="auto" w:sz="4" w:space="0"/>
              <w:left w:val="single" w:color="auto" w:sz="4" w:space="0"/>
              <w:bottom w:val="nil"/>
              <w:right w:val="single" w:color="auto" w:sz="4" w:space="0"/>
            </w:tcBorders>
            <w:noWrap/>
          </w:tcPr>
          <w:p>
            <w:pPr>
              <w:pStyle w:val="18"/>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3" w:hRule="atLeast"/>
        </w:trPr>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数量调整</w:t>
            </w:r>
          </w:p>
        </w:tc>
        <w:tc>
          <w:tcPr>
            <w:tcW w:w="2651"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color w:val="auto"/>
                <w:sz w:val="28"/>
                <w:szCs w:val="28"/>
                <w:highlight w:val="none"/>
              </w:rPr>
            </w:pPr>
          </w:p>
        </w:tc>
        <w:tc>
          <w:tcPr>
            <w:tcW w:w="2958"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color w:val="auto"/>
                <w:sz w:val="28"/>
                <w:szCs w:val="28"/>
                <w:highlight w:val="none"/>
              </w:rPr>
            </w:pPr>
          </w:p>
        </w:tc>
        <w:tc>
          <w:tcPr>
            <w:tcW w:w="2038"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验收</w:t>
            </w:r>
          </w:p>
        </w:tc>
        <w:tc>
          <w:tcPr>
            <w:tcW w:w="2651"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color w:val="auto"/>
                <w:sz w:val="28"/>
                <w:szCs w:val="28"/>
                <w:highlight w:val="none"/>
              </w:rPr>
            </w:pPr>
          </w:p>
        </w:tc>
        <w:tc>
          <w:tcPr>
            <w:tcW w:w="2958"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color w:val="auto"/>
                <w:sz w:val="28"/>
                <w:szCs w:val="28"/>
                <w:highlight w:val="none"/>
              </w:rPr>
            </w:pPr>
          </w:p>
        </w:tc>
        <w:tc>
          <w:tcPr>
            <w:tcW w:w="2038"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付款方式</w:t>
            </w:r>
          </w:p>
        </w:tc>
        <w:tc>
          <w:tcPr>
            <w:tcW w:w="2651"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color w:val="auto"/>
                <w:sz w:val="28"/>
                <w:szCs w:val="28"/>
                <w:highlight w:val="none"/>
              </w:rPr>
            </w:pPr>
          </w:p>
        </w:tc>
        <w:tc>
          <w:tcPr>
            <w:tcW w:w="2958"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color w:val="auto"/>
                <w:sz w:val="28"/>
                <w:szCs w:val="28"/>
                <w:highlight w:val="none"/>
              </w:rPr>
            </w:pPr>
          </w:p>
        </w:tc>
        <w:tc>
          <w:tcPr>
            <w:tcW w:w="2038"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其他要求</w:t>
            </w:r>
          </w:p>
        </w:tc>
        <w:tc>
          <w:tcPr>
            <w:tcW w:w="2651"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color w:val="auto"/>
                <w:sz w:val="28"/>
                <w:szCs w:val="28"/>
                <w:highlight w:val="none"/>
              </w:rPr>
            </w:pPr>
          </w:p>
        </w:tc>
        <w:tc>
          <w:tcPr>
            <w:tcW w:w="2958"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color w:val="auto"/>
                <w:sz w:val="28"/>
                <w:szCs w:val="28"/>
                <w:highlight w:val="none"/>
              </w:rPr>
            </w:pPr>
          </w:p>
        </w:tc>
        <w:tc>
          <w:tcPr>
            <w:tcW w:w="2038"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color w:val="auto"/>
                <w:sz w:val="28"/>
                <w:szCs w:val="28"/>
                <w:highlight w:val="none"/>
              </w:rPr>
            </w:pPr>
          </w:p>
        </w:tc>
      </w:tr>
    </w:tbl>
    <w:p>
      <w:pPr>
        <w:pStyle w:val="13"/>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ascii="仿宋" w:eastAsia="仿宋"/>
          <w:color w:val="auto"/>
          <w:spacing w:val="20"/>
          <w:sz w:val="28"/>
          <w:szCs w:val="28"/>
          <w:highlight w:val="none"/>
        </w:rPr>
      </w:pP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附件13：项目实施人员清单</w:t>
      </w:r>
    </w:p>
    <w:p>
      <w:pPr>
        <w:snapToGrid w:val="0"/>
        <w:spacing w:before="50" w:after="156" w:afterLines="50"/>
        <w:jc w:val="center"/>
        <w:rPr>
          <w:rFonts w:ascii="仿宋" w:eastAsia="仿宋"/>
          <w:b/>
          <w:color w:val="auto"/>
          <w:kern w:val="0"/>
          <w:sz w:val="36"/>
          <w:szCs w:val="36"/>
          <w:highlight w:val="none"/>
        </w:rPr>
      </w:pPr>
    </w:p>
    <w:p>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11"/>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1"/>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1"/>
        <w:tblW w:w="92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2"/>
        <w:gridCol w:w="1041"/>
        <w:gridCol w:w="1726"/>
        <w:gridCol w:w="5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41"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7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5058"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6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726"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5058"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6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726"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5058"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6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726" w:type="dxa"/>
            <w:tcBorders>
              <w:top w:val="single" w:color="auto" w:sz="4" w:space="0"/>
              <w:left w:val="single" w:color="auto" w:sz="4" w:space="0"/>
              <w:bottom w:val="single" w:color="auto" w:sz="4" w:space="0"/>
              <w:right w:val="single" w:color="auto" w:sz="4" w:space="0"/>
            </w:tcBorders>
            <w:noWrap/>
          </w:tcPr>
          <w:p>
            <w:pPr>
              <w:pStyle w:val="19"/>
              <w:snapToGrid w:val="0"/>
              <w:spacing w:before="156" w:beforeLines="50" w:after="50" w:line="460" w:lineRule="exact"/>
              <w:ind w:left="5250"/>
              <w:rPr>
                <w:rFonts w:ascii="仿宋" w:eastAsia="仿宋"/>
                <w:color w:val="auto"/>
                <w:sz w:val="28"/>
                <w:szCs w:val="28"/>
                <w:highlight w:val="none"/>
              </w:rPr>
            </w:pPr>
          </w:p>
        </w:tc>
        <w:tc>
          <w:tcPr>
            <w:tcW w:w="5058"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6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726"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5058"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6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726"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5058"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6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726"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5058"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6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726"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5058"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6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726"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5058"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6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726"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5058"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bl>
    <w:p>
      <w:pPr>
        <w:snapToGrid w:val="0"/>
        <w:spacing w:before="50" w:after="156"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ascii="仿宋" w:eastAsia="仿宋"/>
          <w:color w:val="auto"/>
          <w:sz w:val="28"/>
          <w:szCs w:val="28"/>
          <w:highlight w:val="none"/>
        </w:rPr>
      </w:pP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156" w:afterLines="50" w:line="460" w:lineRule="exact"/>
        <w:jc w:val="left"/>
        <w:rPr>
          <w:rFonts w:ascii="仿宋" w:eastAsia="仿宋"/>
          <w:color w:val="auto"/>
          <w:sz w:val="28"/>
          <w:szCs w:val="28"/>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附件14：类似业绩一览表</w:t>
      </w:r>
      <w:r>
        <w:rPr>
          <w:rFonts w:ascii="仿宋" w:eastAsia="仿宋"/>
          <w:b/>
          <w:bCs/>
          <w:color w:val="auto"/>
          <w:sz w:val="30"/>
          <w:szCs w:val="30"/>
          <w:highlight w:val="none"/>
        </w:rPr>
        <w:t>（如有）</w:t>
      </w:r>
    </w:p>
    <w:p>
      <w:pPr>
        <w:snapToGrid w:val="0"/>
        <w:spacing w:before="50" w:after="50"/>
        <w:jc w:val="left"/>
        <w:rPr>
          <w:rFonts w:ascii="仿宋" w:eastAsia="仿宋"/>
          <w:color w:val="auto"/>
          <w:sz w:val="30"/>
          <w:szCs w:val="30"/>
          <w:highlight w:val="none"/>
        </w:rPr>
      </w:pPr>
    </w:p>
    <w:p>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11"/>
        <w:snapToGrid w:val="0"/>
        <w:rPr>
          <w:rFonts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pPr>
        <w:pStyle w:val="11"/>
        <w:snapToGrid w:val="0"/>
        <w:rPr>
          <w:rFonts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pPr>
        <w:rPr>
          <w:rFonts w:ascii="仿宋" w:eastAsia="仿宋"/>
          <w:color w:val="auto"/>
          <w:highlight w:val="none"/>
        </w:rPr>
      </w:pPr>
    </w:p>
    <w:tbl>
      <w:tblPr>
        <w:tblStyle w:val="3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30"/>
        <w:gridCol w:w="1541"/>
        <w:gridCol w:w="1225"/>
        <w:gridCol w:w="261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序号</w:t>
            </w:r>
          </w:p>
        </w:tc>
        <w:tc>
          <w:tcPr>
            <w:tcW w:w="153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采购人名称</w:t>
            </w:r>
          </w:p>
        </w:tc>
        <w:tc>
          <w:tcPr>
            <w:tcW w:w="154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项目名称</w:t>
            </w:r>
          </w:p>
        </w:tc>
        <w:tc>
          <w:tcPr>
            <w:tcW w:w="12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合同</w:t>
            </w:r>
          </w:p>
          <w:p>
            <w:pPr>
              <w:jc w:val="center"/>
              <w:rPr>
                <w:rFonts w:ascii="仿宋" w:eastAsia="仿宋"/>
                <w:color w:val="auto"/>
                <w:sz w:val="24"/>
                <w:highlight w:val="none"/>
              </w:rPr>
            </w:pPr>
            <w:r>
              <w:rPr>
                <w:rFonts w:hint="eastAsia" w:ascii="仿宋" w:eastAsia="仿宋"/>
                <w:color w:val="auto"/>
                <w:sz w:val="24"/>
                <w:highlight w:val="none"/>
              </w:rPr>
              <w:t>金额</w:t>
            </w:r>
          </w:p>
        </w:tc>
        <w:tc>
          <w:tcPr>
            <w:tcW w:w="261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采购单位联系人及电话</w:t>
            </w:r>
          </w:p>
        </w:tc>
        <w:tc>
          <w:tcPr>
            <w:tcW w:w="152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验收报告</w:t>
            </w:r>
          </w:p>
          <w:p>
            <w:pPr>
              <w:jc w:val="center"/>
              <w:rPr>
                <w:rFonts w:ascii="仿宋" w:eastAsia="仿宋"/>
                <w:color w:val="auto"/>
                <w:sz w:val="24"/>
                <w:highlight w:val="none"/>
              </w:rPr>
            </w:pPr>
            <w:r>
              <w:rPr>
                <w:rFonts w:hint="eastAsia" w:ascii="仿宋" w:eastAsia="仿宋"/>
                <w:color w:val="auto"/>
                <w:sz w:val="24"/>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1</w:t>
            </w:r>
          </w:p>
        </w:tc>
        <w:tc>
          <w:tcPr>
            <w:tcW w:w="153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54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2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261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52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2</w:t>
            </w:r>
          </w:p>
        </w:tc>
        <w:tc>
          <w:tcPr>
            <w:tcW w:w="153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54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2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261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52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w:t>
            </w:r>
          </w:p>
        </w:tc>
        <w:tc>
          <w:tcPr>
            <w:tcW w:w="153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54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2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261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52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bl>
    <w:p>
      <w:pPr>
        <w:rPr>
          <w:rFonts w:ascii="仿宋" w:eastAsia="仿宋"/>
          <w:color w:val="auto"/>
          <w:sz w:val="24"/>
          <w:highlight w:val="none"/>
        </w:rPr>
      </w:pPr>
      <w:r>
        <w:rPr>
          <w:rFonts w:hint="eastAsia" w:ascii="仿宋" w:eastAsia="仿宋"/>
          <w:color w:val="auto"/>
          <w:sz w:val="24"/>
          <w:highlight w:val="none"/>
        </w:rPr>
        <w:t>备注：</w:t>
      </w:r>
    </w:p>
    <w:p>
      <w:pPr>
        <w:numPr>
          <w:ilvl w:val="0"/>
          <w:numId w:val="10"/>
        </w:numPr>
        <w:rPr>
          <w:rFonts w:ascii="仿宋" w:eastAsia="仿宋"/>
          <w:color w:val="auto"/>
          <w:sz w:val="24"/>
          <w:highlight w:val="none"/>
        </w:rPr>
      </w:pPr>
      <w:r>
        <w:rPr>
          <w:rFonts w:hint="eastAsia" w:ascii="仿宋" w:eastAsia="仿宋"/>
          <w:color w:val="auto"/>
          <w:sz w:val="24"/>
          <w:highlight w:val="none"/>
        </w:rPr>
        <w:t>请在此表后附上类似业绩的合同、验收报告原件扫描件或彩色图片（如有）。</w:t>
      </w:r>
    </w:p>
    <w:p>
      <w:pPr>
        <w:numPr>
          <w:ilvl w:val="0"/>
          <w:numId w:val="10"/>
        </w:numPr>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ascii="仿宋" w:eastAsia="仿宋"/>
          <w:color w:val="auto"/>
          <w:sz w:val="24"/>
          <w:highlight w:val="none"/>
        </w:rPr>
      </w:pPr>
    </w:p>
    <w:p>
      <w:pPr>
        <w:rPr>
          <w:rFonts w:ascii="仿宋" w:eastAsia="仿宋"/>
          <w:b/>
          <w:bCs/>
          <w:color w:val="auto"/>
          <w:sz w:val="30"/>
          <w:szCs w:val="30"/>
          <w:highlight w:val="none"/>
        </w:rPr>
      </w:pPr>
      <w:r>
        <w:rPr>
          <w:rFonts w:hint="eastAsia" w:ascii="仿宋" w:eastAsia="仿宋"/>
          <w:b/>
          <w:bCs/>
          <w:color w:val="auto"/>
          <w:sz w:val="30"/>
          <w:szCs w:val="30"/>
          <w:highlight w:val="none"/>
        </w:rPr>
        <w:t>附件15（如有）：</w:t>
      </w:r>
    </w:p>
    <w:p>
      <w:pPr>
        <w:snapToGrid w:val="0"/>
        <w:spacing w:before="50" w:after="50" w:line="360" w:lineRule="auto"/>
        <w:jc w:val="center"/>
        <w:rPr>
          <w:rFonts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8"/>
        <w:spacing w:after="0" w:line="360" w:lineRule="auto"/>
        <w:rPr>
          <w:rFonts w:ascii="仿宋" w:eastAsia="仿宋"/>
          <w:b/>
          <w:bCs/>
          <w:color w:val="auto"/>
          <w:sz w:val="24"/>
          <w:szCs w:val="24"/>
          <w:highlight w:val="none"/>
        </w:rPr>
      </w:pPr>
      <w:r>
        <w:rPr>
          <w:rFonts w:hint="eastAsia" w:ascii="仿宋" w:eastAsia="仿宋"/>
          <w:b/>
          <w:bCs/>
          <w:color w:val="auto"/>
          <w:sz w:val="24"/>
          <w:szCs w:val="24"/>
          <w:highlight w:val="none"/>
        </w:rPr>
        <w:t>投标人名称：</w:t>
      </w:r>
    </w:p>
    <w:p>
      <w:pPr>
        <w:spacing w:after="0"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3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387"/>
        <w:gridCol w:w="1388"/>
        <w:gridCol w:w="2480"/>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6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r>
              <w:rPr>
                <w:rFonts w:ascii="仿宋" w:eastAsia="仿宋"/>
                <w:color w:val="auto"/>
                <w:sz w:val="24"/>
                <w:highlight w:val="none"/>
                <w:lang w:val="en-GB"/>
              </w:rPr>
              <w:t>首台套或制造精品产品</w:t>
            </w:r>
          </w:p>
        </w:tc>
        <w:tc>
          <w:tcPr>
            <w:tcW w:w="138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核心产品</w:t>
            </w:r>
          </w:p>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名称</w:t>
            </w:r>
          </w:p>
        </w:tc>
        <w:tc>
          <w:tcPr>
            <w:tcW w:w="1388"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38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6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after="0"/>
              <w:rPr>
                <w:color w:val="auto"/>
                <w:highlight w:val="none"/>
              </w:rPr>
            </w:pPr>
          </w:p>
        </w:tc>
        <w:tc>
          <w:tcPr>
            <w:tcW w:w="138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rPr>
            </w:pPr>
          </w:p>
        </w:tc>
        <w:tc>
          <w:tcPr>
            <w:tcW w:w="1388"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rPr>
            </w:pPr>
          </w:p>
        </w:tc>
        <w:tc>
          <w:tcPr>
            <w:tcW w:w="38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after="0"/>
              <w:rPr>
                <w:color w:val="auto"/>
                <w:highlight w:val="none"/>
              </w:rPr>
            </w:pPr>
          </w:p>
        </w:tc>
        <w:tc>
          <w:tcPr>
            <w:tcW w:w="138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rPr>
            </w:pPr>
          </w:p>
        </w:tc>
        <w:tc>
          <w:tcPr>
            <w:tcW w:w="1388"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rPr>
            </w:pPr>
          </w:p>
        </w:tc>
        <w:tc>
          <w:tcPr>
            <w:tcW w:w="38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6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节能产品</w:t>
            </w:r>
          </w:p>
        </w:tc>
        <w:tc>
          <w:tcPr>
            <w:tcW w:w="138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388"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8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16"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节能认证</w:t>
            </w:r>
          </w:p>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26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after="0"/>
              <w:rPr>
                <w:color w:val="auto"/>
                <w:highlight w:val="none"/>
              </w:rPr>
            </w:pPr>
          </w:p>
        </w:tc>
        <w:tc>
          <w:tcPr>
            <w:tcW w:w="138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c>
          <w:tcPr>
            <w:tcW w:w="1388"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c>
          <w:tcPr>
            <w:tcW w:w="248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c>
          <w:tcPr>
            <w:tcW w:w="1416"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6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after="0"/>
              <w:rPr>
                <w:color w:val="auto"/>
                <w:highlight w:val="none"/>
              </w:rPr>
            </w:pPr>
          </w:p>
        </w:tc>
        <w:tc>
          <w:tcPr>
            <w:tcW w:w="138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c>
          <w:tcPr>
            <w:tcW w:w="1388"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c>
          <w:tcPr>
            <w:tcW w:w="248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c>
          <w:tcPr>
            <w:tcW w:w="1416"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环境标</w:t>
            </w:r>
          </w:p>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志产品</w:t>
            </w:r>
          </w:p>
        </w:tc>
        <w:tc>
          <w:tcPr>
            <w:tcW w:w="138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388"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8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16"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环境标志认</w:t>
            </w:r>
          </w:p>
          <w:p>
            <w:pPr>
              <w:pStyle w:val="47"/>
              <w:tabs>
                <w:tab w:val="left" w:pos="1260"/>
              </w:tabs>
              <w:snapToGrid w:val="0"/>
              <w:spacing w:after="0"/>
              <w:jc w:val="center"/>
              <w:rPr>
                <w:rFonts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6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after="0"/>
              <w:rPr>
                <w:color w:val="auto"/>
                <w:highlight w:val="none"/>
              </w:rPr>
            </w:pPr>
          </w:p>
        </w:tc>
        <w:tc>
          <w:tcPr>
            <w:tcW w:w="138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c>
          <w:tcPr>
            <w:tcW w:w="1388"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c>
          <w:tcPr>
            <w:tcW w:w="248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c>
          <w:tcPr>
            <w:tcW w:w="1416"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6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after="0"/>
              <w:rPr>
                <w:color w:val="auto"/>
                <w:highlight w:val="none"/>
              </w:rPr>
            </w:pPr>
          </w:p>
        </w:tc>
        <w:tc>
          <w:tcPr>
            <w:tcW w:w="138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c>
          <w:tcPr>
            <w:tcW w:w="1388"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c>
          <w:tcPr>
            <w:tcW w:w="248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c>
          <w:tcPr>
            <w:tcW w:w="1416"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after="0" w:line="360" w:lineRule="auto"/>
              <w:jc w:val="center"/>
              <w:rPr>
                <w:rFonts w:ascii="仿宋" w:eastAsia="仿宋"/>
                <w:color w:val="auto"/>
                <w:sz w:val="24"/>
                <w:highlight w:val="none"/>
                <w:lang w:val="en-GB"/>
              </w:rPr>
            </w:pPr>
          </w:p>
        </w:tc>
      </w:tr>
    </w:tbl>
    <w:p>
      <w:pPr>
        <w:spacing w:after="0" w:line="360" w:lineRule="auto"/>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pPr>
        <w:spacing w:after="0" w:line="360" w:lineRule="auto"/>
        <w:rPr>
          <w:rFonts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pPr>
        <w:pStyle w:val="18"/>
        <w:spacing w:after="0" w:line="360" w:lineRule="auto"/>
        <w:rPr>
          <w:rFonts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pPr>
        <w:spacing w:after="0"/>
        <w:rPr>
          <w:rFonts w:ascii="仿宋" w:eastAsia="仿宋"/>
          <w:color w:val="auto"/>
          <w:spacing w:val="20"/>
          <w:sz w:val="24"/>
          <w:szCs w:val="24"/>
          <w:highlight w:val="none"/>
        </w:rPr>
      </w:pPr>
    </w:p>
    <w:p>
      <w:pPr>
        <w:spacing w:after="0"/>
        <w:rPr>
          <w:rFonts w:ascii="仿宋" w:eastAsia="仿宋"/>
          <w:color w:val="auto"/>
          <w:spacing w:val="20"/>
          <w:sz w:val="24"/>
          <w:szCs w:val="24"/>
          <w:highlight w:val="none"/>
        </w:rPr>
      </w:pPr>
    </w:p>
    <w:p>
      <w:pPr>
        <w:spacing w:after="0"/>
        <w:rPr>
          <w:rFonts w:ascii="仿宋" w:eastAsia="仿宋"/>
          <w:color w:val="auto"/>
          <w:spacing w:val="20"/>
          <w:sz w:val="24"/>
          <w:szCs w:val="24"/>
          <w:highlight w:val="none"/>
        </w:rPr>
      </w:pPr>
      <w:r>
        <w:rPr>
          <w:rFonts w:hint="eastAsia" w:ascii="仿宋" w:eastAsia="仿宋"/>
          <w:color w:val="auto"/>
          <w:spacing w:val="20"/>
          <w:sz w:val="24"/>
          <w:szCs w:val="24"/>
          <w:highlight w:val="none"/>
        </w:rPr>
        <w:t>法定代表人或其授权代表（签字或盖章）：</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spacing w:after="0"/>
        <w:rPr>
          <w:rFonts w:ascii="仿宋" w:eastAsia="仿宋"/>
          <w:color w:val="auto"/>
          <w:spacing w:val="20"/>
          <w:sz w:val="24"/>
          <w:szCs w:val="24"/>
          <w:highlight w:val="none"/>
        </w:rPr>
      </w:pPr>
    </w:p>
    <w:p>
      <w:pPr>
        <w:spacing w:after="0"/>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pPr>
        <w:rPr>
          <w:rFonts w:ascii="仿宋" w:eastAsia="仿宋"/>
          <w:color w:val="auto"/>
          <w:spacing w:val="20"/>
          <w:sz w:val="24"/>
          <w:szCs w:val="24"/>
          <w:highlight w:val="none"/>
          <w:u w:val="single"/>
        </w:rPr>
      </w:pPr>
    </w:p>
    <w:p>
      <w:pPr>
        <w:snapToGrid w:val="0"/>
        <w:spacing w:before="156" w:beforeLines="50" w:after="50"/>
        <w:jc w:val="left"/>
        <w:rPr>
          <w:rFonts w:ascii="仿宋" w:eastAsia="仿宋"/>
          <w:b/>
          <w:bCs/>
          <w:color w:val="auto"/>
          <w:sz w:val="30"/>
          <w:szCs w:val="30"/>
          <w:highlight w:val="none"/>
        </w:rPr>
      </w:pPr>
    </w:p>
    <w:p>
      <w:pPr>
        <w:snapToGrid w:val="0"/>
        <w:spacing w:before="156" w:beforeLines="50" w:after="50"/>
        <w:jc w:val="left"/>
        <w:rPr>
          <w:rFonts w:ascii="仿宋" w:eastAsia="仿宋"/>
          <w:b/>
          <w:bCs/>
          <w:color w:val="auto"/>
          <w:sz w:val="30"/>
          <w:szCs w:val="30"/>
          <w:highlight w:val="none"/>
        </w:rPr>
      </w:pP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附件16：报价文件封面</w:t>
      </w:r>
    </w:p>
    <w:p>
      <w:pPr>
        <w:snapToGrid w:val="0"/>
        <w:spacing w:before="156" w:beforeLines="50" w:after="50"/>
        <w:jc w:val="right"/>
        <w:rPr>
          <w:rFonts w:ascii="仿宋" w:eastAsia="仿宋"/>
          <w:b/>
          <w:color w:val="auto"/>
          <w:sz w:val="30"/>
          <w:szCs w:val="30"/>
          <w:highlight w:val="none"/>
        </w:rPr>
      </w:pP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rPr>
          <w:rFonts w:ascii="仿宋" w:eastAsia="仿宋"/>
          <w:color w:val="auto"/>
          <w:sz w:val="72"/>
          <w:szCs w:val="72"/>
          <w:highlight w:val="none"/>
        </w:rPr>
      </w:pP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ascii="仿宋" w:eastAsia="仿宋"/>
          <w:color w:val="auto"/>
          <w:sz w:val="24"/>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附件17：报价文件目录</w:t>
      </w:r>
    </w:p>
    <w:p>
      <w:pPr>
        <w:snapToGrid w:val="0"/>
        <w:spacing w:before="156" w:beforeLines="50" w:after="50"/>
        <w:jc w:val="left"/>
        <w:rPr>
          <w:rFonts w:ascii="仿宋" w:eastAsia="仿宋"/>
          <w:color w:val="auto"/>
          <w:sz w:val="30"/>
          <w:szCs w:val="30"/>
          <w:highlight w:val="none"/>
        </w:rPr>
      </w:pPr>
    </w:p>
    <w:p>
      <w:pPr>
        <w:pStyle w:val="46"/>
        <w:spacing w:line="360" w:lineRule="auto"/>
        <w:ind w:firstLine="0" w:firstLineChars="0"/>
        <w:jc w:val="center"/>
        <w:rPr>
          <w:rFonts w:ascii="仿宋" w:eastAsia="仿宋" w:cs="仿宋_GB2312"/>
          <w:color w:val="auto"/>
          <w:highlight w:val="none"/>
        </w:rPr>
      </w:pPr>
      <w:bookmarkStart w:id="75" w:name="_Toc64369825"/>
      <w:r>
        <w:rPr>
          <w:rFonts w:hint="eastAsia" w:ascii="仿宋" w:eastAsia="仿宋" w:cs="仿宋_GB2312"/>
          <w:color w:val="auto"/>
          <w:highlight w:val="none"/>
        </w:rPr>
        <w:t>目 录</w:t>
      </w:r>
      <w:bookmarkEnd w:id="75"/>
    </w:p>
    <w:p>
      <w:pPr>
        <w:pStyle w:val="46"/>
        <w:numPr>
          <w:ilvl w:val="0"/>
          <w:numId w:val="11"/>
        </w:numPr>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开标一览表 …………………………………………………………………（页码）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2.中小企业声明函（如有）…………………………………………………（页码）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3.残疾人福利性单位声明函（如有）………………………………………（页码）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4.关于报价的其他说明（如有，自拟）……………………………………（页码）</w:t>
      </w: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附件18：</w:t>
      </w: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开标一览表</w:t>
      </w:r>
    </w:p>
    <w:p>
      <w:pPr>
        <w:spacing w:line="400" w:lineRule="exact"/>
        <w:rPr>
          <w:rFonts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pPr>
        <w:snapToGrid w:val="0"/>
        <w:spacing w:line="400" w:lineRule="exact"/>
        <w:rPr>
          <w:rFonts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31"/>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92"/>
        <w:gridCol w:w="1534"/>
        <w:gridCol w:w="1662"/>
        <w:gridCol w:w="1198"/>
        <w:gridCol w:w="166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序号</w:t>
            </w:r>
          </w:p>
        </w:tc>
        <w:tc>
          <w:tcPr>
            <w:tcW w:w="2626"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16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单价</w:t>
            </w:r>
          </w:p>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（人民币元）</w:t>
            </w:r>
          </w:p>
        </w:tc>
        <w:tc>
          <w:tcPr>
            <w:tcW w:w="11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数量</w:t>
            </w:r>
          </w:p>
        </w:tc>
        <w:tc>
          <w:tcPr>
            <w:tcW w:w="16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金额</w:t>
            </w:r>
          </w:p>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（人民币元）</w:t>
            </w:r>
          </w:p>
        </w:tc>
        <w:tc>
          <w:tcPr>
            <w:tcW w:w="143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1</w:t>
            </w:r>
          </w:p>
        </w:tc>
        <w:tc>
          <w:tcPr>
            <w:tcW w:w="2626"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1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2</w:t>
            </w:r>
          </w:p>
        </w:tc>
        <w:tc>
          <w:tcPr>
            <w:tcW w:w="2626"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1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cs="仿宋_GB2312"/>
                <w:color w:val="auto"/>
                <w:sz w:val="28"/>
                <w:szCs w:val="28"/>
                <w:highlight w:val="none"/>
              </w:rPr>
              <w:t>…</w:t>
            </w:r>
          </w:p>
        </w:tc>
        <w:tc>
          <w:tcPr>
            <w:tcW w:w="2626"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1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90" w:type="dxa"/>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投标报价</w:t>
            </w:r>
          </w:p>
        </w:tc>
        <w:tc>
          <w:tcPr>
            <w:tcW w:w="7493"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r>
              <w:rPr>
                <w:rFonts w:hint="eastAsia" w:ascii="仿宋" w:eastAsia="仿宋"/>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90"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7493"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r>
              <w:rPr>
                <w:rFonts w:hint="eastAsia" w:ascii="仿宋" w:eastAsia="仿宋"/>
                <w:b/>
                <w:color w:val="auto"/>
                <w:sz w:val="24"/>
                <w:szCs w:val="24"/>
                <w:highlight w:val="none"/>
              </w:rPr>
              <w:t>小写：</w:t>
            </w:r>
          </w:p>
        </w:tc>
      </w:tr>
    </w:tbl>
    <w:p>
      <w:pPr>
        <w:snapToGrid w:val="0"/>
        <w:jc w:val="left"/>
        <w:rPr>
          <w:rFonts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pPr>
        <w:snapToGrid w:val="0"/>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pPr>
        <w:snapToGrid w:val="0"/>
        <w:ind w:left="480"/>
        <w:rPr>
          <w:rFonts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pPr>
        <w:ind w:firstLine="482" w:firstLineChars="200"/>
        <w:rPr>
          <w:rFonts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pPr>
        <w:ind w:firstLine="482" w:firstLineChars="200"/>
        <w:rPr>
          <w:rFonts w:ascii="仿宋" w:eastAsia="仿宋"/>
          <w:b/>
          <w:color w:val="auto"/>
          <w:kern w:val="0"/>
          <w:sz w:val="24"/>
          <w:highlight w:val="none"/>
          <w:u w:val="single"/>
          <w:lang w:val="zh-CN"/>
        </w:rPr>
      </w:pPr>
    </w:p>
    <w:p>
      <w:pPr>
        <w:snapToGrid w:val="0"/>
        <w:ind w:firstLine="480" w:firstLineChars="200"/>
        <w:jc w:val="left"/>
        <w:rPr>
          <w:rFonts w:ascii="仿宋" w:eastAsia="仿宋"/>
          <w:color w:val="auto"/>
          <w:sz w:val="24"/>
          <w:highlight w:val="none"/>
        </w:rPr>
      </w:pPr>
      <w:bookmarkStart w:id="76" w:name="_Toc64369826"/>
      <w:r>
        <w:rPr>
          <w:rFonts w:hint="eastAsia" w:ascii="仿宋" w:eastAsia="仿宋"/>
          <w:color w:val="auto"/>
          <w:sz w:val="24"/>
          <w:highlight w:val="none"/>
        </w:rPr>
        <w:t xml:space="preserve">法定代表人或其授权代表（签字或盖章）：            </w:t>
      </w:r>
      <w:bookmarkEnd w:id="76"/>
    </w:p>
    <w:p>
      <w:pPr>
        <w:spacing w:line="360" w:lineRule="auto"/>
        <w:jc w:val="left"/>
        <w:outlineLvl w:val="0"/>
        <w:rPr>
          <w:rFonts w:ascii="仿宋" w:eastAsia="仿宋"/>
          <w:color w:val="auto"/>
          <w:sz w:val="24"/>
          <w:highlight w:val="none"/>
        </w:rPr>
      </w:pPr>
    </w:p>
    <w:p>
      <w:pPr>
        <w:snapToGrid w:val="0"/>
        <w:ind w:firstLine="480" w:firstLineChars="200"/>
        <w:jc w:val="left"/>
        <w:rPr>
          <w:rFonts w:ascii="仿宋" w:eastAsia="仿宋"/>
          <w:color w:val="auto"/>
          <w:sz w:val="24"/>
          <w:highlight w:val="none"/>
        </w:rPr>
      </w:pPr>
      <w:bookmarkStart w:id="77" w:name="_Toc64369827"/>
      <w:r>
        <w:rPr>
          <w:rFonts w:hint="eastAsia" w:ascii="仿宋" w:eastAsia="仿宋"/>
          <w:color w:val="auto"/>
          <w:sz w:val="24"/>
          <w:highlight w:val="none"/>
        </w:rPr>
        <w:t>日期：    年   月   日</w:t>
      </w:r>
      <w:bookmarkEnd w:id="77"/>
    </w:p>
    <w:p>
      <w:pPr>
        <w:snapToGrid w:val="0"/>
        <w:ind w:firstLine="480" w:firstLineChars="200"/>
        <w:jc w:val="left"/>
        <w:rPr>
          <w:rFonts w:ascii="仿宋" w:eastAsia="仿宋"/>
          <w:color w:val="auto"/>
          <w:sz w:val="24"/>
          <w:highlight w:val="none"/>
        </w:rPr>
        <w:sectPr>
          <w:footerReference r:id="rId8" w:type="default"/>
          <w:pgSz w:w="11907" w:h="16840"/>
          <w:pgMar w:top="1417" w:right="1417" w:bottom="1417" w:left="1417" w:header="851" w:footer="850" w:gutter="0"/>
          <w:pgNumType w:start="1"/>
          <w:cols w:space="0" w:num="1"/>
          <w:docGrid w:type="lines" w:linePitch="312" w:charSpace="0"/>
        </w:sect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附件19（如有）：</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jc w:val="left"/>
        <w:rPr>
          <w:rFonts w:ascii="仿宋" w:eastAsia="仿宋"/>
          <w:b/>
          <w:bCs/>
          <w:color w:val="auto"/>
          <w:sz w:val="24"/>
          <w:szCs w:val="24"/>
          <w:highlight w:val="none"/>
        </w:rPr>
      </w:pP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12"/>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pPr>
        <w:numPr>
          <w:ilvl w:val="0"/>
          <w:numId w:val="12"/>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12"/>
        </w:num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“标的名称”、“所属行业”按前附表所列填写，有实质性偏离的将不予享受价格扣除。</w:t>
      </w:r>
    </w:p>
    <w:p>
      <w:pPr>
        <w:numPr>
          <w:ilvl w:val="0"/>
          <w:numId w:val="12"/>
        </w:numPr>
        <w:snapToGrid w:val="0"/>
        <w:spacing w:before="50" w:after="50"/>
        <w:jc w:val="left"/>
        <w:rPr>
          <w:rFonts w:ascii="仿宋" w:eastAsia="仿宋"/>
          <w:b/>
          <w:bCs/>
          <w:color w:val="auto"/>
          <w:sz w:val="24"/>
          <w:szCs w:val="24"/>
          <w:highlight w:val="none"/>
        </w:rPr>
      </w:pPr>
      <w:r>
        <w:rPr>
          <w:rFonts w:hint="eastAsia" w:ascii="仿宋" w:eastAsia="仿宋"/>
          <w:b/>
          <w:bCs/>
          <w:color w:val="auto"/>
          <w:sz w:val="24"/>
          <w:szCs w:val="24"/>
          <w:highlight w:val="none"/>
        </w:rPr>
        <w:t>供应商提供由省级以上监狱管理局、戒毒管理局（含新疆生产建设兵团）出具的属于监狱企业的证明文件（格式自拟），视同为小型和微型企业。</w:t>
      </w:r>
    </w:p>
    <w:p>
      <w:pPr>
        <w:spacing w:line="588" w:lineRule="exact"/>
        <w:rPr>
          <w:rFonts w:ascii="仿宋" w:eastAsia="仿宋"/>
          <w:b/>
          <w:color w:val="auto"/>
          <w:spacing w:val="6"/>
          <w:sz w:val="30"/>
          <w:szCs w:val="30"/>
          <w:highlight w:val="none"/>
        </w:rPr>
      </w:pPr>
      <w:bookmarkStart w:id="78" w:name="_Hlk523382353"/>
      <w:r>
        <w:rPr>
          <w:rFonts w:hint="eastAsia" w:ascii="仿宋" w:eastAsia="仿宋"/>
          <w:b/>
          <w:color w:val="auto"/>
          <w:spacing w:val="6"/>
          <w:sz w:val="30"/>
          <w:szCs w:val="30"/>
          <w:highlight w:val="none"/>
        </w:rPr>
        <w:t>附件20（如有）：</w:t>
      </w:r>
    </w:p>
    <w:bookmarkEnd w:id="78"/>
    <w:p>
      <w:pPr>
        <w:spacing w:line="588" w:lineRule="exact"/>
        <w:ind w:firstLine="667"/>
        <w:jc w:val="center"/>
        <w:rPr>
          <w:rFonts w:ascii="仿宋" w:eastAsia="仿宋"/>
          <w:b/>
          <w:color w:val="auto"/>
          <w:spacing w:val="6"/>
          <w:sz w:val="32"/>
          <w:szCs w:val="32"/>
          <w:highlight w:val="none"/>
        </w:rPr>
      </w:pPr>
    </w:p>
    <w:p>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ascii="仿宋" w:eastAsia="仿宋"/>
          <w:b/>
          <w:color w:val="auto"/>
          <w:spacing w:val="6"/>
          <w:sz w:val="30"/>
          <w:szCs w:val="30"/>
          <w:highlight w:val="none"/>
        </w:rPr>
      </w:pPr>
    </w:p>
    <w:p>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pPr>
        <w:ind w:firstLine="480"/>
        <w:rPr>
          <w:rFonts w:ascii="仿宋" w:eastAsia="仿宋" w:cs="仿宋_GB2312"/>
          <w:color w:val="auto"/>
          <w:sz w:val="24"/>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82" w:firstLineChars="200"/>
        <w:rPr>
          <w:rFonts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ascii="仿宋" w:eastAsia="仿宋"/>
          <w:color w:val="auto"/>
          <w:highlight w:val="none"/>
        </w:rPr>
      </w:pPr>
    </w:p>
    <w:p>
      <w:pPr>
        <w:rPr>
          <w:rFonts w:ascii="仿宋" w:eastAsia="仿宋"/>
          <w:b/>
          <w:color w:val="auto"/>
          <w:sz w:val="36"/>
          <w:szCs w:val="36"/>
          <w:highlight w:val="none"/>
        </w:rPr>
      </w:pPr>
      <w:r>
        <w:rPr>
          <w:rFonts w:hint="eastAsia" w:ascii="仿宋" w:eastAsia="仿宋"/>
          <w:b/>
          <w:color w:val="auto"/>
          <w:sz w:val="36"/>
          <w:szCs w:val="36"/>
          <w:highlight w:val="none"/>
        </w:rPr>
        <w:br w:type="page"/>
      </w:r>
    </w:p>
    <w:p>
      <w:pPr>
        <w:snapToGrid w:val="0"/>
        <w:spacing w:before="50" w:after="50"/>
        <w:jc w:val="left"/>
        <w:rPr>
          <w:rFonts w:ascii="仿宋" w:eastAsia="仿宋"/>
          <w:b/>
          <w:color w:val="auto"/>
          <w:sz w:val="36"/>
          <w:szCs w:val="36"/>
          <w:highlight w:val="none"/>
        </w:rPr>
        <w:sectPr>
          <w:footerReference r:id="rId9" w:type="default"/>
          <w:pgSz w:w="11907" w:h="16840"/>
          <w:pgMar w:top="1417" w:right="1417" w:bottom="1417" w:left="1417" w:header="851" w:footer="850" w:gutter="0"/>
          <w:cols w:space="0" w:num="1"/>
          <w:docGrid w:type="lines" w:linePitch="312" w:charSpace="0"/>
        </w:sectPr>
      </w:pPr>
    </w:p>
    <w:p>
      <w:pPr>
        <w:pStyle w:val="3"/>
        <w:rPr>
          <w:rFonts w:ascii="仿宋"/>
          <w:color w:val="auto"/>
          <w:highlight w:val="none"/>
        </w:rPr>
      </w:pPr>
      <w:bookmarkStart w:id="79" w:name="_Toc24364"/>
      <w:r>
        <w:rPr>
          <w:rFonts w:hint="eastAsia" w:ascii="仿宋"/>
          <w:color w:val="auto"/>
          <w:highlight w:val="none"/>
        </w:rPr>
        <w:t>第七章  询问、质疑及投诉</w:t>
      </w:r>
      <w:bookmarkEnd w:id="79"/>
    </w:p>
    <w:p>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rPr>
          <w:rFonts w:ascii="仿宋"/>
          <w:color w:val="auto"/>
          <w:highlight w:val="none"/>
        </w:rPr>
      </w:pPr>
      <w:bookmarkStart w:id="80" w:name="_Toc10413"/>
      <w:r>
        <w:rPr>
          <w:rFonts w:hint="eastAsia" w:ascii="仿宋"/>
          <w:color w:val="auto"/>
          <w:highlight w:val="none"/>
        </w:rPr>
        <w:t>一、供应商询问</w:t>
      </w:r>
      <w:bookmarkEnd w:id="80"/>
    </w:p>
    <w:p>
      <w:pPr>
        <w:pStyle w:val="18"/>
        <w:spacing w:line="360" w:lineRule="auto"/>
        <w:rPr>
          <w:rFonts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18"/>
        <w:spacing w:line="360" w:lineRule="auto"/>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4"/>
        <w:rPr>
          <w:rFonts w:ascii="仿宋"/>
          <w:color w:val="auto"/>
          <w:highlight w:val="none"/>
        </w:rPr>
      </w:pPr>
      <w:bookmarkStart w:id="81" w:name="_Toc15985"/>
      <w:r>
        <w:rPr>
          <w:rFonts w:hint="eastAsia" w:ascii="仿宋"/>
          <w:color w:val="auto"/>
          <w:highlight w:val="none"/>
        </w:rPr>
        <w:t>二、供应商质疑</w:t>
      </w:r>
      <w:bookmarkEnd w:id="81"/>
    </w:p>
    <w:p>
      <w:pPr>
        <w:pStyle w:val="18"/>
        <w:spacing w:line="360" w:lineRule="auto"/>
        <w:rPr>
          <w:rFonts w:ascii="仿宋" w:eastAsia="仿宋"/>
          <w:b/>
          <w:bCs/>
          <w:color w:val="auto"/>
          <w:sz w:val="24"/>
          <w:highlight w:val="none"/>
        </w:rPr>
      </w:pPr>
      <w:r>
        <w:rPr>
          <w:rFonts w:hint="eastAsia" w:ascii="仿宋" w:eastAsia="仿宋"/>
          <w:b/>
          <w:bCs/>
          <w:color w:val="auto"/>
          <w:sz w:val="24"/>
          <w:highlight w:val="none"/>
        </w:rPr>
        <w:t>2.1质疑有效期：</w:t>
      </w:r>
    </w:p>
    <w:p>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pPr>
        <w:pStyle w:val="18"/>
        <w:spacing w:line="360" w:lineRule="auto"/>
        <w:ind w:firstLine="480" w:firstLineChars="200"/>
        <w:rPr>
          <w:rFonts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8"/>
        <w:spacing w:line="360" w:lineRule="auto"/>
        <w:ind w:firstLine="480" w:firstLineChars="200"/>
        <w:rPr>
          <w:rFonts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18"/>
        <w:spacing w:line="360" w:lineRule="auto"/>
        <w:rPr>
          <w:rFonts w:ascii="仿宋" w:eastAsia="仿宋"/>
          <w:b/>
          <w:bCs/>
          <w:color w:val="auto"/>
          <w:sz w:val="24"/>
          <w:highlight w:val="none"/>
        </w:rPr>
      </w:pPr>
      <w:r>
        <w:rPr>
          <w:rFonts w:hint="eastAsia" w:ascii="仿宋" w:eastAsia="仿宋"/>
          <w:b/>
          <w:bCs/>
          <w:color w:val="auto"/>
          <w:sz w:val="24"/>
          <w:highlight w:val="none"/>
        </w:rPr>
        <w:t>2.2质疑主体的有效性：</w:t>
      </w:r>
    </w:p>
    <w:p>
      <w:pPr>
        <w:pStyle w:val="18"/>
        <w:spacing w:line="360" w:lineRule="auto"/>
        <w:rPr>
          <w:rFonts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18"/>
        <w:spacing w:line="360" w:lineRule="auto"/>
        <w:rPr>
          <w:rFonts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pPr>
        <w:pStyle w:val="18"/>
        <w:spacing w:line="360" w:lineRule="auto"/>
        <w:rPr>
          <w:rFonts w:ascii="仿宋" w:eastAsia="仿宋"/>
          <w:b/>
          <w:bCs/>
          <w:color w:val="auto"/>
          <w:sz w:val="24"/>
          <w:highlight w:val="none"/>
        </w:rPr>
      </w:pPr>
      <w:r>
        <w:rPr>
          <w:rFonts w:hint="eastAsia" w:ascii="仿宋" w:eastAsia="仿宋"/>
          <w:b/>
          <w:bCs/>
          <w:color w:val="auto"/>
          <w:sz w:val="24"/>
          <w:highlight w:val="none"/>
        </w:rPr>
        <w:t>2.3质疑的答复</w:t>
      </w:r>
    </w:p>
    <w:p>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18"/>
        <w:spacing w:line="360" w:lineRule="auto"/>
        <w:rPr>
          <w:rFonts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pPr>
        <w:pStyle w:val="4"/>
        <w:rPr>
          <w:rFonts w:ascii="仿宋"/>
          <w:color w:val="auto"/>
          <w:highlight w:val="none"/>
        </w:rPr>
      </w:pPr>
      <w:bookmarkStart w:id="82" w:name="_Toc24698"/>
      <w:r>
        <w:rPr>
          <w:rFonts w:hint="eastAsia" w:ascii="仿宋"/>
          <w:color w:val="auto"/>
          <w:highlight w:val="none"/>
        </w:rPr>
        <w:t>三、供应商投诉</w:t>
      </w:r>
      <w:bookmarkEnd w:id="82"/>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pPr>
        <w:adjustRightInd w:val="0"/>
        <w:snapToGrid w:val="0"/>
        <w:spacing w:line="360" w:lineRule="auto"/>
        <w:rPr>
          <w:rFonts w:ascii="仿宋" w:eastAsia="仿宋" w:cs="仿宋"/>
          <w:color w:val="auto"/>
          <w:sz w:val="24"/>
          <w:szCs w:val="24"/>
          <w:highlight w:val="none"/>
          <w:u w:val="dotted"/>
        </w:rPr>
      </w:pPr>
    </w:p>
    <w:p>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ascii="仿宋" w:eastAsia="仿宋" w:cs="仿宋"/>
          <w:color w:val="auto"/>
          <w:sz w:val="24"/>
          <w:szCs w:val="24"/>
          <w:highlight w:val="none"/>
        </w:rPr>
      </w:pPr>
    </w:p>
    <w:p>
      <w:pPr>
        <w:adjustRightInd w:val="0"/>
        <w:snapToGrid w:val="0"/>
        <w:spacing w:line="360" w:lineRule="auto"/>
        <w:rPr>
          <w:rFonts w:ascii="仿宋" w:eastAsia="仿宋" w:cs="宋体"/>
          <w:color w:val="auto"/>
          <w:kern w:val="0"/>
          <w:sz w:val="24"/>
          <w:szCs w:val="24"/>
          <w:highlight w:val="none"/>
        </w:rPr>
      </w:pPr>
    </w:p>
    <w:p>
      <w:pPr>
        <w:adjustRightInd w:val="0"/>
        <w:snapToGrid w:val="0"/>
        <w:spacing w:line="360" w:lineRule="auto"/>
        <w:rPr>
          <w:rFonts w:ascii="仿宋" w:eastAsia="仿宋" w:cs="宋体"/>
          <w:color w:val="auto"/>
          <w:kern w:val="0"/>
          <w:sz w:val="24"/>
          <w:szCs w:val="24"/>
          <w:highlight w:val="none"/>
        </w:rPr>
      </w:pPr>
    </w:p>
    <w:sectPr>
      <w:pgSz w:w="11907" w:h="16840"/>
      <w:pgMar w:top="1417" w:right="1417" w:bottom="1417" w:left="1417" w:header="851" w:footer="850"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outlineLvl w:val="1"/>
      <w:rPr>
        <w:rFonts w:eastAsia="Times New Roman"/>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Pr>
    <w:r>
      <w:rPr>
        <w:rStyle w:val="35"/>
      </w:rPr>
      <w:fldChar w:fldCharType="begin"/>
    </w:r>
    <w:r>
      <w:rPr>
        <w:rStyle w:val="35"/>
      </w:rPr>
      <w:instrText xml:space="preserve">Page</w:instrText>
    </w:r>
    <w:r>
      <w:rPr>
        <w:rStyle w:val="35"/>
      </w:rPr>
      <w:fldChar w:fldCharType="separate"/>
    </w:r>
    <w:r>
      <w:rPr>
        <w:rStyle w:val="35"/>
      </w:rPr>
      <w:t>1</w:t>
    </w:r>
    <w:r>
      <w:rPr>
        <w:rStyle w:val="35"/>
      </w:rPr>
      <w:fldChar w:fldCharType="end"/>
    </w:r>
  </w:p>
  <w:p>
    <w:pPr>
      <w:pStyle w:val="20"/>
      <w:framePr w:wrap="around" w:vAnchor="text" w:hAnchor="margin" w:xAlign="center" w:y="1"/>
    </w:pPr>
    <w:r>
      <w:rPr>
        <w:rStyle w:val="35"/>
      </w:rPr>
      <w:fldChar w:fldCharType="begin"/>
    </w:r>
    <w:r>
      <w:rPr>
        <w:rStyle w:val="35"/>
      </w:rPr>
      <w:instrText xml:space="preserve">Page</w:instrText>
    </w:r>
    <w:r>
      <w:rPr>
        <w:rStyle w:val="35"/>
      </w:rPr>
      <w:fldChar w:fldCharType="separate"/>
    </w:r>
    <w:r>
      <w:rPr>
        <w:rStyle w:val="35"/>
      </w:rPr>
      <w:t>1</w:t>
    </w:r>
    <w:r>
      <w:rPr>
        <w:rStyle w:val="35"/>
      </w:rP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Style w:val="35"/>
                            </w:rPr>
                            <w:fldChar w:fldCharType="begin"/>
                          </w:r>
                          <w:r>
                            <w:rPr>
                              <w:rStyle w:val="35"/>
                            </w:rPr>
                            <w:instrText xml:space="preserve">Page</w:instrText>
                          </w:r>
                          <w:r>
                            <w:rPr>
                              <w:rStyle w:val="35"/>
                            </w:rPr>
                            <w:fldChar w:fldCharType="separate"/>
                          </w:r>
                          <w:r>
                            <w:rPr>
                              <w:rStyle w:val="35"/>
                            </w:rPr>
                            <w:t>1</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0"/>
                    </w:pPr>
                    <w:r>
                      <w:rPr>
                        <w:rStyle w:val="35"/>
                      </w:rPr>
                      <w:fldChar w:fldCharType="begin"/>
                    </w:r>
                    <w:r>
                      <w:rPr>
                        <w:rStyle w:val="35"/>
                      </w:rPr>
                      <w:instrText xml:space="preserve">Page</w:instrText>
                    </w:r>
                    <w:r>
                      <w:rPr>
                        <w:rStyle w:val="35"/>
                      </w:rPr>
                      <w:fldChar w:fldCharType="separate"/>
                    </w:r>
                    <w:r>
                      <w:rPr>
                        <w:rStyle w:val="35"/>
                      </w:rPr>
                      <w:t>1</w:t>
                    </w:r>
                    <w:r>
                      <w:rPr>
                        <w:rStyle w:val="3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BEECE097"/>
    <w:multiLevelType w:val="singleLevel"/>
    <w:tmpl w:val="BEECE097"/>
    <w:lvl w:ilvl="0" w:tentative="0">
      <w:start w:val="1"/>
      <w:numFmt w:val="decimal"/>
      <w:suff w:val="nothing"/>
      <w:lvlText w:val="（%1）"/>
      <w:lvlJc w:val="left"/>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C3B33ACD"/>
    <w:multiLevelType w:val="singleLevel"/>
    <w:tmpl w:val="C3B33ACD"/>
    <w:lvl w:ilvl="0" w:tentative="0">
      <w:start w:val="1"/>
      <w:numFmt w:val="decimal"/>
      <w:lvlText w:val="%1."/>
      <w:lvlJc w:val="left"/>
      <w:pPr>
        <w:tabs>
          <w:tab w:val="left" w:pos="312"/>
        </w:tabs>
      </w:pPr>
    </w:lvl>
  </w:abstractNum>
  <w:abstractNum w:abstractNumId="6">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7">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8">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9">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8"/>
  </w:num>
  <w:num w:numId="2">
    <w:abstractNumId w:val="4"/>
  </w:num>
  <w:num w:numId="3">
    <w:abstractNumId w:val="1"/>
  </w:num>
  <w:num w:numId="4">
    <w:abstractNumId w:val="10"/>
  </w:num>
  <w:num w:numId="5">
    <w:abstractNumId w:val="3"/>
  </w:num>
  <w:num w:numId="6">
    <w:abstractNumId w:val="6"/>
  </w:num>
  <w:num w:numId="7">
    <w:abstractNumId w:val="5"/>
  </w:num>
  <w:num w:numId="8">
    <w:abstractNumId w:val="7"/>
  </w:num>
  <w:num w:numId="9">
    <w:abstractNumId w:val="9"/>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3ODdiMzA2NTU5MWZkY2I5NTgyN2UyNDhjZDY5NDAifQ=="/>
  </w:docVars>
  <w:rsids>
    <w:rsidRoot w:val="00E2561A"/>
    <w:rsid w:val="0003285C"/>
    <w:rsid w:val="00034750"/>
    <w:rsid w:val="00062F36"/>
    <w:rsid w:val="000B4E7E"/>
    <w:rsid w:val="000D041F"/>
    <w:rsid w:val="001127CA"/>
    <w:rsid w:val="00130C4F"/>
    <w:rsid w:val="00142513"/>
    <w:rsid w:val="001B54E3"/>
    <w:rsid w:val="001F6E34"/>
    <w:rsid w:val="00265680"/>
    <w:rsid w:val="00275724"/>
    <w:rsid w:val="003A371B"/>
    <w:rsid w:val="003C6B2D"/>
    <w:rsid w:val="003E1ACA"/>
    <w:rsid w:val="003E5AFF"/>
    <w:rsid w:val="003F2E2F"/>
    <w:rsid w:val="00434576"/>
    <w:rsid w:val="004F44CC"/>
    <w:rsid w:val="00515408"/>
    <w:rsid w:val="00563D2C"/>
    <w:rsid w:val="005F7AB5"/>
    <w:rsid w:val="006167FC"/>
    <w:rsid w:val="00642832"/>
    <w:rsid w:val="006A61FF"/>
    <w:rsid w:val="006C2668"/>
    <w:rsid w:val="0070185D"/>
    <w:rsid w:val="00853372"/>
    <w:rsid w:val="00853F22"/>
    <w:rsid w:val="008571BC"/>
    <w:rsid w:val="00921F00"/>
    <w:rsid w:val="00925AB8"/>
    <w:rsid w:val="009A63F9"/>
    <w:rsid w:val="009E1B07"/>
    <w:rsid w:val="00A40068"/>
    <w:rsid w:val="00A46C34"/>
    <w:rsid w:val="00AC6BD5"/>
    <w:rsid w:val="00B8127D"/>
    <w:rsid w:val="00B84094"/>
    <w:rsid w:val="00BE19D4"/>
    <w:rsid w:val="00C52FD9"/>
    <w:rsid w:val="00CA5DF7"/>
    <w:rsid w:val="00DB14B4"/>
    <w:rsid w:val="00E2561A"/>
    <w:rsid w:val="00EA3DA6"/>
    <w:rsid w:val="00F478F1"/>
    <w:rsid w:val="00F81728"/>
    <w:rsid w:val="012041E9"/>
    <w:rsid w:val="023A0599"/>
    <w:rsid w:val="0242314F"/>
    <w:rsid w:val="0273333A"/>
    <w:rsid w:val="04AB17B9"/>
    <w:rsid w:val="04EF2674"/>
    <w:rsid w:val="050E1DC6"/>
    <w:rsid w:val="059E1B26"/>
    <w:rsid w:val="06076FA6"/>
    <w:rsid w:val="06AF7FB7"/>
    <w:rsid w:val="07334CB8"/>
    <w:rsid w:val="079C676C"/>
    <w:rsid w:val="08A234FA"/>
    <w:rsid w:val="09933755"/>
    <w:rsid w:val="0ADA681B"/>
    <w:rsid w:val="0B64126C"/>
    <w:rsid w:val="0BF84E2F"/>
    <w:rsid w:val="0BFB3042"/>
    <w:rsid w:val="0C014D88"/>
    <w:rsid w:val="0C6338C2"/>
    <w:rsid w:val="0C954415"/>
    <w:rsid w:val="0CEC2F96"/>
    <w:rsid w:val="0D2941EA"/>
    <w:rsid w:val="0DA33D4D"/>
    <w:rsid w:val="0DB855C0"/>
    <w:rsid w:val="0DD065A0"/>
    <w:rsid w:val="0E321257"/>
    <w:rsid w:val="0E73563F"/>
    <w:rsid w:val="0E7877FA"/>
    <w:rsid w:val="0E942F47"/>
    <w:rsid w:val="0EF97E05"/>
    <w:rsid w:val="0F4E1CE6"/>
    <w:rsid w:val="0F930041"/>
    <w:rsid w:val="105F4DD2"/>
    <w:rsid w:val="10817822"/>
    <w:rsid w:val="115B2212"/>
    <w:rsid w:val="116A4F9F"/>
    <w:rsid w:val="13761404"/>
    <w:rsid w:val="13F716F7"/>
    <w:rsid w:val="14EA4EE0"/>
    <w:rsid w:val="14EF7AC7"/>
    <w:rsid w:val="151B6B0E"/>
    <w:rsid w:val="15201D74"/>
    <w:rsid w:val="1554225D"/>
    <w:rsid w:val="162E6F4A"/>
    <w:rsid w:val="16855C6C"/>
    <w:rsid w:val="16C017E1"/>
    <w:rsid w:val="16F32A11"/>
    <w:rsid w:val="17125CEF"/>
    <w:rsid w:val="173B5246"/>
    <w:rsid w:val="1778450C"/>
    <w:rsid w:val="18463E5F"/>
    <w:rsid w:val="188400A6"/>
    <w:rsid w:val="18846FC8"/>
    <w:rsid w:val="190434D7"/>
    <w:rsid w:val="1A523923"/>
    <w:rsid w:val="1AA55149"/>
    <w:rsid w:val="1ACB4C3B"/>
    <w:rsid w:val="1ADC4E57"/>
    <w:rsid w:val="1C510B18"/>
    <w:rsid w:val="1CEA3E6C"/>
    <w:rsid w:val="1D187DD7"/>
    <w:rsid w:val="1D5B12D4"/>
    <w:rsid w:val="1E052E2B"/>
    <w:rsid w:val="1E1E31CB"/>
    <w:rsid w:val="1E222CE3"/>
    <w:rsid w:val="1E5F7198"/>
    <w:rsid w:val="1EA87301"/>
    <w:rsid w:val="1EE935E0"/>
    <w:rsid w:val="1EF529EF"/>
    <w:rsid w:val="1F3DAE40"/>
    <w:rsid w:val="1F7056E8"/>
    <w:rsid w:val="1F7F2244"/>
    <w:rsid w:val="1FAC5786"/>
    <w:rsid w:val="1FC5468E"/>
    <w:rsid w:val="1FF32EA4"/>
    <w:rsid w:val="212E45FE"/>
    <w:rsid w:val="21627525"/>
    <w:rsid w:val="21E33B25"/>
    <w:rsid w:val="24354C79"/>
    <w:rsid w:val="249B6645"/>
    <w:rsid w:val="25196A3D"/>
    <w:rsid w:val="271C5219"/>
    <w:rsid w:val="29436515"/>
    <w:rsid w:val="298E3F12"/>
    <w:rsid w:val="2AEF33B1"/>
    <w:rsid w:val="2BC576F6"/>
    <w:rsid w:val="2CAB2C47"/>
    <w:rsid w:val="2CCE74D1"/>
    <w:rsid w:val="2D17370F"/>
    <w:rsid w:val="2D8707FC"/>
    <w:rsid w:val="301B13F8"/>
    <w:rsid w:val="304371E7"/>
    <w:rsid w:val="30BD2830"/>
    <w:rsid w:val="30D32A6D"/>
    <w:rsid w:val="3282540B"/>
    <w:rsid w:val="329E6426"/>
    <w:rsid w:val="32BC647C"/>
    <w:rsid w:val="33576347"/>
    <w:rsid w:val="3390567D"/>
    <w:rsid w:val="365A4FDB"/>
    <w:rsid w:val="36A72686"/>
    <w:rsid w:val="370E69C8"/>
    <w:rsid w:val="37B26A07"/>
    <w:rsid w:val="38110C91"/>
    <w:rsid w:val="38553C94"/>
    <w:rsid w:val="391815C9"/>
    <w:rsid w:val="39DD11D9"/>
    <w:rsid w:val="3A152ED8"/>
    <w:rsid w:val="3A553CC1"/>
    <w:rsid w:val="3A922AE8"/>
    <w:rsid w:val="3A972F8C"/>
    <w:rsid w:val="3B22165D"/>
    <w:rsid w:val="3BA77DEB"/>
    <w:rsid w:val="3BA93A0C"/>
    <w:rsid w:val="3BCD5481"/>
    <w:rsid w:val="3CB90F2D"/>
    <w:rsid w:val="3D4A5478"/>
    <w:rsid w:val="3D726879"/>
    <w:rsid w:val="3F2765BC"/>
    <w:rsid w:val="3F7431A1"/>
    <w:rsid w:val="3FF37625"/>
    <w:rsid w:val="400B18F9"/>
    <w:rsid w:val="407C613A"/>
    <w:rsid w:val="40E214FB"/>
    <w:rsid w:val="414B3D49"/>
    <w:rsid w:val="42954D9F"/>
    <w:rsid w:val="43C6640E"/>
    <w:rsid w:val="44167F08"/>
    <w:rsid w:val="447D6E42"/>
    <w:rsid w:val="454B0EBC"/>
    <w:rsid w:val="458B6AE9"/>
    <w:rsid w:val="45AE5946"/>
    <w:rsid w:val="460505F6"/>
    <w:rsid w:val="46424369"/>
    <w:rsid w:val="46701F50"/>
    <w:rsid w:val="46D729A5"/>
    <w:rsid w:val="47261257"/>
    <w:rsid w:val="47B40CAE"/>
    <w:rsid w:val="482A7F8D"/>
    <w:rsid w:val="49216A17"/>
    <w:rsid w:val="492645E3"/>
    <w:rsid w:val="497A4499"/>
    <w:rsid w:val="49A3689E"/>
    <w:rsid w:val="4A323C48"/>
    <w:rsid w:val="4AB86860"/>
    <w:rsid w:val="4B2832DF"/>
    <w:rsid w:val="4BF33F80"/>
    <w:rsid w:val="4CBE1552"/>
    <w:rsid w:val="4D3962A1"/>
    <w:rsid w:val="4D562FEC"/>
    <w:rsid w:val="4D8B6786"/>
    <w:rsid w:val="4F193182"/>
    <w:rsid w:val="4F1D75D8"/>
    <w:rsid w:val="500D38F4"/>
    <w:rsid w:val="5028499E"/>
    <w:rsid w:val="502D0652"/>
    <w:rsid w:val="50393DA6"/>
    <w:rsid w:val="50D16E98"/>
    <w:rsid w:val="51132CC3"/>
    <w:rsid w:val="51277EC3"/>
    <w:rsid w:val="524E5F14"/>
    <w:rsid w:val="525F7333"/>
    <w:rsid w:val="53415283"/>
    <w:rsid w:val="534474A0"/>
    <w:rsid w:val="555996B1"/>
    <w:rsid w:val="5694466E"/>
    <w:rsid w:val="57BDDF6C"/>
    <w:rsid w:val="57FC69CD"/>
    <w:rsid w:val="57FFAAC1"/>
    <w:rsid w:val="58550FBC"/>
    <w:rsid w:val="591E6160"/>
    <w:rsid w:val="596C7788"/>
    <w:rsid w:val="596F7548"/>
    <w:rsid w:val="598D48F7"/>
    <w:rsid w:val="5A1C0A47"/>
    <w:rsid w:val="5A43524E"/>
    <w:rsid w:val="5A843E47"/>
    <w:rsid w:val="5B5E2417"/>
    <w:rsid w:val="5C957F91"/>
    <w:rsid w:val="5C9F4947"/>
    <w:rsid w:val="5D077B0A"/>
    <w:rsid w:val="5DEDCA96"/>
    <w:rsid w:val="5E72057F"/>
    <w:rsid w:val="5EA61648"/>
    <w:rsid w:val="5F5B5277"/>
    <w:rsid w:val="5F76D747"/>
    <w:rsid w:val="60537E42"/>
    <w:rsid w:val="61E215F1"/>
    <w:rsid w:val="61E47C29"/>
    <w:rsid w:val="621F273B"/>
    <w:rsid w:val="624A2E48"/>
    <w:rsid w:val="624E318C"/>
    <w:rsid w:val="62D26FF7"/>
    <w:rsid w:val="62E6604F"/>
    <w:rsid w:val="63763E14"/>
    <w:rsid w:val="63D22AF0"/>
    <w:rsid w:val="64655DA1"/>
    <w:rsid w:val="64A93A5E"/>
    <w:rsid w:val="64D81586"/>
    <w:rsid w:val="65926A1A"/>
    <w:rsid w:val="65D42EF0"/>
    <w:rsid w:val="65DC5DAF"/>
    <w:rsid w:val="664B5B92"/>
    <w:rsid w:val="668A2F6D"/>
    <w:rsid w:val="66B47C92"/>
    <w:rsid w:val="676F013D"/>
    <w:rsid w:val="67DC7F38"/>
    <w:rsid w:val="6972446D"/>
    <w:rsid w:val="69B96B36"/>
    <w:rsid w:val="6A88233D"/>
    <w:rsid w:val="6ACD4147"/>
    <w:rsid w:val="6AD06FA9"/>
    <w:rsid w:val="6B086EF0"/>
    <w:rsid w:val="6B413295"/>
    <w:rsid w:val="6B803402"/>
    <w:rsid w:val="6B8F78B0"/>
    <w:rsid w:val="6BF306D7"/>
    <w:rsid w:val="6C141881"/>
    <w:rsid w:val="6C316E88"/>
    <w:rsid w:val="6D085120"/>
    <w:rsid w:val="6D41111A"/>
    <w:rsid w:val="6D5E733D"/>
    <w:rsid w:val="6D6C042B"/>
    <w:rsid w:val="6DAB79F8"/>
    <w:rsid w:val="6E3F36A0"/>
    <w:rsid w:val="6E6072AC"/>
    <w:rsid w:val="6FC1421C"/>
    <w:rsid w:val="6FF13869"/>
    <w:rsid w:val="715F348B"/>
    <w:rsid w:val="725824DA"/>
    <w:rsid w:val="725F674C"/>
    <w:rsid w:val="72C80202"/>
    <w:rsid w:val="731C5F37"/>
    <w:rsid w:val="74B24552"/>
    <w:rsid w:val="74DC60D9"/>
    <w:rsid w:val="758C578E"/>
    <w:rsid w:val="76FFD37E"/>
    <w:rsid w:val="7745090F"/>
    <w:rsid w:val="77E51300"/>
    <w:rsid w:val="79FF86B4"/>
    <w:rsid w:val="7A22766D"/>
    <w:rsid w:val="7A8F7F06"/>
    <w:rsid w:val="7AFF2255"/>
    <w:rsid w:val="7B1A73EF"/>
    <w:rsid w:val="7B263453"/>
    <w:rsid w:val="7B5259AF"/>
    <w:rsid w:val="7B963305"/>
    <w:rsid w:val="7BB7446A"/>
    <w:rsid w:val="7BD05A07"/>
    <w:rsid w:val="7BDEDCC6"/>
    <w:rsid w:val="7BF34345"/>
    <w:rsid w:val="7C086B0D"/>
    <w:rsid w:val="7D0D28D0"/>
    <w:rsid w:val="7D7B2AB0"/>
    <w:rsid w:val="7D8E3D0C"/>
    <w:rsid w:val="7DF33C60"/>
    <w:rsid w:val="7EC417B5"/>
    <w:rsid w:val="7ED13832"/>
    <w:rsid w:val="7F723A5B"/>
    <w:rsid w:val="DBFF5A81"/>
    <w:rsid w:val="E7FEF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sz w:val="28"/>
    </w:rPr>
  </w:style>
  <w:style w:type="paragraph" w:styleId="7">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widowControl w:val="0"/>
      <w:adjustRightInd w:val="0"/>
      <w:spacing w:after="160" w:line="360" w:lineRule="auto"/>
      <w:jc w:val="both"/>
    </w:pPr>
    <w:rPr>
      <w:rFonts w:ascii="Times New Roman" w:hAnsi="Times New Roman" w:eastAsia="宋体" w:cs="Times New Roman"/>
      <w:sz w:val="24"/>
      <w:lang w:val="en-US" w:eastAsia="zh-CN" w:bidi="ar-SA"/>
    </w:rPr>
  </w:style>
  <w:style w:type="paragraph" w:styleId="8">
    <w:name w:val="List Number 2"/>
    <w:qFormat/>
    <w:uiPriority w:val="0"/>
    <w:pPr>
      <w:tabs>
        <w:tab w:val="left" w:pos="1697"/>
      </w:tabs>
      <w:spacing w:after="50" w:afterLines="50" w:line="278" w:lineRule="auto"/>
      <w:ind w:left="1697" w:hanging="420"/>
    </w:pPr>
    <w:rPr>
      <w:rFonts w:ascii="Times New Roman" w:hAnsi="Times New Roman" w:eastAsia="宋体" w:cs="Times New Roman"/>
      <w:sz w:val="24"/>
      <w:lang w:val="en-US" w:eastAsia="zh-CN" w:bidi="ar-SA"/>
    </w:rPr>
  </w:style>
  <w:style w:type="paragraph" w:styleId="9">
    <w:name w:val="List Number"/>
    <w:qFormat/>
    <w:uiPriority w:val="0"/>
    <w:pPr>
      <w:numPr>
        <w:ilvl w:val="0"/>
        <w:numId w:val="1"/>
      </w:numPr>
      <w:tabs>
        <w:tab w:val="left" w:pos="454"/>
      </w:tabs>
      <w:spacing w:after="50" w:afterLines="50" w:line="278" w:lineRule="auto"/>
      <w:ind w:left="454" w:hanging="284"/>
    </w:pPr>
    <w:rPr>
      <w:rFonts w:ascii="Times New Roman" w:hAnsi="Times New Roman" w:eastAsia="宋体" w:cs="Times New Roman"/>
      <w:sz w:val="24"/>
      <w:lang w:val="en-US" w:eastAsia="zh-CN" w:bidi="ar-SA"/>
    </w:rPr>
  </w:style>
  <w:style w:type="paragraph" w:styleId="10">
    <w:name w:val="Normal Indent"/>
    <w:basedOn w:val="1"/>
    <w:qFormat/>
    <w:uiPriority w:val="0"/>
    <w:pPr>
      <w:ind w:firstLine="420"/>
    </w:pPr>
    <w:rPr>
      <w:rFonts w:ascii="Calibri" w:hAnsi="Calibri"/>
    </w:rPr>
  </w:style>
  <w:style w:type="paragraph" w:styleId="11">
    <w:name w:val="caption"/>
    <w:next w:val="1"/>
    <w:qFormat/>
    <w:uiPriority w:val="0"/>
    <w:pPr>
      <w:widowControl w:val="0"/>
      <w:spacing w:before="152" w:after="160" w:line="278" w:lineRule="auto"/>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line="278" w:lineRule="auto"/>
      <w:jc w:val="both"/>
    </w:pPr>
    <w:rPr>
      <w:rFonts w:ascii="Times New Roman" w:hAnsi="Times New Roman" w:eastAsia="仿宋_GB2312" w:cs="Times New Roman"/>
      <w:b/>
      <w:bCs/>
      <w:kern w:val="2"/>
      <w:sz w:val="24"/>
      <w:lang w:val="en-US" w:eastAsia="zh-CN" w:bidi="ar-SA"/>
    </w:rPr>
  </w:style>
  <w:style w:type="paragraph" w:styleId="14">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15">
    <w:name w:val="Body Text Indent"/>
    <w:basedOn w:val="1"/>
    <w:next w:val="1"/>
    <w:qFormat/>
    <w:uiPriority w:val="0"/>
    <w:pPr>
      <w:spacing w:after="120"/>
      <w:ind w:left="200" w:leftChars="200"/>
    </w:pPr>
    <w:rPr>
      <w:szCs w:val="24"/>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spacing w:after="160" w:line="278" w:lineRule="auto"/>
      <w:jc w:val="both"/>
    </w:pPr>
    <w:rPr>
      <w:rFonts w:ascii="宋体" w:hAnsi="Times New Roman" w:eastAsia="宋体" w:cs="Times New Roman"/>
      <w:kern w:val="2"/>
      <w:sz w:val="21"/>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spacing w:after="160" w:line="278" w:lineRule="auto"/>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index 7"/>
    <w:basedOn w:val="1"/>
    <w:next w:val="1"/>
    <w:qFormat/>
    <w:uiPriority w:val="0"/>
    <w:pPr>
      <w:ind w:left="2520"/>
    </w:pPr>
  </w:style>
  <w:style w:type="paragraph" w:styleId="25">
    <w:name w:val="toc 2"/>
    <w:basedOn w:val="1"/>
    <w:next w:val="1"/>
    <w:qFormat/>
    <w:uiPriority w:val="0"/>
    <w:pPr>
      <w:ind w:left="420"/>
    </w:pPr>
  </w:style>
  <w:style w:type="paragraph" w:styleId="26">
    <w:name w:val="Normal (Web)"/>
    <w:basedOn w:val="1"/>
    <w:qFormat/>
    <w:uiPriority w:val="0"/>
    <w:rPr>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8">
    <w:name w:val="annotation subject"/>
    <w:basedOn w:val="12"/>
    <w:next w:val="12"/>
    <w:qFormat/>
    <w:uiPriority w:val="0"/>
    <w:rPr>
      <w:b/>
    </w:rPr>
  </w:style>
  <w:style w:type="paragraph" w:styleId="29">
    <w:name w:val="Body Text First Indent"/>
    <w:basedOn w:val="14"/>
    <w:next w:val="14"/>
    <w:qFormat/>
    <w:uiPriority w:val="0"/>
    <w:pPr>
      <w:ind w:firstLine="420"/>
    </w:pPr>
    <w:rPr>
      <w:rFonts w:hAnsi="Calibri" w:cs="Times New Roman"/>
      <w:snapToGrid/>
      <w:szCs w:val="20"/>
    </w:rPr>
  </w:style>
  <w:style w:type="paragraph" w:styleId="30">
    <w:name w:val="Body Text First Indent 2"/>
    <w:basedOn w:val="15"/>
    <w:next w:val="1"/>
    <w:qFormat/>
    <w:uiPriority w:val="0"/>
    <w:pPr>
      <w:ind w:firstLine="42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rPr>
  </w:style>
  <w:style w:type="character" w:styleId="35">
    <w:name w:val="page number"/>
    <w:basedOn w:val="33"/>
    <w:qFormat/>
    <w:uiPriority w:val="0"/>
  </w:style>
  <w:style w:type="character" w:styleId="36">
    <w:name w:val="FollowedHyperlink"/>
    <w:basedOn w:val="33"/>
    <w:qFormat/>
    <w:uiPriority w:val="0"/>
    <w:rPr>
      <w:color w:val="800080"/>
      <w:u w:val="single"/>
    </w:rPr>
  </w:style>
  <w:style w:type="character" w:styleId="37">
    <w:name w:val="Hyperlink"/>
    <w:qFormat/>
    <w:uiPriority w:val="0"/>
    <w:rPr>
      <w:color w:val="0000FF"/>
      <w:u w:val="single"/>
    </w:rPr>
  </w:style>
  <w:style w:type="character" w:styleId="38">
    <w:name w:val="HTML Sample"/>
    <w:qFormat/>
    <w:uiPriority w:val="99"/>
    <w:rPr>
      <w:rFonts w:ascii="Courier New" w:hAnsi="Courier New"/>
    </w:rPr>
  </w:style>
  <w:style w:type="paragraph" w:customStyle="1" w:styleId="39">
    <w:name w:val="Default"/>
    <w:next w:val="40"/>
    <w:qFormat/>
    <w:uiPriority w:val="0"/>
    <w:pPr>
      <w:widowControl w:val="0"/>
      <w:autoSpaceDE w:val="0"/>
      <w:autoSpaceDN w:val="0"/>
      <w:adjustRightInd w:val="0"/>
      <w:spacing w:after="160" w:line="278" w:lineRule="auto"/>
    </w:pPr>
    <w:rPr>
      <w:rFonts w:ascii="Calibri" w:hAnsi="Calibri" w:eastAsia="宋体" w:cs="Times New Roman"/>
      <w:color w:val="000000"/>
      <w:sz w:val="24"/>
      <w:szCs w:val="24"/>
      <w:lang w:val="en-US" w:eastAsia="zh-CN" w:bidi="ar-SA"/>
    </w:rPr>
  </w:style>
  <w:style w:type="paragraph" w:customStyle="1" w:styleId="40">
    <w:name w:val="目录 71"/>
    <w:next w:val="1"/>
    <w:qFormat/>
    <w:uiPriority w:val="0"/>
    <w:pPr>
      <w:wordWrap w:val="0"/>
      <w:spacing w:after="160" w:line="278" w:lineRule="auto"/>
      <w:ind w:left="2550"/>
      <w:jc w:val="both"/>
    </w:pPr>
    <w:rPr>
      <w:rFonts w:ascii="宋体" w:hAnsi="宋体" w:eastAsia="Times New Roman" w:cs="Times New Roman"/>
      <w:sz w:val="21"/>
      <w:lang w:val="en-US" w:eastAsia="zh-CN" w:bidi="ar-SA"/>
    </w:rPr>
  </w:style>
  <w:style w:type="paragraph" w:customStyle="1" w:styleId="41">
    <w:name w:val="正文段"/>
    <w:qFormat/>
    <w:uiPriority w:val="0"/>
    <w:pPr>
      <w:snapToGrid w:val="0"/>
      <w:spacing w:after="50" w:afterLines="50" w:line="278" w:lineRule="auto"/>
      <w:ind w:firstLine="200" w:firstLineChars="200"/>
      <w:jc w:val="both"/>
    </w:pPr>
    <w:rPr>
      <w:rFonts w:ascii="Calibri" w:hAnsi="Calibri" w:eastAsia="宋体" w:cs="Times New Roman"/>
      <w:sz w:val="24"/>
      <w:lang w:val="en-US" w:eastAsia="zh-CN" w:bidi="ar-SA"/>
    </w:rPr>
  </w:style>
  <w:style w:type="paragraph" w:customStyle="1" w:styleId="42">
    <w:name w:val="Proposals body"/>
    <w:next w:val="1"/>
    <w:qFormat/>
    <w:uiPriority w:val="0"/>
    <w:pPr>
      <w:spacing w:after="160" w:line="360" w:lineRule="auto"/>
    </w:pPr>
    <w:rPr>
      <w:rFonts w:ascii="宋体" w:hAnsi="Times New Roman" w:eastAsia="宋体" w:cs="Times New Roman"/>
      <w:snapToGrid w:val="0"/>
      <w:color w:val="000000"/>
      <w:sz w:val="24"/>
      <w:lang w:val="en-US" w:eastAsia="zh-CN" w:bidi="ar-SA"/>
    </w:rPr>
  </w:style>
  <w:style w:type="paragraph" w:customStyle="1" w:styleId="43">
    <w:name w:val="正文文字 7"/>
    <w:basedOn w:val="1"/>
    <w:next w:val="1"/>
    <w:qFormat/>
    <w:uiPriority w:val="0"/>
    <w:pPr>
      <w:ind w:left="240"/>
    </w:pPr>
    <w:rPr>
      <w:sz w:val="20"/>
    </w:rPr>
  </w:style>
  <w:style w:type="paragraph" w:customStyle="1" w:styleId="44">
    <w:name w:val="正文文字 8"/>
    <w:basedOn w:val="1"/>
    <w:next w:val="1"/>
    <w:qFormat/>
    <w:uiPriority w:val="0"/>
    <w:pPr>
      <w:numPr>
        <w:ilvl w:val="1"/>
        <w:numId w:val="2"/>
      </w:numPr>
      <w:ind w:left="805"/>
    </w:pPr>
    <w:rPr>
      <w:sz w:val="16"/>
    </w:rPr>
  </w:style>
  <w:style w:type="paragraph" w:customStyle="1" w:styleId="45">
    <w:name w:val="列出段落1"/>
    <w:next w:val="43"/>
    <w:qFormat/>
    <w:uiPriority w:val="0"/>
    <w:pPr>
      <w:widowControl w:val="0"/>
      <w:adjustRightInd w:val="0"/>
      <w:spacing w:after="160"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6">
    <w:name w:val="样式5"/>
    <w:next w:val="44"/>
    <w:qFormat/>
    <w:uiPriority w:val="0"/>
    <w:pPr>
      <w:widowControl w:val="0"/>
      <w:adjustRightInd w:val="0"/>
      <w:spacing w:after="160"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7">
    <w:name w:val="正文_13"/>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8">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styleId="49">
    <w:name w:val="List Paragraph"/>
    <w:basedOn w:val="1"/>
    <w:unhideWhenUsed/>
    <w:qFormat/>
    <w:uiPriority w:val="99"/>
    <w:pPr>
      <w:adjustRightInd w:val="0"/>
      <w:ind w:firstLine="42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25550</Words>
  <Characters>27502</Characters>
  <Lines>264</Lines>
  <Paragraphs>74</Paragraphs>
  <TotalTime>3</TotalTime>
  <ScaleCrop>false</ScaleCrop>
  <LinksUpToDate>false</LinksUpToDate>
  <CharactersWithSpaces>28589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2020-01-03T15:28:00Z</dcterms:created>
  <dc:creator>admin8</dc:creator>
  <cp:lastModifiedBy>sunli</cp:lastModifiedBy>
  <cp:lastPrinted>2024-11-25T01:34:00Z</cp:lastPrinted>
  <dcterms:modified xsi:type="dcterms:W3CDTF">2024-11-28T08:54:28Z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7ABB8B6091D34C1EB97C7E6F65A8FC6C_13</vt:lpwstr>
  </property>
</Properties>
</file>