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hint="eastAsia" w:ascii="宋体" w:hAnsi="宋体" w:cs="宋体"/>
          <w:b/>
          <w:color w:val="auto"/>
          <w:sz w:val="48"/>
          <w:szCs w:val="48"/>
        </w:rPr>
      </w:pPr>
    </w:p>
    <w:p>
      <w:pPr>
        <w:adjustRightInd/>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药品安全“黑匣子”非现场监管绍兴应用场景建设项目国产化改造项目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ZJXSC-2024-0925</w:t>
      </w:r>
    </w:p>
    <w:p>
      <w:pPr>
        <w:pStyle w:val="2"/>
        <w:rPr>
          <w:rFonts w:hint="eastAsia"/>
          <w:color w:val="auto"/>
          <w:highlight w:val="none"/>
        </w:rPr>
      </w:pP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绍兴市市场监督管理局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28168565"/>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十</w:t>
            </w:r>
            <w:r>
              <w:rPr>
                <w:rFonts w:hint="eastAsia" w:ascii="仿宋" w:hAnsi="仿宋" w:eastAsia="仿宋" w:cs="仿宋"/>
                <w:color w:val="auto"/>
                <w:sz w:val="28"/>
                <w:szCs w:val="28"/>
                <w:highlight w:val="none"/>
              </w:rPr>
              <w:t>月</w:t>
            </w:r>
          </w:p>
        </w:tc>
      </w:tr>
    </w:tbl>
    <w:p>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587" w:bottom="1474" w:left="1587" w:header="851" w:footer="992" w:gutter="0"/>
          <w:pgNumType w:start="1"/>
          <w:cols w:space="720" w:num="1"/>
          <w:titlePg/>
          <w:docGrid w:linePitch="312" w:charSpace="0"/>
        </w:sectPr>
      </w:pPr>
    </w:p>
    <w:p>
      <w:pPr>
        <w:pStyle w:val="636"/>
        <w:spacing w:before="0" w:after="0" w:line="360" w:lineRule="auto"/>
        <w:ind w:left="0" w:firstLine="0"/>
        <w:rPr>
          <w:rFonts w:hint="eastAsia" w:ascii="仿宋" w:hAnsi="仿宋" w:eastAsia="仿宋" w:cs="仿宋"/>
          <w:color w:val="auto"/>
          <w:highlight w:val="none"/>
        </w:rPr>
      </w:pPr>
    </w:p>
    <w:p>
      <w:pPr>
        <w:spacing w:line="360" w:lineRule="auto"/>
        <w:jc w:val="center"/>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spacing w:line="360" w:lineRule="auto"/>
        <w:jc w:val="center"/>
        <w:rPr>
          <w:rFonts w:hint="eastAsia" w:ascii="仿宋" w:hAnsi="仿宋" w:eastAsia="仿宋" w:cs="仿宋"/>
          <w:b/>
          <w:color w:val="auto"/>
          <w:sz w:val="44"/>
          <w:szCs w:val="44"/>
          <w:highlight w:val="none"/>
        </w:rPr>
      </w:pPr>
    </w:p>
    <w:p>
      <w:pPr>
        <w:spacing w:line="360" w:lineRule="auto"/>
        <w:jc w:val="center"/>
        <w:rPr>
          <w:rFonts w:hint="eastAsia" w:ascii="仿宋" w:hAnsi="仿宋" w:eastAsia="仿宋" w:cs="仿宋"/>
          <w:color w:val="auto"/>
          <w:highlight w:val="none"/>
        </w:rPr>
      </w:pP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adjustRightInd/>
        <w:spacing w:line="360" w:lineRule="auto"/>
        <w:jc w:val="center"/>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adjustRightInd/>
        <w:spacing w:line="360" w:lineRule="auto"/>
        <w:jc w:val="center"/>
        <w:outlineLvl w:val="0"/>
        <w:rPr>
          <w:rFonts w:hint="eastAsia" w:ascii="仿宋" w:hAnsi="仿宋" w:eastAsia="仿宋" w:cs="仿宋"/>
          <w:b/>
          <w:color w:val="auto"/>
          <w:sz w:val="36"/>
          <w:szCs w:val="20"/>
          <w:highlight w:val="none"/>
        </w:rPr>
      </w:pPr>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药品安全“黑匣子”非现场监管绍兴应用场景建设项目国产化改造项目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eastAsia="zh-CN"/>
        </w:rPr>
        <w:t>2024年</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lang w:eastAsia="zh-CN"/>
        </w:rPr>
        <w:t>月</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lang w:eastAsia="zh-CN"/>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lang w:eastAsia="zh-CN"/>
        </w:rPr>
        <w:t>ZJXSC-2024-0925</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药品安全“黑匣子”非现场监管绍兴应用场景建设项目国产化改造项目</w:t>
      </w:r>
      <w:r>
        <w:rPr>
          <w:rFonts w:hint="eastAsia" w:ascii="仿宋" w:hAnsi="仿宋" w:eastAsia="仿宋" w:cs="仿宋"/>
          <w:color w:val="auto"/>
          <w:sz w:val="24"/>
          <w:highlight w:val="none"/>
        </w:rPr>
        <w:t xml:space="preserve"> </w:t>
      </w:r>
    </w:p>
    <w:p>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eastAsia="zh-CN"/>
        </w:rPr>
        <w:t>500000</w:t>
      </w:r>
    </w:p>
    <w:p>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eastAsia="zh-CN"/>
        </w:rPr>
        <w:t>500000</w:t>
      </w: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药品安全“黑匣子”非现场监管绍兴应用场景建设项目国产化改造项目</w:t>
      </w:r>
    </w:p>
    <w:p>
      <w:pPr>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数量：不限</w:t>
      </w:r>
    </w:p>
    <w:p>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eastAsia="zh-CN"/>
        </w:rPr>
        <w:t>500000</w:t>
      </w:r>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rPr>
          <w:id w:val="29060800"/>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highlight w:val="none"/>
            </w:rPr>
            <w:sym w:font="Wingdings" w:char="00A8"/>
          </w:r>
        </w:sdtContent>
      </w:sdt>
      <w:r>
        <w:rPr>
          <w:rFonts w:hint="eastAsia" w:ascii="仿宋" w:hAnsi="仿宋" w:eastAsia="仿宋" w:cs="仿宋"/>
          <w:b/>
          <w:color w:val="auto"/>
          <w:sz w:val="24"/>
          <w:highlight w:val="none"/>
        </w:rPr>
        <w:t>是，</w:t>
      </w:r>
      <w:sdt>
        <w:sdtPr>
          <w:rPr>
            <w:rFonts w:hint="eastAsia" w:ascii="仿宋" w:hAnsi="仿宋" w:eastAsia="仿宋" w:cs="仿宋"/>
            <w:color w:val="auto"/>
            <w:sz w:val="24"/>
            <w:highlight w:val="none"/>
          </w:rPr>
          <w:id w:val="-276108212"/>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highlight w:val="none"/>
            </w:rPr>
            <w:sym w:font="Wingdings" w:char="00FE"/>
          </w:r>
        </w:sdtContent>
      </w:sdt>
      <w:r>
        <w:rPr>
          <w:rFonts w:hint="eastAsia" w:ascii="仿宋" w:hAnsi="仿宋" w:eastAsia="仿宋" w:cs="仿宋"/>
          <w:b/>
          <w:color w:val="auto"/>
          <w:sz w:val="24"/>
          <w:highlight w:val="none"/>
        </w:rPr>
        <w:t>否。</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rPr>
        <w:t>.落实政府采购政策需满足的资格要求：</w:t>
      </w:r>
    </w:p>
    <w:p>
      <w:pPr>
        <w:spacing w:line="360" w:lineRule="auto"/>
        <w:ind w:firstLine="480" w:firstLineChars="200"/>
        <w:rPr>
          <w:rFonts w:hint="eastAsia" w:ascii="仿宋" w:hAnsi="仿宋" w:eastAsia="仿宋" w:cs="仿宋"/>
          <w:snapToGrid w:val="0"/>
          <w:color w:val="auto"/>
          <w:kern w:val="28"/>
          <w:sz w:val="24"/>
          <w:szCs w:val="20"/>
          <w:highlight w:val="none"/>
        </w:rPr>
      </w:pPr>
      <w:sdt>
        <w:sdtPr>
          <w:rPr>
            <w:rFonts w:hint="eastAsia" w:ascii="仿宋" w:hAnsi="仿宋" w:eastAsia="仿宋" w:cs="仿宋"/>
            <w:color w:val="auto"/>
            <w:sz w:val="24"/>
            <w:highlight w:val="none"/>
          </w:rPr>
          <w:id w:val="337506595"/>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lang w:eastAsia="zh-CN"/>
            </w:rPr>
            <w:t>□</w:t>
          </w:r>
        </w:sdtContent>
      </w:sdt>
      <w:sdt>
        <w:sdtPr>
          <w:rPr>
            <w:rFonts w:hint="eastAsia" w:ascii="仿宋" w:hAnsi="仿宋" w:eastAsia="仿宋" w:cs="仿宋"/>
            <w:color w:val="auto"/>
            <w:sz w:val="24"/>
            <w:highlight w:val="none"/>
          </w:rPr>
          <w:id w:val="2134596245"/>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highlight w:val="none"/>
              </w:rPr>
              <w:id w:val="-253740090"/>
              <w:showingPlcHdr/>
            </w:sdtPr>
            <w:sdtEndPr>
              <w:rPr>
                <w:rFonts w:hint="eastAsia" w:ascii="仿宋" w:hAnsi="仿宋" w:eastAsia="仿宋" w:cs="仿宋"/>
                <w:color w:val="auto"/>
                <w:sz w:val="24"/>
                <w:szCs w:val="21"/>
                <w:highlight w:val="none"/>
              </w:rPr>
            </w:sdtEndPr>
            <w:sdtContent/>
          </w:sdt>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1645928953"/>
        </w:sdtPr>
        <w:sdtEndPr>
          <w:rPr>
            <w:rFonts w:hint="eastAsia" w:ascii="仿宋" w:hAnsi="仿宋" w:eastAsia="仿宋" w:cs="仿宋"/>
            <w:color w:val="auto"/>
            <w:sz w:val="24"/>
            <w:szCs w:val="21"/>
            <w:highlight w:val="none"/>
          </w:rPr>
        </w:sdtEndPr>
        <w:sdtContent/>
      </w:sdt>
      <w:sdt>
        <w:sdtPr>
          <w:rPr>
            <w:rFonts w:hint="eastAsia" w:ascii="仿宋" w:hAnsi="仿宋" w:eastAsia="仿宋" w:cs="仿宋"/>
            <w:color w:val="auto"/>
            <w:sz w:val="24"/>
            <w:highlight w:val="none"/>
          </w:rPr>
          <w:id w:val="190718676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62120456"/>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lang w:eastAsia="zh-CN"/>
                </w:rPr>
                <w:t>☑</w:t>
              </w:r>
            </w:sdtContent>
          </w:sdt>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1695143032"/>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47477099"/>
            </w:sdtPr>
            <w:sdtEndPr>
              <w:rPr>
                <w:rFonts w:hint="eastAsia" w:ascii="仿宋" w:hAnsi="仿宋" w:eastAsia="仿宋" w:cs="仿宋"/>
                <w:color w:val="auto"/>
                <w:sz w:val="24"/>
                <w:szCs w:val="21"/>
                <w:highlight w:val="none"/>
              </w:rPr>
            </w:sdtEndPr>
            <w:sdtContent/>
          </w:sdt>
          <w:sdt>
            <w:sdtPr>
              <w:rPr>
                <w:rFonts w:hint="eastAsia" w:ascii="仿宋" w:hAnsi="仿宋" w:eastAsia="仿宋" w:cs="仿宋"/>
                <w:color w:val="auto"/>
                <w:sz w:val="24"/>
                <w:highlight w:val="none"/>
              </w:rPr>
              <w:id w:val="147471276"/>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lang w:eastAsia="zh-CN"/>
                </w:rPr>
                <w:t>☑</w:t>
              </w:r>
            </w:sdtContent>
          </w:sdt>
        </w:sdtContent>
      </w:sdt>
      <w:sdt>
        <w:sdtPr>
          <w:rPr>
            <w:rFonts w:hint="eastAsia" w:ascii="仿宋" w:hAnsi="仿宋" w:eastAsia="仿宋" w:cs="仿宋"/>
            <w:color w:val="auto"/>
            <w:sz w:val="24"/>
            <w:highlight w:val="none"/>
          </w:rPr>
          <w:id w:val="1667281325"/>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79715067"/>
              <w:showingPlcHdr/>
            </w:sdtPr>
            <w:sdtEndPr>
              <w:rPr>
                <w:rFonts w:hint="eastAsia" w:ascii="仿宋" w:hAnsi="仿宋" w:eastAsia="仿宋" w:cs="仿宋"/>
                <w:color w:val="auto"/>
                <w:sz w:val="24"/>
                <w:szCs w:val="21"/>
                <w:highlight w:val="none"/>
              </w:rPr>
            </w:sdtEndPr>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480" w:firstLineChars="200"/>
        <w:rPr>
          <w:rFonts w:hint="eastAsia"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tabs>
          <w:tab w:val="left" w:pos="5630"/>
        </w:tabs>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r>
        <w:rPr>
          <w:rFonts w:hint="eastAsia" w:ascii="仿宋" w:hAnsi="仿宋" w:eastAsia="仿宋" w:cs="仿宋"/>
          <w:b/>
          <w:color w:val="auto"/>
          <w:sz w:val="24"/>
          <w:highlight w:val="none"/>
        </w:rPr>
        <w:tab/>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eastAsia="zh-CN"/>
        </w:rPr>
        <w:t>2024年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2024年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lang w:eastAsia="zh-CN"/>
        </w:rPr>
        <w:t>2024年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spacing w:line="360" w:lineRule="auto"/>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Cs/>
          <w:color w:val="auto"/>
          <w:sz w:val="24"/>
          <w:highlight w:val="none"/>
        </w:rPr>
        <w:t>浙江翔实建设项目管理有限公司</w:t>
      </w:r>
      <w:r>
        <w:rPr>
          <w:rFonts w:hint="eastAsia" w:ascii="仿宋" w:hAnsi="仿宋" w:eastAsia="仿宋" w:cs="仿宋"/>
          <w:bCs/>
          <w:color w:val="auto"/>
          <w:sz w:val="24"/>
          <w:highlight w:val="none"/>
          <w:lang w:val="en-US" w:eastAsia="zh-CN"/>
        </w:rPr>
        <w:t>一</w:t>
      </w:r>
      <w:r>
        <w:rPr>
          <w:rFonts w:hint="eastAsia" w:ascii="仿宋" w:hAnsi="仿宋" w:eastAsia="仿宋" w:cs="仿宋"/>
          <w:bCs/>
          <w:color w:val="auto"/>
          <w:sz w:val="24"/>
          <w:highlight w:val="none"/>
        </w:rPr>
        <w:t>楼</w:t>
      </w:r>
      <w:r>
        <w:rPr>
          <w:rFonts w:hint="eastAsia" w:ascii="仿宋" w:hAnsi="仿宋" w:eastAsia="仿宋" w:cs="仿宋"/>
          <w:bCs/>
          <w:color w:val="auto"/>
          <w:sz w:val="24"/>
          <w:highlight w:val="none"/>
          <w:lang w:val="en-US" w:eastAsia="zh-CN"/>
        </w:rPr>
        <w:t>会议</w:t>
      </w:r>
      <w:r>
        <w:rPr>
          <w:rFonts w:hint="eastAsia" w:ascii="仿宋" w:hAnsi="仿宋" w:eastAsia="仿宋" w:cs="仿宋"/>
          <w:bCs/>
          <w:color w:val="auto"/>
          <w:sz w:val="24"/>
          <w:highlight w:val="none"/>
        </w:rPr>
        <w:t>室（绍兴市越城区阳明北路692号），在政府采购云平台（www.zcygov.cn）上开启</w:t>
      </w:r>
      <w:r>
        <w:rPr>
          <w:rFonts w:hint="eastAsia" w:ascii="仿宋" w:hAnsi="仿宋" w:eastAsia="仿宋" w:cs="仿宋"/>
          <w:bCs/>
          <w:color w:val="auto"/>
          <w:sz w:val="24"/>
          <w:highlight w:val="none"/>
          <w:lang w:val="en-US" w:eastAsia="zh-CN"/>
        </w:rPr>
        <w:t>投标</w:t>
      </w:r>
      <w:r>
        <w:rPr>
          <w:rFonts w:hint="eastAsia" w:ascii="仿宋" w:hAnsi="仿宋" w:eastAsia="仿宋" w:cs="仿宋"/>
          <w:bCs/>
          <w:color w:val="auto"/>
          <w:sz w:val="24"/>
          <w:highlight w:val="none"/>
        </w:rPr>
        <w:t>文件。  </w:t>
      </w:r>
    </w:p>
    <w:p>
      <w:pPr>
        <w:numPr>
          <w:ilvl w:val="0"/>
          <w:numId w:val="1"/>
        </w:num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意向公告</w:t>
      </w:r>
    </w:p>
    <w:p>
      <w:pPr>
        <w:pStyle w:val="23"/>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https://zfcg.czt.zj.gov.cn/site/detail?categoryCode=ZcyAnnouncement&amp;parentId=600007&amp;articleId=vKfKDoI1Yf38/bNd6vqqtw==</w:t>
      </w:r>
    </w:p>
    <w:p>
      <w:pPr>
        <w:pStyle w:val="32"/>
        <w:rPr>
          <w:rFonts w:hint="eastAsia"/>
          <w:color w:val="auto"/>
          <w:highlight w:val="none"/>
        </w:rPr>
      </w:pPr>
    </w:p>
    <w:p>
      <w:pPr>
        <w:numPr>
          <w:ilvl w:val="0"/>
          <w:numId w:val="1"/>
        </w:numPr>
        <w:spacing w:line="360" w:lineRule="auto"/>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 xml:space="preserve"> </w:t>
      </w:r>
      <w:r>
        <w:rPr>
          <w:rFonts w:hint="eastAsia" w:ascii="仿宋" w:hAnsi="仿宋" w:eastAsia="仿宋" w:cs="仿宋"/>
          <w:b/>
          <w:color w:val="auto"/>
          <w:sz w:val="24"/>
          <w:highlight w:val="none"/>
        </w:rPr>
        <w:t xml:space="preserve">公告期限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八、对本次采购提出询问、质疑、投诉，请按以下方式联系</w:t>
      </w:r>
    </w:p>
    <w:p>
      <w:pPr>
        <w:pStyle w:val="2"/>
        <w:ind w:left="0" w:firstLine="482" w:firstLineChars="200"/>
        <w:rPr>
          <w:rFonts w:hint="eastAsia" w:ascii="仿宋" w:eastAsia="仿宋" w:cs="仿宋"/>
          <w:color w:val="auto"/>
          <w:sz w:val="24"/>
          <w:szCs w:val="24"/>
          <w:highlight w:val="none"/>
        </w:rPr>
      </w:pPr>
      <w:bookmarkStart w:id="5" w:name="_Toc28359019"/>
      <w:bookmarkStart w:id="6" w:name="_Toc35393637"/>
      <w:bookmarkStart w:id="7" w:name="_Toc28359096"/>
      <w:bookmarkStart w:id="8" w:name="_Toc35393806"/>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绍兴市市场监督管理局</w:t>
      </w:r>
      <w:r>
        <w:rPr>
          <w:rFonts w:hint="eastAsia" w:ascii="仿宋" w:hAnsi="仿宋" w:eastAsia="仿宋" w:cs="仿宋"/>
          <w:color w:val="auto"/>
          <w:sz w:val="24"/>
          <w:highlight w:val="none"/>
        </w:rPr>
        <w:t>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址：绍兴市越城区凤林西路216号</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项目联系人（询问）：苏宇</w:t>
      </w:r>
    </w:p>
    <w:p>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 xml:space="preserve">88330863 </w:t>
      </w:r>
    </w:p>
    <w:p>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梁梦芹</w:t>
      </w:r>
    </w:p>
    <w:p>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质疑联系方式：0575-85513727</w:t>
      </w:r>
    </w:p>
    <w:p>
      <w:pPr>
        <w:pStyle w:val="2"/>
        <w:ind w:left="0" w:firstLine="482" w:firstLineChars="200"/>
        <w:rPr>
          <w:rFonts w:hint="eastAsia" w:ascii="仿宋" w:eastAsia="仿宋" w:cs="仿宋"/>
          <w:color w:val="auto"/>
          <w:sz w:val="24"/>
          <w:highlight w:val="none"/>
        </w:rPr>
      </w:pPr>
      <w:bookmarkStart w:id="9" w:name="_Toc28359097"/>
      <w:bookmarkStart w:id="10" w:name="_Toc28359020"/>
      <w:bookmarkStart w:id="11" w:name="_Toc35393638"/>
      <w:bookmarkStart w:id="12" w:name="_Toc35393807"/>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称：浙江翔实建设项目管理有限公司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项目联系人（询问）：朱惠莎</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项目联系方式（询问）：15167525495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质疑联系人：蒋红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质疑联系方式：0575-88689158</w:t>
      </w:r>
    </w:p>
    <w:p>
      <w:pPr>
        <w:spacing w:line="360" w:lineRule="auto"/>
        <w:ind w:firstLine="482" w:firstLineChars="200"/>
        <w:rPr>
          <w:rFonts w:hint="eastAsia" w:ascii="仿宋" w:hAnsi="仿宋" w:eastAsia="仿宋" w:cs="仿宋"/>
          <w:b/>
          <w:color w:val="auto"/>
          <w:sz w:val="24"/>
          <w:highlight w:val="none"/>
        </w:rPr>
      </w:pPr>
      <w:bookmarkStart w:id="13" w:name="_Toc35393639"/>
      <w:bookmarkStart w:id="14" w:name="_Toc28359021"/>
      <w:bookmarkStart w:id="15" w:name="_Toc28359098"/>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真：0575-85209697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 系 人：张婷婷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sz w:val="24"/>
                <w:szCs w:val="21"/>
                <w:highlight w:val="none"/>
                <w:lang w:eastAsia="zh-CN"/>
              </w:rPr>
              <w:t>□</w:t>
            </w:r>
            <w:r>
              <w:rPr>
                <w:rFonts w:hint="eastAsia" w:ascii="仿宋" w:hAnsi="仿宋" w:eastAsia="仿宋" w:cs="仿宋"/>
                <w:color w:val="auto"/>
                <w:sz w:val="24"/>
                <w:szCs w:val="21"/>
                <w:highlight w:val="none"/>
              </w:rPr>
              <w:t>A同意将非主体、非关键性的</w:t>
            </w:r>
            <w:r>
              <w:rPr>
                <w:rFonts w:hint="eastAsia" w:ascii="仿宋" w:hAnsi="仿宋" w:eastAsia="仿宋" w:cs="仿宋"/>
                <w:color w:val="auto"/>
                <w:sz w:val="24"/>
                <w:szCs w:val="21"/>
                <w:highlight w:val="none"/>
                <w:u w:val="single"/>
              </w:rPr>
              <w:t xml:space="preserve"> </w:t>
            </w:r>
            <w:r>
              <w:rPr>
                <w:rFonts w:hint="eastAsia" w:ascii="仿宋" w:hAnsi="仿宋" w:eastAsia="仿宋" w:cs="仿宋"/>
                <w:color w:val="auto"/>
                <w:sz w:val="24"/>
                <w:szCs w:val="21"/>
                <w:highlight w:val="none"/>
                <w:u w:val="single"/>
                <w:lang w:val="en-US" w:eastAsia="zh-CN"/>
              </w:rPr>
              <w:t xml:space="preserve">    </w:t>
            </w:r>
            <w:r>
              <w:rPr>
                <w:rFonts w:hint="eastAsia" w:ascii="仿宋" w:hAnsi="仿宋" w:eastAsia="仿宋" w:cs="仿宋"/>
                <w:color w:val="auto"/>
                <w:sz w:val="24"/>
                <w:szCs w:val="21"/>
                <w:highlight w:val="none"/>
                <w:u w:val="single"/>
              </w:rPr>
              <w:t xml:space="preserve"> </w:t>
            </w:r>
            <w:r>
              <w:rPr>
                <w:rFonts w:hint="eastAsia" w:ascii="仿宋" w:hAnsi="仿宋" w:eastAsia="仿宋" w:cs="仿宋"/>
                <w:color w:val="auto"/>
                <w:sz w:val="24"/>
                <w:szCs w:val="21"/>
                <w:highlight w:val="none"/>
              </w:rPr>
              <w:t>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lang w:eastAsia="zh-CN"/>
              </w:rPr>
              <w:t>☑</w:t>
            </w:r>
            <w:r>
              <w:rPr>
                <w:rFonts w:hint="eastAsia" w:ascii="仿宋" w:hAnsi="仿宋" w:eastAsia="仿宋" w:cs="仿宋"/>
                <w:color w:val="auto"/>
                <w:sz w:val="24"/>
                <w:szCs w:val="21"/>
                <w:highlight w:val="none"/>
              </w:rPr>
              <w:t xml:space="preserve"> B不同意分包。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288" w:lineRule="auto"/>
              <w:rPr>
                <w:rFonts w:hint="eastAsia" w:ascii="仿宋" w:hAnsi="仿宋" w:eastAsia="仿宋" w:cs="仿宋"/>
                <w:b/>
                <w:color w:val="auto"/>
                <w:sz w:val="24"/>
                <w:highlight w:val="none"/>
              </w:rPr>
            </w:pPr>
            <w:r>
              <w:rPr>
                <w:rFonts w:hint="eastAsia" w:ascii="仿宋_GB2312" w:hAnsi="宋体" w:eastAsia="仿宋_GB2312"/>
                <w:b/>
                <w:color w:val="auto"/>
                <w:sz w:val="24"/>
                <w:highlight w:val="none"/>
              </w:rPr>
              <w:t>方案讲解演示：</w:t>
            </w:r>
          </w:p>
          <w:p>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A无方案讲解演示。</w:t>
            </w:r>
          </w:p>
          <w:p>
            <w:pPr>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pPr>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软件和信息技术服务业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400" w:lineRule="atLeast"/>
              <w:rPr>
                <w:rFonts w:hint="eastAsia" w:ascii="仿宋" w:hAnsi="仿宋" w:eastAsia="仿宋" w:cs="仿宋"/>
                <w:color w:val="auto"/>
                <w:kern w:val="0"/>
                <w:sz w:val="24"/>
                <w:highlight w:val="none"/>
              </w:rPr>
            </w:pPr>
            <w:r>
              <w:rPr>
                <w:rFonts w:hint="eastAsia" w:ascii="仿宋_GB2312" w:hAnsi="宋体" w:eastAsia="仿宋_GB2312"/>
                <w:bCs/>
                <w:color w:val="auto"/>
                <w:sz w:val="24"/>
                <w:highlight w:val="none"/>
              </w:rPr>
              <w:t>采购代理服务费：根据项目的中标金额，采用差额定率累进法进行计算，具体费率标准如下：中标金额在100万元以下部分服务招标收取1.5%。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adjustRightInd/>
        <w:spacing w:line="360" w:lineRule="auto"/>
        <w:jc w:val="center"/>
        <w:outlineLvl w:val="0"/>
        <w:rPr>
          <w:rFonts w:hint="eastAsia" w:ascii="仿宋" w:hAnsi="仿宋" w:eastAsia="仿宋" w:cs="仿宋"/>
          <w:b/>
          <w:color w:val="auto"/>
          <w:sz w:val="32"/>
          <w:szCs w:val="32"/>
          <w:highlight w:val="none"/>
        </w:rPr>
      </w:pPr>
      <w:bookmarkStart w:id="17" w:name="第三部分"/>
      <w:bookmarkStart w:id="18" w:name="_Toc164416483"/>
    </w:p>
    <w:p>
      <w:pPr>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pPr>
        <w:spacing w:line="440" w:lineRule="exact"/>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hint="eastAsia"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hint="eastAsia"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hint="eastAsia" w:ascii="仿宋" w:hAnsi="仿宋" w:eastAsia="仿宋" w:cs="仿宋"/>
          <w:b/>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6"/>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rPr>
        <w:t>)。</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pPr>
        <w:snapToGrid w:val="0"/>
        <w:spacing w:line="440" w:lineRule="exact"/>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440" w:lineRule="exact"/>
        <w:ind w:firstLine="720" w:firstLineChars="300"/>
        <w:rPr>
          <w:color w:val="auto"/>
          <w:highlight w:val="none"/>
          <w:lang w:val="zh-CN"/>
        </w:rPr>
      </w:pPr>
      <w:r>
        <w:rPr>
          <w:rFonts w:hint="eastAsia" w:ascii="仿宋" w:hAnsi="仿宋" w:eastAsia="仿宋" w:cs="仿宋"/>
          <w:color w:val="auto"/>
          <w:sz w:val="24"/>
          <w:highlight w:val="none"/>
        </w:rPr>
        <w:t>2.2.19投标人需要说明的其他文件和说明（格式自拟）。</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2.3.1开标一览表（报价表）；</w:t>
      </w:r>
    </w:p>
    <w:p>
      <w:pPr>
        <w:pStyle w:val="24"/>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2.3.2中小企业声明函（如果有）；</w:t>
      </w:r>
    </w:p>
    <w:p>
      <w:pPr>
        <w:pStyle w:val="24"/>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2.3.3 残疾人福利性单位声明函（如果有）。</w:t>
      </w:r>
    </w:p>
    <w:p>
      <w:pPr>
        <w:pStyle w:val="24"/>
        <w:autoSpaceDE/>
        <w:autoSpaceDN/>
        <w:snapToGrid w:val="0"/>
        <w:spacing w:line="440" w:lineRule="exact"/>
        <w:ind w:firstLine="0"/>
        <w:rPr>
          <w:rFonts w:hint="eastAsia"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pPr>
        <w:pStyle w:val="24"/>
        <w:autoSpaceDE/>
        <w:autoSpaceDN/>
        <w:snapToGrid w:val="0"/>
        <w:spacing w:line="440" w:lineRule="exact"/>
        <w:ind w:firstLine="480" w:firstLineChars="200"/>
        <w:rPr>
          <w:rFonts w:hint="eastAsia"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pPr>
        <w:pStyle w:val="24"/>
        <w:autoSpaceDE/>
        <w:autoSpaceDN/>
        <w:snapToGrid w:val="0"/>
        <w:spacing w:line="440" w:lineRule="exact"/>
        <w:ind w:firstLine="480" w:firstLineChars="200"/>
        <w:rPr>
          <w:rFonts w:hint="eastAsia" w:ascii="仿宋_GB2312" w:hAnsi="仿宋" w:eastAsia="仿宋_GB2312" w:cs="仿宋"/>
          <w:color w:val="auto"/>
          <w:sz w:val="24"/>
          <w:highlight w:val="none"/>
        </w:rPr>
      </w:pPr>
      <w:r>
        <w:rPr>
          <w:rFonts w:ascii="仿宋" w:hAnsi="仿宋" w:eastAsia="仿宋" w:cs="仿宋"/>
          <w:color w:val="auto"/>
          <w:highlight w:val="none"/>
          <w:lang w:val="en-US"/>
        </w:rPr>
        <w:t>3.2报价为采购人可以合格使用产品的价格，</w:t>
      </w:r>
      <w:r>
        <w:rPr>
          <w:rFonts w:hint="eastAsia" w:ascii="仿宋_GB2312" w:hAnsi="仿宋" w:eastAsia="仿宋_GB2312" w:cs="仿宋"/>
          <w:color w:val="auto"/>
          <w:sz w:val="24"/>
          <w:highlight w:val="none"/>
        </w:rPr>
        <w:t>包括</w:t>
      </w:r>
      <w:r>
        <w:rPr>
          <w:rFonts w:hint="eastAsia" w:ascii="仿宋_GB2312" w:hAnsi="仿宋" w:eastAsia="仿宋_GB2312" w:cs="仿宋"/>
          <w:color w:val="auto"/>
          <w:sz w:val="24"/>
          <w:highlight w:val="none"/>
          <w:lang w:val="en-US" w:eastAsia="zh-CN"/>
        </w:rPr>
        <w:t>人员工资</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en-US" w:eastAsia="zh-CN"/>
        </w:rPr>
        <w:t>福利、工具、机械、仪器、设备、利润、税金、保险、</w:t>
      </w:r>
      <w:r>
        <w:rPr>
          <w:rFonts w:hint="eastAsia" w:ascii="仿宋_GB2312" w:hAnsi="仿宋" w:eastAsia="仿宋_GB2312" w:cs="仿宋"/>
          <w:color w:val="auto"/>
          <w:sz w:val="24"/>
          <w:highlight w:val="none"/>
        </w:rPr>
        <w:t>产品知识产权</w:t>
      </w:r>
      <w:r>
        <w:rPr>
          <w:rFonts w:hint="eastAsia" w:ascii="仿宋_GB2312" w:hAnsi="仿宋" w:eastAsia="仿宋_GB2312" w:cs="仿宋"/>
          <w:color w:val="auto"/>
          <w:sz w:val="24"/>
          <w:highlight w:val="none"/>
          <w:lang w:eastAsia="zh-CN"/>
        </w:rPr>
        <w:t>、</w:t>
      </w:r>
      <w:r>
        <w:rPr>
          <w:rFonts w:hint="eastAsia" w:ascii="仿宋_GB2312" w:hAnsi="仿宋" w:eastAsia="仿宋_GB2312" w:cs="仿宋"/>
          <w:color w:val="auto"/>
          <w:sz w:val="24"/>
          <w:highlight w:val="none"/>
          <w:lang w:val="en-US" w:eastAsia="zh-CN"/>
        </w:rPr>
        <w:t>不可预见费用</w:t>
      </w:r>
      <w:r>
        <w:rPr>
          <w:rFonts w:hint="eastAsia" w:ascii="仿宋_GB2312" w:hAnsi="仿宋" w:eastAsia="仿宋_GB2312" w:cs="仿宋"/>
          <w:color w:val="auto"/>
          <w:sz w:val="24"/>
          <w:highlight w:val="none"/>
        </w:rPr>
        <w:t>等一切费用。</w:t>
      </w:r>
    </w:p>
    <w:p>
      <w:pPr>
        <w:pStyle w:val="24"/>
        <w:autoSpaceDE/>
        <w:autoSpaceDN/>
        <w:snapToGrid w:val="0"/>
        <w:spacing w:line="440" w:lineRule="exact"/>
        <w:ind w:firstLine="480" w:firstLineChars="200"/>
        <w:rPr>
          <w:rFonts w:hint="eastAsia"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pPr>
        <w:pStyle w:val="24"/>
        <w:autoSpaceDE/>
        <w:autoSpaceDN/>
        <w:snapToGrid w:val="0"/>
        <w:spacing w:line="440" w:lineRule="exact"/>
        <w:ind w:firstLine="482" w:firstLineChars="200"/>
        <w:rPr>
          <w:rFonts w:hint="eastAsia" w:ascii="仿宋" w:hAnsi="仿宋" w:eastAsia="仿宋" w:cs="仿宋"/>
          <w:b/>
          <w:bCs/>
          <w:color w:val="auto"/>
          <w:highlight w:val="none"/>
          <w:lang w:val="en-US"/>
        </w:rPr>
      </w:pPr>
      <w:r>
        <w:rPr>
          <w:rFonts w:ascii="仿宋" w:hAnsi="仿宋" w:eastAsia="仿宋" w:cs="仿宋"/>
          <w:b/>
          <w:bCs/>
          <w:color w:val="auto"/>
          <w:highlight w:val="none"/>
          <w:lang w:val="en-US"/>
        </w:rPr>
        <w:t>3.4投标报价只允许有一个报价，有选择的报价将不予接受（除指定外）。</w:t>
      </w:r>
    </w:p>
    <w:p>
      <w:pPr>
        <w:pStyle w:val="24"/>
        <w:autoSpaceDE/>
        <w:autoSpaceDN/>
        <w:snapToGrid w:val="0"/>
        <w:spacing w:line="440" w:lineRule="exact"/>
        <w:ind w:firstLine="482" w:firstLineChars="200"/>
        <w:rPr>
          <w:rFonts w:hint="eastAsia"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131"/>
        <w:spacing w:before="0" w:line="440" w:lineRule="exact"/>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spacing w:before="0"/>
        <w:ind w:firstLine="643"/>
        <w:rPr>
          <w:rFonts w:hint="eastAsia" w:ascii="仿宋" w:hAnsi="仿宋" w:eastAsia="仿宋" w:cs="仿宋"/>
          <w:b/>
          <w:color w:val="auto"/>
          <w:sz w:val="32"/>
          <w:highlight w:val="none"/>
        </w:rPr>
      </w:pPr>
    </w:p>
    <w:p>
      <w:pPr>
        <w:spacing w:line="360" w:lineRule="auto"/>
        <w:jc w:val="center"/>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auto"/>
          <w:sz w:val="32"/>
          <w:highlight w:val="none"/>
        </w:rPr>
      </w:pPr>
    </w:p>
    <w:bookmarkEnd w:id="19"/>
    <w:p>
      <w:pPr>
        <w:pStyle w:val="34"/>
        <w:spacing w:line="360" w:lineRule="auto"/>
        <w:ind w:firstLine="726"/>
        <w:jc w:val="center"/>
        <w:rPr>
          <w:rFonts w:hint="eastAsia" w:ascii="仿宋" w:hAnsi="仿宋" w:eastAsia="仿宋" w:cs="仿宋"/>
          <w:b/>
          <w:color w:val="auto"/>
          <w:sz w:val="32"/>
          <w:szCs w:val="32"/>
          <w:highlight w:val="none"/>
        </w:rPr>
      </w:pPr>
      <w:bookmarkStart w:id="20" w:name="_Hlt68057669"/>
      <w:bookmarkEnd w:id="20"/>
      <w:bookmarkStart w:id="21" w:name="_Hlt74707468"/>
      <w:bookmarkEnd w:id="21"/>
      <w:bookmarkStart w:id="22" w:name="_Hlt68073093"/>
      <w:bookmarkEnd w:id="22"/>
      <w:bookmarkStart w:id="23" w:name="_Hlt74729768"/>
      <w:bookmarkEnd w:id="23"/>
      <w:bookmarkStart w:id="24" w:name="_Hlt75236101"/>
      <w:bookmarkEnd w:id="24"/>
      <w:bookmarkStart w:id="25" w:name="_Hlt74714665"/>
      <w:bookmarkEnd w:id="25"/>
      <w:bookmarkStart w:id="26" w:name="_Hlt75236011"/>
      <w:bookmarkEnd w:id="26"/>
      <w:bookmarkStart w:id="27" w:name="_Hlt68403820"/>
      <w:bookmarkEnd w:id="27"/>
      <w:bookmarkStart w:id="28" w:name="_Hlt68072998"/>
      <w:bookmarkEnd w:id="28"/>
      <w:bookmarkStart w:id="29" w:name="_Hlt75236290"/>
      <w:bookmarkEnd w:id="29"/>
      <w:bookmarkStart w:id="30" w:name="_Hlt74730295"/>
      <w:bookmarkEnd w:id="30"/>
      <w:bookmarkStart w:id="31" w:name="_Hlt68072990"/>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pPr>
        <w:pStyle w:val="15"/>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jc w:val="left"/>
        <w:outlineLvl w:val="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23"/>
        <w:spacing w:line="440" w:lineRule="exact"/>
        <w:ind w:firstLine="480" w:firstLineChars="200"/>
        <w:rPr>
          <w:rFonts w:hint="eastAsia" w:ascii="仿宋" w:hAnsi="仿宋" w:eastAsia="仿宋" w:cs="仿宋"/>
          <w:color w:val="auto"/>
          <w:highlight w:val="none"/>
        </w:rPr>
        <w:sectPr>
          <w:footerReference r:id="rId6" w:type="default"/>
          <w:pgSz w:w="11906" w:h="16838"/>
          <w:pgMar w:top="1474" w:right="1587" w:bottom="1474" w:left="1587" w:header="851" w:footer="992" w:gutter="0"/>
          <w:pgNumType w:start="1"/>
          <w:cols w:space="720" w:num="1"/>
          <w:docGrid w:linePitch="312" w:charSpace="0"/>
        </w:sectPr>
      </w:pPr>
    </w:p>
    <w:bookmarkEnd w:id="17"/>
    <w:bookmarkEnd w:id="18"/>
    <w:p>
      <w:pPr>
        <w:spacing w:line="360" w:lineRule="auto"/>
        <w:jc w:val="center"/>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pStyle w:val="5"/>
        <w:numPr>
          <w:ilvl w:val="0"/>
          <w:numId w:val="2"/>
        </w:numPr>
        <w:tabs>
          <w:tab w:val="clear" w:pos="900"/>
        </w:tabs>
        <w:bidi w:val="0"/>
        <w:rPr>
          <w:rFonts w:hint="eastAsia"/>
          <w:color w:val="auto"/>
          <w:highlight w:val="none"/>
          <w:lang w:val="en-US" w:eastAsia="zh-CN"/>
        </w:rPr>
      </w:pPr>
      <w:bookmarkStart w:id="36" w:name="第五部分"/>
      <w:bookmarkStart w:id="37" w:name="_Toc86217003"/>
      <w:r>
        <w:rPr>
          <w:rFonts w:hint="eastAsia"/>
          <w:color w:val="auto"/>
          <w:highlight w:val="none"/>
          <w:lang w:val="en-US" w:eastAsia="zh-CN"/>
        </w:rPr>
        <w:t>建设内容</w:t>
      </w:r>
    </w:p>
    <w:p>
      <w:pPr>
        <w:pStyle w:val="969"/>
        <w:rPr>
          <w:color w:val="auto"/>
          <w:highlight w:val="none"/>
        </w:rPr>
      </w:pPr>
      <w:r>
        <w:rPr>
          <w:rFonts w:hint="eastAsia"/>
          <w:color w:val="auto"/>
          <w:highlight w:val="none"/>
        </w:rPr>
        <w:t>（1）、对药品安全“黑匣子”非现场监管绍兴应用场景建设项目进行技术改造，适配国产化操作系统、国产化数据库及国产电脑终端应用。</w:t>
      </w:r>
    </w:p>
    <w:p>
      <w:pPr>
        <w:pStyle w:val="969"/>
        <w:rPr>
          <w:color w:val="auto"/>
          <w:highlight w:val="none"/>
        </w:rPr>
      </w:pPr>
      <w:r>
        <w:rPr>
          <w:rFonts w:hint="eastAsia"/>
          <w:color w:val="auto"/>
          <w:highlight w:val="none"/>
        </w:rPr>
        <w:t>（2）、基于药品安全“黑匣子”技术体系、系统框架及账户体系，重构空心胶囊企业生产信息上报采集、监管端信息查询及数据统计功</w:t>
      </w:r>
      <w:r>
        <w:rPr>
          <w:rFonts w:hint="eastAsia" w:ascii="仿宋" w:hAnsi="仿宋" w:eastAsia="仿宋" w:cs="Times New Roman"/>
          <w:color w:val="auto"/>
          <w:kern w:val="2"/>
          <w:sz w:val="22"/>
          <w:szCs w:val="22"/>
          <w:highlight w:val="none"/>
          <w:lang w:val="en-US" w:eastAsia="zh-CN" w:bidi="ar-SA"/>
        </w:rPr>
        <w:t>能，深度融合空心胶囊生产信息管理模块。</w:t>
      </w:r>
    </w:p>
    <w:p>
      <w:pPr>
        <w:pStyle w:val="969"/>
        <w:rPr>
          <w:color w:val="auto"/>
          <w:highlight w:val="none"/>
        </w:rPr>
      </w:pPr>
      <w:r>
        <w:rPr>
          <w:rFonts w:hint="eastAsia"/>
          <w:color w:val="auto"/>
          <w:highlight w:val="none"/>
        </w:rPr>
        <w:t>（3）、对空心胶囊生产信息系统已有数据进行迁移，与药品安全“黑匣子”非现场监管绍兴应用场景项目中的账户体系、账户权限、监管数据进行融合、统一管控。</w:t>
      </w:r>
    </w:p>
    <w:p>
      <w:pPr>
        <w:numPr>
          <w:ilvl w:val="0"/>
          <w:numId w:val="0"/>
        </w:numPr>
        <w:rPr>
          <w:rFonts w:hint="eastAsia"/>
          <w:color w:val="auto"/>
          <w:highlight w:val="none"/>
          <w:lang w:val="en-US" w:eastAsia="zh-CN"/>
        </w:rPr>
      </w:pPr>
    </w:p>
    <w:p>
      <w:pPr>
        <w:pStyle w:val="5"/>
        <w:bidi w:val="0"/>
        <w:rPr>
          <w:rFonts w:hint="eastAsia"/>
          <w:color w:val="auto"/>
          <w:highlight w:val="none"/>
          <w:lang w:val="en-US" w:eastAsia="zh-CN"/>
        </w:rPr>
      </w:pPr>
      <w:r>
        <w:rPr>
          <w:rFonts w:hint="eastAsia"/>
          <w:color w:val="auto"/>
          <w:highlight w:val="none"/>
          <w:lang w:val="en-US" w:eastAsia="zh-CN"/>
        </w:rPr>
        <w:t>2.</w:t>
      </w:r>
      <w:r>
        <w:rPr>
          <w:rFonts w:hint="eastAsia"/>
          <w:color w:val="auto"/>
          <w:highlight w:val="none"/>
        </w:rPr>
        <w:t>模块</w:t>
      </w:r>
      <w:r>
        <w:rPr>
          <w:color w:val="auto"/>
          <w:highlight w:val="none"/>
        </w:rPr>
        <w:t>建设</w:t>
      </w:r>
      <w:r>
        <w:rPr>
          <w:rFonts w:hint="eastAsia"/>
          <w:color w:val="auto"/>
          <w:highlight w:val="none"/>
          <w:lang w:val="en-US" w:eastAsia="zh-CN"/>
        </w:rPr>
        <w:t>清单</w:t>
      </w:r>
    </w:p>
    <w:tbl>
      <w:tblPr>
        <w:tblStyle w:val="62"/>
        <w:tblW w:w="5032" w:type="pct"/>
        <w:tblInd w:w="0" w:type="dxa"/>
        <w:tblLayout w:type="fixed"/>
        <w:tblCellMar>
          <w:top w:w="0" w:type="dxa"/>
          <w:left w:w="108" w:type="dxa"/>
          <w:bottom w:w="0" w:type="dxa"/>
          <w:right w:w="108" w:type="dxa"/>
        </w:tblCellMar>
      </w:tblPr>
      <w:tblGrid>
        <w:gridCol w:w="759"/>
        <w:gridCol w:w="1340"/>
        <w:gridCol w:w="781"/>
        <w:gridCol w:w="1720"/>
        <w:gridCol w:w="1069"/>
        <w:gridCol w:w="3338"/>
      </w:tblGrid>
      <w:tr>
        <w:tblPrEx>
          <w:tblCellMar>
            <w:top w:w="0" w:type="dxa"/>
            <w:left w:w="108" w:type="dxa"/>
            <w:bottom w:w="0" w:type="dxa"/>
            <w:right w:w="108" w:type="dxa"/>
          </w:tblCellMar>
        </w:tblPrEx>
        <w:trPr>
          <w:trHeight w:val="520" w:hRule="atLeast"/>
        </w:trPr>
        <w:tc>
          <w:tcPr>
            <w:tcW w:w="759" w:type="dxa"/>
            <w:tcBorders>
              <w:top w:val="single" w:color="auto" w:sz="4" w:space="0"/>
              <w:left w:val="single" w:color="auto" w:sz="4" w:space="0"/>
              <w:bottom w:val="single" w:color="auto" w:sz="4" w:space="0"/>
              <w:right w:val="single" w:color="auto" w:sz="4" w:space="0"/>
            </w:tcBorders>
            <w:shd w:val="clear" w:color="000000" w:fill="auto"/>
            <w:noWrap/>
            <w:vAlign w:val="center"/>
          </w:tcPr>
          <w:p>
            <w:pPr>
              <w:rPr>
                <w:rFonts w:ascii="仿宋_GB2312" w:hAnsi="仿宋_GB2312" w:eastAsia="仿宋_GB2312"/>
                <w:b/>
                <w:bCs/>
                <w:color w:val="auto"/>
                <w:highlight w:val="none"/>
              </w:rPr>
            </w:pPr>
            <w:r>
              <w:rPr>
                <w:rFonts w:hint="eastAsia" w:ascii="仿宋_GB2312" w:hAnsi="仿宋_GB2312" w:eastAsia="仿宋_GB2312"/>
                <w:b/>
                <w:bCs/>
                <w:color w:val="auto"/>
                <w:highlight w:val="none"/>
              </w:rPr>
              <w:t>系统</w:t>
            </w:r>
          </w:p>
        </w:tc>
        <w:tc>
          <w:tcPr>
            <w:tcW w:w="1340" w:type="dxa"/>
            <w:tcBorders>
              <w:top w:val="single" w:color="auto" w:sz="4" w:space="0"/>
              <w:left w:val="single" w:color="auto" w:sz="4" w:space="0"/>
              <w:bottom w:val="single" w:color="auto" w:sz="4" w:space="0"/>
              <w:right w:val="single" w:color="auto" w:sz="4" w:space="0"/>
            </w:tcBorders>
            <w:shd w:val="clear" w:color="000000" w:fill="auto"/>
            <w:noWrap/>
            <w:vAlign w:val="center"/>
          </w:tcPr>
          <w:p>
            <w:pPr>
              <w:rPr>
                <w:rFonts w:ascii="仿宋_GB2312" w:hAnsi="仿宋_GB2312" w:eastAsia="仿宋_GB2312"/>
                <w:b/>
                <w:bCs/>
                <w:color w:val="auto"/>
                <w:highlight w:val="none"/>
              </w:rPr>
            </w:pPr>
            <w:r>
              <w:rPr>
                <w:rFonts w:hint="eastAsia" w:ascii="仿宋_GB2312" w:hAnsi="仿宋_GB2312" w:eastAsia="仿宋_GB2312"/>
                <w:b/>
                <w:bCs/>
                <w:color w:val="auto"/>
                <w:highlight w:val="none"/>
              </w:rPr>
              <w:t>子系统/角色</w:t>
            </w:r>
          </w:p>
        </w:tc>
        <w:tc>
          <w:tcPr>
            <w:tcW w:w="781" w:type="dxa"/>
            <w:tcBorders>
              <w:top w:val="single" w:color="auto" w:sz="4" w:space="0"/>
              <w:left w:val="single" w:color="auto" w:sz="4" w:space="0"/>
              <w:bottom w:val="single" w:color="auto" w:sz="4" w:space="0"/>
              <w:right w:val="single" w:color="auto" w:sz="4" w:space="0"/>
            </w:tcBorders>
            <w:shd w:val="clear" w:color="000000" w:fill="auto"/>
            <w:noWrap/>
            <w:vAlign w:val="center"/>
          </w:tcPr>
          <w:p>
            <w:pPr>
              <w:rPr>
                <w:rFonts w:ascii="仿宋_GB2312" w:hAnsi="仿宋_GB2312" w:eastAsia="仿宋_GB2312"/>
                <w:b/>
                <w:bCs/>
                <w:color w:val="auto"/>
                <w:highlight w:val="none"/>
              </w:rPr>
            </w:pPr>
            <w:r>
              <w:rPr>
                <w:rFonts w:hint="eastAsia" w:ascii="仿宋_GB2312" w:hAnsi="仿宋_GB2312" w:eastAsia="仿宋_GB2312"/>
                <w:b/>
                <w:bCs/>
                <w:color w:val="auto"/>
                <w:highlight w:val="none"/>
              </w:rPr>
              <w:t>模块</w:t>
            </w:r>
          </w:p>
        </w:tc>
        <w:tc>
          <w:tcPr>
            <w:tcW w:w="1720" w:type="dxa"/>
            <w:tcBorders>
              <w:top w:val="single" w:color="auto" w:sz="4" w:space="0"/>
              <w:left w:val="single" w:color="auto" w:sz="4" w:space="0"/>
              <w:bottom w:val="single" w:color="auto" w:sz="4" w:space="0"/>
              <w:right w:val="single" w:color="auto" w:sz="4" w:space="0"/>
            </w:tcBorders>
            <w:shd w:val="clear" w:color="000000" w:fill="auto"/>
            <w:noWrap/>
            <w:vAlign w:val="center"/>
          </w:tcPr>
          <w:p>
            <w:pPr>
              <w:rPr>
                <w:rFonts w:ascii="仿宋_GB2312" w:hAnsi="仿宋_GB2312" w:eastAsia="仿宋_GB2312"/>
                <w:b/>
                <w:bCs/>
                <w:color w:val="auto"/>
                <w:highlight w:val="none"/>
              </w:rPr>
            </w:pPr>
            <w:r>
              <w:rPr>
                <w:rFonts w:hint="eastAsia" w:ascii="仿宋_GB2312" w:hAnsi="仿宋_GB2312" w:eastAsia="仿宋_GB2312"/>
                <w:b/>
                <w:bCs/>
                <w:color w:val="auto"/>
                <w:highlight w:val="none"/>
              </w:rPr>
              <w:t>功能菜单</w:t>
            </w:r>
          </w:p>
        </w:tc>
        <w:tc>
          <w:tcPr>
            <w:tcW w:w="1069" w:type="dxa"/>
            <w:tcBorders>
              <w:top w:val="single" w:color="auto" w:sz="4" w:space="0"/>
              <w:left w:val="single" w:color="auto" w:sz="4" w:space="0"/>
              <w:bottom w:val="single" w:color="auto" w:sz="4" w:space="0"/>
              <w:right w:val="single" w:color="auto" w:sz="4" w:space="0"/>
            </w:tcBorders>
            <w:shd w:val="clear" w:color="000000" w:fill="auto"/>
            <w:noWrap/>
            <w:vAlign w:val="center"/>
          </w:tcPr>
          <w:p>
            <w:pPr>
              <w:rPr>
                <w:rFonts w:hint="eastAsia" w:ascii="仿宋_GB2312" w:hAnsi="仿宋_GB2312" w:eastAsia="仿宋_GB2312"/>
                <w:b/>
                <w:bCs/>
                <w:color w:val="auto"/>
                <w:highlight w:val="none"/>
                <w:lang w:val="en-US" w:eastAsia="zh-CN"/>
              </w:rPr>
            </w:pPr>
            <w:r>
              <w:rPr>
                <w:rFonts w:hint="eastAsia" w:ascii="仿宋_GB2312" w:hAnsi="仿宋_GB2312" w:eastAsia="仿宋_GB2312"/>
                <w:b/>
                <w:bCs/>
                <w:color w:val="auto"/>
                <w:highlight w:val="none"/>
                <w:lang w:val="en-US" w:eastAsia="zh-CN"/>
              </w:rPr>
              <w:t>数量</w:t>
            </w:r>
          </w:p>
        </w:tc>
        <w:tc>
          <w:tcPr>
            <w:tcW w:w="3338" w:type="dxa"/>
            <w:tcBorders>
              <w:top w:val="single" w:color="auto" w:sz="4" w:space="0"/>
              <w:left w:val="single" w:color="auto" w:sz="4" w:space="0"/>
              <w:bottom w:val="single" w:color="auto" w:sz="4" w:space="0"/>
              <w:right w:val="single" w:color="auto" w:sz="4" w:space="0"/>
            </w:tcBorders>
            <w:shd w:val="clear" w:color="000000" w:fill="auto"/>
            <w:noWrap/>
            <w:vAlign w:val="center"/>
          </w:tcPr>
          <w:p>
            <w:pPr>
              <w:rPr>
                <w:rFonts w:ascii="仿宋_GB2312" w:hAnsi="仿宋_GB2312" w:eastAsia="仿宋_GB2312"/>
                <w:b/>
                <w:bCs/>
                <w:color w:val="auto"/>
                <w:highlight w:val="none"/>
              </w:rPr>
            </w:pPr>
            <w:r>
              <w:rPr>
                <w:rFonts w:hint="eastAsia" w:ascii="仿宋_GB2312" w:hAnsi="仿宋_GB2312" w:eastAsia="仿宋_GB2312"/>
                <w:b/>
                <w:bCs/>
                <w:color w:val="auto"/>
                <w:highlight w:val="none"/>
              </w:rPr>
              <w:t>描述</w:t>
            </w:r>
          </w:p>
        </w:tc>
      </w:tr>
      <w:tr>
        <w:tblPrEx>
          <w:tblCellMar>
            <w:top w:w="0" w:type="dxa"/>
            <w:left w:w="108" w:type="dxa"/>
            <w:bottom w:w="0" w:type="dxa"/>
            <w:right w:w="108" w:type="dxa"/>
          </w:tblCellMar>
        </w:tblPrEx>
        <w:trPr>
          <w:trHeight w:val="320" w:hRule="atLeast"/>
        </w:trPr>
        <w:tc>
          <w:tcPr>
            <w:tcW w:w="7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仿宋_GB2312" w:eastAsia="仿宋_GB2312"/>
                <w:color w:val="auto"/>
                <w:highlight w:val="none"/>
              </w:rPr>
            </w:pPr>
            <w:r>
              <w:rPr>
                <w:rFonts w:hint="eastAsia" w:ascii="仿宋_GB2312" w:hAnsi="仿宋_GB2312" w:eastAsia="仿宋_GB2312"/>
                <w:color w:val="auto"/>
                <w:highlight w:val="none"/>
              </w:rPr>
              <w:t>药品安全黑匣子绍兴应用场景国产化适配</w:t>
            </w:r>
          </w:p>
        </w:tc>
        <w:tc>
          <w:tcPr>
            <w:tcW w:w="384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国产操作系统适配</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lang w:eastAsia="zh-CN"/>
              </w:rPr>
            </w:pPr>
            <w:r>
              <w:rPr>
                <w:rFonts w:hint="eastAsia" w:ascii="仿宋_GB2312" w:hAnsi="仿宋_GB2312" w:eastAsia="仿宋_GB2312"/>
                <w:color w:val="auto"/>
                <w:highlight w:val="none"/>
              </w:rPr>
              <w:t>服务器端国产操作系统适配</w:t>
            </w:r>
            <w:r>
              <w:rPr>
                <w:rFonts w:hint="eastAsia" w:ascii="仿宋_GB2312" w:hAnsi="仿宋_GB2312" w:eastAsia="仿宋_GB2312"/>
                <w:color w:val="auto"/>
                <w:highlight w:val="none"/>
                <w:lang w:eastAsia="zh-CN"/>
              </w:rPr>
              <w:t>（</w:t>
            </w:r>
            <w:r>
              <w:rPr>
                <w:rFonts w:hint="eastAsia" w:ascii="仿宋_GB2312" w:hAnsi="仿宋_GB2312" w:eastAsia="仿宋_GB2312"/>
                <w:color w:val="auto"/>
                <w:highlight w:val="none"/>
                <w:lang w:val="en-US" w:eastAsia="zh-CN"/>
              </w:rPr>
              <w:t>1套国产系统，包含国产主机类型、数据盘类型、数据库、中间件等</w:t>
            </w:r>
            <w:r>
              <w:rPr>
                <w:rFonts w:hint="eastAsia" w:ascii="仿宋_GB2312" w:hAnsi="仿宋_GB2312" w:eastAsia="仿宋_GB2312"/>
                <w:color w:val="auto"/>
                <w:highlight w:val="none"/>
                <w:lang w:eastAsia="zh-CN"/>
              </w:rPr>
              <w:t>）</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384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国产数据库适合</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lang w:eastAsia="zh-CN"/>
              </w:rPr>
            </w:pPr>
            <w:r>
              <w:rPr>
                <w:rFonts w:hint="eastAsia" w:ascii="仿宋_GB2312" w:hAnsi="仿宋_GB2312" w:eastAsia="仿宋_GB2312"/>
                <w:color w:val="auto"/>
                <w:highlight w:val="none"/>
              </w:rPr>
              <w:t>数据库适配改造</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384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数据迁移</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rPr>
              <w:t>数据迁移</w:t>
            </w:r>
          </w:p>
        </w:tc>
      </w:tr>
      <w:tr>
        <w:tblPrEx>
          <w:tblCellMar>
            <w:top w:w="0" w:type="dxa"/>
            <w:left w:w="108" w:type="dxa"/>
            <w:bottom w:w="0" w:type="dxa"/>
            <w:right w:w="108" w:type="dxa"/>
          </w:tblCellMar>
        </w:tblPrEx>
        <w:trPr>
          <w:trHeight w:val="90" w:hRule="atLeast"/>
        </w:trPr>
        <w:tc>
          <w:tcPr>
            <w:tcW w:w="759" w:type="dxa"/>
            <w:vMerge w:val="restart"/>
            <w:tcBorders>
              <w:top w:val="single" w:color="auto" w:sz="4" w:space="0"/>
              <w:left w:val="single" w:color="auto" w:sz="4" w:space="0"/>
              <w:right w:val="single" w:color="auto" w:sz="4" w:space="0"/>
            </w:tcBorders>
            <w:vAlign w:val="center"/>
          </w:tcPr>
          <w:p>
            <w:pPr>
              <w:jc w:val="both"/>
              <w:rPr>
                <w:rFonts w:ascii="仿宋_GB2312" w:hAnsi="仿宋_GB2312" w:eastAsia="仿宋_GB2312"/>
                <w:color w:val="auto"/>
                <w:highlight w:val="none"/>
              </w:rPr>
            </w:pPr>
            <w:r>
              <w:rPr>
                <w:rFonts w:hint="eastAsia" w:ascii="仿宋_GB2312" w:hAnsi="仿宋_GB2312" w:eastAsia="仿宋_GB2312"/>
                <w:color w:val="auto"/>
                <w:highlight w:val="none"/>
              </w:rPr>
              <w:t>药品安全黑匣子绍兴应用场景国产化</w:t>
            </w:r>
          </w:p>
        </w:tc>
        <w:tc>
          <w:tcPr>
            <w:tcW w:w="13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仿宋_GB2312" w:eastAsia="仿宋_GB2312" w:cs="Times New Roman"/>
                <w:color w:val="auto"/>
                <w:kern w:val="2"/>
                <w:sz w:val="21"/>
                <w:szCs w:val="24"/>
                <w:highlight w:val="none"/>
                <w:lang w:val="en-US" w:eastAsia="zh-CN" w:bidi="ar-SA"/>
              </w:rPr>
            </w:pPr>
          </w:p>
        </w:tc>
        <w:tc>
          <w:tcPr>
            <w:tcW w:w="781" w:type="dxa"/>
            <w:vMerge w:val="restart"/>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数据管理</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信息查询</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企业上报生产/物料/人员信息查询</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信息统计</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统计上报信息与上报类型查询进货量等信息</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产量统计</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统计产量、销售等信息</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物料平衡率</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统计物料的投料与产出比例等信息</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预警</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统计并提示企业的物料平衡率范围</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restart"/>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lang w:val="en-US" w:eastAsia="zh-CN"/>
              </w:rPr>
              <w:t>胶囊功能</w:t>
            </w:r>
            <w:r>
              <w:rPr>
                <w:rFonts w:hint="eastAsia" w:ascii="仿宋_GB2312" w:hAnsi="仿宋_GB2312" w:eastAsia="仿宋_GB2312"/>
                <w:color w:val="auto"/>
                <w:highlight w:val="none"/>
              </w:rPr>
              <w:t>系统数据迁移</w:t>
            </w:r>
          </w:p>
        </w:tc>
        <w:tc>
          <w:tcPr>
            <w:tcW w:w="781" w:type="dxa"/>
            <w:vMerge w:val="restart"/>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信息查询</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原辅料信息</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企业原辅料信息的新增、上报等功能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生产信息</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企业的生产信息新增、上报等功能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销售信息</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企业的销售信息新增、上报等功能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人员新增</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企业的人员新增、上报等功能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人员离职</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企业人员离职的新增、上报等功能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销售退货</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企业的销售退货新增、上报等功能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原料退货</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企业的原料退货新增、上报等功能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胶囊报损</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企业的胶囊报损新增、上报等功能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原料报损</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企业的原料报损新增、上报等功能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废料登记</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企业的废料登记新增、上报等功能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原料检测报告</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企业的原料检测报告新增、上报等功能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成品检测报告</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企业的成品检测报告新增、上报等功能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restart"/>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基础数据管理</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信息查询</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上报信息与上报类型查询等功能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物料平衡率</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统计物料的投料与产出比例等信息</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781" w:type="dxa"/>
            <w:vMerge w:val="restart"/>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系统数据迁移/国产化适配</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供货企业</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企业供货信息的新增、上报等功能</w:t>
            </w:r>
          </w:p>
        </w:tc>
      </w:tr>
      <w:tr>
        <w:tblPrEx>
          <w:tblCellMar>
            <w:top w:w="0" w:type="dxa"/>
            <w:left w:w="108" w:type="dxa"/>
            <w:bottom w:w="0" w:type="dxa"/>
            <w:right w:w="108" w:type="dxa"/>
          </w:tblCellMar>
        </w:tblPrEx>
        <w:trPr>
          <w:trHeight w:val="320"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134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p>
        </w:tc>
        <w:tc>
          <w:tcPr>
            <w:tcW w:w="78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货运公司</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_GB2312" w:hAnsi="仿宋_GB2312" w:eastAsia="仿宋_GB2312"/>
                <w:color w:val="auto"/>
                <w:highlight w:val="none"/>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企业货运公司信息的新增、上报等功能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restart"/>
            <w:tcBorders>
              <w:top w:val="single" w:color="auto" w:sz="4" w:space="0"/>
              <w:left w:val="single" w:color="auto" w:sz="4" w:space="0"/>
              <w:right w:val="single" w:color="auto" w:sz="4" w:space="0"/>
            </w:tcBorders>
            <w:shd w:val="clear" w:color="auto" w:fill="auto"/>
            <w:noWrap/>
            <w:vAlign w:val="center"/>
          </w:tcPr>
          <w:p>
            <w:pPr>
              <w:rPr>
                <w:rFonts w:hint="default"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黑匣子系统-监管端</w:t>
            </w: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用户及权限</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系统管理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检查任务</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将原检查任务流程合并一起，一个菜单显示，支持市局和区县独立下发任务。</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default"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品种管理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将所有企业的品种数据合并在一起展示，需要突出集采的数据（可以选择独立出一个页面展示出来）。</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default"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检查报告</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企业上传的省局、国家局等检查报告要展示出来</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现场检查指南</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函号管理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检查员管理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企业变更分析预警</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企业风险评估</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报表中心</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bookmarkStart w:id="38" w:name="OLE_LINK1"/>
            <w:r>
              <w:rPr>
                <w:rFonts w:hint="eastAsia" w:ascii="仿宋" w:hAnsi="仿宋" w:eastAsia="仿宋" w:cs="仿宋"/>
                <w:color w:val="auto"/>
                <w:kern w:val="2"/>
                <w:sz w:val="21"/>
                <w:szCs w:val="24"/>
                <w:highlight w:val="none"/>
                <w:lang w:val="en-US" w:eastAsia="zh-CN" w:bidi="ar-SA"/>
              </w:rPr>
              <w:t>迁移原系统对应功能</w:t>
            </w:r>
            <w:bookmarkEnd w:id="38"/>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监管端驾驶舱</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监管端首页</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restart"/>
            <w:tcBorders>
              <w:top w:val="single" w:color="auto" w:sz="4" w:space="0"/>
              <w:left w:val="single" w:color="auto" w:sz="4" w:space="0"/>
              <w:right w:val="single" w:color="auto" w:sz="4" w:space="0"/>
            </w:tcBorders>
            <w:shd w:val="clear" w:color="auto" w:fill="auto"/>
            <w:noWrap/>
            <w:vAlign w:val="center"/>
          </w:tcPr>
          <w:p>
            <w:pPr>
              <w:rPr>
                <w:rFonts w:hint="default"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黑匣子系统-企业端</w:t>
            </w: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基础应用</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系统管理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企业基本信息采集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生产信息采集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产品信息采集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进口药品信息采集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人员信息采集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检查报告</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上传省局、国家局等检查报告</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历史变更信息记录</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委托受托信息采集</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信息变更工作申报</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出口欧盟原料药证明申请</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药品出口销售证明申请</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整改报告</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企业整改报告智能书写</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320" w:hRule="atLeast"/>
        </w:trPr>
        <w:tc>
          <w:tcPr>
            <w:tcW w:w="759"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olor w:val="auto"/>
                <w:highlight w:val="none"/>
              </w:rPr>
            </w:pPr>
          </w:p>
        </w:tc>
        <w:tc>
          <w:tcPr>
            <w:tcW w:w="1340" w:type="dxa"/>
            <w:vMerge w:val="continue"/>
            <w:tcBorders>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p>
        </w:tc>
        <w:tc>
          <w:tcPr>
            <w:tcW w:w="250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76" w:lineRule="auto"/>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企业驾驶舱</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1"/>
                <w:szCs w:val="24"/>
                <w:highlight w:val="none"/>
                <w:lang w:val="en-US" w:eastAsia="zh-CN" w:bidi="ar-SA"/>
              </w:rPr>
              <w:t>迁移原系统对应功能</w:t>
            </w:r>
          </w:p>
        </w:tc>
      </w:tr>
      <w:tr>
        <w:tblPrEx>
          <w:tblCellMar>
            <w:top w:w="0" w:type="dxa"/>
            <w:left w:w="108" w:type="dxa"/>
            <w:bottom w:w="0" w:type="dxa"/>
            <w:right w:w="108" w:type="dxa"/>
          </w:tblCellMar>
        </w:tblPrEx>
        <w:trPr>
          <w:trHeight w:val="1361" w:hRule="atLeast"/>
        </w:trPr>
        <w:tc>
          <w:tcPr>
            <w:tcW w:w="759" w:type="dxa"/>
            <w:vMerge w:val="continue"/>
            <w:tcBorders>
              <w:top w:val="single" w:color="auto" w:sz="4" w:space="0"/>
              <w:left w:val="single" w:color="auto" w:sz="4" w:space="0"/>
              <w:bottom w:val="single" w:color="auto" w:sz="4" w:space="0"/>
              <w:right w:val="single" w:color="auto" w:sz="4" w:space="0"/>
            </w:tcBorders>
            <w:vAlign w:val="center"/>
          </w:tcPr>
          <w:p>
            <w:pPr>
              <w:rPr>
                <w:rFonts w:ascii="仿宋_GB2312" w:hAnsi="仿宋_GB2312" w:eastAsia="仿宋_GB2312"/>
                <w:color w:val="auto"/>
                <w:highlight w:val="none"/>
              </w:rPr>
            </w:pPr>
          </w:p>
        </w:tc>
        <w:tc>
          <w:tcPr>
            <w:tcW w:w="3841"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仿宋_GB2312" w:hAnsi="仿宋_GB2312" w:eastAsia="仿宋_GB2312"/>
                <w:color w:val="auto"/>
                <w:highlight w:val="none"/>
              </w:rPr>
            </w:pPr>
            <w:r>
              <w:rPr>
                <w:rFonts w:hint="eastAsia" w:ascii="仿宋_GB2312" w:hAnsi="仿宋_GB2312" w:eastAsia="仿宋_GB2312"/>
                <w:color w:val="auto"/>
                <w:highlight w:val="none"/>
              </w:rPr>
              <w:t>浙政钉调整</w:t>
            </w:r>
          </w:p>
        </w:tc>
        <w:tc>
          <w:tcPr>
            <w:tcW w:w="106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_GB2312" w:hAnsi="仿宋_GB2312" w:eastAsia="仿宋_GB2312"/>
                <w:color w:val="auto"/>
                <w:highlight w:val="none"/>
                <w:lang w:val="en-US" w:eastAsia="zh-CN"/>
              </w:rPr>
              <w:t>1项</w:t>
            </w:r>
          </w:p>
        </w:tc>
        <w:tc>
          <w:tcPr>
            <w:tcW w:w="3338"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_GB2312" w:hAnsi="仿宋_GB2312" w:eastAsia="仿宋_GB2312"/>
                <w:color w:val="auto"/>
                <w:highlight w:val="none"/>
                <w:lang w:val="en-US" w:eastAsia="zh-CN"/>
              </w:rPr>
            </w:pPr>
            <w:r>
              <w:rPr>
                <w:rFonts w:hint="eastAsia" w:ascii="仿宋" w:hAnsi="仿宋" w:eastAsia="仿宋"/>
                <w:color w:val="auto"/>
                <w:sz w:val="22"/>
                <w:szCs w:val="22"/>
                <w:highlight w:val="none"/>
                <w:lang w:val="en-US" w:eastAsia="zh-CN"/>
              </w:rPr>
              <w:t>在原有功能基础上进行优化提升</w:t>
            </w:r>
          </w:p>
        </w:tc>
      </w:tr>
      <w:tr>
        <w:tblPrEx>
          <w:tblCellMar>
            <w:top w:w="0" w:type="dxa"/>
            <w:left w:w="108" w:type="dxa"/>
            <w:bottom w:w="0" w:type="dxa"/>
            <w:right w:w="108" w:type="dxa"/>
          </w:tblCellMar>
        </w:tblPrEx>
        <w:trPr>
          <w:trHeight w:val="1361" w:hRule="atLeast"/>
        </w:trPr>
        <w:tc>
          <w:tcPr>
            <w:tcW w:w="759"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auto"/>
                <w:highlight w:val="none"/>
                <w:lang w:val="en-US" w:eastAsia="zh-CN"/>
              </w:rPr>
            </w:pPr>
            <w:r>
              <w:rPr>
                <w:rFonts w:hint="eastAsia" w:ascii="仿宋_GB2312" w:hAnsi="仿宋_GB2312" w:eastAsia="仿宋_GB2312"/>
                <w:color w:val="auto"/>
                <w:highlight w:val="none"/>
                <w:lang w:val="en-US" w:eastAsia="zh-CN"/>
              </w:rPr>
              <w:t>维护服务</w:t>
            </w:r>
          </w:p>
        </w:tc>
        <w:tc>
          <w:tcPr>
            <w:tcW w:w="8248"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提供一年维护服务，包括软件升级、故障排除、性能调优、服务器维护、技术咨询等。负责系统开发、集成、处理、协同供应商关系等。</w:t>
            </w:r>
            <w:r>
              <w:rPr>
                <w:rFonts w:hint="eastAsia" w:ascii="仿宋" w:hAnsi="仿宋" w:eastAsia="仿宋" w:cs="宋体"/>
                <w:color w:val="auto"/>
                <w:kern w:val="0"/>
                <w:sz w:val="24"/>
                <w:highlight w:val="none"/>
                <w:lang w:val="en-US" w:eastAsia="zh-CN"/>
              </w:rPr>
              <w:t>负责等保测评完成。</w:t>
            </w:r>
          </w:p>
        </w:tc>
      </w:tr>
    </w:tbl>
    <w:p>
      <w:pPr>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四</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时间</w:t>
      </w:r>
      <w:r>
        <w:rPr>
          <w:rFonts w:hint="eastAsia" w:ascii="仿宋" w:hAnsi="仿宋" w:eastAsia="仿宋" w:cs="仿宋"/>
          <w:b/>
          <w:bCs/>
          <w:color w:val="auto"/>
          <w:sz w:val="24"/>
          <w:highlight w:val="none"/>
        </w:rPr>
        <w:t>要求</w:t>
      </w:r>
    </w:p>
    <w:p>
      <w:pPr>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2024年12月31日前完成本项目并验收通过。项目验收通过时间每晚1日，扣除千分之</w:t>
      </w:r>
      <w:r>
        <w:rPr>
          <w:rFonts w:hint="eastAsia" w:ascii="仿宋" w:hAnsi="仿宋" w:eastAsia="仿宋"/>
          <w:color w:val="auto"/>
          <w:sz w:val="24"/>
          <w:highlight w:val="none"/>
          <w:lang w:val="en-US" w:eastAsia="zh-CN"/>
        </w:rPr>
        <w:t>二</w:t>
      </w:r>
      <w:r>
        <w:rPr>
          <w:rFonts w:hint="eastAsia" w:ascii="仿宋" w:hAnsi="仿宋" w:eastAsia="仿宋"/>
          <w:color w:val="auto"/>
          <w:sz w:val="24"/>
          <w:highlight w:val="none"/>
        </w:rPr>
        <w:t>项目应付总金额。验收时间晚于约定时间15日的，合约自动取消。</w:t>
      </w:r>
    </w:p>
    <w:p>
      <w:pPr>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五</w:t>
      </w:r>
      <w:r>
        <w:rPr>
          <w:rFonts w:hint="eastAsia" w:ascii="仿宋" w:hAnsi="仿宋" w:eastAsia="仿宋" w:cs="仿宋"/>
          <w:b/>
          <w:bCs/>
          <w:color w:val="auto"/>
          <w:sz w:val="24"/>
          <w:highlight w:val="none"/>
        </w:rPr>
        <w:t>、</w:t>
      </w:r>
      <w:r>
        <w:rPr>
          <w:rFonts w:hint="eastAsia" w:ascii="仿宋" w:hAnsi="仿宋" w:eastAsia="仿宋"/>
          <w:b/>
          <w:bCs/>
          <w:color w:val="auto"/>
          <w:sz w:val="24"/>
          <w:highlight w:val="none"/>
        </w:rPr>
        <w:t>售后服务要求</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投标方应提出保修、维护、服务以及今后技术支持的措施计划，并承诺在正式验收通过后，提供整个项目所购系统一年维护和系统升级服务，其中项目中非投标</w:t>
      </w:r>
      <w:r>
        <w:rPr>
          <w:rFonts w:hint="eastAsia" w:ascii="仿宋" w:hAnsi="仿宋" w:eastAsia="仿宋"/>
          <w:color w:val="auto"/>
          <w:sz w:val="24"/>
          <w:highlight w:val="none"/>
          <w:lang w:val="en-US" w:eastAsia="zh-CN"/>
        </w:rPr>
        <w:tab/>
      </w:r>
      <w:r>
        <w:rPr>
          <w:rFonts w:hint="eastAsia" w:ascii="仿宋" w:hAnsi="仿宋" w:eastAsia="仿宋"/>
          <w:color w:val="auto"/>
          <w:sz w:val="24"/>
          <w:highlight w:val="none"/>
        </w:rPr>
        <w:t>方自身产品或系统必须提供所投设备或系统正式验收后一年免费原厂质保</w:t>
      </w:r>
      <w:r>
        <w:rPr>
          <w:rFonts w:hint="eastAsia" w:ascii="仿宋" w:hAnsi="仿宋" w:eastAsia="仿宋"/>
          <w:color w:val="auto"/>
          <w:sz w:val="24"/>
          <w:highlight w:val="none"/>
          <w:lang w:val="en-US" w:eastAsia="zh-CN"/>
        </w:rPr>
        <w:t>或维护</w:t>
      </w:r>
      <w:r>
        <w:rPr>
          <w:rFonts w:hint="eastAsia" w:ascii="仿宋" w:hAnsi="仿宋" w:eastAsia="仿宋"/>
          <w:color w:val="auto"/>
          <w:sz w:val="24"/>
          <w:highlight w:val="none"/>
        </w:rPr>
        <w:t>服务。</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售后服务内容：</w:t>
      </w:r>
      <w:r>
        <w:rPr>
          <w:rFonts w:hint="eastAsia" w:ascii="仿宋" w:hAnsi="仿宋" w:eastAsia="仿宋" w:cs="宋体"/>
          <w:color w:val="auto"/>
          <w:kern w:val="0"/>
          <w:sz w:val="24"/>
          <w:highlight w:val="none"/>
          <w:lang w:val="en-US" w:eastAsia="zh-CN"/>
        </w:rPr>
        <w:t>终验完成后，提供一年维护服务</w:t>
      </w:r>
      <w:r>
        <w:rPr>
          <w:rFonts w:hint="eastAsia" w:ascii="仿宋" w:hAnsi="仿宋" w:eastAsia="仿宋" w:cs="仿宋"/>
          <w:color w:val="auto"/>
          <w:sz w:val="24"/>
          <w:szCs w:val="24"/>
          <w:highlight w:val="none"/>
          <w:lang w:eastAsia="zh-CN"/>
        </w:rPr>
        <w:t>，</w:t>
      </w:r>
      <w:r>
        <w:rPr>
          <w:rFonts w:hint="eastAsia" w:ascii="仿宋" w:hAnsi="仿宋" w:eastAsia="仿宋"/>
          <w:color w:val="auto"/>
          <w:sz w:val="24"/>
          <w:highlight w:val="none"/>
          <w:lang w:val="en-US" w:eastAsia="zh-CN"/>
        </w:rPr>
        <w:t>提供软件</w:t>
      </w:r>
      <w:r>
        <w:rPr>
          <w:rFonts w:hint="eastAsia" w:ascii="仿宋" w:hAnsi="仿宋" w:eastAsia="仿宋"/>
          <w:color w:val="auto"/>
          <w:sz w:val="24"/>
          <w:highlight w:val="none"/>
        </w:rPr>
        <w:t>免费升级、故障排除、性能调优、技术咨询等</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负责系统的开发、集成、处理、协同与各系统软件、硬件等供应商关系等。配合完成等保评测要求的修改。</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olor w:val="auto"/>
          <w:sz w:val="24"/>
          <w:highlight w:val="none"/>
        </w:rPr>
        <w:t>要求具有较强的本地化服务能力，项目正式验收后提供7×24小时的售后服务，并保证在系统发生故障的60分钟内响应，2小时以内到现场，4小时以内解决问题。</w:t>
      </w:r>
    </w:p>
    <w:p>
      <w:pPr>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六</w:t>
      </w:r>
      <w:r>
        <w:rPr>
          <w:rFonts w:hint="eastAsia" w:ascii="仿宋" w:hAnsi="仿宋" w:eastAsia="仿宋" w:cs="仿宋"/>
          <w:b/>
          <w:bCs/>
          <w:color w:val="auto"/>
          <w:sz w:val="24"/>
          <w:highlight w:val="none"/>
        </w:rPr>
        <w:t>、付款方式</w:t>
      </w:r>
    </w:p>
    <w:p>
      <w:pPr>
        <w:spacing w:line="360" w:lineRule="auto"/>
        <w:ind w:firstLine="480" w:firstLineChars="200"/>
        <w:rPr>
          <w:rFonts w:hint="eastAsia" w:ascii="仿宋" w:hAnsi="仿宋" w:eastAsia="仿宋"/>
          <w:color w:val="auto"/>
          <w:sz w:val="24"/>
          <w:highlight w:val="none"/>
          <w:lang w:val="zh-CN"/>
        </w:rPr>
      </w:pPr>
      <w:r>
        <w:rPr>
          <w:rFonts w:hint="eastAsia" w:ascii="仿宋" w:hAnsi="仿宋" w:eastAsia="仿宋"/>
          <w:color w:val="auto"/>
          <w:sz w:val="24"/>
          <w:highlight w:val="none"/>
          <w:lang w:val="zh-CN"/>
        </w:rPr>
        <w:t>按《浙江省财政厅关于进一步发挥政府采购政策功能全力推动经济稳进提质的通知》（浙财采监〔2022〕3号）等文件要求执行，根据项目进度进行付款，具体付款方式由双方协商后在合同中明确。</w:t>
      </w:r>
    </w:p>
    <w:p>
      <w:pPr>
        <w:numPr>
          <w:ilvl w:val="0"/>
          <w:numId w:val="1"/>
        </w:numPr>
        <w:spacing w:line="440" w:lineRule="exact"/>
        <w:ind w:left="0" w:leftChars="0" w:firstLine="0" w:firstLineChars="0"/>
        <w:jc w:val="left"/>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其它</w:t>
      </w:r>
    </w:p>
    <w:p>
      <w:pPr>
        <w:pStyle w:val="2"/>
        <w:numPr>
          <w:ilvl w:val="0"/>
          <w:numId w:val="0"/>
        </w:numPr>
        <w:ind w:leftChars="0" w:firstLine="480" w:firstLineChars="200"/>
        <w:rPr>
          <w:rFonts w:hint="default" w:ascii="仿宋" w:hAnsi="仿宋" w:eastAsia="仿宋" w:cs="Times New Roman"/>
          <w:b w:val="0"/>
          <w:bCs w:val="0"/>
          <w:color w:val="auto"/>
          <w:kern w:val="2"/>
          <w:sz w:val="24"/>
          <w:szCs w:val="24"/>
          <w:highlight w:val="none"/>
          <w:lang w:val="en-US" w:eastAsia="zh-CN" w:bidi="ar-SA"/>
        </w:rPr>
      </w:pPr>
      <w:r>
        <w:rPr>
          <w:rFonts w:hint="default" w:ascii="仿宋" w:hAnsi="仿宋" w:eastAsia="仿宋" w:cs="Times New Roman"/>
          <w:b w:val="0"/>
          <w:bCs w:val="0"/>
          <w:color w:val="auto"/>
          <w:kern w:val="2"/>
          <w:sz w:val="24"/>
          <w:szCs w:val="24"/>
          <w:highlight w:val="none"/>
          <w:lang w:val="en-US" w:eastAsia="zh-CN" w:bidi="ar-SA"/>
        </w:rPr>
        <w:t>迁移后，与平台不兼容，影响系统正常运行的，每次扣5000元。</w:t>
      </w:r>
    </w:p>
    <w:p>
      <w:pPr>
        <w:pStyle w:val="3"/>
        <w:rPr>
          <w:rFonts w:hint="default" w:ascii="仿宋" w:hAnsi="仿宋" w:eastAsia="仿宋" w:cs="Times New Roman"/>
          <w:b w:val="0"/>
          <w:bCs w:val="0"/>
          <w:snapToGrid/>
          <w:color w:val="auto"/>
          <w:kern w:val="2"/>
          <w:sz w:val="24"/>
          <w:szCs w:val="24"/>
          <w:highlight w:val="none"/>
          <w:lang w:val="en-US" w:eastAsia="zh-CN" w:bidi="ar-SA"/>
        </w:rPr>
      </w:pPr>
      <w:r>
        <w:rPr>
          <w:rFonts w:hint="default" w:ascii="仿宋" w:hAnsi="仿宋" w:eastAsia="仿宋" w:cs="Times New Roman"/>
          <w:b w:val="0"/>
          <w:bCs w:val="0"/>
          <w:snapToGrid/>
          <w:color w:val="auto"/>
          <w:kern w:val="2"/>
          <w:sz w:val="24"/>
          <w:szCs w:val="24"/>
          <w:highlight w:val="none"/>
          <w:lang w:val="en-US" w:eastAsia="zh-CN" w:bidi="ar-SA"/>
        </w:rPr>
        <w:t>因中标供应商原因影响采购人正常工作造成不良影响的，每次扣10000元，并承担由此产生的一切损失。</w:t>
      </w: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2"/>
        <w:rPr>
          <w:rFonts w:hint="eastAsia" w:asci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587" w:bottom="1474" w:left="1587" w:header="851" w:footer="851" w:gutter="0"/>
          <w:cols w:space="720" w:num="1"/>
        </w:sectPr>
      </w:pPr>
    </w:p>
    <w:p>
      <w:pPr>
        <w:rPr>
          <w:rFonts w:hint="eastAsia" w:ascii="仿宋" w:hAnsi="仿宋" w:eastAsia="仿宋" w:cs="仿宋"/>
          <w:b/>
          <w:color w:val="auto"/>
          <w:sz w:val="24"/>
          <w:highlight w:val="none"/>
        </w:rPr>
      </w:pP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440" w:lineRule="exact"/>
        <w:ind w:firstLine="482" w:firstLineChars="200"/>
        <w:outlineLvl w:val="0"/>
        <w:rPr>
          <w:rFonts w:hint="eastAsia" w:ascii="仿宋" w:hAnsi="仿宋" w:eastAsia="仿宋" w:cs="仿宋"/>
          <w:color w:val="auto"/>
          <w:sz w:val="24"/>
          <w:highlight w:val="none"/>
        </w:rPr>
      </w:pPr>
      <w:bookmarkStart w:id="39" w:name="_Toc19273"/>
      <w:bookmarkStart w:id="40" w:name="_Toc15367"/>
      <w:bookmarkStart w:id="41" w:name="_Toc20421"/>
      <w:bookmarkStart w:id="42" w:name="_Toc22967"/>
      <w:bookmarkStart w:id="43" w:name="_Toc28855"/>
      <w:r>
        <w:rPr>
          <w:rFonts w:hint="eastAsia" w:ascii="仿宋" w:hAnsi="仿宋" w:eastAsia="仿宋" w:cs="仿宋"/>
          <w:b/>
          <w:color w:val="auto"/>
          <w:sz w:val="24"/>
          <w:highlight w:val="none"/>
        </w:rPr>
        <w:t>1.1 合同组成部分</w:t>
      </w:r>
      <w:bookmarkEnd w:id="39"/>
      <w:bookmarkEnd w:id="40"/>
      <w:bookmarkEnd w:id="41"/>
      <w:bookmarkEnd w:id="42"/>
      <w:bookmarkEnd w:id="43"/>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0"/>
        <w:rPr>
          <w:rFonts w:hint="eastAsia" w:ascii="仿宋" w:hAnsi="仿宋" w:eastAsia="仿宋" w:cs="仿宋"/>
          <w:b/>
          <w:color w:val="auto"/>
          <w:sz w:val="24"/>
          <w:highlight w:val="none"/>
        </w:rPr>
      </w:pPr>
      <w:bookmarkStart w:id="44" w:name="_Toc6311"/>
      <w:bookmarkStart w:id="45" w:name="_Toc2918"/>
      <w:bookmarkStart w:id="46" w:name="_Toc22185"/>
      <w:bookmarkStart w:id="47" w:name="_Toc6773"/>
      <w:bookmarkStart w:id="48" w:name="_Toc18585"/>
      <w:r>
        <w:rPr>
          <w:rFonts w:hint="eastAsia" w:ascii="仿宋" w:hAnsi="仿宋" w:eastAsia="仿宋" w:cs="仿宋"/>
          <w:b/>
          <w:color w:val="auto"/>
          <w:sz w:val="24"/>
          <w:highlight w:val="none"/>
        </w:rPr>
        <w:t>1.2 标的</w:t>
      </w:r>
      <w:bookmarkEnd w:id="44"/>
      <w:bookmarkEnd w:id="45"/>
      <w:bookmarkEnd w:id="46"/>
      <w:bookmarkEnd w:id="47"/>
      <w:bookmarkEnd w:id="48"/>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spacing w:line="440" w:lineRule="exact"/>
        <w:ind w:firstLine="480" w:firstLineChars="200"/>
        <w:rPr>
          <w:rFonts w:hint="eastAsia" w:ascii="仿宋" w:hAnsi="仿宋" w:eastAsia="仿宋" w:cs="仿宋"/>
          <w:color w:val="auto"/>
          <w:sz w:val="24"/>
          <w:highlight w:val="none"/>
          <w:u w:val="single"/>
        </w:rPr>
      </w:pPr>
      <w:bookmarkStart w:id="49" w:name="_Toc13918"/>
      <w:bookmarkStart w:id="50" w:name="_Toc1386"/>
      <w:bookmarkStart w:id="51" w:name="_Toc4929"/>
      <w:bookmarkStart w:id="52" w:name="_Toc5635"/>
      <w:bookmarkStart w:id="53"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9"/>
              <w:spacing w:line="440" w:lineRule="exact"/>
              <w:ind w:firstLine="480" w:firstLineChars="200"/>
              <w:jc w:val="center"/>
              <w:rPr>
                <w:rFonts w:hint="eastAsia" w:ascii="仿宋" w:hAnsi="仿宋" w:eastAsia="仿宋" w:cs="仿宋"/>
                <w:color w:val="auto"/>
                <w:sz w:val="24"/>
                <w:szCs w:val="24"/>
                <w:highlight w:val="none"/>
              </w:rPr>
            </w:pPr>
          </w:p>
        </w:tc>
      </w:tr>
    </w:tbl>
    <w:p>
      <w:pPr>
        <w:spacing w:line="440" w:lineRule="exact"/>
        <w:ind w:firstLine="480" w:firstLineChars="200"/>
        <w:rPr>
          <w:rFonts w:hint="eastAsia" w:ascii="仿宋" w:hAnsi="仿宋" w:eastAsia="仿宋" w:cs="仿宋"/>
          <w:color w:val="auto"/>
          <w:sz w:val="24"/>
          <w:highlight w:val="none"/>
        </w:rPr>
      </w:pPr>
      <w:bookmarkStart w:id="54" w:name="_Toc26916"/>
      <w:bookmarkStart w:id="55" w:name="_Toc30506"/>
      <w:bookmarkStart w:id="56" w:name="_Toc3654"/>
      <w:bookmarkStart w:id="57" w:name="_Toc30158"/>
      <w:bookmarkStart w:id="58"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2"/>
        <w:spacing w:line="440" w:lineRule="exact"/>
        <w:ind w:left="0" w:firstLine="482" w:firstLineChars="200"/>
        <w:rPr>
          <w:rFonts w:hint="eastAsia"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4"/>
    <w:bookmarkEnd w:id="55"/>
    <w:bookmarkEnd w:id="56"/>
    <w:bookmarkEnd w:id="57"/>
    <w:bookmarkEnd w:id="58"/>
    <w:p>
      <w:pPr>
        <w:pStyle w:val="959"/>
        <w:spacing w:before="0" w:beforeAutospacing="0" w:after="0" w:afterAutospacing="0" w:line="440" w:lineRule="exact"/>
        <w:ind w:firstLine="482" w:firstLineChars="200"/>
        <w:rPr>
          <w:rFonts w:hint="eastAsia" w:ascii="仿宋" w:hAnsi="仿宋" w:eastAsia="仿宋" w:cs="仿宋"/>
          <w:b/>
          <w:color w:val="auto"/>
          <w:highlight w:val="none"/>
        </w:rPr>
      </w:pPr>
      <w:bookmarkStart w:id="59" w:name="_Toc22618"/>
      <w:bookmarkStart w:id="60" w:name="_Toc10340"/>
      <w:bookmarkStart w:id="61" w:name="_Toc1814"/>
      <w:bookmarkStart w:id="62" w:name="_Toc4760"/>
      <w:bookmarkStart w:id="63" w:name="_Toc8772"/>
      <w:bookmarkStart w:id="64" w:name="_Toc3625"/>
      <w:bookmarkStart w:id="65" w:name="_Toc11108"/>
      <w:bookmarkStart w:id="66" w:name="_Toc31421"/>
      <w:r>
        <w:rPr>
          <w:rFonts w:hint="eastAsia" w:ascii="仿宋" w:hAnsi="仿宋" w:eastAsia="仿宋" w:cs="仿宋"/>
          <w:b/>
          <w:color w:val="auto"/>
          <w:highlight w:val="none"/>
        </w:rPr>
        <w:t>1.4履约保证金</w:t>
      </w:r>
    </w:p>
    <w:p>
      <w:pPr>
        <w:pStyle w:val="95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2"/>
        <w:tabs>
          <w:tab w:val="left" w:pos="0"/>
        </w:tabs>
        <w:spacing w:line="440" w:lineRule="exact"/>
        <w:ind w:left="0" w:firstLine="480" w:firstLineChars="200"/>
        <w:rPr>
          <w:rFonts w:hint="eastAsia"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pPr>
        <w:pStyle w:val="95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9"/>
        <w:spacing w:before="0" w:beforeAutospacing="0" w:after="0" w:afterAutospacing="0" w:line="44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9"/>
        <w:spacing w:before="0" w:beforeAutospacing="0" w:after="0" w:afterAutospacing="0"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9"/>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outlineLvl w:val="0"/>
        <w:rPr>
          <w:rFonts w:hint="eastAsia" w:ascii="仿宋" w:hAnsi="仿宋" w:eastAsia="仿宋" w:cs="仿宋"/>
          <w:bCs/>
          <w:color w:val="auto"/>
          <w:sz w:val="24"/>
          <w:highlight w:val="none"/>
        </w:rPr>
      </w:pPr>
      <w:bookmarkStart w:id="67" w:name="_Toc2375"/>
      <w:bookmarkStart w:id="68" w:name="_Toc24662"/>
      <w:bookmarkStart w:id="69" w:name="_Toc8586"/>
      <w:bookmarkStart w:id="70" w:name="_Toc5698"/>
      <w:bookmarkStart w:id="71" w:name="_Toc3079"/>
      <w:r>
        <w:rPr>
          <w:rFonts w:hint="eastAsia" w:ascii="仿宋" w:hAnsi="仿宋" w:eastAsia="仿宋" w:cs="仿宋"/>
          <w:bCs/>
          <w:color w:val="auto"/>
          <w:sz w:val="24"/>
          <w:highlight w:val="none"/>
        </w:rPr>
        <w:t>1.7.4若服务涉及货物的，则货物的：</w:t>
      </w:r>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2"/>
        <w:spacing w:line="440" w:lineRule="exact"/>
        <w:ind w:left="0" w:firstLine="480" w:firstLineChars="200"/>
        <w:rPr>
          <w:rFonts w:hint="eastAsia"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440" w:lineRule="exact"/>
        <w:ind w:firstLine="480" w:firstLineChars="200"/>
        <w:rPr>
          <w:rFonts w:hint="eastAsia" w:ascii="仿宋" w:hAnsi="仿宋" w:eastAsia="仿宋" w:cs="仿宋"/>
          <w:color w:val="auto"/>
          <w:sz w:val="24"/>
          <w:highlight w:val="none"/>
        </w:rPr>
      </w:pPr>
      <w:bookmarkStart w:id="72" w:name="_Toc32454"/>
      <w:bookmarkStart w:id="73" w:name="_Toc26807"/>
      <w:bookmarkStart w:id="74" w:name="_Toc18683"/>
      <w:bookmarkStart w:id="75" w:name="_Toc30329"/>
      <w:bookmarkStart w:id="76"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pPr>
        <w:spacing w:line="440" w:lineRule="exact"/>
        <w:ind w:firstLine="482" w:firstLineChars="200"/>
        <w:outlineLvl w:val="0"/>
        <w:rPr>
          <w:rFonts w:hint="eastAsia" w:ascii="仿宋" w:hAnsi="仿宋" w:eastAsia="仿宋" w:cs="仿宋"/>
          <w:b/>
          <w:color w:val="auto"/>
          <w:sz w:val="24"/>
          <w:highlight w:val="none"/>
        </w:rPr>
      </w:pPr>
      <w:bookmarkStart w:id="77" w:name="_Toc15583"/>
      <w:bookmarkStart w:id="78" w:name="_Toc28375"/>
      <w:bookmarkStart w:id="79" w:name="_Toc16021"/>
      <w:bookmarkStart w:id="80" w:name="_Toc15322"/>
      <w:bookmarkStart w:id="81" w:name="_Toc11173"/>
      <w:bookmarkStart w:id="82" w:name="_Toc7245"/>
      <w:r>
        <w:rPr>
          <w:rFonts w:hint="eastAsia" w:ascii="仿宋" w:hAnsi="仿宋" w:eastAsia="仿宋" w:cs="仿宋"/>
          <w:b/>
          <w:color w:val="auto"/>
          <w:sz w:val="24"/>
          <w:highlight w:val="none"/>
        </w:rPr>
        <w:t>1.9合同争议的解决</w:t>
      </w:r>
      <w:bookmarkEnd w:id="77"/>
      <w:bookmarkEnd w:id="78"/>
      <w:bookmarkEnd w:id="79"/>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pPr>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2.0 合同生效</w:t>
      </w:r>
      <w:bookmarkEnd w:id="80"/>
      <w:bookmarkEnd w:id="81"/>
      <w:bookmarkEnd w:id="82"/>
    </w:p>
    <w:p>
      <w:pPr>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3" w:name="_Toc19680"/>
      <w:bookmarkStart w:id="84" w:name="_Toc31297"/>
      <w:bookmarkStart w:id="85" w:name="_Toc25079"/>
      <w:bookmarkStart w:id="86" w:name="_Toc5228"/>
      <w:bookmarkStart w:id="87" w:name="_Toc14021"/>
      <w:r>
        <w:rPr>
          <w:rFonts w:hint="eastAsia" w:ascii="仿宋" w:hAnsi="仿宋" w:eastAsia="仿宋" w:cs="仿宋"/>
          <w:b/>
          <w:color w:val="auto"/>
          <w:sz w:val="24"/>
          <w:highlight w:val="none"/>
        </w:rPr>
        <w:t>2.1 定义</w:t>
      </w:r>
      <w:bookmarkEnd w:id="83"/>
      <w:bookmarkEnd w:id="84"/>
      <w:bookmarkEnd w:id="85"/>
      <w:bookmarkEnd w:id="86"/>
      <w:bookmarkEnd w:id="8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8" w:name="_Toc23289"/>
      <w:bookmarkStart w:id="89" w:name="_Toc16752"/>
      <w:bookmarkStart w:id="90" w:name="_Toc3769"/>
      <w:bookmarkStart w:id="91" w:name="_Toc19539"/>
      <w:bookmarkStart w:id="92" w:name="_Toc31402"/>
      <w:r>
        <w:rPr>
          <w:rFonts w:hint="eastAsia" w:ascii="仿宋" w:hAnsi="仿宋" w:eastAsia="仿宋" w:cs="仿宋"/>
          <w:b/>
          <w:color w:val="auto"/>
          <w:sz w:val="24"/>
          <w:highlight w:val="none"/>
        </w:rPr>
        <w:t>2.2 技术规范</w:t>
      </w:r>
      <w:bookmarkEnd w:id="88"/>
      <w:bookmarkEnd w:id="89"/>
      <w:bookmarkEnd w:id="90"/>
      <w:bookmarkEnd w:id="91"/>
      <w:bookmarkEnd w:id="9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3" w:name="_Toc27945"/>
      <w:bookmarkStart w:id="94" w:name="_Toc12412"/>
      <w:bookmarkStart w:id="95" w:name="_Toc13673"/>
      <w:bookmarkStart w:id="96" w:name="_Toc9161"/>
      <w:bookmarkStart w:id="97" w:name="_Toc4133"/>
      <w:r>
        <w:rPr>
          <w:rFonts w:hint="eastAsia" w:ascii="仿宋" w:hAnsi="仿宋" w:eastAsia="仿宋" w:cs="仿宋"/>
          <w:b/>
          <w:color w:val="auto"/>
          <w:sz w:val="24"/>
          <w:highlight w:val="none"/>
        </w:rPr>
        <w:t>2.3 知识产权</w:t>
      </w:r>
      <w:bookmarkEnd w:id="93"/>
      <w:bookmarkEnd w:id="94"/>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8" w:name="_Toc32670"/>
      <w:bookmarkStart w:id="99" w:name="_Toc26555"/>
      <w:bookmarkStart w:id="100" w:name="_Toc15447"/>
      <w:bookmarkStart w:id="101" w:name="_Toc31233"/>
      <w:bookmarkStart w:id="102" w:name="_Toc22011"/>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3" w:name="_Toc13467"/>
      <w:bookmarkStart w:id="104" w:name="_Toc13154"/>
      <w:bookmarkStart w:id="105" w:name="_Toc18990"/>
      <w:bookmarkStart w:id="106" w:name="_Toc30507"/>
      <w:bookmarkStart w:id="107" w:name="_Toc16163"/>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1" w:name="_Toc26689"/>
      <w:bookmarkStart w:id="112" w:name="_Toc10663"/>
      <w:bookmarkStart w:id="113" w:name="_Toc23368"/>
      <w:bookmarkStart w:id="114" w:name="_Toc21830"/>
      <w:bookmarkStart w:id="115" w:name="_Toc42"/>
      <w:r>
        <w:rPr>
          <w:rFonts w:hint="eastAsia" w:ascii="仿宋" w:hAnsi="仿宋" w:eastAsia="仿宋" w:cs="仿宋"/>
          <w:b/>
          <w:color w:val="auto"/>
          <w:sz w:val="24"/>
          <w:highlight w:val="none"/>
        </w:rPr>
        <w:t>2.10 合同转让和分包</w:t>
      </w:r>
      <w:bookmarkEnd w:id="111"/>
      <w:bookmarkEnd w:id="112"/>
      <w:bookmarkEnd w:id="113"/>
      <w:bookmarkEnd w:id="114"/>
      <w:bookmarkEnd w:id="11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6" w:name="_Toc4720"/>
      <w:bookmarkStart w:id="117" w:name="_Toc25571"/>
      <w:bookmarkStart w:id="118" w:name="_Toc26633"/>
      <w:bookmarkStart w:id="119" w:name="_Toc32494"/>
      <w:bookmarkStart w:id="120" w:name="_Toc14371"/>
      <w:r>
        <w:rPr>
          <w:rFonts w:hint="eastAsia" w:ascii="仿宋" w:hAnsi="仿宋" w:eastAsia="仿宋" w:cs="仿宋"/>
          <w:b/>
          <w:color w:val="auto"/>
          <w:sz w:val="24"/>
          <w:highlight w:val="none"/>
        </w:rPr>
        <w:t>2.11 不可抗力</w:t>
      </w:r>
      <w:bookmarkEnd w:id="116"/>
      <w:bookmarkEnd w:id="117"/>
      <w:bookmarkEnd w:id="118"/>
      <w:bookmarkEnd w:id="119"/>
      <w:bookmarkEnd w:id="12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1" w:name="_Toc3638"/>
      <w:bookmarkStart w:id="122" w:name="_Toc24465"/>
      <w:bookmarkStart w:id="123" w:name="_Toc23854"/>
      <w:bookmarkStart w:id="124" w:name="_Toc14115"/>
      <w:bookmarkStart w:id="125" w:name="_Toc25783"/>
      <w:r>
        <w:rPr>
          <w:rFonts w:hint="eastAsia" w:ascii="仿宋" w:hAnsi="仿宋" w:eastAsia="仿宋" w:cs="仿宋"/>
          <w:b/>
          <w:color w:val="auto"/>
          <w:sz w:val="24"/>
          <w:highlight w:val="none"/>
        </w:rPr>
        <w:t>2.12 税费</w:t>
      </w:r>
      <w:bookmarkEnd w:id="121"/>
      <w:bookmarkEnd w:id="122"/>
      <w:bookmarkEnd w:id="123"/>
      <w:bookmarkEnd w:id="124"/>
      <w:bookmarkEnd w:id="12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6" w:name="_Toc26883"/>
      <w:bookmarkStart w:id="127" w:name="_Toc30105"/>
      <w:bookmarkStart w:id="128" w:name="_Toc14814"/>
      <w:bookmarkStart w:id="129" w:name="_Toc25525"/>
      <w:bookmarkStart w:id="130" w:name="_Toc7315"/>
      <w:r>
        <w:rPr>
          <w:rFonts w:hint="eastAsia" w:ascii="仿宋" w:hAnsi="仿宋" w:eastAsia="仿宋" w:cs="仿宋"/>
          <w:b/>
          <w:color w:val="auto"/>
          <w:sz w:val="24"/>
          <w:highlight w:val="none"/>
        </w:rPr>
        <w:t>2.13 乙方破产</w:t>
      </w:r>
      <w:bookmarkEnd w:id="126"/>
      <w:bookmarkEnd w:id="127"/>
      <w:bookmarkEnd w:id="128"/>
      <w:bookmarkEnd w:id="129"/>
      <w:bookmarkEnd w:id="1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1" w:name="_Toc23323"/>
      <w:bookmarkStart w:id="132" w:name="_Toc2016"/>
      <w:bookmarkStart w:id="133" w:name="_Toc1123"/>
      <w:r>
        <w:rPr>
          <w:rFonts w:hint="eastAsia" w:ascii="仿宋" w:hAnsi="仿宋" w:eastAsia="仿宋" w:cs="仿宋"/>
          <w:b/>
          <w:color w:val="auto"/>
          <w:sz w:val="24"/>
          <w:highlight w:val="none"/>
        </w:rPr>
        <w:t>2.14 合同中止、终止</w:t>
      </w:r>
      <w:bookmarkEnd w:id="131"/>
      <w:bookmarkEnd w:id="132"/>
      <w:bookmarkEnd w:id="13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4" w:name="_Toc14525"/>
      <w:bookmarkStart w:id="135" w:name="_Toc1969"/>
      <w:bookmarkStart w:id="136" w:name="_Toc17363"/>
      <w:r>
        <w:rPr>
          <w:rFonts w:hint="eastAsia" w:ascii="仿宋" w:hAnsi="仿宋" w:eastAsia="仿宋" w:cs="仿宋"/>
          <w:b/>
          <w:color w:val="auto"/>
          <w:sz w:val="24"/>
          <w:highlight w:val="none"/>
        </w:rPr>
        <w:t>2.15 检验和验收</w:t>
      </w:r>
      <w:bookmarkEnd w:id="134"/>
      <w:bookmarkEnd w:id="135"/>
      <w:bookmarkEnd w:id="136"/>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7" w:name="_Toc31892"/>
      <w:bookmarkStart w:id="138" w:name="_Toc25198"/>
      <w:bookmarkStart w:id="139" w:name="_Toc9808"/>
      <w:bookmarkStart w:id="140" w:name="_Toc12666"/>
      <w:bookmarkStart w:id="141" w:name="_Toc2308"/>
      <w:r>
        <w:rPr>
          <w:rFonts w:hint="eastAsia" w:ascii="仿宋" w:hAnsi="仿宋" w:eastAsia="仿宋" w:cs="仿宋"/>
          <w:b/>
          <w:color w:val="auto"/>
          <w:sz w:val="24"/>
          <w:highlight w:val="none"/>
        </w:rPr>
        <w:t>2.16 通知和送达</w:t>
      </w:r>
      <w:bookmarkEnd w:id="137"/>
      <w:bookmarkEnd w:id="138"/>
      <w:bookmarkEnd w:id="139"/>
      <w:bookmarkEnd w:id="140"/>
      <w:bookmarkEnd w:id="141"/>
    </w:p>
    <w:p>
      <w:pPr>
        <w:spacing w:line="560" w:lineRule="exact"/>
        <w:ind w:firstLine="480" w:firstLineChars="200"/>
        <w:rPr>
          <w:rFonts w:hint="eastAsia" w:ascii="仿宋" w:hAnsi="仿宋" w:eastAsia="仿宋" w:cs="仿宋"/>
          <w:color w:val="auto"/>
          <w:sz w:val="24"/>
          <w:highlight w:val="none"/>
        </w:rPr>
      </w:pPr>
      <w:bookmarkStart w:id="142" w:name="_Toc18401"/>
      <w:bookmarkStart w:id="143"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pPr>
        <w:spacing w:line="560" w:lineRule="exact"/>
        <w:ind w:firstLine="482" w:firstLineChars="200"/>
        <w:outlineLvl w:val="0"/>
        <w:rPr>
          <w:rFonts w:hint="eastAsia" w:ascii="仿宋" w:hAnsi="仿宋" w:eastAsia="仿宋" w:cs="仿宋"/>
          <w:b/>
          <w:color w:val="auto"/>
          <w:sz w:val="24"/>
          <w:highlight w:val="none"/>
        </w:rPr>
      </w:pPr>
      <w:bookmarkStart w:id="144" w:name="_Toc12254"/>
      <w:bookmarkStart w:id="145" w:name="_Toc5063"/>
      <w:bookmarkStart w:id="146" w:name="_Toc27644"/>
      <w:bookmarkStart w:id="147" w:name="_Toc28906"/>
      <w:bookmarkStart w:id="148" w:name="_Toc20808"/>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49" w:name="_Toc18540"/>
      <w:bookmarkStart w:id="150" w:name="_Toc4355"/>
      <w:bookmarkStart w:id="151" w:name="_Toc30599"/>
      <w:r>
        <w:rPr>
          <w:rFonts w:hint="eastAsia" w:ascii="仿宋" w:hAnsi="仿宋" w:eastAsia="仿宋" w:cs="仿宋"/>
          <w:b/>
          <w:color w:val="auto"/>
          <w:sz w:val="24"/>
          <w:highlight w:val="none"/>
        </w:rPr>
        <w:t>2.18 计量单位</w:t>
      </w:r>
      <w:bookmarkEnd w:id="149"/>
      <w:bookmarkEnd w:id="150"/>
      <w:bookmarkEnd w:id="1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2" w:name="_Toc12773"/>
      <w:bookmarkStart w:id="153" w:name="_Toc259093692"/>
      <w:bookmarkStart w:id="154" w:name="_Toc10330"/>
      <w:bookmarkStart w:id="155" w:name="_Toc18567"/>
      <w:bookmarkStart w:id="156" w:name="_Toc487900373"/>
      <w:bookmarkStart w:id="157" w:name="_Toc27970126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440" w:lineRule="atLeast"/>
        <w:ind w:firstLine="420" w:firstLineChars="200"/>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sz w:val="24"/>
          <w:highlight w:val="none"/>
        </w:rPr>
        <w:t>第三部分  合同专用条款</w:t>
      </w:r>
    </w:p>
    <w:p>
      <w:pPr>
        <w:spacing w:line="440" w:lineRule="atLeas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numPr>
          <w:ilvl w:val="0"/>
          <w:numId w:val="3"/>
        </w:num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spacing w:line="440" w:lineRule="exact"/>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62"/>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6"/>
        <w:gridCol w:w="1055"/>
        <w:gridCol w:w="6209"/>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6" w:type="dxa"/>
            <w:tcBorders>
              <w:top w:val="single" w:color="auto" w:sz="4" w:space="0"/>
              <w:left w:val="single" w:color="auto" w:sz="4" w:space="0"/>
              <w:bottom w:val="single" w:color="auto" w:sz="4" w:space="0"/>
              <w:right w:val="single" w:color="auto" w:sz="4" w:space="0"/>
            </w:tcBorders>
            <w:vAlign w:val="center"/>
          </w:tcPr>
          <w:p>
            <w:pPr>
              <w:spacing w:line="281" w:lineRule="auto"/>
              <w:jc w:val="cente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序号</w:t>
            </w:r>
          </w:p>
        </w:tc>
        <w:tc>
          <w:tcPr>
            <w:tcW w:w="105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281" w:lineRule="auto"/>
              <w:jc w:val="cente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评分项目</w:t>
            </w:r>
          </w:p>
        </w:tc>
        <w:tc>
          <w:tcPr>
            <w:tcW w:w="62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281" w:lineRule="auto"/>
              <w:jc w:val="cente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评审内容</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1" w:lineRule="auto"/>
              <w:jc w:val="cente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6" w:type="dxa"/>
            <w:tcBorders>
              <w:left w:val="single" w:color="auto" w:sz="4" w:space="0"/>
              <w:right w:val="single" w:color="auto" w:sz="4" w:space="0"/>
            </w:tcBorders>
            <w:vAlign w:val="center"/>
          </w:tcPr>
          <w:p>
            <w:pPr>
              <w:spacing w:line="281" w:lineRule="auto"/>
              <w:jc w:val="center"/>
              <w:rPr>
                <w:rFonts w:hint="eastAsia" w:ascii="仿宋" w:hAnsi="仿宋" w:eastAsia="仿宋" w:cs="仿宋"/>
                <w:bCs/>
                <w:color w:val="auto"/>
                <w:sz w:val="24"/>
                <w:highlight w:val="none"/>
                <w:lang w:val="zh-CN" w:eastAsia="zh-CN"/>
              </w:rPr>
            </w:pPr>
            <w:r>
              <w:rPr>
                <w:rFonts w:hint="eastAsia" w:ascii="仿宋" w:hAnsi="仿宋" w:eastAsia="仿宋" w:cs="仿宋"/>
                <w:bCs/>
                <w:color w:val="auto"/>
                <w:sz w:val="24"/>
                <w:highlight w:val="none"/>
                <w:lang w:val="en-US" w:eastAsia="zh-CN"/>
              </w:rPr>
              <w:t>1</w:t>
            </w:r>
          </w:p>
        </w:tc>
        <w:tc>
          <w:tcPr>
            <w:tcW w:w="1055" w:type="dxa"/>
            <w:tcBorders>
              <w:left w:val="single" w:color="auto" w:sz="4" w:space="0"/>
              <w:right w:val="single" w:color="auto" w:sz="4" w:space="0"/>
            </w:tcBorders>
            <w:tcMar>
              <w:top w:w="15" w:type="dxa"/>
              <w:left w:w="15" w:type="dxa"/>
              <w:bottom w:w="0" w:type="dxa"/>
              <w:right w:w="15" w:type="dxa"/>
            </w:tcMar>
            <w:vAlign w:val="center"/>
          </w:tcPr>
          <w:p>
            <w:pPr>
              <w:spacing w:line="281"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技术方案</w:t>
            </w:r>
          </w:p>
        </w:tc>
        <w:tc>
          <w:tcPr>
            <w:tcW w:w="62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281"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根椐实际情况和招标文件要求提供详细的技术方案，包括但不限于平台整体架构、软件设计思路、关键业务流程、所用技术栈、关键技术说明、性能指标、系统安全性、可靠性说明、平台运行环境兼容性、功能扩展性说明、核心功能界面截图。根据方案的完善性、合理性、科学性由评委进行比较、评议、确定档次打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一般：</w:t>
            </w:r>
            <w:r>
              <w:rPr>
                <w:rFonts w:hint="eastAsia" w:ascii="仿宋" w:hAnsi="仿宋" w:eastAsia="仿宋" w:cs="仿宋"/>
                <w:bCs/>
                <w:color w:val="auto"/>
                <w:sz w:val="24"/>
                <w:highlight w:val="none"/>
              </w:rPr>
              <w:t>技术方案基本满足招标要求，但缺乏创新性和先进性，可能存在一些技术难题或风险点</w:t>
            </w:r>
            <w:r>
              <w:rPr>
                <w:rFonts w:hint="eastAsia" w:ascii="仿宋" w:hAnsi="仿宋" w:eastAsia="仿宋" w:cs="仿宋"/>
                <w:bCs/>
                <w:color w:val="auto"/>
                <w:sz w:val="24"/>
                <w:highlight w:val="none"/>
                <w:lang w:val="en-US" w:eastAsia="zh-CN"/>
              </w:rPr>
              <w:t>。较好：</w:t>
            </w:r>
            <w:r>
              <w:rPr>
                <w:rFonts w:hint="eastAsia" w:ascii="仿宋" w:hAnsi="仿宋" w:eastAsia="仿宋" w:cs="仿宋"/>
                <w:bCs/>
                <w:color w:val="auto"/>
                <w:sz w:val="24"/>
                <w:highlight w:val="none"/>
              </w:rPr>
              <w:t>技术方案较为完善，能够较好地满足招标需求，具备一定的创新性和先进性，技术难题和风险点得到有效控制</w:t>
            </w:r>
            <w:r>
              <w:rPr>
                <w:rFonts w:hint="eastAsia" w:ascii="仿宋" w:hAnsi="仿宋" w:eastAsia="仿宋" w:cs="仿宋"/>
                <w:bCs/>
                <w:color w:val="auto"/>
                <w:sz w:val="24"/>
                <w:highlight w:val="none"/>
                <w:lang w:val="en-US" w:eastAsia="zh-CN"/>
              </w:rPr>
              <w:t>。好：</w:t>
            </w:r>
            <w:r>
              <w:rPr>
                <w:rFonts w:hint="eastAsia" w:ascii="仿宋" w:hAnsi="仿宋" w:eastAsia="仿宋" w:cs="仿宋"/>
                <w:bCs/>
                <w:color w:val="auto"/>
                <w:sz w:val="24"/>
                <w:highlight w:val="none"/>
              </w:rPr>
              <w:t>技术方案出色，不仅完全满足招标需求，还具备高度的创新性和先进性，能够显著提升项目效果，技术难题和风险点得到全面解决</w:t>
            </w:r>
            <w:r>
              <w:rPr>
                <w:rFonts w:hint="eastAsia" w:ascii="仿宋" w:hAnsi="仿宋" w:eastAsia="仿宋" w:cs="仿宋"/>
                <w:bCs/>
                <w:color w:val="auto"/>
                <w:sz w:val="24"/>
                <w:highlight w:val="none"/>
                <w:lang w:val="en-US" w:eastAsia="zh-CN"/>
              </w:rPr>
              <w:t>。</w:t>
            </w:r>
            <w:r>
              <w:rPr>
                <w:rFonts w:hint="eastAsia" w:ascii="仿宋" w:hAnsi="仿宋" w:eastAsia="仿宋" w:cs="仿宋"/>
                <w:bCs/>
                <w:color w:val="auto"/>
                <w:sz w:val="24"/>
                <w:highlight w:val="none"/>
              </w:rPr>
              <w:t>一般得</w:t>
            </w:r>
            <w:r>
              <w:rPr>
                <w:rFonts w:hint="eastAsia" w:ascii="仿宋" w:hAnsi="仿宋" w:eastAsia="仿宋" w:cs="仿宋"/>
                <w:bCs/>
                <w:color w:val="auto"/>
                <w:sz w:val="24"/>
                <w:highlight w:val="none"/>
              </w:rPr>
              <w:t>0-6分，较好得7-13分，好得14-20分。</w:t>
            </w:r>
          </w:p>
        </w:tc>
        <w:tc>
          <w:tcPr>
            <w:tcW w:w="759" w:type="dxa"/>
            <w:tcBorders>
              <w:top w:val="single" w:color="auto" w:sz="4" w:space="0"/>
              <w:left w:val="single" w:color="auto" w:sz="4" w:space="0"/>
              <w:right w:val="single" w:color="auto" w:sz="4" w:space="0"/>
            </w:tcBorders>
            <w:vAlign w:val="center"/>
          </w:tcPr>
          <w:p>
            <w:pPr>
              <w:spacing w:line="281" w:lineRule="auto"/>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6" w:type="dxa"/>
            <w:tcBorders>
              <w:left w:val="single" w:color="auto" w:sz="4" w:space="0"/>
              <w:right w:val="single" w:color="auto" w:sz="4" w:space="0"/>
            </w:tcBorders>
            <w:vAlign w:val="center"/>
          </w:tcPr>
          <w:p>
            <w:pPr>
              <w:spacing w:line="281"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w:t>
            </w:r>
          </w:p>
        </w:tc>
        <w:tc>
          <w:tcPr>
            <w:tcW w:w="1055" w:type="dxa"/>
            <w:tcBorders>
              <w:left w:val="single" w:color="auto" w:sz="4" w:space="0"/>
              <w:right w:val="single" w:color="auto" w:sz="4" w:space="0"/>
            </w:tcBorders>
            <w:tcMar>
              <w:top w:w="15" w:type="dxa"/>
              <w:left w:w="15" w:type="dxa"/>
              <w:bottom w:w="0" w:type="dxa"/>
              <w:right w:w="15" w:type="dxa"/>
            </w:tcMar>
            <w:vAlign w:val="center"/>
          </w:tcPr>
          <w:p>
            <w:pPr>
              <w:spacing w:line="281" w:lineRule="auto"/>
              <w:rPr>
                <w:rFonts w:hint="eastAsia" w:ascii="仿宋" w:hAnsi="仿宋" w:eastAsia="仿宋" w:cs="仿宋"/>
                <w:bCs/>
                <w:color w:val="auto"/>
                <w:sz w:val="24"/>
                <w:highlight w:val="none"/>
              </w:rPr>
            </w:pPr>
            <w:r>
              <w:rPr>
                <w:rFonts w:hint="eastAsia" w:ascii="仿宋" w:hAnsi="仿宋" w:eastAsia="仿宋" w:cs="仿宋"/>
                <w:i w:val="0"/>
                <w:iCs w:val="0"/>
                <w:color w:val="auto"/>
                <w:kern w:val="0"/>
                <w:sz w:val="24"/>
                <w:szCs w:val="24"/>
                <w:highlight w:val="none"/>
                <w:u w:val="none"/>
                <w:lang w:val="en-US" w:eastAsia="zh-CN" w:bidi="ar"/>
              </w:rPr>
              <w:t>实施方案</w:t>
            </w:r>
          </w:p>
        </w:tc>
        <w:tc>
          <w:tcPr>
            <w:tcW w:w="620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281" w:lineRule="auto"/>
              <w:rPr>
                <w:rFonts w:hint="eastAsia" w:ascii="仿宋" w:hAnsi="仿宋" w:eastAsia="仿宋" w:cs="仿宋"/>
                <w:bCs/>
                <w:color w:val="auto"/>
                <w:sz w:val="24"/>
                <w:highlight w:val="none"/>
                <w:lang w:val="zh-CN"/>
              </w:rPr>
            </w:pPr>
            <w:r>
              <w:rPr>
                <w:rFonts w:hint="eastAsia" w:ascii="仿宋" w:hAnsi="仿宋" w:eastAsia="仿宋" w:cs="仿宋"/>
                <w:i w:val="0"/>
                <w:iCs w:val="0"/>
                <w:color w:val="auto"/>
                <w:kern w:val="0"/>
                <w:sz w:val="24"/>
                <w:szCs w:val="24"/>
                <w:highlight w:val="none"/>
                <w:u w:val="none"/>
                <w:lang w:val="en-US" w:eastAsia="zh-CN" w:bidi="ar"/>
              </w:rPr>
              <w:t>根据本项目招标需求定制项目实施方案，包括但不限于组织架构、进度计划、人员安排、保障措施、配合措施、测试方案、验收方案等内容综合评分。方案完整、可行、创新、全面</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3.1</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r>
              <w:rPr>
                <w:rFonts w:hint="eastAsia" w:ascii="仿宋" w:hAnsi="仿宋" w:eastAsia="仿宋" w:cs="仿宋"/>
                <w:bCs/>
                <w:color w:val="auto"/>
                <w:sz w:val="24"/>
                <w:highlight w:val="none"/>
                <w:lang w:eastAsia="zh-CN"/>
              </w:rPr>
              <w:t>，</w:t>
            </w:r>
            <w:r>
              <w:rPr>
                <w:rFonts w:hint="eastAsia" w:ascii="仿宋" w:hAnsi="仿宋" w:eastAsia="仿宋" w:cs="仿宋"/>
                <w:i w:val="0"/>
                <w:iCs w:val="0"/>
                <w:color w:val="auto"/>
                <w:kern w:val="0"/>
                <w:sz w:val="24"/>
                <w:szCs w:val="24"/>
                <w:highlight w:val="none"/>
                <w:u w:val="none"/>
                <w:lang w:val="en-US" w:eastAsia="zh-CN" w:bidi="ar"/>
              </w:rPr>
              <w:t>方案较完整、较可行、较创新、较全面</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1.1</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分</w:t>
            </w:r>
            <w:r>
              <w:rPr>
                <w:rFonts w:hint="eastAsia" w:ascii="仿宋" w:hAnsi="仿宋" w:eastAsia="仿宋" w:cs="仿宋"/>
                <w:bCs/>
                <w:color w:val="auto"/>
                <w:sz w:val="24"/>
                <w:highlight w:val="none"/>
                <w:lang w:eastAsia="zh-CN"/>
              </w:rPr>
              <w:t>，</w:t>
            </w:r>
            <w:r>
              <w:rPr>
                <w:rFonts w:hint="eastAsia" w:ascii="仿宋" w:hAnsi="仿宋" w:eastAsia="仿宋" w:cs="仿宋"/>
                <w:i w:val="0"/>
                <w:iCs w:val="0"/>
                <w:color w:val="auto"/>
                <w:kern w:val="0"/>
                <w:sz w:val="24"/>
                <w:szCs w:val="24"/>
                <w:highlight w:val="none"/>
                <w:u w:val="none"/>
                <w:lang w:val="en-US" w:eastAsia="zh-CN" w:bidi="ar"/>
              </w:rPr>
              <w:t>方案不够完整、不够可行、不够创新、不够全面</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分。</w:t>
            </w:r>
          </w:p>
        </w:tc>
        <w:tc>
          <w:tcPr>
            <w:tcW w:w="759" w:type="dxa"/>
            <w:tcBorders>
              <w:top w:val="single" w:color="auto" w:sz="4" w:space="0"/>
              <w:left w:val="single" w:color="auto" w:sz="4" w:space="0"/>
              <w:right w:val="single" w:color="auto" w:sz="4" w:space="0"/>
            </w:tcBorders>
            <w:vAlign w:val="center"/>
          </w:tcPr>
          <w:p>
            <w:pPr>
              <w:spacing w:line="281" w:lineRule="auto"/>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6" w:type="dxa"/>
            <w:tcBorders>
              <w:left w:val="single" w:color="auto" w:sz="4" w:space="0"/>
              <w:right w:val="single" w:color="auto" w:sz="4" w:space="0"/>
            </w:tcBorders>
            <w:vAlign w:val="center"/>
          </w:tcPr>
          <w:p>
            <w:pPr>
              <w:spacing w:line="281" w:lineRule="auto"/>
              <w:jc w:val="cente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3</w:t>
            </w:r>
          </w:p>
        </w:tc>
        <w:tc>
          <w:tcPr>
            <w:tcW w:w="1055" w:type="dxa"/>
            <w:tcBorders>
              <w:left w:val="single" w:color="auto" w:sz="4" w:space="0"/>
              <w:right w:val="single" w:color="auto" w:sz="4" w:space="0"/>
            </w:tcBorders>
            <w:tcMar>
              <w:top w:w="15" w:type="dxa"/>
              <w:left w:w="15" w:type="dxa"/>
              <w:bottom w:w="0" w:type="dxa"/>
              <w:right w:w="15" w:type="dxa"/>
            </w:tcMar>
            <w:vAlign w:val="center"/>
          </w:tcPr>
          <w:p>
            <w:pPr>
              <w:spacing w:line="281" w:lineRule="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技术</w:t>
            </w:r>
            <w:r>
              <w:rPr>
                <w:rFonts w:hint="eastAsia" w:ascii="仿宋" w:hAnsi="仿宋" w:eastAsia="仿宋" w:cs="仿宋"/>
                <w:bCs/>
                <w:color w:val="auto"/>
                <w:sz w:val="24"/>
                <w:highlight w:val="none"/>
                <w:lang w:val="en-US" w:eastAsia="zh-CN"/>
              </w:rPr>
              <w:t>功能</w:t>
            </w:r>
          </w:p>
        </w:tc>
        <w:tc>
          <w:tcPr>
            <w:tcW w:w="620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spacing w:line="281"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投标人根据对需求的理解，提供对</w:t>
            </w:r>
            <w:r>
              <w:rPr>
                <w:rFonts w:hint="eastAsia" w:ascii="仿宋" w:hAnsi="仿宋" w:eastAsia="仿宋" w:cs="仿宋"/>
                <w:bCs/>
                <w:color w:val="auto"/>
                <w:sz w:val="24"/>
                <w:highlight w:val="none"/>
                <w:lang w:val="en-US" w:eastAsia="zh-CN"/>
              </w:rPr>
              <w:t>改造</w:t>
            </w:r>
            <w:r>
              <w:rPr>
                <w:rFonts w:hint="eastAsia" w:ascii="仿宋" w:hAnsi="仿宋" w:eastAsia="仿宋" w:cs="仿宋"/>
                <w:bCs/>
                <w:color w:val="auto"/>
                <w:sz w:val="24"/>
                <w:highlight w:val="none"/>
              </w:rPr>
              <w:t>系统功能模块的形象化解释说明[可采用视频演示、PPT、Demo等方式](以U盘形式单独提供，投标人应当确保U盘能够打开运行并正常使用。U盘请准备2个，一个为备用并标注备用二字，请投标人确保两只U盘的内容一致，未提供对应的内容或2个U盘中的对应的内容都无法打开，该项得0分）。根据对系统功能模块解释说明的内容进行综合打分，如投标人以文字的形式解释说明的，则无需单独提供U盘：</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72" w:beforeAutospacing="0" w:after="0" w:afterAutospacing="0" w:line="20" w:lineRule="atLeast"/>
              <w:ind w:left="0" w:right="0" w:hanging="360"/>
              <w:rPr>
                <w:rFonts w:hint="eastAsia" w:ascii="仿宋" w:hAnsi="仿宋" w:eastAsia="仿宋"/>
                <w:color w:val="auto"/>
                <w:kern w:val="0"/>
                <w:sz w:val="24"/>
                <w:highlight w:val="none"/>
              </w:rPr>
            </w:pPr>
            <w:r>
              <w:rPr>
                <w:rFonts w:hint="eastAsia" w:ascii="仿宋" w:hAnsi="仿宋" w:eastAsia="仿宋" w:cs="仿宋"/>
                <w:bCs/>
                <w:color w:val="auto"/>
                <w:sz w:val="24"/>
                <w:highlight w:val="none"/>
                <w:lang w:val="en-US" w:eastAsia="zh-CN"/>
              </w:rPr>
              <w:t>（1）适配国产操作系统。较好</w:t>
            </w:r>
            <w:r>
              <w:rPr>
                <w:rFonts w:hint="default" w:ascii="仿宋" w:hAnsi="仿宋" w:eastAsia="仿宋" w:cs="仿宋"/>
                <w:bCs/>
                <w:color w:val="auto"/>
                <w:sz w:val="24"/>
                <w:highlight w:val="none"/>
                <w:lang w:val="en-US" w:eastAsia="zh-CN"/>
              </w:rPr>
              <w:t>：快速搭建并稳定运行，数据迁移无缝，性能优越，技术支持及时全面。</w:t>
            </w:r>
            <w:r>
              <w:rPr>
                <w:rFonts w:hint="eastAsia" w:ascii="仿宋" w:hAnsi="仿宋" w:eastAsia="仿宋" w:cs="仿宋"/>
                <w:bCs/>
                <w:color w:val="auto"/>
                <w:sz w:val="24"/>
                <w:highlight w:val="none"/>
                <w:lang w:val="en-US" w:eastAsia="zh-CN"/>
              </w:rPr>
              <w:t>一般</w:t>
            </w:r>
            <w:r>
              <w:rPr>
                <w:rFonts w:hint="default" w:ascii="仿宋" w:hAnsi="仿宋" w:eastAsia="仿宋" w:cs="仿宋"/>
                <w:bCs/>
                <w:color w:val="auto"/>
                <w:sz w:val="24"/>
                <w:highlight w:val="none"/>
                <w:lang w:val="en-US" w:eastAsia="zh-CN"/>
              </w:rPr>
              <w:t>：能搭建并运行，但部分环节需手动调整，性能与稳定性尚可，技术支持尚可但响应较慢。</w:t>
            </w:r>
            <w:r>
              <w:rPr>
                <w:rFonts w:hint="eastAsia" w:ascii="仿宋" w:hAnsi="仿宋" w:eastAsia="仿宋" w:cs="仿宋"/>
                <w:bCs/>
                <w:color w:val="auto"/>
                <w:sz w:val="24"/>
                <w:highlight w:val="none"/>
                <w:lang w:val="en-US" w:eastAsia="zh-CN"/>
              </w:rPr>
              <w:t xml:space="preserve"> </w:t>
            </w:r>
            <w:r>
              <w:rPr>
                <w:rFonts w:hint="default" w:ascii="仿宋" w:hAnsi="仿宋" w:eastAsia="仿宋" w:cs="仿宋"/>
                <w:bCs/>
                <w:color w:val="auto"/>
                <w:sz w:val="24"/>
                <w:highlight w:val="none"/>
                <w:lang w:val="en-US" w:eastAsia="zh-CN"/>
              </w:rPr>
              <w:t>较差：搭建困难，兼容性问题多，性能不稳定，数据迁移风险高，技术支持不足。</w:t>
            </w:r>
            <w:r>
              <w:rPr>
                <w:rFonts w:hint="eastAsia" w:ascii="仿宋" w:hAnsi="仿宋" w:eastAsia="仿宋"/>
                <w:color w:val="auto"/>
                <w:kern w:val="0"/>
                <w:sz w:val="24"/>
                <w:highlight w:val="none"/>
              </w:rPr>
              <w:t>（</w:t>
            </w:r>
            <w:r>
              <w:rPr>
                <w:rFonts w:hint="eastAsia" w:ascii="仿宋" w:hAnsi="仿宋" w:eastAsia="仿宋"/>
                <w:color w:val="auto"/>
                <w:kern w:val="0"/>
                <w:sz w:val="24"/>
                <w:highlight w:val="none"/>
                <w:lang w:val="en-US" w:eastAsia="zh-CN"/>
              </w:rPr>
              <w:t>较好的</w:t>
            </w:r>
            <w:r>
              <w:rPr>
                <w:rFonts w:hint="eastAsia" w:ascii="仿宋" w:hAnsi="仿宋" w:eastAsia="仿宋"/>
                <w:color w:val="auto"/>
                <w:kern w:val="0"/>
                <w:sz w:val="24"/>
                <w:highlight w:val="none"/>
              </w:rPr>
              <w:t>得</w:t>
            </w:r>
            <w:r>
              <w:rPr>
                <w:rFonts w:hint="eastAsia" w:ascii="仿宋" w:hAnsi="仿宋" w:eastAsia="仿宋"/>
                <w:color w:val="auto"/>
                <w:kern w:val="0"/>
                <w:sz w:val="24"/>
                <w:highlight w:val="none"/>
                <w:lang w:val="en-US" w:eastAsia="zh-CN"/>
              </w:rPr>
              <w:t>5-3.1</w:t>
            </w:r>
            <w:r>
              <w:rPr>
                <w:rFonts w:hint="eastAsia" w:ascii="仿宋" w:hAnsi="仿宋" w:eastAsia="仿宋"/>
                <w:color w:val="auto"/>
                <w:kern w:val="0"/>
                <w:sz w:val="24"/>
                <w:highlight w:val="none"/>
              </w:rPr>
              <w:t>分，</w:t>
            </w:r>
            <w:r>
              <w:rPr>
                <w:rFonts w:hint="eastAsia" w:ascii="仿宋" w:hAnsi="仿宋" w:eastAsia="仿宋"/>
                <w:color w:val="auto"/>
                <w:kern w:val="0"/>
                <w:sz w:val="24"/>
                <w:highlight w:val="none"/>
                <w:lang w:val="en-US" w:eastAsia="zh-CN"/>
              </w:rPr>
              <w:t>一般的得3-1.1分，较差的得1-0分</w:t>
            </w:r>
            <w:r>
              <w:rPr>
                <w:rFonts w:hint="eastAsia" w:ascii="仿宋" w:hAnsi="仿宋" w:eastAsia="仿宋"/>
                <w:color w:val="auto"/>
                <w:kern w:val="0"/>
                <w:sz w:val="24"/>
                <w:highlight w:val="none"/>
              </w:rPr>
              <w:t>。）</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72" w:beforeAutospacing="0" w:after="0" w:afterAutospacing="0" w:line="20" w:lineRule="atLeast"/>
              <w:ind w:left="0" w:right="0" w:hanging="360"/>
              <w:rPr>
                <w:rFonts w:hint="default"/>
                <w:color w:val="auto"/>
                <w:highlight w:val="none"/>
                <w:lang w:val="en-US"/>
              </w:rPr>
            </w:pPr>
            <w:r>
              <w:rPr>
                <w:rFonts w:hint="eastAsia" w:ascii="仿宋" w:hAnsi="仿宋" w:eastAsia="仿宋" w:cs="仿宋"/>
                <w:bCs/>
                <w:color w:val="auto"/>
                <w:sz w:val="24"/>
                <w:highlight w:val="none"/>
                <w:lang w:val="en-US" w:eastAsia="zh-CN"/>
              </w:rPr>
              <w:t>（2）空心胶囊生产系统页面功能</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好：查询响应迅速，上报流程顺畅，页面清晰直观，操作便捷。较好：查询响应较快，上报流程较顺畅，页面较为清晰直观，操作较便捷。一般：查询响应较慢，上报流程较繁琐，页面风格不清晰，操作不便。（好得15-10.1，较好的得10-5.1分，一般的得5-</w:t>
            </w:r>
            <w:r>
              <w:rPr>
                <w:rFonts w:hint="eastAsia" w:ascii="仿宋" w:hAnsi="仿宋" w:eastAsia="仿宋"/>
                <w:color w:val="auto"/>
                <w:kern w:val="0"/>
                <w:sz w:val="24"/>
                <w:highlight w:val="none"/>
                <w:lang w:val="en-US" w:eastAsia="zh-CN"/>
              </w:rPr>
              <w:t>0分</w:t>
            </w:r>
            <w:r>
              <w:rPr>
                <w:rFonts w:hint="eastAsia" w:ascii="仿宋" w:hAnsi="仿宋" w:eastAsia="仿宋"/>
                <w:color w:val="auto"/>
                <w:kern w:val="0"/>
                <w:sz w:val="24"/>
                <w:highlight w:val="none"/>
              </w:rPr>
              <w:t>。）</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72" w:beforeAutospacing="0" w:after="0" w:afterAutospacing="0" w:line="20" w:lineRule="atLeast"/>
              <w:ind w:left="0" w:right="0" w:hanging="360"/>
              <w:rPr>
                <w:rFonts w:hint="eastAsia" w:ascii="仿宋" w:hAnsi="仿宋" w:eastAsia="仿宋"/>
                <w:color w:val="auto"/>
                <w:kern w:val="0"/>
                <w:sz w:val="24"/>
                <w:highlight w:val="none"/>
              </w:rPr>
            </w:pPr>
            <w:r>
              <w:rPr>
                <w:rFonts w:hint="eastAsia" w:ascii="仿宋" w:hAnsi="仿宋" w:eastAsia="仿宋"/>
                <w:color w:val="auto"/>
                <w:kern w:val="0"/>
                <w:sz w:val="24"/>
                <w:highlight w:val="none"/>
                <w:lang w:eastAsia="zh-CN"/>
              </w:rPr>
              <w:t>（</w:t>
            </w:r>
            <w:r>
              <w:rPr>
                <w:rFonts w:hint="eastAsia" w:ascii="仿宋" w:hAnsi="仿宋" w:eastAsia="仿宋"/>
                <w:color w:val="auto"/>
                <w:kern w:val="0"/>
                <w:sz w:val="24"/>
                <w:highlight w:val="none"/>
                <w:lang w:val="en-US" w:eastAsia="zh-CN"/>
              </w:rPr>
              <w:t>3</w:t>
            </w:r>
            <w:r>
              <w:rPr>
                <w:rFonts w:hint="eastAsia" w:ascii="仿宋" w:hAnsi="仿宋" w:eastAsia="仿宋"/>
                <w:color w:val="auto"/>
                <w:kern w:val="0"/>
                <w:sz w:val="24"/>
                <w:highlight w:val="none"/>
                <w:lang w:eastAsia="zh-CN"/>
              </w:rPr>
              <w:t>）</w:t>
            </w:r>
            <w:r>
              <w:rPr>
                <w:rFonts w:hint="eastAsia" w:ascii="仿宋" w:hAnsi="仿宋" w:eastAsia="仿宋" w:cs="仿宋"/>
                <w:bCs/>
                <w:color w:val="auto"/>
                <w:sz w:val="24"/>
                <w:highlight w:val="none"/>
                <w:lang w:val="en-US" w:eastAsia="zh-CN"/>
              </w:rPr>
              <w:t>药品安全“黑匣子”非现场监管绍兴应用场景功能</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好：查询响应迅速，页面清晰直观，操作便捷。较好：查询响应较快，页面较为清晰直观，操作较便捷。一般：查询响应较慢，页面风格不清晰，操作不便。（好得15-10.1，较好的得10-5.1分，一般的得5-</w:t>
            </w:r>
            <w:r>
              <w:rPr>
                <w:rFonts w:hint="eastAsia" w:ascii="仿宋" w:hAnsi="仿宋" w:eastAsia="仿宋"/>
                <w:color w:val="auto"/>
                <w:kern w:val="0"/>
                <w:sz w:val="24"/>
                <w:highlight w:val="none"/>
                <w:lang w:val="en-US" w:eastAsia="zh-CN"/>
              </w:rPr>
              <w:t>0分</w:t>
            </w:r>
            <w:r>
              <w:rPr>
                <w:rFonts w:hint="eastAsia" w:ascii="仿宋" w:hAnsi="仿宋" w:eastAsia="仿宋"/>
                <w:color w:val="auto"/>
                <w:kern w:val="0"/>
                <w:sz w:val="24"/>
                <w:highlight w:val="none"/>
              </w:rPr>
              <w:t>。）</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72" w:beforeAutospacing="0" w:after="0" w:afterAutospacing="0" w:line="20" w:lineRule="atLeast"/>
              <w:ind w:left="0" w:right="0" w:hanging="360"/>
              <w:rPr>
                <w:rFonts w:hint="eastAsia" w:ascii="仿宋" w:hAnsi="仿宋" w:eastAsia="仿宋"/>
                <w:color w:val="auto"/>
                <w:kern w:val="0"/>
                <w:sz w:val="24"/>
                <w:highlight w:val="none"/>
              </w:rPr>
            </w:pPr>
            <w:r>
              <w:rPr>
                <w:rFonts w:hint="eastAsia" w:ascii="仿宋" w:hAnsi="仿宋" w:eastAsia="仿宋"/>
                <w:color w:val="auto"/>
                <w:kern w:val="0"/>
                <w:sz w:val="24"/>
                <w:highlight w:val="none"/>
              </w:rPr>
              <w:t>有需要提交</w:t>
            </w:r>
            <w:r>
              <w:rPr>
                <w:rFonts w:hint="eastAsia" w:ascii="仿宋" w:hAnsi="仿宋" w:eastAsia="仿宋" w:cs="仿宋"/>
                <w:bCs/>
                <w:color w:val="auto"/>
                <w:sz w:val="24"/>
                <w:highlight w:val="none"/>
              </w:rPr>
              <w:t>U盘</w:t>
            </w:r>
            <w:r>
              <w:rPr>
                <w:rFonts w:hint="eastAsia" w:ascii="仿宋" w:hAnsi="仿宋" w:eastAsia="仿宋"/>
                <w:color w:val="auto"/>
                <w:kern w:val="0"/>
                <w:sz w:val="24"/>
                <w:highlight w:val="none"/>
              </w:rPr>
              <w:t>者，将</w:t>
            </w:r>
            <w:r>
              <w:rPr>
                <w:rFonts w:hint="eastAsia" w:ascii="仿宋" w:hAnsi="仿宋" w:eastAsia="仿宋" w:cs="仿宋"/>
                <w:bCs/>
                <w:color w:val="auto"/>
                <w:sz w:val="24"/>
                <w:highlight w:val="none"/>
              </w:rPr>
              <w:t>U盘</w:t>
            </w:r>
            <w:r>
              <w:rPr>
                <w:rFonts w:hint="eastAsia" w:ascii="仿宋" w:hAnsi="仿宋" w:eastAsia="仿宋"/>
                <w:color w:val="auto"/>
                <w:kern w:val="0"/>
                <w:sz w:val="24"/>
                <w:highlight w:val="none"/>
              </w:rPr>
              <w:t>文件于</w:t>
            </w:r>
            <w:r>
              <w:rPr>
                <w:rFonts w:hint="eastAsia" w:ascii="仿宋" w:hAnsi="仿宋" w:eastAsia="仿宋"/>
                <w:color w:val="auto"/>
                <w:kern w:val="0"/>
                <w:sz w:val="24"/>
                <w:highlight w:val="none"/>
                <w:lang w:val="en-US" w:eastAsia="zh-CN"/>
              </w:rPr>
              <w:t>开标当日14</w:t>
            </w:r>
            <w:r>
              <w:rPr>
                <w:rFonts w:hint="eastAsia" w:ascii="仿宋" w:hAnsi="仿宋" w:eastAsia="仿宋"/>
                <w:color w:val="auto"/>
                <w:kern w:val="0"/>
                <w:sz w:val="24"/>
                <w:highlight w:val="none"/>
              </w:rPr>
              <w:t>：</w:t>
            </w:r>
            <w:r>
              <w:rPr>
                <w:rFonts w:hint="eastAsia" w:ascii="仿宋" w:hAnsi="仿宋" w:eastAsia="仿宋"/>
                <w:color w:val="auto"/>
                <w:kern w:val="0"/>
                <w:sz w:val="24"/>
                <w:highlight w:val="none"/>
                <w:lang w:val="en-US" w:eastAsia="zh-CN"/>
              </w:rPr>
              <w:t>0</w:t>
            </w:r>
            <w:r>
              <w:rPr>
                <w:rFonts w:hint="eastAsia" w:ascii="仿宋" w:hAnsi="仿宋" w:eastAsia="仿宋"/>
                <w:color w:val="auto"/>
                <w:kern w:val="0"/>
                <w:sz w:val="24"/>
                <w:highlight w:val="none"/>
              </w:rPr>
              <w:t>0 时前送达指定地点：浙江翔实建设项目管理有限公司</w:t>
            </w:r>
            <w:r>
              <w:rPr>
                <w:rFonts w:hint="eastAsia" w:ascii="仿宋" w:hAnsi="仿宋" w:eastAsia="仿宋"/>
                <w:color w:val="auto"/>
                <w:kern w:val="0"/>
                <w:sz w:val="24"/>
                <w:highlight w:val="none"/>
                <w:lang w:eastAsia="zh-CN"/>
              </w:rPr>
              <w:t>（绍兴市越城区阳明北路692号）</w:t>
            </w:r>
            <w:r>
              <w:rPr>
                <w:rFonts w:hint="eastAsia" w:ascii="仿宋" w:hAnsi="仿宋" w:eastAsia="仿宋"/>
                <w:color w:val="auto"/>
                <w:kern w:val="0"/>
                <w:sz w:val="24"/>
                <w:highlight w:val="none"/>
                <w:lang w:val="en-US" w:eastAsia="zh-CN"/>
              </w:rPr>
              <w:t>1楼招标代理室</w:t>
            </w:r>
            <w:r>
              <w:rPr>
                <w:rFonts w:hint="eastAsia" w:ascii="仿宋" w:hAnsi="仿宋" w:eastAsia="仿宋"/>
                <w:color w:val="auto"/>
                <w:kern w:val="0"/>
                <w:sz w:val="24"/>
                <w:highlight w:val="none"/>
              </w:rPr>
              <w:t>；签收人员联系电话：</w:t>
            </w:r>
            <w:r>
              <w:rPr>
                <w:rFonts w:hint="eastAsia" w:ascii="仿宋" w:hAnsi="仿宋" w:eastAsia="仿宋"/>
                <w:color w:val="auto"/>
                <w:kern w:val="0"/>
                <w:sz w:val="24"/>
                <w:highlight w:val="none"/>
                <w:lang w:eastAsia="zh-CN"/>
              </w:rPr>
              <w:t>朱惠莎</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lang w:val="en-US" w:eastAsia="zh-CN"/>
              </w:rPr>
              <w:t xml:space="preserve">15167525495 </w:t>
            </w:r>
            <w:r>
              <w:rPr>
                <w:rFonts w:hint="eastAsia" w:ascii="仿宋" w:hAnsi="仿宋" w:eastAsia="仿宋"/>
                <w:color w:val="auto"/>
                <w:kern w:val="0"/>
                <w:sz w:val="24"/>
                <w:highlight w:val="none"/>
              </w:rPr>
              <w:t>。</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72" w:beforeAutospacing="0" w:after="0" w:afterAutospacing="0" w:line="20" w:lineRule="atLeast"/>
              <w:ind w:left="0" w:right="0" w:hanging="360"/>
              <w:rPr>
                <w:rFonts w:hint="default"/>
                <w:color w:val="auto"/>
                <w:highlight w:val="none"/>
                <w:lang w:val="en-US"/>
              </w:rPr>
            </w:pPr>
          </w:p>
        </w:tc>
        <w:tc>
          <w:tcPr>
            <w:tcW w:w="759" w:type="dxa"/>
            <w:tcBorders>
              <w:top w:val="single" w:color="auto" w:sz="4" w:space="0"/>
              <w:left w:val="single" w:color="auto" w:sz="4" w:space="0"/>
              <w:right w:val="single" w:color="auto" w:sz="4" w:space="0"/>
            </w:tcBorders>
            <w:vAlign w:val="center"/>
          </w:tcPr>
          <w:p>
            <w:pPr>
              <w:spacing w:line="281"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ascii="仿宋" w:hAnsi="仿宋" w:eastAsia="仿宋" w:cs="仿宋"/>
                <w:bCs/>
                <w:color w:val="auto"/>
                <w:sz w:val="24"/>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6" w:type="dxa"/>
            <w:vAlign w:val="center"/>
          </w:tcPr>
          <w:p>
            <w:pPr>
              <w:spacing w:line="281" w:lineRule="auto"/>
              <w:jc w:val="center"/>
              <w:rPr>
                <w:rFonts w:hint="eastAsia" w:ascii="仿宋" w:hAnsi="仿宋" w:eastAsia="仿宋" w:cs="仿宋"/>
                <w:bCs/>
                <w:color w:val="auto"/>
                <w:sz w:val="24"/>
                <w:highlight w:val="none"/>
                <w:lang w:val="zh-CN" w:eastAsia="zh-CN"/>
              </w:rPr>
            </w:pPr>
            <w:r>
              <w:rPr>
                <w:rFonts w:hint="eastAsia" w:ascii="仿宋" w:hAnsi="仿宋" w:eastAsia="仿宋" w:cs="仿宋"/>
                <w:bCs/>
                <w:color w:val="auto"/>
                <w:sz w:val="24"/>
                <w:highlight w:val="none"/>
                <w:lang w:val="en-US" w:eastAsia="zh-CN"/>
              </w:rPr>
              <w:t>4</w:t>
            </w:r>
          </w:p>
        </w:tc>
        <w:tc>
          <w:tcPr>
            <w:tcW w:w="1055" w:type="dxa"/>
            <w:tcMar>
              <w:top w:w="15" w:type="dxa"/>
              <w:left w:w="15" w:type="dxa"/>
              <w:bottom w:w="0" w:type="dxa"/>
              <w:right w:w="15" w:type="dxa"/>
            </w:tcMar>
            <w:vAlign w:val="center"/>
          </w:tcPr>
          <w:p>
            <w:pPr>
              <w:spacing w:line="281" w:lineRule="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zh-CN"/>
              </w:rPr>
              <w:t>业绩</w:t>
            </w:r>
            <w:r>
              <w:rPr>
                <w:rFonts w:hint="eastAsia" w:ascii="仿宋" w:hAnsi="仿宋" w:eastAsia="仿宋" w:cs="仿宋"/>
                <w:bCs/>
                <w:color w:val="auto"/>
                <w:sz w:val="24"/>
                <w:highlight w:val="none"/>
                <w:lang w:val="en-US" w:eastAsia="zh-CN"/>
              </w:rPr>
              <w:t>案例</w:t>
            </w:r>
          </w:p>
        </w:tc>
        <w:tc>
          <w:tcPr>
            <w:tcW w:w="6209" w:type="dxa"/>
            <w:vAlign w:val="center"/>
          </w:tcPr>
          <w:p>
            <w:pPr>
              <w:spacing w:line="281" w:lineRule="auto"/>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201</w:t>
            </w:r>
            <w:r>
              <w:rPr>
                <w:rFonts w:ascii="仿宋" w:hAnsi="仿宋" w:eastAsia="仿宋" w:cs="仿宋"/>
                <w:bCs/>
                <w:color w:val="auto"/>
                <w:sz w:val="24"/>
                <w:highlight w:val="none"/>
                <w:lang w:val="zh-CN"/>
              </w:rPr>
              <w:t>9</w:t>
            </w:r>
            <w:r>
              <w:rPr>
                <w:rFonts w:hint="eastAsia" w:ascii="仿宋" w:hAnsi="仿宋" w:eastAsia="仿宋" w:cs="仿宋"/>
                <w:bCs/>
                <w:color w:val="auto"/>
                <w:sz w:val="24"/>
                <w:highlight w:val="none"/>
                <w:lang w:val="zh-CN"/>
              </w:rPr>
              <w:t>年</w:t>
            </w:r>
            <w:r>
              <w:rPr>
                <w:rFonts w:hint="eastAsia" w:ascii="仿宋" w:hAnsi="仿宋" w:eastAsia="仿宋" w:cs="仿宋"/>
                <w:bCs/>
                <w:color w:val="auto"/>
                <w:sz w:val="24"/>
                <w:highlight w:val="none"/>
              </w:rPr>
              <w:t>1月1日</w:t>
            </w:r>
            <w:r>
              <w:rPr>
                <w:rFonts w:hint="eastAsia" w:ascii="仿宋" w:hAnsi="仿宋" w:eastAsia="仿宋" w:cs="仿宋"/>
                <w:bCs/>
                <w:color w:val="auto"/>
                <w:sz w:val="24"/>
                <w:highlight w:val="none"/>
                <w:lang w:val="zh-CN"/>
              </w:rPr>
              <w:t>至今（以合同签订时间为准），有</w:t>
            </w:r>
            <w:r>
              <w:rPr>
                <w:rFonts w:hint="eastAsia" w:ascii="仿宋" w:hAnsi="仿宋" w:eastAsia="仿宋" w:cs="仿宋"/>
                <w:bCs/>
                <w:color w:val="auto"/>
                <w:sz w:val="24"/>
                <w:highlight w:val="none"/>
                <w:lang w:val="en-US" w:eastAsia="zh-CN"/>
              </w:rPr>
              <w:t>类似</w:t>
            </w:r>
            <w:r>
              <w:rPr>
                <w:rFonts w:hint="eastAsia" w:ascii="仿宋" w:hAnsi="仿宋" w:eastAsia="仿宋" w:cs="仿宋"/>
                <w:bCs/>
                <w:color w:val="auto"/>
                <w:sz w:val="24"/>
                <w:highlight w:val="none"/>
                <w:lang w:val="zh-CN"/>
              </w:rPr>
              <w:t>软件平台项目案例</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lang w:val="zh-CN"/>
              </w:rPr>
              <w:t>，每个合同得</w:t>
            </w: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zh-CN"/>
              </w:rPr>
              <w:t>分，最高得</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lang w:val="zh-CN"/>
              </w:rPr>
              <w:t>分。</w:t>
            </w:r>
            <w:r>
              <w:rPr>
                <w:rFonts w:hint="eastAsia" w:ascii="仿宋" w:hAnsi="仿宋" w:eastAsia="仿宋" w:cs="仿宋"/>
                <w:bCs/>
                <w:color w:val="auto"/>
                <w:sz w:val="24"/>
                <w:highlight w:val="none"/>
              </w:rPr>
              <w:t>（投标文件中提供合同原件扫描件或彩色图片加盖单位公章）</w:t>
            </w:r>
          </w:p>
        </w:tc>
        <w:tc>
          <w:tcPr>
            <w:tcW w:w="759" w:type="dxa"/>
            <w:vAlign w:val="center"/>
          </w:tcPr>
          <w:p>
            <w:pPr>
              <w:spacing w:line="281" w:lineRule="auto"/>
              <w:jc w:val="center"/>
              <w:rPr>
                <w:rFonts w:hint="eastAsia" w:ascii="仿宋" w:hAnsi="仿宋" w:eastAsia="仿宋" w:cs="仿宋"/>
                <w:bCs/>
                <w:color w:val="auto"/>
                <w:sz w:val="24"/>
                <w:highlight w:val="none"/>
                <w:lang w:val="zh-CN" w:eastAsia="zh-CN"/>
              </w:rPr>
            </w:pPr>
            <w:r>
              <w:rPr>
                <w:rFonts w:hint="eastAsia" w:ascii="仿宋" w:hAnsi="仿宋" w:eastAsia="仿宋" w:cs="仿宋"/>
                <w:bCs/>
                <w:color w:val="auto"/>
                <w:sz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6" w:type="dxa"/>
            <w:vMerge w:val="restart"/>
            <w:vAlign w:val="center"/>
          </w:tcPr>
          <w:p>
            <w:pPr>
              <w:spacing w:line="281" w:lineRule="auto"/>
              <w:jc w:val="center"/>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en-US" w:eastAsia="zh-CN"/>
              </w:rPr>
              <w:t>5</w:t>
            </w:r>
          </w:p>
        </w:tc>
        <w:tc>
          <w:tcPr>
            <w:tcW w:w="1055" w:type="dxa"/>
            <w:vMerge w:val="restart"/>
            <w:tcMar>
              <w:top w:w="15" w:type="dxa"/>
              <w:left w:w="15" w:type="dxa"/>
              <w:bottom w:w="0" w:type="dxa"/>
              <w:right w:w="15" w:type="dxa"/>
            </w:tcMar>
            <w:vAlign w:val="center"/>
          </w:tcPr>
          <w:p>
            <w:pPr>
              <w:spacing w:line="281" w:lineRule="auto"/>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售后服务、培训方案</w:t>
            </w:r>
          </w:p>
        </w:tc>
        <w:tc>
          <w:tcPr>
            <w:tcW w:w="6209" w:type="dxa"/>
            <w:vAlign w:val="center"/>
          </w:tcPr>
          <w:p>
            <w:pPr>
              <w:spacing w:line="281" w:lineRule="auto"/>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根据投标人售后服务方案的合理性、及时方便性、售后服务点的远近等由评委进行比较、评议、确定档次打分，能够提供基本的服务支持，但可能缺乏完善的售后服务体系和快速响应机制</w:t>
            </w:r>
            <w:r>
              <w:rPr>
                <w:rFonts w:hint="eastAsia" w:ascii="仿宋" w:hAnsi="仿宋" w:eastAsia="仿宋" w:cs="仿宋"/>
                <w:bCs/>
                <w:color w:val="auto"/>
                <w:sz w:val="24"/>
                <w:highlight w:val="none"/>
                <w:lang w:val="en-US" w:eastAsia="zh-CN"/>
              </w:rPr>
              <w:t>视为一般</w:t>
            </w:r>
            <w:r>
              <w:rPr>
                <w:rFonts w:hint="eastAsia" w:ascii="仿宋" w:hAnsi="仿宋" w:eastAsia="仿宋" w:cs="仿宋"/>
                <w:bCs/>
                <w:color w:val="auto"/>
                <w:sz w:val="24"/>
                <w:highlight w:val="none"/>
                <w:lang w:val="zh-CN"/>
              </w:rPr>
              <w:t>。具备较为完善的服务支持体系，包括售后服务、技术支持等，能够较好地满足客户需求</w:t>
            </w:r>
            <w:r>
              <w:rPr>
                <w:rFonts w:hint="eastAsia" w:ascii="仿宋" w:hAnsi="仿宋" w:eastAsia="仿宋" w:cs="仿宋"/>
                <w:bCs/>
                <w:color w:val="auto"/>
                <w:sz w:val="24"/>
                <w:highlight w:val="none"/>
                <w:lang w:val="en-US" w:eastAsia="zh-CN"/>
              </w:rPr>
              <w:t>视为较好</w:t>
            </w:r>
            <w:r>
              <w:rPr>
                <w:rFonts w:hint="eastAsia" w:ascii="仿宋" w:hAnsi="仿宋" w:eastAsia="仿宋" w:cs="仿宋"/>
                <w:bCs/>
                <w:color w:val="auto"/>
                <w:sz w:val="24"/>
                <w:highlight w:val="none"/>
                <w:lang w:val="zh-CN"/>
              </w:rPr>
              <w:t>。拥有全面的服务支持体系，能够为客户提供全方位、高效率的服务支持，客户满意度高</w:t>
            </w:r>
            <w:r>
              <w:rPr>
                <w:rFonts w:hint="eastAsia" w:ascii="仿宋" w:hAnsi="仿宋" w:eastAsia="仿宋" w:cs="仿宋"/>
                <w:bCs/>
                <w:color w:val="auto"/>
                <w:sz w:val="24"/>
                <w:highlight w:val="none"/>
                <w:lang w:val="en-US" w:eastAsia="zh-CN"/>
              </w:rPr>
              <w:t>视为好</w:t>
            </w:r>
            <w:r>
              <w:rPr>
                <w:rFonts w:hint="eastAsia" w:ascii="仿宋" w:hAnsi="仿宋" w:eastAsia="仿宋" w:cs="仿宋"/>
                <w:bCs/>
                <w:color w:val="auto"/>
                <w:sz w:val="24"/>
                <w:highlight w:val="none"/>
                <w:lang w:val="zh-CN"/>
              </w:rPr>
              <w:t>。一般得0-1分，较好得1.1-</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lang w:val="zh-CN"/>
              </w:rPr>
              <w:t>分，好得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lang w:val="zh-CN"/>
              </w:rPr>
              <w:t>.1-</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lang w:val="zh-CN"/>
              </w:rPr>
              <w:t>分。</w:t>
            </w:r>
          </w:p>
        </w:tc>
        <w:tc>
          <w:tcPr>
            <w:tcW w:w="759" w:type="dxa"/>
            <w:vAlign w:val="center"/>
          </w:tcPr>
          <w:p>
            <w:pPr>
              <w:spacing w:line="281"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6" w:type="dxa"/>
            <w:vMerge w:val="continue"/>
            <w:vAlign w:val="center"/>
          </w:tcPr>
          <w:p>
            <w:pPr>
              <w:spacing w:line="281" w:lineRule="auto"/>
              <w:rPr>
                <w:rFonts w:ascii="仿宋" w:hAnsi="仿宋" w:eastAsia="仿宋" w:cs="仿宋"/>
                <w:bCs/>
                <w:color w:val="auto"/>
                <w:sz w:val="24"/>
                <w:highlight w:val="none"/>
                <w:lang w:val="zh-CN"/>
              </w:rPr>
            </w:pPr>
          </w:p>
        </w:tc>
        <w:tc>
          <w:tcPr>
            <w:tcW w:w="1055" w:type="dxa"/>
            <w:vMerge w:val="continue"/>
            <w:tcMar>
              <w:top w:w="15" w:type="dxa"/>
              <w:left w:w="15" w:type="dxa"/>
              <w:bottom w:w="0" w:type="dxa"/>
              <w:right w:w="15" w:type="dxa"/>
            </w:tcMar>
            <w:vAlign w:val="center"/>
          </w:tcPr>
          <w:p>
            <w:pPr>
              <w:spacing w:line="281" w:lineRule="auto"/>
              <w:rPr>
                <w:rFonts w:ascii="仿宋" w:hAnsi="仿宋" w:eastAsia="仿宋" w:cs="仿宋"/>
                <w:bCs/>
                <w:color w:val="auto"/>
                <w:sz w:val="24"/>
                <w:highlight w:val="none"/>
                <w:lang w:val="zh-CN"/>
              </w:rPr>
            </w:pPr>
          </w:p>
        </w:tc>
        <w:tc>
          <w:tcPr>
            <w:tcW w:w="6209" w:type="dxa"/>
            <w:vAlign w:val="center"/>
          </w:tcPr>
          <w:p>
            <w:pPr>
              <w:spacing w:line="281" w:lineRule="auto"/>
              <w:rPr>
                <w:rFonts w:hint="eastAsia" w:ascii="仿宋" w:hAnsi="仿宋" w:eastAsia="仿宋" w:cs="仿宋"/>
                <w:bCs/>
                <w:color w:val="auto"/>
                <w:sz w:val="24"/>
                <w:highlight w:val="none"/>
                <w:lang w:val="zh-CN" w:eastAsia="zh-CN"/>
              </w:rPr>
            </w:pPr>
            <w:r>
              <w:rPr>
                <w:rFonts w:hint="eastAsia" w:ascii="仿宋" w:hAnsi="仿宋" w:eastAsia="仿宋" w:cs="仿宋"/>
                <w:bCs/>
                <w:color w:val="auto"/>
                <w:sz w:val="24"/>
                <w:highlight w:val="none"/>
                <w:lang w:val="zh-CN"/>
              </w:rPr>
              <w:t>培训方案科学合理，培训人员经验丰富，数量投入充足，培训范围涵盖招标需求。</w:t>
            </w:r>
            <w:r>
              <w:rPr>
                <w:rFonts w:hint="eastAsia" w:ascii="仿宋" w:hAnsi="仿宋" w:eastAsia="仿宋" w:cs="仿宋"/>
                <w:bCs/>
                <w:color w:val="auto"/>
                <w:sz w:val="24"/>
                <w:highlight w:val="none"/>
              </w:rPr>
              <w:t>根据方案的完善性、合理性、科学性由评委进行打分，方案完善、合理、科学得</w:t>
            </w:r>
            <w:r>
              <w:rPr>
                <w:rFonts w:hint="eastAsia" w:ascii="仿宋" w:hAnsi="仿宋" w:eastAsia="仿宋" w:cs="仿宋"/>
                <w:bCs/>
                <w:color w:val="auto"/>
                <w:sz w:val="24"/>
                <w:highlight w:val="none"/>
                <w:lang w:val="en-US" w:eastAsia="zh-CN"/>
              </w:rPr>
              <w:t>3.1</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完善、</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合理、</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科学得</w:t>
            </w:r>
            <w:r>
              <w:rPr>
                <w:rFonts w:hint="eastAsia" w:ascii="仿宋" w:hAnsi="仿宋" w:eastAsia="仿宋" w:cs="仿宋"/>
                <w:bCs/>
                <w:color w:val="auto"/>
                <w:sz w:val="24"/>
                <w:highlight w:val="none"/>
                <w:lang w:val="en-US" w:eastAsia="zh-CN"/>
              </w:rPr>
              <w:t>1.1</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不够</w:t>
            </w:r>
            <w:r>
              <w:rPr>
                <w:rFonts w:hint="eastAsia" w:ascii="仿宋" w:hAnsi="仿宋" w:eastAsia="仿宋" w:cs="仿宋"/>
                <w:bCs/>
                <w:color w:val="auto"/>
                <w:sz w:val="24"/>
                <w:highlight w:val="none"/>
              </w:rPr>
              <w:t>完善、</w:t>
            </w:r>
            <w:r>
              <w:rPr>
                <w:rFonts w:hint="eastAsia" w:ascii="仿宋" w:hAnsi="仿宋" w:eastAsia="仿宋" w:cs="仿宋"/>
                <w:bCs/>
                <w:color w:val="auto"/>
                <w:sz w:val="24"/>
                <w:highlight w:val="none"/>
                <w:lang w:val="en-US" w:eastAsia="zh-CN"/>
              </w:rPr>
              <w:t>不够</w:t>
            </w:r>
            <w:r>
              <w:rPr>
                <w:rFonts w:hint="eastAsia" w:ascii="仿宋" w:hAnsi="仿宋" w:eastAsia="仿宋" w:cs="仿宋"/>
                <w:bCs/>
                <w:color w:val="auto"/>
                <w:sz w:val="24"/>
                <w:highlight w:val="none"/>
              </w:rPr>
              <w:t>合理、</w:t>
            </w:r>
            <w:r>
              <w:rPr>
                <w:rFonts w:hint="eastAsia" w:ascii="仿宋" w:hAnsi="仿宋" w:eastAsia="仿宋" w:cs="仿宋"/>
                <w:bCs/>
                <w:color w:val="auto"/>
                <w:sz w:val="24"/>
                <w:highlight w:val="none"/>
                <w:lang w:val="en-US" w:eastAsia="zh-CN"/>
              </w:rPr>
              <w:t>不够</w:t>
            </w:r>
            <w:r>
              <w:rPr>
                <w:rFonts w:hint="eastAsia" w:ascii="仿宋" w:hAnsi="仿宋" w:eastAsia="仿宋" w:cs="仿宋"/>
                <w:bCs/>
                <w:color w:val="auto"/>
                <w:sz w:val="24"/>
                <w:highlight w:val="none"/>
              </w:rPr>
              <w:t>科学得</w:t>
            </w:r>
            <w:r>
              <w:rPr>
                <w:rFonts w:hint="eastAsia" w:ascii="仿宋" w:hAnsi="仿宋" w:eastAsia="仿宋" w:cs="仿宋"/>
                <w:bCs/>
                <w:color w:val="auto"/>
                <w:sz w:val="24"/>
                <w:highlight w:val="none"/>
                <w:lang w:val="en-US" w:eastAsia="zh-CN"/>
              </w:rPr>
              <w:t>0</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分</w:t>
            </w:r>
          </w:p>
        </w:tc>
        <w:tc>
          <w:tcPr>
            <w:tcW w:w="759" w:type="dxa"/>
            <w:vAlign w:val="center"/>
          </w:tcPr>
          <w:p>
            <w:pPr>
              <w:spacing w:line="281"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w:t>
            </w:r>
          </w:p>
        </w:tc>
      </w:tr>
    </w:tbl>
    <w:p>
      <w:pPr>
        <w:snapToGrid w:val="0"/>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bCs/>
          <w:color w:val="auto"/>
          <w:sz w:val="24"/>
          <w:highlight w:val="none"/>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pPr>
        <w:numPr>
          <w:ilvl w:val="0"/>
          <w:numId w:val="5"/>
        </w:numPr>
        <w:snapToGrid w:val="0"/>
        <w:spacing w:line="288"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本项目招标文件内对开标现场原件核验不作要求，招标人有权在标后对中标候选人进行原件核验，投标人对所提供的全部资料的真实性承担法律责任。</w:t>
      </w:r>
    </w:p>
    <w:p>
      <w:pPr>
        <w:numPr>
          <w:ilvl w:val="0"/>
          <w:numId w:val="5"/>
        </w:numPr>
        <w:snapToGrid w:val="0"/>
        <w:spacing w:line="288"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所有的证书必须在有效期内，不在有效期内的不得分。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color w:val="auto"/>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p>
    <w:p>
      <w:pPr>
        <w:pStyle w:val="24"/>
        <w:rPr>
          <w:rFonts w:hint="eastAsia" w:ascii="仿宋" w:hAnsi="仿宋" w:eastAsia="仿宋" w:cs="仿宋"/>
          <w:color w:val="auto"/>
          <w:highlight w:val="none"/>
        </w:rPr>
      </w:pPr>
    </w:p>
    <w:p>
      <w:pPr>
        <w:pStyle w:val="25"/>
        <w:rPr>
          <w:rFonts w:hint="eastAsia" w:ascii="仿宋" w:hAnsi="仿宋" w:eastAsia="仿宋" w:cs="仿宋"/>
          <w:color w:val="auto"/>
          <w:highlight w:val="none"/>
        </w:rPr>
      </w:pPr>
    </w:p>
    <w:p>
      <w:pPr>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6"/>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投标函…………………………………………………………………………（页码）</w:t>
      </w:r>
    </w:p>
    <w:p>
      <w:pPr>
        <w:pStyle w:val="905"/>
        <w:numPr>
          <w:ilvl w:val="0"/>
          <w:numId w:val="6"/>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法定代表人授权书 ……………………………………………………………（页码）</w:t>
      </w:r>
    </w:p>
    <w:p>
      <w:pPr>
        <w:pStyle w:val="905"/>
        <w:numPr>
          <w:ilvl w:val="0"/>
          <w:numId w:val="6"/>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授权代表社保证明（复印件）………………………………………………（页码）</w:t>
      </w:r>
    </w:p>
    <w:p>
      <w:pPr>
        <w:pStyle w:val="905"/>
        <w:numPr>
          <w:ilvl w:val="0"/>
          <w:numId w:val="6"/>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5"/>
        <w:numPr>
          <w:ilvl w:val="0"/>
          <w:numId w:val="6"/>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法定代表人身份证明书………………………………………………………（页码）</w:t>
      </w:r>
    </w:p>
    <w:p>
      <w:pPr>
        <w:pStyle w:val="905"/>
        <w:numPr>
          <w:ilvl w:val="0"/>
          <w:numId w:val="6"/>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rPr>
        <w:t>商务技术偏离表………………………………………………………………（页码）</w:t>
      </w:r>
    </w:p>
    <w:p>
      <w:pPr>
        <w:pStyle w:val="905"/>
        <w:numPr>
          <w:ilvl w:val="0"/>
          <w:numId w:val="6"/>
        </w:numPr>
        <w:spacing w:line="336" w:lineRule="auto"/>
        <w:ind w:left="0" w:firstLine="0" w:firstLineChars="0"/>
        <w:rPr>
          <w:rFonts w:hint="eastAsia"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hAnsi="仿宋" w:eastAsia="仿宋" w:cs="仿宋"/>
          <w:color w:val="auto"/>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6"/>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hint="eastAsia" w:ascii="仿宋" w:hAnsi="仿宋" w:eastAsia="仿宋" w:cs="仿宋"/>
          <w:color w:val="auto"/>
          <w:sz w:val="24"/>
          <w:highlight w:val="none"/>
        </w:rPr>
      </w:pPr>
    </w:p>
    <w:p>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pPr>
        <w:spacing w:line="360" w:lineRule="auto"/>
        <w:ind w:firstLine="480" w:firstLineChars="200"/>
        <w:rPr>
          <w:rFonts w:hint="eastAsia" w:ascii="仿宋" w:hAnsi="仿宋" w:eastAsia="仿宋" w:cs="仿宋"/>
          <w:bCs/>
          <w:color w:val="auto"/>
          <w:sz w:val="24"/>
          <w:highlight w:val="none"/>
        </w:rPr>
      </w:pPr>
    </w:p>
    <w:p>
      <w:pPr>
        <w:spacing w:line="360" w:lineRule="auto"/>
        <w:ind w:firstLine="480" w:firstLineChars="200"/>
        <w:rPr>
          <w:rFonts w:hint="eastAsia" w:ascii="仿宋" w:hAnsi="仿宋" w:eastAsia="仿宋" w:cs="仿宋"/>
          <w:b/>
          <w:color w:val="auto"/>
          <w:sz w:val="30"/>
          <w:szCs w:val="30"/>
          <w:highlight w:val="none"/>
        </w:rPr>
      </w:pPr>
      <w:r>
        <w:rPr>
          <w:rFonts w:hint="eastAsia" w:ascii="仿宋" w:hAnsi="仿宋" w:eastAsia="仿宋" w:cs="仿宋"/>
          <w:bCs/>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hint="eastAsia" w:ascii="仿宋" w:hAnsi="仿宋" w:eastAsia="仿宋" w:cs="仿宋"/>
          <w:b/>
          <w:color w:val="auto"/>
          <w:sz w:val="30"/>
          <w:szCs w:val="30"/>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pStyle w:val="3"/>
        <w:rPr>
          <w:rFonts w:hint="eastAsia" w:ascii="仿宋" w:hAnsi="仿宋" w:eastAsia="仿宋" w:cs="仿宋"/>
          <w:b/>
          <w:color w:val="auto"/>
          <w:kern w:val="0"/>
          <w:sz w:val="32"/>
          <w:szCs w:val="32"/>
          <w:highlight w:val="none"/>
        </w:rPr>
      </w:pPr>
    </w:p>
    <w:p>
      <w:pPr>
        <w:pStyle w:val="45"/>
        <w:rPr>
          <w:color w:val="auto"/>
          <w:highlight w:val="none"/>
        </w:rPr>
      </w:pPr>
    </w:p>
    <w:p>
      <w:pPr>
        <w:jc w:val="center"/>
        <w:rPr>
          <w:rFonts w:hint="eastAsia" w:ascii="仿宋" w:hAnsi="仿宋" w:eastAsia="仿宋" w:cs="仿宋"/>
          <w:b/>
          <w:color w:val="auto"/>
          <w:kern w:val="0"/>
          <w:sz w:val="32"/>
          <w:szCs w:val="32"/>
          <w:highlight w:val="none"/>
        </w:rPr>
      </w:pPr>
    </w:p>
    <w:p>
      <w:pPr>
        <w:spacing w:line="8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535"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437"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350"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535" w:type="dxa"/>
          </w:tcPr>
          <w:p>
            <w:pPr>
              <w:jc w:val="center"/>
              <w:rPr>
                <w:rFonts w:hint="eastAsia" w:ascii="仿宋" w:hAnsi="仿宋" w:eastAsia="仿宋" w:cs="仿宋"/>
                <w:b/>
                <w:color w:val="auto"/>
                <w:kern w:val="0"/>
                <w:sz w:val="32"/>
                <w:szCs w:val="32"/>
                <w:highlight w:val="none"/>
              </w:rPr>
            </w:pPr>
          </w:p>
        </w:tc>
        <w:tc>
          <w:tcPr>
            <w:tcW w:w="3437" w:type="dxa"/>
          </w:tcPr>
          <w:p>
            <w:pPr>
              <w:jc w:val="center"/>
              <w:rPr>
                <w:rFonts w:hint="eastAsia" w:ascii="仿宋" w:hAnsi="仿宋" w:eastAsia="仿宋" w:cs="仿宋"/>
                <w:b/>
                <w:color w:val="auto"/>
                <w:kern w:val="0"/>
                <w:sz w:val="32"/>
                <w:szCs w:val="32"/>
                <w:highlight w:val="none"/>
              </w:rPr>
            </w:pPr>
          </w:p>
        </w:tc>
        <w:tc>
          <w:tcPr>
            <w:tcW w:w="1350"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23"/>
        <w:rPr>
          <w:rFonts w:hint="eastAsia" w:ascii="仿宋" w:hAnsi="仿宋" w:eastAsia="仿宋" w:cs="仿宋"/>
          <w:b/>
          <w:bCs/>
          <w:color w:val="auto"/>
          <w:highlight w:val="none"/>
        </w:rPr>
      </w:pPr>
    </w:p>
    <w:p>
      <w:pPr>
        <w:pStyle w:val="24"/>
        <w:rPr>
          <w:rFonts w:hint="eastAsia" w:ascii="仿宋" w:hAnsi="仿宋" w:eastAsia="仿宋" w:cs="仿宋"/>
          <w:b/>
          <w:bCs/>
          <w:color w:val="auto"/>
          <w:highlight w:val="none"/>
        </w:rPr>
      </w:pPr>
    </w:p>
    <w:p>
      <w:pPr>
        <w:pStyle w:val="25"/>
        <w:rPr>
          <w:color w:val="auto"/>
          <w:highlight w:val="none"/>
        </w:rPr>
      </w:pPr>
    </w:p>
    <w:p>
      <w:pPr>
        <w:pStyle w:val="79"/>
        <w:jc w:val="center"/>
        <w:rPr>
          <w:rFonts w:hint="eastAsia" w:ascii="仿宋" w:hAnsi="仿宋" w:eastAsia="仿宋" w:cs="仿宋"/>
          <w:b/>
          <w:bCs/>
          <w:color w:val="auto"/>
          <w:highlight w:val="none"/>
        </w:rPr>
      </w:pPr>
    </w:p>
    <w:p>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pPr>
        <w:autoSpaceDE w:val="0"/>
        <w:autoSpaceDN w:val="0"/>
        <w:spacing w:line="360" w:lineRule="auto"/>
        <w:rPr>
          <w:rFonts w:hint="eastAsia" w:ascii="仿宋_GB2312" w:hAnsi="仿宋_GB2312" w:eastAsia="仿宋_GB2312" w:cs="仿宋_GB2312"/>
          <w:b/>
          <w:color w:val="auto"/>
          <w:sz w:val="24"/>
          <w:highlight w:val="none"/>
        </w:rPr>
      </w:pPr>
    </w:p>
    <w:p>
      <w:pPr>
        <w:autoSpaceDE w:val="0"/>
        <w:autoSpaceDN w:val="0"/>
        <w:spacing w:line="360" w:lineRule="auto"/>
        <w:rPr>
          <w:rFonts w:hint="eastAsia" w:ascii="仿宋_GB2312" w:hAnsi="仿宋_GB2312" w:eastAsia="仿宋_GB2312" w:cs="仿宋_GB2312"/>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int="eastAsia" w:hAnsi="仿宋_GB2312" w:cs="仿宋_GB2312"/>
          <w:color w:val="auto"/>
          <w:highlight w:val="none"/>
        </w:rPr>
      </w:pPr>
    </w:p>
    <w:p>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hint="eastAsia" w:ascii="仿宋_GB2312" w:hAnsi="仿宋_GB2312" w:eastAsia="仿宋_GB2312" w:cs="仿宋_GB2312"/>
          <w:color w:val="auto"/>
          <w:sz w:val="24"/>
          <w:highlight w:val="none"/>
        </w:rPr>
      </w:pPr>
    </w:p>
    <w:p>
      <w:pPr>
        <w:snapToGrid w:val="0"/>
        <w:spacing w:line="360" w:lineRule="auto"/>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color w:val="auto"/>
                <w:sz w:val="24"/>
                <w:highlight w:val="none"/>
              </w:rPr>
            </w:pPr>
          </w:p>
        </w:tc>
        <w:tc>
          <w:tcPr>
            <w:tcW w:w="234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080" w:type="dxa"/>
            <w:vAlign w:val="center"/>
          </w:tcPr>
          <w:p>
            <w:pPr>
              <w:spacing w:line="360" w:lineRule="auto"/>
              <w:jc w:val="center"/>
              <w:rPr>
                <w:rFonts w:hint="eastAsia" w:ascii="仿宋_GB2312" w:hAnsi="仿宋_GB2312" w:eastAsia="仿宋_GB2312" w:cs="仿宋_GB2312"/>
                <w:color w:val="auto"/>
                <w:sz w:val="24"/>
                <w:highlight w:val="none"/>
              </w:rPr>
            </w:pPr>
          </w:p>
        </w:tc>
        <w:tc>
          <w:tcPr>
            <w:tcW w:w="1332" w:type="dxa"/>
            <w:vAlign w:val="center"/>
          </w:tcPr>
          <w:p>
            <w:pPr>
              <w:spacing w:line="360" w:lineRule="auto"/>
              <w:jc w:val="center"/>
              <w:rPr>
                <w:rFonts w:hint="eastAsia"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05pt;width:443.7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05pt;width:441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color w:val="auto"/>
          <w:kern w:val="0"/>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2"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c>
          <w:tcPr>
            <w:tcW w:w="553" w:type="dxa"/>
          </w:tcPr>
          <w:p>
            <w:pPr>
              <w:spacing w:line="360" w:lineRule="auto"/>
              <w:rPr>
                <w:rFonts w:hint="eastAsia"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color w:val="auto"/>
          <w:kern w:val="0"/>
          <w:sz w:val="24"/>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pStyle w:val="23"/>
        <w:rPr>
          <w:rFonts w:hint="eastAsia" w:ascii="仿宋_GB2312" w:hAnsi="仿宋_GB2312" w:eastAsia="仿宋_GB2312" w:cs="仿宋_GB2312"/>
          <w:b/>
          <w:bCs/>
          <w:color w:val="auto"/>
          <w:sz w:val="32"/>
          <w:szCs w:val="32"/>
          <w:highlight w:val="none"/>
        </w:rPr>
      </w:pPr>
    </w:p>
    <w:p>
      <w:pPr>
        <w:pStyle w:val="24"/>
        <w:rPr>
          <w:color w:val="auto"/>
          <w:highlight w:val="none"/>
        </w:rPr>
      </w:pPr>
    </w:p>
    <w:p>
      <w:pPr>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hint="eastAsia" w:ascii="仿宋_GB2312" w:hAnsi="仿宋_GB2312" w:eastAsia="仿宋_GB2312" w:cs="仿宋_GB2312"/>
                <w:color w:val="auto"/>
                <w:sz w:val="24"/>
                <w:highlight w:val="none"/>
              </w:rPr>
            </w:pPr>
          </w:p>
        </w:tc>
      </w:tr>
    </w:tbl>
    <w:p>
      <w:pPr>
        <w:autoSpaceDE w:val="0"/>
        <w:autoSpaceDN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655"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715"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0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auto"/>
                <w:sz w:val="24"/>
                <w:highlight w:val="none"/>
              </w:rPr>
            </w:pPr>
          </w:p>
        </w:tc>
      </w:tr>
    </w:tbl>
    <w:p>
      <w:pPr>
        <w:spacing w:line="360" w:lineRule="auto"/>
        <w:ind w:firstLine="480" w:firstLineChars="200"/>
        <w:rPr>
          <w:rFonts w:hint="eastAsia" w:ascii="仿宋_GB2312" w:hAnsi="仿宋_GB2312" w:eastAsia="仿宋_GB2312" w:cs="仿宋_GB2312"/>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rPr>
      </w:pPr>
    </w:p>
    <w:p>
      <w:pPr>
        <w:spacing w:line="360" w:lineRule="auto"/>
        <w:jc w:val="center"/>
        <w:rPr>
          <w:rFonts w:hint="eastAsia" w:ascii="仿宋_GB2312" w:hAnsi="仿宋_GB2312" w:eastAsia="仿宋_GB2312" w:cs="仿宋_GB2312"/>
          <w:b/>
          <w:color w:val="auto"/>
          <w:sz w:val="30"/>
          <w:szCs w:val="30"/>
          <w:highlight w:val="none"/>
        </w:rPr>
      </w:pPr>
    </w:p>
    <w:p>
      <w:pPr>
        <w:pStyle w:val="23"/>
        <w:rPr>
          <w:rFonts w:hint="eastAsia" w:ascii="仿宋_GB2312" w:hAnsi="仿宋_GB2312" w:eastAsia="仿宋_GB2312" w:cs="仿宋_GB2312"/>
          <w:b/>
          <w:color w:val="auto"/>
          <w:sz w:val="30"/>
          <w:szCs w:val="30"/>
          <w:highlight w:val="none"/>
        </w:rPr>
      </w:pPr>
    </w:p>
    <w:p>
      <w:pPr>
        <w:pStyle w:val="24"/>
        <w:rPr>
          <w:rFonts w:hint="eastAsia" w:ascii="仿宋_GB2312" w:hAnsi="仿宋_GB2312" w:eastAsia="仿宋_GB2312" w:cs="仿宋_GB2312"/>
          <w:b/>
          <w:color w:val="auto"/>
          <w:sz w:val="30"/>
          <w:szCs w:val="30"/>
          <w:highlight w:val="none"/>
        </w:rPr>
      </w:pPr>
    </w:p>
    <w:p>
      <w:pPr>
        <w:pStyle w:val="25"/>
        <w:rPr>
          <w:rFonts w:hint="eastAsia" w:ascii="仿宋_GB2312" w:hAnsi="仿宋_GB2312" w:eastAsia="仿宋_GB2312" w:cs="仿宋_GB2312"/>
          <w:b/>
          <w:color w:val="auto"/>
          <w:sz w:val="30"/>
          <w:szCs w:val="30"/>
          <w:highlight w:val="none"/>
        </w:rPr>
      </w:pPr>
    </w:p>
    <w:p>
      <w:pPr>
        <w:rPr>
          <w:rFonts w:hint="eastAsia" w:ascii="仿宋_GB2312" w:hAnsi="仿宋_GB2312" w:eastAsia="仿宋_GB2312" w:cs="仿宋_GB2312"/>
          <w:b/>
          <w:color w:val="auto"/>
          <w:sz w:val="30"/>
          <w:szCs w:val="30"/>
          <w:highlight w:val="none"/>
        </w:rPr>
      </w:pPr>
    </w:p>
    <w:p>
      <w:pPr>
        <w:pStyle w:val="23"/>
        <w:rPr>
          <w:rFonts w:hint="eastAsia" w:ascii="仿宋_GB2312" w:hAnsi="仿宋_GB2312" w:eastAsia="仿宋_GB2312" w:cs="仿宋_GB2312"/>
          <w:b/>
          <w:color w:val="auto"/>
          <w:sz w:val="30"/>
          <w:szCs w:val="30"/>
          <w:highlight w:val="none"/>
        </w:rPr>
      </w:pPr>
    </w:p>
    <w:p>
      <w:pPr>
        <w:pStyle w:val="24"/>
        <w:rPr>
          <w:rFonts w:hint="eastAsia" w:ascii="仿宋_GB2312" w:hAnsi="仿宋_GB2312" w:eastAsia="仿宋_GB2312" w:cs="仿宋_GB2312"/>
          <w:b/>
          <w:color w:val="auto"/>
          <w:sz w:val="30"/>
          <w:szCs w:val="30"/>
          <w:highlight w:val="none"/>
        </w:rPr>
      </w:pPr>
    </w:p>
    <w:p>
      <w:pPr>
        <w:pStyle w:val="25"/>
        <w:rPr>
          <w:rFonts w:hint="eastAsia" w:ascii="仿宋_GB2312" w:hAnsi="仿宋_GB2312" w:eastAsia="仿宋_GB2312" w:cs="仿宋_GB2312"/>
          <w:b/>
          <w:color w:val="auto"/>
          <w:sz w:val="30"/>
          <w:szCs w:val="30"/>
          <w:highlight w:val="none"/>
        </w:rPr>
      </w:pPr>
    </w:p>
    <w:p>
      <w:pPr>
        <w:rPr>
          <w:rFonts w:hint="eastAsia" w:ascii="仿宋_GB2312" w:hAnsi="仿宋_GB2312" w:eastAsia="仿宋_GB2312" w:cs="仿宋_GB2312"/>
          <w:b/>
          <w:color w:val="auto"/>
          <w:sz w:val="30"/>
          <w:szCs w:val="30"/>
          <w:highlight w:val="none"/>
        </w:rPr>
      </w:pPr>
    </w:p>
    <w:p>
      <w:pPr>
        <w:pStyle w:val="23"/>
        <w:rPr>
          <w:rFonts w:hint="eastAsia" w:ascii="仿宋_GB2312" w:hAnsi="仿宋_GB2312" w:eastAsia="仿宋_GB2312" w:cs="仿宋_GB2312"/>
          <w:b/>
          <w:color w:val="auto"/>
          <w:sz w:val="30"/>
          <w:szCs w:val="30"/>
          <w:highlight w:val="none"/>
        </w:rPr>
      </w:pPr>
    </w:p>
    <w:p>
      <w:pPr>
        <w:pStyle w:val="24"/>
        <w:rPr>
          <w:color w:val="auto"/>
          <w:highlight w:val="none"/>
        </w:rPr>
      </w:pPr>
    </w:p>
    <w:p>
      <w:pPr>
        <w:pStyle w:val="79"/>
        <w:rPr>
          <w:color w:val="auto"/>
          <w:highlight w:val="none"/>
        </w:rPr>
      </w:pPr>
    </w:p>
    <w:p>
      <w:pPr>
        <w:spacing w:line="360" w:lineRule="auto"/>
        <w:jc w:val="center"/>
        <w:rPr>
          <w:rFonts w:hint="eastAsia"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36" w:lineRule="auto"/>
        <w:ind w:firstLine="3600" w:firstLineChars="1500"/>
        <w:rPr>
          <w:rFonts w:hint="eastAsia" w:ascii="仿宋" w:hAnsi="仿宋" w:eastAsia="仿宋" w:cs="仿宋"/>
          <w:color w:val="auto"/>
          <w:sz w:val="24"/>
          <w:highlight w:val="none"/>
        </w:rPr>
      </w:pPr>
    </w:p>
    <w:p>
      <w:pPr>
        <w:pStyle w:val="79"/>
        <w:rPr>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auto"/>
                <w:sz w:val="24"/>
                <w:highlight w:val="none"/>
              </w:rPr>
            </w:pPr>
          </w:p>
        </w:tc>
      </w:tr>
    </w:tbl>
    <w:p>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hint="eastAsia" w:ascii="仿宋_GB2312" w:hAnsi="仿宋_GB2312" w:eastAsia="仿宋_GB2312" w:cs="仿宋_GB2312"/>
          <w:color w:val="auto"/>
          <w:sz w:val="24"/>
          <w:szCs w:val="20"/>
          <w:highlight w:val="none"/>
        </w:rPr>
      </w:pP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_GB2312" w:hAnsi="仿宋_GB2312" w:eastAsia="仿宋_GB2312" w:cs="仿宋_GB2312"/>
          <w:b/>
          <w:bCs/>
          <w:color w:val="auto"/>
          <w:sz w:val="32"/>
          <w:szCs w:val="32"/>
          <w:highlight w:val="none"/>
        </w:rPr>
      </w:pPr>
    </w:p>
    <w:p>
      <w:pPr>
        <w:snapToGrid w:val="0"/>
        <w:spacing w:line="360" w:lineRule="auto"/>
        <w:ind w:right="960"/>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hint="eastAsia"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bCs/>
          <w:color w:val="auto"/>
          <w:sz w:val="18"/>
          <w:szCs w:val="18"/>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snapToGrid w:val="0"/>
        <w:spacing w:line="360" w:lineRule="auto"/>
        <w:ind w:right="960"/>
        <w:jc w:val="right"/>
        <w:rPr>
          <w:rFonts w:hint="eastAsia" w:ascii="仿宋_GB2312" w:hAnsi="仿宋_GB2312" w:eastAsia="仿宋_GB2312" w:cs="仿宋_GB2312"/>
          <w:color w:val="auto"/>
          <w:kern w:val="0"/>
          <w:sz w:val="24"/>
          <w:highlight w:val="none"/>
          <w:lang w:val="zh-CN"/>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pStyle w:val="23"/>
        <w:rPr>
          <w:rFonts w:hint="eastAsia" w:ascii="仿宋_GB2312" w:hAnsi="仿宋_GB2312" w:eastAsia="仿宋_GB2312" w:cs="仿宋_GB2312"/>
          <w:b/>
          <w:bCs/>
          <w:color w:val="auto"/>
          <w:sz w:val="32"/>
          <w:szCs w:val="32"/>
          <w:highlight w:val="none"/>
        </w:rPr>
      </w:pPr>
    </w:p>
    <w:p>
      <w:pPr>
        <w:pStyle w:val="24"/>
        <w:rPr>
          <w:rFonts w:hint="eastAsia" w:ascii="仿宋_GB2312" w:hAnsi="仿宋_GB2312" w:eastAsia="仿宋_GB2312" w:cs="仿宋_GB2312"/>
          <w:b/>
          <w:bCs/>
          <w:color w:val="auto"/>
          <w:sz w:val="32"/>
          <w:szCs w:val="32"/>
          <w:highlight w:val="none"/>
        </w:rPr>
      </w:pPr>
    </w:p>
    <w:p>
      <w:pPr>
        <w:pStyle w:val="25"/>
        <w:rPr>
          <w:rFonts w:hint="eastAsia" w:ascii="仿宋_GB2312" w:hAnsi="仿宋_GB2312" w:eastAsia="仿宋_GB2312" w:cs="仿宋_GB2312"/>
          <w:b/>
          <w:bCs/>
          <w:color w:val="auto"/>
          <w:sz w:val="32"/>
          <w:szCs w:val="32"/>
          <w:highlight w:val="none"/>
        </w:rPr>
      </w:pPr>
    </w:p>
    <w:p>
      <w:pPr>
        <w:rPr>
          <w:rFonts w:hint="eastAsia" w:ascii="仿宋_GB2312" w:hAnsi="仿宋_GB2312" w:eastAsia="仿宋_GB2312" w:cs="仿宋_GB2312"/>
          <w:b/>
          <w:bCs/>
          <w:color w:val="auto"/>
          <w:sz w:val="32"/>
          <w:szCs w:val="32"/>
          <w:highlight w:val="none"/>
        </w:rPr>
      </w:pPr>
    </w:p>
    <w:p>
      <w:pPr>
        <w:pStyle w:val="23"/>
        <w:rPr>
          <w:rFonts w:hint="eastAsia" w:ascii="仿宋_GB2312" w:hAnsi="仿宋_GB2312" w:eastAsia="仿宋_GB2312" w:cs="仿宋_GB2312"/>
          <w:b/>
          <w:bCs/>
          <w:color w:val="auto"/>
          <w:sz w:val="32"/>
          <w:szCs w:val="32"/>
          <w:highlight w:val="none"/>
        </w:rPr>
      </w:pPr>
    </w:p>
    <w:p>
      <w:pPr>
        <w:pStyle w:val="24"/>
        <w:rPr>
          <w:rFonts w:hint="eastAsia" w:ascii="仿宋_GB2312" w:hAnsi="仿宋_GB2312" w:eastAsia="仿宋_GB2312" w:cs="仿宋_GB2312"/>
          <w:b/>
          <w:bCs/>
          <w:color w:val="auto"/>
          <w:sz w:val="32"/>
          <w:szCs w:val="32"/>
          <w:highlight w:val="none"/>
        </w:rPr>
      </w:pPr>
    </w:p>
    <w:p>
      <w:pPr>
        <w:pStyle w:val="25"/>
        <w:rPr>
          <w:color w:val="auto"/>
          <w:highlight w:val="none"/>
        </w:rPr>
      </w:pPr>
    </w:p>
    <w:p>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hint="eastAsia" w:ascii="仿宋_GB2312" w:hAnsi="仿宋_GB2312" w:eastAsia="仿宋_GB2312" w:cs="仿宋_GB2312"/>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_GB2312" w:hAnsi="仿宋_GB2312" w:eastAsia="仿宋_GB2312" w:cs="仿宋_GB2312"/>
          <w:b/>
          <w:bCs/>
          <w:color w:val="auto"/>
          <w:sz w:val="30"/>
          <w:szCs w:val="30"/>
          <w:highlight w:val="none"/>
        </w:rPr>
      </w:pPr>
    </w:p>
    <w:p>
      <w:pPr>
        <w:spacing w:line="360" w:lineRule="auto"/>
        <w:jc w:val="center"/>
        <w:rPr>
          <w:rFonts w:hint="eastAsia" w:ascii="仿宋_GB2312" w:hAnsi="仿宋_GB2312" w:eastAsia="仿宋_GB2312" w:cs="仿宋_GB2312"/>
          <w:b/>
          <w:bCs/>
          <w:color w:val="auto"/>
          <w:sz w:val="30"/>
          <w:szCs w:val="30"/>
          <w:highlight w:val="none"/>
        </w:rPr>
      </w:pPr>
    </w:p>
    <w:p>
      <w:pPr>
        <w:spacing w:line="360" w:lineRule="auto"/>
        <w:jc w:val="center"/>
        <w:rPr>
          <w:rFonts w:hint="eastAsia" w:ascii="仿宋_GB2312" w:hAnsi="仿宋_GB2312" w:eastAsia="仿宋_GB2312" w:cs="仿宋_GB2312"/>
          <w:b/>
          <w:bCs/>
          <w:color w:val="auto"/>
          <w:sz w:val="24"/>
          <w:highlight w:val="none"/>
        </w:rPr>
      </w:pPr>
    </w:p>
    <w:p>
      <w:pPr>
        <w:spacing w:line="360" w:lineRule="auto"/>
        <w:jc w:val="center"/>
        <w:rPr>
          <w:rFonts w:hint="eastAsia" w:ascii="仿宋_GB2312" w:hAnsi="仿宋_GB2312" w:eastAsia="仿宋_GB2312" w:cs="仿宋_GB2312"/>
          <w:b/>
          <w:bCs/>
          <w:color w:val="auto"/>
          <w:sz w:val="24"/>
          <w:highlight w:val="none"/>
        </w:rPr>
      </w:pPr>
    </w:p>
    <w:p>
      <w:pPr>
        <w:spacing w:line="360" w:lineRule="auto"/>
        <w:jc w:val="center"/>
        <w:rPr>
          <w:rFonts w:hint="eastAsia"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hint="eastAsia" w:ascii="仿宋_GB2312" w:hAnsi="仿宋_GB2312" w:eastAsia="仿宋_GB2312" w:cs="仿宋_GB2312"/>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snapToGrid w:val="0"/>
        <w:rPr>
          <w:rFonts w:hint="eastAsia"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rPr>
          <w:rFonts w:hint="eastAsia"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2656"/>
        <w:gridCol w:w="1138"/>
        <w:gridCol w:w="1045"/>
        <w:gridCol w:w="1600"/>
        <w:gridCol w:w="1152"/>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613" w:type="dxa"/>
            <w:vAlign w:val="center"/>
          </w:tcPr>
          <w:p>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656" w:type="dxa"/>
            <w:vAlign w:val="center"/>
          </w:tcPr>
          <w:p>
            <w:pPr>
              <w:jc w:val="center"/>
              <w:rPr>
                <w:rFonts w:hint="eastAsia" w:ascii="仿宋" w:hAnsi="仿宋" w:eastAsia="仿宋" w:cs="仿宋"/>
                <w:b/>
                <w:color w:val="auto"/>
                <w:sz w:val="24"/>
                <w:highlight w:val="none"/>
              </w:rPr>
            </w:pPr>
            <w:r>
              <w:rPr>
                <w:color w:val="auto"/>
                <w:sz w:val="24"/>
                <w:szCs w:val="21"/>
                <w:highlight w:val="none"/>
              </w:rPr>
              <w:t>项目内容</w:t>
            </w:r>
          </w:p>
        </w:tc>
        <w:tc>
          <w:tcPr>
            <w:tcW w:w="1138" w:type="dxa"/>
            <w:vAlign w:val="center"/>
          </w:tcPr>
          <w:p>
            <w:pPr>
              <w:spacing w:line="400" w:lineRule="exact"/>
              <w:jc w:val="center"/>
              <w:rPr>
                <w:color w:val="auto"/>
                <w:sz w:val="24"/>
                <w:szCs w:val="21"/>
                <w:highlight w:val="none"/>
              </w:rPr>
            </w:pPr>
            <w:r>
              <w:rPr>
                <w:color w:val="auto"/>
                <w:sz w:val="24"/>
                <w:szCs w:val="21"/>
                <w:highlight w:val="none"/>
              </w:rPr>
              <w:t>单价</w:t>
            </w:r>
          </w:p>
          <w:p>
            <w:pPr>
              <w:spacing w:line="400" w:lineRule="exact"/>
              <w:jc w:val="center"/>
              <w:rPr>
                <w:rFonts w:hint="eastAsia" w:ascii="仿宋" w:hAnsi="仿宋" w:eastAsia="仿宋" w:cs="仿宋"/>
                <w:b/>
                <w:color w:val="auto"/>
                <w:sz w:val="24"/>
                <w:highlight w:val="none"/>
              </w:rPr>
            </w:pPr>
            <w:r>
              <w:rPr>
                <w:color w:val="auto"/>
                <w:sz w:val="24"/>
                <w:szCs w:val="21"/>
                <w:highlight w:val="none"/>
              </w:rPr>
              <w:t>（元）</w:t>
            </w:r>
          </w:p>
        </w:tc>
        <w:tc>
          <w:tcPr>
            <w:tcW w:w="1045" w:type="dxa"/>
            <w:vAlign w:val="center"/>
          </w:tcPr>
          <w:p>
            <w:pPr>
              <w:snapToGrid w:val="0"/>
              <w:spacing w:line="400" w:lineRule="exact"/>
              <w:jc w:val="center"/>
              <w:rPr>
                <w:rFonts w:hint="eastAsia" w:ascii="仿宋" w:hAnsi="仿宋" w:eastAsia="仿宋" w:cs="仿宋"/>
                <w:b/>
                <w:color w:val="auto"/>
                <w:sz w:val="24"/>
                <w:highlight w:val="none"/>
              </w:rPr>
            </w:pPr>
            <w:r>
              <w:rPr>
                <w:color w:val="auto"/>
                <w:sz w:val="24"/>
                <w:szCs w:val="21"/>
                <w:highlight w:val="none"/>
              </w:rPr>
              <w:t>单位</w:t>
            </w:r>
          </w:p>
        </w:tc>
        <w:tc>
          <w:tcPr>
            <w:tcW w:w="1600" w:type="dxa"/>
            <w:vAlign w:val="center"/>
          </w:tcPr>
          <w:p>
            <w:pPr>
              <w:snapToGrid w:val="0"/>
              <w:spacing w:line="400" w:lineRule="exact"/>
              <w:jc w:val="center"/>
              <w:rPr>
                <w:rFonts w:hint="eastAsia" w:ascii="仿宋" w:hAnsi="仿宋" w:eastAsia="仿宋" w:cs="仿宋"/>
                <w:b/>
                <w:color w:val="auto"/>
                <w:sz w:val="24"/>
                <w:highlight w:val="none"/>
              </w:rPr>
            </w:pPr>
            <w:r>
              <w:rPr>
                <w:color w:val="auto"/>
                <w:sz w:val="24"/>
                <w:szCs w:val="21"/>
                <w:highlight w:val="none"/>
              </w:rPr>
              <w:t>数量</w:t>
            </w:r>
          </w:p>
        </w:tc>
        <w:tc>
          <w:tcPr>
            <w:tcW w:w="1152" w:type="dxa"/>
            <w:vAlign w:val="center"/>
          </w:tcPr>
          <w:p>
            <w:pPr>
              <w:spacing w:line="400" w:lineRule="exact"/>
              <w:jc w:val="center"/>
              <w:rPr>
                <w:rFonts w:hint="eastAsia" w:ascii="仿宋" w:hAnsi="仿宋" w:eastAsia="仿宋" w:cs="仿宋"/>
                <w:b/>
                <w:color w:val="auto"/>
                <w:sz w:val="24"/>
                <w:highlight w:val="none"/>
              </w:rPr>
            </w:pPr>
            <w:r>
              <w:rPr>
                <w:color w:val="auto"/>
                <w:sz w:val="24"/>
                <w:szCs w:val="21"/>
                <w:highlight w:val="none"/>
              </w:rPr>
              <w:t>总价金额（元）</w:t>
            </w:r>
          </w:p>
        </w:tc>
        <w:tc>
          <w:tcPr>
            <w:tcW w:w="1152" w:type="dxa"/>
            <w:vAlign w:val="center"/>
          </w:tcPr>
          <w:p>
            <w:pPr>
              <w:jc w:val="center"/>
              <w:rPr>
                <w:rFonts w:hint="eastAsia" w:ascii="仿宋" w:hAnsi="仿宋" w:eastAsia="仿宋" w:cs="仿宋"/>
                <w:b/>
                <w:color w:val="auto"/>
                <w:sz w:val="24"/>
                <w:highlight w:val="none"/>
              </w:rPr>
            </w:pPr>
          </w:p>
          <w:p>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pPr>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613" w:type="dxa"/>
            <w:vAlign w:val="center"/>
          </w:tcPr>
          <w:p>
            <w:pPr>
              <w:jc w:val="center"/>
              <w:rPr>
                <w:rFonts w:hint="eastAsia" w:ascii="仿宋" w:hAnsi="仿宋" w:eastAsia="仿宋" w:cs="仿宋"/>
                <w:color w:val="auto"/>
                <w:sz w:val="24"/>
                <w:highlight w:val="none"/>
              </w:rPr>
            </w:pPr>
          </w:p>
        </w:tc>
        <w:tc>
          <w:tcPr>
            <w:tcW w:w="2656" w:type="dxa"/>
            <w:vAlign w:val="center"/>
          </w:tcPr>
          <w:p>
            <w:pPr>
              <w:snapToGrid w:val="0"/>
              <w:jc w:val="center"/>
              <w:rPr>
                <w:rFonts w:hint="eastAsia" w:ascii="仿宋" w:hAnsi="仿宋" w:eastAsia="仿宋" w:cs="仿宋"/>
                <w:color w:val="auto"/>
                <w:sz w:val="24"/>
                <w:highlight w:val="none"/>
              </w:rPr>
            </w:pPr>
          </w:p>
        </w:tc>
        <w:tc>
          <w:tcPr>
            <w:tcW w:w="1138" w:type="dxa"/>
            <w:vAlign w:val="center"/>
          </w:tcPr>
          <w:p>
            <w:pPr>
              <w:snapToGrid w:val="0"/>
              <w:jc w:val="center"/>
              <w:rPr>
                <w:rFonts w:hint="eastAsia" w:ascii="仿宋" w:hAnsi="仿宋" w:eastAsia="仿宋" w:cs="仿宋"/>
                <w:color w:val="auto"/>
                <w:sz w:val="24"/>
                <w:highlight w:val="none"/>
              </w:rPr>
            </w:pPr>
          </w:p>
        </w:tc>
        <w:tc>
          <w:tcPr>
            <w:tcW w:w="1045" w:type="dxa"/>
            <w:vAlign w:val="center"/>
          </w:tcPr>
          <w:p>
            <w:pPr>
              <w:jc w:val="center"/>
              <w:rPr>
                <w:rFonts w:hint="eastAsia" w:ascii="仿宋" w:hAnsi="仿宋" w:eastAsia="仿宋" w:cs="仿宋"/>
                <w:color w:val="auto"/>
                <w:sz w:val="24"/>
                <w:highlight w:val="none"/>
              </w:rPr>
            </w:pPr>
          </w:p>
        </w:tc>
        <w:tc>
          <w:tcPr>
            <w:tcW w:w="1600" w:type="dxa"/>
            <w:vAlign w:val="center"/>
          </w:tcPr>
          <w:p>
            <w:pPr>
              <w:jc w:val="center"/>
              <w:rPr>
                <w:rFonts w:hint="eastAsia" w:ascii="仿宋" w:hAnsi="仿宋" w:eastAsia="仿宋" w:cs="仿宋"/>
                <w:color w:val="auto"/>
                <w:sz w:val="24"/>
                <w:highlight w:val="none"/>
              </w:rPr>
            </w:pPr>
          </w:p>
        </w:tc>
        <w:tc>
          <w:tcPr>
            <w:tcW w:w="1152" w:type="dxa"/>
            <w:vAlign w:val="center"/>
          </w:tcPr>
          <w:p>
            <w:pPr>
              <w:jc w:val="center"/>
              <w:rPr>
                <w:rFonts w:hint="eastAsia" w:ascii="仿宋" w:hAnsi="仿宋" w:eastAsia="仿宋" w:cs="仿宋"/>
                <w:color w:val="auto"/>
                <w:sz w:val="24"/>
                <w:highlight w:val="none"/>
              </w:rPr>
            </w:pPr>
          </w:p>
        </w:tc>
        <w:tc>
          <w:tcPr>
            <w:tcW w:w="1152"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13" w:type="dxa"/>
            <w:vAlign w:val="center"/>
          </w:tcPr>
          <w:p>
            <w:pPr>
              <w:jc w:val="center"/>
              <w:rPr>
                <w:rFonts w:hint="eastAsia" w:ascii="仿宋" w:hAnsi="仿宋" w:eastAsia="仿宋" w:cs="仿宋"/>
                <w:color w:val="auto"/>
                <w:sz w:val="24"/>
                <w:highlight w:val="none"/>
              </w:rPr>
            </w:pPr>
          </w:p>
        </w:tc>
        <w:tc>
          <w:tcPr>
            <w:tcW w:w="2656" w:type="dxa"/>
            <w:vAlign w:val="center"/>
          </w:tcPr>
          <w:p>
            <w:pPr>
              <w:snapToGrid w:val="0"/>
              <w:jc w:val="center"/>
              <w:rPr>
                <w:rFonts w:hint="eastAsia" w:ascii="仿宋" w:hAnsi="仿宋" w:eastAsia="仿宋" w:cs="仿宋"/>
                <w:color w:val="auto"/>
                <w:sz w:val="24"/>
                <w:highlight w:val="none"/>
              </w:rPr>
            </w:pPr>
          </w:p>
        </w:tc>
        <w:tc>
          <w:tcPr>
            <w:tcW w:w="1138" w:type="dxa"/>
            <w:vAlign w:val="center"/>
          </w:tcPr>
          <w:p>
            <w:pPr>
              <w:snapToGrid w:val="0"/>
              <w:jc w:val="center"/>
              <w:rPr>
                <w:rFonts w:hint="eastAsia" w:ascii="仿宋" w:hAnsi="仿宋" w:eastAsia="仿宋" w:cs="仿宋"/>
                <w:color w:val="auto"/>
                <w:sz w:val="24"/>
                <w:highlight w:val="none"/>
              </w:rPr>
            </w:pPr>
          </w:p>
        </w:tc>
        <w:tc>
          <w:tcPr>
            <w:tcW w:w="1045" w:type="dxa"/>
            <w:vAlign w:val="center"/>
          </w:tcPr>
          <w:p>
            <w:pPr>
              <w:jc w:val="center"/>
              <w:rPr>
                <w:rFonts w:hint="eastAsia" w:ascii="仿宋" w:hAnsi="仿宋" w:eastAsia="仿宋" w:cs="仿宋"/>
                <w:color w:val="auto"/>
                <w:sz w:val="24"/>
                <w:highlight w:val="none"/>
              </w:rPr>
            </w:pPr>
          </w:p>
        </w:tc>
        <w:tc>
          <w:tcPr>
            <w:tcW w:w="1600" w:type="dxa"/>
            <w:vAlign w:val="center"/>
          </w:tcPr>
          <w:p>
            <w:pPr>
              <w:jc w:val="center"/>
              <w:rPr>
                <w:rFonts w:hint="eastAsia" w:ascii="仿宋" w:hAnsi="仿宋" w:eastAsia="仿宋" w:cs="仿宋"/>
                <w:color w:val="auto"/>
                <w:sz w:val="24"/>
                <w:highlight w:val="none"/>
              </w:rPr>
            </w:pPr>
          </w:p>
        </w:tc>
        <w:tc>
          <w:tcPr>
            <w:tcW w:w="1152" w:type="dxa"/>
            <w:vAlign w:val="center"/>
          </w:tcPr>
          <w:p>
            <w:pPr>
              <w:jc w:val="center"/>
              <w:rPr>
                <w:rFonts w:hint="eastAsia" w:ascii="仿宋" w:hAnsi="仿宋" w:eastAsia="仿宋" w:cs="仿宋"/>
                <w:color w:val="auto"/>
                <w:sz w:val="24"/>
                <w:highlight w:val="none"/>
              </w:rPr>
            </w:pPr>
          </w:p>
        </w:tc>
        <w:tc>
          <w:tcPr>
            <w:tcW w:w="1152"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13" w:type="dxa"/>
            <w:vAlign w:val="center"/>
          </w:tcPr>
          <w:p>
            <w:pPr>
              <w:jc w:val="center"/>
              <w:rPr>
                <w:rFonts w:hint="eastAsia" w:ascii="仿宋" w:hAnsi="仿宋" w:eastAsia="仿宋" w:cs="仿宋"/>
                <w:color w:val="auto"/>
                <w:sz w:val="24"/>
                <w:highlight w:val="none"/>
              </w:rPr>
            </w:pPr>
          </w:p>
        </w:tc>
        <w:tc>
          <w:tcPr>
            <w:tcW w:w="2656" w:type="dxa"/>
            <w:vAlign w:val="center"/>
          </w:tcPr>
          <w:p>
            <w:pPr>
              <w:snapToGrid w:val="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c>
          <w:tcPr>
            <w:tcW w:w="1138" w:type="dxa"/>
            <w:vAlign w:val="center"/>
          </w:tcPr>
          <w:p>
            <w:pPr>
              <w:snapToGrid w:val="0"/>
              <w:jc w:val="center"/>
              <w:rPr>
                <w:rFonts w:hint="eastAsia" w:ascii="仿宋" w:hAnsi="仿宋" w:eastAsia="仿宋" w:cs="仿宋"/>
                <w:color w:val="auto"/>
                <w:sz w:val="24"/>
                <w:highlight w:val="none"/>
              </w:rPr>
            </w:pPr>
          </w:p>
        </w:tc>
        <w:tc>
          <w:tcPr>
            <w:tcW w:w="1045" w:type="dxa"/>
            <w:vAlign w:val="center"/>
          </w:tcPr>
          <w:p>
            <w:pPr>
              <w:jc w:val="center"/>
              <w:rPr>
                <w:rFonts w:hint="eastAsia" w:ascii="仿宋" w:hAnsi="仿宋" w:eastAsia="仿宋" w:cs="仿宋"/>
                <w:color w:val="auto"/>
                <w:sz w:val="24"/>
                <w:highlight w:val="none"/>
              </w:rPr>
            </w:pPr>
          </w:p>
        </w:tc>
        <w:tc>
          <w:tcPr>
            <w:tcW w:w="1600" w:type="dxa"/>
            <w:vAlign w:val="center"/>
          </w:tcPr>
          <w:p>
            <w:pPr>
              <w:jc w:val="center"/>
              <w:rPr>
                <w:rFonts w:hint="eastAsia" w:ascii="仿宋" w:hAnsi="仿宋" w:eastAsia="仿宋" w:cs="仿宋"/>
                <w:color w:val="auto"/>
                <w:sz w:val="24"/>
                <w:highlight w:val="none"/>
              </w:rPr>
            </w:pPr>
          </w:p>
        </w:tc>
        <w:tc>
          <w:tcPr>
            <w:tcW w:w="1152" w:type="dxa"/>
            <w:vAlign w:val="center"/>
          </w:tcPr>
          <w:p>
            <w:pPr>
              <w:jc w:val="center"/>
              <w:rPr>
                <w:rFonts w:hint="eastAsia" w:ascii="仿宋" w:hAnsi="仿宋" w:eastAsia="仿宋" w:cs="仿宋"/>
                <w:color w:val="auto"/>
                <w:sz w:val="24"/>
                <w:highlight w:val="none"/>
              </w:rPr>
            </w:pPr>
          </w:p>
        </w:tc>
        <w:tc>
          <w:tcPr>
            <w:tcW w:w="1152"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269" w:type="dxa"/>
            <w:gridSpan w:val="2"/>
            <w:vAlign w:val="center"/>
          </w:tcPr>
          <w:p>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4935" w:type="dxa"/>
            <w:gridSpan w:val="4"/>
            <w:vAlign w:val="center"/>
          </w:tcPr>
          <w:p>
            <w:pPr>
              <w:jc w:val="center"/>
              <w:rPr>
                <w:rFonts w:hint="eastAsia" w:ascii="仿宋" w:hAnsi="仿宋" w:eastAsia="仿宋" w:cs="仿宋"/>
                <w:color w:val="auto"/>
                <w:sz w:val="24"/>
                <w:highlight w:val="none"/>
              </w:rPr>
            </w:pPr>
          </w:p>
        </w:tc>
        <w:tc>
          <w:tcPr>
            <w:tcW w:w="1152" w:type="dxa"/>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269" w:type="dxa"/>
            <w:gridSpan w:val="2"/>
            <w:vAlign w:val="center"/>
          </w:tcPr>
          <w:p>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4935" w:type="dxa"/>
            <w:gridSpan w:val="4"/>
            <w:vAlign w:val="center"/>
          </w:tcPr>
          <w:p>
            <w:pPr>
              <w:jc w:val="center"/>
              <w:rPr>
                <w:rFonts w:hint="eastAsia" w:ascii="仿宋" w:hAnsi="仿宋" w:eastAsia="仿宋" w:cs="仿宋"/>
                <w:color w:val="auto"/>
                <w:sz w:val="24"/>
                <w:highlight w:val="none"/>
              </w:rPr>
            </w:pPr>
          </w:p>
        </w:tc>
        <w:tc>
          <w:tcPr>
            <w:tcW w:w="1152" w:type="dxa"/>
            <w:vAlign w:val="center"/>
          </w:tcPr>
          <w:p>
            <w:pPr>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，，如无对应内容，则填写：“无或/”。</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36" w:lineRule="auto"/>
        <w:ind w:firstLine="3600" w:firstLineChars="15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firstLine="480" w:firstLineChars="200"/>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 xml:space="preserve">                      日期：  年   月   日</w:t>
      </w: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79"/>
        <w:rPr>
          <w:rFonts w:hint="eastAsia" w:ascii="仿宋" w:hAnsi="仿宋" w:eastAsia="仿宋" w:cs="仿宋"/>
          <w:b/>
          <w:color w:val="auto"/>
          <w:highlight w:val="none"/>
        </w:rPr>
      </w:pPr>
    </w:p>
    <w:p>
      <w:pPr>
        <w:pStyle w:val="80"/>
        <w:rPr>
          <w:rFonts w:hint="eastAsia" w:ascii="仿宋" w:hAnsi="仿宋" w:eastAsia="仿宋" w:cs="仿宋"/>
          <w:b/>
          <w:color w:val="auto"/>
          <w:sz w:val="24"/>
          <w:highlight w:val="none"/>
        </w:rPr>
      </w:pPr>
    </w:p>
    <w:p>
      <w:pPr>
        <w:rPr>
          <w:color w:val="auto"/>
          <w:highlight w:val="none"/>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三、残疾人福利性单位声明函（如果有）</w:t>
      </w:r>
    </w:p>
    <w:p>
      <w:pPr>
        <w:pStyle w:val="23"/>
        <w:widowControl/>
        <w:ind w:firstLine="120" w:firstLineChars="50"/>
        <w:jc w:val="left"/>
        <w:rPr>
          <w:rFonts w:hint="eastAsia"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b/>
          <w:color w:val="auto"/>
          <w:spacing w:val="6"/>
          <w:sz w:val="32"/>
          <w:szCs w:val="32"/>
          <w:highlight w:val="none"/>
        </w:rPr>
      </w:pPr>
    </w:p>
    <w:p>
      <w:pPr>
        <w:pStyle w:val="24"/>
        <w:rPr>
          <w:rFonts w:hint="eastAsia" w:ascii="仿宋" w:hAnsi="仿宋" w:eastAsia="仿宋" w:cs="仿宋"/>
          <w:b/>
          <w:color w:val="auto"/>
          <w:spacing w:val="6"/>
          <w:sz w:val="32"/>
          <w:szCs w:val="32"/>
          <w:highlight w:val="none"/>
        </w:rPr>
      </w:pPr>
    </w:p>
    <w:p>
      <w:pPr>
        <w:pStyle w:val="25"/>
        <w:rPr>
          <w:rFonts w:hint="eastAsia" w:ascii="仿宋" w:hAnsi="仿宋" w:eastAsia="仿宋" w:cs="仿宋"/>
          <w:b/>
          <w:color w:val="auto"/>
          <w:spacing w:val="6"/>
          <w:sz w:val="32"/>
          <w:szCs w:val="32"/>
          <w:highlight w:val="none"/>
        </w:rPr>
      </w:pPr>
    </w:p>
    <w:p>
      <w:pPr>
        <w:rPr>
          <w:color w:val="auto"/>
          <w:highlight w:val="none"/>
        </w:rPr>
      </w:pPr>
    </w:p>
    <w:p>
      <w:pPr>
        <w:spacing w:line="360" w:lineRule="auto"/>
        <w:jc w:val="left"/>
        <w:rPr>
          <w:rFonts w:hint="eastAsia" w:ascii="仿宋" w:hAnsi="仿宋" w:eastAsia="仿宋" w:cs="仿宋"/>
          <w:b/>
          <w:color w:val="auto"/>
          <w:spacing w:val="6"/>
          <w:sz w:val="32"/>
          <w:szCs w:val="32"/>
          <w:highlight w:val="none"/>
        </w:rPr>
      </w:pPr>
    </w:p>
    <w:p>
      <w:pPr>
        <w:pStyle w:val="23"/>
        <w:rPr>
          <w:rFonts w:hint="eastAsia" w:ascii="仿宋" w:hAnsi="仿宋" w:eastAsia="仿宋" w:cs="仿宋"/>
          <w:b/>
          <w:color w:val="auto"/>
          <w:spacing w:val="6"/>
          <w:sz w:val="32"/>
          <w:szCs w:val="32"/>
          <w:highlight w:val="none"/>
        </w:rPr>
      </w:pPr>
    </w:p>
    <w:p>
      <w:pPr>
        <w:pStyle w:val="24"/>
        <w:rPr>
          <w:rFonts w:hint="eastAsia" w:ascii="仿宋" w:hAnsi="仿宋" w:eastAsia="仿宋" w:cs="仿宋"/>
          <w:b/>
          <w:color w:val="auto"/>
          <w:spacing w:val="6"/>
          <w:sz w:val="32"/>
          <w:szCs w:val="32"/>
          <w:highlight w:val="none"/>
        </w:rPr>
      </w:pPr>
    </w:p>
    <w:p>
      <w:pPr>
        <w:pStyle w:val="25"/>
        <w:rPr>
          <w:rFonts w:hint="eastAsia" w:ascii="仿宋" w:hAnsi="仿宋" w:eastAsia="仿宋" w:cs="仿宋"/>
          <w:b/>
          <w:color w:val="auto"/>
          <w:spacing w:val="6"/>
          <w:sz w:val="32"/>
          <w:szCs w:val="32"/>
          <w:highlight w:val="none"/>
        </w:rPr>
      </w:pPr>
    </w:p>
    <w:p>
      <w:pPr>
        <w:rPr>
          <w:color w:val="auto"/>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pPr>
        <w:widowControl/>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rPr>
        <w:t>（采购编号）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2"/>
        <w:spacing w:line="440" w:lineRule="exact"/>
        <w:ind w:left="0"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numPr>
          <w:ilvl w:val="0"/>
          <w:numId w:val="8"/>
        </w:num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pPr>
        <w:snapToGrid w:val="0"/>
        <w:spacing w:line="440" w:lineRule="exact"/>
        <w:ind w:left="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六、违约责任</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pPr>
        <w:snapToGrid w:val="0"/>
        <w:spacing w:line="440" w:lineRule="exact"/>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44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440" w:lineRule="exact"/>
        <w:ind w:left="5040"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2" w:name="OLE_LINK14"/>
      <w:bookmarkStart w:id="163" w:name="OLE_LINK13"/>
      <w:r>
        <w:rPr>
          <w:rFonts w:hint="eastAsia" w:ascii="仿宋" w:hAnsi="仿宋" w:eastAsia="仿宋" w:cs="仿宋"/>
          <w:b/>
          <w:color w:val="auto"/>
          <w:spacing w:val="6"/>
          <w:sz w:val="32"/>
          <w:szCs w:val="32"/>
          <w:highlight w:val="none"/>
        </w:rPr>
        <w:t>残疾人福利性单位声明函</w:t>
      </w:r>
    </w:p>
    <w:bookmarkEnd w:id="162"/>
    <w:bookmarkEnd w:id="163"/>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pStyle w:val="24"/>
        <w:rPr>
          <w:rFonts w:hint="eastAsia" w:ascii="仿宋" w:hAnsi="仿宋" w:eastAsia="仿宋" w:cs="仿宋"/>
          <w:color w:val="auto"/>
          <w:highlight w:val="none"/>
        </w:rPr>
      </w:pPr>
    </w:p>
    <w:p>
      <w:pPr>
        <w:pStyle w:val="25"/>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3"/>
        <w:rPr>
          <w:color w:val="auto"/>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hint="eastAsia" w:asci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bookmarkStart w:id="164" w:name="_GoBack"/>
      <w:bookmarkEnd w:id="164"/>
      <w:r>
        <w:rPr>
          <w:rFonts w:hint="eastAsia" w:ascii="仿宋" w:hAnsi="仿宋" w:eastAsia="仿宋" w:cs="仿宋"/>
          <w:color w:val="auto"/>
          <w:kern w:val="0"/>
          <w:szCs w:val="21"/>
          <w:highlight w:val="none"/>
        </w:rPr>
        <w:t>2017年12月28日</w:t>
      </w:r>
    </w:p>
    <w:p>
      <w:pPr>
        <w:pStyle w:val="23"/>
        <w:rPr>
          <w:color w:val="auto"/>
          <w:highlight w:val="none"/>
          <w:lang w:val="en-US"/>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highlight w:val="none"/>
        </w:rPr>
        <w:t>一、根据工业和信息化部、国家统计局、国家发展改革委、财政部《关于印发中小企业划型标准规</w:t>
      </w:r>
      <w:r>
        <w:rPr>
          <w:rFonts w:hint="eastAsia" w:ascii="仿宋" w:hAnsi="仿宋" w:eastAsia="仿宋" w:cs="仿宋"/>
          <w:color w:val="auto"/>
          <w:kern w:val="0"/>
          <w:szCs w:val="21"/>
        </w:rPr>
        <w:t>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软件和信息技术服务，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软件和信息技术服务业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hint="eastAsia" w:ascii="仿宋" w:hAnsi="仿宋" w:eastAsia="仿宋" w:cs="仿宋"/>
          <w:color w:val="auto"/>
          <w:kern w:val="0"/>
          <w:sz w:val="24"/>
        </w:rPr>
      </w:pPr>
    </w:p>
    <w:p>
      <w:pPr>
        <w:widowControl/>
        <w:jc w:val="left"/>
        <w:rPr>
          <w:rFonts w:hint="eastAsia" w:ascii="仿宋" w:hAnsi="仿宋" w:eastAsia="仿宋" w:cs="仿宋"/>
          <w:color w:val="auto"/>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rPr>
      </w:pPr>
    </w:p>
    <w:p>
      <w:pPr>
        <w:widowControl/>
        <w:jc w:val="left"/>
        <w:rPr>
          <w:rFonts w:hint="eastAsia" w:ascii="仿宋" w:hAnsi="仿宋" w:eastAsia="仿宋" w:cs="仿宋"/>
          <w:color w:val="auto"/>
          <w:kern w:val="0"/>
          <w:sz w:val="18"/>
          <w:szCs w:val="18"/>
        </w:rPr>
      </w:pPr>
    </w:p>
    <w:p>
      <w:pPr>
        <w:widowControl/>
        <w:jc w:val="left"/>
        <w:rPr>
          <w:rFonts w:hint="eastAsia" w:ascii="仿宋" w:hAnsi="仿宋" w:eastAsia="仿宋" w:cs="仿宋"/>
          <w:color w:val="auto"/>
          <w:kern w:val="0"/>
          <w:sz w:val="18"/>
          <w:szCs w:val="18"/>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hint="eastAsia" w:ascii="仿宋" w:hAnsi="仿宋" w:eastAsia="仿宋" w:cs="仿宋"/>
          <w:color w:val="auto"/>
          <w:sz w:val="24"/>
        </w:rPr>
      </w:pPr>
    </w:p>
    <w:p>
      <w:pPr>
        <w:ind w:firstLine="420" w:firstLineChars="200"/>
        <w:rPr>
          <w:rFonts w:hint="eastAsia" w:ascii="仿宋" w:hAnsi="仿宋" w:eastAsia="仿宋" w:cs="仿宋"/>
          <w:color w:val="auto"/>
        </w:rPr>
      </w:pPr>
    </w:p>
    <w:p>
      <w:pPr>
        <w:spacing w:line="360" w:lineRule="auto"/>
        <w:ind w:right="420"/>
        <w:rPr>
          <w:rFonts w:hint="eastAsia" w:ascii="仿宋" w:hAnsi="仿宋" w:eastAsia="仿宋" w:cs="仿宋"/>
          <w:color w:val="auto"/>
        </w:rPr>
      </w:pPr>
    </w:p>
    <w:p>
      <w:pPr>
        <w:spacing w:line="360" w:lineRule="auto"/>
        <w:rPr>
          <w:rFonts w:hint="eastAsia" w:ascii="宋体" w:hAnsi="宋体" w:cs="宋体"/>
          <w:bCs/>
          <w:color w:val="auto"/>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posOffset>2312035</wp:posOffset>
              </wp:positionH>
              <wp:positionV relativeFrom="paragraph">
                <wp:posOffset>147955</wp:posOffset>
              </wp:positionV>
              <wp:extent cx="1072515" cy="1352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072515" cy="135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2.05pt;margin-top:11.65pt;height:10.65pt;width:84.45pt;mso-position-horizontal-relative:margin;z-index:251661312;mso-width-relative:page;mso-height-relative:page;" filled="f" stroked="f" coordsize="21600,21600" o:gfxdata="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RqsetgAAAAJAQAADwAAAAAAAAABACAAAAAiAAAAZHJzL2Rvd25yZXYueG1s&#10;UEsBAhQAFAAAAAgAh07iQJzXctsxAgAAVgQAAA4AAAAAAAAAAQAgAAAAJwEAAGRycy9lMm9Eb2Mu&#10;eG1sUEsFBgAAAAAGAAYAWQEAAMoFAAAAAA==&#10;">
              <v:fill on="f" focussize="0,0"/>
              <v:stroke on="f" weight="0.5pt"/>
              <v:imagedata o:title=""/>
              <o:lock v:ext="edit" aspectratio="f"/>
              <v:textbox inset="0mm,0mm,0mm,0mm">
                <w:txbxContent>
                  <w:p>
                    <w:pPr>
                      <w:pStyle w:val="41"/>
                      <w:jc w:val="center"/>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2"/>
      </w:rPr>
    </w:pPr>
    <w:r>
      <w:fldChar w:fldCharType="begin"/>
    </w:r>
    <w:r>
      <w:rPr>
        <w:rStyle w:val="72"/>
      </w:rPr>
      <w:instrText xml:space="preserve">PAGE  </w:instrText>
    </w:r>
    <w:r>
      <w:fldChar w:fldCharType="end"/>
    </w:r>
  </w:p>
  <w:p>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1"/>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eastAsia="zh-CN"/>
      </w:rPr>
    </w:pPr>
    <w:r>
      <w:rPr>
        <w:rFonts w:hint="eastAsia" w:ascii="仿宋" w:hAnsi="仿宋" w:eastAsia="仿宋" w:cs="仿宋"/>
      </w:rPr>
      <w:t xml:space="preserve">浙江翔实建设项目管理有限公司                                        文件编号: </w:t>
    </w:r>
    <w:r>
      <w:rPr>
        <w:rFonts w:hint="eastAsia" w:ascii="仿宋" w:hAnsi="仿宋" w:eastAsia="仿宋" w:cs="仿宋"/>
        <w:lang w:eastAsia="zh-CN"/>
      </w:rPr>
      <w:t>ZJXSC-2024-0925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i/>
        <w:u w:val="single"/>
        <w:lang w:eastAsia="zh-CN"/>
      </w:rPr>
    </w:pPr>
    <w:r>
      <w:rPr>
        <w:rFonts w:hint="eastAsia" w:ascii="仿宋" w:hAnsi="仿宋" w:eastAsia="仿宋" w:cs="仿宋"/>
      </w:rPr>
      <w:t xml:space="preserve">浙江翔实建设项目管理有限公司                                            文件编号: </w:t>
    </w:r>
    <w:r>
      <w:rPr>
        <w:rFonts w:hint="eastAsia" w:ascii="仿宋" w:hAnsi="仿宋" w:eastAsia="仿宋" w:cs="仿宋"/>
        <w:lang w:eastAsia="zh-CN"/>
      </w:rPr>
      <w:t>ZJXSC-2024-0925</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eastAsia="zh-CN"/>
      </w:rPr>
    </w:pPr>
    <w:r>
      <w:rPr>
        <w:rFonts w:hint="eastAsia" w:ascii="仿宋" w:hAnsi="仿宋" w:eastAsia="仿宋" w:cs="仿宋"/>
      </w:rPr>
      <w:t xml:space="preserve">浙江翔实建设项目管理有限公司                                    文件编号: </w:t>
    </w:r>
    <w:r>
      <w:rPr>
        <w:rFonts w:hint="eastAsia" w:ascii="仿宋" w:hAnsi="仿宋" w:eastAsia="仿宋" w:cs="仿宋"/>
        <w:lang w:eastAsia="zh-CN"/>
      </w:rPr>
      <w:t>ZJXSC-2024-0925</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eastAsia="zh-CN"/>
      </w:rPr>
    </w:pPr>
    <w:r>
      <w:rPr>
        <w:rFonts w:hint="eastAsia" w:ascii="仿宋" w:hAnsi="仿宋" w:eastAsia="仿宋" w:cs="仿宋"/>
      </w:rPr>
      <w:t xml:space="preserve">浙江翔实建设项目管理有限公司                                                 文件编号: </w:t>
    </w:r>
    <w:r>
      <w:rPr>
        <w:rFonts w:hint="eastAsia" w:ascii="仿宋" w:hAnsi="仿宋" w:eastAsia="仿宋" w:cs="仿宋"/>
        <w:lang w:eastAsia="zh-CN"/>
      </w:rPr>
      <w:t>ZJXSC-2024-0925</w:t>
    </w:r>
  </w:p>
  <w:p>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eastAsia="zh-CN"/>
      </w:rPr>
    </w:pPr>
    <w:r>
      <w:rPr>
        <w:rFonts w:hint="eastAsia" w:ascii="仿宋" w:hAnsi="仿宋" w:eastAsia="仿宋" w:cs="仿宋"/>
      </w:rPr>
      <w:t xml:space="preserve">浙江翔实建设项目管理有限公司                                                 文件编号: </w:t>
    </w:r>
    <w:r>
      <w:rPr>
        <w:rFonts w:hint="eastAsia" w:ascii="仿宋" w:hAnsi="仿宋" w:eastAsia="仿宋" w:cs="仿宋"/>
        <w:lang w:eastAsia="zh-CN"/>
      </w:rPr>
      <w:t>ZJXSC-2024-0925</w:t>
    </w:r>
  </w:p>
  <w:p>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eastAsia="zh-CN"/>
      </w:rPr>
    </w:pPr>
    <w:r>
      <w:rPr>
        <w:rFonts w:hint="eastAsia" w:ascii="仿宋" w:hAnsi="仿宋" w:eastAsia="仿宋" w:cs="仿宋"/>
      </w:rPr>
      <w:t xml:space="preserve">浙江翔实建设项目管理有限公司                                                 文件编号: </w:t>
    </w:r>
    <w:r>
      <w:rPr>
        <w:rFonts w:hint="eastAsia" w:ascii="仿宋" w:hAnsi="仿宋" w:eastAsia="仿宋" w:cs="仿宋"/>
        <w:lang w:eastAsia="zh-CN"/>
      </w:rPr>
      <w:t>ZJXSC-2024-0925</w:t>
    </w:r>
  </w:p>
  <w:p>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eastAsia" w:eastAsia="仿宋"/>
        <w:lang w:eastAsia="zh-CN"/>
      </w:rPr>
    </w:pPr>
    <w:r>
      <w:rPr>
        <w:rFonts w:hint="eastAsia" w:ascii="仿宋" w:hAnsi="仿宋" w:eastAsia="仿宋" w:cs="仿宋"/>
      </w:rPr>
      <w:t xml:space="preserve">浙江翔实建设项目管理有限公司                                                 文件编号: </w:t>
    </w:r>
    <w:r>
      <w:rPr>
        <w:rFonts w:hint="eastAsia" w:ascii="仿宋" w:hAnsi="仿宋" w:eastAsia="仿宋" w:cs="仿宋"/>
        <w:lang w:eastAsia="zh-CN"/>
      </w:rPr>
      <w:t>ZJXSC-2024-0925</w:t>
    </w:r>
  </w:p>
  <w:p>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3258F"/>
    <w:multiLevelType w:val="multilevel"/>
    <w:tmpl w:val="9003258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B7E87865"/>
    <w:multiLevelType w:val="singleLevel"/>
    <w:tmpl w:val="B7E87865"/>
    <w:lvl w:ilvl="0" w:tentative="0">
      <w:start w:val="1"/>
      <w:numFmt w:val="decimal"/>
      <w:lvlText w:val="%1."/>
      <w:lvlJc w:val="left"/>
      <w:pPr>
        <w:tabs>
          <w:tab w:val="left" w:pos="312"/>
        </w:tabs>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243975A"/>
    <w:multiLevelType w:val="singleLevel"/>
    <w:tmpl w:val="2243975A"/>
    <w:lvl w:ilvl="0" w:tentative="0">
      <w:start w:val="5"/>
      <w:numFmt w:val="chineseCounting"/>
      <w:suff w:val="nothing"/>
      <w:lvlText w:val="%1、"/>
      <w:lvlJc w:val="left"/>
      <w:rPr>
        <w:rFonts w:hint="eastAsia"/>
        <w:b/>
        <w:bCs/>
      </w:rPr>
    </w:lvl>
  </w:abstractNum>
  <w:abstractNum w:abstractNumId="4">
    <w:nsid w:val="326FEAD8"/>
    <w:multiLevelType w:val="singleLevel"/>
    <w:tmpl w:val="326FEAD8"/>
    <w:lvl w:ilvl="0" w:tentative="0">
      <w:start w:val="2"/>
      <w:numFmt w:val="decimal"/>
      <w:lvlText w:val="%1."/>
      <w:lvlJc w:val="left"/>
      <w:pPr>
        <w:tabs>
          <w:tab w:val="left" w:pos="312"/>
        </w:tabs>
      </w:pPr>
    </w:lvl>
  </w:abstractNum>
  <w:abstractNum w:abstractNumId="5">
    <w:nsid w:val="406F2822"/>
    <w:multiLevelType w:val="singleLevel"/>
    <w:tmpl w:val="406F2822"/>
    <w:lvl w:ilvl="0" w:tentative="0">
      <w:start w:val="1"/>
      <w:numFmt w:val="decimal"/>
      <w:suff w:val="nothing"/>
      <w:lvlText w:val="（%1）"/>
      <w:lvlJc w:val="left"/>
    </w:lvl>
  </w:abstractNum>
  <w:abstractNum w:abstractNumId="6">
    <w:nsid w:val="46FF6F56"/>
    <w:multiLevelType w:val="singleLevel"/>
    <w:tmpl w:val="46FF6F56"/>
    <w:lvl w:ilvl="0" w:tentative="0">
      <w:start w:val="2"/>
      <w:numFmt w:val="decimal"/>
      <w:suff w:val="nothing"/>
      <w:lvlText w:val="%1、"/>
      <w:lvlJc w:val="left"/>
      <w:pPr>
        <w:ind w:left="786" w:firstLine="0"/>
      </w:pPr>
    </w:lvl>
  </w:abstractNum>
  <w:abstractNum w:abstractNumId="7">
    <w:nsid w:val="4921150C"/>
    <w:multiLevelType w:val="singleLevel"/>
    <w:tmpl w:val="4921150C"/>
    <w:lvl w:ilvl="0" w:tentative="0">
      <w:start w:val="5"/>
      <w:numFmt w:val="chineseCounting"/>
      <w:suff w:val="nothing"/>
      <w:lvlText w:val="%1、"/>
      <w:lvlJc w:val="left"/>
      <w:rPr>
        <w:rFonts w:hint="eastAsia"/>
      </w:rPr>
    </w:lvl>
  </w:abstractNum>
  <w:num w:numId="1">
    <w:abstractNumId w:val="3"/>
  </w:num>
  <w:num w:numId="2">
    <w:abstractNumId w:val="1"/>
  </w:num>
  <w:num w:numId="3">
    <w:abstractNumId w:val="4"/>
  </w:num>
  <w:num w:numId="4">
    <w:abstractNumId w:val="0"/>
  </w:num>
  <w:num w:numId="5">
    <w:abstractNumId w:val="6"/>
  </w:num>
  <w:num w:numId="6">
    <w:abstractNumId w:val="5"/>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BkYjZkOTUxYzE1NWZlMTU4MjYyNGE3MWQ5ODM0YzQifQ=="/>
  </w:docVars>
  <w:rsids>
    <w:rsidRoot w:val="00172A27"/>
    <w:rsid w:val="000750B5"/>
    <w:rsid w:val="00105341"/>
    <w:rsid w:val="00110A37"/>
    <w:rsid w:val="00172A27"/>
    <w:rsid w:val="001C5E9F"/>
    <w:rsid w:val="001F49B5"/>
    <w:rsid w:val="002615EB"/>
    <w:rsid w:val="002943B9"/>
    <w:rsid w:val="002A1F09"/>
    <w:rsid w:val="002B1A82"/>
    <w:rsid w:val="0031215F"/>
    <w:rsid w:val="00345436"/>
    <w:rsid w:val="00412DBF"/>
    <w:rsid w:val="0044653F"/>
    <w:rsid w:val="004765BD"/>
    <w:rsid w:val="005C0DF9"/>
    <w:rsid w:val="006242F3"/>
    <w:rsid w:val="006372D0"/>
    <w:rsid w:val="00697E40"/>
    <w:rsid w:val="006E768E"/>
    <w:rsid w:val="007A053D"/>
    <w:rsid w:val="007C161E"/>
    <w:rsid w:val="00891BB6"/>
    <w:rsid w:val="0092418B"/>
    <w:rsid w:val="00931F4A"/>
    <w:rsid w:val="009471A6"/>
    <w:rsid w:val="00A140AC"/>
    <w:rsid w:val="00A40D9E"/>
    <w:rsid w:val="00A93E8F"/>
    <w:rsid w:val="00AD5023"/>
    <w:rsid w:val="00AF3E7C"/>
    <w:rsid w:val="00B75477"/>
    <w:rsid w:val="00BA093F"/>
    <w:rsid w:val="00BE06F9"/>
    <w:rsid w:val="00C5120F"/>
    <w:rsid w:val="00CB24E2"/>
    <w:rsid w:val="00CE7EF9"/>
    <w:rsid w:val="00D543E1"/>
    <w:rsid w:val="00D76849"/>
    <w:rsid w:val="00D858D8"/>
    <w:rsid w:val="00DB4EC0"/>
    <w:rsid w:val="00E35117"/>
    <w:rsid w:val="01334339"/>
    <w:rsid w:val="014C1F73"/>
    <w:rsid w:val="01993AA4"/>
    <w:rsid w:val="01CC0A22"/>
    <w:rsid w:val="021F6013"/>
    <w:rsid w:val="0251098B"/>
    <w:rsid w:val="02E62FD5"/>
    <w:rsid w:val="03074DDC"/>
    <w:rsid w:val="041751E6"/>
    <w:rsid w:val="04247911"/>
    <w:rsid w:val="04812FB5"/>
    <w:rsid w:val="04B14D6F"/>
    <w:rsid w:val="04CA6B32"/>
    <w:rsid w:val="05244D15"/>
    <w:rsid w:val="05322502"/>
    <w:rsid w:val="05544BEF"/>
    <w:rsid w:val="057923A6"/>
    <w:rsid w:val="05927B43"/>
    <w:rsid w:val="061A5470"/>
    <w:rsid w:val="07493558"/>
    <w:rsid w:val="07852DBD"/>
    <w:rsid w:val="0826789F"/>
    <w:rsid w:val="0842563F"/>
    <w:rsid w:val="08430582"/>
    <w:rsid w:val="08BC1AE9"/>
    <w:rsid w:val="0A1A5862"/>
    <w:rsid w:val="0B160ED2"/>
    <w:rsid w:val="0B5F6D4A"/>
    <w:rsid w:val="0B77698A"/>
    <w:rsid w:val="0B83153D"/>
    <w:rsid w:val="0D5859F8"/>
    <w:rsid w:val="0D7C6A10"/>
    <w:rsid w:val="0DBF1056"/>
    <w:rsid w:val="0E020D6B"/>
    <w:rsid w:val="0E2C21E4"/>
    <w:rsid w:val="0E452056"/>
    <w:rsid w:val="0E883192"/>
    <w:rsid w:val="0EE17A34"/>
    <w:rsid w:val="0F096B8F"/>
    <w:rsid w:val="0F63063F"/>
    <w:rsid w:val="0FA92018"/>
    <w:rsid w:val="0FF52AA9"/>
    <w:rsid w:val="10801031"/>
    <w:rsid w:val="11723F1E"/>
    <w:rsid w:val="119C36DF"/>
    <w:rsid w:val="12E070F9"/>
    <w:rsid w:val="12E831FA"/>
    <w:rsid w:val="13452433"/>
    <w:rsid w:val="1497412F"/>
    <w:rsid w:val="14BF7244"/>
    <w:rsid w:val="14DF4ECD"/>
    <w:rsid w:val="165A3666"/>
    <w:rsid w:val="16CC2487"/>
    <w:rsid w:val="17C9497F"/>
    <w:rsid w:val="17CA0378"/>
    <w:rsid w:val="17E32F71"/>
    <w:rsid w:val="17F378CF"/>
    <w:rsid w:val="18E60774"/>
    <w:rsid w:val="19203D30"/>
    <w:rsid w:val="1956388F"/>
    <w:rsid w:val="19D07899"/>
    <w:rsid w:val="19FA7706"/>
    <w:rsid w:val="1A44536F"/>
    <w:rsid w:val="1C2751D9"/>
    <w:rsid w:val="1D2F1C3B"/>
    <w:rsid w:val="1DE26D44"/>
    <w:rsid w:val="1EB3371C"/>
    <w:rsid w:val="1EE77A61"/>
    <w:rsid w:val="1F161D10"/>
    <w:rsid w:val="1F3A5DE3"/>
    <w:rsid w:val="1FBF4D79"/>
    <w:rsid w:val="2004680C"/>
    <w:rsid w:val="212C0834"/>
    <w:rsid w:val="21EE1107"/>
    <w:rsid w:val="22325A71"/>
    <w:rsid w:val="22732B42"/>
    <w:rsid w:val="22BD2481"/>
    <w:rsid w:val="22E42C35"/>
    <w:rsid w:val="23280AA0"/>
    <w:rsid w:val="23334C3B"/>
    <w:rsid w:val="23C264F0"/>
    <w:rsid w:val="242E0CD7"/>
    <w:rsid w:val="24945F95"/>
    <w:rsid w:val="24B520E2"/>
    <w:rsid w:val="252E7C62"/>
    <w:rsid w:val="264C54A9"/>
    <w:rsid w:val="2652435A"/>
    <w:rsid w:val="26571B4D"/>
    <w:rsid w:val="26C6699D"/>
    <w:rsid w:val="275105FB"/>
    <w:rsid w:val="27DC0998"/>
    <w:rsid w:val="283E24E0"/>
    <w:rsid w:val="28D70737"/>
    <w:rsid w:val="28E4324D"/>
    <w:rsid w:val="28EF7C3E"/>
    <w:rsid w:val="29686F8B"/>
    <w:rsid w:val="29C4645F"/>
    <w:rsid w:val="2A5266D7"/>
    <w:rsid w:val="2AB949A8"/>
    <w:rsid w:val="2C025EDA"/>
    <w:rsid w:val="2CA35285"/>
    <w:rsid w:val="2CB90C8F"/>
    <w:rsid w:val="2CD755B9"/>
    <w:rsid w:val="2D5B6923"/>
    <w:rsid w:val="2D8E459C"/>
    <w:rsid w:val="2DA52FC1"/>
    <w:rsid w:val="2DB63420"/>
    <w:rsid w:val="2E755089"/>
    <w:rsid w:val="2EC91320"/>
    <w:rsid w:val="2F06521E"/>
    <w:rsid w:val="2F0D285F"/>
    <w:rsid w:val="2F483D7A"/>
    <w:rsid w:val="30CD01D9"/>
    <w:rsid w:val="30D52453"/>
    <w:rsid w:val="313834CB"/>
    <w:rsid w:val="313A6116"/>
    <w:rsid w:val="31D11C96"/>
    <w:rsid w:val="31EE6FED"/>
    <w:rsid w:val="321345CE"/>
    <w:rsid w:val="32BA2797"/>
    <w:rsid w:val="34102180"/>
    <w:rsid w:val="341879A0"/>
    <w:rsid w:val="34A9783B"/>
    <w:rsid w:val="34B9743F"/>
    <w:rsid w:val="35044A71"/>
    <w:rsid w:val="35912DA9"/>
    <w:rsid w:val="37C130EE"/>
    <w:rsid w:val="37FF7772"/>
    <w:rsid w:val="383F4C1C"/>
    <w:rsid w:val="395F21EA"/>
    <w:rsid w:val="39B10794"/>
    <w:rsid w:val="39BE7A13"/>
    <w:rsid w:val="39BF365D"/>
    <w:rsid w:val="39D72754"/>
    <w:rsid w:val="39DD136A"/>
    <w:rsid w:val="3A47690D"/>
    <w:rsid w:val="3A930725"/>
    <w:rsid w:val="3B604EEF"/>
    <w:rsid w:val="3BD70399"/>
    <w:rsid w:val="3D530980"/>
    <w:rsid w:val="3D953137"/>
    <w:rsid w:val="3EA82911"/>
    <w:rsid w:val="3EF414C6"/>
    <w:rsid w:val="3FFB233D"/>
    <w:rsid w:val="401F6BE2"/>
    <w:rsid w:val="403805BE"/>
    <w:rsid w:val="403D375E"/>
    <w:rsid w:val="40D11BC9"/>
    <w:rsid w:val="40D257AC"/>
    <w:rsid w:val="40EE121B"/>
    <w:rsid w:val="410339D7"/>
    <w:rsid w:val="41263FC1"/>
    <w:rsid w:val="427E60E8"/>
    <w:rsid w:val="42F51D47"/>
    <w:rsid w:val="434F77FF"/>
    <w:rsid w:val="43B30657"/>
    <w:rsid w:val="44000AFA"/>
    <w:rsid w:val="44136A7F"/>
    <w:rsid w:val="45337364"/>
    <w:rsid w:val="454B095A"/>
    <w:rsid w:val="45763361"/>
    <w:rsid w:val="46323D07"/>
    <w:rsid w:val="46B642A3"/>
    <w:rsid w:val="471B5167"/>
    <w:rsid w:val="478B44AC"/>
    <w:rsid w:val="47E25E51"/>
    <w:rsid w:val="483047CA"/>
    <w:rsid w:val="48431321"/>
    <w:rsid w:val="49C66341"/>
    <w:rsid w:val="49F30069"/>
    <w:rsid w:val="4A370FED"/>
    <w:rsid w:val="4AE178D7"/>
    <w:rsid w:val="4AEF6CEF"/>
    <w:rsid w:val="4AFE4297"/>
    <w:rsid w:val="4B163A9F"/>
    <w:rsid w:val="4B532264"/>
    <w:rsid w:val="4C792F5A"/>
    <w:rsid w:val="4CBB4158"/>
    <w:rsid w:val="4D1D64C7"/>
    <w:rsid w:val="4D3B1641"/>
    <w:rsid w:val="4D5A127B"/>
    <w:rsid w:val="4DAD645C"/>
    <w:rsid w:val="4E166C43"/>
    <w:rsid w:val="4E183066"/>
    <w:rsid w:val="4E5176FA"/>
    <w:rsid w:val="4E685C19"/>
    <w:rsid w:val="4EBA2E7D"/>
    <w:rsid w:val="4F076678"/>
    <w:rsid w:val="4F3C6DCE"/>
    <w:rsid w:val="4F3F7B2E"/>
    <w:rsid w:val="4F4B3D85"/>
    <w:rsid w:val="50285660"/>
    <w:rsid w:val="507B60D8"/>
    <w:rsid w:val="50FA2148"/>
    <w:rsid w:val="523161A7"/>
    <w:rsid w:val="52B3462B"/>
    <w:rsid w:val="53143371"/>
    <w:rsid w:val="535B5D4C"/>
    <w:rsid w:val="53803A05"/>
    <w:rsid w:val="545428EA"/>
    <w:rsid w:val="546036C2"/>
    <w:rsid w:val="56372276"/>
    <w:rsid w:val="56D50132"/>
    <w:rsid w:val="586B4E19"/>
    <w:rsid w:val="596E391A"/>
    <w:rsid w:val="597C4394"/>
    <w:rsid w:val="59BC506B"/>
    <w:rsid w:val="59D85E9C"/>
    <w:rsid w:val="5A1B4D45"/>
    <w:rsid w:val="5A352E70"/>
    <w:rsid w:val="5A5C0D28"/>
    <w:rsid w:val="5AD7215D"/>
    <w:rsid w:val="5ADA31FD"/>
    <w:rsid w:val="5C3B671B"/>
    <w:rsid w:val="5C557EE7"/>
    <w:rsid w:val="5D1342C1"/>
    <w:rsid w:val="5D26635F"/>
    <w:rsid w:val="5DE82DE7"/>
    <w:rsid w:val="5E68756F"/>
    <w:rsid w:val="5F561B6F"/>
    <w:rsid w:val="5F57E5CA"/>
    <w:rsid w:val="603E2C7E"/>
    <w:rsid w:val="610D4B28"/>
    <w:rsid w:val="61AC3545"/>
    <w:rsid w:val="61C827FF"/>
    <w:rsid w:val="63E47698"/>
    <w:rsid w:val="63EA455A"/>
    <w:rsid w:val="64442D62"/>
    <w:rsid w:val="645667E8"/>
    <w:rsid w:val="65D222C0"/>
    <w:rsid w:val="65EC0592"/>
    <w:rsid w:val="65F148C4"/>
    <w:rsid w:val="668F3DE3"/>
    <w:rsid w:val="669C35D3"/>
    <w:rsid w:val="66B524CA"/>
    <w:rsid w:val="6752692D"/>
    <w:rsid w:val="67966EFB"/>
    <w:rsid w:val="68356714"/>
    <w:rsid w:val="684479D5"/>
    <w:rsid w:val="68447C23"/>
    <w:rsid w:val="68AD6A2C"/>
    <w:rsid w:val="692C0C80"/>
    <w:rsid w:val="69C75A92"/>
    <w:rsid w:val="6A2F5368"/>
    <w:rsid w:val="6A852980"/>
    <w:rsid w:val="6AC86E51"/>
    <w:rsid w:val="6AE27497"/>
    <w:rsid w:val="6C666AB4"/>
    <w:rsid w:val="6DAF31CD"/>
    <w:rsid w:val="6DF12938"/>
    <w:rsid w:val="6EA35DF0"/>
    <w:rsid w:val="6EC80E49"/>
    <w:rsid w:val="6F0926A9"/>
    <w:rsid w:val="6FC37AD4"/>
    <w:rsid w:val="70265750"/>
    <w:rsid w:val="70294796"/>
    <w:rsid w:val="703B31B3"/>
    <w:rsid w:val="70632FFE"/>
    <w:rsid w:val="70DA41DE"/>
    <w:rsid w:val="715545D8"/>
    <w:rsid w:val="72600832"/>
    <w:rsid w:val="72C74D55"/>
    <w:rsid w:val="72C81C85"/>
    <w:rsid w:val="73B47087"/>
    <w:rsid w:val="73DB2DA9"/>
    <w:rsid w:val="74406107"/>
    <w:rsid w:val="747B32BE"/>
    <w:rsid w:val="74C96B62"/>
    <w:rsid w:val="755A1EB0"/>
    <w:rsid w:val="759748BC"/>
    <w:rsid w:val="76C53359"/>
    <w:rsid w:val="76CC7DAA"/>
    <w:rsid w:val="78090B4E"/>
    <w:rsid w:val="780E3C98"/>
    <w:rsid w:val="78A551F0"/>
    <w:rsid w:val="78AC3419"/>
    <w:rsid w:val="78AD1F79"/>
    <w:rsid w:val="79730EE2"/>
    <w:rsid w:val="799F3431"/>
    <w:rsid w:val="7A277378"/>
    <w:rsid w:val="7A2B7977"/>
    <w:rsid w:val="7AAC03C7"/>
    <w:rsid w:val="7AB436C3"/>
    <w:rsid w:val="7AC259B8"/>
    <w:rsid w:val="7B1129A0"/>
    <w:rsid w:val="7B441332"/>
    <w:rsid w:val="7B7C2705"/>
    <w:rsid w:val="7BB544F2"/>
    <w:rsid w:val="7BEB18BC"/>
    <w:rsid w:val="7C165271"/>
    <w:rsid w:val="7C6B04FF"/>
    <w:rsid w:val="7C727ADF"/>
    <w:rsid w:val="7C79171B"/>
    <w:rsid w:val="7CFF6D64"/>
    <w:rsid w:val="7D112435"/>
    <w:rsid w:val="7DFF3A1B"/>
    <w:rsid w:val="7ED378BA"/>
    <w:rsid w:val="7FCE9F2A"/>
    <w:rsid w:val="7FEE7D27"/>
    <w:rsid w:val="BB75C2CA"/>
    <w:rsid w:val="BFF71600"/>
    <w:rsid w:val="BFF98A35"/>
    <w:rsid w:val="CFBEE908"/>
    <w:rsid w:val="E36FE997"/>
    <w:rsid w:val="F7FB1651"/>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3"/>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3"/>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autoRedefine/>
    <w:qFormat/>
    <w:uiPriority w:val="0"/>
    <w:rPr>
      <w:rFonts w:ascii="宋体" w:hAnsi="宋体"/>
      <w:kern w:val="2"/>
      <w:sz w:val="21"/>
      <w:szCs w:val="24"/>
    </w:rPr>
  </w:style>
  <w:style w:type="character" w:customStyle="1" w:styleId="122">
    <w:name w:val="font11"/>
    <w:basedOn w:val="69"/>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字符1"/>
    <w:link w:val="34"/>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字符"/>
    <w:link w:val="48"/>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字符"/>
    <w:link w:val="8"/>
    <w:autoRedefine/>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3"/>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autoRedefine/>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6"/>
    <w:qFormat/>
    <w:uiPriority w:val="0"/>
    <w:rPr>
      <w:rFonts w:ascii="宋体" w:hAnsi="宋体"/>
      <w:kern w:val="2"/>
      <w:sz w:val="24"/>
      <w:szCs w:val="24"/>
    </w:rPr>
  </w:style>
  <w:style w:type="character" w:customStyle="1" w:styleId="265">
    <w:name w:val="font01"/>
    <w:basedOn w:val="69"/>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字符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3"/>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79"/>
    <w:next w:val="79"/>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79"/>
    <w:next w:val="79"/>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table" w:customStyle="1" w:styleId="964">
    <w:name w:val="TableGrid1"/>
    <w:qFormat/>
    <w:uiPriority w:val="0"/>
    <w:tblPr>
      <w:tblCellMar>
        <w:top w:w="0" w:type="dxa"/>
        <w:left w:w="0" w:type="dxa"/>
        <w:bottom w:w="0" w:type="dxa"/>
        <w:right w:w="0" w:type="dxa"/>
      </w:tblCellMar>
    </w:tblPr>
  </w:style>
  <w:style w:type="paragraph" w:customStyle="1" w:styleId="965">
    <w:name w:val="y表格文字"/>
    <w:basedOn w:val="1"/>
    <w:qFormat/>
    <w:uiPriority w:val="0"/>
    <w:pPr>
      <w:jc w:val="left"/>
    </w:pPr>
    <w:rPr>
      <w:rFonts w:asciiTheme="minorHAnsi" w:hAnsiTheme="minorHAnsi"/>
      <w:sz w:val="28"/>
    </w:rPr>
  </w:style>
  <w:style w:type="paragraph" w:styleId="966">
    <w:name w:val="No Spacing"/>
    <w:qFormat/>
    <w:uiPriority w:val="99"/>
    <w:pPr>
      <w:widowControl w:val="0"/>
      <w:jc w:val="both"/>
    </w:pPr>
    <w:rPr>
      <w:rFonts w:ascii="宋体" w:hAnsi="宋体" w:eastAsia="宋体" w:cs="Times New Roman"/>
      <w:kern w:val="2"/>
      <w:sz w:val="24"/>
      <w:szCs w:val="24"/>
      <w:lang w:val="en-US" w:eastAsia="zh-CN" w:bidi="ar-SA"/>
    </w:rPr>
  </w:style>
  <w:style w:type="paragraph" w:styleId="967">
    <w:name w:val="List Paragraph"/>
    <w:basedOn w:val="1"/>
    <w:qFormat/>
    <w:uiPriority w:val="34"/>
    <w:pPr>
      <w:widowControl/>
      <w:spacing w:after="200" w:line="276" w:lineRule="auto"/>
      <w:ind w:left="720"/>
      <w:contextualSpacing/>
      <w:jc w:val="left"/>
    </w:pPr>
    <w:rPr>
      <w:rFonts w:ascii="Calibri" w:hAnsi="Calibri"/>
      <w:kern w:val="0"/>
      <w:sz w:val="22"/>
      <w:szCs w:val="22"/>
    </w:rPr>
  </w:style>
  <w:style w:type="paragraph" w:customStyle="1" w:styleId="968">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969">
    <w:name w:val="NK-正文"/>
    <w:qFormat/>
    <w:uiPriority w:val="0"/>
    <w:pPr>
      <w:snapToGrid w:val="0"/>
      <w:spacing w:before="211" w:beforeLines="50" w:after="211" w:afterLines="50" w:line="360" w:lineRule="auto"/>
      <w:ind w:firstLine="420" w:firstLineChars="200"/>
      <w:jc w:val="both"/>
    </w:pPr>
    <w:rPr>
      <w:rFonts w:ascii="仿宋" w:hAnsi="仿宋" w:eastAsia="仿宋" w:cs="仿宋"/>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90</Pages>
  <Words>21200</Words>
  <Characters>22587</Characters>
  <Lines>409</Lines>
  <Paragraphs>115</Paragraphs>
  <TotalTime>21</TotalTime>
  <ScaleCrop>false</ScaleCrop>
  <LinksUpToDate>false</LinksUpToDate>
  <CharactersWithSpaces>24454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2024-03-14T10:07:00Z</dcterms:created>
  <dc:creator>玥</dc:creator>
  <cp:lastModifiedBy>ai.sha</cp:lastModifiedBy>
  <cp:lastPrinted>2024-05-14T16:55:00Z</cp:lastPrinted>
  <dcterms:modified xsi:type="dcterms:W3CDTF">2024-10-22T13:32:20Z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E5FB817895CC497696EC008C115D1128_13</vt:lpwstr>
  </property>
</Properties>
</file>