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8DCD2A">
      <w:pPr>
        <w:pStyle w:val="637"/>
        <w:keepNext/>
        <w:keepLines/>
        <w:pageBreakBefore w:val="0"/>
        <w:widowControl w:val="0"/>
        <w:kinsoku/>
        <w:wordWrap/>
        <w:overflowPunct/>
        <w:topLinePunct w:val="0"/>
        <w:autoSpaceDE/>
        <w:autoSpaceDN/>
        <w:bidi w:val="0"/>
        <w:adjustRightInd/>
        <w:snapToGrid/>
        <w:spacing w:line="560" w:lineRule="atLeast"/>
        <w:jc w:val="center"/>
        <w:textAlignment w:val="auto"/>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2025年嵊州市农药废弃包装物</w:t>
      </w:r>
    </w:p>
    <w:p w14:paraId="04D00C69">
      <w:pPr>
        <w:pStyle w:val="637"/>
        <w:keepNext/>
        <w:keepLines/>
        <w:pageBreakBefore w:val="0"/>
        <w:widowControl w:val="0"/>
        <w:kinsoku/>
        <w:wordWrap/>
        <w:overflowPunct/>
        <w:topLinePunct w:val="0"/>
        <w:autoSpaceDE/>
        <w:autoSpaceDN/>
        <w:bidi w:val="0"/>
        <w:adjustRightInd/>
        <w:snapToGrid/>
        <w:spacing w:line="560" w:lineRule="atLeast"/>
        <w:jc w:val="center"/>
        <w:textAlignment w:val="auto"/>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回收和集中处置项目（</w:t>
      </w:r>
      <w:r>
        <w:rPr>
          <w:rFonts w:hint="eastAsia" w:ascii="仿宋" w:hAnsi="仿宋" w:eastAsia="仿宋" w:cs="仿宋"/>
          <w:b/>
          <w:bCs/>
          <w:color w:val="auto"/>
          <w:sz w:val="56"/>
          <w:szCs w:val="56"/>
          <w:highlight w:val="none"/>
          <w:lang w:val="en-US" w:eastAsia="zh-CN"/>
        </w:rPr>
        <w:t>第二次</w:t>
      </w:r>
      <w:r>
        <w:rPr>
          <w:rFonts w:hint="eastAsia" w:ascii="仿宋" w:hAnsi="仿宋" w:eastAsia="仿宋" w:cs="仿宋"/>
          <w:b/>
          <w:bCs/>
          <w:color w:val="auto"/>
          <w:sz w:val="56"/>
          <w:szCs w:val="56"/>
          <w:highlight w:val="none"/>
          <w:lang w:eastAsia="zh-CN"/>
        </w:rPr>
        <w:t>）</w:t>
      </w:r>
    </w:p>
    <w:p w14:paraId="724CB0DF">
      <w:pPr>
        <w:pStyle w:val="637"/>
        <w:keepNext/>
        <w:keepLines/>
        <w:pageBreakBefore w:val="0"/>
        <w:widowControl w:val="0"/>
        <w:kinsoku/>
        <w:wordWrap/>
        <w:overflowPunct/>
        <w:topLinePunct w:val="0"/>
        <w:autoSpaceDE/>
        <w:autoSpaceDN/>
        <w:bidi w:val="0"/>
        <w:adjustRightInd/>
        <w:snapToGrid/>
        <w:spacing w:line="560" w:lineRule="atLeast"/>
        <w:jc w:val="center"/>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项目编号：JCSZ[2025]D001-1</w:t>
      </w:r>
    </w:p>
    <w:p w14:paraId="2BE145A1">
      <w:pPr>
        <w:pStyle w:val="637"/>
        <w:keepNext/>
        <w:keepLines/>
        <w:pageBreakBefore w:val="0"/>
        <w:widowControl w:val="0"/>
        <w:kinsoku/>
        <w:wordWrap/>
        <w:overflowPunct/>
        <w:topLinePunct w:val="0"/>
        <w:autoSpaceDE/>
        <w:autoSpaceDN/>
        <w:bidi w:val="0"/>
        <w:adjustRightInd/>
        <w:snapToGrid/>
        <w:spacing w:line="560" w:lineRule="atLeast"/>
        <w:jc w:val="center"/>
        <w:textAlignment w:val="auto"/>
        <w:rPr>
          <w:rFonts w:hint="default" w:ascii="仿宋" w:hAnsi="仿宋" w:eastAsia="仿宋" w:cs="仿宋"/>
          <w:color w:val="auto"/>
          <w:highlight w:val="none"/>
          <w:lang w:val="en-US" w:eastAsia="zh-CN"/>
        </w:rPr>
      </w:pPr>
    </w:p>
    <w:p w14:paraId="7E15DE3D">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5D24676D">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774753DD">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5686C057">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73EA56AC">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5AA28ED0">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5EB4E94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0D6E6056">
      <w:pPr>
        <w:pStyle w:val="637"/>
        <w:keepNext/>
        <w:keepLines/>
        <w:pageBreakBefore w:val="0"/>
        <w:widowControl w:val="0"/>
        <w:kinsoku/>
        <w:wordWrap/>
        <w:overflowPunct/>
        <w:topLinePunct w:val="0"/>
        <w:autoSpaceDE/>
        <w:autoSpaceDN/>
        <w:bidi w:val="0"/>
        <w:adjustRightInd/>
        <w:snapToGrid/>
        <w:spacing w:line="560" w:lineRule="atLeast"/>
        <w:ind w:left="1380" w:leftChars="417" w:hanging="504" w:hangingChars="157"/>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采购单位：嵊州市农业农村局</w:t>
      </w:r>
    </w:p>
    <w:p w14:paraId="62443A2F">
      <w:pPr>
        <w:pStyle w:val="637"/>
        <w:keepNext/>
        <w:keepLines/>
        <w:pageBreakBefore w:val="0"/>
        <w:widowControl w:val="0"/>
        <w:kinsoku/>
        <w:wordWrap/>
        <w:overflowPunct/>
        <w:topLinePunct w:val="0"/>
        <w:autoSpaceDE/>
        <w:autoSpaceDN/>
        <w:bidi w:val="0"/>
        <w:adjustRightInd/>
        <w:snapToGrid/>
        <w:spacing w:line="560" w:lineRule="atLeast"/>
        <w:ind w:left="1380" w:leftChars="417" w:hanging="504" w:hangingChars="157"/>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采购代理单位：浙江建诚工程管理咨询有限公司</w:t>
      </w:r>
    </w:p>
    <w:p w14:paraId="60E875EB">
      <w:pPr>
        <w:pStyle w:val="637"/>
        <w:keepNext/>
        <w:keepLines/>
        <w:pageBreakBefore w:val="0"/>
        <w:widowControl w:val="0"/>
        <w:kinsoku/>
        <w:wordWrap/>
        <w:overflowPunct/>
        <w:topLinePunct w:val="0"/>
        <w:autoSpaceDE/>
        <w:autoSpaceDN/>
        <w:bidi w:val="0"/>
        <w:adjustRightInd/>
        <w:snapToGrid/>
        <w:spacing w:line="560" w:lineRule="atLeast"/>
        <w:ind w:left="1380" w:leftChars="417" w:hanging="504" w:hangingChars="157"/>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日   期：2025年4月</w:t>
      </w:r>
    </w:p>
    <w:p w14:paraId="31242B6E">
      <w:pPr>
        <w:pStyle w:val="637"/>
        <w:keepNext/>
        <w:keepLines/>
        <w:pageBreakBefore w:val="0"/>
        <w:widowControl w:val="0"/>
        <w:kinsoku/>
        <w:wordWrap/>
        <w:overflowPunct/>
        <w:topLinePunct w:val="0"/>
        <w:autoSpaceDE/>
        <w:autoSpaceDN/>
        <w:bidi w:val="0"/>
        <w:adjustRightInd/>
        <w:snapToGrid/>
        <w:spacing w:line="560" w:lineRule="atLeast"/>
        <w:ind w:left="1134" w:hanging="1134"/>
        <w:textAlignment w:val="auto"/>
        <w:rPr>
          <w:rFonts w:hint="eastAsia" w:ascii="仿宋" w:hAnsi="仿宋" w:eastAsia="仿宋" w:cs="仿宋"/>
          <w:color w:val="auto"/>
          <w:highlight w:val="none"/>
          <w:lang w:val="en-US" w:eastAsia="zh-CN"/>
        </w:rPr>
      </w:pPr>
    </w:p>
    <w:p w14:paraId="722C8D0B">
      <w:pPr>
        <w:pStyle w:val="637"/>
        <w:ind w:left="0" w:leftChars="0" w:firstLine="0" w:firstLineChars="0"/>
        <w:rPr>
          <w:rFonts w:hint="default" w:ascii="仿宋" w:hAnsi="仿宋" w:eastAsia="仿宋" w:cs="仿宋"/>
          <w:color w:val="auto"/>
          <w:highlight w:val="none"/>
          <w:lang w:val="en-US" w:eastAsia="zh-CN"/>
        </w:rPr>
        <w:sectPr>
          <w:headerReference r:id="rId4" w:type="first"/>
          <w:headerReference r:id="rId3" w:type="default"/>
          <w:footerReference r:id="rId5" w:type="even"/>
          <w:pgSz w:w="11906" w:h="16838"/>
          <w:pgMar w:top="1440" w:right="1800" w:bottom="1440" w:left="1800" w:header="851" w:footer="992" w:gutter="0"/>
          <w:cols w:space="720" w:num="1"/>
          <w:titlePg/>
          <w:docGrid w:linePitch="312" w:charSpace="0"/>
        </w:sectPr>
      </w:pPr>
    </w:p>
    <w:p w14:paraId="21FE0E5E">
      <w:pPr>
        <w:pStyle w:val="637"/>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14:paraId="411585C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r>
        <w:rPr>
          <w:rFonts w:hint="eastAsia" w:ascii="仿宋" w:hAnsi="仿宋" w:eastAsia="仿宋" w:cs="仿宋"/>
          <w:b/>
          <w:color w:val="auto"/>
          <w:sz w:val="44"/>
          <w:szCs w:val="44"/>
          <w:highlight w:val="none"/>
        </w:rPr>
        <w:t>目</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rPr>
        <w:t>录</w:t>
      </w:r>
    </w:p>
    <w:p w14:paraId="00E1313B">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14DEA46D">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4A9719B9">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2927A20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4270F2F9">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评标方法及标准</w:t>
      </w:r>
    </w:p>
    <w:p w14:paraId="5FDCBBCD">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合同的主要条款</w:t>
      </w:r>
    </w:p>
    <w:p w14:paraId="0B38443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3D188224">
      <w:pPr>
        <w:spacing w:line="360" w:lineRule="auto"/>
        <w:ind w:firstLine="549" w:firstLineChars="229"/>
        <w:rPr>
          <w:rFonts w:hint="eastAsia" w:ascii="仿宋" w:hAnsi="仿宋" w:eastAsia="仿宋" w:cs="仿宋"/>
          <w:color w:val="auto"/>
          <w:sz w:val="24"/>
          <w:highlight w:val="none"/>
        </w:rPr>
      </w:pPr>
    </w:p>
    <w:p w14:paraId="591E3083">
      <w:pPr>
        <w:spacing w:line="360" w:lineRule="auto"/>
        <w:ind w:firstLine="549" w:firstLineChars="229"/>
        <w:rPr>
          <w:rFonts w:hint="eastAsia" w:ascii="仿宋" w:hAnsi="仿宋" w:eastAsia="仿宋" w:cs="仿宋"/>
          <w:color w:val="auto"/>
          <w:sz w:val="24"/>
          <w:highlight w:val="none"/>
        </w:rPr>
      </w:pPr>
    </w:p>
    <w:p w14:paraId="121DA835">
      <w:pPr>
        <w:spacing w:line="360" w:lineRule="auto"/>
        <w:ind w:firstLine="549" w:firstLineChars="229"/>
        <w:rPr>
          <w:rFonts w:hint="eastAsia" w:ascii="仿宋" w:hAnsi="仿宋" w:eastAsia="仿宋" w:cs="仿宋"/>
          <w:color w:val="auto"/>
          <w:sz w:val="24"/>
          <w:highlight w:val="none"/>
        </w:rPr>
      </w:pPr>
    </w:p>
    <w:p w14:paraId="2B3CEDD3">
      <w:pPr>
        <w:spacing w:line="360" w:lineRule="auto"/>
        <w:ind w:firstLine="549" w:firstLineChars="229"/>
        <w:rPr>
          <w:rFonts w:hint="eastAsia" w:ascii="仿宋" w:hAnsi="仿宋" w:eastAsia="仿宋" w:cs="仿宋"/>
          <w:color w:val="auto"/>
          <w:sz w:val="24"/>
          <w:highlight w:val="none"/>
        </w:rPr>
      </w:pPr>
    </w:p>
    <w:p w14:paraId="3D4A0E8A">
      <w:pPr>
        <w:spacing w:line="360" w:lineRule="auto"/>
        <w:ind w:firstLine="549" w:firstLineChars="229"/>
        <w:rPr>
          <w:rFonts w:hint="eastAsia" w:ascii="仿宋" w:hAnsi="仿宋" w:eastAsia="仿宋" w:cs="仿宋"/>
          <w:color w:val="auto"/>
          <w:sz w:val="24"/>
          <w:highlight w:val="none"/>
        </w:rPr>
      </w:pPr>
    </w:p>
    <w:p w14:paraId="0756B0A1">
      <w:pPr>
        <w:spacing w:line="360" w:lineRule="auto"/>
        <w:ind w:firstLine="549" w:firstLineChars="229"/>
        <w:rPr>
          <w:rFonts w:hint="eastAsia" w:ascii="仿宋" w:hAnsi="仿宋" w:eastAsia="仿宋" w:cs="仿宋"/>
          <w:color w:val="auto"/>
          <w:sz w:val="24"/>
          <w:highlight w:val="none"/>
        </w:rPr>
      </w:pPr>
    </w:p>
    <w:p w14:paraId="66419D01">
      <w:pPr>
        <w:spacing w:line="360" w:lineRule="auto"/>
        <w:ind w:firstLine="549" w:firstLineChars="229"/>
        <w:rPr>
          <w:rFonts w:hint="eastAsia" w:ascii="仿宋" w:hAnsi="仿宋" w:eastAsia="仿宋" w:cs="仿宋"/>
          <w:color w:val="auto"/>
          <w:sz w:val="24"/>
          <w:highlight w:val="none"/>
        </w:rPr>
      </w:pPr>
    </w:p>
    <w:p w14:paraId="24F31315">
      <w:pPr>
        <w:spacing w:line="360" w:lineRule="auto"/>
        <w:ind w:firstLine="549" w:firstLineChars="229"/>
        <w:rPr>
          <w:rFonts w:hint="eastAsia" w:ascii="仿宋" w:hAnsi="仿宋" w:eastAsia="仿宋" w:cs="仿宋"/>
          <w:color w:val="auto"/>
          <w:sz w:val="24"/>
          <w:highlight w:val="none"/>
        </w:rPr>
      </w:pPr>
    </w:p>
    <w:p w14:paraId="402BF9E5">
      <w:pPr>
        <w:spacing w:line="360" w:lineRule="auto"/>
        <w:ind w:firstLine="549" w:firstLineChars="229"/>
        <w:rPr>
          <w:rFonts w:hint="eastAsia" w:ascii="仿宋" w:hAnsi="仿宋" w:eastAsia="仿宋" w:cs="仿宋"/>
          <w:color w:val="auto"/>
          <w:sz w:val="24"/>
          <w:highlight w:val="none"/>
        </w:rPr>
      </w:pPr>
    </w:p>
    <w:p w14:paraId="4B807135">
      <w:pPr>
        <w:spacing w:line="360" w:lineRule="auto"/>
        <w:ind w:firstLine="549" w:firstLineChars="229"/>
        <w:rPr>
          <w:rFonts w:hint="eastAsia" w:ascii="仿宋" w:hAnsi="仿宋" w:eastAsia="仿宋" w:cs="仿宋"/>
          <w:color w:val="auto"/>
          <w:sz w:val="24"/>
          <w:highlight w:val="none"/>
        </w:rPr>
      </w:pPr>
    </w:p>
    <w:p w14:paraId="2F8235EF">
      <w:pPr>
        <w:spacing w:line="360" w:lineRule="auto"/>
        <w:ind w:firstLine="549" w:firstLineChars="229"/>
        <w:rPr>
          <w:rFonts w:hint="eastAsia" w:ascii="仿宋" w:hAnsi="仿宋" w:eastAsia="仿宋" w:cs="仿宋"/>
          <w:color w:val="auto"/>
          <w:sz w:val="24"/>
          <w:highlight w:val="none"/>
        </w:rPr>
      </w:pPr>
    </w:p>
    <w:p w14:paraId="5F9BC92E">
      <w:pPr>
        <w:spacing w:line="360" w:lineRule="auto"/>
        <w:rPr>
          <w:rFonts w:hint="eastAsia" w:ascii="仿宋" w:hAnsi="仿宋" w:eastAsia="仿宋" w:cs="仿宋"/>
          <w:color w:val="auto"/>
          <w:sz w:val="24"/>
          <w:highlight w:val="none"/>
        </w:rPr>
      </w:pPr>
    </w:p>
    <w:bookmarkEnd w:id="1"/>
    <w:p w14:paraId="0587323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5535E69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14:paraId="03C92E2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14:paraId="17CDF76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6" w:type="default"/>
          <w:pgSz w:w="11906" w:h="16838"/>
          <w:pgMar w:top="1440" w:right="1800" w:bottom="1440" w:left="1800" w:header="851" w:footer="992" w:gutter="0"/>
          <w:pgNumType w:start="1"/>
          <w:cols w:space="720" w:num="1"/>
          <w:docGrid w:linePitch="312" w:charSpace="0"/>
        </w:sectPr>
      </w:pPr>
    </w:p>
    <w:p w14:paraId="3B0A159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16578A21">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58CF60D3">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 xml:space="preserve"> 2025年嵊州市农药废弃包装物回收和集中处置项目（第二次）</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7</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09</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00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7666E0FB">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D9E0316">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项目编号：JCSZ[2025]D001</w:t>
      </w:r>
      <w:r>
        <w:rPr>
          <w:rFonts w:hint="eastAsia" w:ascii="仿宋" w:hAnsi="仿宋" w:eastAsia="仿宋" w:cs="仿宋"/>
          <w:b/>
          <w:color w:val="auto"/>
          <w:sz w:val="24"/>
          <w:highlight w:val="none"/>
          <w:lang w:val="en-US" w:eastAsia="zh-CN"/>
        </w:rPr>
        <w:t>-1</w:t>
      </w:r>
    </w:p>
    <w:p w14:paraId="5C8DB70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b/>
          <w:color w:val="auto"/>
          <w:sz w:val="24"/>
          <w:highlight w:val="none"/>
          <w:lang w:eastAsia="zh-CN"/>
        </w:rPr>
        <w:t>2025年嵊州市农药废弃包装物回收和集中处置项目（第二次）</w:t>
      </w:r>
    </w:p>
    <w:p w14:paraId="4E2A58C1">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预算金额：</w:t>
      </w:r>
      <w:r>
        <w:rPr>
          <w:rFonts w:hint="eastAsia" w:ascii="仿宋" w:hAnsi="仿宋" w:eastAsia="仿宋" w:cs="仿宋"/>
          <w:b/>
          <w:color w:val="auto"/>
          <w:sz w:val="24"/>
          <w:highlight w:val="none"/>
          <w:lang w:val="en-US" w:eastAsia="zh-CN"/>
        </w:rPr>
        <w:t>1990000.00元</w:t>
      </w:r>
    </w:p>
    <w:p w14:paraId="54EA84E4">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最高单价限价：2.84万/吨</w:t>
      </w:r>
    </w:p>
    <w:p w14:paraId="46BF4938">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b/>
          <w:color w:val="auto"/>
          <w:sz w:val="24"/>
          <w:highlight w:val="none"/>
          <w:lang w:val="en-US" w:eastAsia="zh-CN"/>
        </w:rPr>
        <w:t>详见第三章</w:t>
      </w:r>
    </w:p>
    <w:p w14:paraId="1ABC247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
          <w:color w:val="auto"/>
          <w:sz w:val="24"/>
          <w:highlight w:val="none"/>
          <w:lang w:eastAsia="zh-CN"/>
        </w:rPr>
        <w:t>2025年嵊州市农药废弃包装物回收和集中处置项目（第二次）</w:t>
      </w:r>
    </w:p>
    <w:p w14:paraId="12213A38">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数量：1年</w:t>
      </w:r>
    </w:p>
    <w:p w14:paraId="787D6A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预算金额：1990000.00元</w:t>
      </w:r>
    </w:p>
    <w:p w14:paraId="097040D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7342F0D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1年</w:t>
      </w:r>
    </w:p>
    <w:p w14:paraId="4283E68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kern w:val="2"/>
          <w:sz w:val="24"/>
          <w:szCs w:val="24"/>
          <w:highlight w:val="none"/>
          <w:lang w:val="en-US" w:eastAsia="zh-CN" w:bidi="ar-SA"/>
        </w:rPr>
        <w:sym w:font="Wingdings" w:char="00A8"/>
      </w:r>
      <w:r>
        <w:rPr>
          <w:rFonts w:hint="eastAsia" w:ascii="仿宋" w:hAnsi="仿宋" w:eastAsia="仿宋" w:cs="仿宋"/>
          <w:b/>
          <w:color w:val="auto"/>
          <w:sz w:val="24"/>
          <w:highlight w:val="none"/>
        </w:rPr>
        <w:t>是，</w:t>
      </w:r>
      <w:r>
        <w:rPr>
          <w:rFonts w:hint="eastAsia" w:ascii="仿宋" w:hAnsi="仿宋" w:eastAsia="仿宋" w:cs="仿宋"/>
          <w:b/>
          <w:color w:val="auto"/>
          <w:sz w:val="24"/>
          <w:highlight w:val="none"/>
        </w:rPr>
        <w:sym w:font="Wingdings" w:char="00FE"/>
      </w:r>
      <w:r>
        <w:rPr>
          <w:rFonts w:hint="eastAsia" w:ascii="仿宋" w:hAnsi="仿宋" w:eastAsia="仿宋" w:cs="仿宋"/>
          <w:b/>
          <w:color w:val="auto"/>
          <w:sz w:val="24"/>
          <w:highlight w:val="none"/>
        </w:rPr>
        <w:t>否。</w:t>
      </w:r>
    </w:p>
    <w:p w14:paraId="04E6CD19">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3312E41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D440F3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rPr>
        <w:t>.落实政府采购政策需满足的资格要求：</w:t>
      </w:r>
    </w:p>
    <w:p w14:paraId="1DFF535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0AB99BB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MS Gothic" w:hAnsi="MS Gothic" w:eastAsia="仿宋" w:cs="仿宋"/>
          <w:color w:val="auto"/>
          <w:kern w:val="0"/>
          <w:sz w:val="24"/>
          <w:szCs w:val="24"/>
          <w:highlight w:val="none"/>
          <w:lang w:val="en-US" w:eastAsia="zh-CN" w:bidi="ar-SA"/>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076AED6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MS Gothic" w:hAnsi="MS Gothic" w:eastAsia="仿宋" w:cs="仿宋"/>
          <w:color w:val="auto"/>
          <w:kern w:val="0"/>
          <w:sz w:val="24"/>
          <w:szCs w:val="24"/>
          <w:highlight w:val="none"/>
          <w:lang w:val="en-US" w:eastAsia="zh-CN" w:bidi="ar-SA"/>
        </w:rPr>
        <w:sym w:font="Wingdings" w:char="00FE"/>
      </w:r>
      <w:r>
        <w:rPr>
          <w:rFonts w:hint="eastAsia" w:ascii="仿宋" w:hAnsi="仿宋" w:eastAsia="仿宋" w:cs="仿宋"/>
          <w:color w:val="auto"/>
          <w:sz w:val="24"/>
          <w:highlight w:val="none"/>
        </w:rPr>
        <w:t>服务全部由符合政策要求的中小企业承接，提供中小企业声明函；</w:t>
      </w:r>
    </w:p>
    <w:p w14:paraId="6C4A251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highlight w:val="none"/>
        </w:rPr>
      </w:pPr>
      <w:r>
        <w:rPr>
          <w:rFonts w:hint="eastAsia" w:ascii="MS Gothic" w:hAnsi="MS Gothic" w:eastAsia="仿宋" w:cs="仿宋"/>
          <w:color w:val="auto"/>
          <w:kern w:val="0"/>
          <w:sz w:val="24"/>
          <w:szCs w:val="24"/>
          <w:highlight w:val="none"/>
          <w:lang w:val="en-US" w:eastAsia="zh-CN" w:bidi="ar-SA"/>
        </w:rPr>
        <w:sym w:font="Wingdings" w:char="00FE"/>
      </w:r>
      <w:r>
        <w:rPr>
          <w:rFonts w:hint="eastAsia" w:ascii="仿宋" w:hAnsi="仿宋" w:eastAsia="仿宋" w:cs="仿宋"/>
          <w:color w:val="auto"/>
          <w:sz w:val="24"/>
          <w:highlight w:val="none"/>
        </w:rPr>
        <w:t>服务全部由符合政策要求的小微企业承接，提供中小企业声明函；</w:t>
      </w:r>
    </w:p>
    <w:p w14:paraId="00D2F4B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6580707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7D2F710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lang w:eastAsia="zh-CN"/>
        </w:rPr>
        <w:t>：</w:t>
      </w:r>
      <w:r>
        <w:rPr>
          <w:rFonts w:hint="eastAsia" w:ascii="仿宋" w:hAnsi="仿宋" w:eastAsia="仿宋" w:cs="仿宋"/>
          <w:b w:val="0"/>
          <w:bCs/>
          <w:color w:val="auto"/>
          <w:sz w:val="24"/>
          <w:szCs w:val="24"/>
          <w:highlight w:val="none"/>
          <w:lang w:eastAsia="zh-CN"/>
        </w:rPr>
        <w:t>投标人具有《农药经营许可证》或《危险化学品经营许可证》或《</w:t>
      </w:r>
      <w:r>
        <w:rPr>
          <w:rFonts w:hint="eastAsia" w:ascii="仿宋" w:hAnsi="仿宋" w:eastAsia="仿宋" w:cs="仿宋"/>
          <w:b w:val="0"/>
          <w:bCs/>
          <w:color w:val="auto"/>
          <w:sz w:val="24"/>
          <w:szCs w:val="24"/>
          <w:highlight w:val="none"/>
        </w:rPr>
        <w:t>危险废物经营许可证</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（经营范围包括农药废物）</w:t>
      </w:r>
      <w:r>
        <w:rPr>
          <w:rFonts w:hint="eastAsia" w:ascii="仿宋" w:hAnsi="仿宋" w:eastAsia="仿宋" w:cs="仿宋"/>
          <w:b w:val="0"/>
          <w:bCs/>
          <w:color w:val="auto"/>
          <w:sz w:val="24"/>
          <w:szCs w:val="24"/>
          <w:highlight w:val="none"/>
          <w:lang w:eastAsia="zh-CN"/>
        </w:rPr>
        <w:t>。</w:t>
      </w:r>
    </w:p>
    <w:p w14:paraId="2E2290CE">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DDA03B4">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76F2E29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lang w:val="en-US" w:eastAsia="zh-CN"/>
        </w:rPr>
        <w:t>2025年4月11日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none"/>
          <w:lang w:val="en-US" w:eastAsia="zh-CN"/>
        </w:rPr>
        <w:t>2025</w:t>
      </w:r>
      <w:r>
        <w:rPr>
          <w:rFonts w:hint="eastAsia" w:ascii="仿宋" w:hAnsi="仿宋" w:eastAsia="仿宋" w:cs="仿宋"/>
          <w:color w:val="auto"/>
          <w:sz w:val="24"/>
          <w:highlight w:val="none"/>
          <w:u w:val="none"/>
        </w:rPr>
        <w:t>年</w:t>
      </w:r>
      <w:r>
        <w:rPr>
          <w:rFonts w:hint="eastAsia" w:ascii="仿宋" w:hAnsi="仿宋" w:eastAsia="仿宋" w:cs="仿宋"/>
          <w:color w:val="auto"/>
          <w:sz w:val="24"/>
          <w:highlight w:val="none"/>
          <w:u w:val="none"/>
          <w:lang w:val="en-US" w:eastAsia="zh-CN"/>
        </w:rPr>
        <w:t>5</w:t>
      </w:r>
      <w:r>
        <w:rPr>
          <w:rFonts w:hint="eastAsia" w:ascii="仿宋" w:hAnsi="仿宋" w:eastAsia="仿宋" w:cs="仿宋"/>
          <w:color w:val="auto"/>
          <w:sz w:val="24"/>
          <w:highlight w:val="none"/>
          <w:u w:val="none"/>
        </w:rPr>
        <w:t>月</w:t>
      </w:r>
      <w:r>
        <w:rPr>
          <w:rFonts w:hint="eastAsia" w:ascii="仿宋" w:hAnsi="仿宋" w:eastAsia="仿宋" w:cs="仿宋"/>
          <w:color w:val="auto"/>
          <w:sz w:val="24"/>
          <w:highlight w:val="none"/>
          <w:u w:val="none"/>
          <w:lang w:val="en-US" w:eastAsia="zh-CN"/>
        </w:rPr>
        <w:t>7</w:t>
      </w:r>
      <w:r>
        <w:rPr>
          <w:rFonts w:hint="eastAsia" w:ascii="仿宋" w:hAnsi="仿宋" w:eastAsia="仿宋" w:cs="仿宋"/>
          <w:color w:val="auto"/>
          <w:sz w:val="24"/>
          <w:highlight w:val="none"/>
          <w:u w:val="non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EE42A6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9E7B36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bookmarkStart w:id="47" w:name="_GoBack"/>
      <w:bookmarkEnd w:id="47"/>
    </w:p>
    <w:p w14:paraId="7D37709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B938ACA">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99A838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w:t>
      </w:r>
      <w:r>
        <w:rPr>
          <w:rFonts w:hint="eastAsia" w:ascii="仿宋" w:hAnsi="仿宋" w:eastAsia="仿宋" w:cs="仿宋"/>
          <w:color w:val="auto"/>
          <w:sz w:val="24"/>
          <w:highlight w:val="none"/>
          <w:u w:val="single"/>
          <w:lang w:val="en-US" w:eastAsia="zh-CN"/>
        </w:rPr>
        <w:t>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 xml:space="preserve">点 </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51E36FA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708799F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w:t>
      </w:r>
      <w:r>
        <w:rPr>
          <w:rFonts w:hint="eastAsia" w:ascii="仿宋" w:hAnsi="仿宋" w:eastAsia="仿宋" w:cs="仿宋"/>
          <w:color w:val="auto"/>
          <w:sz w:val="24"/>
          <w:highlight w:val="none"/>
          <w:u w:val="single"/>
          <w:lang w:val="en-US" w:eastAsia="zh-CN"/>
        </w:rPr>
        <w:t>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 xml:space="preserve">点 </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3323D4A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388E9927">
      <w:pPr>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349283F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912BAF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1C86D0C4">
      <w:pPr>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仿宋"/>
          <w:color w:val="auto"/>
          <w:sz w:val="24"/>
          <w:highlight w:val="none"/>
          <w:lang w:val="en" w:eastAsia="zh-CN"/>
        </w:rPr>
        <w:t>。</w:t>
      </w:r>
    </w:p>
    <w:p w14:paraId="527A99D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7C5938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179FCA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5A5D9B32">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61A84A69">
      <w:pPr>
        <w:pStyle w:val="2"/>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28359096"/>
      <w:bookmarkStart w:id="6" w:name="_Toc35393806"/>
      <w:bookmarkStart w:id="7" w:name="_Toc35393637"/>
      <w:bookmarkStart w:id="8" w:name="_Toc28359019"/>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36A65C7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名    称： </w:t>
      </w:r>
      <w:r>
        <w:rPr>
          <w:rFonts w:hint="eastAsia" w:ascii="仿宋" w:hAnsi="仿宋" w:eastAsia="仿宋" w:cs="仿宋"/>
          <w:color w:val="auto"/>
          <w:sz w:val="24"/>
          <w:highlight w:val="none"/>
          <w:lang w:eastAsia="zh-CN"/>
        </w:rPr>
        <w:t xml:space="preserve">嵊州市农业农村局 </w:t>
      </w:r>
    </w:p>
    <w:p w14:paraId="51123CD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嵊州市剡湖街道越秀北路47号农林水大厦</w:t>
      </w:r>
    </w:p>
    <w:p w14:paraId="331080B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16F5A39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丁女士</w:t>
      </w:r>
      <w:r>
        <w:rPr>
          <w:rFonts w:hint="eastAsia" w:ascii="仿宋" w:hAnsi="仿宋" w:eastAsia="仿宋" w:cs="仿宋"/>
          <w:color w:val="auto"/>
          <w:sz w:val="24"/>
          <w:highlight w:val="none"/>
        </w:rPr>
        <w:t xml:space="preserve"> </w:t>
      </w:r>
    </w:p>
    <w:p w14:paraId="40B77F4E">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0575-83131322</w:t>
      </w:r>
    </w:p>
    <w:p w14:paraId="783872D3">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张先生</w:t>
      </w:r>
    </w:p>
    <w:p w14:paraId="2D8BF9A3">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0575-83138221</w:t>
      </w:r>
    </w:p>
    <w:p w14:paraId="75E80A53">
      <w:pPr>
        <w:pStyle w:val="2"/>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9" w:name="_Toc28359097"/>
      <w:bookmarkStart w:id="10" w:name="_Toc35393807"/>
      <w:bookmarkStart w:id="11" w:name="_Toc28359020"/>
      <w:bookmarkStart w:id="12" w:name="_Toc35393638"/>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57FEFEA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浙江建诚工程管理咨询有限公司</w:t>
      </w:r>
      <w:r>
        <w:rPr>
          <w:rFonts w:hint="eastAsia" w:ascii="仿宋" w:hAnsi="仿宋" w:eastAsia="仿宋" w:cs="仿宋"/>
          <w:color w:val="auto"/>
          <w:sz w:val="24"/>
          <w:highlight w:val="none"/>
        </w:rPr>
        <w:t xml:space="preserve">             </w:t>
      </w:r>
    </w:p>
    <w:p w14:paraId="7A6F3A1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嵊州市吾悦广场写字楼4楼</w:t>
      </w:r>
      <w:r>
        <w:rPr>
          <w:rFonts w:hint="eastAsia" w:ascii="仿宋" w:hAnsi="仿宋" w:eastAsia="仿宋" w:cs="仿宋"/>
          <w:color w:val="auto"/>
          <w:sz w:val="24"/>
          <w:highlight w:val="none"/>
        </w:rPr>
        <w:t xml:space="preserve"> </w:t>
      </w:r>
    </w:p>
    <w:p w14:paraId="018AB6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17E7D54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马佳丽</w:t>
      </w:r>
    </w:p>
    <w:p w14:paraId="0B1EB2FD">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项目联系方式（询问）： </w:t>
      </w:r>
      <w:r>
        <w:rPr>
          <w:rFonts w:hint="eastAsia" w:ascii="仿宋" w:hAnsi="仿宋" w:eastAsia="仿宋" w:cs="仿宋"/>
          <w:color w:val="auto"/>
          <w:sz w:val="24"/>
          <w:highlight w:val="none"/>
          <w:lang w:val="en-US" w:eastAsia="zh-CN"/>
        </w:rPr>
        <w:t>0575-83508835</w:t>
      </w:r>
    </w:p>
    <w:p w14:paraId="4AC072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殳先生</w:t>
      </w:r>
      <w:r>
        <w:rPr>
          <w:rFonts w:hint="eastAsia" w:ascii="仿宋" w:hAnsi="仿宋" w:eastAsia="仿宋" w:cs="仿宋"/>
          <w:color w:val="auto"/>
          <w:sz w:val="24"/>
          <w:highlight w:val="none"/>
        </w:rPr>
        <w:t xml:space="preserve">         </w:t>
      </w:r>
    </w:p>
    <w:p w14:paraId="65695E3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0575-83508835</w:t>
      </w:r>
    </w:p>
    <w:p w14:paraId="05A9F90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bookmarkStart w:id="13" w:name="_Toc35393808"/>
      <w:bookmarkStart w:id="14" w:name="_Toc35393639"/>
      <w:bookmarkStart w:id="15" w:name="_Toc28359021"/>
      <w:bookmarkStart w:id="16" w:name="_Toc28359098"/>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3"/>
    <w:bookmarkEnd w:id="14"/>
    <w:bookmarkEnd w:id="15"/>
    <w:bookmarkEnd w:id="16"/>
    <w:p w14:paraId="0172ACE1">
      <w:pPr>
        <w:shd w:val="clear" w:color="auto" w:fill="auto"/>
        <w:spacing w:line="360" w:lineRule="auto"/>
        <w:ind w:firstLine="480" w:firstLineChars="200"/>
        <w:jc w:val="left"/>
        <w:rPr>
          <w:rFonts w:hint="eastAsia" w:ascii="仿宋" w:hAnsi="Times New Roman" w:eastAsia="仿宋" w:cs="Times New Roman"/>
          <w:color w:val="auto"/>
          <w:sz w:val="24"/>
          <w:szCs w:val="24"/>
          <w:highlight w:val="none"/>
          <w:u w:val="none"/>
        </w:rPr>
      </w:pPr>
      <w:r>
        <w:rPr>
          <w:rFonts w:hint="eastAsia" w:ascii="仿宋" w:hAnsi="Times New Roman" w:eastAsia="仿宋" w:cs="Times New Roman"/>
          <w:color w:val="auto"/>
          <w:sz w:val="24"/>
          <w:szCs w:val="24"/>
          <w:highlight w:val="none"/>
          <w:u w:val="none"/>
        </w:rPr>
        <w:t>名 称：</w:t>
      </w:r>
      <w:r>
        <w:rPr>
          <w:rFonts w:hint="eastAsia" w:ascii="仿宋" w:hAnsi="Times New Roman" w:eastAsia="仿宋" w:cs="Times New Roman"/>
          <w:color w:val="auto"/>
          <w:sz w:val="24"/>
          <w:szCs w:val="24"/>
          <w:highlight w:val="none"/>
          <w:u w:val="none"/>
          <w:lang w:val="en-US" w:eastAsia="zh-CN"/>
        </w:rPr>
        <w:t>嵊州市采购监管</w:t>
      </w:r>
      <w:r>
        <w:rPr>
          <w:rFonts w:hint="eastAsia" w:ascii="仿宋" w:hAnsi="Times New Roman" w:eastAsia="仿宋" w:cs="Times New Roman"/>
          <w:color w:val="auto"/>
          <w:sz w:val="24"/>
          <w:szCs w:val="24"/>
          <w:highlight w:val="none"/>
          <w:u w:val="none"/>
        </w:rPr>
        <w:t>　　　　</w:t>
      </w:r>
    </w:p>
    <w:p w14:paraId="761A83EB">
      <w:pPr>
        <w:shd w:val="clear" w:color="auto" w:fill="auto"/>
        <w:spacing w:line="360" w:lineRule="auto"/>
        <w:ind w:firstLine="480" w:firstLineChars="200"/>
        <w:jc w:val="left"/>
        <w:rPr>
          <w:rFonts w:hint="eastAsia" w:ascii="仿宋" w:hAnsi="Times New Roman" w:eastAsia="仿宋" w:cs="Times New Roman"/>
          <w:color w:val="auto"/>
          <w:sz w:val="24"/>
          <w:szCs w:val="24"/>
          <w:highlight w:val="none"/>
          <w:u w:val="none"/>
        </w:rPr>
      </w:pPr>
      <w:r>
        <w:rPr>
          <w:rFonts w:hint="eastAsia" w:ascii="仿宋" w:hAnsi="Times New Roman" w:eastAsia="仿宋" w:cs="Times New Roman"/>
          <w:color w:val="auto"/>
          <w:sz w:val="24"/>
          <w:szCs w:val="24"/>
          <w:highlight w:val="none"/>
          <w:u w:val="none"/>
        </w:rPr>
        <w:t>地址：浙江省绍兴市嵊州市三江街道国资综合大楼1004室　　</w:t>
      </w:r>
    </w:p>
    <w:p w14:paraId="3D5787A9">
      <w:pPr>
        <w:shd w:val="clear" w:color="auto" w:fill="auto"/>
        <w:spacing w:line="360" w:lineRule="auto"/>
        <w:ind w:firstLine="480" w:firstLineChars="200"/>
        <w:jc w:val="left"/>
        <w:rPr>
          <w:rFonts w:hint="eastAsia" w:ascii="仿宋" w:hAnsi="Times New Roman" w:eastAsia="仿宋" w:cs="Times New Roman"/>
          <w:color w:val="auto"/>
          <w:sz w:val="24"/>
          <w:szCs w:val="24"/>
          <w:highlight w:val="none"/>
          <w:u w:val="none"/>
        </w:rPr>
      </w:pPr>
      <w:r>
        <w:rPr>
          <w:rFonts w:hint="eastAsia" w:ascii="仿宋" w:hAnsi="Times New Roman" w:eastAsia="仿宋" w:cs="Times New Roman"/>
          <w:color w:val="auto"/>
          <w:sz w:val="24"/>
          <w:szCs w:val="24"/>
          <w:highlight w:val="none"/>
          <w:u w:val="none"/>
        </w:rPr>
        <w:t>传真：</w:t>
      </w:r>
      <w:r>
        <w:rPr>
          <w:rFonts w:hint="eastAsia" w:ascii="仿宋" w:hAnsi="Times New Roman" w:eastAsia="仿宋" w:cs="Times New Roman"/>
          <w:color w:val="auto"/>
          <w:sz w:val="24"/>
          <w:szCs w:val="24"/>
          <w:highlight w:val="none"/>
          <w:u w:val="none"/>
          <w:lang w:val="en-US" w:eastAsia="zh-CN"/>
        </w:rPr>
        <w:t>/</w:t>
      </w:r>
      <w:r>
        <w:rPr>
          <w:rFonts w:hint="eastAsia" w:ascii="仿宋" w:hAnsi="Times New Roman" w:eastAsia="仿宋" w:cs="Times New Roman"/>
          <w:color w:val="auto"/>
          <w:sz w:val="24"/>
          <w:szCs w:val="24"/>
          <w:highlight w:val="none"/>
          <w:u w:val="none"/>
        </w:rPr>
        <w:t xml:space="preserve">　　　 </w:t>
      </w:r>
    </w:p>
    <w:p w14:paraId="002DCC62">
      <w:pPr>
        <w:shd w:val="clear" w:color="auto" w:fill="auto"/>
        <w:spacing w:line="360" w:lineRule="auto"/>
        <w:ind w:firstLine="480" w:firstLineChars="200"/>
        <w:jc w:val="left"/>
        <w:rPr>
          <w:rFonts w:hint="default" w:ascii="仿宋" w:hAnsi="Times New Roman" w:eastAsia="仿宋" w:cs="Times New Roman"/>
          <w:color w:val="auto"/>
          <w:sz w:val="24"/>
          <w:szCs w:val="24"/>
          <w:highlight w:val="none"/>
          <w:u w:val="none"/>
          <w:lang w:val="en-US" w:eastAsia="zh-CN"/>
        </w:rPr>
      </w:pPr>
      <w:r>
        <w:rPr>
          <w:rFonts w:hint="eastAsia" w:ascii="仿宋" w:hAnsi="Times New Roman" w:eastAsia="仿宋" w:cs="Times New Roman"/>
          <w:color w:val="auto"/>
          <w:sz w:val="24"/>
          <w:szCs w:val="24"/>
          <w:highlight w:val="none"/>
          <w:u w:val="none"/>
        </w:rPr>
        <w:t>联系人：</w:t>
      </w:r>
      <w:r>
        <w:rPr>
          <w:rFonts w:hint="eastAsia" w:ascii="仿宋" w:hAnsi="Times New Roman" w:eastAsia="仿宋" w:cs="Times New Roman"/>
          <w:color w:val="auto"/>
          <w:sz w:val="24"/>
          <w:szCs w:val="24"/>
          <w:highlight w:val="none"/>
          <w:u w:val="none"/>
          <w:lang w:val="en-US" w:eastAsia="zh-CN"/>
        </w:rPr>
        <w:t xml:space="preserve"> 郑老师               </w:t>
      </w:r>
    </w:p>
    <w:p w14:paraId="3FF105D7">
      <w:pPr>
        <w:shd w:val="clear" w:color="auto" w:fill="auto"/>
        <w:spacing w:line="360" w:lineRule="auto"/>
        <w:ind w:firstLine="480" w:firstLineChars="200"/>
        <w:jc w:val="left"/>
        <w:rPr>
          <w:rFonts w:hint="eastAsia" w:ascii="仿宋" w:hAnsi="仿宋" w:eastAsia="仿宋" w:cs="仿宋"/>
          <w:color w:val="auto"/>
          <w:sz w:val="24"/>
          <w:highlight w:val="none"/>
        </w:rPr>
      </w:pPr>
      <w:r>
        <w:rPr>
          <w:rFonts w:hint="eastAsia" w:ascii="仿宋" w:hAnsi="Times New Roman" w:eastAsia="仿宋" w:cs="Times New Roman"/>
          <w:color w:val="auto"/>
          <w:sz w:val="24"/>
          <w:szCs w:val="24"/>
          <w:highlight w:val="none"/>
          <w:u w:val="none"/>
        </w:rPr>
        <w:t>监督投诉电话：</w:t>
      </w:r>
      <w:r>
        <w:rPr>
          <w:rFonts w:hint="eastAsia" w:ascii="仿宋" w:hAnsi="Times New Roman" w:eastAsia="仿宋" w:cs="Times New Roman"/>
          <w:color w:val="auto"/>
          <w:sz w:val="24"/>
          <w:szCs w:val="24"/>
          <w:highlight w:val="none"/>
          <w:u w:val="none"/>
          <w:lang w:val="en-US" w:eastAsia="zh-CN"/>
        </w:rPr>
        <w:t>0575-83032507</w:t>
      </w:r>
      <w:r>
        <w:rPr>
          <w:rFonts w:hint="eastAsia" w:ascii="仿宋" w:hAnsi="Times New Roman" w:eastAsia="仿宋" w:cs="Times New Roman"/>
          <w:color w:val="auto"/>
          <w:sz w:val="24"/>
          <w:szCs w:val="24"/>
          <w:highlight w:val="none"/>
          <w:u w:val="none"/>
        </w:rPr>
        <w:t>　</w:t>
      </w:r>
      <w:r>
        <w:rPr>
          <w:rFonts w:hint="eastAsia" w:ascii="仿宋" w:hAnsi="仿宋" w:eastAsia="仿宋" w:cs="仿宋"/>
          <w:color w:val="auto"/>
          <w:sz w:val="24"/>
          <w:highlight w:val="none"/>
        </w:rPr>
        <w:t xml:space="preserve"> </w:t>
      </w:r>
    </w:p>
    <w:p w14:paraId="708946A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2EEEFA7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3B89220B">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4C70FA8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1592BC6F">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5B01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29B84C5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227BEA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54BBD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69D07C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055D611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投标人按照项目要求特许资格、资信证明文件（如果有）：</w:t>
            </w:r>
          </w:p>
          <w:p w14:paraId="1B0DB036">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C539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7BD8AC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5499A6B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1993E08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tc>
      </w:tr>
      <w:tr w14:paraId="5228A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1EE69AB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191A26B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5C7EB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27987CE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2F4754E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2160E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B3FEB9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4FC594D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1BA3C622">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14742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7ED8D00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0C9FE90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4E829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5471E12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7D68C541">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226E498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1F9229D">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621A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E84DBE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5BF7FC7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0125A2A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6DF0A82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627C05C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336C52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BF5B1F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5DD498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2AA0FF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045F17B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5796616">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1313E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39FED46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2E233615">
            <w:pPr>
              <w:spacing w:beforeLines="0" w:afterLines="0" w:line="44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34160385">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10EA70EE">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□B有方案讲解演示：</w:t>
            </w:r>
          </w:p>
          <w:p w14:paraId="1909842C">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501DF61A">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3F4BDAA7">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2F89806A">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67BF256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9FD3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A1D462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238E07F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345ECBB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159768D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9BD2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FEDE2D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4CCF707E">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698B72B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81C6E6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0F977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65BD19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2CB8ACF8">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0E8CE50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农药废弃包装物回收和集中处置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其他未列明</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14:paraId="4A11B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2D5DAFC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6991EA7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4FD6C38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66103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5EF3E4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0786A8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7B7AA53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63A59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849C89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60DB87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4A137A9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233CD66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B1AA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1AAC591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14</w:t>
            </w:r>
          </w:p>
        </w:tc>
        <w:tc>
          <w:tcPr>
            <w:tcW w:w="8370" w:type="dxa"/>
            <w:gridSpan w:val="2"/>
            <w:vAlign w:val="center"/>
          </w:tcPr>
          <w:p w14:paraId="0DC3560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590BF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EDB51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15</w:t>
            </w:r>
          </w:p>
        </w:tc>
        <w:tc>
          <w:tcPr>
            <w:tcW w:w="8370" w:type="dxa"/>
            <w:gridSpan w:val="2"/>
            <w:vAlign w:val="center"/>
          </w:tcPr>
          <w:p w14:paraId="4448288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更正补充公告请自行登录浙江政府采购网查看下载。</w:t>
            </w:r>
          </w:p>
        </w:tc>
      </w:tr>
      <w:tr w14:paraId="44B82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A91C81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16</w:t>
            </w:r>
            <w:r>
              <w:rPr>
                <w:rFonts w:hint="eastAsia" w:ascii="仿宋" w:hAnsi="仿宋" w:eastAsia="仿宋" w:cs="仿宋"/>
                <w:color w:val="auto"/>
                <w:sz w:val="24"/>
                <w:highlight w:val="none"/>
              </w:rPr>
              <w:t xml:space="preserve">                                                                                                                                                                                                                                                                                                                                                                                                                                                                                                                                                                                                                                                                                                                                                                                                                                                                                                                                                                                                                                                                                                                                                                                                                                                                                                                                       </w:t>
            </w:r>
          </w:p>
        </w:tc>
        <w:tc>
          <w:tcPr>
            <w:tcW w:w="8370" w:type="dxa"/>
            <w:gridSpan w:val="2"/>
            <w:vAlign w:val="center"/>
          </w:tcPr>
          <w:p w14:paraId="1FA3137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6B406C4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39EEE25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74160A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443D734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27C9627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3F752E01">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258A023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53B57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0376B6E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17</w:t>
            </w:r>
          </w:p>
        </w:tc>
        <w:tc>
          <w:tcPr>
            <w:tcW w:w="8370" w:type="dxa"/>
            <w:gridSpan w:val="2"/>
            <w:vAlign w:val="center"/>
          </w:tcPr>
          <w:p w14:paraId="45B7D30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1C2A834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134CF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11CE7D2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14:paraId="4272EED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02D8CFF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5BAED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4F9DD26F">
            <w:pPr>
              <w:snapToGrid w:val="0"/>
              <w:spacing w:line="336"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18</w:t>
            </w:r>
          </w:p>
        </w:tc>
        <w:tc>
          <w:tcPr>
            <w:tcW w:w="8370" w:type="dxa"/>
            <w:gridSpan w:val="2"/>
            <w:vAlign w:val="center"/>
          </w:tcPr>
          <w:p w14:paraId="78D75970">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6DAEC943">
            <w:pPr>
              <w:widowControl w:val="0"/>
              <w:autoSpaceDE w:val="0"/>
              <w:autoSpaceDN w:val="0"/>
              <w:snapToGrid w:val="0"/>
              <w:spacing w:line="400" w:lineRule="exact"/>
              <w:textAlignment w:val="bottom"/>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val="en-US" w:eastAsia="zh-CN"/>
              </w:rPr>
              <w:t>1.</w:t>
            </w:r>
            <w:r>
              <w:rPr>
                <w:rFonts w:hint="eastAsia" w:ascii="仿宋" w:hAnsi="仿宋" w:eastAsia="仿宋" w:cs="仿宋"/>
                <w:snapToGrid w:val="0"/>
                <w:color w:val="auto"/>
                <w:kern w:val="28"/>
                <w:sz w:val="24"/>
                <w:highlight w:val="none"/>
              </w:rPr>
              <w:t>中标人须向招标代理机构按如下</w:t>
            </w:r>
            <w:r>
              <w:rPr>
                <w:rFonts w:hint="eastAsia" w:ascii="仿宋" w:hAnsi="仿宋" w:eastAsia="仿宋" w:cs="仿宋"/>
                <w:snapToGrid w:val="0"/>
                <w:color w:val="auto"/>
                <w:kern w:val="28"/>
                <w:sz w:val="24"/>
                <w:highlight w:val="none"/>
                <w:lang w:val="en-US" w:eastAsia="zh-CN"/>
              </w:rPr>
              <w:t>收费</w:t>
            </w:r>
            <w:r>
              <w:rPr>
                <w:rFonts w:hint="eastAsia" w:ascii="仿宋" w:hAnsi="仿宋" w:eastAsia="仿宋" w:cs="仿宋"/>
                <w:snapToGrid w:val="0"/>
                <w:color w:val="auto"/>
                <w:kern w:val="28"/>
                <w:sz w:val="24"/>
                <w:highlight w:val="none"/>
              </w:rPr>
              <w:t>标准和规定交纳中标服务费</w:t>
            </w:r>
            <w:r>
              <w:rPr>
                <w:rFonts w:hint="eastAsia" w:ascii="仿宋" w:hAnsi="仿宋" w:eastAsia="仿宋" w:cs="仿宋"/>
                <w:snapToGrid w:val="0"/>
                <w:color w:val="auto"/>
                <w:kern w:val="28"/>
                <w:sz w:val="24"/>
                <w:highlight w:val="none"/>
                <w:lang w:val="en-US" w:eastAsia="zh-CN"/>
              </w:rPr>
              <w:t>；其他费用按实收取，</w:t>
            </w:r>
            <w:r>
              <w:rPr>
                <w:rFonts w:hint="eastAsia" w:ascii="仿宋" w:hAnsi="仿宋" w:eastAsia="仿宋" w:cs="仿宋"/>
                <w:snapToGrid w:val="0"/>
                <w:color w:val="auto"/>
                <w:kern w:val="28"/>
                <w:sz w:val="24"/>
                <w:highlight w:val="none"/>
              </w:rPr>
              <w:t>中标单位在领取中标通知书前支付</w:t>
            </w:r>
            <w:r>
              <w:rPr>
                <w:rFonts w:hint="eastAsia" w:ascii="仿宋" w:hAnsi="仿宋" w:eastAsia="仿宋" w:cs="仿宋"/>
                <w:color w:val="auto"/>
                <w:szCs w:val="24"/>
                <w:highlight w:val="none"/>
                <w:lang w:eastAsia="zh-CN"/>
              </w:rPr>
              <w:t>；</w:t>
            </w:r>
            <w:r>
              <w:rPr>
                <w:rFonts w:hint="eastAsia" w:ascii="仿宋" w:hAnsi="仿宋" w:eastAsia="仿宋" w:cs="仿宋"/>
                <w:snapToGrid w:val="0"/>
                <w:color w:val="auto"/>
                <w:kern w:val="28"/>
                <w:sz w:val="24"/>
                <w:highlight w:val="none"/>
              </w:rPr>
              <w:t>请在投标报价中自行考虑：</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52"/>
              <w:gridCol w:w="2223"/>
              <w:gridCol w:w="1524"/>
            </w:tblGrid>
            <w:tr w14:paraId="3D6DB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2752" w:type="dxa"/>
                  <w:tcBorders>
                    <w:tl2br w:val="single" w:color="auto" w:sz="4" w:space="0"/>
                  </w:tcBorders>
                  <w:noWrap w:val="0"/>
                  <w:vAlign w:val="top"/>
                </w:tcPr>
                <w:p w14:paraId="6BC2776F">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firstLine="1365" w:firstLineChars="65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费率</w:t>
                  </w:r>
                </w:p>
                <w:p w14:paraId="7CEFF7F2">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中标金额（万元）</w:t>
                  </w:r>
                </w:p>
              </w:tc>
              <w:tc>
                <w:tcPr>
                  <w:tcW w:w="2223" w:type="dxa"/>
                  <w:noWrap w:val="0"/>
                  <w:vAlign w:val="top"/>
                </w:tcPr>
                <w:p w14:paraId="7E697FA1">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highlight w:val="none"/>
                    </w:rPr>
                  </w:pPr>
                  <w:r>
                    <w:rPr>
                      <w:rFonts w:hint="eastAsia" w:ascii="仿宋" w:hAnsi="仿宋" w:eastAsia="仿宋" w:cs="仿宋"/>
                      <w:color w:val="auto"/>
                      <w:szCs w:val="21"/>
                      <w:highlight w:val="none"/>
                    </w:rPr>
                    <w:t>服务招标</w:t>
                  </w:r>
                  <w:r>
                    <w:rPr>
                      <w:rFonts w:hint="eastAsia" w:ascii="仿宋" w:hAnsi="仿宋" w:eastAsia="仿宋" w:cs="仿宋"/>
                      <w:color w:val="auto"/>
                      <w:highlight w:val="none"/>
                    </w:rPr>
                    <w:t>（%）</w:t>
                  </w:r>
                </w:p>
              </w:tc>
              <w:tc>
                <w:tcPr>
                  <w:tcW w:w="1524" w:type="dxa"/>
                  <w:noWrap w:val="0"/>
                  <w:vAlign w:val="top"/>
                </w:tcPr>
                <w:p w14:paraId="506A6277">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备注</w:t>
                  </w:r>
                </w:p>
              </w:tc>
            </w:tr>
            <w:tr w14:paraId="57957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2752" w:type="dxa"/>
                  <w:noWrap w:val="0"/>
                  <w:vAlign w:val="top"/>
                </w:tcPr>
                <w:p w14:paraId="62240649">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100以下</w:t>
                  </w:r>
                </w:p>
              </w:tc>
              <w:tc>
                <w:tcPr>
                  <w:tcW w:w="2223" w:type="dxa"/>
                  <w:noWrap w:val="0"/>
                  <w:vAlign w:val="top"/>
                </w:tcPr>
                <w:p w14:paraId="191EA964">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1.5</w:t>
                  </w:r>
                </w:p>
              </w:tc>
              <w:tc>
                <w:tcPr>
                  <w:tcW w:w="1524" w:type="dxa"/>
                  <w:noWrap w:val="0"/>
                  <w:vAlign w:val="top"/>
                </w:tcPr>
                <w:p w14:paraId="7E3328F5">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highlight w:val="none"/>
                    </w:rPr>
                  </w:pPr>
                </w:p>
              </w:tc>
            </w:tr>
            <w:tr w14:paraId="43590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752" w:type="dxa"/>
                  <w:noWrap w:val="0"/>
                  <w:vAlign w:val="top"/>
                </w:tcPr>
                <w:p w14:paraId="659BCB91">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100—500</w:t>
                  </w:r>
                </w:p>
              </w:tc>
              <w:tc>
                <w:tcPr>
                  <w:tcW w:w="2223" w:type="dxa"/>
                  <w:noWrap w:val="0"/>
                  <w:vAlign w:val="top"/>
                </w:tcPr>
                <w:p w14:paraId="4F1AD7D0">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0.8</w:t>
                  </w:r>
                </w:p>
              </w:tc>
              <w:tc>
                <w:tcPr>
                  <w:tcW w:w="1524" w:type="dxa"/>
                  <w:noWrap w:val="0"/>
                  <w:vAlign w:val="top"/>
                </w:tcPr>
                <w:p w14:paraId="12A51073">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highlight w:val="none"/>
                    </w:rPr>
                  </w:pPr>
                </w:p>
              </w:tc>
            </w:tr>
            <w:tr w14:paraId="22CD5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752" w:type="dxa"/>
                  <w:noWrap w:val="0"/>
                  <w:vAlign w:val="top"/>
                </w:tcPr>
                <w:p w14:paraId="2EBAF467">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500-1000</w:t>
                  </w:r>
                </w:p>
              </w:tc>
              <w:tc>
                <w:tcPr>
                  <w:tcW w:w="2223" w:type="dxa"/>
                  <w:noWrap w:val="0"/>
                  <w:vAlign w:val="top"/>
                </w:tcPr>
                <w:p w14:paraId="37BBA698">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jc w:val="center"/>
                    <w:textAlignment w:val="auto"/>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0.45</w:t>
                  </w:r>
                </w:p>
              </w:tc>
              <w:tc>
                <w:tcPr>
                  <w:tcW w:w="1524" w:type="dxa"/>
                  <w:noWrap w:val="0"/>
                  <w:vAlign w:val="top"/>
                </w:tcPr>
                <w:p w14:paraId="3020B371">
                  <w:pPr>
                    <w:keepNext w:val="0"/>
                    <w:keepLines w:val="0"/>
                    <w:pageBreakBefore w:val="0"/>
                    <w:widowControl/>
                    <w:kinsoku/>
                    <w:wordWrap/>
                    <w:overflowPunct/>
                    <w:topLinePunct w:val="0"/>
                    <w:autoSpaceDE/>
                    <w:autoSpaceDN/>
                    <w:bidi w:val="0"/>
                    <w:adjustRightInd/>
                    <w:snapToGrid/>
                    <w:spacing w:beforeAutospacing="0" w:afterAutospacing="0" w:line="500" w:lineRule="exact"/>
                    <w:ind w:right="0" w:rightChars="0"/>
                    <w:textAlignment w:val="auto"/>
                    <w:outlineLvl w:val="9"/>
                    <w:rPr>
                      <w:rFonts w:hint="eastAsia" w:ascii="仿宋" w:hAnsi="仿宋" w:eastAsia="仿宋" w:cs="仿宋"/>
                      <w:color w:val="auto"/>
                      <w:highlight w:val="none"/>
                    </w:rPr>
                  </w:pPr>
                </w:p>
              </w:tc>
            </w:tr>
          </w:tbl>
          <w:p w14:paraId="0364320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2.中标服务费的交纳方式：</w:t>
            </w:r>
          </w:p>
          <w:p w14:paraId="55F2CF3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用银行支票、汇票、电汇、现金等付款方式交纳中标服务费。</w:t>
            </w:r>
          </w:p>
          <w:p w14:paraId="5FF3E48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公司名称：浙江建诚工程管理咨询有限公司嵊州分公司</w:t>
            </w:r>
          </w:p>
          <w:p w14:paraId="197AD8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开  户：中国银行嵊州城东支行</w:t>
            </w:r>
          </w:p>
          <w:p w14:paraId="4A50C95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snapToGrid w:val="0"/>
                <w:color w:val="auto"/>
                <w:kern w:val="28"/>
                <w:sz w:val="24"/>
                <w:highlight w:val="none"/>
              </w:rPr>
              <w:t>账  号：368871510337</w:t>
            </w:r>
          </w:p>
        </w:tc>
      </w:tr>
      <w:tr w14:paraId="3E0EC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2AFF13C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1666C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1CAD6E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4"/>
    </w:tbl>
    <w:p w14:paraId="176321CF">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highlight w:val="none"/>
        </w:rPr>
      </w:pPr>
      <w:bookmarkStart w:id="17" w:name="_Toc164416483"/>
      <w:bookmarkStart w:id="18" w:name="第三部分"/>
    </w:p>
    <w:p w14:paraId="2964CE6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40ECA1EC">
      <w:pPr>
        <w:keepNext w:val="0"/>
        <w:keepLines w:val="0"/>
        <w:pageBreakBefore w:val="0"/>
        <w:kinsoku/>
        <w:wordWrap/>
        <w:overflowPunct/>
        <w:topLinePunct w:val="0"/>
        <w:autoSpaceDE/>
        <w:autoSpaceDN/>
        <w:bidi w:val="0"/>
        <w:snapToGrid w:val="0"/>
        <w:spacing w:beforeAutospacing="0" w:line="440" w:lineRule="exact"/>
        <w:ind w:left="0" w:leftChars="0" w:firstLine="0" w:firstLineChars="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2760D92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BA50D4C">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3F76D4C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495646C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5E79B60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714FA8F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7686EEB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0F4CBA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367E53F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7C5EBC6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00D28B7D">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3.采购项目需要落实的政府采购政策</w:t>
      </w:r>
    </w:p>
    <w:p w14:paraId="180D3C0D">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8A51574">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14:paraId="0553BCFA">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18BFDA66">
      <w:pPr>
        <w:spacing w:line="440" w:lineRule="exact"/>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★3.2.2采购人拟采购的产品属于政府强制采购的节能产品品目清单范围的，投标人未按招标文件要求提供国家确定的认证机构出具的、处于有效期之内的节能产品认证证书，投标无效。</w:t>
      </w:r>
    </w:p>
    <w:p w14:paraId="2CDD9AA9">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3</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纳入政府采购管理的修缮、装修类项目采购建材的，采购单位</w:t>
      </w:r>
      <w:r>
        <w:rPr>
          <w:rFonts w:hint="eastAsia" w:ascii="仿宋_GB2312" w:hAnsi="仿宋" w:eastAsia="仿宋_GB2312"/>
          <w:color w:val="auto"/>
          <w:sz w:val="24"/>
          <w:highlight w:val="none"/>
          <w:lang w:eastAsia="zh-CN"/>
        </w:rPr>
        <w:t>应</w:t>
      </w:r>
      <w:r>
        <w:rPr>
          <w:rFonts w:hint="eastAsia" w:ascii="仿宋_GB2312" w:hAnsi="仿宋" w:eastAsia="仿宋_GB2312"/>
          <w:color w:val="auto"/>
          <w:sz w:val="24"/>
          <w:highlight w:val="none"/>
        </w:rPr>
        <w:t>将绿色建材性能、指标等作为实质性条件纳入采购文件和合同，具体性能指标要求</w:t>
      </w:r>
      <w:r>
        <w:rPr>
          <w:rFonts w:hint="eastAsia" w:ascii="仿宋_GB2312" w:hAnsi="仿宋" w:eastAsia="仿宋_GB2312"/>
          <w:color w:val="auto"/>
          <w:sz w:val="24"/>
          <w:highlight w:val="none"/>
          <w:lang w:eastAsia="zh-CN"/>
        </w:rPr>
        <w:t>按照</w:t>
      </w:r>
      <w:r>
        <w:rPr>
          <w:rFonts w:hint="eastAsia" w:ascii="仿宋_GB2312" w:hAnsi="仿宋" w:eastAsia="仿宋_GB2312"/>
          <w:color w:val="auto"/>
          <w:sz w:val="24"/>
          <w:highlight w:val="none"/>
        </w:rPr>
        <w:t>相关绿色建材政府采购需求标准</w:t>
      </w:r>
      <w:r>
        <w:rPr>
          <w:rFonts w:hint="eastAsia" w:ascii="仿宋_GB2312" w:hAnsi="仿宋" w:eastAsia="仿宋_GB2312"/>
          <w:color w:val="auto"/>
          <w:sz w:val="24"/>
          <w:highlight w:val="none"/>
          <w:lang w:eastAsia="zh-CN"/>
        </w:rPr>
        <w:t>执行</w:t>
      </w:r>
      <w:r>
        <w:rPr>
          <w:rFonts w:hint="eastAsia" w:ascii="仿宋_GB2312" w:hAnsi="仿宋" w:eastAsia="仿宋_GB2312"/>
          <w:color w:val="auto"/>
          <w:sz w:val="24"/>
          <w:highlight w:val="none"/>
        </w:rPr>
        <w:t>。</w:t>
      </w:r>
    </w:p>
    <w:p w14:paraId="56983190">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7658A7F">
      <w:pPr>
        <w:spacing w:line="440" w:lineRule="exact"/>
        <w:rPr>
          <w:rFonts w:hint="eastAsia" w:ascii="仿宋" w:hAnsi="仿宋" w:eastAsia="仿宋" w:cs="仿宋"/>
          <w:color w:val="auto"/>
          <w:sz w:val="24"/>
          <w:highlight w:val="none"/>
        </w:rPr>
      </w:pPr>
      <w:r>
        <w:rPr>
          <w:rFonts w:hint="eastAsia" w:ascii="仿宋_GB2312" w:hAnsi="宋体" w:eastAsia="仿宋_GB2312"/>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2129511E">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w:t>
      </w:r>
      <w:r>
        <w:rPr>
          <w:rFonts w:hint="eastAsia" w:ascii="仿宋_GB2312" w:hAnsi="仿宋" w:eastAsia="仿宋_GB2312"/>
          <w:bCs/>
          <w:color w:val="auto"/>
          <w:sz w:val="24"/>
          <w:highlight w:val="none"/>
        </w:rPr>
        <w:t>小微</w:t>
      </w:r>
      <w:r>
        <w:rPr>
          <w:rFonts w:hint="eastAsia" w:ascii="仿宋_GB2312" w:hAnsi="仿宋" w:eastAsia="仿宋_GB2312"/>
          <w:color w:val="auto"/>
          <w:sz w:val="24"/>
          <w:highlight w:val="none"/>
        </w:rPr>
        <w:t>企业价格扣除</w:t>
      </w:r>
    </w:p>
    <w:p w14:paraId="1280F5E4">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7E794E97">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14:paraId="34ADBE64">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14:paraId="6BEC0050">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14:paraId="3FE14B7A">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3.3.4小微企业应按照招标文件格式要求提供《中小企业声明函》。</w:t>
      </w:r>
    </w:p>
    <w:p w14:paraId="50EA6FBC">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_GB2312" w:hAnsi="仿宋" w:eastAsia="仿宋_GB2312"/>
          <w:color w:val="auto"/>
          <w:sz w:val="24"/>
          <w:highlight w:val="none"/>
          <w:lang w:val="en-US" w:eastAsia="zh-CN"/>
        </w:rPr>
        <w:t>20%</w:t>
      </w:r>
      <w:r>
        <w:rPr>
          <w:rFonts w:hint="eastAsia" w:ascii="仿宋_GB2312" w:hAnsi="仿宋" w:eastAsia="仿宋_GB2312"/>
          <w:color w:val="auto"/>
          <w:sz w:val="24"/>
          <w:highlight w:val="none"/>
        </w:rPr>
        <w:t>的扣除，用扣除后的价格参加评审。</w:t>
      </w:r>
    </w:p>
    <w:p w14:paraId="7C47CA33">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_GB2312" w:hAnsi="仿宋" w:eastAsia="仿宋_GB2312"/>
          <w:color w:val="auto"/>
          <w:sz w:val="24"/>
          <w:highlight w:val="none"/>
          <w:lang w:val="en-US" w:eastAsia="zh-CN"/>
        </w:rPr>
        <w:t>6%</w:t>
      </w:r>
      <w:r>
        <w:rPr>
          <w:rFonts w:hint="eastAsia"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14:paraId="341390B9">
      <w:pPr>
        <w:spacing w:line="440" w:lineRule="exact"/>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以联合体形式参加政府采购活动， 联合体各方均为中小企业的，联合体视同中小企业。其中，联合体各方均为小微企业的，联合体视同小微企业。</w:t>
      </w:r>
    </w:p>
    <w:p w14:paraId="746BE31F">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3.3.7符合《关于促进残疾人就业政府采购政策的通知》（财库〔2017〕141号）规定的条件并提供《残疾人福利性单位声明函》的残疾人福利性单位视同小微企业；</w:t>
      </w:r>
    </w:p>
    <w:p w14:paraId="1C2807C4">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80C18CE">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支持科技创新发展</w:t>
      </w:r>
    </w:p>
    <w:p w14:paraId="5AA629FD">
      <w:pPr>
        <w:spacing w:line="440" w:lineRule="exact"/>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对省级以上主管部门认定的首台套产品，自纳入《省推广应用指导目录》起三年内参加政府采购活动，视同已具备相应销售业绩，业绩分为满分。</w:t>
      </w:r>
    </w:p>
    <w:p w14:paraId="0DEE9D04">
      <w:pPr>
        <w:spacing w:line="336" w:lineRule="auto"/>
        <w:rPr>
          <w:rFonts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278473A">
      <w:pPr>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E7AC045">
      <w:pPr>
        <w:spacing w:line="440" w:lineRule="exact"/>
        <w:rPr>
          <w:rFonts w:ascii="仿宋_GB2312" w:hAnsi="仿宋" w:eastAsia="仿宋_GB2312"/>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color w:val="auto"/>
          <w:sz w:val="24"/>
          <w:highlight w:val="none"/>
        </w:rPr>
        <w:t>4.特别说明：</w:t>
      </w:r>
    </w:p>
    <w:p w14:paraId="79B060B5">
      <w:pPr>
        <w:spacing w:line="440" w:lineRule="exact"/>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4.1供应商投标所使用的资格、信誉、荣誉、业绩与企业认证必须为投标单位所拥有。</w:t>
      </w:r>
    </w:p>
    <w:p w14:paraId="354FF6E3">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14:paraId="04F1BC2B">
      <w:pPr>
        <w:spacing w:line="440" w:lineRule="exact"/>
        <w:rPr>
          <w:rFonts w:hint="eastAsia"/>
          <w:color w:val="auto"/>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71F3908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06787685">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0F9EAE19">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30FB651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2689BC6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5CB9079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4350869B">
      <w:pPr>
        <w:pStyle w:val="25"/>
        <w:keepNext w:val="0"/>
        <w:keepLines w:val="0"/>
        <w:pageBreakBefore w:val="0"/>
        <w:kinsoku/>
        <w:wordWrap/>
        <w:overflowPunct/>
        <w:topLinePunct w:val="0"/>
        <w:autoSpaceDE/>
        <w:autoSpaceDN/>
        <w:bidi w:val="0"/>
        <w:snapToGrid w:val="0"/>
        <w:spacing w:line="440" w:lineRule="exact"/>
        <w:ind w:left="0" w:leftChars="0"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32BF731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713E6B5C">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1A71754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091F6F05">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7BF5B96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18E8E9E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13FD971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3FF08CD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41648C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0AD97F9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7BB7109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243B261C">
      <w:pPr>
        <w:keepNext w:val="0"/>
        <w:keepLines w:val="0"/>
        <w:pageBreakBefore w:val="0"/>
        <w:widowControl w:val="0"/>
        <w:kinsoku/>
        <w:wordWrap/>
        <w:overflowPunct/>
        <w:topLinePunct w:val="0"/>
        <w:autoSpaceDE/>
        <w:autoSpaceDN/>
        <w:bidi w:val="0"/>
        <w:adjustRightInd w:val="0"/>
        <w:snapToGrid w:val="0"/>
        <w:spacing w:line="440" w:lineRule="exact"/>
        <w:ind w:left="0" w:firstLine="0" w:firstLineChars="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6C2CF75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47620B0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2B499CE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1A0A0E3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3BA4EC6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0723D9AF">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5EAE13FC">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1A2E7BA7">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57DC334E">
      <w:pPr>
        <w:pStyle w:val="33"/>
        <w:keepNext w:val="0"/>
        <w:keepLines w:val="0"/>
        <w:pageBreakBefore w:val="0"/>
        <w:widowControl w:val="0"/>
        <w:kinsoku/>
        <w:wordWrap/>
        <w:overflowPunct/>
        <w:topLinePunct w:val="0"/>
        <w:autoSpaceDE/>
        <w:autoSpaceDN/>
        <w:bidi w:val="0"/>
        <w:adjustRightInd w:val="0"/>
        <w:spacing w:beforeAutospacing="0"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3DDE5416">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“资格文件”、“商务技术（资信）文件资料”、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71A13572">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2.1资格文件</w:t>
      </w:r>
    </w:p>
    <w:p w14:paraId="3A999D29">
      <w:pPr>
        <w:spacing w:line="440" w:lineRule="exact"/>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2.1.1</w:t>
      </w:r>
      <w:r>
        <w:rPr>
          <w:rFonts w:hint="default" w:ascii="仿宋" w:hAnsi="仿宋" w:eastAsia="仿宋" w:cs="仿宋"/>
          <w:color w:val="auto"/>
          <w:sz w:val="24"/>
          <w:highlight w:val="none"/>
          <w:lang w:val="en-US" w:eastAsia="zh-CN"/>
        </w:rPr>
        <w:t>符合参加政府采购活动应当具备的一般条件的承诺函</w:t>
      </w:r>
      <w:r>
        <w:rPr>
          <w:rFonts w:hint="eastAsia" w:ascii="仿宋" w:hAnsi="仿宋" w:eastAsia="仿宋" w:cs="仿宋"/>
          <w:color w:val="auto"/>
          <w:sz w:val="24"/>
          <w:highlight w:val="none"/>
          <w:lang w:val="en-US" w:eastAsia="zh-CN"/>
        </w:rPr>
        <w:t>；</w:t>
      </w:r>
    </w:p>
    <w:p w14:paraId="5A6DE287">
      <w:pPr>
        <w:spacing w:line="440" w:lineRule="exact"/>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2.1.2</w:t>
      </w:r>
      <w:r>
        <w:rPr>
          <w:rFonts w:hint="default" w:ascii="仿宋" w:hAnsi="仿宋" w:eastAsia="仿宋" w:cs="仿宋"/>
          <w:color w:val="auto"/>
          <w:sz w:val="24"/>
          <w:highlight w:val="none"/>
          <w:lang w:val="en-US" w:eastAsia="zh-CN"/>
        </w:rPr>
        <w:t>落实政府采购政策需满足的资格要求</w:t>
      </w:r>
      <w:r>
        <w:rPr>
          <w:rFonts w:hint="eastAsia" w:ascii="仿宋" w:hAnsi="仿宋" w:eastAsia="仿宋" w:cs="仿宋"/>
          <w:color w:val="auto"/>
          <w:sz w:val="24"/>
          <w:highlight w:val="none"/>
          <w:lang w:val="en-US" w:eastAsia="zh-CN"/>
        </w:rPr>
        <w:t>；</w:t>
      </w:r>
    </w:p>
    <w:p w14:paraId="72C4DCF7">
      <w:pPr>
        <w:spacing w:line="440" w:lineRule="exact"/>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2.1.3</w:t>
      </w:r>
      <w:r>
        <w:rPr>
          <w:rFonts w:hint="default" w:ascii="仿宋" w:hAnsi="仿宋" w:eastAsia="仿宋" w:cs="仿宋"/>
          <w:color w:val="auto"/>
          <w:sz w:val="24"/>
          <w:highlight w:val="none"/>
          <w:lang w:val="en-US" w:eastAsia="zh-CN"/>
        </w:rPr>
        <w:t>本项目的特定资格要求</w:t>
      </w:r>
      <w:r>
        <w:rPr>
          <w:rFonts w:hint="eastAsia" w:ascii="仿宋" w:hAnsi="仿宋" w:eastAsia="仿宋" w:cs="仿宋"/>
          <w:color w:val="auto"/>
          <w:sz w:val="24"/>
          <w:highlight w:val="none"/>
          <w:lang w:val="en-US" w:eastAsia="zh-CN"/>
        </w:rPr>
        <w:t>；</w:t>
      </w:r>
    </w:p>
    <w:p w14:paraId="4947BAA2">
      <w:pPr>
        <w:spacing w:line="440" w:lineRule="exact"/>
        <w:ind w:firstLine="480" w:firstLineChars="2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2.1.4</w:t>
      </w:r>
      <w:r>
        <w:rPr>
          <w:rFonts w:hint="default" w:ascii="仿宋" w:hAnsi="仿宋" w:eastAsia="仿宋" w:cs="仿宋"/>
          <w:color w:val="auto"/>
          <w:sz w:val="24"/>
          <w:highlight w:val="none"/>
          <w:lang w:val="en-US" w:eastAsia="zh-CN"/>
        </w:rPr>
        <w:t>营业执照</w:t>
      </w:r>
      <w:r>
        <w:rPr>
          <w:rFonts w:hint="eastAsia" w:ascii="仿宋" w:hAnsi="仿宋" w:eastAsia="仿宋" w:cs="仿宋"/>
          <w:color w:val="auto"/>
          <w:sz w:val="24"/>
          <w:highlight w:val="none"/>
          <w:lang w:val="en-US" w:eastAsia="zh-CN"/>
        </w:rPr>
        <w:t>；</w:t>
      </w:r>
    </w:p>
    <w:p w14:paraId="487AAFCD">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2.2商务技术（资信）文件资料</w:t>
      </w:r>
    </w:p>
    <w:p w14:paraId="52EE6102">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highlight w:val="none"/>
          <w:lang w:val="en-US" w:eastAsia="zh-CN"/>
        </w:rPr>
        <w:t>2.2.1</w:t>
      </w:r>
      <w:r>
        <w:rPr>
          <w:rFonts w:hint="eastAsia" w:ascii="仿宋" w:eastAsia="仿宋" w:cs="仿宋"/>
          <w:color w:val="auto"/>
          <w:highlight w:val="none"/>
          <w:lang w:eastAsia="zh-CN"/>
        </w:rPr>
        <w:t>投标函；</w:t>
      </w:r>
    </w:p>
    <w:p w14:paraId="25912FEC">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highlight w:val="none"/>
          <w:lang w:val="en-US" w:eastAsia="zh-CN"/>
        </w:rPr>
        <w:t>2.2.2</w:t>
      </w:r>
      <w:r>
        <w:rPr>
          <w:rFonts w:hint="eastAsia" w:ascii="仿宋" w:eastAsia="仿宋" w:cs="仿宋"/>
          <w:color w:val="auto"/>
          <w:highlight w:val="none"/>
        </w:rPr>
        <w:t>法定代表人授权书</w:t>
      </w:r>
      <w:r>
        <w:rPr>
          <w:rFonts w:hint="eastAsia" w:ascii="仿宋" w:eastAsia="仿宋" w:cs="仿宋"/>
          <w:color w:val="auto"/>
          <w:highlight w:val="none"/>
          <w:lang w:eastAsia="zh-CN"/>
        </w:rPr>
        <w:t>；</w:t>
      </w:r>
    </w:p>
    <w:p w14:paraId="6DD9F8D1">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0"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kern w:val="2"/>
          <w:sz w:val="24"/>
          <w:szCs w:val="24"/>
          <w:lang w:val="en-US" w:eastAsia="zh-CN" w:bidi="ar-SA"/>
        </w:rPr>
        <w:t>2.2.3</w:t>
      </w:r>
      <w:r>
        <w:rPr>
          <w:rFonts w:hint="eastAsia" w:ascii="仿宋" w:eastAsia="仿宋" w:cs="仿宋"/>
          <w:color w:val="auto"/>
          <w:highlight w:val="none"/>
        </w:rPr>
        <w:t>法定代表人及其授权代表身份证复印件（复印件）</w:t>
      </w:r>
      <w:r>
        <w:rPr>
          <w:rFonts w:hint="eastAsia" w:ascii="仿宋" w:eastAsia="仿宋" w:cs="仿宋"/>
          <w:color w:val="auto"/>
          <w:highlight w:val="none"/>
          <w:lang w:eastAsia="zh-CN"/>
        </w:rPr>
        <w:t>；</w:t>
      </w:r>
    </w:p>
    <w:p w14:paraId="10BD2FDB">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0"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highlight w:val="none"/>
          <w:lang w:val="en-US" w:eastAsia="zh-CN"/>
        </w:rPr>
        <w:t>2.2.4</w:t>
      </w:r>
      <w:r>
        <w:rPr>
          <w:rFonts w:hint="eastAsia" w:ascii="仿宋" w:eastAsia="仿宋" w:cs="仿宋"/>
          <w:color w:val="auto"/>
          <w:highlight w:val="none"/>
        </w:rPr>
        <w:t>法定代表人身份证明书</w:t>
      </w:r>
      <w:r>
        <w:rPr>
          <w:rFonts w:hint="eastAsia" w:ascii="仿宋" w:eastAsia="仿宋" w:cs="仿宋"/>
          <w:color w:val="auto"/>
          <w:highlight w:val="none"/>
          <w:lang w:eastAsia="zh-CN"/>
        </w:rPr>
        <w:t>；</w:t>
      </w:r>
    </w:p>
    <w:p w14:paraId="1FBB1825">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0"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kern w:val="2"/>
          <w:sz w:val="24"/>
          <w:szCs w:val="24"/>
          <w:lang w:val="en-US" w:eastAsia="zh-CN" w:bidi="ar-SA"/>
        </w:rPr>
        <w:t>2.2.5</w:t>
      </w:r>
      <w:r>
        <w:rPr>
          <w:rFonts w:hint="eastAsia" w:ascii="仿宋" w:eastAsia="仿宋" w:cs="仿宋"/>
          <w:color w:val="auto"/>
          <w:highlight w:val="none"/>
          <w:lang w:val="en-US" w:eastAsia="zh-CN"/>
        </w:rPr>
        <w:t>技术偏离表</w:t>
      </w:r>
      <w:r>
        <w:rPr>
          <w:rFonts w:hint="eastAsia" w:ascii="仿宋" w:eastAsia="仿宋" w:cs="仿宋"/>
          <w:color w:val="auto"/>
          <w:highlight w:val="none"/>
          <w:lang w:eastAsia="zh-CN"/>
        </w:rPr>
        <w:t>；</w:t>
      </w:r>
    </w:p>
    <w:p w14:paraId="40E6B830">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0"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kern w:val="2"/>
          <w:sz w:val="24"/>
          <w:szCs w:val="24"/>
          <w:lang w:val="en-US" w:eastAsia="zh-CN" w:bidi="ar-SA"/>
        </w:rPr>
        <w:t>2.2.6</w:t>
      </w:r>
      <w:r>
        <w:rPr>
          <w:rFonts w:hint="eastAsia" w:ascii="仿宋" w:eastAsia="仿宋" w:cs="仿宋"/>
          <w:color w:val="auto"/>
          <w:highlight w:val="none"/>
        </w:rPr>
        <w:t>商务</w:t>
      </w:r>
      <w:r>
        <w:rPr>
          <w:rFonts w:hint="eastAsia" w:ascii="仿宋" w:eastAsia="仿宋" w:cs="仿宋"/>
          <w:color w:val="auto"/>
          <w:highlight w:val="none"/>
          <w:lang w:val="en-US" w:eastAsia="zh-CN"/>
        </w:rPr>
        <w:t>响应表</w:t>
      </w:r>
      <w:r>
        <w:rPr>
          <w:rFonts w:hint="eastAsia" w:ascii="仿宋" w:eastAsia="仿宋" w:cs="仿宋"/>
          <w:color w:val="auto"/>
          <w:highlight w:val="none"/>
          <w:lang w:eastAsia="zh-CN"/>
        </w:rPr>
        <w:t>表；</w:t>
      </w:r>
    </w:p>
    <w:p w14:paraId="65E32270">
      <w:pPr>
        <w:keepNext w:val="0"/>
        <w:keepLines w:val="0"/>
        <w:pageBreakBefore w:val="0"/>
        <w:widowControl w:val="0"/>
        <w:kinsoku/>
        <w:wordWrap/>
        <w:overflowPunct/>
        <w:topLinePunct w:val="0"/>
        <w:autoSpaceDE/>
        <w:autoSpaceDN/>
        <w:bidi w:val="0"/>
        <w:adjustRightInd w:val="0"/>
        <w:snapToGrid/>
        <w:spacing w:line="360" w:lineRule="auto"/>
        <w:ind w:right="-510" w:rightChars="-243" w:firstLine="480" w:firstLineChars="200"/>
        <w:jc w:val="both"/>
        <w:textAlignment w:val="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2.2.7</w:t>
      </w:r>
      <w:r>
        <w:rPr>
          <w:rFonts w:hint="eastAsia" w:ascii="仿宋_GB2312" w:hAnsi="仿宋_GB2312" w:eastAsia="仿宋_GB2312" w:cs="仿宋_GB2312"/>
          <w:color w:val="auto"/>
          <w:sz w:val="24"/>
          <w:highlight w:val="none"/>
          <w:lang w:val="zh-CN"/>
        </w:rPr>
        <w:t>主要业绩证明；</w:t>
      </w:r>
    </w:p>
    <w:p w14:paraId="1ED22F3D">
      <w:pPr>
        <w:keepNext w:val="0"/>
        <w:keepLines w:val="0"/>
        <w:pageBreakBefore w:val="0"/>
        <w:widowControl w:val="0"/>
        <w:kinsoku/>
        <w:wordWrap/>
        <w:overflowPunct/>
        <w:topLinePunct w:val="0"/>
        <w:autoSpaceDE/>
        <w:autoSpaceDN/>
        <w:bidi w:val="0"/>
        <w:adjustRightInd w:val="0"/>
        <w:snapToGrid/>
        <w:spacing w:line="360" w:lineRule="auto"/>
        <w:ind w:right="-510" w:rightChars="-243" w:firstLine="480" w:firstLineChars="200"/>
        <w:jc w:val="both"/>
        <w:textAlignment w:val="auto"/>
        <w:outlineLvl w:val="0"/>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val="en-US" w:eastAsia="zh-CN"/>
        </w:rPr>
        <w:t>2.2.8投标单位仓储</w:t>
      </w:r>
      <w:r>
        <w:rPr>
          <w:rFonts w:hint="eastAsia" w:ascii="仿宋_GB2312" w:hAnsi="仿宋_GB2312" w:eastAsia="仿宋_GB2312" w:cs="仿宋_GB2312"/>
          <w:color w:val="auto"/>
          <w:kern w:val="0"/>
          <w:sz w:val="24"/>
          <w:highlight w:val="none"/>
          <w:lang w:eastAsia="zh-CN"/>
        </w:rPr>
        <w:t>；</w:t>
      </w:r>
    </w:p>
    <w:p w14:paraId="1BD2BA14">
      <w:pPr>
        <w:keepNext w:val="0"/>
        <w:keepLines w:val="0"/>
        <w:pageBreakBefore w:val="0"/>
        <w:widowControl w:val="0"/>
        <w:kinsoku/>
        <w:wordWrap/>
        <w:overflowPunct/>
        <w:topLinePunct w:val="0"/>
        <w:autoSpaceDE/>
        <w:autoSpaceDN/>
        <w:bidi w:val="0"/>
        <w:adjustRightInd w:val="0"/>
        <w:snapToGrid/>
        <w:spacing w:line="360" w:lineRule="auto"/>
        <w:ind w:right="-510" w:rightChars="-243" w:firstLine="480" w:firstLineChars="200"/>
        <w:jc w:val="both"/>
        <w:textAlignment w:val="auto"/>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val="en-US" w:eastAsia="zh-CN"/>
        </w:rPr>
        <w:t>2.2.9运输车辆及机械设备情况</w:t>
      </w:r>
      <w:r>
        <w:rPr>
          <w:rFonts w:hint="eastAsia" w:ascii="仿宋_GB2312" w:hAnsi="仿宋_GB2312" w:eastAsia="仿宋_GB2312" w:cs="仿宋_GB2312"/>
          <w:color w:val="auto"/>
          <w:kern w:val="0"/>
          <w:sz w:val="24"/>
          <w:highlight w:val="none"/>
          <w:lang w:eastAsia="zh-CN"/>
        </w:rPr>
        <w:t>；</w:t>
      </w:r>
    </w:p>
    <w:p w14:paraId="3E0A02D9">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eastAsia="zh-CN"/>
        </w:rPr>
      </w:pPr>
      <w:r>
        <w:rPr>
          <w:rFonts w:hint="eastAsia" w:ascii="仿宋_GB2312" w:hAnsi="仿宋_GB2312" w:eastAsia="仿宋_GB2312" w:cs="仿宋_GB2312"/>
          <w:color w:val="auto"/>
          <w:kern w:val="0"/>
          <w:sz w:val="24"/>
          <w:highlight w:val="none"/>
          <w:lang w:val="en-US" w:eastAsia="zh-CN"/>
        </w:rPr>
        <w:t>2.2.10拟投入人员</w:t>
      </w:r>
      <w:r>
        <w:rPr>
          <w:rFonts w:hint="eastAsia" w:ascii="仿宋_GB2312" w:hAnsi="仿宋_GB2312" w:eastAsia="仿宋_GB2312" w:cs="仿宋_GB2312"/>
          <w:color w:val="auto"/>
          <w:kern w:val="0"/>
          <w:sz w:val="24"/>
          <w:highlight w:val="none"/>
          <w:lang w:eastAsia="zh-CN"/>
        </w:rPr>
        <w:t>；</w:t>
      </w:r>
    </w:p>
    <w:p w14:paraId="4F535CA9">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2.2.11项目熟知情况</w:t>
      </w:r>
      <w:r>
        <w:rPr>
          <w:rFonts w:hint="eastAsia" w:ascii="仿宋_GB2312" w:hAnsi="仿宋_GB2312" w:eastAsia="仿宋_GB2312" w:cs="仿宋_GB2312"/>
          <w:color w:val="auto"/>
          <w:kern w:val="0"/>
          <w:sz w:val="24"/>
          <w:highlight w:val="none"/>
          <w:lang w:eastAsia="zh-CN"/>
        </w:rPr>
        <w:t>；</w:t>
      </w:r>
    </w:p>
    <w:p w14:paraId="5B163699">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2.2.12实施方案</w:t>
      </w:r>
      <w:r>
        <w:rPr>
          <w:rFonts w:hint="eastAsia" w:ascii="仿宋_GB2312" w:hAnsi="仿宋_GB2312" w:eastAsia="仿宋_GB2312" w:cs="仿宋_GB2312"/>
          <w:color w:val="auto"/>
          <w:kern w:val="0"/>
          <w:sz w:val="24"/>
          <w:highlight w:val="none"/>
          <w:lang w:eastAsia="zh-CN"/>
        </w:rPr>
        <w:t>；</w:t>
      </w:r>
    </w:p>
    <w:p w14:paraId="50B94B35">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2.2.13计划安排</w:t>
      </w:r>
      <w:r>
        <w:rPr>
          <w:rFonts w:hint="eastAsia" w:ascii="仿宋_GB2312" w:hAnsi="仿宋_GB2312" w:eastAsia="仿宋_GB2312" w:cs="仿宋_GB2312"/>
          <w:color w:val="auto"/>
          <w:kern w:val="0"/>
          <w:sz w:val="24"/>
          <w:highlight w:val="none"/>
          <w:lang w:eastAsia="zh-CN"/>
        </w:rPr>
        <w:t>；</w:t>
      </w:r>
    </w:p>
    <w:p w14:paraId="399F9A3A">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2.2.14防护措施和应急预案</w:t>
      </w:r>
      <w:r>
        <w:rPr>
          <w:rFonts w:hint="eastAsia" w:ascii="仿宋_GB2312" w:hAnsi="仿宋_GB2312" w:eastAsia="仿宋_GB2312" w:cs="仿宋_GB2312"/>
          <w:color w:val="auto"/>
          <w:kern w:val="0"/>
          <w:sz w:val="24"/>
          <w:highlight w:val="none"/>
          <w:lang w:eastAsia="zh-CN"/>
        </w:rPr>
        <w:t>；</w:t>
      </w:r>
    </w:p>
    <w:p w14:paraId="63C4672F">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2.2.15台账设置与管理方案；</w:t>
      </w:r>
    </w:p>
    <w:p w14:paraId="68841820">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2.2.16售后服务保障；</w:t>
      </w:r>
    </w:p>
    <w:p w14:paraId="7BAB777D">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2.2.17</w:t>
      </w:r>
      <w:r>
        <w:rPr>
          <w:rFonts w:hint="eastAsia" w:ascii="仿宋_GB2312" w:hAnsi="仿宋_GB2312" w:eastAsia="仿宋_GB2312" w:cs="仿宋_GB2312"/>
          <w:color w:val="auto"/>
          <w:kern w:val="0"/>
          <w:sz w:val="24"/>
          <w:highlight w:val="none"/>
          <w:lang w:val="zh-CN"/>
        </w:rPr>
        <w:t>认为需要的其他商务技术（资信）文件或说明；</w:t>
      </w:r>
    </w:p>
    <w:p w14:paraId="5CECA465">
      <w:pPr>
        <w:pStyle w:val="905"/>
        <w:keepNext w:val="0"/>
        <w:keepLines w:val="0"/>
        <w:pageBreakBefore w:val="0"/>
        <w:widowControl w:val="0"/>
        <w:numPr>
          <w:ilvl w:val="0"/>
          <w:numId w:val="0"/>
        </w:numPr>
        <w:kinsoku/>
        <w:wordWrap/>
        <w:overflowPunct/>
        <w:topLinePunct w:val="0"/>
        <w:autoSpaceDE/>
        <w:autoSpaceDN/>
        <w:bidi w:val="0"/>
        <w:adjustRightInd w:val="0"/>
        <w:snapToGrid/>
        <w:spacing w:line="336" w:lineRule="auto"/>
        <w:ind w:leftChars="0" w:firstLine="480" w:firstLineChars="200"/>
        <w:jc w:val="both"/>
        <w:textAlignment w:val="auto"/>
        <w:rPr>
          <w:rFonts w:hint="eastAsia" w:ascii="仿宋" w:eastAsia="仿宋" w:cs="仿宋"/>
          <w:color w:val="auto"/>
          <w:highlight w:val="none"/>
          <w:lang w:eastAsia="zh-CN"/>
        </w:rPr>
      </w:pPr>
      <w:r>
        <w:rPr>
          <w:rFonts w:hint="eastAsia" w:ascii="仿宋" w:eastAsia="仿宋" w:cs="仿宋"/>
          <w:color w:val="auto"/>
          <w:highlight w:val="none"/>
          <w:lang w:val="en-US" w:eastAsia="zh-CN"/>
        </w:rPr>
        <w:t>2.2.18</w:t>
      </w: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lang w:eastAsia="zh-CN"/>
        </w:rPr>
        <w:t>；</w:t>
      </w:r>
    </w:p>
    <w:p w14:paraId="7C3B6B81">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0"/>
        <w:textAlignment w:val="auto"/>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2.3报价文件资料</w:t>
      </w:r>
    </w:p>
    <w:p w14:paraId="527A2224">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2.3.1</w:t>
      </w:r>
      <w:r>
        <w:rPr>
          <w:rFonts w:hint="default" w:ascii="仿宋_GB2312" w:hAnsi="仿宋_GB2312" w:eastAsia="仿宋_GB2312" w:cs="仿宋_GB2312"/>
          <w:color w:val="auto"/>
          <w:kern w:val="0"/>
          <w:sz w:val="24"/>
          <w:highlight w:val="none"/>
          <w:lang w:val="en-US" w:eastAsia="zh-CN"/>
        </w:rPr>
        <w:t>开标一览表（报价表）</w:t>
      </w:r>
      <w:r>
        <w:rPr>
          <w:rFonts w:hint="eastAsia" w:ascii="仿宋_GB2312" w:hAnsi="仿宋_GB2312" w:eastAsia="仿宋_GB2312" w:cs="仿宋_GB2312"/>
          <w:color w:val="auto"/>
          <w:kern w:val="0"/>
          <w:sz w:val="24"/>
          <w:highlight w:val="none"/>
          <w:lang w:val="en-US" w:eastAsia="zh-CN"/>
        </w:rPr>
        <w:t>；</w:t>
      </w:r>
    </w:p>
    <w:p w14:paraId="7C8D5240">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2.3.2</w:t>
      </w:r>
      <w:r>
        <w:rPr>
          <w:rFonts w:hint="default" w:ascii="仿宋_GB2312" w:hAnsi="仿宋_GB2312" w:eastAsia="仿宋_GB2312" w:cs="仿宋_GB2312"/>
          <w:color w:val="auto"/>
          <w:kern w:val="0"/>
          <w:sz w:val="24"/>
          <w:highlight w:val="none"/>
          <w:lang w:val="en-US" w:eastAsia="zh-CN"/>
        </w:rPr>
        <w:t>中小企业声明函</w:t>
      </w:r>
      <w:r>
        <w:rPr>
          <w:rFonts w:hint="eastAsia" w:ascii="仿宋_GB2312" w:hAnsi="仿宋_GB2312" w:eastAsia="仿宋_GB2312" w:cs="仿宋_GB2312"/>
          <w:color w:val="auto"/>
          <w:kern w:val="0"/>
          <w:sz w:val="24"/>
          <w:highlight w:val="none"/>
          <w:lang w:val="en-US" w:eastAsia="zh-CN"/>
        </w:rPr>
        <w:t>；</w:t>
      </w:r>
    </w:p>
    <w:p w14:paraId="781A5000">
      <w:pPr>
        <w:keepNext w:val="0"/>
        <w:keepLines w:val="0"/>
        <w:pageBreakBefore w:val="0"/>
        <w:widowControl w:val="0"/>
        <w:kinsoku/>
        <w:wordWrap/>
        <w:overflowPunct/>
        <w:topLinePunct w:val="0"/>
        <w:autoSpaceDE/>
        <w:autoSpaceDN/>
        <w:bidi w:val="0"/>
        <w:adjustRightInd w:val="0"/>
        <w:snapToGrid/>
        <w:spacing w:line="360" w:lineRule="auto"/>
        <w:ind w:right="-368" w:rightChars="-175" w:firstLine="480" w:firstLineChars="200"/>
        <w:jc w:val="both"/>
        <w:textAlignment w:val="auto"/>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2.3.3</w:t>
      </w:r>
      <w:r>
        <w:rPr>
          <w:rFonts w:hint="default" w:ascii="仿宋_GB2312" w:hAnsi="仿宋_GB2312" w:eastAsia="仿宋_GB2312" w:cs="仿宋_GB2312"/>
          <w:color w:val="auto"/>
          <w:kern w:val="0"/>
          <w:sz w:val="24"/>
          <w:highlight w:val="none"/>
          <w:lang w:val="en-US" w:eastAsia="zh-CN"/>
        </w:rPr>
        <w:t>残疾人福利性单位声明函</w:t>
      </w:r>
      <w:r>
        <w:rPr>
          <w:rFonts w:hint="eastAsia" w:ascii="仿宋_GB2312" w:hAnsi="仿宋_GB2312" w:eastAsia="仿宋_GB2312" w:cs="仿宋_GB2312"/>
          <w:color w:val="auto"/>
          <w:kern w:val="0"/>
          <w:sz w:val="24"/>
          <w:highlight w:val="none"/>
          <w:lang w:val="en-US" w:eastAsia="zh-CN"/>
        </w:rPr>
        <w:t>。</w:t>
      </w:r>
    </w:p>
    <w:p w14:paraId="2E68F22A">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0"/>
        <w:textAlignment w:val="auto"/>
        <w:rPr>
          <w:rFonts w:hint="eastAsia" w:ascii="仿宋" w:hAnsi="仿宋" w:eastAsia="仿宋" w:cs="仿宋"/>
          <w:b/>
          <w:bCs/>
          <w:color w:val="auto"/>
          <w:sz w:val="24"/>
          <w:highlight w:val="none"/>
          <w:lang w:val="en-US" w:eastAsia="zh-CN"/>
        </w:rPr>
      </w:pPr>
      <w:r>
        <w:rPr>
          <w:rFonts w:hint="default"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lang w:val="en-US" w:eastAsia="zh-CN"/>
        </w:rPr>
        <w:t>投标报价</w:t>
      </w:r>
    </w:p>
    <w:p w14:paraId="4116B640">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3E704A40">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6716044D">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21B50D16">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3" w:firstLineChars="30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color w:val="auto"/>
          <w:kern w:val="0"/>
          <w:szCs w:val="24"/>
          <w:highlight w:val="none"/>
        </w:rPr>
        <w:t>4.</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39D5769D">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5732B6A">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029CB53">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0861D7BD">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3025DBF5">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C975370">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71A39413">
      <w:pPr>
        <w:pStyle w:val="132"/>
        <w:spacing w:before="0" w:line="440" w:lineRule="exact"/>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 xml:space="preserve"> 投标文件的提交、补充、修改、撤回</w:t>
      </w:r>
    </w:p>
    <w:p w14:paraId="0D642715">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EFE769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4C8F8726">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585F6AD3">
      <w:pPr>
        <w:adjustRightInd w:val="0"/>
        <w:spacing w:line="440" w:lineRule="exact"/>
        <w:ind w:left="0" w:leftChars="0" w:firstLine="0" w:firstLineChars="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47B7F855">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.1投标有效期为从提交投标文件的截止之日起90天。投标人的投标文件中承诺的投标有效期少于招标文件中载明的投标有效期的，投标无效。</w:t>
      </w:r>
    </w:p>
    <w:p w14:paraId="7AA9F9ED">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.2投标文件合格投递后，自投标截止日期起，在投标有效期内有效。</w:t>
      </w:r>
    </w:p>
    <w:p w14:paraId="0B4B70B7">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.3在原定投标有效期满之前，如果出现特殊情况，采购代理机构可以以书面形式通知投标人延长投标有效期。投标人同意延长的，不得要求或被允许修改其投标文件，投标人拒绝延长的，其投标无效。</w:t>
      </w:r>
    </w:p>
    <w:p w14:paraId="02D82D87">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highlight w:val="none"/>
        </w:rPr>
      </w:pPr>
    </w:p>
    <w:p w14:paraId="4E94600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4EF56000">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137AC38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72530F2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15B3C47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4BD286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61F0ABF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7E55242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4DE7C2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6E75F95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3DD5C81B">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5B06B4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20EFB31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68B1FC8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31A6BE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18B5EC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3F67059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27083BB6">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19BE0B6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41F86B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448C093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59C50A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5F4F3C8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20BC6F3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7A08A24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C5F7D5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3FEE7CA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48EEF1BB">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35AED9E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201F55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12D0899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4C01953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4E9ECF9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61A0D9CE">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5E7B4D5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3A3A50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5465E68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68C8E6C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2C9D7F6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EDAA5C1">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454A786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22AEC78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745D07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1A744B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46C3E4A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4D919F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6.6汇总（商务技术得分情况）。评标委员会各成员应当独立对每个投标人的商务技术（资信）文件进行评价，并汇总商务技术得分情况。</w:t>
      </w:r>
    </w:p>
    <w:p w14:paraId="1AE7783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49AC1A1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621110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4B198A5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600BC8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6BF84821">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517231AE">
      <w:pPr>
        <w:pStyle w:val="15"/>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4A229C5">
      <w:pPr>
        <w:pStyle w:val="33"/>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175A8908">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73BDB59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3F796C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7735422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77E2D19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756E98F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1690731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7DDBC59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54E4FF3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362D0B0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08F3209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7984798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32FB78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6E6DAB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17F85FD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8.14参与同一标项的投标人IP地址重复，可能存在不同的供应商在同一局域网下使用网络的情况，且无合理解释的;</w:t>
      </w:r>
    </w:p>
    <w:p w14:paraId="0BAF1EA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8.15</w:t>
      </w:r>
      <w:r>
        <w:rPr>
          <w:rFonts w:hint="eastAsia" w:ascii="仿宋" w:hAnsi="仿宋" w:eastAsia="仿宋" w:cs="仿宋"/>
          <w:b/>
          <w:color w:val="auto"/>
          <w:sz w:val="24"/>
          <w:highlight w:val="none"/>
        </w:rPr>
        <w:t>参与同一标项的投标人MAC 地址重复、硬件号重复，可能存在不同供应商使用同一设备的情况，且无合理解释的;</w:t>
      </w:r>
    </w:p>
    <w:p w14:paraId="6300FF0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8.16</w:t>
      </w:r>
      <w:r>
        <w:rPr>
          <w:rFonts w:hint="eastAsia" w:ascii="仿宋" w:hAnsi="仿宋" w:eastAsia="仿宋" w:cs="仿宋"/>
          <w:b/>
          <w:color w:val="auto"/>
          <w:sz w:val="24"/>
          <w:highlight w:val="none"/>
        </w:rPr>
        <w:t>评标委员会认为投标人的报价明显低于其他通过符合性审查投标人的报价，有可能影响产品质量或者不能诚信履约的，未能按要求提供书面说明或者提交相关证明材料证明其报价合理性的;</w:t>
      </w:r>
    </w:p>
    <w:p w14:paraId="5BF4C6A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报价超过招标文件中规定的预算金额或最高限价的；</w:t>
      </w:r>
    </w:p>
    <w:p w14:paraId="03B1444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投标文件“商务技术（资信）文件资料”部分中出现《开标一览表》相关内容的；</w:t>
      </w:r>
    </w:p>
    <w:p w14:paraId="1C334B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w:t>
      </w:r>
    </w:p>
    <w:p w14:paraId="1455F78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《开标一览表》填写不完整或字迹不能辨认或有漏项的，经评标委员会认定属于重大偏差的；</w:t>
      </w:r>
    </w:p>
    <w:p w14:paraId="17230BF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21</w:t>
      </w:r>
      <w:r>
        <w:rPr>
          <w:rFonts w:hint="eastAsia" w:ascii="仿宋" w:hAnsi="仿宋" w:eastAsia="仿宋" w:cs="仿宋"/>
          <w:b/>
          <w:color w:val="auto"/>
          <w:sz w:val="24"/>
          <w:highlight w:val="none"/>
        </w:rPr>
        <w:t>投标人对根据修正原则修正后的报价不确认的；</w:t>
      </w:r>
    </w:p>
    <w:p w14:paraId="1A4D9EA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22</w:t>
      </w:r>
      <w:r>
        <w:rPr>
          <w:rFonts w:hint="eastAsia" w:ascii="仿宋" w:hAnsi="仿宋" w:eastAsia="仿宋" w:cs="仿宋"/>
          <w:b/>
          <w:color w:val="auto"/>
          <w:sz w:val="24"/>
          <w:highlight w:val="none"/>
        </w:rPr>
        <w:t>投标人提供虚假材料投标的（包括但不限于以下情节）；</w:t>
      </w:r>
    </w:p>
    <w:p w14:paraId="5F1363A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.1使用伪造、变造的许可证件；</w:t>
      </w:r>
    </w:p>
    <w:p w14:paraId="61D53F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.2提供虚假的财务状况或者业绩；</w:t>
      </w:r>
    </w:p>
    <w:p w14:paraId="7FCE6A5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.3提供虚假的项目负责人或者主要技术人员简历、劳动关系证明；</w:t>
      </w:r>
    </w:p>
    <w:p w14:paraId="2880950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.4提供虚假的信用状况；</w:t>
      </w:r>
    </w:p>
    <w:p w14:paraId="5EA2E72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.5其他弄虚作假的行为。</w:t>
      </w:r>
    </w:p>
    <w:p w14:paraId="015375D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下列情形之一的，视为投标人串通投标，其投标无效：</w:t>
      </w:r>
    </w:p>
    <w:p w14:paraId="21B11A0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.1不同投标人的投标文件由同一单位或者个人编制；</w:t>
      </w:r>
    </w:p>
    <w:p w14:paraId="4807DC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.2不同投标人委托同一单位或者个人办理投标事宜；</w:t>
      </w:r>
    </w:p>
    <w:p w14:paraId="5BCBB25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.3不同投标人的投标文件载明的项目管理成员或者联系人员为同一人；</w:t>
      </w:r>
    </w:p>
    <w:p w14:paraId="3197BF0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.4不同投标人的投标文件异常一致或者投标报价呈规律性差异；</w:t>
      </w:r>
    </w:p>
    <w:p w14:paraId="0BAC280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.5不同投标人的投标文件相互混装；</w:t>
      </w:r>
    </w:p>
    <w:p w14:paraId="7576F22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.6有二份及二份以上投标文件的相互之间有特别相同或相似之处，且经询标澄清投标人无令人信服的理由和可靠证据证明其合理性的，经评标委员会半数以上成员确认有串通投标嫌疑的；</w:t>
      </w:r>
    </w:p>
    <w:p w14:paraId="50E5050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有下列情形之一的，属于恶意串通，其投标无效：</w:t>
      </w:r>
    </w:p>
    <w:p w14:paraId="483F606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.1供应商直接或者间接从采购人或者采购机构处获得其他供应商的相关情况并修改其投标文件或者响应文件；</w:t>
      </w:r>
    </w:p>
    <w:p w14:paraId="736F193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.2供应商按照采购人或者采购机构的授意撤换、修改投标文件或者响应文件；</w:t>
      </w:r>
    </w:p>
    <w:p w14:paraId="3A6B916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.3供应商之间协商报价、技术方案等投标文件或者响应文件的实质性内容；</w:t>
      </w:r>
    </w:p>
    <w:p w14:paraId="64DF185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.4属于同一集团、协会、商会等组织成员的供应商按照该组织要求协同参加政府采购活动；</w:t>
      </w:r>
    </w:p>
    <w:p w14:paraId="3F9CA64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.5供应商之间事先约定由某一特定供应商中标、成交；</w:t>
      </w:r>
    </w:p>
    <w:p w14:paraId="31D18C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.6供应商之间商定部分供应商放弃参加政府采购活动或者放弃中标、成交；</w:t>
      </w:r>
    </w:p>
    <w:p w14:paraId="166D3E8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.7供应商与采购人或者采购机构之间、供应商相互之间，为谋求特定供应商中标、成交或者排斥其他供应商的其他串通行为。</w:t>
      </w:r>
    </w:p>
    <w:p w14:paraId="431D44B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评标委员会认定有重大偏差或实质性不响应招标文件要求的；</w:t>
      </w:r>
    </w:p>
    <w:p w14:paraId="5A50E65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投标文件出现不是唯一的、有选择性投标报价的；</w:t>
      </w:r>
    </w:p>
    <w:p w14:paraId="0B231B1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7参与同一个采购包(标段)的供应商存在下列情形之一的其投标(响应)文件无效:</w:t>
      </w:r>
    </w:p>
    <w:p w14:paraId="526F1D5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（1）不同供应商的电子投标(响应)文件上传计算机的网卡MAC地址、CPU序列号和硬盘序列号等硬件信息相同的;</w:t>
      </w:r>
    </w:p>
    <w:p w14:paraId="2A9E4BA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（2）上传的电子投标(响应)文件若出现使用本项目其他投标(响应)供应商的数字证书加密的，或者加盖本项目其他投标(响应)供应商的电子印章的;</w:t>
      </w:r>
    </w:p>
    <w:p w14:paraId="2A50B8F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（3）不同供应商的投标(响应)文件的内容存在三处(含)以上错误一致，且无法合理解释的;</w:t>
      </w:r>
    </w:p>
    <w:p w14:paraId="470EA02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(4)不同供应商联系人为同一人或不同联系人的联系电话一致，且无法合理解释的。</w:t>
      </w:r>
    </w:p>
    <w:p w14:paraId="0AA09C6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lang w:eastAsia="zh-CN"/>
        </w:rPr>
        <w:t>8.28</w:t>
      </w:r>
      <w:r>
        <w:rPr>
          <w:rFonts w:hint="eastAsia" w:ascii="仿宋" w:hAnsi="仿宋" w:eastAsia="仿宋" w:cs="仿宋"/>
          <w:b/>
          <w:color w:val="auto"/>
          <w:sz w:val="24"/>
          <w:highlight w:val="none"/>
        </w:rPr>
        <w:t>其他违反法律、法规的情形。</w:t>
      </w:r>
    </w:p>
    <w:p w14:paraId="50C049D3">
      <w:pPr>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4B99CE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707141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42CDA4BD">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19"/>
    <w:p w14:paraId="73A91934">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20" w:name="_Hlt74707468"/>
      <w:bookmarkEnd w:id="20"/>
      <w:bookmarkStart w:id="21" w:name="_Hlt68403820"/>
      <w:bookmarkEnd w:id="21"/>
      <w:bookmarkStart w:id="22" w:name="_Hlt74730295"/>
      <w:bookmarkEnd w:id="22"/>
      <w:bookmarkStart w:id="23" w:name="_Hlt75236011"/>
      <w:bookmarkEnd w:id="23"/>
      <w:bookmarkStart w:id="24" w:name="_Hlt75236290"/>
      <w:bookmarkEnd w:id="24"/>
      <w:bookmarkStart w:id="25" w:name="_Hlt68073093"/>
      <w:bookmarkEnd w:id="25"/>
      <w:bookmarkStart w:id="26" w:name="_Hlt68072990"/>
      <w:bookmarkEnd w:id="26"/>
      <w:bookmarkStart w:id="27" w:name="_Hlt68072998"/>
      <w:bookmarkEnd w:id="27"/>
      <w:bookmarkStart w:id="28" w:name="_Hlt74729768"/>
      <w:bookmarkEnd w:id="28"/>
      <w:bookmarkStart w:id="29" w:name="_Hlt74714665"/>
      <w:bookmarkEnd w:id="29"/>
      <w:bookmarkStart w:id="30" w:name="_Hlt75236101"/>
      <w:bookmarkEnd w:id="30"/>
      <w:bookmarkStart w:id="31" w:name="_Hlt68057669"/>
      <w:bookmarkEnd w:id="31"/>
      <w:bookmarkStart w:id="32" w:name="_Toc81372953"/>
      <w:bookmarkStart w:id="33" w:name="_Toc81372776"/>
      <w:bookmarkStart w:id="34" w:name="_Toc84325929"/>
      <w:r>
        <w:rPr>
          <w:rFonts w:hint="eastAsia" w:ascii="仿宋" w:hAnsi="仿宋" w:eastAsia="仿宋" w:cs="仿宋"/>
          <w:b/>
          <w:color w:val="auto"/>
          <w:sz w:val="32"/>
          <w:szCs w:val="32"/>
          <w:highlight w:val="none"/>
        </w:rPr>
        <w:t>五、授予合同</w:t>
      </w:r>
    </w:p>
    <w:bookmarkEnd w:id="32"/>
    <w:bookmarkEnd w:id="33"/>
    <w:bookmarkEnd w:id="34"/>
    <w:p w14:paraId="7FD51028">
      <w:pPr>
        <w:pStyle w:val="15"/>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2283190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00248BB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2F032B5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12F64CD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5ABEAFD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18C32E78">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30B24CB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32D6E63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0622416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50136D3B">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1271898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37D5960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3.2采购机构向中标供应商签发</w:t>
      </w:r>
      <w:r>
        <w:rPr>
          <w:rFonts w:hint="eastAsia" w:ascii="仿宋" w:hAnsi="仿宋" w:eastAsia="仿宋" w:cs="仿宋"/>
          <w:color w:val="auto"/>
          <w:sz w:val="24"/>
          <w:highlight w:val="none"/>
          <w:lang w:val="en-US" w:eastAsia="zh-CN"/>
        </w:rPr>
        <w:t>纸质</w:t>
      </w:r>
      <w:r>
        <w:rPr>
          <w:rFonts w:hint="eastAsia" w:ascii="仿宋" w:hAnsi="仿宋" w:eastAsia="仿宋" w:cs="仿宋"/>
          <w:color w:val="auto"/>
          <w:sz w:val="24"/>
          <w:highlight w:val="none"/>
        </w:rPr>
        <w:t>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20CD6AC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29C9AF5B">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56898713">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本项目不设置履约保证金</w:t>
      </w:r>
    </w:p>
    <w:p w14:paraId="2C4D17A1">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5987A38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w:t>
      </w:r>
      <w:r>
        <w:rPr>
          <w:rFonts w:hint="eastAsia" w:ascii="仿宋" w:hAnsi="仿宋" w:eastAsia="仿宋" w:cs="仿宋"/>
          <w:b/>
          <w:bCs/>
          <w:color w:val="auto"/>
          <w:sz w:val="24"/>
          <w:highlight w:val="none"/>
          <w:lang w:val="en-US" w:eastAsia="zh-CN"/>
        </w:rPr>
        <w:t>3个工作日内</w:t>
      </w:r>
      <w:r>
        <w:rPr>
          <w:rFonts w:hint="eastAsia" w:ascii="仿宋" w:hAnsi="仿宋" w:eastAsia="仿宋" w:cs="仿宋"/>
          <w:color w:val="auto"/>
          <w:sz w:val="24"/>
          <w:highlight w:val="none"/>
          <w:lang w:val="en-US" w:eastAsia="zh-CN"/>
        </w:rPr>
        <w:t>，通过电子交易平台进行备案。</w:t>
      </w:r>
    </w:p>
    <w:p w14:paraId="0BDAB5BF">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54F31672">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5B363B6D">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422BAD0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CBD1AF">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6D241C48">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A7E2D5C">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5475C8C5">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31AA6EF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21A1A70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89448AB">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0BBFB7E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33ED9C3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D6CBB4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0914671D">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44D4158D">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27FBF71C">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5497386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0103B1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3CAC4B72">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0119166E">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0258C5A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1277FC3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89AE026">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E489C92">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10904CA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3F0011B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520739F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423ACFD">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2231A23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C133DA8">
      <w:pPr>
        <w:pStyle w:val="23"/>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highlight w:val="none"/>
        </w:rPr>
        <w:sectPr>
          <w:footerReference r:id="rId7" w:type="default"/>
          <w:pgSz w:w="11906" w:h="16838"/>
          <w:pgMar w:top="1440" w:right="1800" w:bottom="1440" w:left="1800" w:header="851" w:footer="992" w:gutter="0"/>
          <w:pgNumType w:fmt="decimal" w:start="1"/>
          <w:cols w:space="720" w:num="1"/>
          <w:docGrid w:linePitch="312" w:charSpace="0"/>
        </w:sectPr>
      </w:pPr>
    </w:p>
    <w:bookmarkEnd w:id="17"/>
    <w:bookmarkEnd w:id="18"/>
    <w:p w14:paraId="03FF766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35" w:name="第四部分"/>
      <w:r>
        <w:rPr>
          <w:rFonts w:hint="eastAsia" w:ascii="仿宋" w:hAnsi="仿宋" w:eastAsia="仿宋" w:cs="仿宋"/>
          <w:b/>
          <w:color w:val="auto"/>
          <w:sz w:val="36"/>
          <w:szCs w:val="36"/>
          <w:highlight w:val="none"/>
        </w:rPr>
        <w:t>第三部分   招标项目范围及要求</w:t>
      </w:r>
    </w:p>
    <w:bookmarkEnd w:id="35"/>
    <w:p w14:paraId="5CEAC0B5">
      <w:pPr>
        <w:pStyle w:val="2"/>
        <w:tabs>
          <w:tab w:val="left" w:pos="358"/>
          <w:tab w:val="clear" w:pos="432"/>
        </w:tabs>
        <w:snapToGrid w:val="0"/>
        <w:spacing w:before="0" w:line="440" w:lineRule="exact"/>
        <w:rPr>
          <w:rFonts w:hint="eastAsia" w:ascii="仿宋" w:hAnsi="仿宋" w:eastAsia="仿宋" w:cs="仿宋"/>
          <w:b w:val="0"/>
          <w:bCs/>
          <w:snapToGrid w:val="0"/>
          <w:color w:val="auto"/>
          <w:kern w:val="0"/>
          <w:sz w:val="24"/>
          <w:szCs w:val="24"/>
          <w:highlight w:val="none"/>
        </w:rPr>
      </w:pPr>
      <w:bookmarkStart w:id="36" w:name="_Toc450248215"/>
      <w:bookmarkStart w:id="37" w:name="_Toc27648"/>
      <w:bookmarkStart w:id="38" w:name="_Toc4957"/>
      <w:bookmarkStart w:id="39" w:name="第五部分"/>
      <w:bookmarkStart w:id="40" w:name="_Toc86217003"/>
      <w:r>
        <w:rPr>
          <w:rFonts w:hint="eastAsia" w:ascii="仿宋" w:hAnsi="仿宋" w:eastAsia="仿宋" w:cs="仿宋"/>
          <w:b/>
          <w:bCs w:val="0"/>
          <w:snapToGrid w:val="0"/>
          <w:color w:val="auto"/>
          <w:kern w:val="0"/>
          <w:sz w:val="24"/>
          <w:szCs w:val="24"/>
          <w:highlight w:val="none"/>
        </w:rPr>
        <w:t>一、项目概述：</w:t>
      </w:r>
      <w:bookmarkEnd w:id="36"/>
      <w:bookmarkEnd w:id="37"/>
      <w:bookmarkEnd w:id="38"/>
      <w:r>
        <w:rPr>
          <w:rFonts w:hint="eastAsia" w:ascii="仿宋" w:hAnsi="仿宋" w:eastAsia="仿宋" w:cs="仿宋"/>
          <w:b w:val="0"/>
          <w:bCs/>
          <w:snapToGrid w:val="0"/>
          <w:color w:val="auto"/>
          <w:kern w:val="0"/>
          <w:sz w:val="24"/>
          <w:szCs w:val="24"/>
          <w:highlight w:val="none"/>
        </w:rPr>
        <w:t xml:space="preserve"> </w:t>
      </w:r>
    </w:p>
    <w:p w14:paraId="1DB5FE10">
      <w:pPr>
        <w:tabs>
          <w:tab w:val="left" w:pos="735"/>
        </w:tabs>
        <w:spacing w:line="440" w:lineRule="exact"/>
        <w:ind w:firstLine="720" w:firstLineChars="300"/>
        <w:rPr>
          <w:rFonts w:hint="eastAsia" w:ascii="仿宋" w:hAnsi="仿宋" w:eastAsia="仿宋" w:cs="仿宋"/>
          <w:b w:val="0"/>
          <w:bCs/>
          <w:color w:val="auto"/>
          <w:sz w:val="24"/>
          <w:szCs w:val="24"/>
          <w:highlight w:val="none"/>
        </w:rPr>
      </w:pPr>
      <w:bookmarkStart w:id="41" w:name="_Toc450248216"/>
      <w:bookmarkStart w:id="42" w:name="_Toc11684"/>
      <w:r>
        <w:rPr>
          <w:rFonts w:hint="eastAsia" w:ascii="仿宋" w:hAnsi="仿宋" w:eastAsia="仿宋" w:cs="仿宋"/>
          <w:b w:val="0"/>
          <w:bCs/>
          <w:color w:val="auto"/>
          <w:sz w:val="24"/>
          <w:szCs w:val="24"/>
          <w:highlight w:val="none"/>
        </w:rPr>
        <w:t>为进一步加强我市农药废弃包装物回收处置工作，有效改善农业、农村生态环境，根据《浙江省人民政府办公厅关于印发浙江省农药废弃包装物回收和集中处置试行办法的通知》（浙政办发〔2015〕82号）及《嵊州市人民政府办公室关于印发嵊州市农药废弃包装物回收和集中处置实施办法（试行）的通知》（嵊政办〔2020〕103号）等，按照“集中、方便、高效”的原则，现通过政府采购方式确定1家单位负责嵊州市农药废弃包装物的回收和</w:t>
      </w:r>
      <w:r>
        <w:rPr>
          <w:rFonts w:hint="eastAsia" w:ascii="仿宋" w:hAnsi="仿宋" w:eastAsia="仿宋" w:cs="仿宋"/>
          <w:b w:val="0"/>
          <w:bCs/>
          <w:color w:val="auto"/>
          <w:sz w:val="24"/>
          <w:szCs w:val="24"/>
          <w:highlight w:val="none"/>
          <w:lang w:eastAsia="zh-CN"/>
        </w:rPr>
        <w:t>集中</w:t>
      </w:r>
      <w:r>
        <w:rPr>
          <w:rFonts w:hint="eastAsia" w:ascii="仿宋" w:hAnsi="仿宋" w:eastAsia="仿宋" w:cs="仿宋"/>
          <w:b w:val="0"/>
          <w:bCs/>
          <w:color w:val="auto"/>
          <w:sz w:val="24"/>
          <w:szCs w:val="24"/>
          <w:highlight w:val="none"/>
        </w:rPr>
        <w:t>处置工作。中标单位应当</w:t>
      </w:r>
      <w:r>
        <w:rPr>
          <w:rFonts w:hint="eastAsia" w:ascii="仿宋" w:hAnsi="仿宋" w:eastAsia="仿宋" w:cs="仿宋"/>
          <w:b w:val="0"/>
          <w:bCs/>
          <w:color w:val="auto"/>
          <w:sz w:val="24"/>
          <w:szCs w:val="24"/>
          <w:highlight w:val="none"/>
          <w:lang w:eastAsia="zh-CN"/>
        </w:rPr>
        <w:t>按照不得低于政府文件规定的价格</w:t>
      </w:r>
      <w:r>
        <w:rPr>
          <w:rFonts w:hint="eastAsia" w:ascii="仿宋" w:hAnsi="仿宋" w:eastAsia="仿宋" w:cs="仿宋"/>
          <w:b w:val="0"/>
          <w:bCs/>
          <w:color w:val="auto"/>
          <w:sz w:val="24"/>
          <w:szCs w:val="24"/>
          <w:highlight w:val="none"/>
        </w:rPr>
        <w:t>及时归集各回收点回收的农药废弃物</w:t>
      </w:r>
      <w:r>
        <w:rPr>
          <w:rFonts w:hint="eastAsia" w:ascii="仿宋" w:hAnsi="仿宋" w:eastAsia="仿宋" w:cs="仿宋"/>
          <w:b w:val="0"/>
          <w:bCs/>
          <w:color w:val="auto"/>
          <w:sz w:val="24"/>
          <w:szCs w:val="24"/>
          <w:highlight w:val="none"/>
          <w:lang w:eastAsia="zh-CN"/>
        </w:rPr>
        <w:t>至标准化中转仓库，进行分类压包储存，定期转</w:t>
      </w:r>
      <w:r>
        <w:rPr>
          <w:rFonts w:hint="eastAsia" w:ascii="仿宋" w:hAnsi="仿宋" w:eastAsia="仿宋" w:cs="仿宋"/>
          <w:b w:val="0"/>
          <w:bCs/>
          <w:color w:val="auto"/>
          <w:sz w:val="24"/>
          <w:szCs w:val="24"/>
          <w:highlight w:val="none"/>
        </w:rPr>
        <w:t>运至具有</w:t>
      </w:r>
      <w:r>
        <w:rPr>
          <w:rFonts w:hint="eastAsia" w:ascii="仿宋" w:hAnsi="仿宋" w:eastAsia="仿宋" w:cs="仿宋"/>
          <w:b w:val="0"/>
          <w:bCs/>
          <w:color w:val="auto"/>
          <w:sz w:val="24"/>
          <w:szCs w:val="24"/>
          <w:highlight w:val="none"/>
          <w:lang w:eastAsia="zh-CN"/>
        </w:rPr>
        <w:t>危险废物经营许可证（经营范围包括农药废物</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 w:val="0"/>
          <w:bCs/>
          <w:color w:val="auto"/>
          <w:sz w:val="24"/>
          <w:szCs w:val="24"/>
          <w:highlight w:val="none"/>
        </w:rPr>
        <w:t>的专业处置企业进行处置。　</w:t>
      </w:r>
    </w:p>
    <w:p w14:paraId="392F2FB7">
      <w:pPr>
        <w:tabs>
          <w:tab w:val="left" w:pos="735"/>
        </w:tabs>
        <w:spacing w:line="440" w:lineRule="exact"/>
        <w:ind w:firstLine="480"/>
        <w:rPr>
          <w:rFonts w:hint="eastAsia" w:ascii="仿宋" w:hAnsi="仿宋" w:eastAsia="仿宋" w:cs="仿宋"/>
          <w:b w:val="0"/>
          <w:bCs/>
          <w:color w:val="auto"/>
          <w:kern w:val="0"/>
          <w:sz w:val="24"/>
          <w:szCs w:val="24"/>
          <w:highlight w:val="none"/>
          <w:lang w:val="zh-CN"/>
        </w:rPr>
      </w:pPr>
      <w:r>
        <w:rPr>
          <w:rFonts w:hint="eastAsia" w:ascii="仿宋" w:hAnsi="仿宋" w:eastAsia="仿宋" w:cs="仿宋"/>
          <w:b w:val="0"/>
          <w:bCs/>
          <w:color w:val="auto"/>
          <w:sz w:val="24"/>
          <w:szCs w:val="24"/>
          <w:highlight w:val="none"/>
        </w:rPr>
        <w:t>本项目</w:t>
      </w:r>
      <w:r>
        <w:rPr>
          <w:rFonts w:hint="eastAsia" w:ascii="仿宋" w:hAnsi="仿宋" w:eastAsia="仿宋" w:cs="仿宋"/>
          <w:b w:val="0"/>
          <w:bCs/>
          <w:color w:val="auto"/>
          <w:sz w:val="24"/>
          <w:szCs w:val="24"/>
          <w:highlight w:val="none"/>
          <w:lang w:val="en-US" w:eastAsia="zh-CN"/>
        </w:rPr>
        <w:t>服务</w:t>
      </w:r>
      <w:r>
        <w:rPr>
          <w:rFonts w:hint="eastAsia" w:ascii="仿宋" w:hAnsi="仿宋" w:eastAsia="仿宋" w:cs="仿宋"/>
          <w:b w:val="0"/>
          <w:bCs/>
          <w:color w:val="auto"/>
          <w:sz w:val="24"/>
          <w:szCs w:val="24"/>
          <w:highlight w:val="none"/>
        </w:rPr>
        <w:t>期限</w:t>
      </w:r>
      <w:r>
        <w:rPr>
          <w:rFonts w:hint="eastAsia" w:ascii="仿宋" w:hAnsi="仿宋" w:eastAsia="仿宋" w:cs="仿宋"/>
          <w:b w:val="0"/>
          <w:bCs/>
          <w:color w:val="auto"/>
          <w:sz w:val="24"/>
          <w:szCs w:val="24"/>
          <w:highlight w:val="none"/>
          <w:lang w:val="en-US" w:eastAsia="zh-CN"/>
        </w:rPr>
        <w:t>1年。</w:t>
      </w:r>
      <w:r>
        <w:rPr>
          <w:rFonts w:hint="eastAsia" w:ascii="仿宋" w:hAnsi="仿宋" w:eastAsia="仿宋" w:cs="仿宋"/>
          <w:b w:val="0"/>
          <w:bCs/>
          <w:color w:val="auto"/>
          <w:sz w:val="24"/>
          <w:szCs w:val="24"/>
          <w:highlight w:val="none"/>
          <w:lang w:eastAsia="zh-CN"/>
        </w:rPr>
        <w:t>年度回收处置吨数暂定70吨，具体吨数以上级下达任务数为准，最终以实际完成吨数*中标单价进行结算，若任务数超出70吨，且增幅范围在5%以内，以70吨结算。</w:t>
      </w:r>
      <w:r>
        <w:rPr>
          <w:rFonts w:hint="eastAsia" w:ascii="仿宋" w:hAnsi="仿宋" w:eastAsia="仿宋" w:cs="仿宋"/>
          <w:b w:val="0"/>
          <w:bCs/>
          <w:color w:val="auto"/>
          <w:sz w:val="24"/>
          <w:szCs w:val="24"/>
          <w:highlight w:val="none"/>
        </w:rPr>
        <w:t>　　　　　　　</w:t>
      </w:r>
    </w:p>
    <w:bookmarkEnd w:id="41"/>
    <w:bookmarkEnd w:id="42"/>
    <w:p w14:paraId="2B3ABB21">
      <w:pPr>
        <w:numPr>
          <w:ilvl w:val="0"/>
          <w:numId w:val="1"/>
        </w:numPr>
        <w:snapToGrid w:val="0"/>
        <w:spacing w:line="440" w:lineRule="exact"/>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采购内容</w:t>
      </w:r>
    </w:p>
    <w:p w14:paraId="114DBFF5">
      <w:pPr>
        <w:topLinePunct/>
        <w:adjustRightInd w:val="0"/>
        <w:snapToGrid w:val="0"/>
        <w:spacing w:line="440" w:lineRule="exact"/>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1、服务对象：</w:t>
      </w:r>
    </w:p>
    <w:p w14:paraId="54F2F2A5">
      <w:pPr>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嵊州市甘霖镇、长乐镇、崇仁镇、三界镇、黄泽镇、石璜镇、金庭镇、下王镇、谷来镇、贵门乡、仙岩镇11个乡镇和</w:t>
      </w:r>
      <w:r>
        <w:rPr>
          <w:rFonts w:hint="eastAsia" w:ascii="仿宋" w:hAnsi="仿宋" w:eastAsia="仿宋" w:cs="仿宋"/>
          <w:b w:val="0"/>
          <w:bCs/>
          <w:color w:val="auto"/>
          <w:sz w:val="24"/>
          <w:szCs w:val="24"/>
          <w:highlight w:val="none"/>
          <w:lang w:eastAsia="zh-CN"/>
        </w:rPr>
        <w:t>鹿山、浦口、剡湖、三江</w:t>
      </w:r>
      <w:r>
        <w:rPr>
          <w:rFonts w:hint="eastAsia" w:ascii="仿宋" w:hAnsi="仿宋" w:eastAsia="仿宋" w:cs="仿宋"/>
          <w:b w:val="0"/>
          <w:bCs/>
          <w:color w:val="auto"/>
          <w:sz w:val="24"/>
          <w:szCs w:val="24"/>
          <w:highlight w:val="none"/>
        </w:rPr>
        <w:t>4个街道</w:t>
      </w:r>
      <w:r>
        <w:rPr>
          <w:rFonts w:hint="eastAsia" w:ascii="仿宋" w:hAnsi="仿宋" w:eastAsia="仿宋" w:cs="仿宋"/>
          <w:b w:val="0"/>
          <w:bCs/>
          <w:color w:val="auto"/>
          <w:sz w:val="24"/>
          <w:szCs w:val="24"/>
          <w:highlight w:val="none"/>
          <w:lang w:eastAsia="zh-CN"/>
        </w:rPr>
        <w:t>。农药废弃物</w:t>
      </w:r>
      <w:r>
        <w:rPr>
          <w:rFonts w:hint="eastAsia" w:ascii="仿宋" w:hAnsi="仿宋" w:eastAsia="仿宋" w:cs="仿宋"/>
          <w:b w:val="0"/>
          <w:bCs/>
          <w:color w:val="auto"/>
          <w:sz w:val="24"/>
          <w:szCs w:val="24"/>
          <w:highlight w:val="none"/>
        </w:rPr>
        <w:t>回收点原则上</w:t>
      </w:r>
      <w:r>
        <w:rPr>
          <w:rFonts w:hint="eastAsia" w:ascii="仿宋" w:hAnsi="仿宋" w:eastAsia="仿宋" w:cs="仿宋"/>
          <w:b w:val="0"/>
          <w:bCs/>
          <w:color w:val="auto"/>
          <w:sz w:val="24"/>
          <w:szCs w:val="24"/>
          <w:highlight w:val="none"/>
          <w:lang w:val="en-US" w:eastAsia="zh-CN"/>
        </w:rPr>
        <w:t>为</w:t>
      </w:r>
      <w:r>
        <w:rPr>
          <w:rFonts w:hint="eastAsia" w:ascii="仿宋" w:hAnsi="仿宋" w:eastAsia="仿宋" w:cs="仿宋"/>
          <w:b w:val="0"/>
          <w:bCs/>
          <w:color w:val="auto"/>
          <w:sz w:val="24"/>
          <w:szCs w:val="24"/>
          <w:highlight w:val="none"/>
        </w:rPr>
        <w:t>农药经营店</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规范</w:t>
      </w:r>
      <w:r>
        <w:rPr>
          <w:rFonts w:hint="eastAsia" w:ascii="仿宋" w:hAnsi="仿宋" w:eastAsia="仿宋" w:cs="仿宋"/>
          <w:b w:val="0"/>
          <w:bCs/>
          <w:color w:val="auto"/>
          <w:sz w:val="24"/>
          <w:szCs w:val="24"/>
          <w:highlight w:val="none"/>
        </w:rPr>
        <w:t>开展农药废弃包装物的回收归集和集中处置工作。</w:t>
      </w:r>
    </w:p>
    <w:p w14:paraId="7B9C8AE8">
      <w:pPr>
        <w:topLinePunct/>
        <w:adjustRightInd w:val="0"/>
        <w:snapToGrid w:val="0"/>
        <w:spacing w:line="440" w:lineRule="exact"/>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2、服务要求：</w:t>
      </w:r>
    </w:p>
    <w:p w14:paraId="183752E6">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履行项目职责。自觉接受、服从并配合市政府及相关部门、市农药废弃包装物回收处置工作协调小组的监督指导。服务指导各回收点正确开展农药废弃包装物的回收、存放，及时转运各回收点回收的农药废弃包装物至标准中转仓库，实行分类储存和委托专业化处置，落实安全防范措施</w:t>
      </w:r>
      <w:r>
        <w:rPr>
          <w:rFonts w:hint="eastAsia" w:ascii="仿宋" w:hAnsi="仿宋" w:eastAsia="仿宋" w:cs="仿宋"/>
          <w:b w:val="0"/>
          <w:bCs/>
          <w:color w:val="auto"/>
          <w:sz w:val="24"/>
          <w:szCs w:val="24"/>
          <w:highlight w:val="none"/>
          <w:lang w:val="en-US" w:eastAsia="zh-CN"/>
        </w:rPr>
        <w:t>并按时完成回收与集中处置指标</w:t>
      </w:r>
      <w:r>
        <w:rPr>
          <w:rFonts w:hint="eastAsia" w:ascii="仿宋" w:hAnsi="仿宋" w:eastAsia="仿宋" w:cs="仿宋"/>
          <w:b w:val="0"/>
          <w:bCs/>
          <w:color w:val="auto"/>
          <w:sz w:val="24"/>
          <w:szCs w:val="24"/>
          <w:highlight w:val="none"/>
        </w:rPr>
        <w:t>。负责各回收点的回收台账登记，及时支付回收款和工作经费。</w:t>
      </w:r>
    </w:p>
    <w:p w14:paraId="02385907">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杜绝市外废弃物流入我市，若发现回收点回收市外农药废弃物等异常情况，应及时制止，并及时举报监管部门协助处理。</w:t>
      </w:r>
    </w:p>
    <w:p w14:paraId="2FB3BA44">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（2）落实归集手续。归集各回收点的农药废弃包装物时，要当场进行抽查清点验收，填写《回收交接清单》，经交接双方签字确认</w:t>
      </w:r>
      <w:r>
        <w:rPr>
          <w:rFonts w:hint="eastAsia" w:ascii="仿宋" w:hAnsi="仿宋" w:eastAsia="仿宋" w:cs="仿宋"/>
          <w:b w:val="0"/>
          <w:bCs/>
          <w:color w:val="auto"/>
          <w:sz w:val="24"/>
          <w:szCs w:val="24"/>
          <w:highlight w:val="none"/>
          <w:lang w:eastAsia="zh-CN"/>
        </w:rPr>
        <w:t>并及时录入“浙农优品”农废模块</w:t>
      </w:r>
      <w:r>
        <w:rPr>
          <w:rFonts w:hint="eastAsia" w:ascii="仿宋" w:hAnsi="仿宋" w:eastAsia="仿宋" w:cs="仿宋"/>
          <w:b w:val="0"/>
          <w:bCs/>
          <w:color w:val="auto"/>
          <w:sz w:val="24"/>
          <w:szCs w:val="24"/>
          <w:highlight w:val="none"/>
        </w:rPr>
        <w:t>。交接后的农药废弃包装物应及时归集至标准中转储存仓库，登记进仓入库台账。严禁归集市外农药废弃物。若有违反，将接受我市监管部门查处。</w:t>
      </w:r>
    </w:p>
    <w:p w14:paraId="3B6943C0">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抽查清点验收，可采用随机抽样法组织整批次验收，抽样率不得少于3%。若采取抽样验收的，当抽查结果数与外包装袋标示数不符时，将以数量较少者为基准推算出整批次数。  </w:t>
      </w:r>
    </w:p>
    <w:p w14:paraId="0016B3C8">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进仓入库台账包括各回收点名称、分类数量等，台账数量按袋、瓶等</w:t>
      </w:r>
      <w:r>
        <w:rPr>
          <w:rFonts w:hint="eastAsia" w:ascii="仿宋" w:hAnsi="仿宋" w:eastAsia="仿宋" w:cs="仿宋"/>
          <w:b w:val="0"/>
          <w:bCs/>
          <w:color w:val="auto"/>
          <w:sz w:val="24"/>
          <w:szCs w:val="24"/>
          <w:highlight w:val="none"/>
          <w:lang w:eastAsia="zh-CN"/>
        </w:rPr>
        <w:t>分</w:t>
      </w:r>
      <w:r>
        <w:rPr>
          <w:rFonts w:hint="eastAsia" w:ascii="仿宋" w:hAnsi="仿宋" w:eastAsia="仿宋" w:cs="仿宋"/>
          <w:b w:val="0"/>
          <w:bCs/>
          <w:color w:val="auto"/>
          <w:sz w:val="24"/>
          <w:szCs w:val="24"/>
          <w:highlight w:val="none"/>
        </w:rPr>
        <w:t>类登记造册。每月对各回收点回收的废弃物进行汇总，及时向市农业农村局报送进度</w:t>
      </w:r>
      <w:r>
        <w:rPr>
          <w:rFonts w:hint="eastAsia" w:ascii="仿宋" w:hAnsi="仿宋" w:eastAsia="仿宋" w:cs="仿宋"/>
          <w:b w:val="0"/>
          <w:bCs/>
          <w:color w:val="auto"/>
          <w:sz w:val="24"/>
          <w:szCs w:val="24"/>
          <w:highlight w:val="none"/>
          <w:lang w:eastAsia="zh-CN"/>
        </w:rPr>
        <w:t>，接受监管单位从“浙农优品”农废模块中调度考核</w:t>
      </w:r>
      <w:r>
        <w:rPr>
          <w:rFonts w:hint="eastAsia" w:ascii="仿宋" w:hAnsi="仿宋" w:eastAsia="仿宋" w:cs="仿宋"/>
          <w:b w:val="0"/>
          <w:bCs/>
          <w:color w:val="auto"/>
          <w:sz w:val="24"/>
          <w:szCs w:val="24"/>
          <w:highlight w:val="none"/>
        </w:rPr>
        <w:t>。</w:t>
      </w:r>
    </w:p>
    <w:p w14:paraId="22A9E336">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仓储安全管理。标准中转储存仓库要落实专人负责，加强仓库消防安全管理，仓库内消防设施完备，操作人员安全防护措施健全；要做好农药废弃包装物的进出库安全；要强化操作人员的安全责任意识，加强安全隐患排查，提高应急抢险和逃生能力，高温季节要注意通风降温，避免中暑或因农药残留液集聚而发生员工中毒事件和磷化物自燃发生火灾事故，并产生二次污染。要加强与农药废弃包装物专业处置单位的沟通联络，尽最大可能加大我市废弃物的处置力度，减轻中转仓库的存储压力，消除安全隐患，确保安全无事故。</w:t>
      </w:r>
    </w:p>
    <w:p w14:paraId="5EC28F22">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运输车辆及交通运输安全：要提供封闭的箱式农药废弃包装物回收专用车辆，指定专人负责收集我市各回收点的农药废弃包装物。在对回收点废弃物归集验收后，要及时装运至指定中转仓库，集中保管、统一处置。要切实加强道路运输人员的交通安全教育，严禁疲劳驾车、超载驾车、酒后驾车等，避免发生农药废弃包装物装载、运输途中散落、遗弃等现象和道路交通事故。</w:t>
      </w:r>
    </w:p>
    <w:p w14:paraId="0713C6CF">
      <w:pPr>
        <w:tabs>
          <w:tab w:val="left" w:pos="735"/>
        </w:tabs>
        <w:spacing w:line="44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专业化处置：无危险废物经营许可证的中标单位要与有危险废物经营许可证（经营范围包括农药废物）的专业处置单位签订农药废弃物处置协议，做好年度专业化处置计划安排，按时完成我市农药废弃包装物中转储存仓库进出库，配合处置单位完成处置目标任务，力争无害化处置率达100%。</w:t>
      </w:r>
    </w:p>
    <w:p w14:paraId="19F24827">
      <w:pPr>
        <w:pStyle w:val="37"/>
        <w:adjustRightInd w:val="0"/>
        <w:snapToGrid w:val="0"/>
        <w:spacing w:line="440" w:lineRule="exac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3、商务资金要求：</w:t>
      </w:r>
    </w:p>
    <w:p w14:paraId="47EC0F0C">
      <w:pPr>
        <w:pStyle w:val="37"/>
        <w:adjustRightInd w:val="0"/>
        <w:snapToGrid w:val="0"/>
        <w:spacing w:line="440" w:lineRule="exact"/>
        <w:ind w:left="0" w:leftChars="0"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（1）回收垫资要求：</w:t>
      </w:r>
      <w:r>
        <w:rPr>
          <w:rFonts w:hint="eastAsia" w:ascii="仿宋" w:hAnsi="仿宋" w:eastAsia="仿宋" w:cs="仿宋"/>
          <w:b w:val="0"/>
          <w:bCs/>
          <w:color w:val="auto"/>
          <w:sz w:val="24"/>
          <w:szCs w:val="24"/>
          <w:highlight w:val="none"/>
          <w:lang w:val="en-US" w:eastAsia="zh-CN"/>
        </w:rPr>
        <w:t>回收点</w:t>
      </w:r>
      <w:r>
        <w:rPr>
          <w:rFonts w:hint="eastAsia" w:ascii="仿宋" w:hAnsi="仿宋" w:eastAsia="仿宋" w:cs="仿宋"/>
          <w:b w:val="0"/>
          <w:bCs/>
          <w:color w:val="auto"/>
          <w:sz w:val="24"/>
          <w:szCs w:val="24"/>
          <w:highlight w:val="none"/>
        </w:rPr>
        <w:t>对直接回收的玻璃农药瓶、农药</w:t>
      </w:r>
      <w:r>
        <w:rPr>
          <w:rFonts w:hint="eastAsia" w:ascii="仿宋" w:hAnsi="仿宋" w:eastAsia="仿宋" w:cs="仿宋"/>
          <w:b w:val="0"/>
          <w:bCs/>
          <w:color w:val="auto"/>
          <w:sz w:val="24"/>
          <w:szCs w:val="24"/>
          <w:highlight w:val="none"/>
          <w:lang w:val="en-US" w:eastAsia="zh-CN"/>
        </w:rPr>
        <w:t>包装</w:t>
      </w:r>
      <w:r>
        <w:rPr>
          <w:rFonts w:hint="eastAsia" w:ascii="仿宋" w:hAnsi="仿宋" w:eastAsia="仿宋" w:cs="仿宋"/>
          <w:b w:val="0"/>
          <w:bCs/>
          <w:color w:val="auto"/>
          <w:sz w:val="24"/>
          <w:szCs w:val="24"/>
          <w:highlight w:val="none"/>
        </w:rPr>
        <w:t>袋、塑料农药瓶等按相关部门规定的价格进行回收，前期回收费用需要先垫资</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中标单位须及时与回收点结算</w:t>
      </w:r>
      <w:r>
        <w:rPr>
          <w:rFonts w:hint="eastAsia" w:ascii="仿宋" w:hAnsi="仿宋" w:eastAsia="仿宋" w:cs="仿宋"/>
          <w:b w:val="0"/>
          <w:bCs/>
          <w:color w:val="auto"/>
          <w:sz w:val="24"/>
          <w:szCs w:val="24"/>
          <w:highlight w:val="none"/>
        </w:rPr>
        <w:t>；</w:t>
      </w:r>
    </w:p>
    <w:p w14:paraId="26780A96">
      <w:pPr>
        <w:pStyle w:val="37"/>
        <w:adjustRightInd w:val="0"/>
        <w:snapToGrid w:val="0"/>
        <w:spacing w:line="440" w:lineRule="exact"/>
        <w:ind w:left="0" w:leftChars="0"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（2）处置费用：根据《中华人民共和国环境保护法》以及相关环境保护法律、法规规定，在生产过程中形成的工业废物（液）不得随意排放、放置或者转移，应当依法集中处理。中标单位对所收集的农药废弃物</w:t>
      </w:r>
      <w:r>
        <w:rPr>
          <w:rFonts w:hint="eastAsia" w:ascii="仿宋" w:hAnsi="仿宋" w:eastAsia="仿宋" w:cs="仿宋"/>
          <w:b w:val="0"/>
          <w:bCs/>
          <w:color w:val="auto"/>
          <w:sz w:val="24"/>
          <w:szCs w:val="24"/>
          <w:highlight w:val="none"/>
          <w:lang w:eastAsia="zh-CN"/>
        </w:rPr>
        <w:t>须</w:t>
      </w:r>
      <w:r>
        <w:rPr>
          <w:rFonts w:hint="eastAsia" w:ascii="仿宋" w:hAnsi="仿宋" w:eastAsia="仿宋" w:cs="仿宋"/>
          <w:b w:val="0"/>
          <w:bCs/>
          <w:color w:val="auto"/>
          <w:sz w:val="24"/>
          <w:szCs w:val="24"/>
          <w:highlight w:val="none"/>
        </w:rPr>
        <w:t>运</w:t>
      </w:r>
      <w:r>
        <w:rPr>
          <w:rFonts w:hint="eastAsia" w:ascii="仿宋" w:hAnsi="仿宋" w:eastAsia="仿宋" w:cs="仿宋"/>
          <w:b w:val="0"/>
          <w:bCs/>
          <w:color w:val="auto"/>
          <w:sz w:val="24"/>
          <w:szCs w:val="24"/>
          <w:highlight w:val="none"/>
          <w:lang w:eastAsia="zh-CN"/>
        </w:rPr>
        <w:t>抵</w:t>
      </w:r>
      <w:r>
        <w:rPr>
          <w:rFonts w:hint="eastAsia" w:ascii="仿宋" w:hAnsi="仿宋" w:eastAsia="仿宋" w:cs="仿宋"/>
          <w:b w:val="0"/>
          <w:bCs/>
          <w:color w:val="auto"/>
          <w:sz w:val="24"/>
          <w:szCs w:val="24"/>
          <w:highlight w:val="none"/>
        </w:rPr>
        <w:t>具有</w:t>
      </w:r>
      <w:r>
        <w:rPr>
          <w:rFonts w:hint="eastAsia" w:ascii="仿宋" w:hAnsi="仿宋" w:eastAsia="仿宋" w:cs="仿宋"/>
          <w:b w:val="0"/>
          <w:bCs/>
          <w:color w:val="auto"/>
          <w:sz w:val="24"/>
          <w:szCs w:val="24"/>
          <w:highlight w:val="none"/>
          <w:lang w:eastAsia="zh-CN"/>
        </w:rPr>
        <w:t>危险废物经营许可证（经营范围包括农药废物）</w:t>
      </w:r>
      <w:r>
        <w:rPr>
          <w:rFonts w:hint="eastAsia" w:ascii="仿宋" w:hAnsi="仿宋" w:eastAsia="仿宋" w:cs="仿宋"/>
          <w:b w:val="0"/>
          <w:bCs/>
          <w:color w:val="auto"/>
          <w:sz w:val="24"/>
          <w:szCs w:val="24"/>
          <w:highlight w:val="none"/>
        </w:rPr>
        <w:t>的专业处置单位进行处置或委托具有</w:t>
      </w:r>
      <w:r>
        <w:rPr>
          <w:rFonts w:hint="eastAsia" w:ascii="仿宋" w:hAnsi="仿宋" w:eastAsia="仿宋" w:cs="仿宋"/>
          <w:b w:val="0"/>
          <w:bCs/>
          <w:color w:val="auto"/>
          <w:sz w:val="24"/>
          <w:szCs w:val="24"/>
          <w:highlight w:val="none"/>
          <w:lang w:eastAsia="zh-CN"/>
        </w:rPr>
        <w:t>危险废物经营许可证（经营范围包括农药废物）</w:t>
      </w:r>
      <w:r>
        <w:rPr>
          <w:rFonts w:hint="eastAsia" w:ascii="仿宋" w:hAnsi="仿宋" w:eastAsia="仿宋" w:cs="仿宋"/>
          <w:b w:val="0"/>
          <w:bCs/>
          <w:color w:val="auto"/>
          <w:sz w:val="24"/>
          <w:szCs w:val="24"/>
          <w:highlight w:val="none"/>
        </w:rPr>
        <w:t>的专业处置单位上门收运</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费用由中标单位支付。　　</w:t>
      </w:r>
    </w:p>
    <w:p w14:paraId="7A97D648">
      <w:pPr>
        <w:pStyle w:val="37"/>
        <w:adjustRightInd w:val="0"/>
        <w:snapToGrid w:val="0"/>
        <w:spacing w:line="440" w:lineRule="exact"/>
        <w:ind w:left="0" w:leftChars="0"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（3）回收点</w:t>
      </w:r>
      <w:r>
        <w:rPr>
          <w:rFonts w:hint="eastAsia" w:ascii="仿宋" w:hAnsi="仿宋" w:eastAsia="仿宋" w:cs="仿宋"/>
          <w:b w:val="0"/>
          <w:bCs/>
          <w:color w:val="auto"/>
          <w:sz w:val="24"/>
          <w:szCs w:val="24"/>
          <w:highlight w:val="none"/>
          <w:lang w:eastAsia="zh-CN"/>
        </w:rPr>
        <w:t>工作经</w:t>
      </w:r>
      <w:r>
        <w:rPr>
          <w:rFonts w:hint="eastAsia" w:ascii="仿宋" w:hAnsi="仿宋" w:eastAsia="仿宋" w:cs="仿宋"/>
          <w:b w:val="0"/>
          <w:bCs/>
          <w:color w:val="auto"/>
          <w:sz w:val="24"/>
          <w:szCs w:val="24"/>
          <w:highlight w:val="none"/>
        </w:rPr>
        <w:t>费/仓储费/车辆运输费/</w:t>
      </w:r>
      <w:r>
        <w:rPr>
          <w:rFonts w:hint="eastAsia" w:ascii="仿宋" w:hAnsi="仿宋" w:eastAsia="仿宋" w:cs="仿宋"/>
          <w:b w:val="0"/>
          <w:bCs/>
          <w:color w:val="auto"/>
          <w:sz w:val="24"/>
          <w:szCs w:val="24"/>
          <w:highlight w:val="none"/>
          <w:lang w:val="en-US" w:eastAsia="zh-CN"/>
        </w:rPr>
        <w:t>人工</w:t>
      </w:r>
      <w:r>
        <w:rPr>
          <w:rFonts w:hint="eastAsia" w:ascii="仿宋" w:hAnsi="仿宋" w:eastAsia="仿宋" w:cs="仿宋"/>
          <w:b w:val="0"/>
          <w:bCs/>
          <w:color w:val="auto"/>
          <w:sz w:val="24"/>
          <w:szCs w:val="24"/>
          <w:highlight w:val="none"/>
        </w:rPr>
        <w:t>费/其他：涉及本项目实施过程中的一切费用都含在</w:t>
      </w:r>
      <w:r>
        <w:rPr>
          <w:rFonts w:hint="eastAsia" w:ascii="仿宋" w:hAnsi="仿宋" w:eastAsia="仿宋" w:cs="仿宋"/>
          <w:b w:val="0"/>
          <w:bCs/>
          <w:color w:val="auto"/>
          <w:sz w:val="24"/>
          <w:szCs w:val="24"/>
          <w:highlight w:val="none"/>
          <w:lang w:eastAsia="zh-CN"/>
        </w:rPr>
        <w:t>中标</w:t>
      </w:r>
      <w:r>
        <w:rPr>
          <w:rFonts w:hint="eastAsia" w:ascii="仿宋" w:hAnsi="仿宋" w:eastAsia="仿宋" w:cs="仿宋"/>
          <w:b w:val="0"/>
          <w:bCs/>
          <w:color w:val="auto"/>
          <w:sz w:val="24"/>
          <w:szCs w:val="24"/>
          <w:highlight w:val="none"/>
        </w:rPr>
        <w:t>经费内，中标单位全额支付。</w:t>
      </w:r>
    </w:p>
    <w:p w14:paraId="3463E4A8">
      <w:pPr>
        <w:pStyle w:val="37"/>
        <w:adjustRightInd w:val="0"/>
        <w:snapToGrid w:val="0"/>
        <w:spacing w:line="440" w:lineRule="exac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4、中标人归集和运输过程必须符合以下要求（包含但不限于）：</w:t>
      </w:r>
    </w:p>
    <w:p w14:paraId="10A5278B">
      <w:pPr>
        <w:pStyle w:val="37"/>
        <w:adjustRightInd w:val="0"/>
        <w:snapToGrid w:val="0"/>
        <w:spacing w:line="440" w:lineRule="exact"/>
        <w:ind w:firstLine="926" w:firstLineChars="386"/>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GB18597-2001 危险废物贮存污染控制标准</w:t>
      </w:r>
    </w:p>
    <w:p w14:paraId="44F808FB">
      <w:pPr>
        <w:pStyle w:val="37"/>
        <w:adjustRightInd w:val="0"/>
        <w:snapToGrid w:val="0"/>
        <w:spacing w:line="440" w:lineRule="exact"/>
        <w:ind w:firstLine="926" w:firstLineChars="386"/>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GB15603 常用化学危险品贮存通则</w:t>
      </w:r>
    </w:p>
    <w:p w14:paraId="7BFE46A7">
      <w:pPr>
        <w:pStyle w:val="37"/>
        <w:adjustRightInd w:val="0"/>
        <w:snapToGrid w:val="0"/>
        <w:spacing w:line="440" w:lineRule="exact"/>
        <w:ind w:firstLine="926" w:firstLineChars="386"/>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GB12463 危险货物运输包装通用技术条件</w:t>
      </w:r>
    </w:p>
    <w:p w14:paraId="536A1A93">
      <w:pPr>
        <w:pStyle w:val="37"/>
        <w:adjustRightInd w:val="0"/>
        <w:snapToGrid w:val="0"/>
        <w:spacing w:line="440" w:lineRule="exact"/>
        <w:ind w:firstLine="926" w:firstLineChars="386"/>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HJ 2025-2012 危险废物收集贮存运输技术规范</w:t>
      </w:r>
    </w:p>
    <w:p w14:paraId="22C46273">
      <w:pPr>
        <w:numPr>
          <w:ilvl w:val="0"/>
          <w:numId w:val="1"/>
        </w:numPr>
        <w:snapToGrid w:val="0"/>
        <w:spacing w:line="440" w:lineRule="exact"/>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项目完工、验收与考核</w:t>
      </w:r>
    </w:p>
    <w:p w14:paraId="45DE4421">
      <w:pPr>
        <w:numPr>
          <w:ilvl w:val="0"/>
          <w:numId w:val="2"/>
        </w:numPr>
        <w:spacing w:line="440" w:lineRule="exact"/>
        <w:ind w:firstLine="484" w:firstLineChars="202"/>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项目服务周期：</w:t>
      </w:r>
      <w:r>
        <w:rPr>
          <w:rFonts w:hint="eastAsia" w:ascii="仿宋" w:hAnsi="仿宋" w:eastAsia="仿宋" w:cs="仿宋"/>
          <w:b w:val="0"/>
          <w:bCs/>
          <w:color w:val="auto"/>
          <w:sz w:val="24"/>
          <w:szCs w:val="24"/>
          <w:highlight w:val="none"/>
          <w:lang w:val="en-US" w:eastAsia="zh-CN"/>
        </w:rPr>
        <w:t>1年</w:t>
      </w:r>
    </w:p>
    <w:p w14:paraId="7455D8DC">
      <w:pPr>
        <w:numPr>
          <w:ilvl w:val="0"/>
          <w:numId w:val="2"/>
        </w:numPr>
        <w:spacing w:line="440" w:lineRule="exact"/>
        <w:ind w:firstLine="484" w:firstLineChars="202"/>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验收</w:t>
      </w:r>
      <w:r>
        <w:rPr>
          <w:rFonts w:hint="eastAsia" w:ascii="仿宋" w:hAnsi="仿宋" w:eastAsia="仿宋" w:cs="仿宋"/>
          <w:b w:val="0"/>
          <w:bCs/>
          <w:color w:val="auto"/>
          <w:sz w:val="24"/>
          <w:szCs w:val="24"/>
          <w:highlight w:val="none"/>
          <w:lang w:val="en-US" w:eastAsia="zh-CN"/>
        </w:rPr>
        <w:t>标准</w:t>
      </w:r>
      <w:r>
        <w:rPr>
          <w:rFonts w:hint="eastAsia" w:ascii="仿宋" w:hAnsi="仿宋" w:eastAsia="仿宋" w:cs="仿宋"/>
          <w:b w:val="0"/>
          <w:bCs/>
          <w:color w:val="auto"/>
          <w:sz w:val="24"/>
          <w:szCs w:val="24"/>
          <w:highlight w:val="none"/>
        </w:rPr>
        <w:t>：由第三方审计机构出具的关于本项目的《审计报告》</w:t>
      </w:r>
      <w:r>
        <w:rPr>
          <w:rFonts w:hint="eastAsia" w:ascii="仿宋" w:hAnsi="仿宋" w:eastAsia="仿宋" w:cs="仿宋"/>
          <w:b w:val="0"/>
          <w:bCs/>
          <w:color w:val="auto"/>
          <w:sz w:val="24"/>
          <w:szCs w:val="24"/>
          <w:highlight w:val="none"/>
          <w:lang w:val="en-US" w:eastAsia="zh-CN"/>
        </w:rPr>
        <w:t>为准</w:t>
      </w:r>
      <w:r>
        <w:rPr>
          <w:rFonts w:hint="eastAsia" w:ascii="仿宋" w:hAnsi="仿宋" w:eastAsia="仿宋" w:cs="仿宋"/>
          <w:b w:val="0"/>
          <w:bCs/>
          <w:color w:val="auto"/>
          <w:sz w:val="24"/>
          <w:szCs w:val="24"/>
          <w:highlight w:val="none"/>
        </w:rPr>
        <w:t>。《审计报告》中得说明在服务期内完成的回收处置数量(需提供处置单位出具的</w:t>
      </w:r>
      <w:r>
        <w:rPr>
          <w:rFonts w:hint="eastAsia" w:ascii="仿宋" w:hAnsi="仿宋" w:eastAsia="仿宋" w:cs="仿宋"/>
          <w:b w:val="0"/>
          <w:bCs/>
          <w:color w:val="auto"/>
          <w:sz w:val="24"/>
          <w:szCs w:val="24"/>
          <w:highlight w:val="none"/>
          <w:lang w:val="en-US" w:eastAsia="zh-CN"/>
        </w:rPr>
        <w:t>农药废弃包装物对账单、</w:t>
      </w:r>
      <w:r>
        <w:rPr>
          <w:rFonts w:hint="eastAsia" w:ascii="仿宋" w:hAnsi="仿宋" w:eastAsia="仿宋" w:cs="仿宋"/>
          <w:b w:val="0"/>
          <w:bCs/>
          <w:color w:val="auto"/>
          <w:sz w:val="24"/>
          <w:szCs w:val="24"/>
          <w:highlight w:val="none"/>
        </w:rPr>
        <w:t>转移联单等有效接收处置凭据)、处置费用</w:t>
      </w:r>
      <w:r>
        <w:rPr>
          <w:rFonts w:hint="eastAsia" w:ascii="仿宋" w:hAnsi="仿宋" w:eastAsia="仿宋" w:cs="仿宋"/>
          <w:b w:val="0"/>
          <w:bCs/>
          <w:color w:val="auto"/>
          <w:sz w:val="24"/>
          <w:szCs w:val="24"/>
          <w:highlight w:val="none"/>
          <w:lang w:val="en-US" w:eastAsia="zh-CN"/>
        </w:rPr>
        <w:t>发票</w:t>
      </w:r>
      <w:r>
        <w:rPr>
          <w:rFonts w:hint="eastAsia" w:ascii="仿宋" w:hAnsi="仿宋" w:eastAsia="仿宋" w:cs="仿宋"/>
          <w:b w:val="0"/>
          <w:bCs/>
          <w:color w:val="auto"/>
          <w:sz w:val="24"/>
          <w:szCs w:val="24"/>
          <w:highlight w:val="none"/>
        </w:rPr>
        <w:t>、</w:t>
      </w:r>
      <w:r>
        <w:rPr>
          <w:rFonts w:hint="eastAsia" w:ascii="仿宋" w:hAnsi="仿宋" w:eastAsia="仿宋" w:cs="仿宋"/>
          <w:b w:val="0"/>
          <w:bCs/>
          <w:color w:val="auto"/>
          <w:sz w:val="24"/>
          <w:szCs w:val="24"/>
          <w:highlight w:val="none"/>
          <w:lang w:val="en-US" w:eastAsia="zh-CN"/>
        </w:rPr>
        <w:t>回收台账等</w:t>
      </w:r>
      <w:r>
        <w:rPr>
          <w:rFonts w:hint="eastAsia" w:ascii="仿宋" w:hAnsi="仿宋" w:eastAsia="仿宋" w:cs="仿宋"/>
          <w:b w:val="0"/>
          <w:bCs/>
          <w:color w:val="auto"/>
          <w:sz w:val="24"/>
          <w:szCs w:val="24"/>
          <w:highlight w:val="none"/>
        </w:rPr>
        <w:t>其他甲方认为需要提供的证明材料，否则验收不予通过并拒付服务费</w:t>
      </w:r>
      <w:r>
        <w:rPr>
          <w:rFonts w:hint="eastAsia" w:ascii="仿宋" w:hAnsi="仿宋" w:eastAsia="仿宋" w:cs="仿宋"/>
          <w:b w:val="0"/>
          <w:bCs/>
          <w:color w:val="auto"/>
          <w:sz w:val="24"/>
          <w:szCs w:val="24"/>
          <w:highlight w:val="none"/>
          <w:lang w:eastAsia="zh-CN"/>
        </w:rPr>
        <w:t>。</w:t>
      </w:r>
    </w:p>
    <w:p w14:paraId="7255EFFD">
      <w:pPr>
        <w:numPr>
          <w:ilvl w:val="0"/>
          <w:numId w:val="0"/>
        </w:numPr>
        <w:spacing w:line="440" w:lineRule="exact"/>
        <w:ind w:firstLine="480" w:firstLineChars="200"/>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3.结算方式：本项目服务期限1年。年度回收处置吨数暂定70吨，具体吨数以上级下达任务数为准，最终以实际完成吨数*中标单价进行结算，若任务数超出70吨，且增幅范围在5%以内，以70吨结算。</w:t>
      </w:r>
    </w:p>
    <w:p w14:paraId="11BCB34C">
      <w:pPr>
        <w:spacing w:line="440" w:lineRule="exact"/>
        <w:rPr>
          <w:rFonts w:hint="eastAsia" w:ascii="仿宋" w:hAnsi="仿宋" w:eastAsia="仿宋" w:cs="仿宋"/>
          <w:b/>
          <w:bCs w:val="0"/>
          <w:color w:val="auto"/>
          <w:kern w:val="1"/>
          <w:sz w:val="24"/>
          <w:szCs w:val="24"/>
          <w:highlight w:val="none"/>
        </w:rPr>
      </w:pPr>
      <w:r>
        <w:rPr>
          <w:rFonts w:hint="eastAsia" w:ascii="仿宋" w:hAnsi="仿宋" w:eastAsia="仿宋" w:cs="仿宋"/>
          <w:b/>
          <w:bCs w:val="0"/>
          <w:color w:val="auto"/>
          <w:kern w:val="1"/>
          <w:sz w:val="24"/>
          <w:szCs w:val="24"/>
          <w:highlight w:val="none"/>
        </w:rPr>
        <w:t>四、对项目转包、分包要求</w:t>
      </w:r>
    </w:p>
    <w:p w14:paraId="495AE1B5">
      <w:pPr>
        <w:spacing w:line="440" w:lineRule="exact"/>
        <w:ind w:firstLine="480"/>
        <w:rPr>
          <w:rFonts w:hint="eastAsia" w:ascii="仿宋" w:hAnsi="仿宋" w:eastAsia="仿宋" w:cs="仿宋"/>
          <w:b w:val="0"/>
          <w:bCs/>
          <w:color w:val="auto"/>
          <w:kern w:val="1"/>
          <w:sz w:val="24"/>
          <w:szCs w:val="24"/>
          <w:highlight w:val="none"/>
        </w:rPr>
      </w:pPr>
      <w:r>
        <w:rPr>
          <w:rFonts w:hint="eastAsia" w:ascii="仿宋" w:hAnsi="仿宋" w:eastAsia="仿宋" w:cs="仿宋"/>
          <w:b w:val="0"/>
          <w:bCs/>
          <w:color w:val="auto"/>
          <w:kern w:val="1"/>
          <w:sz w:val="24"/>
          <w:szCs w:val="24"/>
          <w:highlight w:val="none"/>
        </w:rPr>
        <w:t>1、该项目不允许转包、分包。</w:t>
      </w:r>
    </w:p>
    <w:p w14:paraId="5A5E666D">
      <w:pPr>
        <w:spacing w:line="440" w:lineRule="exact"/>
        <w:ind w:firstLine="480"/>
        <w:rPr>
          <w:rFonts w:hint="eastAsia" w:ascii="仿宋" w:hAnsi="仿宋" w:eastAsia="仿宋" w:cs="仿宋"/>
          <w:b w:val="0"/>
          <w:bCs/>
          <w:color w:val="auto"/>
          <w:kern w:val="1"/>
          <w:sz w:val="24"/>
          <w:szCs w:val="24"/>
          <w:highlight w:val="none"/>
        </w:rPr>
      </w:pPr>
      <w:r>
        <w:rPr>
          <w:rFonts w:hint="eastAsia" w:ascii="仿宋" w:hAnsi="仿宋" w:eastAsia="仿宋" w:cs="仿宋"/>
          <w:b w:val="0"/>
          <w:bCs/>
          <w:color w:val="auto"/>
          <w:kern w:val="1"/>
          <w:sz w:val="24"/>
          <w:szCs w:val="24"/>
          <w:highlight w:val="none"/>
        </w:rPr>
        <w:t>2、采购人发现成交供应商进行转包、分包的，有权单方解除合同，取消成交供应商实施项目资格。成交供应商除赔偿损失外，还须向采购人支付项目合同总价款5%的违约金。</w:t>
      </w:r>
    </w:p>
    <w:p w14:paraId="06952B25">
      <w:pPr>
        <w:spacing w:line="420" w:lineRule="exact"/>
        <w:rPr>
          <w:rFonts w:hint="eastAsia" w:ascii="仿宋" w:hAnsi="仿宋" w:eastAsia="仿宋" w:cs="仿宋"/>
          <w:b/>
          <w:bCs w:val="0"/>
          <w:color w:val="auto"/>
          <w:kern w:val="1"/>
          <w:sz w:val="24"/>
          <w:szCs w:val="24"/>
          <w:highlight w:val="none"/>
        </w:rPr>
      </w:pPr>
      <w:r>
        <w:rPr>
          <w:rFonts w:hint="eastAsia" w:ascii="仿宋" w:hAnsi="仿宋" w:eastAsia="仿宋" w:cs="仿宋"/>
          <w:b/>
          <w:bCs w:val="0"/>
          <w:color w:val="auto"/>
          <w:kern w:val="1"/>
          <w:sz w:val="24"/>
          <w:szCs w:val="24"/>
          <w:highlight w:val="none"/>
        </w:rPr>
        <w:t>五、</w:t>
      </w:r>
      <w:r>
        <w:rPr>
          <w:rFonts w:hint="eastAsia" w:ascii="仿宋" w:hAnsi="仿宋" w:eastAsia="仿宋" w:cs="仿宋"/>
          <w:b/>
          <w:bCs w:val="0"/>
          <w:color w:val="auto"/>
          <w:kern w:val="1"/>
          <w:sz w:val="24"/>
          <w:szCs w:val="24"/>
          <w:highlight w:val="none"/>
          <w:lang w:val="en-US" w:eastAsia="zh-CN"/>
        </w:rPr>
        <w:t>商务资信要求</w:t>
      </w:r>
    </w:p>
    <w:tbl>
      <w:tblPr>
        <w:tblStyle w:val="62"/>
        <w:tblW w:w="9171" w:type="dxa"/>
        <w:jc w:val="center"/>
        <w:tblLayout w:type="fixed"/>
        <w:tblCellMar>
          <w:top w:w="0" w:type="dxa"/>
          <w:left w:w="108" w:type="dxa"/>
          <w:bottom w:w="0" w:type="dxa"/>
          <w:right w:w="108" w:type="dxa"/>
        </w:tblCellMar>
      </w:tblPr>
      <w:tblGrid>
        <w:gridCol w:w="1298"/>
        <w:gridCol w:w="7873"/>
      </w:tblGrid>
      <w:tr w14:paraId="59311037">
        <w:tblPrEx>
          <w:tblCellMar>
            <w:top w:w="0" w:type="dxa"/>
            <w:left w:w="108" w:type="dxa"/>
            <w:bottom w:w="0" w:type="dxa"/>
            <w:right w:w="108" w:type="dxa"/>
          </w:tblCellMar>
        </w:tblPrEx>
        <w:trPr>
          <w:trHeight w:val="1138"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14:paraId="3426B2AF">
            <w:pPr>
              <w:spacing w:line="420" w:lineRule="exact"/>
              <w:jc w:val="center"/>
              <w:rPr>
                <w:rFonts w:hint="default" w:ascii="仿宋" w:hAnsi="仿宋" w:eastAsia="仿宋" w:cs="仿宋"/>
                <w:b w:val="0"/>
                <w:bCs/>
                <w:color w:val="auto"/>
                <w:kern w:val="1"/>
                <w:sz w:val="24"/>
                <w:szCs w:val="24"/>
                <w:highlight w:val="none"/>
                <w:lang w:val="en-US" w:eastAsia="zh-CN"/>
              </w:rPr>
            </w:pPr>
            <w:r>
              <w:rPr>
                <w:rFonts w:hint="eastAsia" w:ascii="仿宋" w:hAnsi="仿宋" w:eastAsia="仿宋" w:cs="仿宋"/>
                <w:b w:val="0"/>
                <w:bCs/>
                <w:color w:val="auto"/>
                <w:kern w:val="1"/>
                <w:sz w:val="24"/>
                <w:szCs w:val="24"/>
                <w:highlight w:val="none"/>
                <w:lang w:val="en-US" w:eastAsia="zh-CN"/>
              </w:rPr>
              <w:t>服务期限</w:t>
            </w:r>
          </w:p>
        </w:tc>
        <w:tc>
          <w:tcPr>
            <w:tcW w:w="7873" w:type="dxa"/>
            <w:tcBorders>
              <w:top w:val="single" w:color="000000" w:sz="4" w:space="0"/>
              <w:left w:val="single" w:color="000000" w:sz="4" w:space="0"/>
              <w:bottom w:val="single" w:color="000000" w:sz="4" w:space="0"/>
              <w:right w:val="single" w:color="000000" w:sz="4" w:space="0"/>
            </w:tcBorders>
            <w:noWrap w:val="0"/>
            <w:vAlign w:val="center"/>
          </w:tcPr>
          <w:p w14:paraId="405A83D4">
            <w:pPr>
              <w:spacing w:line="420" w:lineRule="exact"/>
              <w:ind w:firstLine="240" w:firstLineChars="100"/>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1年(2025年1月1日-2025年12月31日）</w:t>
            </w:r>
          </w:p>
        </w:tc>
      </w:tr>
      <w:tr w14:paraId="75E69146">
        <w:tblPrEx>
          <w:tblCellMar>
            <w:top w:w="0" w:type="dxa"/>
            <w:left w:w="108" w:type="dxa"/>
            <w:bottom w:w="0" w:type="dxa"/>
            <w:right w:w="108" w:type="dxa"/>
          </w:tblCellMar>
        </w:tblPrEx>
        <w:trPr>
          <w:trHeight w:val="693"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14:paraId="0C314254">
            <w:pPr>
              <w:spacing w:line="420" w:lineRule="exact"/>
              <w:jc w:val="center"/>
              <w:rPr>
                <w:rFonts w:hint="default" w:ascii="仿宋" w:hAnsi="仿宋" w:eastAsia="仿宋" w:cs="仿宋"/>
                <w:b w:val="0"/>
                <w:bCs/>
                <w:color w:val="auto"/>
                <w:kern w:val="1"/>
                <w:sz w:val="24"/>
                <w:szCs w:val="24"/>
                <w:highlight w:val="none"/>
                <w:lang w:val="en-US" w:eastAsia="zh-CN"/>
              </w:rPr>
            </w:pPr>
            <w:r>
              <w:rPr>
                <w:rFonts w:hint="eastAsia" w:ascii="仿宋" w:hAnsi="仿宋" w:eastAsia="仿宋" w:cs="仿宋"/>
                <w:b w:val="0"/>
                <w:bCs/>
                <w:color w:val="auto"/>
                <w:kern w:val="1"/>
                <w:sz w:val="24"/>
                <w:szCs w:val="24"/>
                <w:highlight w:val="none"/>
                <w:lang w:val="en-US" w:eastAsia="zh-CN"/>
              </w:rPr>
              <w:t>验收标准</w:t>
            </w:r>
          </w:p>
        </w:tc>
        <w:tc>
          <w:tcPr>
            <w:tcW w:w="7873" w:type="dxa"/>
            <w:tcBorders>
              <w:top w:val="single" w:color="000000" w:sz="4" w:space="0"/>
              <w:left w:val="single" w:color="000000" w:sz="4" w:space="0"/>
              <w:bottom w:val="single" w:color="000000" w:sz="4" w:space="0"/>
              <w:right w:val="single" w:color="000000" w:sz="4" w:space="0"/>
            </w:tcBorders>
            <w:noWrap w:val="0"/>
            <w:vAlign w:val="center"/>
          </w:tcPr>
          <w:p w14:paraId="693BE242">
            <w:pPr>
              <w:spacing w:line="420" w:lineRule="exact"/>
              <w:ind w:firstLine="480" w:firstLineChars="2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由第三方审计机构出具的关于本项目的《审计报告》</w:t>
            </w:r>
            <w:r>
              <w:rPr>
                <w:rFonts w:hint="eastAsia" w:ascii="仿宋" w:hAnsi="仿宋" w:eastAsia="仿宋" w:cs="仿宋"/>
                <w:b w:val="0"/>
                <w:bCs/>
                <w:color w:val="auto"/>
                <w:sz w:val="24"/>
                <w:szCs w:val="24"/>
                <w:highlight w:val="none"/>
                <w:lang w:val="en-US" w:eastAsia="zh-CN"/>
              </w:rPr>
              <w:t>为准</w:t>
            </w:r>
            <w:r>
              <w:rPr>
                <w:rFonts w:hint="eastAsia" w:ascii="仿宋" w:hAnsi="仿宋" w:eastAsia="仿宋" w:cs="仿宋"/>
                <w:b w:val="0"/>
                <w:bCs/>
                <w:color w:val="auto"/>
                <w:sz w:val="24"/>
                <w:szCs w:val="24"/>
                <w:highlight w:val="none"/>
              </w:rPr>
              <w:t>。《审计报告》中得说明在服务期内完成的回收处置数量(需提供处置单位出具的</w:t>
            </w:r>
            <w:r>
              <w:rPr>
                <w:rFonts w:hint="eastAsia" w:ascii="仿宋" w:hAnsi="仿宋" w:eastAsia="仿宋" w:cs="仿宋"/>
                <w:b w:val="0"/>
                <w:bCs/>
                <w:color w:val="auto"/>
                <w:sz w:val="24"/>
                <w:szCs w:val="24"/>
                <w:highlight w:val="none"/>
                <w:lang w:val="en-US" w:eastAsia="zh-CN"/>
              </w:rPr>
              <w:t>农药废弃包装物对账单、</w:t>
            </w:r>
            <w:r>
              <w:rPr>
                <w:rFonts w:hint="eastAsia" w:ascii="仿宋" w:hAnsi="仿宋" w:eastAsia="仿宋" w:cs="仿宋"/>
                <w:b w:val="0"/>
                <w:bCs/>
                <w:color w:val="auto"/>
                <w:sz w:val="24"/>
                <w:szCs w:val="24"/>
                <w:highlight w:val="none"/>
              </w:rPr>
              <w:t>转移联单等有效接收处置凭据)、处置费用</w:t>
            </w:r>
            <w:r>
              <w:rPr>
                <w:rFonts w:hint="eastAsia" w:ascii="仿宋" w:hAnsi="仿宋" w:eastAsia="仿宋" w:cs="仿宋"/>
                <w:b w:val="0"/>
                <w:bCs/>
                <w:color w:val="auto"/>
                <w:sz w:val="24"/>
                <w:szCs w:val="24"/>
                <w:highlight w:val="none"/>
                <w:lang w:val="en-US" w:eastAsia="zh-CN"/>
              </w:rPr>
              <w:t>发票</w:t>
            </w:r>
            <w:r>
              <w:rPr>
                <w:rFonts w:hint="eastAsia" w:ascii="仿宋" w:hAnsi="仿宋" w:eastAsia="仿宋" w:cs="仿宋"/>
                <w:b w:val="0"/>
                <w:bCs/>
                <w:color w:val="auto"/>
                <w:sz w:val="24"/>
                <w:szCs w:val="24"/>
                <w:highlight w:val="none"/>
              </w:rPr>
              <w:t>、</w:t>
            </w:r>
            <w:r>
              <w:rPr>
                <w:rFonts w:hint="eastAsia" w:ascii="仿宋" w:hAnsi="仿宋" w:eastAsia="仿宋" w:cs="仿宋"/>
                <w:b w:val="0"/>
                <w:bCs/>
                <w:color w:val="auto"/>
                <w:sz w:val="24"/>
                <w:szCs w:val="24"/>
                <w:highlight w:val="none"/>
                <w:lang w:val="en-US" w:eastAsia="zh-CN"/>
              </w:rPr>
              <w:t>回收台账等</w:t>
            </w:r>
            <w:r>
              <w:rPr>
                <w:rFonts w:hint="eastAsia" w:ascii="仿宋" w:hAnsi="仿宋" w:eastAsia="仿宋" w:cs="仿宋"/>
                <w:b w:val="0"/>
                <w:bCs/>
                <w:color w:val="auto"/>
                <w:sz w:val="24"/>
                <w:szCs w:val="24"/>
                <w:highlight w:val="none"/>
              </w:rPr>
              <w:t>其他甲方认为需要提供的证明材料，否则验收不予通过并拒付服务费</w:t>
            </w:r>
            <w:r>
              <w:rPr>
                <w:rFonts w:hint="eastAsia" w:ascii="仿宋" w:hAnsi="仿宋" w:eastAsia="仿宋" w:cs="仿宋"/>
                <w:b w:val="0"/>
                <w:bCs/>
                <w:color w:val="auto"/>
                <w:sz w:val="24"/>
                <w:szCs w:val="24"/>
                <w:highlight w:val="none"/>
                <w:lang w:eastAsia="zh-CN"/>
              </w:rPr>
              <w:t>。</w:t>
            </w:r>
          </w:p>
        </w:tc>
      </w:tr>
      <w:tr w14:paraId="7FA1C434">
        <w:tblPrEx>
          <w:tblCellMar>
            <w:top w:w="0" w:type="dxa"/>
            <w:left w:w="108" w:type="dxa"/>
            <w:bottom w:w="0" w:type="dxa"/>
            <w:right w:w="108" w:type="dxa"/>
          </w:tblCellMar>
        </w:tblPrEx>
        <w:trPr>
          <w:trHeight w:val="1703"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14:paraId="354F8C17">
            <w:pPr>
              <w:spacing w:line="420" w:lineRule="exact"/>
              <w:jc w:val="center"/>
              <w:rPr>
                <w:rFonts w:hint="eastAsia" w:ascii="仿宋" w:hAnsi="仿宋" w:eastAsia="仿宋" w:cs="仿宋"/>
                <w:b w:val="0"/>
                <w:bCs/>
                <w:color w:val="auto"/>
                <w:kern w:val="1"/>
                <w:sz w:val="24"/>
                <w:szCs w:val="24"/>
                <w:highlight w:val="none"/>
              </w:rPr>
            </w:pPr>
            <w:r>
              <w:rPr>
                <w:rFonts w:hint="eastAsia" w:ascii="仿宋" w:hAnsi="仿宋" w:eastAsia="仿宋" w:cs="仿宋"/>
                <w:b w:val="0"/>
                <w:bCs/>
                <w:color w:val="auto"/>
                <w:kern w:val="1"/>
                <w:sz w:val="24"/>
                <w:szCs w:val="24"/>
                <w:highlight w:val="none"/>
              </w:rPr>
              <w:t>付款方式</w:t>
            </w:r>
          </w:p>
        </w:tc>
        <w:tc>
          <w:tcPr>
            <w:tcW w:w="7873" w:type="dxa"/>
            <w:tcBorders>
              <w:top w:val="single" w:color="000000" w:sz="4" w:space="0"/>
              <w:left w:val="single" w:color="000000" w:sz="4" w:space="0"/>
              <w:bottom w:val="single" w:color="000000" w:sz="4" w:space="0"/>
              <w:right w:val="single" w:color="000000" w:sz="4" w:space="0"/>
            </w:tcBorders>
            <w:noWrap w:val="0"/>
            <w:vAlign w:val="center"/>
          </w:tcPr>
          <w:p w14:paraId="296E3171">
            <w:pPr>
              <w:spacing w:line="420" w:lineRule="exact"/>
              <w:ind w:firstLine="480" w:firstLineChars="200"/>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年度回收处置吨数暂定70吨，具体吨数以上级下达任务数为准，最终以实际完成吨数*中标单价进行结算，若任务数超出70吨，且增幅范围在5%以内，以70吨结算。</w:t>
            </w:r>
          </w:p>
          <w:p w14:paraId="70958A84">
            <w:pPr>
              <w:spacing w:line="420" w:lineRule="exact"/>
              <w:ind w:firstLine="480" w:firstLineChars="200"/>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合同签订后</w:t>
            </w:r>
            <w:r>
              <w:rPr>
                <w:rFonts w:hint="eastAsia" w:ascii="仿宋" w:hAnsi="仿宋" w:eastAsia="仿宋" w:cs="仿宋"/>
                <w:b w:val="0"/>
                <w:bCs/>
                <w:color w:val="auto"/>
                <w:sz w:val="24"/>
                <w:szCs w:val="24"/>
                <w:highlight w:val="none"/>
                <w:lang w:val="en-US" w:eastAsia="zh-CN"/>
              </w:rPr>
              <w:t>14个工作日内</w:t>
            </w:r>
            <w:r>
              <w:rPr>
                <w:rFonts w:hint="eastAsia" w:ascii="仿宋" w:hAnsi="仿宋" w:eastAsia="仿宋" w:cs="仿宋"/>
                <w:b w:val="0"/>
                <w:bCs/>
                <w:color w:val="auto"/>
                <w:sz w:val="24"/>
                <w:szCs w:val="24"/>
                <w:highlight w:val="none"/>
              </w:rPr>
              <w:t>支付</w:t>
            </w:r>
            <w:r>
              <w:rPr>
                <w:rFonts w:hint="eastAsia" w:ascii="仿宋" w:hAnsi="仿宋" w:eastAsia="仿宋" w:cs="仿宋"/>
                <w:b w:val="0"/>
                <w:bCs/>
                <w:color w:val="auto"/>
                <w:sz w:val="24"/>
                <w:szCs w:val="24"/>
                <w:highlight w:val="none"/>
                <w:lang w:eastAsia="zh-CN"/>
              </w:rPr>
              <w:t>，预算</w:t>
            </w:r>
            <w:r>
              <w:rPr>
                <w:rFonts w:hint="eastAsia" w:ascii="仿宋" w:hAnsi="仿宋" w:eastAsia="仿宋" w:cs="仿宋"/>
                <w:b w:val="0"/>
                <w:bCs/>
                <w:color w:val="auto"/>
                <w:sz w:val="24"/>
                <w:szCs w:val="24"/>
                <w:highlight w:val="none"/>
                <w:lang w:val="en-US" w:eastAsia="zh-CN"/>
              </w:rPr>
              <w:t>金额</w:t>
            </w:r>
            <w:r>
              <w:rPr>
                <w:rFonts w:hint="eastAsia" w:ascii="仿宋" w:hAnsi="仿宋" w:eastAsia="仿宋" w:cs="仿宋"/>
                <w:b w:val="0"/>
                <w:bCs/>
                <w:color w:val="auto"/>
                <w:sz w:val="24"/>
                <w:szCs w:val="24"/>
                <w:highlight w:val="none"/>
              </w:rPr>
              <w:t>的</w:t>
            </w:r>
            <w:r>
              <w:rPr>
                <w:rFonts w:hint="eastAsia" w:ascii="仿宋" w:hAnsi="仿宋" w:eastAsia="仿宋" w:cs="仿宋"/>
                <w:b w:val="0"/>
                <w:bCs/>
                <w:color w:val="auto"/>
                <w:sz w:val="24"/>
                <w:szCs w:val="24"/>
                <w:highlight w:val="none"/>
                <w:lang w:val="en-US" w:eastAsia="zh-CN"/>
              </w:rPr>
              <w:t>40</w:t>
            </w:r>
            <w:r>
              <w:rPr>
                <w:rFonts w:hint="eastAsia" w:ascii="仿宋" w:hAnsi="仿宋" w:eastAsia="仿宋" w:cs="仿宋"/>
                <w:b w:val="0"/>
                <w:bCs/>
                <w:color w:val="auto"/>
                <w:sz w:val="24"/>
                <w:szCs w:val="24"/>
                <w:highlight w:val="none"/>
              </w:rPr>
              <w:t>%作为预付款，年度项目完成后</w:t>
            </w:r>
            <w:r>
              <w:rPr>
                <w:rFonts w:hint="eastAsia" w:ascii="仿宋" w:hAnsi="仿宋" w:eastAsia="仿宋" w:cs="仿宋"/>
                <w:b w:val="0"/>
                <w:bCs/>
                <w:color w:val="auto"/>
                <w:sz w:val="24"/>
                <w:szCs w:val="24"/>
                <w:highlight w:val="none"/>
                <w:lang w:val="en-US" w:eastAsia="zh-CN"/>
              </w:rPr>
              <w:t>并</w:t>
            </w:r>
            <w:r>
              <w:rPr>
                <w:rFonts w:hint="eastAsia" w:ascii="仿宋" w:hAnsi="仿宋" w:eastAsia="仿宋" w:cs="仿宋"/>
                <w:b w:val="0"/>
                <w:bCs/>
                <w:color w:val="auto"/>
                <w:sz w:val="24"/>
                <w:szCs w:val="24"/>
                <w:highlight w:val="none"/>
              </w:rPr>
              <w:t>经</w:t>
            </w:r>
            <w:r>
              <w:rPr>
                <w:rFonts w:hint="eastAsia" w:ascii="仿宋" w:hAnsi="仿宋" w:eastAsia="仿宋" w:cs="仿宋"/>
                <w:b w:val="0"/>
                <w:bCs/>
                <w:color w:val="auto"/>
                <w:sz w:val="24"/>
                <w:szCs w:val="24"/>
                <w:highlight w:val="none"/>
                <w:lang w:val="en-US" w:eastAsia="zh-CN"/>
              </w:rPr>
              <w:t>第三方审计后</w:t>
            </w:r>
            <w:r>
              <w:rPr>
                <w:rFonts w:hint="eastAsia" w:ascii="仿宋" w:hAnsi="仿宋" w:eastAsia="仿宋" w:cs="仿宋"/>
                <w:b w:val="0"/>
                <w:bCs/>
                <w:color w:val="auto"/>
                <w:sz w:val="24"/>
                <w:szCs w:val="24"/>
                <w:highlight w:val="none"/>
              </w:rPr>
              <w:t>一次性付清余款。</w:t>
            </w:r>
          </w:p>
        </w:tc>
      </w:tr>
      <w:tr w14:paraId="0624DA4F">
        <w:tblPrEx>
          <w:tblCellMar>
            <w:top w:w="0" w:type="dxa"/>
            <w:left w:w="108" w:type="dxa"/>
            <w:bottom w:w="0" w:type="dxa"/>
            <w:right w:w="108" w:type="dxa"/>
          </w:tblCellMar>
        </w:tblPrEx>
        <w:trPr>
          <w:trHeight w:val="1716" w:hRule="atLeast"/>
          <w:jc w:val="center"/>
        </w:trPr>
        <w:tc>
          <w:tcPr>
            <w:tcW w:w="1298" w:type="dxa"/>
            <w:tcBorders>
              <w:top w:val="single" w:color="000000" w:sz="4" w:space="0"/>
              <w:left w:val="single" w:color="000000" w:sz="4" w:space="0"/>
              <w:bottom w:val="single" w:color="000000" w:sz="4" w:space="0"/>
              <w:right w:val="single" w:color="000000" w:sz="4" w:space="0"/>
            </w:tcBorders>
            <w:noWrap w:val="0"/>
            <w:vAlign w:val="center"/>
          </w:tcPr>
          <w:p w14:paraId="4CCC2D72">
            <w:pPr>
              <w:spacing w:line="420" w:lineRule="exact"/>
              <w:jc w:val="center"/>
              <w:rPr>
                <w:rFonts w:hint="eastAsia" w:ascii="仿宋" w:hAnsi="仿宋" w:eastAsia="仿宋" w:cs="仿宋"/>
                <w:b w:val="0"/>
                <w:bCs/>
                <w:color w:val="auto"/>
                <w:kern w:val="1"/>
                <w:sz w:val="24"/>
                <w:szCs w:val="24"/>
                <w:highlight w:val="none"/>
              </w:rPr>
            </w:pPr>
            <w:r>
              <w:rPr>
                <w:rFonts w:hint="eastAsia" w:ascii="仿宋" w:hAnsi="仿宋" w:eastAsia="仿宋" w:cs="仿宋"/>
                <w:b w:val="0"/>
                <w:bCs/>
                <w:color w:val="auto"/>
                <w:kern w:val="1"/>
                <w:sz w:val="24"/>
                <w:szCs w:val="24"/>
                <w:highlight w:val="none"/>
              </w:rPr>
              <w:t>投标报价</w:t>
            </w:r>
          </w:p>
        </w:tc>
        <w:tc>
          <w:tcPr>
            <w:tcW w:w="7873" w:type="dxa"/>
            <w:tcBorders>
              <w:top w:val="single" w:color="000000" w:sz="4" w:space="0"/>
              <w:left w:val="single" w:color="000000" w:sz="4" w:space="0"/>
              <w:bottom w:val="single" w:color="000000" w:sz="4" w:space="0"/>
              <w:right w:val="single" w:color="000000" w:sz="4" w:space="0"/>
            </w:tcBorders>
            <w:noWrap w:val="0"/>
            <w:vAlign w:val="center"/>
          </w:tcPr>
          <w:p w14:paraId="5CB8EF1D">
            <w:pPr>
              <w:spacing w:line="420" w:lineRule="exact"/>
              <w:rPr>
                <w:rFonts w:hint="eastAsia" w:ascii="仿宋" w:hAnsi="仿宋" w:eastAsia="仿宋" w:cs="仿宋"/>
                <w:b w:val="0"/>
                <w:bCs/>
                <w:color w:val="auto"/>
                <w:kern w:val="1"/>
                <w:sz w:val="24"/>
                <w:szCs w:val="24"/>
                <w:highlight w:val="none"/>
              </w:rPr>
            </w:pPr>
            <w:r>
              <w:rPr>
                <w:rFonts w:hint="eastAsia" w:ascii="仿宋" w:hAnsi="仿宋" w:eastAsia="仿宋" w:cs="仿宋"/>
                <w:b w:val="0"/>
                <w:bCs/>
                <w:color w:val="auto"/>
                <w:kern w:val="1"/>
                <w:sz w:val="24"/>
                <w:szCs w:val="24"/>
                <w:highlight w:val="none"/>
                <w:lang w:val="en-US" w:eastAsia="zh-CN"/>
              </w:rPr>
              <w:t>　　本项目以单价报价。</w:t>
            </w:r>
            <w:r>
              <w:rPr>
                <w:rFonts w:hint="eastAsia" w:ascii="仿宋" w:hAnsi="仿宋" w:eastAsia="仿宋" w:cs="仿宋"/>
                <w:b w:val="0"/>
                <w:bCs/>
                <w:color w:val="auto"/>
                <w:kern w:val="1"/>
                <w:sz w:val="24"/>
                <w:szCs w:val="24"/>
                <w:highlight w:val="none"/>
              </w:rPr>
              <w:t>投标报价</w:t>
            </w:r>
            <w:r>
              <w:rPr>
                <w:rFonts w:hint="eastAsia" w:ascii="仿宋" w:hAnsi="仿宋" w:eastAsia="仿宋" w:cs="仿宋"/>
                <w:b w:val="0"/>
                <w:bCs/>
                <w:color w:val="auto"/>
                <w:kern w:val="1"/>
                <w:sz w:val="24"/>
                <w:szCs w:val="24"/>
                <w:highlight w:val="none"/>
                <w:lang w:eastAsia="zh-CN"/>
              </w:rPr>
              <w:t>（</w:t>
            </w:r>
            <w:r>
              <w:rPr>
                <w:rFonts w:hint="eastAsia" w:ascii="仿宋" w:hAnsi="仿宋" w:eastAsia="仿宋" w:cs="仿宋"/>
                <w:b w:val="0"/>
                <w:bCs/>
                <w:color w:val="auto"/>
                <w:kern w:val="1"/>
                <w:sz w:val="24"/>
                <w:szCs w:val="24"/>
                <w:highlight w:val="none"/>
                <w:lang w:val="en-US" w:eastAsia="zh-CN"/>
              </w:rPr>
              <w:t>单价</w:t>
            </w:r>
            <w:r>
              <w:rPr>
                <w:rFonts w:hint="eastAsia" w:ascii="仿宋" w:hAnsi="仿宋" w:eastAsia="仿宋" w:cs="仿宋"/>
                <w:b w:val="0"/>
                <w:bCs/>
                <w:color w:val="auto"/>
                <w:kern w:val="1"/>
                <w:sz w:val="24"/>
                <w:szCs w:val="24"/>
                <w:highlight w:val="none"/>
                <w:lang w:eastAsia="zh-CN"/>
              </w:rPr>
              <w:t>）</w:t>
            </w:r>
            <w:r>
              <w:rPr>
                <w:rFonts w:hint="eastAsia" w:ascii="仿宋" w:hAnsi="仿宋" w:eastAsia="仿宋" w:cs="仿宋"/>
                <w:b w:val="0"/>
                <w:bCs/>
                <w:color w:val="auto"/>
                <w:kern w:val="1"/>
                <w:sz w:val="24"/>
                <w:szCs w:val="24"/>
                <w:highlight w:val="none"/>
              </w:rPr>
              <w:t>是履行合同的最终价格，应包括但不限于直接回收费用、处置费用、回收点</w:t>
            </w:r>
            <w:r>
              <w:rPr>
                <w:rFonts w:hint="eastAsia" w:ascii="仿宋" w:hAnsi="仿宋" w:eastAsia="仿宋" w:cs="仿宋"/>
                <w:b w:val="0"/>
                <w:bCs/>
                <w:color w:val="auto"/>
                <w:kern w:val="1"/>
                <w:sz w:val="24"/>
                <w:szCs w:val="24"/>
                <w:highlight w:val="none"/>
                <w:lang w:eastAsia="zh-CN"/>
              </w:rPr>
              <w:t>工作经</w:t>
            </w:r>
            <w:r>
              <w:rPr>
                <w:rFonts w:hint="eastAsia" w:ascii="仿宋" w:hAnsi="仿宋" w:eastAsia="仿宋" w:cs="仿宋"/>
                <w:b w:val="0"/>
                <w:bCs/>
                <w:color w:val="auto"/>
                <w:kern w:val="1"/>
                <w:sz w:val="24"/>
                <w:szCs w:val="24"/>
                <w:highlight w:val="none"/>
              </w:rPr>
              <w:t>费、仓储费、运输车辆租费、人工费、</w:t>
            </w:r>
            <w:r>
              <w:rPr>
                <w:rFonts w:hint="eastAsia" w:ascii="仿宋" w:hAnsi="仿宋" w:eastAsia="仿宋" w:cs="仿宋"/>
                <w:b w:val="0"/>
                <w:bCs/>
                <w:color w:val="auto"/>
                <w:kern w:val="1"/>
                <w:sz w:val="24"/>
                <w:szCs w:val="24"/>
                <w:highlight w:val="none"/>
                <w:lang w:val="en-US" w:eastAsia="zh-CN"/>
              </w:rPr>
              <w:t>危险物</w:t>
            </w:r>
            <w:r>
              <w:rPr>
                <w:rFonts w:hint="eastAsia" w:ascii="仿宋" w:hAnsi="仿宋" w:eastAsia="仿宋" w:cs="仿宋"/>
                <w:b w:val="0"/>
                <w:bCs/>
                <w:color w:val="auto"/>
                <w:kern w:val="1"/>
                <w:sz w:val="24"/>
                <w:szCs w:val="24"/>
                <w:highlight w:val="none"/>
              </w:rPr>
              <w:t>运输费、企业管理费、利润、税金及招投标代理等一切费用。</w:t>
            </w:r>
          </w:p>
        </w:tc>
      </w:tr>
    </w:tbl>
    <w:p w14:paraId="644AF7AA">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24"/>
          <w:szCs w:val="24"/>
          <w:highlight w:val="none"/>
        </w:rPr>
      </w:pPr>
    </w:p>
    <w:p w14:paraId="51BE806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2430906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652A675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C6D6C8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1F5E4B8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41DF37F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22317FB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56011F4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01B453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E1A30E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C07842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F335ED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6F9873E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71DE7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3F58C27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四</w:t>
      </w:r>
      <w:r>
        <w:rPr>
          <w:rFonts w:hint="eastAsia" w:ascii="仿宋" w:hAnsi="仿宋" w:eastAsia="仿宋" w:cs="仿宋"/>
          <w:b/>
          <w:color w:val="auto"/>
          <w:sz w:val="36"/>
          <w:szCs w:val="36"/>
          <w:highlight w:val="none"/>
        </w:rPr>
        <w:t>部分  评标方法及标准</w:t>
      </w:r>
    </w:p>
    <w:p w14:paraId="5C88AF7A">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65C0AC53">
      <w:pPr>
        <w:keepNext w:val="0"/>
        <w:keepLines w:val="0"/>
        <w:pageBreakBefore w:val="0"/>
        <w:widowControl w:val="0"/>
        <w:kinsoku/>
        <w:wordWrap/>
        <w:overflowPunct/>
        <w:topLinePunct w:val="0"/>
        <w:autoSpaceDE/>
        <w:autoSpaceDN/>
        <w:bidi w:val="0"/>
        <w:adjustRightInd w:val="0"/>
        <w:snapToGrid/>
        <w:spacing w:line="440" w:lineRule="exact"/>
        <w:ind w:firstLine="470" w:firstLineChars="196"/>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158337B7">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 xml:space="preserve"> 80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20</w:t>
      </w:r>
      <w:r>
        <w:rPr>
          <w:rFonts w:hint="eastAsia" w:ascii="仿宋" w:hAnsi="仿宋" w:eastAsia="仿宋" w:cs="仿宋"/>
          <w:color w:val="auto"/>
          <w:sz w:val="24"/>
          <w:highlight w:val="none"/>
        </w:rPr>
        <w:t>分。评分依下述所列为评标打分依据，分值如下（计算分值时，按其算术平均值保留小数2位）。</w:t>
      </w:r>
    </w:p>
    <w:p w14:paraId="78B0D9D7">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80</w:t>
      </w:r>
      <w:r>
        <w:rPr>
          <w:rFonts w:hint="eastAsia" w:ascii="仿宋" w:hAnsi="仿宋" w:eastAsia="仿宋" w:cs="仿宋"/>
          <w:b/>
          <w:bCs/>
          <w:iCs/>
          <w:color w:val="auto"/>
          <w:sz w:val="24"/>
          <w:highlight w:val="none"/>
        </w:rPr>
        <w:t>分）</w:t>
      </w:r>
    </w:p>
    <w:tbl>
      <w:tblPr>
        <w:tblStyle w:val="62"/>
        <w:tblpPr w:leftFromText="180" w:rightFromText="180" w:vertAnchor="text" w:horzAnchor="page" w:tblpX="1425" w:tblpY="284"/>
        <w:tblOverlap w:val="never"/>
        <w:tblW w:w="95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485"/>
        <w:gridCol w:w="6315"/>
        <w:gridCol w:w="998"/>
      </w:tblGrid>
      <w:tr w14:paraId="11754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blHeader/>
        </w:trPr>
        <w:tc>
          <w:tcPr>
            <w:tcW w:w="800" w:type="dxa"/>
            <w:noWrap w:val="0"/>
            <w:vAlign w:val="center"/>
          </w:tcPr>
          <w:p w14:paraId="0507296B">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1485" w:type="dxa"/>
            <w:noWrap w:val="0"/>
            <w:vAlign w:val="center"/>
          </w:tcPr>
          <w:p w14:paraId="66729020">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评分项目</w:t>
            </w:r>
          </w:p>
        </w:tc>
        <w:tc>
          <w:tcPr>
            <w:tcW w:w="6315" w:type="dxa"/>
            <w:noWrap w:val="0"/>
            <w:vAlign w:val="center"/>
          </w:tcPr>
          <w:p w14:paraId="5618CE65">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得分标准</w:t>
            </w:r>
          </w:p>
        </w:tc>
        <w:tc>
          <w:tcPr>
            <w:tcW w:w="998" w:type="dxa"/>
            <w:noWrap w:val="0"/>
            <w:vAlign w:val="center"/>
          </w:tcPr>
          <w:p w14:paraId="303DF47F">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分值</w:t>
            </w:r>
          </w:p>
        </w:tc>
      </w:tr>
      <w:tr w14:paraId="39131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rPr>
        <w:tc>
          <w:tcPr>
            <w:tcW w:w="800" w:type="dxa"/>
            <w:noWrap w:val="0"/>
            <w:vAlign w:val="center"/>
          </w:tcPr>
          <w:p w14:paraId="4E2C226D">
            <w:pPr>
              <w:jc w:val="center"/>
              <w:rPr>
                <w:rFonts w:ascii="仿宋" w:hAnsi="仿宋" w:eastAsia="仿宋" w:cs="仿宋"/>
                <w:color w:val="auto"/>
                <w:sz w:val="24"/>
                <w:highlight w:val="none"/>
              </w:rPr>
            </w:pPr>
            <w:r>
              <w:rPr>
                <w:rFonts w:hint="eastAsia" w:ascii="仿宋" w:hAnsi="仿宋" w:eastAsia="仿宋" w:cs="仿宋"/>
                <w:bCs/>
                <w:color w:val="auto"/>
                <w:sz w:val="24"/>
                <w:highlight w:val="none"/>
              </w:rPr>
              <w:t>1</w:t>
            </w:r>
          </w:p>
        </w:tc>
        <w:tc>
          <w:tcPr>
            <w:tcW w:w="1485" w:type="dxa"/>
            <w:noWrap w:val="0"/>
            <w:vAlign w:val="center"/>
          </w:tcPr>
          <w:p w14:paraId="797014F3">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项目业绩</w:t>
            </w:r>
          </w:p>
        </w:tc>
        <w:tc>
          <w:tcPr>
            <w:tcW w:w="6315" w:type="dxa"/>
            <w:noWrap w:val="0"/>
            <w:vAlign w:val="center"/>
          </w:tcPr>
          <w:p w14:paraId="4742FB52">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投标单位提供2020年1月1日起至投标截止之日（以合同签订时间为准）具有农药废弃包装物集中回收处置项目的业绩的每个得1分，最高得2分。</w:t>
            </w:r>
          </w:p>
          <w:p w14:paraId="057C6D97">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default"/>
                <w:color w:val="auto"/>
                <w:highlight w:val="none"/>
                <w:lang w:val="en-US" w:eastAsia="zh-CN"/>
              </w:rPr>
            </w:pPr>
            <w:r>
              <w:rPr>
                <w:rFonts w:hint="eastAsia" w:ascii="仿宋" w:hAnsi="仿宋" w:eastAsia="仿宋" w:cs="仿宋"/>
                <w:color w:val="auto"/>
                <w:kern w:val="2"/>
                <w:sz w:val="24"/>
                <w:szCs w:val="24"/>
                <w:highlight w:val="none"/>
                <w:lang w:val="en-US" w:eastAsia="zh-CN" w:bidi="ar-SA"/>
              </w:rPr>
              <w:t>注：提供中标通知书、合同扫描件并加盖CA签章，未提供不得分。</w:t>
            </w:r>
          </w:p>
        </w:tc>
        <w:tc>
          <w:tcPr>
            <w:tcW w:w="998" w:type="dxa"/>
            <w:noWrap w:val="0"/>
            <w:vAlign w:val="center"/>
          </w:tcPr>
          <w:p w14:paraId="29D7A1E2">
            <w:pPr>
              <w:jc w:val="center"/>
              <w:rPr>
                <w:rFonts w:ascii="仿宋" w:hAnsi="仿宋" w:eastAsia="仿宋" w:cs="仿宋"/>
                <w:color w:val="auto"/>
                <w:sz w:val="24"/>
                <w:highlight w:val="none"/>
              </w:rPr>
            </w:pPr>
            <w:r>
              <w:rPr>
                <w:rFonts w:hint="eastAsia" w:ascii="仿宋" w:hAnsi="仿宋" w:eastAsia="仿宋" w:cs="仿宋"/>
                <w:b w:val="0"/>
                <w:bCs/>
                <w:strike w:val="0"/>
                <w:dstrike w:val="0"/>
                <w:color w:val="auto"/>
                <w:kern w:val="0"/>
                <w:sz w:val="24"/>
                <w:szCs w:val="24"/>
                <w:highlight w:val="none"/>
                <w:u w:val="none"/>
                <w:lang w:val="en-US" w:eastAsia="zh-CN"/>
              </w:rPr>
              <w:t>2</w:t>
            </w:r>
            <w:r>
              <w:rPr>
                <w:rFonts w:hint="eastAsia" w:ascii="仿宋" w:hAnsi="仿宋" w:eastAsia="仿宋" w:cs="仿宋"/>
                <w:color w:val="auto"/>
                <w:sz w:val="24"/>
                <w:highlight w:val="none"/>
              </w:rPr>
              <w:t>分</w:t>
            </w:r>
          </w:p>
        </w:tc>
      </w:tr>
      <w:tr w14:paraId="35213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00" w:type="dxa"/>
            <w:vMerge w:val="restart"/>
            <w:noWrap w:val="0"/>
            <w:vAlign w:val="center"/>
          </w:tcPr>
          <w:p w14:paraId="69D138F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85" w:type="dxa"/>
            <w:vMerge w:val="restart"/>
            <w:noWrap w:val="0"/>
            <w:vAlign w:val="center"/>
          </w:tcPr>
          <w:p w14:paraId="723AB5B4">
            <w:pPr>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投标单位</w:t>
            </w:r>
          </w:p>
          <w:p w14:paraId="6F137859">
            <w:pPr>
              <w:jc w:val="center"/>
              <w:rPr>
                <w:color w:val="auto"/>
                <w:highlight w:val="none"/>
              </w:rPr>
            </w:pPr>
            <w:r>
              <w:rPr>
                <w:rFonts w:hint="eastAsia" w:ascii="仿宋" w:hAnsi="仿宋" w:eastAsia="仿宋" w:cs="仿宋"/>
                <w:bCs/>
                <w:color w:val="auto"/>
                <w:sz w:val="24"/>
                <w:highlight w:val="none"/>
                <w:lang w:val="en-US" w:eastAsia="zh-CN"/>
              </w:rPr>
              <w:t>仓储</w:t>
            </w:r>
          </w:p>
        </w:tc>
        <w:tc>
          <w:tcPr>
            <w:tcW w:w="6315" w:type="dxa"/>
            <w:noWrap w:val="0"/>
            <w:vAlign w:val="center"/>
          </w:tcPr>
          <w:p w14:paraId="275A5651">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1.投标单位在项目实施地具有中转仓储面积达150平方米及以上的得6分；120平方米及以上得4分，100平方米及以上的得2分，少于100平方米不得分。</w:t>
            </w:r>
          </w:p>
          <w:p w14:paraId="6AECCC7E">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注：提供租赁合同和支付1年租金证明或产权证明扫描件、场地照片（能反映仓库真实面积）并加盖CA签章，未提供资料或证明资料不齐全不得分。</w:t>
            </w:r>
          </w:p>
          <w:p w14:paraId="4D833D40">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2.投标单位承诺中标后在项目实施地设置中转仓储面积达150平方米及以上的得3分；120平方米及以上得2分，100平方米及以上的得1分，少于100平方米不得分。</w:t>
            </w:r>
          </w:p>
          <w:p w14:paraId="0B709197">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default"/>
                <w:color w:val="auto"/>
                <w:highlight w:val="none"/>
                <w:lang w:val="en-US" w:eastAsia="zh-CN"/>
              </w:rPr>
            </w:pPr>
            <w:r>
              <w:rPr>
                <w:rFonts w:hint="eastAsia" w:ascii="仿宋" w:hAnsi="仿宋" w:eastAsia="仿宋" w:cs="仿宋"/>
                <w:color w:val="auto"/>
                <w:kern w:val="2"/>
                <w:sz w:val="24"/>
                <w:szCs w:val="24"/>
                <w:highlight w:val="none"/>
                <w:lang w:val="en-US" w:eastAsia="zh-CN" w:bidi="ar-SA"/>
              </w:rPr>
              <w:t>注：提供承诺函，须在中标通知书发出后30天内完成场地租赁，完成后向采购人提供提供租赁合同和支付1年租金证明或产权证明扫描件、场地照片（能反映仓库真实面积），未提供资料或证明资料不齐全不得分，缺一不可，未在规定时间内完成配置的视为自动放弃中标）</w:t>
            </w:r>
          </w:p>
        </w:tc>
        <w:tc>
          <w:tcPr>
            <w:tcW w:w="998" w:type="dxa"/>
            <w:noWrap w:val="0"/>
            <w:vAlign w:val="center"/>
          </w:tcPr>
          <w:p w14:paraId="68A9ED20">
            <w:pPr>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分</w:t>
            </w:r>
          </w:p>
        </w:tc>
      </w:tr>
      <w:tr w14:paraId="74FEB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trPr>
        <w:tc>
          <w:tcPr>
            <w:tcW w:w="800" w:type="dxa"/>
            <w:vMerge w:val="continue"/>
            <w:noWrap w:val="0"/>
            <w:vAlign w:val="center"/>
          </w:tcPr>
          <w:p w14:paraId="067BE3C9">
            <w:pPr>
              <w:jc w:val="center"/>
              <w:rPr>
                <w:rFonts w:hint="eastAsia" w:ascii="仿宋" w:hAnsi="仿宋" w:eastAsia="仿宋" w:cs="仿宋"/>
                <w:color w:val="auto"/>
                <w:sz w:val="24"/>
                <w:highlight w:val="none"/>
              </w:rPr>
            </w:pPr>
          </w:p>
        </w:tc>
        <w:tc>
          <w:tcPr>
            <w:tcW w:w="1485" w:type="dxa"/>
            <w:vMerge w:val="continue"/>
            <w:noWrap w:val="0"/>
            <w:vAlign w:val="center"/>
          </w:tcPr>
          <w:p w14:paraId="0E40E6A6">
            <w:pPr>
              <w:jc w:val="center"/>
              <w:rPr>
                <w:rFonts w:hint="eastAsia" w:ascii="仿宋" w:hAnsi="仿宋" w:eastAsia="仿宋" w:cs="仿宋"/>
                <w:bCs/>
                <w:color w:val="auto"/>
                <w:sz w:val="24"/>
                <w:highlight w:val="none"/>
                <w:lang w:val="en-US" w:eastAsia="zh-CN"/>
              </w:rPr>
            </w:pPr>
          </w:p>
        </w:tc>
        <w:tc>
          <w:tcPr>
            <w:tcW w:w="6315" w:type="dxa"/>
            <w:noWrap w:val="0"/>
            <w:vAlign w:val="center"/>
          </w:tcPr>
          <w:p w14:paraId="6DCC2A6C">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投标单位在项目实施地有标准化中转仓库设备设置：中转仓储是相对封闭场所并设置通风口；墙体、地面防渗防漏；设置导排沟和收集井；安装废气处置系统每提供1个得1分，最多得4分；对仓库整体设置合理性，能否保障标准化中转仓储正常运行方面进行打分，满分4分【评分范围4，3.5，……，0.5，0（步长0.5）】；本项最多得8分</w:t>
            </w:r>
          </w:p>
          <w:p w14:paraId="0D081118">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注：提供场地照片、设计图纸等辅助证明材料并加盖CA签章，未提供资料不得分。</w:t>
            </w:r>
          </w:p>
          <w:p w14:paraId="5F43DF8B">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2.投标单位承诺中标后在项目实施地有标准化中转仓库设备设置（中转仓储是相对封闭场所并设置通风口；墙体、地面防渗防漏；设置导排沟和收集井；安装废气处置系统），并保障仓库正常运行的4分</w:t>
            </w:r>
          </w:p>
          <w:p w14:paraId="3AB4602C">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注：提供承诺函，标准化中转仓库</w:t>
            </w:r>
            <w:r>
              <w:rPr>
                <w:rFonts w:hint="default" w:ascii="仿宋" w:hAnsi="仿宋" w:eastAsia="仿宋" w:cs="仿宋"/>
                <w:color w:val="auto"/>
                <w:kern w:val="2"/>
                <w:sz w:val="24"/>
                <w:szCs w:val="24"/>
                <w:highlight w:val="none"/>
                <w:lang w:val="en-US" w:eastAsia="zh-CN" w:bidi="ar-SA"/>
              </w:rPr>
              <w:t>在中标通知书发出后30天</w:t>
            </w:r>
            <w:r>
              <w:rPr>
                <w:rFonts w:hint="eastAsia" w:ascii="仿宋" w:hAnsi="仿宋" w:eastAsia="仿宋" w:cs="仿宋"/>
                <w:color w:val="auto"/>
                <w:kern w:val="2"/>
                <w:sz w:val="24"/>
                <w:szCs w:val="24"/>
                <w:highlight w:val="none"/>
                <w:lang w:val="en-US" w:eastAsia="zh-CN" w:bidi="ar-SA"/>
              </w:rPr>
              <w:t>内能够正常运行，并向采购人提供相关证明资料，未在规定时间内完成的</w:t>
            </w:r>
            <w:r>
              <w:rPr>
                <w:rFonts w:hint="default" w:ascii="仿宋" w:hAnsi="仿宋" w:eastAsia="仿宋" w:cs="仿宋"/>
                <w:color w:val="auto"/>
                <w:kern w:val="2"/>
                <w:sz w:val="24"/>
                <w:szCs w:val="24"/>
                <w:highlight w:val="none"/>
                <w:lang w:val="en-US" w:eastAsia="zh-CN" w:bidi="ar-SA"/>
              </w:rPr>
              <w:t>视为自动放弃中标</w:t>
            </w:r>
            <w:r>
              <w:rPr>
                <w:rFonts w:hint="eastAsia" w:ascii="仿宋" w:hAnsi="仿宋" w:eastAsia="仿宋" w:cs="仿宋"/>
                <w:color w:val="auto"/>
                <w:kern w:val="2"/>
                <w:sz w:val="24"/>
                <w:szCs w:val="24"/>
                <w:highlight w:val="none"/>
                <w:lang w:val="en-US" w:eastAsia="zh-CN" w:bidi="ar-SA"/>
              </w:rPr>
              <w:t>。</w:t>
            </w:r>
          </w:p>
          <w:p w14:paraId="37ACA09F">
            <w:pPr>
              <w:keepNext w:val="0"/>
              <w:keepLines w:val="0"/>
              <w:pageBreakBefore w:val="0"/>
              <w:widowControl/>
              <w:kinsoku/>
              <w:wordWrap/>
              <w:overflowPunct/>
              <w:topLinePunct w:val="0"/>
              <w:autoSpaceDE/>
              <w:autoSpaceDN/>
              <w:bidi w:val="0"/>
              <w:adjustRightInd/>
              <w:snapToGrid/>
              <w:spacing w:line="420" w:lineRule="exact"/>
              <w:jc w:val="left"/>
              <w:textAlignment w:val="auto"/>
              <w:rPr>
                <w:rFonts w:hint="default"/>
                <w:color w:val="auto"/>
                <w:highlight w:val="none"/>
                <w:lang w:val="en-US" w:eastAsia="zh-CN"/>
              </w:rPr>
            </w:pPr>
            <w:r>
              <w:rPr>
                <w:rFonts w:hint="eastAsia" w:ascii="仿宋" w:hAnsi="仿宋" w:eastAsia="仿宋" w:cs="仿宋"/>
                <w:color w:val="auto"/>
                <w:kern w:val="2"/>
                <w:sz w:val="24"/>
                <w:szCs w:val="24"/>
                <w:highlight w:val="none"/>
                <w:lang w:val="en-US" w:eastAsia="zh-CN" w:bidi="ar-SA"/>
              </w:rPr>
              <w:t>以上两项分值不重复取分。</w:t>
            </w:r>
          </w:p>
        </w:tc>
        <w:tc>
          <w:tcPr>
            <w:tcW w:w="998" w:type="dxa"/>
            <w:noWrap w:val="0"/>
            <w:vAlign w:val="center"/>
          </w:tcPr>
          <w:p w14:paraId="48B62A5D">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8分</w:t>
            </w:r>
          </w:p>
        </w:tc>
      </w:tr>
      <w:tr w14:paraId="344EF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trPr>
        <w:tc>
          <w:tcPr>
            <w:tcW w:w="800" w:type="dxa"/>
            <w:vMerge w:val="restart"/>
            <w:noWrap w:val="0"/>
            <w:vAlign w:val="center"/>
          </w:tcPr>
          <w:p w14:paraId="7016C367">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1485" w:type="dxa"/>
            <w:vMerge w:val="restart"/>
            <w:noWrap w:val="0"/>
            <w:vAlign w:val="center"/>
          </w:tcPr>
          <w:p w14:paraId="24B16AA2">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运输车辆及机械设备情况</w:t>
            </w:r>
          </w:p>
        </w:tc>
        <w:tc>
          <w:tcPr>
            <w:tcW w:w="6315" w:type="dxa"/>
            <w:noWrap w:val="0"/>
            <w:vAlign w:val="center"/>
          </w:tcPr>
          <w:p w14:paraId="2AD1B6F1">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1.投标单位自有农药废弃包装物运输箱式车辆得4分，租赁的2分，本项最多得4分。</w:t>
            </w:r>
          </w:p>
          <w:p w14:paraId="68B2468D">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2.投标单位自有其他适合本项目的车辆得2分，租赁得1分，本项最多得2分。</w:t>
            </w:r>
          </w:p>
          <w:p w14:paraId="301B6EAA">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注：提供车辆行驶证、租用车辆提供租用协议，自有提供车辆发票，近期含车牌车辆照片扫描件并加盖单位CA签章。</w:t>
            </w:r>
          </w:p>
        </w:tc>
        <w:tc>
          <w:tcPr>
            <w:tcW w:w="998" w:type="dxa"/>
            <w:noWrap w:val="0"/>
            <w:vAlign w:val="center"/>
          </w:tcPr>
          <w:p w14:paraId="33868DF7">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6分</w:t>
            </w:r>
          </w:p>
        </w:tc>
      </w:tr>
      <w:tr w14:paraId="0EF3D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800" w:type="dxa"/>
            <w:vMerge w:val="continue"/>
            <w:noWrap w:val="0"/>
            <w:vAlign w:val="center"/>
          </w:tcPr>
          <w:p w14:paraId="0A1995ED">
            <w:pPr>
              <w:jc w:val="center"/>
              <w:rPr>
                <w:rFonts w:hint="eastAsia" w:ascii="仿宋" w:hAnsi="仿宋" w:eastAsia="仿宋" w:cs="仿宋"/>
                <w:color w:val="auto"/>
                <w:sz w:val="24"/>
                <w:highlight w:val="none"/>
                <w:lang w:val="en-US" w:eastAsia="zh-CN"/>
              </w:rPr>
            </w:pPr>
          </w:p>
        </w:tc>
        <w:tc>
          <w:tcPr>
            <w:tcW w:w="1485" w:type="dxa"/>
            <w:vMerge w:val="continue"/>
            <w:noWrap w:val="0"/>
            <w:vAlign w:val="center"/>
          </w:tcPr>
          <w:p w14:paraId="28B1BFBA">
            <w:pPr>
              <w:jc w:val="center"/>
              <w:rPr>
                <w:rFonts w:hint="eastAsia" w:ascii="仿宋" w:hAnsi="仿宋" w:eastAsia="仿宋" w:cs="仿宋"/>
                <w:bCs/>
                <w:color w:val="auto"/>
                <w:sz w:val="24"/>
                <w:highlight w:val="none"/>
                <w:lang w:val="en-US" w:eastAsia="zh-CN"/>
              </w:rPr>
            </w:pPr>
          </w:p>
        </w:tc>
        <w:tc>
          <w:tcPr>
            <w:tcW w:w="6315" w:type="dxa"/>
            <w:noWrap w:val="0"/>
            <w:vAlign w:val="center"/>
          </w:tcPr>
          <w:p w14:paraId="5483B166">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投标单位自有适合本项目的压缩打包设备得4分，租赁得2分，本项最多得4分。</w:t>
            </w:r>
          </w:p>
          <w:p w14:paraId="027101A7">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color w:val="auto"/>
                <w:highlight w:val="none"/>
                <w:lang w:val="en-US" w:eastAsia="zh-CN"/>
              </w:rPr>
            </w:pPr>
            <w:r>
              <w:rPr>
                <w:rFonts w:hint="eastAsia" w:ascii="仿宋" w:hAnsi="仿宋" w:eastAsia="仿宋" w:cs="仿宋"/>
                <w:color w:val="auto"/>
                <w:kern w:val="2"/>
                <w:sz w:val="24"/>
                <w:szCs w:val="24"/>
                <w:highlight w:val="none"/>
                <w:lang w:val="en-US" w:eastAsia="zh-CN" w:bidi="ar-SA"/>
              </w:rPr>
              <w:t>注：提供设备租赁合同或发票等证明资料扫描件并加盖CA签章，未提供资料不得分。</w:t>
            </w:r>
          </w:p>
        </w:tc>
        <w:tc>
          <w:tcPr>
            <w:tcW w:w="998" w:type="dxa"/>
            <w:noWrap w:val="0"/>
            <w:vAlign w:val="center"/>
          </w:tcPr>
          <w:p w14:paraId="6579AF82">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7E65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00" w:type="dxa"/>
            <w:noWrap w:val="0"/>
            <w:vAlign w:val="center"/>
          </w:tcPr>
          <w:p w14:paraId="404AF887">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1485" w:type="dxa"/>
            <w:noWrap w:val="0"/>
            <w:vAlign w:val="center"/>
          </w:tcPr>
          <w:p w14:paraId="197C57AA">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拟投入人员</w:t>
            </w:r>
          </w:p>
        </w:tc>
        <w:tc>
          <w:tcPr>
            <w:tcW w:w="6315" w:type="dxa"/>
            <w:noWrap w:val="0"/>
            <w:vAlign w:val="center"/>
          </w:tcPr>
          <w:p w14:paraId="28D2845C">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根据投标单位拟投入人员的岗位安排合理、人员的专业、经验程度等方面进行综合打分，满分5分【评分范围5，4.5，……，0.5，0（步长0.5）】。</w:t>
            </w:r>
          </w:p>
          <w:p w14:paraId="49F9C248">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color w:val="auto"/>
                <w:highlight w:val="none"/>
                <w:lang w:val="en-US" w:eastAsia="zh-CN"/>
              </w:rPr>
            </w:pPr>
            <w:r>
              <w:rPr>
                <w:rFonts w:hint="eastAsia" w:ascii="仿宋" w:hAnsi="仿宋" w:eastAsia="仿宋" w:cs="仿宋"/>
                <w:color w:val="auto"/>
                <w:kern w:val="2"/>
                <w:sz w:val="24"/>
                <w:szCs w:val="24"/>
                <w:highlight w:val="none"/>
                <w:lang w:val="en-US" w:eastAsia="zh-CN" w:bidi="ar-SA"/>
              </w:rPr>
              <w:t>注：提供开标前3个月社保证明扫描件并加盖CA签章，未提供不得分。</w:t>
            </w:r>
          </w:p>
        </w:tc>
        <w:tc>
          <w:tcPr>
            <w:tcW w:w="998" w:type="dxa"/>
            <w:noWrap w:val="0"/>
            <w:vAlign w:val="center"/>
          </w:tcPr>
          <w:p w14:paraId="173399AA">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20D50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8" w:hRule="atLeast"/>
        </w:trPr>
        <w:tc>
          <w:tcPr>
            <w:tcW w:w="800" w:type="dxa"/>
            <w:noWrap w:val="0"/>
            <w:vAlign w:val="center"/>
          </w:tcPr>
          <w:p w14:paraId="13C3D731">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485" w:type="dxa"/>
            <w:noWrap w:val="0"/>
            <w:vAlign w:val="center"/>
          </w:tcPr>
          <w:p w14:paraId="18D930A9">
            <w:pPr>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项目熟知情况</w:t>
            </w:r>
          </w:p>
        </w:tc>
        <w:tc>
          <w:tcPr>
            <w:tcW w:w="6315" w:type="dxa"/>
            <w:noWrap w:val="0"/>
            <w:vAlign w:val="center"/>
          </w:tcPr>
          <w:p w14:paraId="75608BC6">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根据供应商对本项目需求和对本项目的理解程度、整体方案思路、目标、特点、技术要求以及对上一年度农药废弃包装物回收处置的了解情况进行打分</w:t>
            </w:r>
            <w:r>
              <w:rPr>
                <w:rFonts w:hint="eastAsia" w:ascii="仿宋" w:hAnsi="仿宋" w:eastAsia="仿宋" w:cs="仿宋"/>
                <w:color w:val="auto"/>
                <w:sz w:val="24"/>
                <w:highlight w:val="none"/>
                <w:lang w:val="en-US" w:eastAsia="zh-CN"/>
              </w:rPr>
              <w:t>，</w:t>
            </w:r>
            <w:r>
              <w:rPr>
                <w:rFonts w:hint="eastAsia" w:ascii="仿宋" w:hAnsi="仿宋" w:eastAsia="仿宋" w:cs="仿宋"/>
                <w:color w:val="auto"/>
                <w:kern w:val="2"/>
                <w:sz w:val="24"/>
                <w:szCs w:val="24"/>
                <w:highlight w:val="none"/>
                <w:lang w:val="en-US" w:eastAsia="zh-CN" w:bidi="ar-SA"/>
              </w:rPr>
              <w:t>满分5分【评分范围5，4.5，……，0.5，0（步长0.5）】。</w:t>
            </w:r>
          </w:p>
        </w:tc>
        <w:tc>
          <w:tcPr>
            <w:tcW w:w="998" w:type="dxa"/>
            <w:noWrap w:val="0"/>
            <w:vAlign w:val="center"/>
          </w:tcPr>
          <w:p w14:paraId="65141241">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10973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restart"/>
            <w:noWrap w:val="0"/>
            <w:vAlign w:val="center"/>
          </w:tcPr>
          <w:p w14:paraId="41964517">
            <w:pPr>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6</w:t>
            </w:r>
          </w:p>
        </w:tc>
        <w:tc>
          <w:tcPr>
            <w:tcW w:w="1485" w:type="dxa"/>
            <w:vMerge w:val="restart"/>
            <w:noWrap w:val="0"/>
            <w:vAlign w:val="center"/>
          </w:tcPr>
          <w:p w14:paraId="749B716E">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实施方案</w:t>
            </w:r>
          </w:p>
        </w:tc>
        <w:tc>
          <w:tcPr>
            <w:tcW w:w="6315" w:type="dxa"/>
            <w:noWrap w:val="0"/>
            <w:vAlign w:val="center"/>
          </w:tcPr>
          <w:p w14:paraId="608A3BF7">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根据投标单位提供的农药废弃包装物集中回收方案进行打分，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7516A78D">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07A2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continue"/>
            <w:noWrap w:val="0"/>
            <w:vAlign w:val="center"/>
          </w:tcPr>
          <w:p w14:paraId="5BCBA937">
            <w:pPr>
              <w:jc w:val="center"/>
              <w:rPr>
                <w:rFonts w:hint="eastAsia" w:ascii="仿宋" w:hAnsi="仿宋" w:eastAsia="仿宋" w:cs="仿宋"/>
                <w:bCs/>
                <w:color w:val="auto"/>
                <w:sz w:val="24"/>
                <w:highlight w:val="none"/>
                <w:lang w:val="en-US" w:eastAsia="zh-CN"/>
              </w:rPr>
            </w:pPr>
          </w:p>
        </w:tc>
        <w:tc>
          <w:tcPr>
            <w:tcW w:w="1485" w:type="dxa"/>
            <w:vMerge w:val="continue"/>
            <w:noWrap w:val="0"/>
            <w:vAlign w:val="center"/>
          </w:tcPr>
          <w:p w14:paraId="2417FA0C">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p>
        </w:tc>
        <w:tc>
          <w:tcPr>
            <w:tcW w:w="6315" w:type="dxa"/>
            <w:noWrap w:val="0"/>
            <w:vAlign w:val="center"/>
          </w:tcPr>
          <w:p w14:paraId="3DCF4F4A">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根据投标单位提供的废弃包装物处置方案进行打分，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62640CD8">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2AE14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continue"/>
            <w:noWrap w:val="0"/>
            <w:vAlign w:val="center"/>
          </w:tcPr>
          <w:p w14:paraId="7A411DDC">
            <w:pPr>
              <w:jc w:val="center"/>
              <w:rPr>
                <w:rFonts w:hint="eastAsia" w:ascii="仿宋" w:hAnsi="仿宋" w:eastAsia="仿宋" w:cs="仿宋"/>
                <w:bCs/>
                <w:color w:val="auto"/>
                <w:sz w:val="24"/>
                <w:highlight w:val="none"/>
                <w:lang w:val="en-US" w:eastAsia="zh-CN"/>
              </w:rPr>
            </w:pPr>
          </w:p>
        </w:tc>
        <w:tc>
          <w:tcPr>
            <w:tcW w:w="1485" w:type="dxa"/>
            <w:vMerge w:val="continue"/>
            <w:noWrap w:val="0"/>
            <w:vAlign w:val="center"/>
          </w:tcPr>
          <w:p w14:paraId="08FAF5E6">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p>
        </w:tc>
        <w:tc>
          <w:tcPr>
            <w:tcW w:w="6315" w:type="dxa"/>
            <w:noWrap w:val="0"/>
            <w:vAlign w:val="center"/>
          </w:tcPr>
          <w:p w14:paraId="58019F52">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根据投标单位提供的废弃包装物运输方案进行打分，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7FDB3E9F">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555F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continue"/>
            <w:noWrap w:val="0"/>
            <w:vAlign w:val="center"/>
          </w:tcPr>
          <w:p w14:paraId="28C449F7">
            <w:pPr>
              <w:jc w:val="center"/>
              <w:rPr>
                <w:rFonts w:hint="eastAsia" w:ascii="仿宋" w:hAnsi="仿宋" w:eastAsia="仿宋" w:cs="仿宋"/>
                <w:bCs/>
                <w:color w:val="auto"/>
                <w:sz w:val="24"/>
                <w:highlight w:val="none"/>
                <w:lang w:val="en-US" w:eastAsia="zh-CN"/>
              </w:rPr>
            </w:pPr>
          </w:p>
        </w:tc>
        <w:tc>
          <w:tcPr>
            <w:tcW w:w="1485" w:type="dxa"/>
            <w:vMerge w:val="continue"/>
            <w:noWrap w:val="0"/>
            <w:vAlign w:val="center"/>
          </w:tcPr>
          <w:p w14:paraId="33CD7A4B">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p>
        </w:tc>
        <w:tc>
          <w:tcPr>
            <w:tcW w:w="6315" w:type="dxa"/>
            <w:noWrap w:val="0"/>
            <w:vAlign w:val="center"/>
          </w:tcPr>
          <w:p w14:paraId="3A80ED50">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据投标单位提供的废弃包装物储存方案进行打分，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06DFE1F3">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78DA9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00" w:type="dxa"/>
            <w:noWrap w:val="0"/>
            <w:vAlign w:val="center"/>
          </w:tcPr>
          <w:p w14:paraId="477C58A7">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7</w:t>
            </w:r>
          </w:p>
        </w:tc>
        <w:tc>
          <w:tcPr>
            <w:tcW w:w="1485" w:type="dxa"/>
            <w:noWrap w:val="0"/>
            <w:vAlign w:val="center"/>
          </w:tcPr>
          <w:p w14:paraId="2A424213">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计划安排</w:t>
            </w:r>
          </w:p>
        </w:tc>
        <w:tc>
          <w:tcPr>
            <w:tcW w:w="6315" w:type="dxa"/>
            <w:noWrap w:val="0"/>
            <w:vAlign w:val="center"/>
          </w:tcPr>
          <w:p w14:paraId="47D858BC">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根据投标单位提供的对本项目的工作计划安排紧凑合理性，进度控制节点的明确性，各阶段工作任务明确、责任落实等进行打分，满分5分</w:t>
            </w:r>
            <w:r>
              <w:rPr>
                <w:rFonts w:hint="eastAsia" w:ascii="仿宋" w:hAnsi="仿宋" w:eastAsia="仿宋" w:cs="仿宋"/>
                <w:color w:val="auto"/>
                <w:kern w:val="2"/>
                <w:sz w:val="24"/>
                <w:szCs w:val="24"/>
                <w:highlight w:val="none"/>
                <w:lang w:val="en-US" w:eastAsia="zh-CN" w:bidi="ar-SA"/>
              </w:rPr>
              <w:t>【评分范围5，4.5，……，0.5，0（步长0.5）】</w:t>
            </w:r>
          </w:p>
        </w:tc>
        <w:tc>
          <w:tcPr>
            <w:tcW w:w="998" w:type="dxa"/>
            <w:noWrap w:val="0"/>
            <w:vAlign w:val="center"/>
          </w:tcPr>
          <w:p w14:paraId="07CEEB79">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767E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Merge w:val="restart"/>
            <w:noWrap w:val="0"/>
            <w:vAlign w:val="center"/>
          </w:tcPr>
          <w:p w14:paraId="0F72C925">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8</w:t>
            </w:r>
          </w:p>
        </w:tc>
        <w:tc>
          <w:tcPr>
            <w:tcW w:w="1485" w:type="dxa"/>
            <w:vMerge w:val="restart"/>
            <w:noWrap w:val="0"/>
            <w:vAlign w:val="center"/>
          </w:tcPr>
          <w:p w14:paraId="523D252E">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防护措施和应急预案</w:t>
            </w:r>
          </w:p>
        </w:tc>
        <w:tc>
          <w:tcPr>
            <w:tcW w:w="6315" w:type="dxa"/>
            <w:noWrap w:val="0"/>
            <w:vAlign w:val="center"/>
          </w:tcPr>
          <w:p w14:paraId="6DAD68E3">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根据投标单位针对打包环节，处置装车环节过程中农药飞溅伤人、高处作业人员的的安全防范措施方案进行打分，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4E215992">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1C690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continue"/>
            <w:noWrap w:val="0"/>
            <w:vAlign w:val="center"/>
          </w:tcPr>
          <w:p w14:paraId="2415DDFA">
            <w:pPr>
              <w:jc w:val="center"/>
              <w:rPr>
                <w:rFonts w:hint="eastAsia" w:ascii="仿宋" w:hAnsi="仿宋" w:eastAsia="仿宋" w:cs="仿宋"/>
                <w:bCs/>
                <w:color w:val="auto"/>
                <w:sz w:val="24"/>
                <w:highlight w:val="none"/>
                <w:lang w:val="en-US" w:eastAsia="zh-CN"/>
              </w:rPr>
            </w:pPr>
          </w:p>
        </w:tc>
        <w:tc>
          <w:tcPr>
            <w:tcW w:w="1485" w:type="dxa"/>
            <w:vMerge w:val="continue"/>
            <w:noWrap w:val="0"/>
            <w:vAlign w:val="center"/>
          </w:tcPr>
          <w:p w14:paraId="49C27907">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sz w:val="24"/>
                <w:highlight w:val="none"/>
                <w:lang w:val="en-US" w:eastAsia="zh-CN"/>
              </w:rPr>
            </w:pPr>
          </w:p>
        </w:tc>
        <w:tc>
          <w:tcPr>
            <w:tcW w:w="6315" w:type="dxa"/>
            <w:noWrap w:val="0"/>
            <w:vAlign w:val="center"/>
          </w:tcPr>
          <w:p w14:paraId="4CF94E16">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根据投标单位对本项目废弃包装物回收和集中处置过程中可能导致的污染，从污染的防治、污染的解决措施等情况进行打分，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6869683A">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3FD6E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vMerge w:val="continue"/>
            <w:noWrap w:val="0"/>
            <w:vAlign w:val="center"/>
          </w:tcPr>
          <w:p w14:paraId="325A3B62">
            <w:pPr>
              <w:jc w:val="center"/>
              <w:rPr>
                <w:rFonts w:hint="default" w:ascii="仿宋" w:hAnsi="仿宋" w:eastAsia="仿宋" w:cs="仿宋"/>
                <w:bCs/>
                <w:color w:val="auto"/>
                <w:sz w:val="24"/>
                <w:highlight w:val="none"/>
                <w:lang w:val="en-US" w:eastAsia="zh-CN"/>
              </w:rPr>
            </w:pPr>
          </w:p>
        </w:tc>
        <w:tc>
          <w:tcPr>
            <w:tcW w:w="1485" w:type="dxa"/>
            <w:vMerge w:val="continue"/>
            <w:noWrap w:val="0"/>
            <w:vAlign w:val="center"/>
          </w:tcPr>
          <w:p w14:paraId="2FAE0EC8">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p>
        </w:tc>
        <w:tc>
          <w:tcPr>
            <w:tcW w:w="6315" w:type="dxa"/>
            <w:noWrap w:val="0"/>
            <w:vAlign w:val="center"/>
          </w:tcPr>
          <w:p w14:paraId="482C6979">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根据投标单位提供的服务工作应急预案，可能发生的应急事件处理方案、扰民方案进行打分，</w:t>
            </w:r>
            <w:r>
              <w:rPr>
                <w:rFonts w:hint="eastAsia" w:ascii="仿宋" w:hAnsi="仿宋" w:eastAsia="仿宋" w:cs="仿宋"/>
                <w:color w:val="auto"/>
                <w:kern w:val="2"/>
                <w:sz w:val="24"/>
                <w:szCs w:val="24"/>
                <w:highlight w:val="none"/>
                <w:lang w:val="en-US" w:eastAsia="zh-CN" w:bidi="ar-SA"/>
              </w:rPr>
              <w:t>满分4分【评分范围4，3.5，……，0.5，0（步长0.5）】。</w:t>
            </w:r>
          </w:p>
        </w:tc>
        <w:tc>
          <w:tcPr>
            <w:tcW w:w="998" w:type="dxa"/>
            <w:noWrap w:val="0"/>
            <w:vAlign w:val="center"/>
          </w:tcPr>
          <w:p w14:paraId="1B6ACC26">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r>
      <w:tr w14:paraId="69541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800" w:type="dxa"/>
            <w:noWrap w:val="0"/>
            <w:vAlign w:val="center"/>
          </w:tcPr>
          <w:p w14:paraId="5E43EAC6">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9</w:t>
            </w:r>
          </w:p>
        </w:tc>
        <w:tc>
          <w:tcPr>
            <w:tcW w:w="1485" w:type="dxa"/>
            <w:noWrap w:val="0"/>
            <w:vAlign w:val="center"/>
          </w:tcPr>
          <w:p w14:paraId="40612D38">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台账设置与管理方案</w:t>
            </w:r>
          </w:p>
        </w:tc>
        <w:tc>
          <w:tcPr>
            <w:tcW w:w="6315" w:type="dxa"/>
            <w:noWrap w:val="0"/>
            <w:vAlign w:val="center"/>
          </w:tcPr>
          <w:p w14:paraId="7E0BE5D0">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根据投标单位提供的台账设置与管理方案进行打分，满分5分</w:t>
            </w:r>
            <w:r>
              <w:rPr>
                <w:rFonts w:hint="eastAsia" w:ascii="仿宋" w:hAnsi="仿宋" w:eastAsia="仿宋" w:cs="仿宋"/>
                <w:color w:val="auto"/>
                <w:kern w:val="2"/>
                <w:sz w:val="24"/>
                <w:szCs w:val="24"/>
                <w:highlight w:val="none"/>
                <w:lang w:val="en-US" w:eastAsia="zh-CN" w:bidi="ar-SA"/>
              </w:rPr>
              <w:t>【评分范围5，4.5，……，0.5，0（步长0.5）】</w:t>
            </w:r>
          </w:p>
        </w:tc>
        <w:tc>
          <w:tcPr>
            <w:tcW w:w="998" w:type="dxa"/>
            <w:noWrap w:val="0"/>
            <w:vAlign w:val="center"/>
          </w:tcPr>
          <w:p w14:paraId="240F7D9C">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5183E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00" w:type="dxa"/>
            <w:noWrap w:val="0"/>
            <w:vAlign w:val="center"/>
          </w:tcPr>
          <w:p w14:paraId="0119D93B">
            <w:pPr>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10</w:t>
            </w:r>
          </w:p>
        </w:tc>
        <w:tc>
          <w:tcPr>
            <w:tcW w:w="1485" w:type="dxa"/>
            <w:noWrap w:val="0"/>
            <w:vAlign w:val="center"/>
          </w:tcPr>
          <w:p w14:paraId="3F9E79AC">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售后服务保障</w:t>
            </w:r>
          </w:p>
        </w:tc>
        <w:tc>
          <w:tcPr>
            <w:tcW w:w="6315" w:type="dxa"/>
            <w:noWrap w:val="0"/>
            <w:vAlign w:val="center"/>
          </w:tcPr>
          <w:p w14:paraId="627FC119">
            <w:pPr>
              <w:pStyle w:val="61"/>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lef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根据投标人是否具有较强的服务能力，是否拥有较强技术支持及较强的专业技术队伍，是否具有提供快速服务响应的能力等方面进行打分，满分6分</w:t>
            </w:r>
            <w:r>
              <w:rPr>
                <w:rFonts w:hint="eastAsia" w:ascii="仿宋" w:hAnsi="仿宋" w:eastAsia="仿宋" w:cs="仿宋"/>
                <w:color w:val="auto"/>
                <w:kern w:val="2"/>
                <w:sz w:val="24"/>
                <w:szCs w:val="24"/>
                <w:highlight w:val="none"/>
                <w:lang w:val="en-US" w:eastAsia="zh-CN" w:bidi="ar-SA"/>
              </w:rPr>
              <w:t>【评分范围6，5.5，……，0.5，0（步长0.5）】</w:t>
            </w:r>
          </w:p>
        </w:tc>
        <w:tc>
          <w:tcPr>
            <w:tcW w:w="998" w:type="dxa"/>
            <w:noWrap w:val="0"/>
            <w:vAlign w:val="center"/>
          </w:tcPr>
          <w:p w14:paraId="30B27B70">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6分</w:t>
            </w:r>
          </w:p>
        </w:tc>
      </w:tr>
    </w:tbl>
    <w:p w14:paraId="3C00AF6A">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598A2BE5">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20</w:t>
      </w:r>
      <w:r>
        <w:rPr>
          <w:rFonts w:hint="eastAsia" w:ascii="仿宋" w:hAnsi="仿宋" w:eastAsia="仿宋" w:cs="仿宋"/>
          <w:b/>
          <w:bCs/>
          <w:iCs/>
          <w:color w:val="auto"/>
          <w:sz w:val="24"/>
          <w:highlight w:val="none"/>
        </w:rPr>
        <w:t>分）</w:t>
      </w:r>
    </w:p>
    <w:p w14:paraId="7A0F1D94">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557408FE">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7C28812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0672A1E8">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u w:val="singl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 xml:space="preserve"> 20 </w:t>
      </w:r>
    </w:p>
    <w:p w14:paraId="5086A117">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lang w:val="en-US" w:eastAsia="zh-CN"/>
        </w:rPr>
        <w:t>2.2.3</w:t>
      </w:r>
      <w:r>
        <w:rPr>
          <w:rFonts w:hint="eastAsia" w:ascii="仿宋" w:hAnsi="仿宋" w:eastAsia="仿宋" w:cs="仿宋"/>
          <w:bCs/>
          <w:iCs/>
          <w:color w:val="auto"/>
          <w:sz w:val="24"/>
          <w:highlight w:val="none"/>
        </w:rPr>
        <w:t>报价超过最高限价为无效标。</w:t>
      </w:r>
    </w:p>
    <w:p w14:paraId="35780582">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lang w:val="en-US" w:eastAsia="zh-CN"/>
        </w:rPr>
        <w:t>2.2.4</w:t>
      </w:r>
      <w:r>
        <w:rPr>
          <w:rFonts w:hint="eastAsia" w:ascii="仿宋" w:hAnsi="仿宋" w:eastAsia="仿宋" w:cs="仿宋"/>
          <w:bCs/>
          <w:iCs/>
          <w:color w:val="auto"/>
          <w:sz w:val="24"/>
          <w:highlight w:val="none"/>
        </w:rPr>
        <w:t>评标委员会认为投标人的报价明显低于其他通过符合性审查投标人的报价，有可能影响产品质量或者不能诚信履约的，应当要求其在评标现场合理的时间内提供说明，必要时提交相关证明材料。投标人不能在规定时间内合理说明原因并提供证明材料的，评标委员会应当将该投标人的投标文件作无效处理，并在评审报告中说明。</w:t>
      </w:r>
    </w:p>
    <w:p w14:paraId="119BCC61">
      <w:pPr>
        <w:widowControl/>
        <w:adjustRightInd/>
        <w:jc w:val="center"/>
        <w:rPr>
          <w:rFonts w:hint="eastAsia" w:ascii="仿宋" w:hAnsi="仿宋" w:eastAsia="仿宋" w:cs="仿宋"/>
          <w:b/>
          <w:color w:val="auto"/>
          <w:sz w:val="36"/>
          <w:szCs w:val="20"/>
          <w:highlight w:val="none"/>
        </w:rPr>
      </w:pPr>
    </w:p>
    <w:p w14:paraId="3C5793D5">
      <w:pPr>
        <w:rPr>
          <w:rFonts w:hint="eastAsia" w:ascii="仿宋" w:hAnsi="仿宋" w:eastAsia="仿宋" w:cs="仿宋"/>
          <w:b/>
          <w:bCs w:val="0"/>
          <w:color w:val="auto"/>
          <w:kern w:val="2"/>
          <w:sz w:val="36"/>
          <w:szCs w:val="36"/>
          <w:highlight w:val="none"/>
          <w:lang w:val="en-US" w:eastAsia="zh-CN" w:bidi="ar-SA"/>
        </w:rPr>
      </w:pPr>
      <w:r>
        <w:rPr>
          <w:rFonts w:hint="eastAsia" w:ascii="仿宋" w:hAnsi="仿宋" w:eastAsia="仿宋" w:cs="仿宋"/>
          <w:b/>
          <w:bCs w:val="0"/>
          <w:color w:val="auto"/>
          <w:kern w:val="2"/>
          <w:sz w:val="36"/>
          <w:szCs w:val="36"/>
          <w:highlight w:val="none"/>
          <w:lang w:val="en-US" w:eastAsia="zh-CN" w:bidi="ar-SA"/>
        </w:rPr>
        <w:br w:type="page"/>
      </w:r>
    </w:p>
    <w:p w14:paraId="0F586670">
      <w:pPr>
        <w:pStyle w:val="3"/>
        <w:spacing w:line="240" w:lineRule="auto"/>
        <w:jc w:val="center"/>
        <w:rPr>
          <w:rFonts w:ascii="仿宋"/>
          <w:color w:val="auto"/>
          <w:szCs w:val="44"/>
          <w:highlight w:val="none"/>
        </w:rPr>
      </w:pPr>
      <w:r>
        <w:rPr>
          <w:rFonts w:hint="eastAsia" w:ascii="仿宋" w:hAnsi="仿宋" w:eastAsia="仿宋" w:cs="仿宋"/>
          <w:b/>
          <w:bCs w:val="0"/>
          <w:color w:val="auto"/>
          <w:kern w:val="2"/>
          <w:sz w:val="36"/>
          <w:szCs w:val="36"/>
          <w:highlight w:val="none"/>
          <w:lang w:val="en-US" w:eastAsia="zh-CN" w:bidi="ar-SA"/>
        </w:rPr>
        <w:t>第五部分  拟签订合同的主要条款</w:t>
      </w:r>
    </w:p>
    <w:p w14:paraId="4C2D6B82">
      <w:pPr>
        <w:widowControl/>
        <w:snapToGrid w:val="0"/>
        <w:spacing w:line="480" w:lineRule="exact"/>
        <w:rPr>
          <w:rFonts w:ascii="仿宋" w:eastAsia="仿宋"/>
          <w:b/>
          <w:bCs/>
          <w:color w:val="auto"/>
          <w:kern w:val="0"/>
          <w:sz w:val="24"/>
          <w:szCs w:val="24"/>
          <w:highlight w:val="none"/>
          <w:u w:val="single"/>
        </w:rPr>
      </w:pPr>
      <w:r>
        <w:rPr>
          <w:rFonts w:hint="eastAsia" w:ascii="仿宋" w:eastAsia="仿宋"/>
          <w:b/>
          <w:bCs/>
          <w:color w:val="auto"/>
          <w:kern w:val="0"/>
          <w:sz w:val="24"/>
          <w:szCs w:val="24"/>
          <w:highlight w:val="none"/>
          <w:u w:val="single"/>
        </w:rPr>
        <w:t>（合同按采购文件及中标供应商投标文件的内容制定，以下仅为部分主要条款）</w:t>
      </w:r>
    </w:p>
    <w:p w14:paraId="704D2755">
      <w:pPr>
        <w:widowControl/>
        <w:snapToGrid w:val="0"/>
        <w:spacing w:line="480" w:lineRule="exact"/>
        <w:ind w:firstLine="480" w:firstLineChars="200"/>
        <w:rPr>
          <w:rFonts w:ascii="仿宋" w:eastAsia="仿宋"/>
          <w:color w:val="auto"/>
          <w:kern w:val="0"/>
          <w:sz w:val="24"/>
          <w:szCs w:val="24"/>
          <w:highlight w:val="none"/>
        </w:rPr>
      </w:pPr>
      <w:r>
        <w:rPr>
          <w:rFonts w:hint="eastAsia" w:ascii="仿宋" w:eastAsia="仿宋"/>
          <w:color w:val="auto"/>
          <w:kern w:val="0"/>
          <w:sz w:val="24"/>
          <w:szCs w:val="24"/>
          <w:highlight w:val="none"/>
        </w:rPr>
        <w:t xml:space="preserve">                                     合同编号：</w:t>
      </w:r>
    </w:p>
    <w:p w14:paraId="793ADDC8">
      <w:pPr>
        <w:spacing w:line="50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甲方：（招标人）</w:t>
      </w:r>
    </w:p>
    <w:p w14:paraId="1BD121D8">
      <w:pPr>
        <w:spacing w:line="50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乙方：（中标人）</w:t>
      </w:r>
    </w:p>
    <w:p w14:paraId="1FE798F5">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根据《中华人民共和国政府采购法》、《中华人民共和国</w:t>
      </w:r>
      <w:r>
        <w:rPr>
          <w:rFonts w:hint="eastAsia" w:ascii="仿宋" w:hAnsi="仿宋" w:eastAsia="仿宋" w:cs="仿宋"/>
          <w:b w:val="0"/>
          <w:bCs/>
          <w:color w:val="auto"/>
          <w:sz w:val="24"/>
          <w:szCs w:val="24"/>
          <w:highlight w:val="none"/>
          <w:lang w:val="en-US" w:eastAsia="zh-CN"/>
        </w:rPr>
        <w:t>民法典</w:t>
      </w:r>
      <w:r>
        <w:rPr>
          <w:rFonts w:hint="eastAsia" w:ascii="仿宋" w:hAnsi="仿宋" w:eastAsia="仿宋" w:cs="仿宋"/>
          <w:b w:val="0"/>
          <w:bCs/>
          <w:color w:val="auto"/>
          <w:sz w:val="24"/>
          <w:szCs w:val="24"/>
          <w:highlight w:val="none"/>
        </w:rPr>
        <w:t>》等有关政府采购法规，甲乙双方根据</w:t>
      </w:r>
      <w:r>
        <w:rPr>
          <w:rFonts w:hint="eastAsia" w:ascii="仿宋" w:hAnsi="仿宋" w:eastAsia="仿宋" w:cs="仿宋"/>
          <w:b w:val="0"/>
          <w:bCs/>
          <w:color w:val="auto"/>
          <w:sz w:val="24"/>
          <w:szCs w:val="24"/>
          <w:highlight w:val="none"/>
          <w:u w:val="single"/>
        </w:rPr>
        <w:t xml:space="preserve">                           </w:t>
      </w:r>
      <w:r>
        <w:rPr>
          <w:rFonts w:hint="eastAsia" w:ascii="仿宋" w:hAnsi="仿宋" w:eastAsia="仿宋" w:cs="仿宋"/>
          <w:b w:val="0"/>
          <w:bCs/>
          <w:color w:val="auto"/>
          <w:sz w:val="24"/>
          <w:szCs w:val="24"/>
          <w:highlight w:val="none"/>
        </w:rPr>
        <w:t>（项目名称）的招标结果，同意签署本合同：</w:t>
      </w:r>
    </w:p>
    <w:p w14:paraId="30DECAB5">
      <w:pPr>
        <w:keepNext w:val="0"/>
        <w:keepLines w:val="0"/>
        <w:pageBreakBefore w:val="0"/>
        <w:widowControl w:val="0"/>
        <w:tabs>
          <w:tab w:val="center" w:pos="4535"/>
        </w:tabs>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一、合同价（单价、总价）</w:t>
      </w:r>
    </w:p>
    <w:p w14:paraId="503BC83D">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rPr>
        <w:t xml:space="preserve">. </w:t>
      </w:r>
      <w:r>
        <w:rPr>
          <w:rFonts w:hint="eastAsia" w:ascii="仿宋" w:hAnsi="仿宋" w:eastAsia="仿宋" w:cs="仿宋"/>
          <w:b w:val="0"/>
          <w:bCs/>
          <w:color w:val="auto"/>
          <w:sz w:val="24"/>
          <w:szCs w:val="24"/>
          <w:highlight w:val="none"/>
          <w:lang w:val="en-US" w:eastAsia="zh-CN"/>
        </w:rPr>
        <w:t>中标单价</w:t>
      </w:r>
      <w:r>
        <w:rPr>
          <w:rFonts w:hint="eastAsia" w:ascii="仿宋" w:hAnsi="仿宋" w:eastAsia="仿宋" w:cs="仿宋"/>
          <w:b w:val="0"/>
          <w:bCs/>
          <w:color w:val="auto"/>
          <w:sz w:val="24"/>
          <w:szCs w:val="24"/>
          <w:highlight w:val="none"/>
        </w:rPr>
        <w:t>：</w:t>
      </w:r>
    </w:p>
    <w:p w14:paraId="4E21AC8A">
      <w:pPr>
        <w:spacing w:line="42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 xml:space="preserve">2. </w:t>
      </w:r>
      <w:r>
        <w:rPr>
          <w:rFonts w:hint="eastAsia" w:ascii="仿宋" w:hAnsi="仿宋" w:eastAsia="仿宋" w:cs="仿宋"/>
          <w:b w:val="0"/>
          <w:bCs/>
          <w:color w:val="auto"/>
          <w:sz w:val="24"/>
          <w:szCs w:val="24"/>
          <w:highlight w:val="none"/>
        </w:rPr>
        <w:t>结算价</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 w:val="0"/>
          <w:bCs/>
          <w:color w:val="auto"/>
          <w:sz w:val="24"/>
          <w:szCs w:val="24"/>
          <w:highlight w:val="none"/>
        </w:rPr>
        <w:t>实际完成吨数*中标单价进行结算</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年度回收处置吨数暂定70吨，具体吨数以上级下达任务数为准，若任务数超出70吨，且增幅范围在5%以内，以70吨结</w:t>
      </w:r>
      <w:r>
        <w:rPr>
          <w:rFonts w:hint="eastAsia" w:ascii="仿宋" w:hAnsi="仿宋" w:eastAsia="仿宋" w:cs="仿宋"/>
          <w:b w:val="0"/>
          <w:bCs/>
          <w:color w:val="auto"/>
          <w:sz w:val="24"/>
          <w:szCs w:val="24"/>
          <w:highlight w:val="none"/>
          <w:lang w:val="en-US" w:eastAsia="zh-CN"/>
        </w:rPr>
        <w:t>算</w:t>
      </w:r>
      <w:r>
        <w:rPr>
          <w:rFonts w:hint="eastAsia" w:ascii="仿宋" w:hAnsi="仿宋" w:eastAsia="仿宋" w:cs="仿宋"/>
          <w:b w:val="0"/>
          <w:bCs/>
          <w:color w:val="auto"/>
          <w:sz w:val="24"/>
          <w:szCs w:val="24"/>
          <w:highlight w:val="none"/>
        </w:rPr>
        <w:t>。</w:t>
      </w:r>
    </w:p>
    <w:p w14:paraId="1FF8DD72">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b w:val="0"/>
          <w:bCs/>
          <w:color w:val="auto"/>
          <w:sz w:val="24"/>
          <w:szCs w:val="24"/>
          <w:highlight w:val="none"/>
        </w:rPr>
        <w:t>承包合同单价除按本合同规定外，不能作任何调整，任何计算错误皆视为已获双方接受：合同单价亦不会因人工、物价或汇率的变动而作任何调整。</w:t>
      </w:r>
    </w:p>
    <w:p w14:paraId="46600D41">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二、合同的服务范围、服务时间</w:t>
      </w:r>
    </w:p>
    <w:p w14:paraId="20E7319D">
      <w:pPr>
        <w:keepNext w:val="0"/>
        <w:keepLines w:val="0"/>
        <w:pageBreakBefore w:val="0"/>
        <w:widowControl w:val="0"/>
        <w:kinsoku/>
        <w:wordWrap/>
        <w:overflowPunct/>
        <w:topLinePunct w:val="0"/>
        <w:autoSpaceDE/>
        <w:autoSpaceDN w:val="0"/>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1. 合同范围： </w:t>
      </w:r>
    </w:p>
    <w:p w14:paraId="5AC8F00A">
      <w:pPr>
        <w:keepNext w:val="0"/>
        <w:keepLines w:val="0"/>
        <w:pageBreakBefore w:val="0"/>
        <w:widowControl w:val="0"/>
        <w:tabs>
          <w:tab w:val="left" w:pos="735"/>
        </w:tabs>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bookmarkStart w:id="43" w:name="_Toc293916028"/>
      <w:bookmarkStart w:id="44" w:name="_Toc293916936"/>
      <w:bookmarkStart w:id="45" w:name="_Toc293916379"/>
      <w:r>
        <w:rPr>
          <w:rFonts w:hint="eastAsia" w:ascii="仿宋" w:hAnsi="仿宋" w:eastAsia="仿宋" w:cs="仿宋"/>
          <w:b w:val="0"/>
          <w:bCs/>
          <w:color w:val="auto"/>
          <w:sz w:val="24"/>
          <w:szCs w:val="24"/>
          <w:highlight w:val="none"/>
        </w:rPr>
        <w:t>在嵊州市范围内对因农业生产产生的、不再具有使用价值而被废弃的农药包装物（包括用塑料、纸板、玻璃等材料制作的与农药直接接触的瓶、桶、罐、袋等器具）进行定点回收、分类与归集，并统一进行专业化处置。</w:t>
      </w:r>
      <w:bookmarkEnd w:id="43"/>
      <w:bookmarkEnd w:id="44"/>
      <w:bookmarkEnd w:id="45"/>
    </w:p>
    <w:p w14:paraId="753217F5">
      <w:pPr>
        <w:keepNext w:val="0"/>
        <w:keepLines w:val="0"/>
        <w:pageBreakBefore w:val="0"/>
        <w:widowControl w:val="0"/>
        <w:tabs>
          <w:tab w:val="left" w:pos="735"/>
        </w:tabs>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strike/>
          <w:dstrike w:val="0"/>
          <w:color w:val="auto"/>
          <w:sz w:val="24"/>
          <w:szCs w:val="24"/>
          <w:highlight w:val="none"/>
          <w:lang w:val="en-US" w:eastAsia="zh-CN"/>
        </w:rPr>
      </w:pPr>
      <w:r>
        <w:rPr>
          <w:rFonts w:hint="eastAsia" w:ascii="仿宋" w:hAnsi="仿宋" w:eastAsia="仿宋" w:cs="仿宋"/>
          <w:b w:val="0"/>
          <w:bCs/>
          <w:color w:val="auto"/>
          <w:sz w:val="24"/>
          <w:szCs w:val="24"/>
          <w:highlight w:val="none"/>
          <w:lang w:eastAsia="zh-CN"/>
        </w:rPr>
        <w:t>2.</w:t>
      </w:r>
      <w:r>
        <w:rPr>
          <w:rFonts w:hint="eastAsia" w:ascii="仿宋" w:hAnsi="仿宋" w:eastAsia="仿宋" w:cs="仿宋"/>
          <w:b w:val="0"/>
          <w:bCs/>
          <w:color w:val="auto"/>
          <w:sz w:val="24"/>
          <w:szCs w:val="24"/>
          <w:highlight w:val="none"/>
        </w:rPr>
        <w:t>服务期限：</w:t>
      </w:r>
      <w:r>
        <w:rPr>
          <w:rFonts w:hint="eastAsia" w:ascii="仿宋" w:hAnsi="仿宋" w:eastAsia="仿宋" w:cs="仿宋"/>
          <w:b w:val="0"/>
          <w:bCs/>
          <w:color w:val="auto"/>
          <w:sz w:val="24"/>
          <w:szCs w:val="24"/>
          <w:highlight w:val="none"/>
          <w:lang w:val="en-US" w:eastAsia="zh-CN"/>
        </w:rPr>
        <w:t>1年（2025年1月1日-2025年12月31日）</w:t>
      </w:r>
    </w:p>
    <w:p w14:paraId="18AB70E7">
      <w:pPr>
        <w:keepNext w:val="0"/>
        <w:keepLines w:val="0"/>
        <w:pageBreakBefore w:val="0"/>
        <w:widowControl w:val="0"/>
        <w:numPr>
          <w:ilvl w:val="0"/>
          <w:numId w:val="0"/>
        </w:numPr>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三、</w:t>
      </w:r>
      <w:bookmarkStart w:id="46" w:name="_Toc293916954"/>
      <w:r>
        <w:rPr>
          <w:rFonts w:hint="eastAsia" w:ascii="仿宋" w:hAnsi="仿宋" w:eastAsia="仿宋" w:cs="仿宋"/>
          <w:b w:val="0"/>
          <w:bCs/>
          <w:color w:val="auto"/>
          <w:sz w:val="24"/>
          <w:szCs w:val="24"/>
          <w:highlight w:val="none"/>
        </w:rPr>
        <w:t xml:space="preserve"> </w:t>
      </w:r>
      <w:bookmarkEnd w:id="46"/>
      <w:r>
        <w:rPr>
          <w:rFonts w:hint="eastAsia" w:ascii="仿宋" w:hAnsi="仿宋" w:eastAsia="仿宋" w:cs="仿宋"/>
          <w:b w:val="0"/>
          <w:bCs/>
          <w:color w:val="auto"/>
          <w:sz w:val="24"/>
          <w:szCs w:val="24"/>
          <w:highlight w:val="none"/>
        </w:rPr>
        <w:t>项目验收标准</w:t>
      </w:r>
    </w:p>
    <w:p w14:paraId="7EBB6986">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由第三方审计机构出具的关于本项目的《审计报告》为准。《审计报告》中得说明在服务期内完成的回收处置数量(需提供处置单位出具的农药废弃包装物对账单、</w:t>
      </w:r>
      <w:r>
        <w:rPr>
          <w:rFonts w:hint="eastAsia" w:ascii="仿宋" w:hAnsi="仿宋" w:eastAsia="仿宋" w:cs="仿宋"/>
          <w:b w:val="0"/>
          <w:bCs/>
          <w:color w:val="auto"/>
          <w:sz w:val="24"/>
          <w:szCs w:val="24"/>
          <w:highlight w:val="none"/>
        </w:rPr>
        <w:t>转移联单</w:t>
      </w:r>
      <w:r>
        <w:rPr>
          <w:rFonts w:hint="eastAsia" w:ascii="仿宋" w:hAnsi="仿宋" w:eastAsia="仿宋" w:cs="仿宋"/>
          <w:b w:val="0"/>
          <w:bCs/>
          <w:color w:val="auto"/>
          <w:sz w:val="24"/>
          <w:szCs w:val="24"/>
          <w:highlight w:val="none"/>
          <w:lang w:val="en-US" w:eastAsia="zh-CN"/>
        </w:rPr>
        <w:t>等有效接收处置凭据)、处置费用发票、回收台账等其他甲方认为需要提供的证明材料，否则验收不予通过并拒付服务费。</w:t>
      </w:r>
    </w:p>
    <w:p w14:paraId="3E3DC1B7">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四、违约行为</w:t>
      </w:r>
    </w:p>
    <w:p w14:paraId="3D20AD70">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 乙方有下列行为将作为违约：</w:t>
      </w:r>
    </w:p>
    <w:p w14:paraId="2D34F13A">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⑴逾期未完成农药废弃包装物归集贮运任务的，不可抗力除外。</w:t>
      </w:r>
    </w:p>
    <w:p w14:paraId="2B2B600C">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⑵不履行合同条款或只履行部分合同条款，或拒绝履行合同义务。</w:t>
      </w:r>
    </w:p>
    <w:p w14:paraId="74C110C2">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⑶违反政府采购法和国家其他的相关法律法规。</w:t>
      </w:r>
    </w:p>
    <w:p w14:paraId="63D7525B">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2. 甲方有下列行为将作为违约： </w:t>
      </w:r>
    </w:p>
    <w:p w14:paraId="5286D36F">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⑴违反政府采购法和国家其他的相关法律法规。</w:t>
      </w:r>
    </w:p>
    <w:p w14:paraId="5B1472F9">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⑵不履行合同条款或只履行部分合同条款，或拒绝履行合同义务。</w:t>
      </w:r>
    </w:p>
    <w:p w14:paraId="09A29BA8">
      <w:pPr>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五、违约责任</w:t>
      </w:r>
    </w:p>
    <w:p w14:paraId="3DB912C0">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1．乙方在合同期间未能达到甲方的招标文件所明示的采购要求的，甲方有权中止合同，并要求乙方退还已支付款项。</w:t>
      </w:r>
    </w:p>
    <w:p w14:paraId="42779A74">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2．甲方未按约定时间及时付款（有正当理由的除外），每超期一天，甲方支付实际支付金额的万分之三作为违约金。</w:t>
      </w:r>
    </w:p>
    <w:p w14:paraId="58602467">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3．乙方未按约定时间完成项目（有正当理由的除外），每超期一天，乙方支付实际支付金额的万分之三作为违约金。</w:t>
      </w:r>
    </w:p>
    <w:p w14:paraId="1A97F3E9">
      <w:pPr>
        <w:pStyle w:val="58"/>
        <w:widowControl w:val="0"/>
        <w:spacing w:before="0" w:beforeAutospacing="0" w:after="0" w:afterAutospacing="0" w:line="500" w:lineRule="exact"/>
        <w:ind w:firstLine="480" w:firstLineChars="200"/>
        <w:rPr>
          <w:rFonts w:hint="default" w:ascii="仿宋" w:hAnsi="仿宋" w:eastAsia="仿宋" w:cs="仿宋"/>
          <w:b w:val="0"/>
          <w:bCs/>
          <w:snapToGrid w:val="0"/>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4.</w:t>
      </w:r>
      <w:r>
        <w:rPr>
          <w:rFonts w:hint="eastAsia" w:ascii="仿宋" w:hAnsi="仿宋" w:eastAsia="仿宋" w:cs="仿宋"/>
          <w:b w:val="0"/>
          <w:bCs/>
          <w:color w:val="auto"/>
          <w:sz w:val="24"/>
          <w:szCs w:val="24"/>
          <w:highlight w:val="none"/>
          <w:lang w:val="en-US" w:eastAsia="zh-CN"/>
        </w:rPr>
        <w:t>乙方承诺中标后在项目所在地设置标准化中转仓储、配置车辆、压包设备</w:t>
      </w:r>
      <w:r>
        <w:rPr>
          <w:rFonts w:hint="eastAsia" w:ascii="仿宋" w:hAnsi="仿宋" w:eastAsia="仿宋" w:cs="仿宋"/>
          <w:b w:val="0"/>
          <w:bCs/>
          <w:snapToGrid w:val="0"/>
          <w:color w:val="auto"/>
          <w:kern w:val="2"/>
          <w:sz w:val="24"/>
          <w:szCs w:val="24"/>
          <w:highlight w:val="none"/>
          <w:lang w:val="en-US" w:eastAsia="zh-CN" w:bidi="ar-SA"/>
        </w:rPr>
        <w:t>，须在签订合同后30日内设置场地、车辆、设备正常投入使用，如未达到，视为自动放弃中标并甲方上报嵊州市政府采购管理部门列入黑名单。</w:t>
      </w:r>
    </w:p>
    <w:p w14:paraId="6FDDCCCA">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5.</w:t>
      </w:r>
      <w:r>
        <w:rPr>
          <w:rFonts w:hint="eastAsia" w:ascii="仿宋" w:hAnsi="仿宋" w:eastAsia="仿宋" w:cs="仿宋"/>
          <w:b w:val="0"/>
          <w:bCs/>
          <w:color w:val="auto"/>
          <w:sz w:val="24"/>
          <w:szCs w:val="24"/>
          <w:highlight w:val="none"/>
        </w:rPr>
        <w:t>乙方未能履行以上义务，未遵守投标文件中所承诺的服务内容，违反甲方具体要求及招标文件规定的行为均属违约行为。甲方根据上述规定条款，视乙方违约行为的情节轻重，做出批评教育、警告、扣罚经费或等处理，情节严重者，甲方有权单方终止本合同而不承担任何违约责任，由乙方承担一切经济损失和法律责任。因乙方违约造成甲方损失的，甲方有权向乙方追加补偿。</w:t>
      </w:r>
    </w:p>
    <w:p w14:paraId="7774BE98">
      <w:pPr>
        <w:keepNext w:val="0"/>
        <w:keepLines w:val="0"/>
        <w:pageBreakBefore w:val="0"/>
        <w:widowControl w:val="0"/>
        <w:numPr>
          <w:ilvl w:val="0"/>
          <w:numId w:val="3"/>
        </w:numPr>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支付方式</w:t>
      </w:r>
    </w:p>
    <w:p w14:paraId="670BDFD1">
      <w:pPr>
        <w:pStyle w:val="33"/>
        <w:keepNext w:val="0"/>
        <w:keepLines w:val="0"/>
        <w:pageBreakBefore w:val="0"/>
        <w:widowControl w:val="0"/>
        <w:kinsoku/>
        <w:wordWrap/>
        <w:overflowPunct/>
        <w:topLinePunct w:val="0"/>
        <w:autoSpaceDE/>
        <w:bidi w:val="0"/>
        <w:adjustRightInd w:val="0"/>
        <w:snapToGrid w:val="0"/>
        <w:spacing w:line="440" w:lineRule="exact"/>
        <w:ind w:firstLine="480" w:firstLineChars="20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年度回收处置吨数暂定70吨，具体吨数以上级下达任务数为准，最终以实际完成吨数*中标单价进行结算，若任务数超出70吨，且增幅范围在5%以内，以70吨结算。</w:t>
      </w:r>
    </w:p>
    <w:p w14:paraId="0F6D87BA">
      <w:pPr>
        <w:pStyle w:val="33"/>
        <w:keepNext w:val="0"/>
        <w:keepLines w:val="0"/>
        <w:pageBreakBefore w:val="0"/>
        <w:widowControl w:val="0"/>
        <w:kinsoku/>
        <w:wordWrap/>
        <w:overflowPunct/>
        <w:topLinePunct w:val="0"/>
        <w:autoSpaceDE/>
        <w:bidi w:val="0"/>
        <w:adjustRightInd w:val="0"/>
        <w:snapToGrid w:val="0"/>
        <w:spacing w:line="440" w:lineRule="exact"/>
        <w:ind w:firstLine="480" w:firstLineChars="20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1.预付款：</w:t>
      </w:r>
      <w:r>
        <w:rPr>
          <w:rFonts w:hint="eastAsia" w:ascii="仿宋" w:hAnsi="仿宋" w:eastAsia="仿宋" w:cs="仿宋"/>
          <w:b w:val="0"/>
          <w:bCs/>
          <w:color w:val="auto"/>
          <w:sz w:val="24"/>
          <w:szCs w:val="24"/>
          <w:highlight w:val="none"/>
          <w:lang w:eastAsia="zh-CN"/>
        </w:rPr>
        <w:t>预算金额的40%作为预付款，合同签订后14个工作日内支付；</w:t>
      </w:r>
    </w:p>
    <w:p w14:paraId="46504526">
      <w:pPr>
        <w:pStyle w:val="33"/>
        <w:keepNext w:val="0"/>
        <w:keepLines w:val="0"/>
        <w:pageBreakBefore w:val="0"/>
        <w:widowControl w:val="0"/>
        <w:kinsoku/>
        <w:wordWrap/>
        <w:overflowPunct/>
        <w:topLinePunct w:val="0"/>
        <w:autoSpaceDE/>
        <w:bidi w:val="0"/>
        <w:adjustRightInd w:val="0"/>
        <w:snapToGrid w:val="0"/>
        <w:spacing w:line="440" w:lineRule="exact"/>
        <w:ind w:firstLine="480" w:firstLineChars="20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2.余款：</w:t>
      </w:r>
      <w:r>
        <w:rPr>
          <w:rFonts w:hint="eastAsia" w:ascii="仿宋" w:hAnsi="仿宋" w:eastAsia="仿宋" w:cs="仿宋"/>
          <w:b w:val="0"/>
          <w:bCs/>
          <w:color w:val="auto"/>
          <w:sz w:val="24"/>
          <w:szCs w:val="24"/>
          <w:highlight w:val="none"/>
          <w:lang w:eastAsia="zh-CN"/>
        </w:rPr>
        <w:t>年度项目完成，</w:t>
      </w:r>
      <w:r>
        <w:rPr>
          <w:rFonts w:hint="eastAsia" w:ascii="仿宋" w:hAnsi="仿宋" w:eastAsia="仿宋" w:cs="仿宋"/>
          <w:b w:val="0"/>
          <w:bCs/>
          <w:color w:val="auto"/>
          <w:sz w:val="24"/>
          <w:szCs w:val="24"/>
          <w:highlight w:val="none"/>
          <w:lang w:val="en-US" w:eastAsia="zh-CN"/>
        </w:rPr>
        <w:t>并</w:t>
      </w:r>
      <w:r>
        <w:rPr>
          <w:rFonts w:hint="eastAsia" w:ascii="仿宋" w:hAnsi="仿宋" w:eastAsia="仿宋" w:cs="仿宋"/>
          <w:b w:val="0"/>
          <w:bCs/>
          <w:color w:val="auto"/>
          <w:sz w:val="24"/>
          <w:szCs w:val="24"/>
          <w:highlight w:val="none"/>
          <w:lang w:eastAsia="zh-CN"/>
        </w:rPr>
        <w:t>经第三方审计</w:t>
      </w:r>
      <w:r>
        <w:rPr>
          <w:rFonts w:hint="eastAsia" w:ascii="仿宋" w:hAnsi="仿宋" w:eastAsia="仿宋" w:cs="仿宋"/>
          <w:b w:val="0"/>
          <w:bCs/>
          <w:color w:val="auto"/>
          <w:sz w:val="24"/>
          <w:szCs w:val="24"/>
          <w:highlight w:val="none"/>
          <w:lang w:val="en-US" w:eastAsia="zh-CN"/>
        </w:rPr>
        <w:t>通过后</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按实</w:t>
      </w:r>
      <w:r>
        <w:rPr>
          <w:rFonts w:hint="eastAsia" w:ascii="仿宋" w:hAnsi="仿宋" w:eastAsia="仿宋" w:cs="仿宋"/>
          <w:b w:val="0"/>
          <w:bCs/>
          <w:color w:val="auto"/>
          <w:sz w:val="24"/>
          <w:szCs w:val="24"/>
          <w:highlight w:val="none"/>
          <w:lang w:eastAsia="zh-CN"/>
        </w:rPr>
        <w:t>一次性付清余款。</w:t>
      </w:r>
    </w:p>
    <w:p w14:paraId="6F9FD412">
      <w:pPr>
        <w:pStyle w:val="33"/>
        <w:keepNext w:val="0"/>
        <w:keepLines w:val="0"/>
        <w:pageBreakBefore w:val="0"/>
        <w:widowControl w:val="0"/>
        <w:kinsoku/>
        <w:wordWrap/>
        <w:overflowPunct/>
        <w:topLinePunct w:val="0"/>
        <w:autoSpaceDE/>
        <w:bidi w:val="0"/>
        <w:adjustRightInd w:val="0"/>
        <w:snapToGrid w:val="0"/>
        <w:spacing w:line="440" w:lineRule="exact"/>
        <w:ind w:firstLine="240" w:firstLineChars="1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七、不可抗力事件处理</w:t>
      </w:r>
    </w:p>
    <w:p w14:paraId="4BC23ABE">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 在合同有效期内，任何一方因不可抗力事件导致不能履行合同，则合同履行期可延长，其延长期与不可抗力影响期相同。</w:t>
      </w:r>
    </w:p>
    <w:p w14:paraId="7E886FA5">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 不可抗力事件发生后，应立即通知对方，并寄送有关权威机构出具的证明。</w:t>
      </w:r>
    </w:p>
    <w:p w14:paraId="7A647007">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 不可抗力事件延续120天以上，双方应友好协商，确定是否继续履行合同。</w:t>
      </w:r>
    </w:p>
    <w:p w14:paraId="5AEBB6A7">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八、合同相关文件</w:t>
      </w:r>
    </w:p>
    <w:p w14:paraId="44C3C149">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有关本次采购项目的采购文件以及相关的函件如答疑函、承诺函等均为本合同不可分割的一部份。若“本次采购项目的采购文件以及相关的函件如答疑函、承诺函”与本合同有出入时，以“本次采购项目的采购文件以及相关的函件如答疑函、承诺函”为准。</w:t>
      </w:r>
    </w:p>
    <w:p w14:paraId="2FA1D5FE">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九、诉讼</w:t>
      </w:r>
    </w:p>
    <w:p w14:paraId="0737D56B">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2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双方在执行合同中所发生的一切争议，应通过协商解决。如协商不成，可向甲方</w:t>
      </w:r>
    </w:p>
    <w:p w14:paraId="7B0330BE">
      <w:pPr>
        <w:pStyle w:val="33"/>
        <w:keepNext w:val="0"/>
        <w:keepLines w:val="0"/>
        <w:pageBreakBefore w:val="0"/>
        <w:widowControl w:val="0"/>
        <w:kinsoku/>
        <w:wordWrap/>
        <w:overflowPunct/>
        <w:topLinePunct w:val="0"/>
        <w:autoSpaceDE/>
        <w:bidi w:val="0"/>
        <w:adjustRightInd w:val="0"/>
        <w:snapToGrid w:val="0"/>
        <w:spacing w:line="440" w:lineRule="exact"/>
        <w:ind w:left="0" w:leftChars="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所在地法院起诉。</w:t>
      </w:r>
    </w:p>
    <w:p w14:paraId="5762D21C">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十、合同生效及其它</w:t>
      </w:r>
    </w:p>
    <w:p w14:paraId="66A529F0">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1.合同经双方法定代表人或授权代表及合同鉴证方签字并加盖单位公章后生效。</w:t>
      </w:r>
    </w:p>
    <w:p w14:paraId="44E49AA5">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2.合同执行中涉及采购资金和采购内容修改或补充的，须经财政部门审批，并签书面补充协议报政府采购监督管理部门备案，方可作为主合同不可分割的一部分。</w:t>
      </w:r>
    </w:p>
    <w:p w14:paraId="7674EB7E">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3.本合同未尽事宜，遵照《合同法》有关条文执行。</w:t>
      </w:r>
    </w:p>
    <w:p w14:paraId="17C57912">
      <w:pPr>
        <w:pStyle w:val="33"/>
        <w:keepNext w:val="0"/>
        <w:keepLines w:val="0"/>
        <w:pageBreakBefore w:val="0"/>
        <w:widowControl w:val="0"/>
        <w:kinsoku/>
        <w:wordWrap/>
        <w:overflowPunct/>
        <w:topLinePunct w:val="0"/>
        <w:autoSpaceDE/>
        <w:bidi w:val="0"/>
        <w:adjustRightInd w:val="0"/>
        <w:snapToGrid w:val="0"/>
        <w:spacing w:line="440" w:lineRule="exact"/>
        <w:ind w:left="0" w:leftChars="0"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4.本合同正本一式</w:t>
      </w:r>
      <w:r>
        <w:rPr>
          <w:rFonts w:hint="eastAsia" w:ascii="仿宋" w:hAnsi="仿宋" w:eastAsia="仿宋" w:cs="仿宋"/>
          <w:b w:val="0"/>
          <w:bCs/>
          <w:color w:val="auto"/>
          <w:sz w:val="24"/>
          <w:szCs w:val="24"/>
          <w:highlight w:val="none"/>
          <w:u w:val="single"/>
        </w:rPr>
        <w:t xml:space="preserve">   </w:t>
      </w:r>
      <w:r>
        <w:rPr>
          <w:rFonts w:hint="eastAsia" w:ascii="仿宋" w:hAnsi="仿宋" w:eastAsia="仿宋" w:cs="仿宋"/>
          <w:b w:val="0"/>
          <w:bCs/>
          <w:color w:val="auto"/>
          <w:sz w:val="24"/>
          <w:szCs w:val="24"/>
          <w:highlight w:val="none"/>
        </w:rPr>
        <w:t>份，副本根据需要另行提供,正副本具有同等法律效力。</w:t>
      </w:r>
    </w:p>
    <w:p w14:paraId="399E18A5">
      <w:pPr>
        <w:pStyle w:val="33"/>
        <w:snapToGrid w:val="0"/>
        <w:spacing w:before="120" w:after="120" w:line="400" w:lineRule="exact"/>
        <w:ind w:left="420" w:hanging="480" w:hanging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甲方：                                   乙方： </w:t>
      </w:r>
    </w:p>
    <w:p w14:paraId="7E12C949">
      <w:pPr>
        <w:pStyle w:val="33"/>
        <w:snapToGrid w:val="0"/>
        <w:spacing w:before="120" w:after="120" w:line="400" w:lineRule="exac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地址：                                   地址： </w:t>
      </w:r>
    </w:p>
    <w:p w14:paraId="27141491">
      <w:pPr>
        <w:pStyle w:val="33"/>
        <w:snapToGrid w:val="0"/>
        <w:spacing w:before="120" w:after="120" w:line="40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法定（授权）代表人：                     法定（授权）代表人：</w:t>
      </w:r>
    </w:p>
    <w:p w14:paraId="34B7FBF5">
      <w:pPr>
        <w:pStyle w:val="33"/>
        <w:snapToGrid w:val="0"/>
        <w:spacing w:before="120" w:after="120" w:line="40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开户行账号：                             开户行账号：</w:t>
      </w:r>
    </w:p>
    <w:p w14:paraId="3C2FB796">
      <w:pPr>
        <w:pStyle w:val="33"/>
        <w:snapToGrid w:val="0"/>
        <w:spacing w:before="120" w:after="120" w:line="400" w:lineRule="exact"/>
        <w:ind w:firstLine="48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开户行名称：                             开户行名称：</w:t>
      </w:r>
    </w:p>
    <w:p w14:paraId="07CF8FEC">
      <w:pPr>
        <w:pStyle w:val="33"/>
        <w:snapToGrid w:val="0"/>
        <w:spacing w:before="120" w:after="120" w:line="400" w:lineRule="exac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签字日期：      年  月  日               签字日期：      年  月  日</w:t>
      </w:r>
    </w:p>
    <w:p w14:paraId="1B98A10F">
      <w:pPr>
        <w:rPr>
          <w:rFonts w:hint="eastAsia" w:ascii="仿宋" w:hAnsi="仿宋" w:eastAsia="仿宋" w:cs="仿宋"/>
          <w:b/>
          <w:color w:val="auto"/>
          <w:sz w:val="36"/>
          <w:szCs w:val="20"/>
          <w:highlight w:val="none"/>
        </w:rPr>
      </w:pPr>
    </w:p>
    <w:p w14:paraId="6CF74A7E">
      <w:pPr>
        <w:widowControl/>
        <w:adjustRightInd/>
        <w:jc w:val="center"/>
        <w:rPr>
          <w:rFonts w:hint="eastAsia" w:ascii="仿宋" w:hAnsi="仿宋" w:eastAsia="仿宋" w:cs="仿宋"/>
          <w:b/>
          <w:color w:val="auto"/>
          <w:sz w:val="36"/>
          <w:szCs w:val="20"/>
          <w:highlight w:val="none"/>
        </w:rPr>
      </w:pPr>
    </w:p>
    <w:p w14:paraId="728FF950">
      <w:pPr>
        <w:widowControl/>
        <w:adjustRightInd/>
        <w:jc w:val="center"/>
        <w:rPr>
          <w:rFonts w:hint="eastAsia" w:ascii="仿宋" w:hAnsi="仿宋" w:eastAsia="仿宋" w:cs="仿宋"/>
          <w:b/>
          <w:color w:val="auto"/>
          <w:sz w:val="36"/>
          <w:szCs w:val="20"/>
          <w:highlight w:val="none"/>
        </w:rPr>
      </w:pPr>
    </w:p>
    <w:p w14:paraId="236BBCD6">
      <w:pPr>
        <w:widowControl/>
        <w:adjustRightInd/>
        <w:jc w:val="center"/>
        <w:rPr>
          <w:rFonts w:hint="eastAsia" w:ascii="仿宋" w:hAnsi="仿宋" w:eastAsia="仿宋" w:cs="仿宋"/>
          <w:b/>
          <w:color w:val="auto"/>
          <w:sz w:val="36"/>
          <w:szCs w:val="20"/>
          <w:highlight w:val="none"/>
        </w:rPr>
      </w:pPr>
    </w:p>
    <w:p w14:paraId="54D00569">
      <w:pPr>
        <w:widowControl/>
        <w:adjustRightInd/>
        <w:jc w:val="center"/>
        <w:rPr>
          <w:rFonts w:hint="eastAsia" w:ascii="仿宋" w:hAnsi="仿宋" w:eastAsia="仿宋" w:cs="仿宋"/>
          <w:b/>
          <w:color w:val="auto"/>
          <w:sz w:val="36"/>
          <w:szCs w:val="20"/>
          <w:highlight w:val="none"/>
        </w:rPr>
      </w:pPr>
    </w:p>
    <w:p w14:paraId="0023E620">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
      <w:r>
        <w:rPr>
          <w:rFonts w:hint="eastAsia" w:ascii="仿宋" w:hAnsi="仿宋" w:eastAsia="仿宋" w:cs="仿宋"/>
          <w:b/>
          <w:color w:val="auto"/>
          <w:sz w:val="36"/>
          <w:szCs w:val="20"/>
          <w:highlight w:val="none"/>
        </w:rPr>
        <w:t xml:space="preserve"> </w:t>
      </w:r>
      <w:bookmarkEnd w:id="40"/>
      <w:r>
        <w:rPr>
          <w:rFonts w:hint="eastAsia" w:ascii="仿宋" w:hAnsi="仿宋" w:eastAsia="仿宋" w:cs="仿宋"/>
          <w:b/>
          <w:color w:val="auto"/>
          <w:sz w:val="36"/>
          <w:szCs w:val="20"/>
          <w:highlight w:val="none"/>
        </w:rPr>
        <w:t>投标文件及其附件格式</w:t>
      </w:r>
    </w:p>
    <w:p w14:paraId="386D0031">
      <w:pPr>
        <w:spacing w:line="360" w:lineRule="auto"/>
        <w:jc w:val="center"/>
        <w:outlineLvl w:val="0"/>
        <w:rPr>
          <w:rFonts w:hint="eastAsia" w:ascii="仿宋" w:hAnsi="仿宋" w:eastAsia="仿宋" w:cs="仿宋"/>
          <w:b/>
          <w:color w:val="auto"/>
          <w:kern w:val="0"/>
          <w:sz w:val="36"/>
          <w:szCs w:val="36"/>
          <w:highlight w:val="none"/>
        </w:rPr>
      </w:pPr>
    </w:p>
    <w:p w14:paraId="5457095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50A5D57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443D64C">
      <w:pPr>
        <w:spacing w:line="360" w:lineRule="auto"/>
        <w:jc w:val="center"/>
        <w:outlineLvl w:val="0"/>
        <w:rPr>
          <w:rFonts w:hint="eastAsia" w:ascii="仿宋" w:hAnsi="仿宋" w:eastAsia="仿宋" w:cs="仿宋"/>
          <w:b/>
          <w:color w:val="auto"/>
          <w:kern w:val="0"/>
          <w:sz w:val="36"/>
          <w:szCs w:val="36"/>
          <w:highlight w:val="none"/>
        </w:rPr>
      </w:pPr>
    </w:p>
    <w:p w14:paraId="550FF64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40AA80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）落实政府采购政策需满足的资格要求………………………………（页码）</w:t>
      </w:r>
    </w:p>
    <w:p w14:paraId="4803B71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）本项目的特定资格要求………………………………………………（页码）</w:t>
      </w:r>
    </w:p>
    <w:p w14:paraId="5DE8CE35">
      <w:pPr>
        <w:snapToGrid w:val="0"/>
        <w:spacing w:line="360" w:lineRule="auto"/>
        <w:rPr>
          <w:rFonts w:hint="eastAsia" w:ascii="仿宋" w:hAnsi="仿宋" w:eastAsia="仿宋" w:cs="仿宋"/>
          <w:color w:val="auto"/>
          <w:sz w:val="24"/>
          <w:highlight w:val="none"/>
        </w:rPr>
      </w:pP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4</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营业执照</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………………………………………（页码）</w:t>
      </w:r>
    </w:p>
    <w:p w14:paraId="3F3659C6">
      <w:pPr>
        <w:pStyle w:val="2"/>
        <w:rPr>
          <w:rFonts w:hint="default" w:eastAsia="仿宋"/>
          <w:color w:val="auto"/>
          <w:highlight w:val="none"/>
          <w:lang w:val="en-US" w:eastAsia="zh-CN"/>
        </w:rPr>
      </w:pPr>
    </w:p>
    <w:p w14:paraId="20042C6F">
      <w:pPr>
        <w:snapToGrid w:val="0"/>
        <w:spacing w:line="360" w:lineRule="auto"/>
        <w:ind w:firstLine="480" w:firstLineChars="200"/>
        <w:rPr>
          <w:rFonts w:hint="eastAsia" w:ascii="仿宋" w:hAnsi="仿宋" w:eastAsia="仿宋" w:cs="仿宋"/>
          <w:color w:val="auto"/>
          <w:sz w:val="24"/>
          <w:highlight w:val="none"/>
        </w:rPr>
      </w:pPr>
    </w:p>
    <w:p w14:paraId="2EA5BBFE">
      <w:pPr>
        <w:spacing w:line="360" w:lineRule="auto"/>
        <w:ind w:firstLine="480" w:firstLineChars="200"/>
        <w:rPr>
          <w:rFonts w:hint="eastAsia" w:ascii="仿宋" w:hAnsi="仿宋" w:eastAsia="仿宋" w:cs="仿宋"/>
          <w:color w:val="auto"/>
          <w:sz w:val="24"/>
          <w:highlight w:val="none"/>
        </w:rPr>
      </w:pPr>
    </w:p>
    <w:p w14:paraId="245ED436">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w:t>
      </w:r>
    </w:p>
    <w:p w14:paraId="59065A6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一、 符合参加政府采购活动应当具备的一般条件的承诺函</w:t>
      </w:r>
    </w:p>
    <w:p w14:paraId="0D9DFC7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6ECE91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【招标编号：（采购编号）】政府采购活动，郑重承诺：</w:t>
      </w:r>
    </w:p>
    <w:p w14:paraId="0E322C47">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769B9F">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8D6AA0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C9F703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68970F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4498A27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158CA23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49A4F29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EB974E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34306D0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3CCB74C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543A8C2">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F46857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FC51C00">
      <w:pPr>
        <w:snapToGrid w:val="0"/>
        <w:spacing w:line="360" w:lineRule="auto"/>
        <w:ind w:right="480"/>
        <w:jc w:val="center"/>
        <w:rPr>
          <w:rFonts w:hint="eastAsia" w:ascii="仿宋" w:hAnsi="仿宋" w:eastAsia="仿宋" w:cs="仿宋"/>
          <w:b/>
          <w:color w:val="auto"/>
          <w:kern w:val="0"/>
          <w:sz w:val="32"/>
          <w:szCs w:val="32"/>
          <w:highlight w:val="none"/>
        </w:rPr>
      </w:pPr>
    </w:p>
    <w:p w14:paraId="0A89E065">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0C0D420">
      <w:pPr>
        <w:snapToGrid w:val="0"/>
        <w:spacing w:line="360" w:lineRule="auto"/>
        <w:ind w:right="480"/>
        <w:jc w:val="center"/>
        <w:rPr>
          <w:rFonts w:hint="eastAsia" w:ascii="仿宋" w:hAnsi="仿宋" w:eastAsia="仿宋" w:cs="仿宋"/>
          <w:b/>
          <w:color w:val="auto"/>
          <w:kern w:val="0"/>
          <w:sz w:val="32"/>
          <w:szCs w:val="32"/>
          <w:highlight w:val="none"/>
        </w:rPr>
      </w:pPr>
    </w:p>
    <w:p w14:paraId="6461586A">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rPr>
        <w:t>、落实政府采购政策需满足的资格要求</w:t>
      </w:r>
    </w:p>
    <w:p w14:paraId="478EA89E">
      <w:pPr>
        <w:snapToGrid w:val="0"/>
        <w:spacing w:before="50" w:after="50" w:line="360" w:lineRule="auto"/>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6A22704C">
      <w:pPr>
        <w:widowControl/>
        <w:spacing w:line="360" w:lineRule="auto"/>
        <w:ind w:left="150"/>
        <w:jc w:val="center"/>
        <w:rPr>
          <w:rFonts w:hint="eastAsia" w:ascii="仿宋" w:hAnsi="仿宋" w:eastAsia="仿宋" w:cs="仿宋"/>
          <w:b/>
          <w:color w:val="auto"/>
          <w:kern w:val="0"/>
          <w:sz w:val="32"/>
          <w:szCs w:val="32"/>
          <w:highlight w:val="none"/>
        </w:rPr>
      </w:pPr>
    </w:p>
    <w:p w14:paraId="1DD3D00C">
      <w:pPr>
        <w:pStyle w:val="61"/>
        <w:rPr>
          <w:rFonts w:hint="eastAsia"/>
          <w:color w:val="auto"/>
          <w:highlight w:val="none"/>
        </w:rPr>
      </w:pPr>
    </w:p>
    <w:p w14:paraId="46DAF0F3">
      <w:pPr>
        <w:widowControl/>
        <w:spacing w:line="360" w:lineRule="auto"/>
        <w:ind w:left="150" w:firstLine="643" w:firstLineChars="200"/>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、本项目的特定资格要求</w:t>
      </w:r>
    </w:p>
    <w:p w14:paraId="72FC8B7A">
      <w:pPr>
        <w:pStyle w:val="2"/>
        <w:rPr>
          <w:rFonts w:hint="eastAsia"/>
          <w:color w:val="auto"/>
          <w:highlight w:val="none"/>
        </w:rPr>
      </w:pPr>
    </w:p>
    <w:p w14:paraId="684D8037">
      <w:pPr>
        <w:widowControl/>
        <w:spacing w:line="360" w:lineRule="auto"/>
        <w:ind w:left="150"/>
        <w:jc w:val="both"/>
        <w:rPr>
          <w:rFonts w:hint="eastAsia" w:ascii="仿宋" w:hAnsi="仿宋" w:eastAsia="仿宋" w:cs="仿宋"/>
          <w:b/>
          <w:color w:val="auto"/>
          <w:kern w:val="0"/>
          <w:sz w:val="32"/>
          <w:szCs w:val="32"/>
          <w:highlight w:val="none"/>
          <w:lang w:val="en-US" w:eastAsia="zh-CN"/>
        </w:rPr>
      </w:pPr>
    </w:p>
    <w:p w14:paraId="347D0ABF">
      <w:pPr>
        <w:widowControl/>
        <w:spacing w:line="360" w:lineRule="auto"/>
        <w:ind w:left="150"/>
        <w:jc w:val="both"/>
        <w:rPr>
          <w:rFonts w:hint="eastAsia" w:ascii="仿宋" w:hAnsi="仿宋" w:eastAsia="仿宋" w:cs="仿宋"/>
          <w:b/>
          <w:color w:val="auto"/>
          <w:kern w:val="0"/>
          <w:sz w:val="32"/>
          <w:szCs w:val="32"/>
          <w:highlight w:val="none"/>
          <w:lang w:val="en-US" w:eastAsia="zh-CN"/>
        </w:rPr>
      </w:pPr>
    </w:p>
    <w:p w14:paraId="5F990977">
      <w:pPr>
        <w:widowControl/>
        <w:spacing w:line="360" w:lineRule="auto"/>
        <w:ind w:firstLine="643" w:firstLineChars="200"/>
        <w:jc w:val="both"/>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四、营业执照</w:t>
      </w:r>
    </w:p>
    <w:p w14:paraId="4326DA44">
      <w:pPr>
        <w:spacing w:line="360" w:lineRule="auto"/>
        <w:jc w:val="center"/>
        <w:outlineLvl w:val="0"/>
        <w:rPr>
          <w:rFonts w:hint="eastAsia" w:ascii="仿宋" w:hAnsi="仿宋" w:eastAsia="仿宋" w:cs="仿宋"/>
          <w:b/>
          <w:color w:val="auto"/>
          <w:kern w:val="0"/>
          <w:sz w:val="24"/>
          <w:highlight w:val="none"/>
        </w:rPr>
      </w:pPr>
    </w:p>
    <w:p w14:paraId="5574D39F">
      <w:pPr>
        <w:spacing w:line="336" w:lineRule="auto"/>
        <w:jc w:val="center"/>
        <w:rPr>
          <w:rFonts w:hint="eastAsia" w:ascii="仿宋" w:hAnsi="仿宋" w:eastAsia="仿宋" w:cs="仿宋"/>
          <w:b/>
          <w:color w:val="auto"/>
          <w:kern w:val="0"/>
          <w:sz w:val="36"/>
          <w:szCs w:val="36"/>
          <w:highlight w:val="none"/>
        </w:rPr>
      </w:pPr>
    </w:p>
    <w:p w14:paraId="1FAEBC99">
      <w:pPr>
        <w:spacing w:line="336" w:lineRule="auto"/>
        <w:jc w:val="center"/>
        <w:rPr>
          <w:rFonts w:hint="eastAsia" w:ascii="仿宋" w:hAnsi="仿宋" w:eastAsia="仿宋" w:cs="仿宋"/>
          <w:b/>
          <w:color w:val="auto"/>
          <w:kern w:val="0"/>
          <w:sz w:val="36"/>
          <w:szCs w:val="36"/>
          <w:highlight w:val="none"/>
        </w:rPr>
      </w:pPr>
    </w:p>
    <w:p w14:paraId="0690F16D">
      <w:pPr>
        <w:spacing w:line="336" w:lineRule="auto"/>
        <w:jc w:val="center"/>
        <w:rPr>
          <w:rFonts w:hint="eastAsia" w:ascii="仿宋" w:hAnsi="仿宋" w:eastAsia="仿宋" w:cs="仿宋"/>
          <w:b/>
          <w:color w:val="auto"/>
          <w:kern w:val="0"/>
          <w:sz w:val="36"/>
          <w:szCs w:val="36"/>
          <w:highlight w:val="none"/>
        </w:rPr>
      </w:pPr>
    </w:p>
    <w:p w14:paraId="37860D9E">
      <w:pPr>
        <w:spacing w:line="336" w:lineRule="auto"/>
        <w:jc w:val="center"/>
        <w:rPr>
          <w:rFonts w:hint="eastAsia" w:ascii="仿宋" w:hAnsi="仿宋" w:eastAsia="仿宋" w:cs="仿宋"/>
          <w:b/>
          <w:color w:val="auto"/>
          <w:kern w:val="0"/>
          <w:sz w:val="36"/>
          <w:szCs w:val="36"/>
          <w:highlight w:val="none"/>
        </w:rPr>
      </w:pPr>
    </w:p>
    <w:p w14:paraId="088085AF">
      <w:pPr>
        <w:spacing w:line="336" w:lineRule="auto"/>
        <w:jc w:val="center"/>
        <w:rPr>
          <w:rFonts w:hint="eastAsia" w:ascii="仿宋" w:hAnsi="仿宋" w:eastAsia="仿宋" w:cs="仿宋"/>
          <w:b/>
          <w:color w:val="auto"/>
          <w:kern w:val="0"/>
          <w:sz w:val="36"/>
          <w:szCs w:val="36"/>
          <w:highlight w:val="none"/>
        </w:rPr>
      </w:pPr>
    </w:p>
    <w:p w14:paraId="795F2FBC">
      <w:pPr>
        <w:spacing w:line="336" w:lineRule="auto"/>
        <w:jc w:val="center"/>
        <w:rPr>
          <w:rFonts w:hint="eastAsia" w:ascii="仿宋" w:hAnsi="仿宋" w:eastAsia="仿宋" w:cs="仿宋"/>
          <w:b/>
          <w:color w:val="auto"/>
          <w:kern w:val="0"/>
          <w:sz w:val="36"/>
          <w:szCs w:val="36"/>
          <w:highlight w:val="none"/>
        </w:rPr>
      </w:pPr>
    </w:p>
    <w:p w14:paraId="541A2D85">
      <w:pPr>
        <w:spacing w:line="336" w:lineRule="auto"/>
        <w:jc w:val="center"/>
        <w:rPr>
          <w:rFonts w:hint="eastAsia" w:ascii="仿宋" w:hAnsi="仿宋" w:eastAsia="仿宋" w:cs="仿宋"/>
          <w:b/>
          <w:color w:val="auto"/>
          <w:kern w:val="0"/>
          <w:sz w:val="36"/>
          <w:szCs w:val="36"/>
          <w:highlight w:val="none"/>
        </w:rPr>
      </w:pPr>
    </w:p>
    <w:p w14:paraId="77B82A8C">
      <w:pPr>
        <w:spacing w:line="336" w:lineRule="auto"/>
        <w:jc w:val="center"/>
        <w:rPr>
          <w:rFonts w:hint="eastAsia" w:ascii="仿宋" w:hAnsi="仿宋" w:eastAsia="仿宋" w:cs="仿宋"/>
          <w:b/>
          <w:color w:val="auto"/>
          <w:kern w:val="0"/>
          <w:sz w:val="36"/>
          <w:szCs w:val="36"/>
          <w:highlight w:val="none"/>
        </w:rPr>
      </w:pPr>
    </w:p>
    <w:p w14:paraId="68ECA942">
      <w:pPr>
        <w:pStyle w:val="61"/>
        <w:rPr>
          <w:rFonts w:hint="eastAsia" w:ascii="仿宋" w:hAnsi="仿宋" w:eastAsia="仿宋" w:cs="仿宋"/>
          <w:b/>
          <w:color w:val="auto"/>
          <w:kern w:val="0"/>
          <w:sz w:val="36"/>
          <w:szCs w:val="36"/>
          <w:highlight w:val="none"/>
        </w:rPr>
      </w:pPr>
    </w:p>
    <w:p w14:paraId="4DD9A332">
      <w:pPr>
        <w:pStyle w:val="61"/>
        <w:rPr>
          <w:rFonts w:hint="eastAsia" w:ascii="仿宋" w:hAnsi="仿宋" w:eastAsia="仿宋" w:cs="仿宋"/>
          <w:b/>
          <w:color w:val="auto"/>
          <w:kern w:val="0"/>
          <w:sz w:val="36"/>
          <w:szCs w:val="36"/>
          <w:highlight w:val="none"/>
        </w:rPr>
      </w:pPr>
    </w:p>
    <w:p w14:paraId="124BDD90">
      <w:pPr>
        <w:pStyle w:val="61"/>
        <w:rPr>
          <w:rFonts w:hint="eastAsia" w:ascii="仿宋" w:hAnsi="仿宋" w:eastAsia="仿宋" w:cs="仿宋"/>
          <w:b/>
          <w:color w:val="auto"/>
          <w:kern w:val="0"/>
          <w:sz w:val="36"/>
          <w:szCs w:val="36"/>
          <w:highlight w:val="none"/>
        </w:rPr>
      </w:pPr>
    </w:p>
    <w:p w14:paraId="508994C8">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40F5946C">
      <w:pPr>
        <w:spacing w:line="336" w:lineRule="auto"/>
        <w:jc w:val="center"/>
        <w:outlineLvl w:val="0"/>
        <w:rPr>
          <w:rFonts w:ascii="仿宋" w:hAnsi="仿宋" w:eastAsia="仿宋" w:cs="仿宋"/>
          <w:b/>
          <w:color w:val="auto"/>
          <w:kern w:val="0"/>
          <w:sz w:val="24"/>
          <w:highlight w:val="none"/>
        </w:rPr>
      </w:pPr>
    </w:p>
    <w:p w14:paraId="4D15C47F">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086929B0">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（5）</w:t>
      </w:r>
      <w:r>
        <w:rPr>
          <w:rFonts w:hint="eastAsia" w:ascii="仿宋" w:eastAsia="仿宋" w:cs="仿宋"/>
          <w:color w:val="auto"/>
          <w:highlight w:val="none"/>
          <w:lang w:eastAsia="zh-CN"/>
        </w:rPr>
        <w:t>投标函</w:t>
      </w:r>
      <w:r>
        <w:rPr>
          <w:rFonts w:hint="eastAsia" w:ascii="仿宋" w:eastAsia="仿宋" w:cs="仿宋"/>
          <w:color w:val="auto"/>
          <w:highlight w:val="none"/>
        </w:rPr>
        <w:t>……………………………………………………………………（页码）</w:t>
      </w:r>
    </w:p>
    <w:p w14:paraId="4E3F7595">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（6）</w:t>
      </w:r>
      <w:r>
        <w:rPr>
          <w:rFonts w:hint="eastAsia" w:ascii="仿宋" w:eastAsia="仿宋" w:cs="仿宋"/>
          <w:color w:val="auto"/>
          <w:highlight w:val="none"/>
        </w:rPr>
        <w:t>法定代表人授权书 …………………………………………………… （页码）</w:t>
      </w:r>
    </w:p>
    <w:p w14:paraId="3AD3A48F">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（7）</w:t>
      </w:r>
      <w:r>
        <w:rPr>
          <w:rFonts w:hint="eastAsia" w:ascii="仿宋" w:eastAsia="仿宋" w:cs="仿宋"/>
          <w:color w:val="auto"/>
          <w:highlight w:val="none"/>
        </w:rPr>
        <w:t>法定代表人及其授权代表身份证复印件（复印件）…………………（页码）</w:t>
      </w:r>
    </w:p>
    <w:p w14:paraId="0E9E8ADC">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（8）</w:t>
      </w:r>
      <w:r>
        <w:rPr>
          <w:rFonts w:hint="eastAsia" w:ascii="仿宋" w:eastAsia="仿宋" w:cs="仿宋"/>
          <w:color w:val="auto"/>
          <w:highlight w:val="none"/>
        </w:rPr>
        <w:t>法定代表人身份证明书……………………………………………… （页码）</w:t>
      </w:r>
    </w:p>
    <w:p w14:paraId="5DFBA158">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（9）</w:t>
      </w:r>
      <w:r>
        <w:rPr>
          <w:rFonts w:hint="eastAsia" w:ascii="仿宋" w:eastAsia="仿宋" w:cs="仿宋"/>
          <w:color w:val="auto"/>
          <w:highlight w:val="none"/>
          <w:lang w:val="en-US" w:eastAsia="zh-CN"/>
        </w:rPr>
        <w:t>技术偏离表</w:t>
      </w:r>
      <w:r>
        <w:rPr>
          <w:rFonts w:hint="eastAsia" w:ascii="仿宋" w:eastAsia="仿宋" w:cs="仿宋"/>
          <w:color w:val="auto"/>
          <w:highlight w:val="none"/>
        </w:rPr>
        <w:t>……………………………………</w:t>
      </w:r>
      <w:r>
        <w:rPr>
          <w:rFonts w:hint="eastAsia" w:ascii="仿宋" w:eastAsia="仿宋" w:cs="仿宋"/>
          <w:color w:val="auto"/>
          <w:highlight w:val="none"/>
          <w:lang w:eastAsia="zh-CN"/>
        </w:rPr>
        <w:t>…</w:t>
      </w:r>
      <w:r>
        <w:rPr>
          <w:rFonts w:hint="eastAsia" w:ascii="仿宋" w:eastAsia="仿宋" w:cs="仿宋"/>
          <w:color w:val="auto"/>
          <w:highlight w:val="none"/>
        </w:rPr>
        <w:t>………………… （页码）</w:t>
      </w:r>
    </w:p>
    <w:p w14:paraId="2C26C41D">
      <w:pPr>
        <w:pStyle w:val="905"/>
        <w:numPr>
          <w:ilvl w:val="0"/>
          <w:numId w:val="0"/>
        </w:numPr>
        <w:spacing w:line="336" w:lineRule="auto"/>
        <w:ind w:left="0" w:leftChars="0" w:firstLine="0" w:firstLineChars="0"/>
        <w:jc w:val="both"/>
        <w:rPr>
          <w:rFonts w:ascii="仿宋" w:eastAsia="仿宋" w:cs="仿宋"/>
          <w:color w:val="auto"/>
          <w:highlight w:val="none"/>
        </w:rPr>
      </w:pPr>
      <w:r>
        <w:rPr>
          <w:rFonts w:ascii="仿宋" w:hAnsi="仿宋" w:eastAsia="仿宋" w:cs="仿宋"/>
          <w:color w:val="auto"/>
          <w:kern w:val="2"/>
          <w:sz w:val="24"/>
          <w:szCs w:val="24"/>
          <w:lang w:val="en-US" w:eastAsia="zh-CN" w:bidi="ar-SA"/>
        </w:rPr>
        <w:t>（10）</w:t>
      </w:r>
      <w:r>
        <w:rPr>
          <w:rFonts w:hint="eastAsia" w:ascii="仿宋" w:eastAsia="仿宋" w:cs="仿宋"/>
          <w:color w:val="auto"/>
          <w:highlight w:val="none"/>
        </w:rPr>
        <w:t>商务</w:t>
      </w:r>
      <w:r>
        <w:rPr>
          <w:rFonts w:hint="eastAsia" w:ascii="仿宋" w:eastAsia="仿宋" w:cs="仿宋"/>
          <w:color w:val="auto"/>
          <w:highlight w:val="none"/>
          <w:lang w:val="en-US" w:eastAsia="zh-CN"/>
        </w:rPr>
        <w:t>响应表</w:t>
      </w:r>
      <w:r>
        <w:rPr>
          <w:rFonts w:hint="eastAsia" w:ascii="仿宋" w:eastAsia="仿宋" w:cs="仿宋"/>
          <w:color w:val="auto"/>
          <w:highlight w:val="none"/>
          <w:lang w:eastAsia="zh-CN"/>
        </w:rPr>
        <w:t>表</w:t>
      </w:r>
      <w:r>
        <w:rPr>
          <w:rFonts w:hint="eastAsia" w:ascii="仿宋" w:eastAsia="仿宋" w:cs="仿宋"/>
          <w:color w:val="auto"/>
          <w:highlight w:val="none"/>
        </w:rPr>
        <w:t>……………………………………</w:t>
      </w:r>
      <w:r>
        <w:rPr>
          <w:rFonts w:hint="eastAsia" w:ascii="仿宋" w:eastAsia="仿宋" w:cs="仿宋"/>
          <w:color w:val="auto"/>
          <w:highlight w:val="none"/>
          <w:lang w:eastAsia="zh-CN"/>
        </w:rPr>
        <w:t>…</w:t>
      </w:r>
      <w:r>
        <w:rPr>
          <w:rFonts w:hint="eastAsia" w:ascii="仿宋" w:eastAsia="仿宋" w:cs="仿宋"/>
          <w:color w:val="auto"/>
          <w:highlight w:val="none"/>
        </w:rPr>
        <w:t>………………… （页码）</w:t>
      </w:r>
    </w:p>
    <w:p w14:paraId="4C34F695">
      <w:pPr>
        <w:adjustRightInd w:val="0"/>
        <w:spacing w:line="360" w:lineRule="auto"/>
        <w:ind w:right="-510" w:rightChars="-243"/>
        <w:jc w:val="both"/>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zh-CN"/>
        </w:rPr>
        <w:t>主要业绩证明…………………………………………………</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highlight w:val="none"/>
          <w:lang w:val="zh-CN"/>
        </w:rPr>
        <w:t>…</w:t>
      </w:r>
      <w:r>
        <w:rPr>
          <w:rFonts w:hint="eastAsia" w:ascii="仿宋" w:eastAsia="仿宋" w:cs="仿宋"/>
          <w:color w:val="auto"/>
          <w:highlight w:val="none"/>
        </w:rPr>
        <w:t>…</w:t>
      </w:r>
      <w:r>
        <w:rPr>
          <w:rFonts w:hint="eastAsia" w:ascii="仿宋_GB2312" w:hAnsi="仿宋_GB2312" w:eastAsia="仿宋_GB2312" w:cs="仿宋_GB2312"/>
          <w:color w:val="auto"/>
          <w:sz w:val="24"/>
          <w:highlight w:val="none"/>
        </w:rPr>
        <w:t>（页码）</w:t>
      </w:r>
    </w:p>
    <w:p w14:paraId="66B62CC4">
      <w:pPr>
        <w:spacing w:line="360" w:lineRule="auto"/>
        <w:ind w:right="-510" w:rightChars="-243"/>
        <w:jc w:val="both"/>
        <w:outlineLvl w:val="0"/>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8</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投标单位仓储</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1D5757D1">
      <w:pPr>
        <w:spacing w:line="360" w:lineRule="auto"/>
        <w:ind w:right="-510" w:rightChars="-243"/>
        <w:jc w:val="both"/>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运输车辆及机械设备情况</w:t>
      </w:r>
      <w:r>
        <w:rPr>
          <w:rFonts w:hint="eastAsia" w:ascii="仿宋_GB2312" w:hAnsi="仿宋_GB2312" w:eastAsia="仿宋_GB2312" w:cs="仿宋_GB2312"/>
          <w:color w:val="auto"/>
          <w:kern w:val="0"/>
          <w:sz w:val="24"/>
          <w:highlight w:val="none"/>
        </w:rPr>
        <w:t>……………………………………………（页码）</w:t>
      </w:r>
    </w:p>
    <w:p w14:paraId="2396CC1C">
      <w:pPr>
        <w:spacing w:line="360" w:lineRule="auto"/>
        <w:ind w:right="-368" w:rightChars="-175"/>
        <w:jc w:val="both"/>
        <w:rPr>
          <w:rFonts w:hint="eastAsia"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en-US" w:eastAsia="zh-CN"/>
        </w:rPr>
        <w:t>拟投入人员</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785B71DD">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11</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项目熟知情况</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6DF713C6">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12</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lang w:val="en-US" w:eastAsia="zh-CN"/>
        </w:rPr>
        <w:t>实施方案</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0B0A510D">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（13）计划安排</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71A5AC1B">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eastAsia="zh-CN"/>
        </w:rPr>
        <w:t>14</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en-US" w:eastAsia="zh-CN"/>
        </w:rPr>
        <w:t>防护措施和应急预案</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204EC622">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（15）台账设置与管理方案…………</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12BAFF10">
      <w:pPr>
        <w:spacing w:line="360" w:lineRule="auto"/>
        <w:ind w:right="-368" w:rightChars="-175"/>
        <w:jc w:val="both"/>
        <w:rPr>
          <w:rFonts w:hint="default" w:ascii="仿宋_GB2312" w:hAnsi="仿宋_GB2312" w:eastAsia="仿宋_GB2312" w:cs="仿宋_GB2312"/>
          <w:color w:val="auto"/>
          <w:kern w:val="0"/>
          <w:sz w:val="24"/>
          <w:highlight w:val="none"/>
          <w:lang w:val="en-US" w:eastAsia="zh-CN"/>
        </w:rPr>
      </w:pPr>
      <w:r>
        <w:rPr>
          <w:rFonts w:hint="eastAsia" w:ascii="仿宋_GB2312" w:hAnsi="仿宋_GB2312" w:eastAsia="仿宋_GB2312" w:cs="仿宋_GB2312"/>
          <w:color w:val="auto"/>
          <w:kern w:val="0"/>
          <w:sz w:val="24"/>
          <w:highlight w:val="none"/>
          <w:lang w:val="en-US" w:eastAsia="zh-CN"/>
        </w:rPr>
        <w:t>（16）售后服务保障……………………</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eastAsia="zh-CN"/>
        </w:rPr>
        <w:t>…</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（页码）</w:t>
      </w:r>
    </w:p>
    <w:p w14:paraId="57A61F73">
      <w:pPr>
        <w:spacing w:line="360" w:lineRule="auto"/>
        <w:ind w:right="-368" w:rightChars="-175"/>
        <w:jc w:val="both"/>
        <w:rPr>
          <w:rFonts w:hint="eastAsia"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en-US" w:eastAsia="zh-CN"/>
        </w:rPr>
        <w:t>（17）</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ascii="仿宋_GB2312" w:hAnsi="仿宋_GB2312" w:eastAsia="仿宋_GB2312" w:cs="仿宋_GB2312"/>
          <w:color w:val="auto"/>
          <w:kern w:val="0"/>
          <w:sz w:val="24"/>
          <w:highlight w:val="none"/>
        </w:rPr>
        <w:t>（页码）</w:t>
      </w:r>
    </w:p>
    <w:p w14:paraId="6FB829BD">
      <w:pPr>
        <w:pStyle w:val="905"/>
        <w:numPr>
          <w:ilvl w:val="0"/>
          <w:numId w:val="0"/>
        </w:numPr>
        <w:spacing w:line="336" w:lineRule="auto"/>
        <w:ind w:leftChars="0"/>
        <w:jc w:val="both"/>
        <w:rPr>
          <w:rFonts w:ascii="仿宋" w:eastAsia="仿宋" w:cs="仿宋"/>
          <w:color w:val="auto"/>
          <w:highlight w:val="none"/>
        </w:rPr>
      </w:pPr>
      <w:r>
        <w:rPr>
          <w:rFonts w:hint="eastAsia" w:ascii="仿宋" w:eastAsia="仿宋" w:cs="仿宋"/>
          <w:color w:val="auto"/>
          <w:highlight w:val="none"/>
          <w:lang w:val="zh-CN"/>
        </w:rPr>
        <w:t>（</w:t>
      </w:r>
      <w:r>
        <w:rPr>
          <w:rFonts w:hint="eastAsia" w:ascii="仿宋" w:eastAsia="仿宋" w:cs="仿宋"/>
          <w:color w:val="auto"/>
          <w:highlight w:val="none"/>
          <w:lang w:val="en-US" w:eastAsia="zh-CN"/>
        </w:rPr>
        <w:t>18</w:t>
      </w: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 （页码）</w:t>
      </w:r>
    </w:p>
    <w:p w14:paraId="178DDE94">
      <w:pPr>
        <w:pStyle w:val="23"/>
        <w:rPr>
          <w:color w:val="auto"/>
          <w:highlight w:val="none"/>
        </w:rPr>
      </w:pPr>
    </w:p>
    <w:p w14:paraId="37B5F111">
      <w:pPr>
        <w:snapToGrid w:val="0"/>
        <w:spacing w:line="360" w:lineRule="auto"/>
        <w:jc w:val="center"/>
        <w:rPr>
          <w:rFonts w:hint="eastAsia" w:ascii="仿宋" w:hAnsi="仿宋" w:eastAsia="仿宋" w:cs="仿宋"/>
          <w:b/>
          <w:color w:val="auto"/>
          <w:kern w:val="0"/>
          <w:sz w:val="32"/>
          <w:szCs w:val="32"/>
          <w:highlight w:val="none"/>
          <w:lang w:val="zh-CN"/>
        </w:rPr>
      </w:pPr>
    </w:p>
    <w:p w14:paraId="7D0C5D90">
      <w:pPr>
        <w:tabs>
          <w:tab w:val="left" w:pos="8288"/>
        </w:tabs>
        <w:snapToGrid w:val="0"/>
        <w:spacing w:line="360" w:lineRule="auto"/>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ab/>
      </w:r>
    </w:p>
    <w:p w14:paraId="29BEE535">
      <w:pPr>
        <w:pStyle w:val="61"/>
        <w:rPr>
          <w:rFonts w:hint="eastAsia" w:ascii="仿宋" w:hAnsi="仿宋" w:eastAsia="仿宋" w:cs="仿宋"/>
          <w:b/>
          <w:color w:val="auto"/>
          <w:kern w:val="0"/>
          <w:sz w:val="32"/>
          <w:szCs w:val="32"/>
          <w:highlight w:val="none"/>
          <w:lang w:val="zh-CN"/>
        </w:rPr>
      </w:pPr>
    </w:p>
    <w:p w14:paraId="7C73ECD4">
      <w:pPr>
        <w:pStyle w:val="29"/>
        <w:rPr>
          <w:rFonts w:hint="eastAsia"/>
          <w:color w:val="auto"/>
          <w:highlight w:val="none"/>
          <w:lang w:val="zh-CN"/>
        </w:rPr>
      </w:pPr>
    </w:p>
    <w:p w14:paraId="6B6113C5">
      <w:pPr>
        <w:snapToGrid w:val="0"/>
        <w:spacing w:line="360" w:lineRule="auto"/>
        <w:jc w:val="center"/>
        <w:rPr>
          <w:rFonts w:hint="eastAsia" w:ascii="仿宋" w:hAnsi="仿宋" w:eastAsia="仿宋" w:cs="仿宋"/>
          <w:b/>
          <w:color w:val="auto"/>
          <w:kern w:val="0"/>
          <w:sz w:val="32"/>
          <w:szCs w:val="32"/>
          <w:highlight w:val="none"/>
          <w:lang w:val="zh-CN"/>
        </w:rPr>
      </w:pPr>
    </w:p>
    <w:p w14:paraId="3F017971">
      <w:pPr>
        <w:snapToGrid w:val="0"/>
        <w:spacing w:line="360" w:lineRule="auto"/>
        <w:jc w:val="both"/>
        <w:rPr>
          <w:rFonts w:hint="eastAsia" w:ascii="仿宋" w:hAnsi="仿宋" w:eastAsia="仿宋" w:cs="仿宋"/>
          <w:b/>
          <w:color w:val="auto"/>
          <w:kern w:val="0"/>
          <w:sz w:val="32"/>
          <w:szCs w:val="32"/>
          <w:highlight w:val="none"/>
          <w:lang w:val="zh-CN"/>
        </w:rPr>
      </w:pPr>
    </w:p>
    <w:p w14:paraId="7289AD91">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E7A02A6">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01EE8F42">
      <w:pPr>
        <w:pStyle w:val="397"/>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142484B3">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0EC16F8B">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408E1C86">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7033E155">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33B0A361">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6E078FDF">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65D584C0">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04139542">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465F5C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518208C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082346D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40C1D75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5BD34FBD">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3AB7A45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2970DF6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7823A669">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001D15A5">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18054449">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w:t>
      </w:r>
      <w:r>
        <w:rPr>
          <w:rFonts w:hint="eastAsia" w:ascii="仿宋" w:hAnsi="仿宋" w:eastAsia="仿宋" w:cs="仿宋"/>
          <w:color w:val="auto"/>
          <w:sz w:val="24"/>
          <w:szCs w:val="24"/>
          <w:highlight w:val="none"/>
          <w:lang w:val="en-US" w:eastAsia="zh-CN"/>
        </w:rPr>
        <w:t>账</w:t>
      </w:r>
      <w:r>
        <w:rPr>
          <w:rFonts w:hint="eastAsia" w:ascii="仿宋" w:hAnsi="仿宋" w:eastAsia="仿宋" w:cs="仿宋"/>
          <w:color w:val="auto"/>
          <w:sz w:val="24"/>
          <w:szCs w:val="24"/>
          <w:highlight w:val="none"/>
        </w:rPr>
        <w:t>号：</w:t>
      </w:r>
    </w:p>
    <w:p w14:paraId="3A0228A7">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72D3831C">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p>
    <w:p w14:paraId="717A25A9">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23C3D9D3">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、法定代表人授权委托书</w:t>
      </w:r>
    </w:p>
    <w:p w14:paraId="6C39B501">
      <w:pPr>
        <w:jc w:val="center"/>
        <w:rPr>
          <w:rFonts w:hint="eastAsia" w:ascii="仿宋" w:hAnsi="仿宋" w:eastAsia="仿宋" w:cs="仿宋"/>
          <w:b/>
          <w:color w:val="auto"/>
          <w:sz w:val="24"/>
          <w:highlight w:val="none"/>
        </w:rPr>
      </w:pPr>
    </w:p>
    <w:p w14:paraId="1D7A4E2F">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3900BCF">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16EB926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3B46E92F">
      <w:pPr>
        <w:snapToGrid w:val="0"/>
        <w:spacing w:line="600" w:lineRule="exact"/>
        <w:jc w:val="left"/>
        <w:rPr>
          <w:rFonts w:hint="eastAsia" w:ascii="仿宋" w:hAnsi="仿宋" w:eastAsia="仿宋" w:cs="仿宋"/>
          <w:color w:val="auto"/>
          <w:sz w:val="24"/>
          <w:highlight w:val="none"/>
        </w:rPr>
      </w:pPr>
    </w:p>
    <w:p w14:paraId="577E15C9">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D877606">
      <w:pPr>
        <w:spacing w:line="360" w:lineRule="exact"/>
        <w:rPr>
          <w:rFonts w:hint="eastAsia" w:ascii="仿宋" w:hAnsi="仿宋" w:eastAsia="仿宋" w:cs="仿宋"/>
          <w:color w:val="auto"/>
          <w:sz w:val="24"/>
          <w:highlight w:val="none"/>
        </w:rPr>
      </w:pPr>
    </w:p>
    <w:p w14:paraId="384BE3F5">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392E8F7">
      <w:pPr>
        <w:spacing w:line="360" w:lineRule="exact"/>
        <w:rPr>
          <w:rFonts w:hint="eastAsia" w:ascii="仿宋" w:hAnsi="仿宋" w:eastAsia="仿宋" w:cs="仿宋"/>
          <w:color w:val="auto"/>
          <w:sz w:val="24"/>
          <w:highlight w:val="none"/>
        </w:rPr>
      </w:pPr>
    </w:p>
    <w:p w14:paraId="0778B577">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43BB5887">
      <w:pPr>
        <w:spacing w:line="360" w:lineRule="exact"/>
        <w:rPr>
          <w:rFonts w:hint="eastAsia" w:ascii="仿宋" w:hAnsi="仿宋" w:eastAsia="仿宋" w:cs="仿宋"/>
          <w:color w:val="auto"/>
          <w:sz w:val="24"/>
          <w:highlight w:val="none"/>
        </w:rPr>
      </w:pPr>
    </w:p>
    <w:p w14:paraId="3F005946">
      <w:pPr>
        <w:spacing w:line="360" w:lineRule="exact"/>
        <w:rPr>
          <w:rFonts w:hint="eastAsia" w:ascii="仿宋" w:hAnsi="仿宋" w:eastAsia="仿宋" w:cs="仿宋"/>
          <w:color w:val="auto"/>
          <w:sz w:val="24"/>
          <w:highlight w:val="none"/>
        </w:rPr>
      </w:pPr>
    </w:p>
    <w:p w14:paraId="0AC9E12B">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576B0F66">
      <w:pPr>
        <w:spacing w:line="360" w:lineRule="exact"/>
        <w:rPr>
          <w:rFonts w:hint="eastAsia" w:ascii="仿宋" w:hAnsi="仿宋" w:eastAsia="仿宋" w:cs="仿宋"/>
          <w:color w:val="auto"/>
          <w:sz w:val="24"/>
          <w:highlight w:val="none"/>
        </w:rPr>
      </w:pPr>
    </w:p>
    <w:p w14:paraId="2BB2736A">
      <w:pPr>
        <w:spacing w:line="360" w:lineRule="exact"/>
        <w:rPr>
          <w:rFonts w:hint="eastAsia" w:ascii="仿宋" w:hAnsi="仿宋" w:eastAsia="仿宋" w:cs="仿宋"/>
          <w:color w:val="auto"/>
          <w:sz w:val="24"/>
          <w:highlight w:val="none"/>
        </w:rPr>
      </w:pPr>
    </w:p>
    <w:p w14:paraId="1D0C0C05">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AB979A8">
      <w:pPr>
        <w:spacing w:line="360" w:lineRule="exact"/>
        <w:rPr>
          <w:rFonts w:hint="eastAsia" w:ascii="仿宋" w:hAnsi="仿宋" w:eastAsia="仿宋" w:cs="仿宋"/>
          <w:color w:val="auto"/>
          <w:sz w:val="24"/>
          <w:highlight w:val="none"/>
        </w:rPr>
      </w:pPr>
    </w:p>
    <w:p w14:paraId="3B103E69">
      <w:pPr>
        <w:spacing w:line="360" w:lineRule="exact"/>
        <w:rPr>
          <w:rFonts w:hint="eastAsia" w:ascii="仿宋" w:hAnsi="仿宋" w:eastAsia="仿宋" w:cs="仿宋"/>
          <w:color w:val="auto"/>
          <w:sz w:val="24"/>
          <w:highlight w:val="none"/>
        </w:rPr>
      </w:pPr>
    </w:p>
    <w:p w14:paraId="5D831E60">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7CC4E6F2">
      <w:pPr>
        <w:ind w:firstLine="4920" w:firstLineChars="2050"/>
        <w:jc w:val="left"/>
        <w:rPr>
          <w:rFonts w:hint="eastAsia" w:ascii="仿宋" w:hAnsi="仿宋" w:eastAsia="仿宋" w:cs="仿宋"/>
          <w:color w:val="auto"/>
          <w:sz w:val="24"/>
          <w:highlight w:val="none"/>
        </w:rPr>
      </w:pPr>
    </w:p>
    <w:p w14:paraId="5C8652FA">
      <w:pPr>
        <w:spacing w:line="800" w:lineRule="exact"/>
        <w:rPr>
          <w:rFonts w:hint="eastAsia" w:ascii="仿宋" w:hAnsi="仿宋" w:eastAsia="仿宋" w:cs="仿宋"/>
          <w:b/>
          <w:color w:val="auto"/>
          <w:sz w:val="24"/>
          <w:highlight w:val="none"/>
        </w:rPr>
      </w:pPr>
    </w:p>
    <w:p w14:paraId="63AAFF49">
      <w:pPr>
        <w:spacing w:line="800" w:lineRule="exact"/>
        <w:rPr>
          <w:rFonts w:hint="eastAsia" w:ascii="仿宋" w:hAnsi="仿宋" w:eastAsia="仿宋" w:cs="仿宋"/>
          <w:b/>
          <w:color w:val="auto"/>
          <w:sz w:val="24"/>
          <w:highlight w:val="none"/>
        </w:rPr>
      </w:pPr>
    </w:p>
    <w:p w14:paraId="1250E1CF">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三</w:t>
      </w:r>
      <w:r>
        <w:rPr>
          <w:rFonts w:hint="eastAsia" w:ascii="仿宋" w:hAnsi="仿宋" w:eastAsia="仿宋" w:cs="仿宋"/>
          <w:b/>
          <w:color w:val="auto"/>
          <w:sz w:val="30"/>
          <w:szCs w:val="30"/>
          <w:highlight w:val="none"/>
        </w:rPr>
        <w:t>、法定代表人及其授权代表身份证复印件（正反面）</w:t>
      </w:r>
    </w:p>
    <w:p w14:paraId="0F051894">
      <w:pPr>
        <w:spacing w:line="800" w:lineRule="exact"/>
        <w:rPr>
          <w:rFonts w:hint="eastAsia" w:ascii="仿宋" w:hAnsi="仿宋" w:eastAsia="仿宋" w:cs="仿宋"/>
          <w:b/>
          <w:color w:val="auto"/>
          <w:sz w:val="24"/>
          <w:highlight w:val="none"/>
        </w:rPr>
      </w:pPr>
    </w:p>
    <w:p w14:paraId="40D78F33">
      <w:pPr>
        <w:spacing w:line="800" w:lineRule="exact"/>
        <w:rPr>
          <w:rFonts w:hint="eastAsia" w:ascii="仿宋" w:hAnsi="仿宋" w:eastAsia="仿宋" w:cs="仿宋"/>
          <w:b/>
          <w:color w:val="auto"/>
          <w:sz w:val="24"/>
          <w:highlight w:val="none"/>
        </w:rPr>
      </w:pPr>
    </w:p>
    <w:p w14:paraId="6DC3A8C9">
      <w:pPr>
        <w:spacing w:line="800" w:lineRule="exact"/>
        <w:jc w:val="center"/>
        <w:rPr>
          <w:rFonts w:hint="eastAsia" w:ascii="仿宋" w:hAnsi="仿宋" w:eastAsia="仿宋" w:cs="仿宋"/>
          <w:b/>
          <w:color w:val="auto"/>
          <w:sz w:val="30"/>
          <w:szCs w:val="30"/>
          <w:highlight w:val="none"/>
          <w:lang w:eastAsia="zh-CN"/>
        </w:rPr>
      </w:pPr>
    </w:p>
    <w:p w14:paraId="10B20C22">
      <w:pPr>
        <w:spacing w:line="800" w:lineRule="exact"/>
        <w:jc w:val="center"/>
        <w:rPr>
          <w:rFonts w:hint="eastAsia" w:ascii="仿宋" w:hAnsi="仿宋" w:eastAsia="仿宋" w:cs="仿宋"/>
          <w:b/>
          <w:color w:val="auto"/>
          <w:sz w:val="30"/>
          <w:szCs w:val="30"/>
          <w:highlight w:val="none"/>
          <w:lang w:eastAsia="zh-CN"/>
        </w:rPr>
      </w:pPr>
    </w:p>
    <w:p w14:paraId="541608E1">
      <w:pPr>
        <w:spacing w:line="800" w:lineRule="exact"/>
        <w:jc w:val="center"/>
        <w:rPr>
          <w:rFonts w:hint="eastAsia" w:ascii="仿宋" w:hAnsi="仿宋" w:eastAsia="仿宋" w:cs="仿宋"/>
          <w:b/>
          <w:color w:val="auto"/>
          <w:sz w:val="30"/>
          <w:szCs w:val="30"/>
          <w:highlight w:val="none"/>
          <w:lang w:eastAsia="zh-CN"/>
        </w:rPr>
      </w:pPr>
    </w:p>
    <w:p w14:paraId="5BD05D3F">
      <w:pPr>
        <w:spacing w:line="800" w:lineRule="exact"/>
        <w:jc w:val="center"/>
        <w:rPr>
          <w:rFonts w:hint="eastAsia" w:ascii="仿宋" w:hAnsi="仿宋" w:eastAsia="仿宋" w:cs="仿宋"/>
          <w:b/>
          <w:color w:val="auto"/>
          <w:sz w:val="30"/>
          <w:szCs w:val="30"/>
          <w:highlight w:val="none"/>
          <w:lang w:eastAsia="zh-CN"/>
        </w:rPr>
      </w:pPr>
    </w:p>
    <w:p w14:paraId="55412681">
      <w:pPr>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br w:type="page"/>
      </w:r>
    </w:p>
    <w:p w14:paraId="3FD33766">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四</w:t>
      </w:r>
      <w:r>
        <w:rPr>
          <w:rFonts w:hint="eastAsia" w:ascii="仿宋" w:hAnsi="仿宋" w:eastAsia="仿宋" w:cs="仿宋"/>
          <w:b/>
          <w:color w:val="auto"/>
          <w:sz w:val="30"/>
          <w:szCs w:val="30"/>
          <w:highlight w:val="none"/>
        </w:rPr>
        <w:t>、法定代表人身份证明书(格式)</w:t>
      </w:r>
    </w:p>
    <w:p w14:paraId="2B0350F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05B88CC7">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465C5478">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07A1BC99">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6150EC85">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63567F8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29CBC47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3658F147">
      <w:pPr>
        <w:spacing w:line="440" w:lineRule="exact"/>
        <w:rPr>
          <w:rFonts w:hint="eastAsia" w:ascii="仿宋" w:hAnsi="仿宋" w:eastAsia="仿宋" w:cs="仿宋"/>
          <w:color w:val="auto"/>
          <w:sz w:val="24"/>
          <w:highlight w:val="none"/>
        </w:rPr>
      </w:pPr>
    </w:p>
    <w:p w14:paraId="40C7E72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35488C5A">
      <w:pPr>
        <w:spacing w:line="440" w:lineRule="exact"/>
        <w:ind w:right="480"/>
        <w:rPr>
          <w:rFonts w:hint="eastAsia" w:ascii="仿宋" w:hAnsi="仿宋" w:eastAsia="仿宋" w:cs="仿宋"/>
          <w:color w:val="auto"/>
          <w:sz w:val="24"/>
          <w:highlight w:val="none"/>
        </w:rPr>
      </w:pPr>
    </w:p>
    <w:p w14:paraId="60CA4869">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3F59A711">
      <w:pPr>
        <w:jc w:val="center"/>
        <w:rPr>
          <w:rFonts w:hint="eastAsia" w:ascii="仿宋" w:hAnsi="仿宋" w:eastAsia="仿宋" w:cs="仿宋"/>
          <w:b/>
          <w:color w:val="auto"/>
          <w:kern w:val="0"/>
          <w:sz w:val="32"/>
          <w:szCs w:val="32"/>
          <w:highlight w:val="none"/>
        </w:rPr>
      </w:pPr>
    </w:p>
    <w:p w14:paraId="175F627E">
      <w:pPr>
        <w:jc w:val="center"/>
        <w:rPr>
          <w:rFonts w:hint="eastAsia" w:ascii="仿宋" w:hAnsi="仿宋" w:eastAsia="仿宋" w:cs="仿宋"/>
          <w:b/>
          <w:color w:val="auto"/>
          <w:kern w:val="0"/>
          <w:sz w:val="32"/>
          <w:szCs w:val="32"/>
          <w:highlight w:val="none"/>
        </w:rPr>
      </w:pPr>
    </w:p>
    <w:p w14:paraId="6864B0BC">
      <w:pPr>
        <w:jc w:val="both"/>
        <w:rPr>
          <w:rFonts w:hint="eastAsia" w:ascii="仿宋" w:hAnsi="仿宋" w:eastAsia="仿宋" w:cs="仿宋"/>
          <w:b/>
          <w:color w:val="auto"/>
          <w:kern w:val="0"/>
          <w:sz w:val="32"/>
          <w:szCs w:val="32"/>
          <w:highlight w:val="none"/>
        </w:rPr>
      </w:pPr>
    </w:p>
    <w:p w14:paraId="1679569A">
      <w:pPr>
        <w:jc w:val="center"/>
        <w:rPr>
          <w:rFonts w:hint="eastAsia" w:ascii="仿宋" w:hAnsi="仿宋" w:eastAsia="仿宋" w:cs="仿宋"/>
          <w:b/>
          <w:color w:val="auto"/>
          <w:kern w:val="0"/>
          <w:sz w:val="32"/>
          <w:szCs w:val="32"/>
          <w:highlight w:val="none"/>
          <w:lang w:eastAsia="zh-CN"/>
        </w:rPr>
      </w:pPr>
    </w:p>
    <w:p w14:paraId="02596BAD">
      <w:pPr>
        <w:jc w:val="center"/>
        <w:rPr>
          <w:rFonts w:hint="eastAsia" w:ascii="仿宋" w:hAnsi="仿宋" w:eastAsia="仿宋" w:cs="仿宋"/>
          <w:b/>
          <w:color w:val="auto"/>
          <w:kern w:val="0"/>
          <w:sz w:val="32"/>
          <w:szCs w:val="32"/>
          <w:highlight w:val="none"/>
          <w:lang w:eastAsia="zh-CN"/>
        </w:rPr>
      </w:pPr>
    </w:p>
    <w:p w14:paraId="677D96C9">
      <w:pPr>
        <w:jc w:val="center"/>
        <w:rPr>
          <w:rFonts w:hint="eastAsia" w:ascii="仿宋" w:hAnsi="仿宋" w:eastAsia="仿宋" w:cs="仿宋"/>
          <w:b/>
          <w:color w:val="auto"/>
          <w:kern w:val="0"/>
          <w:sz w:val="32"/>
          <w:szCs w:val="32"/>
          <w:highlight w:val="none"/>
          <w:lang w:eastAsia="zh-CN"/>
        </w:rPr>
      </w:pPr>
    </w:p>
    <w:p w14:paraId="0A049F0B">
      <w:pPr>
        <w:jc w:val="center"/>
        <w:rPr>
          <w:rFonts w:hint="eastAsia" w:ascii="仿宋" w:hAnsi="仿宋" w:eastAsia="仿宋" w:cs="仿宋"/>
          <w:b/>
          <w:color w:val="auto"/>
          <w:kern w:val="0"/>
          <w:sz w:val="32"/>
          <w:szCs w:val="32"/>
          <w:highlight w:val="none"/>
          <w:lang w:eastAsia="zh-CN"/>
        </w:rPr>
      </w:pPr>
    </w:p>
    <w:p w14:paraId="740D5876">
      <w:pPr>
        <w:jc w:val="center"/>
        <w:rPr>
          <w:rFonts w:hint="eastAsia" w:ascii="仿宋" w:hAnsi="仿宋" w:eastAsia="仿宋" w:cs="仿宋"/>
          <w:b/>
          <w:color w:val="auto"/>
          <w:kern w:val="0"/>
          <w:sz w:val="32"/>
          <w:szCs w:val="32"/>
          <w:highlight w:val="none"/>
          <w:lang w:eastAsia="zh-CN"/>
        </w:rPr>
      </w:pPr>
    </w:p>
    <w:p w14:paraId="435FFA73">
      <w:pPr>
        <w:jc w:val="center"/>
        <w:rPr>
          <w:rFonts w:hint="eastAsia" w:ascii="仿宋" w:hAnsi="仿宋" w:eastAsia="仿宋" w:cs="仿宋"/>
          <w:b/>
          <w:color w:val="auto"/>
          <w:kern w:val="0"/>
          <w:sz w:val="32"/>
          <w:szCs w:val="32"/>
          <w:highlight w:val="none"/>
          <w:lang w:eastAsia="zh-CN"/>
        </w:rPr>
      </w:pPr>
    </w:p>
    <w:p w14:paraId="31D2D083">
      <w:pPr>
        <w:jc w:val="center"/>
        <w:rPr>
          <w:rFonts w:hint="eastAsia" w:ascii="仿宋" w:hAnsi="仿宋" w:eastAsia="仿宋" w:cs="仿宋"/>
          <w:b/>
          <w:color w:val="auto"/>
          <w:kern w:val="0"/>
          <w:sz w:val="32"/>
          <w:szCs w:val="32"/>
          <w:highlight w:val="none"/>
          <w:lang w:eastAsia="zh-CN"/>
        </w:rPr>
      </w:pPr>
    </w:p>
    <w:p w14:paraId="61AED8EF">
      <w:pPr>
        <w:jc w:val="center"/>
        <w:rPr>
          <w:rFonts w:hint="eastAsia" w:ascii="仿宋" w:hAnsi="仿宋" w:eastAsia="仿宋" w:cs="仿宋"/>
          <w:b/>
          <w:color w:val="auto"/>
          <w:kern w:val="0"/>
          <w:sz w:val="32"/>
          <w:szCs w:val="32"/>
          <w:highlight w:val="none"/>
          <w:lang w:eastAsia="zh-CN"/>
        </w:rPr>
      </w:pPr>
    </w:p>
    <w:p w14:paraId="0520822A">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67EAACC8">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E1BB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959" w:type="dxa"/>
            <w:noWrap w:val="0"/>
            <w:vAlign w:val="center"/>
          </w:tcPr>
          <w:p w14:paraId="3CF3A8D9">
            <w:pPr>
              <w:autoSpaceDE w:val="0"/>
              <w:autoSpaceDN w:val="0"/>
              <w:spacing w:line="240" w:lineRule="atLeast"/>
              <w:jc w:val="center"/>
              <w:textAlignment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center"/>
          </w:tcPr>
          <w:p w14:paraId="318F2189">
            <w:pPr>
              <w:autoSpaceDE w:val="0"/>
              <w:autoSpaceDN w:val="0"/>
              <w:spacing w:line="240" w:lineRule="atLeast"/>
              <w:jc w:val="center"/>
              <w:textAlignment w:val="center"/>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招标文件要求</w:t>
            </w:r>
          </w:p>
        </w:tc>
        <w:tc>
          <w:tcPr>
            <w:tcW w:w="3546" w:type="dxa"/>
            <w:noWrap w:val="0"/>
            <w:vAlign w:val="center"/>
          </w:tcPr>
          <w:p w14:paraId="68B9BAA3">
            <w:pPr>
              <w:autoSpaceDE w:val="0"/>
              <w:autoSpaceDN w:val="0"/>
              <w:spacing w:line="240" w:lineRule="atLeast"/>
              <w:jc w:val="center"/>
              <w:textAlignment w:val="center"/>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投标文件响应</w:t>
            </w:r>
          </w:p>
        </w:tc>
        <w:tc>
          <w:tcPr>
            <w:tcW w:w="1276" w:type="dxa"/>
            <w:noWrap w:val="0"/>
            <w:vAlign w:val="center"/>
          </w:tcPr>
          <w:p w14:paraId="356D672D">
            <w:pPr>
              <w:autoSpaceDE w:val="0"/>
              <w:autoSpaceDN w:val="0"/>
              <w:spacing w:line="240" w:lineRule="atLeast"/>
              <w:jc w:val="center"/>
              <w:textAlignment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1DDAF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6D2A7932">
            <w:pPr>
              <w:autoSpaceDE w:val="0"/>
              <w:autoSpaceDN w:val="0"/>
              <w:spacing w:line="240" w:lineRule="atLeast"/>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center"/>
          </w:tcPr>
          <w:p w14:paraId="093BAB9A">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3546" w:type="dxa"/>
            <w:noWrap w:val="0"/>
            <w:vAlign w:val="center"/>
          </w:tcPr>
          <w:p w14:paraId="5409927E">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1276" w:type="dxa"/>
            <w:noWrap w:val="0"/>
            <w:vAlign w:val="center"/>
          </w:tcPr>
          <w:p w14:paraId="04C7F794">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r>
      <w:tr w14:paraId="49B6A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05896D8E">
            <w:pPr>
              <w:spacing w:line="240" w:lineRule="atLeast"/>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center"/>
          </w:tcPr>
          <w:p w14:paraId="5BFDBBA6">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3546" w:type="dxa"/>
            <w:noWrap w:val="0"/>
            <w:vAlign w:val="center"/>
          </w:tcPr>
          <w:p w14:paraId="4699F1F5">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1276" w:type="dxa"/>
            <w:noWrap w:val="0"/>
            <w:vAlign w:val="center"/>
          </w:tcPr>
          <w:p w14:paraId="50EF1E1C">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r>
      <w:tr w14:paraId="4082A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14:paraId="272B3A1E">
            <w:pPr>
              <w:spacing w:line="240" w:lineRule="atLeast"/>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center"/>
          </w:tcPr>
          <w:p w14:paraId="1A58AD20">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3546" w:type="dxa"/>
            <w:noWrap w:val="0"/>
            <w:vAlign w:val="center"/>
          </w:tcPr>
          <w:p w14:paraId="78D63B7F">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c>
          <w:tcPr>
            <w:tcW w:w="1276" w:type="dxa"/>
            <w:noWrap w:val="0"/>
            <w:vAlign w:val="center"/>
          </w:tcPr>
          <w:p w14:paraId="1F736374">
            <w:pPr>
              <w:keepNext/>
              <w:keepLines/>
              <w:tabs>
                <w:tab w:val="left" w:pos="432"/>
              </w:tabs>
              <w:spacing w:line="240" w:lineRule="atLeast"/>
              <w:jc w:val="center"/>
              <w:textAlignment w:val="center"/>
              <w:outlineLvl w:val="0"/>
              <w:rPr>
                <w:rFonts w:hint="eastAsia" w:ascii="仿宋" w:hAnsi="仿宋" w:eastAsia="仿宋" w:cs="仿宋"/>
                <w:b/>
                <w:color w:val="auto"/>
                <w:kern w:val="0"/>
                <w:sz w:val="32"/>
                <w:szCs w:val="32"/>
                <w:highlight w:val="none"/>
              </w:rPr>
            </w:pPr>
          </w:p>
        </w:tc>
      </w:tr>
    </w:tbl>
    <w:p w14:paraId="6FAD945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注：1、投标人应根据投标设备的性能指标、对照采购文件要求在“偏离情况”栏注明“正偏离”、“负偏离”或“无偏离”。</w:t>
      </w:r>
    </w:p>
    <w:p w14:paraId="0CFE1F47">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2、投标人若不填写，则视为完全响应招标文件要求。</w:t>
      </w:r>
    </w:p>
    <w:p w14:paraId="5B32FB00">
      <w:pPr>
        <w:widowControl/>
        <w:adjustRightInd/>
        <w:jc w:val="left"/>
        <w:rPr>
          <w:rFonts w:hint="eastAsia" w:ascii="仿宋" w:hAnsi="仿宋" w:eastAsia="仿宋" w:cs="仿宋"/>
          <w:b/>
          <w:bCs/>
          <w:color w:val="auto"/>
          <w:sz w:val="32"/>
          <w:szCs w:val="32"/>
          <w:highlight w:val="none"/>
        </w:rPr>
      </w:pPr>
    </w:p>
    <w:p w14:paraId="31145E3F">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投标人名称（电子签名）：</w:t>
      </w:r>
    </w:p>
    <w:p w14:paraId="50559CE1">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5E62725E">
      <w:pPr>
        <w:jc w:val="center"/>
        <w:rPr>
          <w:rFonts w:hint="eastAsia" w:ascii="仿宋" w:hAnsi="仿宋" w:eastAsia="仿宋" w:cs="仿宋"/>
          <w:b/>
          <w:color w:val="auto"/>
          <w:kern w:val="0"/>
          <w:sz w:val="32"/>
          <w:szCs w:val="32"/>
          <w:highlight w:val="none"/>
        </w:rPr>
      </w:pPr>
    </w:p>
    <w:p w14:paraId="49EC6540">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6F8C745">
      <w:pPr>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w:t>
      </w:r>
      <w:r>
        <w:rPr>
          <w:rFonts w:hint="eastAsia" w:ascii="仿宋" w:hAnsi="仿宋" w:eastAsia="仿宋" w:cs="仿宋"/>
          <w:b/>
          <w:color w:val="auto"/>
          <w:kern w:val="0"/>
          <w:sz w:val="32"/>
          <w:szCs w:val="32"/>
          <w:highlight w:val="none"/>
          <w:lang w:val="en-US" w:eastAsia="zh-CN"/>
        </w:rPr>
        <w:t>响应表</w:t>
      </w:r>
    </w:p>
    <w:tbl>
      <w:tblPr>
        <w:tblStyle w:val="63"/>
        <w:tblW w:w="91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2126"/>
        <w:gridCol w:w="2724"/>
        <w:gridCol w:w="1173"/>
        <w:gridCol w:w="2336"/>
      </w:tblGrid>
      <w:tr w14:paraId="0434D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19" w:type="dxa"/>
            <w:vAlign w:val="center"/>
          </w:tcPr>
          <w:p w14:paraId="6DAD2F08">
            <w:pPr>
              <w:jc w:val="both"/>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2126" w:type="dxa"/>
            <w:vAlign w:val="center"/>
          </w:tcPr>
          <w:p w14:paraId="2F15601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w:t>
            </w:r>
          </w:p>
        </w:tc>
        <w:tc>
          <w:tcPr>
            <w:tcW w:w="2724" w:type="dxa"/>
            <w:vAlign w:val="center"/>
          </w:tcPr>
          <w:p w14:paraId="6093F24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招标文件要求</w:t>
            </w:r>
          </w:p>
        </w:tc>
        <w:tc>
          <w:tcPr>
            <w:tcW w:w="1173" w:type="dxa"/>
            <w:vAlign w:val="center"/>
          </w:tcPr>
          <w:p w14:paraId="7C349AA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是否响应</w:t>
            </w:r>
          </w:p>
        </w:tc>
        <w:tc>
          <w:tcPr>
            <w:tcW w:w="2336" w:type="dxa"/>
            <w:vAlign w:val="center"/>
          </w:tcPr>
          <w:p w14:paraId="24032F5B">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投标人的承诺或说明</w:t>
            </w:r>
          </w:p>
        </w:tc>
      </w:tr>
      <w:tr w14:paraId="04069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819" w:type="dxa"/>
            <w:vAlign w:val="center"/>
          </w:tcPr>
          <w:p w14:paraId="5030B817">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2126" w:type="dxa"/>
            <w:vAlign w:val="center"/>
          </w:tcPr>
          <w:p w14:paraId="2AE5B81E">
            <w:pPr>
              <w:spacing w:line="420" w:lineRule="exact"/>
              <w:jc w:val="center"/>
              <w:rPr>
                <w:rFonts w:hint="eastAsia" w:ascii="仿宋" w:hAnsi="仿宋" w:eastAsia="仿宋" w:cs="仿宋"/>
                <w:b/>
                <w:color w:val="auto"/>
                <w:kern w:val="0"/>
                <w:sz w:val="32"/>
                <w:szCs w:val="32"/>
                <w:highlight w:val="none"/>
              </w:rPr>
            </w:pPr>
          </w:p>
        </w:tc>
        <w:tc>
          <w:tcPr>
            <w:tcW w:w="2724" w:type="dxa"/>
          </w:tcPr>
          <w:p w14:paraId="77153CA3">
            <w:pPr>
              <w:jc w:val="center"/>
              <w:rPr>
                <w:rFonts w:hint="eastAsia" w:ascii="仿宋" w:hAnsi="仿宋" w:eastAsia="仿宋" w:cs="仿宋"/>
                <w:b/>
                <w:color w:val="auto"/>
                <w:kern w:val="0"/>
                <w:sz w:val="32"/>
                <w:szCs w:val="32"/>
                <w:highlight w:val="none"/>
              </w:rPr>
            </w:pPr>
          </w:p>
        </w:tc>
        <w:tc>
          <w:tcPr>
            <w:tcW w:w="1173" w:type="dxa"/>
          </w:tcPr>
          <w:p w14:paraId="15FE4869">
            <w:pPr>
              <w:jc w:val="center"/>
              <w:rPr>
                <w:rFonts w:hint="eastAsia" w:ascii="仿宋" w:hAnsi="仿宋" w:eastAsia="仿宋" w:cs="仿宋"/>
                <w:b/>
                <w:color w:val="auto"/>
                <w:kern w:val="0"/>
                <w:sz w:val="32"/>
                <w:szCs w:val="32"/>
                <w:highlight w:val="none"/>
              </w:rPr>
            </w:pPr>
          </w:p>
        </w:tc>
        <w:tc>
          <w:tcPr>
            <w:tcW w:w="2336" w:type="dxa"/>
          </w:tcPr>
          <w:p w14:paraId="5A5EA8DE">
            <w:pPr>
              <w:jc w:val="center"/>
              <w:rPr>
                <w:rFonts w:hint="eastAsia" w:ascii="仿宋" w:hAnsi="仿宋" w:eastAsia="仿宋" w:cs="仿宋"/>
                <w:b/>
                <w:color w:val="auto"/>
                <w:kern w:val="0"/>
                <w:sz w:val="32"/>
                <w:szCs w:val="32"/>
                <w:highlight w:val="none"/>
              </w:rPr>
            </w:pPr>
          </w:p>
        </w:tc>
      </w:tr>
      <w:tr w14:paraId="57F2D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819" w:type="dxa"/>
            <w:vAlign w:val="center"/>
          </w:tcPr>
          <w:p w14:paraId="0EBF962C">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2126" w:type="dxa"/>
            <w:vAlign w:val="center"/>
          </w:tcPr>
          <w:p w14:paraId="7AAF2C5F">
            <w:pPr>
              <w:spacing w:line="420" w:lineRule="exact"/>
              <w:jc w:val="center"/>
              <w:rPr>
                <w:rFonts w:hint="eastAsia" w:ascii="仿宋" w:hAnsi="仿宋" w:eastAsia="仿宋" w:cs="仿宋"/>
                <w:b/>
                <w:color w:val="auto"/>
                <w:kern w:val="0"/>
                <w:sz w:val="32"/>
                <w:szCs w:val="32"/>
                <w:highlight w:val="none"/>
              </w:rPr>
            </w:pPr>
          </w:p>
        </w:tc>
        <w:tc>
          <w:tcPr>
            <w:tcW w:w="2724" w:type="dxa"/>
          </w:tcPr>
          <w:p w14:paraId="63B8A240">
            <w:pPr>
              <w:jc w:val="center"/>
              <w:rPr>
                <w:rFonts w:hint="eastAsia" w:ascii="仿宋" w:hAnsi="仿宋" w:eastAsia="仿宋" w:cs="仿宋"/>
                <w:b/>
                <w:color w:val="auto"/>
                <w:kern w:val="0"/>
                <w:sz w:val="32"/>
                <w:szCs w:val="32"/>
                <w:highlight w:val="none"/>
              </w:rPr>
            </w:pPr>
          </w:p>
        </w:tc>
        <w:tc>
          <w:tcPr>
            <w:tcW w:w="1173" w:type="dxa"/>
          </w:tcPr>
          <w:p w14:paraId="43D257F6">
            <w:pPr>
              <w:jc w:val="center"/>
              <w:rPr>
                <w:rFonts w:hint="eastAsia" w:ascii="仿宋" w:hAnsi="仿宋" w:eastAsia="仿宋" w:cs="仿宋"/>
                <w:b/>
                <w:color w:val="auto"/>
                <w:kern w:val="0"/>
                <w:sz w:val="32"/>
                <w:szCs w:val="32"/>
                <w:highlight w:val="none"/>
              </w:rPr>
            </w:pPr>
          </w:p>
        </w:tc>
        <w:tc>
          <w:tcPr>
            <w:tcW w:w="2336" w:type="dxa"/>
          </w:tcPr>
          <w:p w14:paraId="665FA949">
            <w:pPr>
              <w:jc w:val="center"/>
              <w:rPr>
                <w:rFonts w:hint="eastAsia" w:ascii="仿宋" w:hAnsi="仿宋" w:eastAsia="仿宋" w:cs="仿宋"/>
                <w:b/>
                <w:color w:val="auto"/>
                <w:kern w:val="0"/>
                <w:sz w:val="32"/>
                <w:szCs w:val="32"/>
                <w:highlight w:val="none"/>
              </w:rPr>
            </w:pPr>
          </w:p>
        </w:tc>
      </w:tr>
      <w:tr w14:paraId="0C7A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819" w:type="dxa"/>
            <w:vAlign w:val="center"/>
          </w:tcPr>
          <w:p w14:paraId="679E7CB5">
            <w:pPr>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3</w:t>
            </w:r>
          </w:p>
        </w:tc>
        <w:tc>
          <w:tcPr>
            <w:tcW w:w="2126" w:type="dxa"/>
            <w:vAlign w:val="center"/>
          </w:tcPr>
          <w:p w14:paraId="5A808E12">
            <w:pPr>
              <w:spacing w:line="420" w:lineRule="exact"/>
              <w:jc w:val="center"/>
              <w:rPr>
                <w:rFonts w:hint="eastAsia" w:ascii="仿宋" w:hAnsi="仿宋" w:eastAsia="仿宋" w:cs="仿宋"/>
                <w:b/>
                <w:color w:val="auto"/>
                <w:kern w:val="0"/>
                <w:sz w:val="32"/>
                <w:szCs w:val="32"/>
                <w:highlight w:val="none"/>
              </w:rPr>
            </w:pPr>
          </w:p>
        </w:tc>
        <w:tc>
          <w:tcPr>
            <w:tcW w:w="2724" w:type="dxa"/>
          </w:tcPr>
          <w:p w14:paraId="09609390">
            <w:pPr>
              <w:jc w:val="center"/>
              <w:rPr>
                <w:rFonts w:hint="eastAsia" w:ascii="仿宋" w:hAnsi="仿宋" w:eastAsia="仿宋" w:cs="仿宋"/>
                <w:b/>
                <w:color w:val="auto"/>
                <w:kern w:val="0"/>
                <w:sz w:val="32"/>
                <w:szCs w:val="32"/>
                <w:highlight w:val="none"/>
              </w:rPr>
            </w:pPr>
          </w:p>
        </w:tc>
        <w:tc>
          <w:tcPr>
            <w:tcW w:w="1173" w:type="dxa"/>
          </w:tcPr>
          <w:p w14:paraId="1BC21161">
            <w:pPr>
              <w:jc w:val="center"/>
              <w:rPr>
                <w:rFonts w:hint="eastAsia" w:ascii="仿宋" w:hAnsi="仿宋" w:eastAsia="仿宋" w:cs="仿宋"/>
                <w:b/>
                <w:color w:val="auto"/>
                <w:kern w:val="0"/>
                <w:sz w:val="32"/>
                <w:szCs w:val="32"/>
                <w:highlight w:val="none"/>
              </w:rPr>
            </w:pPr>
          </w:p>
        </w:tc>
        <w:tc>
          <w:tcPr>
            <w:tcW w:w="2336" w:type="dxa"/>
          </w:tcPr>
          <w:p w14:paraId="1F673C4F">
            <w:pPr>
              <w:jc w:val="center"/>
              <w:rPr>
                <w:rFonts w:hint="eastAsia" w:ascii="仿宋" w:hAnsi="仿宋" w:eastAsia="仿宋" w:cs="仿宋"/>
                <w:b/>
                <w:color w:val="auto"/>
                <w:kern w:val="0"/>
                <w:sz w:val="32"/>
                <w:szCs w:val="32"/>
                <w:highlight w:val="none"/>
              </w:rPr>
            </w:pPr>
          </w:p>
        </w:tc>
      </w:tr>
      <w:tr w14:paraId="6960C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819" w:type="dxa"/>
            <w:vAlign w:val="center"/>
          </w:tcPr>
          <w:p w14:paraId="6C877008">
            <w:pPr>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w:t>
            </w:r>
          </w:p>
        </w:tc>
        <w:tc>
          <w:tcPr>
            <w:tcW w:w="2126" w:type="dxa"/>
            <w:vAlign w:val="center"/>
          </w:tcPr>
          <w:p w14:paraId="447EB1D6">
            <w:pPr>
              <w:spacing w:line="420" w:lineRule="exact"/>
              <w:jc w:val="center"/>
              <w:rPr>
                <w:rFonts w:hint="eastAsia" w:ascii="仿宋" w:hAnsi="仿宋" w:eastAsia="仿宋" w:cs="仿宋"/>
                <w:b/>
                <w:color w:val="auto"/>
                <w:kern w:val="0"/>
                <w:sz w:val="32"/>
                <w:szCs w:val="32"/>
                <w:highlight w:val="none"/>
              </w:rPr>
            </w:pPr>
          </w:p>
        </w:tc>
        <w:tc>
          <w:tcPr>
            <w:tcW w:w="2724" w:type="dxa"/>
          </w:tcPr>
          <w:p w14:paraId="0F046FD9">
            <w:pPr>
              <w:jc w:val="center"/>
              <w:rPr>
                <w:rFonts w:hint="eastAsia" w:ascii="仿宋" w:hAnsi="仿宋" w:eastAsia="仿宋" w:cs="仿宋"/>
                <w:b/>
                <w:color w:val="auto"/>
                <w:kern w:val="0"/>
                <w:sz w:val="32"/>
                <w:szCs w:val="32"/>
                <w:highlight w:val="none"/>
              </w:rPr>
            </w:pPr>
          </w:p>
        </w:tc>
        <w:tc>
          <w:tcPr>
            <w:tcW w:w="1173" w:type="dxa"/>
          </w:tcPr>
          <w:p w14:paraId="4E378E5A">
            <w:pPr>
              <w:jc w:val="center"/>
              <w:rPr>
                <w:rFonts w:hint="eastAsia" w:ascii="仿宋" w:hAnsi="仿宋" w:eastAsia="仿宋" w:cs="仿宋"/>
                <w:b/>
                <w:color w:val="auto"/>
                <w:kern w:val="0"/>
                <w:sz w:val="32"/>
                <w:szCs w:val="32"/>
                <w:highlight w:val="none"/>
              </w:rPr>
            </w:pPr>
          </w:p>
        </w:tc>
        <w:tc>
          <w:tcPr>
            <w:tcW w:w="2336" w:type="dxa"/>
          </w:tcPr>
          <w:p w14:paraId="196BDB28">
            <w:pPr>
              <w:jc w:val="center"/>
              <w:rPr>
                <w:rFonts w:hint="eastAsia" w:ascii="仿宋" w:hAnsi="仿宋" w:eastAsia="仿宋" w:cs="仿宋"/>
                <w:b/>
                <w:color w:val="auto"/>
                <w:kern w:val="0"/>
                <w:sz w:val="32"/>
                <w:szCs w:val="32"/>
                <w:highlight w:val="none"/>
              </w:rPr>
            </w:pPr>
          </w:p>
        </w:tc>
      </w:tr>
    </w:tbl>
    <w:p w14:paraId="02297CB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注：1、投标人应根据投标设备的性能指标、对照采购文件要求在“偏离情况”栏注明“正偏离”、“负偏离”或“无偏离”。</w:t>
      </w:r>
    </w:p>
    <w:p w14:paraId="214C7F67">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2、投标人若不填写，则视为完全响应招标文件要求。</w:t>
      </w:r>
    </w:p>
    <w:p w14:paraId="793CBF9F">
      <w:pPr>
        <w:widowControl/>
        <w:adjustRightInd/>
        <w:jc w:val="left"/>
        <w:rPr>
          <w:rFonts w:hint="eastAsia" w:ascii="仿宋" w:hAnsi="仿宋" w:eastAsia="仿宋" w:cs="仿宋"/>
          <w:b/>
          <w:bCs/>
          <w:color w:val="auto"/>
          <w:sz w:val="32"/>
          <w:szCs w:val="32"/>
          <w:highlight w:val="none"/>
        </w:rPr>
      </w:pPr>
    </w:p>
    <w:p w14:paraId="1F71CA98">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投标人名称（电子签名）：</w:t>
      </w:r>
    </w:p>
    <w:p w14:paraId="3AE4D790">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66867E24">
      <w:pPr>
        <w:widowControl/>
        <w:adjustRightInd/>
        <w:jc w:val="left"/>
        <w:rPr>
          <w:rFonts w:hint="eastAsia" w:ascii="仿宋" w:hAnsi="仿宋" w:eastAsia="仿宋" w:cs="仿宋"/>
          <w:b/>
          <w:bCs/>
          <w:color w:val="auto"/>
          <w:sz w:val="32"/>
          <w:szCs w:val="32"/>
          <w:highlight w:val="none"/>
          <w:lang w:eastAsia="zh-CN"/>
        </w:rPr>
      </w:pPr>
    </w:p>
    <w:p w14:paraId="5678F438">
      <w:pPr>
        <w:widowControl/>
        <w:adjustRightInd/>
        <w:jc w:val="center"/>
        <w:rPr>
          <w:rFonts w:hint="eastAsia" w:ascii="仿宋" w:hAnsi="仿宋" w:eastAsia="仿宋" w:cs="仿宋"/>
          <w:b/>
          <w:bCs/>
          <w:color w:val="auto"/>
          <w:sz w:val="32"/>
          <w:szCs w:val="32"/>
          <w:highlight w:val="none"/>
          <w:lang w:eastAsia="zh-CN"/>
        </w:rPr>
      </w:pPr>
    </w:p>
    <w:p w14:paraId="3A8DDD40">
      <w:pPr>
        <w:widowControl/>
        <w:adjustRightInd/>
        <w:jc w:val="center"/>
        <w:rPr>
          <w:rFonts w:hint="eastAsia" w:ascii="仿宋" w:hAnsi="仿宋" w:eastAsia="仿宋" w:cs="仿宋"/>
          <w:b/>
          <w:bCs/>
          <w:color w:val="auto"/>
          <w:sz w:val="32"/>
          <w:szCs w:val="32"/>
          <w:highlight w:val="none"/>
          <w:lang w:eastAsia="zh-CN"/>
        </w:rPr>
      </w:pPr>
    </w:p>
    <w:p w14:paraId="001AFED6">
      <w:pP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br w:type="page"/>
      </w:r>
    </w:p>
    <w:p w14:paraId="07D158D8">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en-US" w:eastAsia="zh-CN"/>
        </w:rPr>
        <w:t>七、</w:t>
      </w:r>
      <w:r>
        <w:rPr>
          <w:rFonts w:hint="eastAsia" w:ascii="仿宋" w:hAnsi="仿宋" w:eastAsia="仿宋" w:cs="仿宋"/>
          <w:b/>
          <w:color w:val="auto"/>
          <w:kern w:val="0"/>
          <w:sz w:val="32"/>
          <w:szCs w:val="32"/>
          <w:highlight w:val="none"/>
          <w:lang w:val="zh-CN"/>
        </w:rPr>
        <w:t>主要业绩证明</w:t>
      </w:r>
    </w:p>
    <w:p w14:paraId="23189726">
      <w:pPr>
        <w:pStyle w:val="671"/>
        <w:numPr>
          <w:ilvl w:val="0"/>
          <w:numId w:val="0"/>
        </w:numPr>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项目名称：                            项目编号：</w:t>
      </w:r>
      <w:r>
        <w:rPr>
          <w:rFonts w:hint="eastAsia" w:ascii="仿宋" w:hAnsi="仿宋" w:eastAsia="仿宋" w:cs="仿宋"/>
          <w:color w:val="auto"/>
          <w:sz w:val="24"/>
          <w:highlight w:val="none"/>
          <w:u w:val="single"/>
        </w:rPr>
        <w:t xml:space="preserve">          </w:t>
      </w:r>
    </w:p>
    <w:tbl>
      <w:tblPr>
        <w:tblStyle w:val="62"/>
        <w:tblW w:w="927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55"/>
        <w:gridCol w:w="2216"/>
        <w:gridCol w:w="2068"/>
        <w:gridCol w:w="1480"/>
        <w:gridCol w:w="1659"/>
      </w:tblGrid>
      <w:tr w14:paraId="3FEF5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5" w:hRule="atLeast"/>
        </w:trPr>
        <w:tc>
          <w:tcPr>
            <w:tcW w:w="1855" w:type="dxa"/>
            <w:vMerge w:val="restart"/>
            <w:tcBorders>
              <w:top w:val="single" w:color="auto" w:sz="4" w:space="0"/>
              <w:left w:val="single" w:color="auto" w:sz="4" w:space="0"/>
              <w:bottom w:val="single" w:color="auto" w:sz="4" w:space="0"/>
              <w:right w:val="single" w:color="auto" w:sz="4" w:space="0"/>
            </w:tcBorders>
            <w:noWrap w:val="0"/>
            <w:vAlign w:val="center"/>
          </w:tcPr>
          <w:p w14:paraId="427BA501">
            <w:pPr>
              <w:shd w:val="clear" w:color="auto" w:fill="auto"/>
              <w:snapToGrid w:val="0"/>
              <w:spacing w:before="120" w:beforeLines="50"/>
              <w:jc w:val="center"/>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采购单位</w:t>
            </w:r>
          </w:p>
          <w:p w14:paraId="5204B52B">
            <w:pPr>
              <w:shd w:val="clear" w:color="auto" w:fill="auto"/>
              <w:snapToGrid w:val="0"/>
              <w:spacing w:before="120" w:beforeLines="5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shd w:val="clear" w:color="auto" w:fill="auto"/>
                <w:lang w:val="en-US" w:eastAsia="zh-CN"/>
              </w:rPr>
              <w:t>名称</w:t>
            </w:r>
          </w:p>
        </w:tc>
        <w:tc>
          <w:tcPr>
            <w:tcW w:w="2216" w:type="dxa"/>
            <w:vMerge w:val="restart"/>
            <w:tcBorders>
              <w:top w:val="single" w:color="auto" w:sz="4" w:space="0"/>
              <w:left w:val="single" w:color="auto" w:sz="4" w:space="0"/>
              <w:bottom w:val="single" w:color="auto" w:sz="4" w:space="0"/>
              <w:right w:val="single" w:color="auto" w:sz="4" w:space="0"/>
            </w:tcBorders>
            <w:noWrap w:val="0"/>
            <w:vAlign w:val="center"/>
          </w:tcPr>
          <w:p w14:paraId="250FCF00">
            <w:pPr>
              <w:shd w:val="clear" w:color="auto" w:fill="auto"/>
              <w:snapToGrid w:val="0"/>
              <w:spacing w:before="120" w:beforeLines="5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合同签定</w:t>
            </w:r>
          </w:p>
          <w:p w14:paraId="3D91C2A5">
            <w:pPr>
              <w:snapToGrid w:val="0"/>
              <w:spacing w:before="120" w:beforeLines="5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时间</w:t>
            </w:r>
          </w:p>
        </w:tc>
        <w:tc>
          <w:tcPr>
            <w:tcW w:w="2068" w:type="dxa"/>
            <w:vMerge w:val="restart"/>
            <w:tcBorders>
              <w:top w:val="single" w:color="auto" w:sz="4" w:space="0"/>
              <w:left w:val="single" w:color="auto" w:sz="4" w:space="0"/>
              <w:bottom w:val="single" w:color="auto" w:sz="4" w:space="0"/>
              <w:right w:val="single" w:color="auto" w:sz="4" w:space="0"/>
            </w:tcBorders>
            <w:noWrap w:val="0"/>
            <w:vAlign w:val="center"/>
          </w:tcPr>
          <w:p w14:paraId="4A9AA8DC">
            <w:pPr>
              <w:snapToGrid w:val="0"/>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480" w:type="dxa"/>
            <w:tcBorders>
              <w:top w:val="single" w:color="auto" w:sz="4" w:space="0"/>
              <w:left w:val="single" w:color="auto" w:sz="4" w:space="0"/>
              <w:bottom w:val="single" w:color="auto" w:sz="4" w:space="0"/>
              <w:right w:val="single" w:color="auto" w:sz="4" w:space="0"/>
            </w:tcBorders>
            <w:noWrap w:val="0"/>
            <w:vAlign w:val="center"/>
          </w:tcPr>
          <w:p w14:paraId="79E67B3A">
            <w:pPr>
              <w:snapToGrid w:val="0"/>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附件页码</w:t>
            </w:r>
          </w:p>
        </w:tc>
        <w:tc>
          <w:tcPr>
            <w:tcW w:w="1659" w:type="dxa"/>
            <w:vMerge w:val="restart"/>
            <w:tcBorders>
              <w:top w:val="single" w:color="auto" w:sz="4" w:space="0"/>
              <w:left w:val="single" w:color="auto" w:sz="4" w:space="0"/>
              <w:bottom w:val="single" w:color="auto" w:sz="4" w:space="0"/>
              <w:right w:val="single" w:color="auto" w:sz="4" w:space="0"/>
            </w:tcBorders>
            <w:noWrap w:val="0"/>
            <w:vAlign w:val="center"/>
          </w:tcPr>
          <w:p w14:paraId="1A47B2F8">
            <w:pPr>
              <w:snapToGrid w:val="0"/>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采购单位联系人及</w:t>
            </w:r>
          </w:p>
          <w:p w14:paraId="04F06AAF">
            <w:pPr>
              <w:snapToGrid w:val="0"/>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r>
      <w:tr w14:paraId="0F6FD2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9" w:hRule="atLeast"/>
        </w:trPr>
        <w:tc>
          <w:tcPr>
            <w:tcW w:w="1855" w:type="dxa"/>
            <w:vMerge w:val="continue"/>
            <w:tcBorders>
              <w:top w:val="single" w:color="auto" w:sz="4" w:space="0"/>
              <w:left w:val="single" w:color="auto" w:sz="4" w:space="0"/>
              <w:bottom w:val="single" w:color="auto" w:sz="4" w:space="0"/>
              <w:right w:val="single" w:color="auto" w:sz="4" w:space="0"/>
            </w:tcBorders>
            <w:noWrap w:val="0"/>
            <w:vAlign w:val="center"/>
          </w:tcPr>
          <w:p w14:paraId="27E2708D">
            <w:pPr>
              <w:widowControl/>
              <w:jc w:val="left"/>
              <w:rPr>
                <w:rFonts w:hint="eastAsia" w:ascii="仿宋" w:hAnsi="仿宋" w:eastAsia="仿宋" w:cs="仿宋"/>
                <w:color w:val="auto"/>
                <w:sz w:val="28"/>
                <w:szCs w:val="28"/>
                <w:highlight w:val="none"/>
              </w:rPr>
            </w:pPr>
          </w:p>
        </w:tc>
        <w:tc>
          <w:tcPr>
            <w:tcW w:w="2216" w:type="dxa"/>
            <w:vMerge w:val="continue"/>
            <w:tcBorders>
              <w:top w:val="single" w:color="auto" w:sz="4" w:space="0"/>
              <w:left w:val="single" w:color="auto" w:sz="4" w:space="0"/>
              <w:bottom w:val="single" w:color="auto" w:sz="4" w:space="0"/>
              <w:right w:val="single" w:color="auto" w:sz="4" w:space="0"/>
            </w:tcBorders>
            <w:noWrap w:val="0"/>
            <w:vAlign w:val="center"/>
          </w:tcPr>
          <w:p w14:paraId="217B812B">
            <w:pPr>
              <w:widowControl/>
              <w:jc w:val="left"/>
              <w:rPr>
                <w:rFonts w:hint="eastAsia" w:ascii="仿宋" w:hAnsi="仿宋" w:eastAsia="仿宋" w:cs="仿宋"/>
                <w:color w:val="auto"/>
                <w:sz w:val="28"/>
                <w:szCs w:val="28"/>
                <w:highlight w:val="none"/>
              </w:rPr>
            </w:pPr>
          </w:p>
        </w:tc>
        <w:tc>
          <w:tcPr>
            <w:tcW w:w="2068" w:type="dxa"/>
            <w:vMerge w:val="continue"/>
            <w:tcBorders>
              <w:top w:val="single" w:color="auto" w:sz="4" w:space="0"/>
              <w:left w:val="single" w:color="auto" w:sz="4" w:space="0"/>
              <w:bottom w:val="single" w:color="auto" w:sz="4" w:space="0"/>
              <w:right w:val="single" w:color="auto" w:sz="4" w:space="0"/>
            </w:tcBorders>
            <w:noWrap w:val="0"/>
            <w:vAlign w:val="center"/>
          </w:tcPr>
          <w:p w14:paraId="622AF359">
            <w:pPr>
              <w:widowControl/>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center"/>
          </w:tcPr>
          <w:p w14:paraId="1E5820FD">
            <w:pPr>
              <w:snapToGrid w:val="0"/>
              <w:spacing w:before="120" w:beforeLines="5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w:t>
            </w:r>
            <w:r>
              <w:rPr>
                <w:rFonts w:hint="eastAsia" w:ascii="仿宋" w:hAnsi="仿宋" w:eastAsia="仿宋" w:cs="仿宋"/>
                <w:color w:val="auto"/>
                <w:sz w:val="24"/>
                <w:szCs w:val="24"/>
                <w:highlight w:val="none"/>
                <w:lang w:val="en-US" w:eastAsia="zh-CN"/>
              </w:rPr>
              <w:t>扫描件</w:t>
            </w:r>
          </w:p>
        </w:tc>
        <w:tc>
          <w:tcPr>
            <w:tcW w:w="1659" w:type="dxa"/>
            <w:vMerge w:val="continue"/>
            <w:tcBorders>
              <w:top w:val="single" w:color="auto" w:sz="4" w:space="0"/>
              <w:left w:val="single" w:color="auto" w:sz="4" w:space="0"/>
              <w:bottom w:val="single" w:color="auto" w:sz="4" w:space="0"/>
              <w:right w:val="single" w:color="auto" w:sz="4" w:space="0"/>
            </w:tcBorders>
            <w:noWrap w:val="0"/>
            <w:vAlign w:val="center"/>
          </w:tcPr>
          <w:p w14:paraId="5F9C5A90">
            <w:pPr>
              <w:widowControl/>
              <w:jc w:val="left"/>
              <w:rPr>
                <w:rFonts w:hint="eastAsia" w:ascii="仿宋" w:hAnsi="仿宋" w:eastAsia="仿宋" w:cs="仿宋"/>
                <w:color w:val="auto"/>
                <w:sz w:val="28"/>
                <w:szCs w:val="28"/>
                <w:highlight w:val="none"/>
              </w:rPr>
            </w:pPr>
          </w:p>
        </w:tc>
      </w:tr>
      <w:tr w14:paraId="7384CE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855" w:type="dxa"/>
            <w:tcBorders>
              <w:top w:val="single" w:color="auto" w:sz="4" w:space="0"/>
              <w:left w:val="single" w:color="auto" w:sz="4" w:space="0"/>
              <w:bottom w:val="single" w:color="auto" w:sz="4" w:space="0"/>
              <w:right w:val="single" w:color="auto" w:sz="4" w:space="0"/>
            </w:tcBorders>
            <w:noWrap w:val="0"/>
            <w:vAlign w:val="top"/>
          </w:tcPr>
          <w:p w14:paraId="3D396803">
            <w:pPr>
              <w:snapToGrid w:val="0"/>
              <w:spacing w:before="50" w:after="120" w:afterLines="50" w:line="400" w:lineRule="exact"/>
              <w:jc w:val="left"/>
              <w:rPr>
                <w:rFonts w:hint="eastAsia" w:ascii="仿宋" w:hAnsi="仿宋" w:eastAsia="仿宋" w:cs="仿宋"/>
                <w:color w:val="auto"/>
                <w:sz w:val="28"/>
                <w:szCs w:val="28"/>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top"/>
          </w:tcPr>
          <w:p w14:paraId="33A91EB8">
            <w:pPr>
              <w:snapToGrid w:val="0"/>
              <w:spacing w:before="50" w:after="120" w:afterLines="50" w:line="400" w:lineRule="exact"/>
              <w:jc w:val="left"/>
              <w:rPr>
                <w:rFonts w:hint="eastAsia" w:ascii="仿宋" w:hAnsi="仿宋" w:eastAsia="仿宋" w:cs="仿宋"/>
                <w:color w:val="auto"/>
                <w:sz w:val="28"/>
                <w:szCs w:val="28"/>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top"/>
          </w:tcPr>
          <w:p w14:paraId="0C917FC8">
            <w:pPr>
              <w:snapToGrid w:val="0"/>
              <w:spacing w:before="50" w:after="120" w:afterLines="50" w:line="400" w:lineRule="exact"/>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top"/>
          </w:tcPr>
          <w:p w14:paraId="4A3EF323">
            <w:pPr>
              <w:snapToGrid w:val="0"/>
              <w:spacing w:before="50" w:after="120" w:afterLines="50" w:line="400" w:lineRule="exact"/>
              <w:jc w:val="left"/>
              <w:rPr>
                <w:rFonts w:hint="eastAsia" w:ascii="仿宋" w:hAnsi="仿宋" w:eastAsia="仿宋" w:cs="仿宋"/>
                <w:color w:val="auto"/>
                <w:sz w:val="28"/>
                <w:szCs w:val="28"/>
                <w:highlight w:val="none"/>
              </w:rPr>
            </w:pPr>
          </w:p>
        </w:tc>
        <w:tc>
          <w:tcPr>
            <w:tcW w:w="1659" w:type="dxa"/>
            <w:tcBorders>
              <w:top w:val="single" w:color="auto" w:sz="4" w:space="0"/>
              <w:left w:val="single" w:color="auto" w:sz="4" w:space="0"/>
              <w:bottom w:val="single" w:color="auto" w:sz="4" w:space="0"/>
              <w:right w:val="single" w:color="auto" w:sz="4" w:space="0"/>
            </w:tcBorders>
            <w:noWrap w:val="0"/>
            <w:vAlign w:val="top"/>
          </w:tcPr>
          <w:p w14:paraId="01664E7D">
            <w:pPr>
              <w:snapToGrid w:val="0"/>
              <w:spacing w:before="50" w:after="120" w:afterLines="50" w:line="400" w:lineRule="exact"/>
              <w:jc w:val="left"/>
              <w:rPr>
                <w:rFonts w:hint="eastAsia" w:ascii="仿宋" w:hAnsi="仿宋" w:eastAsia="仿宋" w:cs="仿宋"/>
                <w:color w:val="auto"/>
                <w:sz w:val="28"/>
                <w:szCs w:val="28"/>
                <w:highlight w:val="none"/>
              </w:rPr>
            </w:pPr>
          </w:p>
        </w:tc>
      </w:tr>
      <w:tr w14:paraId="501A34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855" w:type="dxa"/>
            <w:tcBorders>
              <w:top w:val="single" w:color="auto" w:sz="4" w:space="0"/>
              <w:left w:val="single" w:color="auto" w:sz="4" w:space="0"/>
              <w:bottom w:val="single" w:color="auto" w:sz="4" w:space="0"/>
              <w:right w:val="single" w:color="auto" w:sz="4" w:space="0"/>
            </w:tcBorders>
            <w:noWrap w:val="0"/>
            <w:vAlign w:val="top"/>
          </w:tcPr>
          <w:p w14:paraId="7878E10F">
            <w:pPr>
              <w:snapToGrid w:val="0"/>
              <w:spacing w:before="50" w:after="120" w:afterLines="50" w:line="400" w:lineRule="exact"/>
              <w:jc w:val="left"/>
              <w:rPr>
                <w:rFonts w:hint="eastAsia" w:ascii="仿宋" w:hAnsi="仿宋" w:eastAsia="仿宋" w:cs="仿宋"/>
                <w:color w:val="auto"/>
                <w:sz w:val="28"/>
                <w:szCs w:val="28"/>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top"/>
          </w:tcPr>
          <w:p w14:paraId="38126683">
            <w:pPr>
              <w:snapToGrid w:val="0"/>
              <w:spacing w:before="50" w:after="120" w:afterLines="50" w:line="400" w:lineRule="exact"/>
              <w:jc w:val="left"/>
              <w:rPr>
                <w:rFonts w:hint="eastAsia" w:ascii="仿宋" w:hAnsi="仿宋" w:eastAsia="仿宋" w:cs="仿宋"/>
                <w:color w:val="auto"/>
                <w:sz w:val="28"/>
                <w:szCs w:val="28"/>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top"/>
          </w:tcPr>
          <w:p w14:paraId="2BF3C148">
            <w:pPr>
              <w:snapToGrid w:val="0"/>
              <w:spacing w:before="50" w:after="120" w:afterLines="50" w:line="400" w:lineRule="exact"/>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top"/>
          </w:tcPr>
          <w:p w14:paraId="043D07BB">
            <w:pPr>
              <w:snapToGrid w:val="0"/>
              <w:spacing w:before="50" w:after="120" w:afterLines="50" w:line="400" w:lineRule="exact"/>
              <w:jc w:val="left"/>
              <w:rPr>
                <w:rFonts w:hint="eastAsia" w:ascii="仿宋" w:hAnsi="仿宋" w:eastAsia="仿宋" w:cs="仿宋"/>
                <w:color w:val="auto"/>
                <w:sz w:val="28"/>
                <w:szCs w:val="28"/>
                <w:highlight w:val="none"/>
              </w:rPr>
            </w:pPr>
          </w:p>
        </w:tc>
        <w:tc>
          <w:tcPr>
            <w:tcW w:w="1659" w:type="dxa"/>
            <w:tcBorders>
              <w:top w:val="single" w:color="auto" w:sz="4" w:space="0"/>
              <w:left w:val="single" w:color="auto" w:sz="4" w:space="0"/>
              <w:bottom w:val="single" w:color="auto" w:sz="4" w:space="0"/>
              <w:right w:val="single" w:color="auto" w:sz="4" w:space="0"/>
            </w:tcBorders>
            <w:noWrap w:val="0"/>
            <w:vAlign w:val="top"/>
          </w:tcPr>
          <w:p w14:paraId="6C8F1A21">
            <w:pPr>
              <w:snapToGrid w:val="0"/>
              <w:spacing w:before="50" w:after="120" w:afterLines="50" w:line="400" w:lineRule="exact"/>
              <w:jc w:val="left"/>
              <w:rPr>
                <w:rFonts w:hint="eastAsia" w:ascii="仿宋" w:hAnsi="仿宋" w:eastAsia="仿宋" w:cs="仿宋"/>
                <w:color w:val="auto"/>
                <w:sz w:val="28"/>
                <w:szCs w:val="28"/>
                <w:highlight w:val="none"/>
              </w:rPr>
            </w:pPr>
          </w:p>
        </w:tc>
      </w:tr>
      <w:tr w14:paraId="2FD24B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855" w:type="dxa"/>
            <w:tcBorders>
              <w:top w:val="single" w:color="auto" w:sz="4" w:space="0"/>
              <w:left w:val="single" w:color="auto" w:sz="4" w:space="0"/>
              <w:bottom w:val="single" w:color="auto" w:sz="4" w:space="0"/>
              <w:right w:val="single" w:color="auto" w:sz="4" w:space="0"/>
            </w:tcBorders>
            <w:noWrap w:val="0"/>
            <w:vAlign w:val="top"/>
          </w:tcPr>
          <w:p w14:paraId="3B2BF6A6">
            <w:pPr>
              <w:snapToGrid w:val="0"/>
              <w:spacing w:before="50" w:after="120" w:afterLines="50" w:line="400" w:lineRule="exact"/>
              <w:jc w:val="left"/>
              <w:rPr>
                <w:rFonts w:hint="eastAsia" w:ascii="仿宋" w:hAnsi="仿宋" w:eastAsia="仿宋" w:cs="仿宋"/>
                <w:color w:val="auto"/>
                <w:sz w:val="28"/>
                <w:szCs w:val="28"/>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top"/>
          </w:tcPr>
          <w:p w14:paraId="2D8EE5E3">
            <w:pPr>
              <w:snapToGrid w:val="0"/>
              <w:spacing w:before="50" w:after="120" w:afterLines="50" w:line="400" w:lineRule="exact"/>
              <w:jc w:val="left"/>
              <w:rPr>
                <w:rFonts w:hint="eastAsia" w:ascii="仿宋" w:hAnsi="仿宋" w:eastAsia="仿宋" w:cs="仿宋"/>
                <w:color w:val="auto"/>
                <w:sz w:val="28"/>
                <w:szCs w:val="28"/>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top"/>
          </w:tcPr>
          <w:p w14:paraId="1931C71D">
            <w:pPr>
              <w:snapToGrid w:val="0"/>
              <w:spacing w:before="50" w:after="120" w:afterLines="50" w:line="400" w:lineRule="exact"/>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top"/>
          </w:tcPr>
          <w:p w14:paraId="0DE68CF6">
            <w:pPr>
              <w:snapToGrid w:val="0"/>
              <w:spacing w:before="50" w:after="120" w:afterLines="50" w:line="400" w:lineRule="exact"/>
              <w:jc w:val="left"/>
              <w:rPr>
                <w:rFonts w:hint="eastAsia" w:ascii="仿宋" w:hAnsi="仿宋" w:eastAsia="仿宋" w:cs="仿宋"/>
                <w:color w:val="auto"/>
                <w:sz w:val="28"/>
                <w:szCs w:val="28"/>
                <w:highlight w:val="none"/>
              </w:rPr>
            </w:pPr>
          </w:p>
        </w:tc>
        <w:tc>
          <w:tcPr>
            <w:tcW w:w="1659" w:type="dxa"/>
            <w:tcBorders>
              <w:top w:val="single" w:color="auto" w:sz="4" w:space="0"/>
              <w:left w:val="single" w:color="auto" w:sz="4" w:space="0"/>
              <w:bottom w:val="single" w:color="auto" w:sz="4" w:space="0"/>
              <w:right w:val="single" w:color="auto" w:sz="4" w:space="0"/>
            </w:tcBorders>
            <w:noWrap w:val="0"/>
            <w:vAlign w:val="top"/>
          </w:tcPr>
          <w:p w14:paraId="7E6BF6C6">
            <w:pPr>
              <w:snapToGrid w:val="0"/>
              <w:spacing w:before="50" w:after="120" w:afterLines="50" w:line="400" w:lineRule="exact"/>
              <w:jc w:val="left"/>
              <w:rPr>
                <w:rFonts w:hint="eastAsia" w:ascii="仿宋" w:hAnsi="仿宋" w:eastAsia="仿宋" w:cs="仿宋"/>
                <w:color w:val="auto"/>
                <w:sz w:val="28"/>
                <w:szCs w:val="28"/>
                <w:highlight w:val="none"/>
              </w:rPr>
            </w:pPr>
          </w:p>
        </w:tc>
      </w:tr>
      <w:tr w14:paraId="67162C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855" w:type="dxa"/>
            <w:tcBorders>
              <w:top w:val="single" w:color="auto" w:sz="4" w:space="0"/>
              <w:left w:val="single" w:color="auto" w:sz="4" w:space="0"/>
              <w:bottom w:val="single" w:color="auto" w:sz="4" w:space="0"/>
              <w:right w:val="single" w:color="auto" w:sz="4" w:space="0"/>
            </w:tcBorders>
            <w:noWrap w:val="0"/>
            <w:vAlign w:val="top"/>
          </w:tcPr>
          <w:p w14:paraId="22DB905A">
            <w:pPr>
              <w:snapToGrid w:val="0"/>
              <w:spacing w:before="50" w:after="120" w:afterLines="50" w:line="400" w:lineRule="exact"/>
              <w:jc w:val="left"/>
              <w:rPr>
                <w:rFonts w:hint="eastAsia" w:ascii="仿宋" w:hAnsi="仿宋" w:eastAsia="仿宋" w:cs="仿宋"/>
                <w:color w:val="auto"/>
                <w:sz w:val="28"/>
                <w:szCs w:val="28"/>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top"/>
          </w:tcPr>
          <w:p w14:paraId="790AE421">
            <w:pPr>
              <w:snapToGrid w:val="0"/>
              <w:spacing w:before="50" w:after="120" w:afterLines="50" w:line="400" w:lineRule="exact"/>
              <w:jc w:val="left"/>
              <w:rPr>
                <w:rFonts w:hint="eastAsia" w:ascii="仿宋" w:hAnsi="仿宋" w:eastAsia="仿宋" w:cs="仿宋"/>
                <w:color w:val="auto"/>
                <w:sz w:val="28"/>
                <w:szCs w:val="28"/>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top"/>
          </w:tcPr>
          <w:p w14:paraId="6AA5DA4E">
            <w:pPr>
              <w:snapToGrid w:val="0"/>
              <w:spacing w:before="50" w:after="120" w:afterLines="50" w:line="400" w:lineRule="exact"/>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top"/>
          </w:tcPr>
          <w:p w14:paraId="517B27EB">
            <w:pPr>
              <w:snapToGrid w:val="0"/>
              <w:spacing w:before="50" w:after="120" w:afterLines="50" w:line="400" w:lineRule="exact"/>
              <w:jc w:val="left"/>
              <w:rPr>
                <w:rFonts w:hint="eastAsia" w:ascii="仿宋" w:hAnsi="仿宋" w:eastAsia="仿宋" w:cs="仿宋"/>
                <w:color w:val="auto"/>
                <w:sz w:val="28"/>
                <w:szCs w:val="28"/>
                <w:highlight w:val="none"/>
              </w:rPr>
            </w:pPr>
          </w:p>
        </w:tc>
        <w:tc>
          <w:tcPr>
            <w:tcW w:w="1659" w:type="dxa"/>
            <w:tcBorders>
              <w:top w:val="single" w:color="auto" w:sz="4" w:space="0"/>
              <w:left w:val="single" w:color="auto" w:sz="4" w:space="0"/>
              <w:bottom w:val="single" w:color="auto" w:sz="4" w:space="0"/>
              <w:right w:val="single" w:color="auto" w:sz="4" w:space="0"/>
            </w:tcBorders>
            <w:noWrap w:val="0"/>
            <w:vAlign w:val="top"/>
          </w:tcPr>
          <w:p w14:paraId="33C6F838">
            <w:pPr>
              <w:snapToGrid w:val="0"/>
              <w:spacing w:before="50" w:after="120" w:afterLines="50" w:line="400" w:lineRule="exact"/>
              <w:jc w:val="left"/>
              <w:rPr>
                <w:rFonts w:hint="eastAsia" w:ascii="仿宋" w:hAnsi="仿宋" w:eastAsia="仿宋" w:cs="仿宋"/>
                <w:color w:val="auto"/>
                <w:sz w:val="28"/>
                <w:szCs w:val="28"/>
                <w:highlight w:val="none"/>
              </w:rPr>
            </w:pPr>
          </w:p>
        </w:tc>
      </w:tr>
      <w:tr w14:paraId="79F8C5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1855" w:type="dxa"/>
            <w:tcBorders>
              <w:top w:val="single" w:color="auto" w:sz="4" w:space="0"/>
              <w:left w:val="single" w:color="auto" w:sz="4" w:space="0"/>
              <w:bottom w:val="single" w:color="auto" w:sz="4" w:space="0"/>
              <w:right w:val="single" w:color="auto" w:sz="4" w:space="0"/>
            </w:tcBorders>
            <w:noWrap w:val="0"/>
            <w:vAlign w:val="top"/>
          </w:tcPr>
          <w:p w14:paraId="42F2BC95">
            <w:pPr>
              <w:snapToGrid w:val="0"/>
              <w:spacing w:before="50" w:after="120" w:afterLines="50" w:line="400" w:lineRule="exact"/>
              <w:jc w:val="left"/>
              <w:rPr>
                <w:rFonts w:hint="eastAsia" w:ascii="仿宋" w:hAnsi="仿宋" w:eastAsia="仿宋" w:cs="仿宋"/>
                <w:color w:val="auto"/>
                <w:sz w:val="28"/>
                <w:szCs w:val="28"/>
                <w:highlight w:val="none"/>
              </w:rPr>
            </w:pPr>
          </w:p>
        </w:tc>
        <w:tc>
          <w:tcPr>
            <w:tcW w:w="2216" w:type="dxa"/>
            <w:tcBorders>
              <w:top w:val="single" w:color="auto" w:sz="4" w:space="0"/>
              <w:left w:val="single" w:color="auto" w:sz="4" w:space="0"/>
              <w:bottom w:val="single" w:color="auto" w:sz="4" w:space="0"/>
              <w:right w:val="single" w:color="auto" w:sz="4" w:space="0"/>
            </w:tcBorders>
            <w:noWrap w:val="0"/>
            <w:vAlign w:val="top"/>
          </w:tcPr>
          <w:p w14:paraId="428898F4">
            <w:pPr>
              <w:snapToGrid w:val="0"/>
              <w:spacing w:before="50" w:after="120" w:afterLines="50" w:line="400" w:lineRule="exact"/>
              <w:jc w:val="left"/>
              <w:rPr>
                <w:rFonts w:hint="eastAsia" w:ascii="仿宋" w:hAnsi="仿宋" w:eastAsia="仿宋" w:cs="仿宋"/>
                <w:color w:val="auto"/>
                <w:sz w:val="28"/>
                <w:szCs w:val="28"/>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top"/>
          </w:tcPr>
          <w:p w14:paraId="6023E5A2">
            <w:pPr>
              <w:snapToGrid w:val="0"/>
              <w:spacing w:before="50" w:after="120" w:afterLines="50" w:line="400" w:lineRule="exact"/>
              <w:jc w:val="left"/>
              <w:rPr>
                <w:rFonts w:hint="eastAsia" w:ascii="仿宋" w:hAnsi="仿宋" w:eastAsia="仿宋" w:cs="仿宋"/>
                <w:color w:val="auto"/>
                <w:sz w:val="28"/>
                <w:szCs w:val="28"/>
                <w:highlight w:val="none"/>
              </w:rPr>
            </w:pPr>
          </w:p>
        </w:tc>
        <w:tc>
          <w:tcPr>
            <w:tcW w:w="1480" w:type="dxa"/>
            <w:tcBorders>
              <w:top w:val="single" w:color="auto" w:sz="4" w:space="0"/>
              <w:left w:val="single" w:color="auto" w:sz="4" w:space="0"/>
              <w:bottom w:val="single" w:color="auto" w:sz="4" w:space="0"/>
              <w:right w:val="single" w:color="auto" w:sz="4" w:space="0"/>
            </w:tcBorders>
            <w:noWrap w:val="0"/>
            <w:vAlign w:val="top"/>
          </w:tcPr>
          <w:p w14:paraId="334AFBD6">
            <w:pPr>
              <w:snapToGrid w:val="0"/>
              <w:spacing w:before="50" w:after="120" w:afterLines="50" w:line="400" w:lineRule="exact"/>
              <w:jc w:val="left"/>
              <w:rPr>
                <w:rFonts w:hint="eastAsia" w:ascii="仿宋" w:hAnsi="仿宋" w:eastAsia="仿宋" w:cs="仿宋"/>
                <w:color w:val="auto"/>
                <w:sz w:val="28"/>
                <w:szCs w:val="28"/>
                <w:highlight w:val="none"/>
              </w:rPr>
            </w:pPr>
          </w:p>
        </w:tc>
        <w:tc>
          <w:tcPr>
            <w:tcW w:w="1659" w:type="dxa"/>
            <w:tcBorders>
              <w:top w:val="single" w:color="auto" w:sz="4" w:space="0"/>
              <w:left w:val="single" w:color="auto" w:sz="4" w:space="0"/>
              <w:bottom w:val="single" w:color="auto" w:sz="4" w:space="0"/>
              <w:right w:val="single" w:color="auto" w:sz="4" w:space="0"/>
            </w:tcBorders>
            <w:noWrap w:val="0"/>
            <w:vAlign w:val="top"/>
          </w:tcPr>
          <w:p w14:paraId="37A29A5F">
            <w:pPr>
              <w:snapToGrid w:val="0"/>
              <w:spacing w:before="50" w:after="120" w:afterLines="50" w:line="400" w:lineRule="exact"/>
              <w:jc w:val="left"/>
              <w:rPr>
                <w:rFonts w:hint="eastAsia" w:ascii="仿宋" w:hAnsi="仿宋" w:eastAsia="仿宋" w:cs="仿宋"/>
                <w:color w:val="auto"/>
                <w:sz w:val="28"/>
                <w:szCs w:val="28"/>
                <w:highlight w:val="none"/>
              </w:rPr>
            </w:pPr>
          </w:p>
        </w:tc>
      </w:tr>
    </w:tbl>
    <w:p w14:paraId="11262278">
      <w:pPr>
        <w:pStyle w:val="16"/>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注：附</w:t>
      </w:r>
      <w:r>
        <w:rPr>
          <w:rFonts w:hint="eastAsia" w:ascii="仿宋" w:hAnsi="仿宋" w:eastAsia="仿宋" w:cs="仿宋"/>
          <w:color w:val="auto"/>
          <w:sz w:val="24"/>
          <w:szCs w:val="24"/>
          <w:highlight w:val="none"/>
          <w:lang w:val="en-US" w:eastAsia="zh-CN"/>
        </w:rPr>
        <w:t>中标通知书、</w:t>
      </w:r>
      <w:r>
        <w:rPr>
          <w:rFonts w:hint="eastAsia" w:ascii="仿宋" w:hAnsi="仿宋" w:eastAsia="仿宋" w:cs="仿宋"/>
          <w:color w:val="auto"/>
          <w:sz w:val="24"/>
          <w:szCs w:val="24"/>
          <w:highlight w:val="none"/>
        </w:rPr>
        <w:t>合同</w:t>
      </w:r>
      <w:r>
        <w:rPr>
          <w:rFonts w:hint="eastAsia" w:ascii="仿宋" w:hAnsi="仿宋" w:eastAsia="仿宋" w:cs="仿宋"/>
          <w:color w:val="auto"/>
          <w:sz w:val="24"/>
          <w:szCs w:val="24"/>
          <w:highlight w:val="none"/>
          <w:lang w:val="en-US" w:eastAsia="zh-CN"/>
        </w:rPr>
        <w:t>扫描件</w:t>
      </w:r>
      <w:r>
        <w:rPr>
          <w:rFonts w:hint="eastAsia" w:ascii="仿宋" w:hAnsi="仿宋" w:eastAsia="仿宋" w:cs="仿宋"/>
          <w:color w:val="auto"/>
          <w:sz w:val="24"/>
          <w:szCs w:val="24"/>
          <w:highlight w:val="none"/>
        </w:rPr>
        <w:t>并加盖</w:t>
      </w:r>
      <w:r>
        <w:rPr>
          <w:rFonts w:hint="eastAsia" w:ascii="仿宋" w:hAnsi="仿宋" w:eastAsia="仿宋" w:cs="仿宋"/>
          <w:color w:val="auto"/>
          <w:sz w:val="24"/>
          <w:szCs w:val="24"/>
          <w:highlight w:val="none"/>
          <w:lang w:val="en-US" w:eastAsia="zh-CN"/>
        </w:rPr>
        <w:t>CA签章</w:t>
      </w:r>
      <w:r>
        <w:rPr>
          <w:rFonts w:hint="eastAsia" w:ascii="仿宋" w:hAnsi="仿宋" w:eastAsia="仿宋" w:cs="仿宋"/>
          <w:color w:val="auto"/>
          <w:sz w:val="24"/>
          <w:szCs w:val="24"/>
          <w:highlight w:val="none"/>
        </w:rPr>
        <w:t>。</w:t>
      </w:r>
    </w:p>
    <w:p w14:paraId="68562EBA">
      <w:pPr>
        <w:autoSpaceDE w:val="0"/>
        <w:autoSpaceDN w:val="0"/>
        <w:spacing w:line="360" w:lineRule="auto"/>
        <w:rPr>
          <w:rFonts w:hint="eastAsia" w:ascii="仿宋" w:hAnsi="仿宋" w:eastAsia="仿宋" w:cs="仿宋"/>
          <w:b/>
          <w:color w:val="auto"/>
          <w:sz w:val="24"/>
          <w:highlight w:val="none"/>
        </w:rPr>
      </w:pPr>
    </w:p>
    <w:p w14:paraId="4F3FEB5C">
      <w:pPr>
        <w:autoSpaceDE w:val="0"/>
        <w:autoSpaceDN w:val="0"/>
        <w:spacing w:line="360" w:lineRule="auto"/>
        <w:rPr>
          <w:rFonts w:hint="eastAsia" w:ascii="仿宋" w:hAnsi="仿宋" w:eastAsia="仿宋" w:cs="仿宋"/>
          <w:color w:val="auto"/>
          <w:sz w:val="24"/>
          <w:highlight w:val="none"/>
        </w:rPr>
      </w:pPr>
    </w:p>
    <w:p w14:paraId="574E510A">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0B79D09">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6E14C9D">
      <w:pPr>
        <w:pStyle w:val="649"/>
        <w:ind w:firstLine="0"/>
        <w:jc w:val="both"/>
        <w:rPr>
          <w:rFonts w:hint="eastAsia" w:ascii="仿宋" w:hAnsi="仿宋" w:eastAsia="仿宋" w:cs="仿宋"/>
          <w:color w:val="auto"/>
          <w:highlight w:val="none"/>
        </w:rPr>
      </w:pPr>
    </w:p>
    <w:p w14:paraId="6C212F0B">
      <w:pPr>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lang w:val="en-US" w:eastAsia="zh-CN"/>
        </w:rPr>
        <w:br w:type="page"/>
      </w:r>
    </w:p>
    <w:p w14:paraId="795E1DC1">
      <w:pPr>
        <w:jc w:val="center"/>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八、投标单位仓储</w:t>
      </w:r>
    </w:p>
    <w:p w14:paraId="6FB560BC">
      <w:pPr>
        <w:spacing w:line="336" w:lineRule="auto"/>
        <w:ind w:firstLine="3600" w:firstLineChars="1500"/>
        <w:rPr>
          <w:rFonts w:hint="eastAsia" w:ascii="仿宋" w:hAnsi="仿宋" w:eastAsia="仿宋" w:cs="仿宋"/>
          <w:color w:val="auto"/>
          <w:sz w:val="24"/>
          <w:highlight w:val="none"/>
          <w:lang w:eastAsia="zh-CN"/>
        </w:rPr>
      </w:pPr>
    </w:p>
    <w:p w14:paraId="28A2F54D">
      <w:pPr>
        <w:spacing w:line="336" w:lineRule="auto"/>
        <w:ind w:firstLine="3840" w:firstLineChars="16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8FF2B17">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 xml:space="preserve"> 日</w:t>
      </w:r>
      <w:r>
        <w:rPr>
          <w:rFonts w:hint="eastAsia" w:ascii="仿宋" w:hAnsi="仿宋" w:eastAsia="仿宋" w:cs="仿宋"/>
          <w:color w:val="auto"/>
          <w:sz w:val="24"/>
          <w:highlight w:val="none"/>
        </w:rPr>
        <w:t xml:space="preserve"> </w:t>
      </w:r>
    </w:p>
    <w:p w14:paraId="54F0C307">
      <w:pPr>
        <w:bidi w:val="0"/>
        <w:rPr>
          <w:rFonts w:hint="eastAsia" w:ascii="Times New Roman" w:hAnsi="Times New Roman" w:eastAsia="宋体" w:cs="Times New Roman"/>
          <w:color w:val="auto"/>
          <w:kern w:val="2"/>
          <w:sz w:val="21"/>
          <w:szCs w:val="24"/>
          <w:highlight w:val="none"/>
          <w:lang w:val="en-US" w:eastAsia="zh-CN" w:bidi="ar-SA"/>
        </w:rPr>
      </w:pPr>
    </w:p>
    <w:p w14:paraId="0A951188">
      <w:pPr>
        <w:bidi w:val="0"/>
        <w:rPr>
          <w:rFonts w:hint="eastAsia"/>
          <w:color w:val="auto"/>
          <w:highlight w:val="none"/>
          <w:lang w:val="en-US" w:eastAsia="zh-CN"/>
        </w:rPr>
      </w:pPr>
    </w:p>
    <w:p w14:paraId="1067D5AF">
      <w:pPr>
        <w:bidi w:val="0"/>
        <w:rPr>
          <w:rFonts w:hint="eastAsia"/>
          <w:color w:val="auto"/>
          <w:highlight w:val="none"/>
          <w:lang w:val="en-US" w:eastAsia="zh-CN"/>
        </w:rPr>
      </w:pPr>
    </w:p>
    <w:p w14:paraId="5CA90F35">
      <w:pPr>
        <w:bidi w:val="0"/>
        <w:rPr>
          <w:rFonts w:hint="eastAsia"/>
          <w:color w:val="auto"/>
          <w:highlight w:val="none"/>
          <w:lang w:val="en-US" w:eastAsia="zh-CN"/>
        </w:rPr>
      </w:pPr>
    </w:p>
    <w:p w14:paraId="2469AE72">
      <w:pPr>
        <w:jc w:val="left"/>
        <w:rPr>
          <w:rFonts w:hint="eastAsia" w:ascii="仿宋" w:hAnsi="仿宋" w:eastAsia="仿宋" w:cs="仿宋"/>
          <w:b/>
          <w:color w:val="auto"/>
          <w:kern w:val="0"/>
          <w:sz w:val="32"/>
          <w:szCs w:val="32"/>
          <w:highlight w:val="none"/>
          <w:lang w:val="en-US" w:eastAsia="zh-CN"/>
        </w:rPr>
      </w:pPr>
    </w:p>
    <w:p w14:paraId="4538BC8B">
      <w:pPr>
        <w:pStyle w:val="23"/>
        <w:rPr>
          <w:rFonts w:hint="eastAsia"/>
          <w:color w:val="auto"/>
          <w:highlight w:val="none"/>
          <w:lang w:val="en-US" w:eastAsia="zh-CN"/>
        </w:rPr>
      </w:pPr>
    </w:p>
    <w:p w14:paraId="0A4392D0">
      <w:pPr>
        <w:numPr>
          <w:ilvl w:val="0"/>
          <w:numId w:val="0"/>
        </w:numPr>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bidi="ar-SA"/>
        </w:rPr>
        <w:t>九、</w:t>
      </w:r>
      <w:r>
        <w:rPr>
          <w:rFonts w:hint="eastAsia" w:ascii="仿宋" w:hAnsi="仿宋" w:eastAsia="仿宋" w:cs="仿宋"/>
          <w:b/>
          <w:color w:val="auto"/>
          <w:kern w:val="0"/>
          <w:sz w:val="32"/>
          <w:szCs w:val="32"/>
          <w:highlight w:val="none"/>
          <w:lang w:val="en-US" w:eastAsia="zh-CN"/>
        </w:rPr>
        <w:t>运输车辆及机械设备情况</w:t>
      </w:r>
    </w:p>
    <w:p w14:paraId="53B62CE5">
      <w:pPr>
        <w:spacing w:line="336" w:lineRule="auto"/>
        <w:ind w:firstLine="3840" w:firstLineChars="1600"/>
        <w:rPr>
          <w:rFonts w:hint="eastAsia" w:ascii="仿宋" w:hAnsi="仿宋" w:eastAsia="仿宋" w:cs="仿宋"/>
          <w:color w:val="auto"/>
          <w:sz w:val="24"/>
          <w:highlight w:val="none"/>
          <w:lang w:eastAsia="zh-CN"/>
        </w:rPr>
      </w:pPr>
    </w:p>
    <w:p w14:paraId="38D11BB2">
      <w:pPr>
        <w:spacing w:line="336" w:lineRule="auto"/>
        <w:ind w:firstLine="3840" w:firstLineChars="16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4E6A3C1">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日期：  年   月 </w:t>
      </w:r>
      <w:r>
        <w:rPr>
          <w:rFonts w:hint="eastAsia" w:ascii="仿宋" w:hAnsi="仿宋" w:eastAsia="仿宋" w:cs="仿宋"/>
          <w:color w:val="auto"/>
          <w:sz w:val="24"/>
          <w:highlight w:val="none"/>
          <w:lang w:val="en-US" w:eastAsia="zh-CN"/>
        </w:rPr>
        <w:t xml:space="preserve"> 日</w:t>
      </w:r>
      <w:r>
        <w:rPr>
          <w:rFonts w:hint="eastAsia" w:ascii="仿宋" w:hAnsi="仿宋" w:eastAsia="仿宋" w:cs="仿宋"/>
          <w:color w:val="auto"/>
          <w:sz w:val="24"/>
          <w:highlight w:val="none"/>
        </w:rPr>
        <w:t xml:space="preserve"> </w:t>
      </w:r>
    </w:p>
    <w:p w14:paraId="1766492B">
      <w:pPr>
        <w:pStyle w:val="23"/>
        <w:numPr>
          <w:ilvl w:val="0"/>
          <w:numId w:val="0"/>
        </w:numPr>
        <w:rPr>
          <w:rFonts w:hint="eastAsia"/>
          <w:color w:val="auto"/>
          <w:highlight w:val="none"/>
          <w:lang w:val="en-US" w:eastAsia="zh-CN"/>
        </w:rPr>
      </w:pPr>
    </w:p>
    <w:p w14:paraId="2782B7A4">
      <w:pPr>
        <w:pStyle w:val="80"/>
        <w:keepNext w:val="0"/>
        <w:keepLines w:val="0"/>
        <w:pageBreakBefore w:val="0"/>
        <w:widowControl w:val="0"/>
        <w:numPr>
          <w:ilvl w:val="0"/>
          <w:numId w:val="0"/>
        </w:numPr>
        <w:kinsoku/>
        <w:wordWrap/>
        <w:overflowPunct/>
        <w:topLinePunct w:val="0"/>
        <w:autoSpaceDE/>
        <w:autoSpaceDN/>
        <w:bidi w:val="0"/>
        <w:adjustRightInd w:val="0"/>
        <w:snapToGrid/>
        <w:spacing w:line="600" w:lineRule="atLeast"/>
        <w:ind w:leftChars="200"/>
        <w:jc w:val="center"/>
        <w:textAlignment w:val="auto"/>
        <w:rPr>
          <w:rFonts w:hint="default"/>
          <w:color w:val="auto"/>
          <w:highlight w:val="none"/>
          <w:lang w:val="en-US" w:eastAsia="zh-CN"/>
        </w:rPr>
      </w:pPr>
    </w:p>
    <w:p w14:paraId="4E0A18A1">
      <w:pPr>
        <w:pStyle w:val="23"/>
        <w:numPr>
          <w:ilvl w:val="0"/>
          <w:numId w:val="0"/>
        </w:numPr>
        <w:ind w:left="480" w:leftChars="0"/>
        <w:rPr>
          <w:rFonts w:hint="default"/>
          <w:color w:val="auto"/>
          <w:highlight w:val="none"/>
          <w:lang w:val="en-US" w:eastAsia="zh-CN"/>
        </w:rPr>
      </w:pPr>
    </w:p>
    <w:p w14:paraId="458FA5C6">
      <w:pPr>
        <w:pStyle w:val="79"/>
        <w:numPr>
          <w:ilvl w:val="0"/>
          <w:numId w:val="0"/>
        </w:numPr>
        <w:ind w:left="480" w:leftChars="0"/>
        <w:rPr>
          <w:rFonts w:hint="default"/>
          <w:color w:val="auto"/>
          <w:highlight w:val="none"/>
          <w:lang w:val="en-US" w:eastAsia="zh-CN"/>
        </w:rPr>
      </w:pPr>
    </w:p>
    <w:p w14:paraId="134BB925">
      <w:pPr>
        <w:numPr>
          <w:ilvl w:val="0"/>
          <w:numId w:val="0"/>
        </w:numPr>
        <w:spacing w:beforeLines="0" w:afterLines="0"/>
        <w:jc w:val="center"/>
        <w:rPr>
          <w:rFonts w:hint="eastAsia" w:ascii="宋体" w:hAnsi="宋体" w:eastAsia="宋体" w:cs="宋体"/>
          <w:b/>
          <w:color w:val="auto"/>
          <w:sz w:val="32"/>
          <w:szCs w:val="32"/>
          <w:highlight w:val="none"/>
          <w:lang w:val="en-US" w:eastAsia="zh-CN"/>
        </w:rPr>
      </w:pPr>
    </w:p>
    <w:p w14:paraId="0EDB38E4">
      <w:pPr>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lang w:val="en-US" w:eastAsia="zh-CN"/>
        </w:rPr>
        <w:br w:type="page"/>
      </w:r>
    </w:p>
    <w:p w14:paraId="62010D1B">
      <w:pPr>
        <w:numPr>
          <w:ilvl w:val="0"/>
          <w:numId w:val="0"/>
        </w:numPr>
        <w:spacing w:beforeLines="0" w:afterLines="0"/>
        <w:jc w:val="center"/>
        <w:rPr>
          <w:rFonts w:hint="eastAsia" w:ascii="宋体" w:hAnsi="宋体" w:eastAsia="宋体" w:cs="宋体"/>
          <w:b/>
          <w:color w:val="auto"/>
          <w:sz w:val="32"/>
          <w:szCs w:val="32"/>
          <w:highlight w:val="none"/>
        </w:rPr>
      </w:pPr>
      <w:r>
        <w:rPr>
          <w:rFonts w:hint="eastAsia" w:ascii="宋体" w:hAnsi="宋体" w:cs="宋体"/>
          <w:b/>
          <w:color w:val="auto"/>
          <w:sz w:val="32"/>
          <w:szCs w:val="32"/>
          <w:highlight w:val="none"/>
          <w:lang w:val="en-US" w:eastAsia="zh-CN"/>
        </w:rPr>
        <w:t>十</w:t>
      </w:r>
      <w:r>
        <w:rPr>
          <w:rFonts w:hint="eastAsia" w:ascii="宋体" w:hAnsi="宋体" w:eastAsia="宋体" w:cs="宋体"/>
          <w:b/>
          <w:color w:val="auto"/>
          <w:sz w:val="32"/>
          <w:szCs w:val="32"/>
          <w:highlight w:val="none"/>
          <w:lang w:val="en-US" w:eastAsia="zh-CN"/>
        </w:rPr>
        <w:t>、拟投入的人员</w:t>
      </w:r>
    </w:p>
    <w:p w14:paraId="221D2124">
      <w:pPr>
        <w:snapToGrid w:val="0"/>
        <w:spacing w:before="50"/>
        <w:jc w:val="center"/>
        <w:rPr>
          <w:rFonts w:hint="eastAsia" w:ascii="宋体" w:hAnsi="宋体" w:eastAsia="宋体" w:cs="Times New Roman"/>
          <w:b/>
          <w:color w:val="auto"/>
          <w:spacing w:val="40"/>
          <w:kern w:val="0"/>
          <w:sz w:val="28"/>
          <w:szCs w:val="28"/>
          <w:highlight w:val="none"/>
        </w:rPr>
      </w:pPr>
    </w:p>
    <w:p w14:paraId="4C88DCC8">
      <w:pPr>
        <w:spacing w:line="360" w:lineRule="auto"/>
        <w:jc w:val="left"/>
        <w:rPr>
          <w:rFonts w:hint="eastAsia" w:ascii="仿宋" w:hAnsi="仿宋" w:eastAsia="仿宋" w:cs="仿宋"/>
          <w:b/>
          <w:color w:val="auto"/>
          <w:sz w:val="24"/>
          <w:szCs w:val="24"/>
          <w:highlight w:val="none"/>
          <w:lang w:bidi="ar"/>
        </w:rPr>
      </w:pPr>
      <w:r>
        <w:rPr>
          <w:rFonts w:hint="eastAsia" w:ascii="仿宋" w:hAnsi="仿宋" w:eastAsia="仿宋" w:cs="仿宋"/>
          <w:b/>
          <w:color w:val="auto"/>
          <w:sz w:val="24"/>
          <w:szCs w:val="24"/>
          <w:highlight w:val="none"/>
          <w:lang w:bidi="ar"/>
        </w:rPr>
        <w:t>项目名称：</w:t>
      </w:r>
    </w:p>
    <w:p w14:paraId="72F762E7">
      <w:pPr>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sz w:val="24"/>
          <w:szCs w:val="24"/>
          <w:highlight w:val="none"/>
          <w:lang w:bidi="ar"/>
        </w:rPr>
        <w:t>项目编号：</w:t>
      </w:r>
    </w:p>
    <w:tbl>
      <w:tblPr>
        <w:tblStyle w:val="62"/>
        <w:tblW w:w="9604"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330"/>
        <w:gridCol w:w="1367"/>
        <w:gridCol w:w="882"/>
        <w:gridCol w:w="1243"/>
        <w:gridCol w:w="1134"/>
        <w:gridCol w:w="1786"/>
        <w:gridCol w:w="1191"/>
      </w:tblGrid>
      <w:tr w14:paraId="22BFE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trPr>
        <w:tc>
          <w:tcPr>
            <w:tcW w:w="671" w:type="dxa"/>
            <w:noWrap w:val="0"/>
            <w:vAlign w:val="center"/>
          </w:tcPr>
          <w:p w14:paraId="468737C2">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1330" w:type="dxa"/>
            <w:noWrap w:val="0"/>
            <w:vAlign w:val="center"/>
          </w:tcPr>
          <w:p w14:paraId="7B7024F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367" w:type="dxa"/>
            <w:noWrap w:val="0"/>
            <w:vAlign w:val="center"/>
          </w:tcPr>
          <w:p w14:paraId="0119A225">
            <w:pPr>
              <w:spacing w:line="360" w:lineRule="auto"/>
              <w:ind w:left="105" w:left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拟任分工</w:t>
            </w:r>
          </w:p>
        </w:tc>
        <w:tc>
          <w:tcPr>
            <w:tcW w:w="882" w:type="dxa"/>
            <w:noWrap w:val="0"/>
            <w:vAlign w:val="center"/>
          </w:tcPr>
          <w:p w14:paraId="64F7372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1243" w:type="dxa"/>
            <w:noWrap w:val="0"/>
            <w:vAlign w:val="center"/>
          </w:tcPr>
          <w:p w14:paraId="44EDB3F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本单位工作时间</w:t>
            </w:r>
          </w:p>
        </w:tc>
        <w:tc>
          <w:tcPr>
            <w:tcW w:w="1134" w:type="dxa"/>
            <w:noWrap w:val="0"/>
            <w:vAlign w:val="center"/>
          </w:tcPr>
          <w:p w14:paraId="7C1E9A3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专业工龄</w:t>
            </w:r>
          </w:p>
        </w:tc>
        <w:tc>
          <w:tcPr>
            <w:tcW w:w="1786" w:type="dxa"/>
            <w:noWrap w:val="0"/>
            <w:vAlign w:val="center"/>
          </w:tcPr>
          <w:p w14:paraId="13B6BA20">
            <w:pPr>
              <w:spacing w:line="360" w:lineRule="auto"/>
              <w:ind w:left="132" w:leftChars="63"/>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证书、职称</w:t>
            </w:r>
          </w:p>
        </w:tc>
        <w:tc>
          <w:tcPr>
            <w:tcW w:w="1191" w:type="dxa"/>
            <w:noWrap w:val="0"/>
            <w:vAlign w:val="center"/>
          </w:tcPr>
          <w:p w14:paraId="46B0B9A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3260C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671" w:type="dxa"/>
            <w:noWrap w:val="0"/>
            <w:vAlign w:val="center"/>
          </w:tcPr>
          <w:p w14:paraId="061805CD">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330" w:type="dxa"/>
            <w:noWrap w:val="0"/>
            <w:vAlign w:val="center"/>
          </w:tcPr>
          <w:p w14:paraId="7B9D1D73">
            <w:pPr>
              <w:spacing w:line="360" w:lineRule="auto"/>
              <w:jc w:val="center"/>
              <w:rPr>
                <w:rFonts w:hint="eastAsia" w:ascii="仿宋" w:hAnsi="仿宋" w:eastAsia="仿宋" w:cs="仿宋"/>
                <w:color w:val="auto"/>
                <w:sz w:val="24"/>
                <w:szCs w:val="24"/>
                <w:highlight w:val="none"/>
              </w:rPr>
            </w:pPr>
          </w:p>
        </w:tc>
        <w:tc>
          <w:tcPr>
            <w:tcW w:w="1367" w:type="dxa"/>
            <w:noWrap w:val="0"/>
            <w:vAlign w:val="center"/>
          </w:tcPr>
          <w:p w14:paraId="64F4FB98">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2C8CB1AF">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78D8959D">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760A5034">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76E57EB2">
            <w:pPr>
              <w:spacing w:line="360" w:lineRule="auto"/>
              <w:ind w:firstLine="600"/>
              <w:jc w:val="center"/>
              <w:rPr>
                <w:rFonts w:hint="eastAsia" w:ascii="仿宋" w:hAnsi="仿宋" w:eastAsia="仿宋" w:cs="仿宋"/>
                <w:color w:val="auto"/>
                <w:sz w:val="24"/>
                <w:szCs w:val="24"/>
                <w:highlight w:val="none"/>
                <w:lang w:val="en-US" w:eastAsia="zh-CN"/>
              </w:rPr>
            </w:pPr>
          </w:p>
        </w:tc>
        <w:tc>
          <w:tcPr>
            <w:tcW w:w="1191" w:type="dxa"/>
            <w:noWrap w:val="0"/>
            <w:vAlign w:val="center"/>
          </w:tcPr>
          <w:p w14:paraId="1125DEAB">
            <w:pPr>
              <w:spacing w:line="360" w:lineRule="auto"/>
              <w:ind w:firstLine="600"/>
              <w:jc w:val="center"/>
              <w:rPr>
                <w:rFonts w:hint="eastAsia" w:ascii="仿宋" w:hAnsi="仿宋" w:eastAsia="仿宋" w:cs="仿宋"/>
                <w:color w:val="auto"/>
                <w:sz w:val="24"/>
                <w:szCs w:val="24"/>
                <w:highlight w:val="none"/>
              </w:rPr>
            </w:pPr>
          </w:p>
        </w:tc>
      </w:tr>
      <w:tr w14:paraId="5BD05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671" w:type="dxa"/>
            <w:noWrap w:val="0"/>
            <w:vAlign w:val="top"/>
          </w:tcPr>
          <w:p w14:paraId="708F4788">
            <w:pPr>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330" w:type="dxa"/>
            <w:noWrap w:val="0"/>
            <w:vAlign w:val="top"/>
          </w:tcPr>
          <w:p w14:paraId="07D7048C">
            <w:pPr>
              <w:spacing w:line="360" w:lineRule="auto"/>
              <w:rPr>
                <w:rFonts w:hint="eastAsia" w:ascii="仿宋" w:hAnsi="仿宋" w:eastAsia="仿宋" w:cs="仿宋"/>
                <w:color w:val="auto"/>
                <w:sz w:val="24"/>
                <w:szCs w:val="24"/>
                <w:highlight w:val="none"/>
                <w:lang w:val="en-US" w:eastAsia="zh-CN"/>
              </w:rPr>
            </w:pPr>
          </w:p>
        </w:tc>
        <w:tc>
          <w:tcPr>
            <w:tcW w:w="1367" w:type="dxa"/>
            <w:noWrap w:val="0"/>
            <w:vAlign w:val="center"/>
          </w:tcPr>
          <w:p w14:paraId="28E57796">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556E325A">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5D26EE00">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765A6E19">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7149C610">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04829A8B">
            <w:pPr>
              <w:spacing w:line="360" w:lineRule="auto"/>
              <w:ind w:firstLine="600"/>
              <w:jc w:val="center"/>
              <w:rPr>
                <w:rFonts w:hint="eastAsia" w:ascii="仿宋" w:hAnsi="仿宋" w:eastAsia="仿宋" w:cs="仿宋"/>
                <w:color w:val="auto"/>
                <w:sz w:val="24"/>
                <w:szCs w:val="24"/>
                <w:highlight w:val="none"/>
              </w:rPr>
            </w:pPr>
          </w:p>
        </w:tc>
      </w:tr>
      <w:tr w14:paraId="1760B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18F266E1">
            <w:pPr>
              <w:spacing w:line="36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3 </w:t>
            </w:r>
          </w:p>
        </w:tc>
        <w:tc>
          <w:tcPr>
            <w:tcW w:w="1330" w:type="dxa"/>
            <w:noWrap w:val="0"/>
            <w:vAlign w:val="top"/>
          </w:tcPr>
          <w:p w14:paraId="0A4792DE">
            <w:pPr>
              <w:spacing w:line="360" w:lineRule="auto"/>
              <w:rPr>
                <w:rFonts w:hint="eastAsia" w:ascii="仿宋" w:hAnsi="仿宋" w:eastAsia="仿宋" w:cs="仿宋"/>
                <w:color w:val="auto"/>
                <w:sz w:val="24"/>
                <w:szCs w:val="24"/>
                <w:highlight w:val="none"/>
              </w:rPr>
            </w:pPr>
          </w:p>
        </w:tc>
        <w:tc>
          <w:tcPr>
            <w:tcW w:w="1367" w:type="dxa"/>
            <w:noWrap w:val="0"/>
            <w:vAlign w:val="center"/>
          </w:tcPr>
          <w:p w14:paraId="2C358127">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2643B6C5">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1E02F09C">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0DAFA27D">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5E9236F7">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5E1CA0B5">
            <w:pPr>
              <w:spacing w:line="360" w:lineRule="auto"/>
              <w:ind w:firstLine="600"/>
              <w:jc w:val="center"/>
              <w:rPr>
                <w:rFonts w:hint="eastAsia" w:ascii="仿宋" w:hAnsi="仿宋" w:eastAsia="仿宋" w:cs="仿宋"/>
                <w:color w:val="auto"/>
                <w:sz w:val="24"/>
                <w:szCs w:val="24"/>
                <w:highlight w:val="none"/>
              </w:rPr>
            </w:pPr>
          </w:p>
        </w:tc>
      </w:tr>
      <w:tr w14:paraId="00438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5C344769">
            <w:pPr>
              <w:spacing w:line="360" w:lineRule="auto"/>
              <w:rPr>
                <w:rFonts w:hint="eastAsia" w:ascii="仿宋" w:hAnsi="仿宋" w:eastAsia="仿宋" w:cs="仿宋"/>
                <w:color w:val="auto"/>
                <w:sz w:val="24"/>
                <w:szCs w:val="24"/>
                <w:highlight w:val="none"/>
              </w:rPr>
            </w:pPr>
          </w:p>
        </w:tc>
        <w:tc>
          <w:tcPr>
            <w:tcW w:w="1330" w:type="dxa"/>
            <w:noWrap w:val="0"/>
            <w:vAlign w:val="top"/>
          </w:tcPr>
          <w:p w14:paraId="219EDADA">
            <w:pPr>
              <w:spacing w:line="360" w:lineRule="auto"/>
              <w:rPr>
                <w:rFonts w:hint="eastAsia" w:ascii="仿宋" w:hAnsi="仿宋" w:eastAsia="仿宋" w:cs="仿宋"/>
                <w:color w:val="auto"/>
                <w:sz w:val="24"/>
                <w:szCs w:val="24"/>
                <w:highlight w:val="none"/>
              </w:rPr>
            </w:pPr>
          </w:p>
        </w:tc>
        <w:tc>
          <w:tcPr>
            <w:tcW w:w="1367" w:type="dxa"/>
            <w:noWrap w:val="0"/>
            <w:vAlign w:val="center"/>
          </w:tcPr>
          <w:p w14:paraId="448CE7AF">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620A3751">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50E31BFF">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5DCD5E6F">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69B2721C">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64E59822">
            <w:pPr>
              <w:spacing w:line="360" w:lineRule="auto"/>
              <w:ind w:firstLine="600"/>
              <w:jc w:val="center"/>
              <w:rPr>
                <w:rFonts w:hint="eastAsia" w:ascii="仿宋" w:hAnsi="仿宋" w:eastAsia="仿宋" w:cs="仿宋"/>
                <w:color w:val="auto"/>
                <w:sz w:val="24"/>
                <w:szCs w:val="24"/>
                <w:highlight w:val="none"/>
              </w:rPr>
            </w:pPr>
          </w:p>
        </w:tc>
      </w:tr>
      <w:tr w14:paraId="2A0F0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6C586893">
            <w:pPr>
              <w:spacing w:line="360" w:lineRule="auto"/>
              <w:rPr>
                <w:rFonts w:hint="eastAsia" w:ascii="仿宋" w:hAnsi="仿宋" w:eastAsia="仿宋" w:cs="仿宋"/>
                <w:color w:val="auto"/>
                <w:sz w:val="24"/>
                <w:szCs w:val="24"/>
                <w:highlight w:val="none"/>
              </w:rPr>
            </w:pPr>
          </w:p>
        </w:tc>
        <w:tc>
          <w:tcPr>
            <w:tcW w:w="1330" w:type="dxa"/>
            <w:noWrap w:val="0"/>
            <w:vAlign w:val="top"/>
          </w:tcPr>
          <w:p w14:paraId="46CF85AF">
            <w:pPr>
              <w:spacing w:line="360" w:lineRule="auto"/>
              <w:rPr>
                <w:rFonts w:hint="eastAsia" w:ascii="仿宋" w:hAnsi="仿宋" w:eastAsia="仿宋" w:cs="仿宋"/>
                <w:color w:val="auto"/>
                <w:sz w:val="24"/>
                <w:szCs w:val="24"/>
                <w:highlight w:val="none"/>
              </w:rPr>
            </w:pPr>
          </w:p>
        </w:tc>
        <w:tc>
          <w:tcPr>
            <w:tcW w:w="1367" w:type="dxa"/>
            <w:noWrap w:val="0"/>
            <w:vAlign w:val="center"/>
          </w:tcPr>
          <w:p w14:paraId="681B0FC8">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3CD720A2">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08AE917B">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51CE7CD8">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04423813">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4C40FBBF">
            <w:pPr>
              <w:spacing w:line="360" w:lineRule="auto"/>
              <w:ind w:firstLine="600"/>
              <w:jc w:val="center"/>
              <w:rPr>
                <w:rFonts w:hint="eastAsia" w:ascii="仿宋" w:hAnsi="仿宋" w:eastAsia="仿宋" w:cs="仿宋"/>
                <w:color w:val="auto"/>
                <w:sz w:val="24"/>
                <w:szCs w:val="24"/>
                <w:highlight w:val="none"/>
              </w:rPr>
            </w:pPr>
          </w:p>
        </w:tc>
      </w:tr>
      <w:tr w14:paraId="6542C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03A78B51">
            <w:pPr>
              <w:spacing w:line="360" w:lineRule="auto"/>
              <w:rPr>
                <w:rFonts w:hint="eastAsia" w:ascii="仿宋" w:hAnsi="仿宋" w:eastAsia="仿宋" w:cs="仿宋"/>
                <w:color w:val="auto"/>
                <w:sz w:val="24"/>
                <w:szCs w:val="24"/>
                <w:highlight w:val="none"/>
              </w:rPr>
            </w:pPr>
          </w:p>
        </w:tc>
        <w:tc>
          <w:tcPr>
            <w:tcW w:w="1330" w:type="dxa"/>
            <w:noWrap w:val="0"/>
            <w:vAlign w:val="top"/>
          </w:tcPr>
          <w:p w14:paraId="1F9EC98D">
            <w:pPr>
              <w:spacing w:line="360" w:lineRule="auto"/>
              <w:rPr>
                <w:rFonts w:hint="eastAsia" w:ascii="仿宋" w:hAnsi="仿宋" w:eastAsia="仿宋" w:cs="仿宋"/>
                <w:color w:val="auto"/>
                <w:sz w:val="24"/>
                <w:szCs w:val="24"/>
                <w:highlight w:val="none"/>
              </w:rPr>
            </w:pPr>
          </w:p>
        </w:tc>
        <w:tc>
          <w:tcPr>
            <w:tcW w:w="1367" w:type="dxa"/>
            <w:noWrap w:val="0"/>
            <w:vAlign w:val="center"/>
          </w:tcPr>
          <w:p w14:paraId="42B188E7">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401A20F0">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76FEE957">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59095715">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70507763">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10685DF4">
            <w:pPr>
              <w:spacing w:line="360" w:lineRule="auto"/>
              <w:ind w:firstLine="600"/>
              <w:jc w:val="center"/>
              <w:rPr>
                <w:rFonts w:hint="eastAsia" w:ascii="仿宋" w:hAnsi="仿宋" w:eastAsia="仿宋" w:cs="仿宋"/>
                <w:color w:val="auto"/>
                <w:sz w:val="24"/>
                <w:szCs w:val="24"/>
                <w:highlight w:val="none"/>
              </w:rPr>
            </w:pPr>
          </w:p>
        </w:tc>
      </w:tr>
      <w:tr w14:paraId="17754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10B9641A">
            <w:pPr>
              <w:spacing w:line="360" w:lineRule="auto"/>
              <w:rPr>
                <w:rFonts w:hint="eastAsia" w:ascii="仿宋" w:hAnsi="仿宋" w:eastAsia="仿宋" w:cs="仿宋"/>
                <w:color w:val="auto"/>
                <w:sz w:val="24"/>
                <w:szCs w:val="24"/>
                <w:highlight w:val="none"/>
              </w:rPr>
            </w:pPr>
          </w:p>
        </w:tc>
        <w:tc>
          <w:tcPr>
            <w:tcW w:w="1330" w:type="dxa"/>
            <w:noWrap w:val="0"/>
            <w:vAlign w:val="top"/>
          </w:tcPr>
          <w:p w14:paraId="47306A74">
            <w:pPr>
              <w:spacing w:line="360" w:lineRule="auto"/>
              <w:rPr>
                <w:rFonts w:hint="eastAsia" w:ascii="仿宋" w:hAnsi="仿宋" w:eastAsia="仿宋" w:cs="仿宋"/>
                <w:color w:val="auto"/>
                <w:sz w:val="24"/>
                <w:szCs w:val="24"/>
                <w:highlight w:val="none"/>
              </w:rPr>
            </w:pPr>
          </w:p>
        </w:tc>
        <w:tc>
          <w:tcPr>
            <w:tcW w:w="1367" w:type="dxa"/>
            <w:noWrap w:val="0"/>
            <w:vAlign w:val="center"/>
          </w:tcPr>
          <w:p w14:paraId="4FED36CE">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1074F388">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4A9AF64B">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47667641">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5A372297">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59E606B8">
            <w:pPr>
              <w:spacing w:line="360" w:lineRule="auto"/>
              <w:ind w:firstLine="600"/>
              <w:jc w:val="center"/>
              <w:rPr>
                <w:rFonts w:hint="eastAsia" w:ascii="仿宋" w:hAnsi="仿宋" w:eastAsia="仿宋" w:cs="仿宋"/>
                <w:color w:val="auto"/>
                <w:sz w:val="24"/>
                <w:szCs w:val="24"/>
                <w:highlight w:val="none"/>
              </w:rPr>
            </w:pPr>
          </w:p>
        </w:tc>
      </w:tr>
      <w:tr w14:paraId="0E35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671" w:type="dxa"/>
            <w:noWrap w:val="0"/>
            <w:vAlign w:val="top"/>
          </w:tcPr>
          <w:p w14:paraId="1366AFA2">
            <w:pPr>
              <w:spacing w:line="360" w:lineRule="auto"/>
              <w:rPr>
                <w:rFonts w:hint="eastAsia" w:ascii="仿宋" w:hAnsi="仿宋" w:eastAsia="仿宋" w:cs="仿宋"/>
                <w:color w:val="auto"/>
                <w:sz w:val="24"/>
                <w:szCs w:val="24"/>
                <w:highlight w:val="none"/>
              </w:rPr>
            </w:pPr>
          </w:p>
        </w:tc>
        <w:tc>
          <w:tcPr>
            <w:tcW w:w="1330" w:type="dxa"/>
            <w:noWrap w:val="0"/>
            <w:vAlign w:val="top"/>
          </w:tcPr>
          <w:p w14:paraId="4695B7B3">
            <w:pPr>
              <w:spacing w:line="360" w:lineRule="auto"/>
              <w:rPr>
                <w:rFonts w:hint="eastAsia" w:ascii="仿宋" w:hAnsi="仿宋" w:eastAsia="仿宋" w:cs="仿宋"/>
                <w:color w:val="auto"/>
                <w:sz w:val="24"/>
                <w:szCs w:val="24"/>
                <w:highlight w:val="none"/>
              </w:rPr>
            </w:pPr>
          </w:p>
        </w:tc>
        <w:tc>
          <w:tcPr>
            <w:tcW w:w="1367" w:type="dxa"/>
            <w:noWrap w:val="0"/>
            <w:vAlign w:val="center"/>
          </w:tcPr>
          <w:p w14:paraId="78CF9969">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75EFE7FF">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3D41B0E6">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083A52FD">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3DFCE0C8">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31A7A782">
            <w:pPr>
              <w:spacing w:line="360" w:lineRule="auto"/>
              <w:ind w:firstLine="600"/>
              <w:jc w:val="center"/>
              <w:rPr>
                <w:rFonts w:hint="eastAsia" w:ascii="仿宋" w:hAnsi="仿宋" w:eastAsia="仿宋" w:cs="仿宋"/>
                <w:color w:val="auto"/>
                <w:sz w:val="24"/>
                <w:szCs w:val="24"/>
                <w:highlight w:val="none"/>
              </w:rPr>
            </w:pPr>
          </w:p>
        </w:tc>
      </w:tr>
      <w:tr w14:paraId="72AE7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671" w:type="dxa"/>
            <w:noWrap w:val="0"/>
            <w:vAlign w:val="top"/>
          </w:tcPr>
          <w:p w14:paraId="1F86D683">
            <w:pPr>
              <w:spacing w:line="360" w:lineRule="auto"/>
              <w:rPr>
                <w:rFonts w:hint="eastAsia" w:ascii="仿宋" w:hAnsi="仿宋" w:eastAsia="仿宋" w:cs="仿宋"/>
                <w:color w:val="auto"/>
                <w:sz w:val="24"/>
                <w:szCs w:val="24"/>
                <w:highlight w:val="none"/>
              </w:rPr>
            </w:pPr>
          </w:p>
        </w:tc>
        <w:tc>
          <w:tcPr>
            <w:tcW w:w="1330" w:type="dxa"/>
            <w:noWrap w:val="0"/>
            <w:vAlign w:val="top"/>
          </w:tcPr>
          <w:p w14:paraId="16949C75">
            <w:pPr>
              <w:spacing w:line="360" w:lineRule="auto"/>
              <w:rPr>
                <w:rFonts w:hint="eastAsia" w:ascii="仿宋" w:hAnsi="仿宋" w:eastAsia="仿宋" w:cs="仿宋"/>
                <w:color w:val="auto"/>
                <w:sz w:val="24"/>
                <w:szCs w:val="24"/>
                <w:highlight w:val="none"/>
              </w:rPr>
            </w:pPr>
          </w:p>
        </w:tc>
        <w:tc>
          <w:tcPr>
            <w:tcW w:w="1367" w:type="dxa"/>
            <w:noWrap w:val="0"/>
            <w:vAlign w:val="center"/>
          </w:tcPr>
          <w:p w14:paraId="2687DFA7">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0F709888">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0220B3C1">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1E7B4989">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46719521">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42DAEDE0">
            <w:pPr>
              <w:spacing w:line="360" w:lineRule="auto"/>
              <w:ind w:firstLine="600"/>
              <w:jc w:val="center"/>
              <w:rPr>
                <w:rFonts w:hint="eastAsia" w:ascii="仿宋" w:hAnsi="仿宋" w:eastAsia="仿宋" w:cs="仿宋"/>
                <w:color w:val="auto"/>
                <w:sz w:val="24"/>
                <w:szCs w:val="24"/>
                <w:highlight w:val="none"/>
              </w:rPr>
            </w:pPr>
          </w:p>
        </w:tc>
      </w:tr>
      <w:tr w14:paraId="0114D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671" w:type="dxa"/>
            <w:noWrap w:val="0"/>
            <w:vAlign w:val="top"/>
          </w:tcPr>
          <w:p w14:paraId="24167635">
            <w:pPr>
              <w:spacing w:line="360" w:lineRule="auto"/>
              <w:rPr>
                <w:rFonts w:hint="eastAsia" w:ascii="仿宋" w:hAnsi="仿宋" w:eastAsia="仿宋" w:cs="仿宋"/>
                <w:color w:val="auto"/>
                <w:sz w:val="24"/>
                <w:szCs w:val="24"/>
                <w:highlight w:val="none"/>
              </w:rPr>
            </w:pPr>
          </w:p>
        </w:tc>
        <w:tc>
          <w:tcPr>
            <w:tcW w:w="1330" w:type="dxa"/>
            <w:noWrap w:val="0"/>
            <w:vAlign w:val="top"/>
          </w:tcPr>
          <w:p w14:paraId="25BB8F53">
            <w:pPr>
              <w:spacing w:line="360" w:lineRule="auto"/>
              <w:rPr>
                <w:rFonts w:hint="eastAsia" w:ascii="仿宋" w:hAnsi="仿宋" w:eastAsia="仿宋" w:cs="仿宋"/>
                <w:color w:val="auto"/>
                <w:sz w:val="24"/>
                <w:szCs w:val="24"/>
                <w:highlight w:val="none"/>
              </w:rPr>
            </w:pPr>
          </w:p>
        </w:tc>
        <w:tc>
          <w:tcPr>
            <w:tcW w:w="1367" w:type="dxa"/>
            <w:noWrap w:val="0"/>
            <w:vAlign w:val="center"/>
          </w:tcPr>
          <w:p w14:paraId="71884E2D">
            <w:pPr>
              <w:spacing w:line="360" w:lineRule="auto"/>
              <w:ind w:firstLine="600"/>
              <w:jc w:val="center"/>
              <w:rPr>
                <w:rFonts w:hint="eastAsia" w:ascii="仿宋" w:hAnsi="仿宋" w:eastAsia="仿宋" w:cs="仿宋"/>
                <w:color w:val="auto"/>
                <w:sz w:val="24"/>
                <w:szCs w:val="24"/>
                <w:highlight w:val="none"/>
              </w:rPr>
            </w:pPr>
          </w:p>
        </w:tc>
        <w:tc>
          <w:tcPr>
            <w:tcW w:w="882" w:type="dxa"/>
            <w:noWrap w:val="0"/>
            <w:vAlign w:val="top"/>
          </w:tcPr>
          <w:p w14:paraId="30B3736C">
            <w:pPr>
              <w:spacing w:line="360" w:lineRule="auto"/>
              <w:ind w:firstLine="921" w:firstLineChars="384"/>
              <w:jc w:val="center"/>
              <w:rPr>
                <w:rFonts w:hint="eastAsia" w:ascii="仿宋" w:hAnsi="仿宋" w:eastAsia="仿宋" w:cs="仿宋"/>
                <w:color w:val="auto"/>
                <w:sz w:val="24"/>
                <w:szCs w:val="24"/>
                <w:highlight w:val="none"/>
              </w:rPr>
            </w:pPr>
          </w:p>
        </w:tc>
        <w:tc>
          <w:tcPr>
            <w:tcW w:w="1243" w:type="dxa"/>
            <w:noWrap w:val="0"/>
            <w:vAlign w:val="center"/>
          </w:tcPr>
          <w:p w14:paraId="4A20904F">
            <w:pPr>
              <w:spacing w:line="360" w:lineRule="auto"/>
              <w:ind w:firstLine="921" w:firstLineChars="384"/>
              <w:jc w:val="center"/>
              <w:rPr>
                <w:rFonts w:hint="eastAsia" w:ascii="仿宋" w:hAnsi="仿宋" w:eastAsia="仿宋" w:cs="仿宋"/>
                <w:color w:val="auto"/>
                <w:sz w:val="24"/>
                <w:szCs w:val="24"/>
                <w:highlight w:val="none"/>
              </w:rPr>
            </w:pPr>
          </w:p>
        </w:tc>
        <w:tc>
          <w:tcPr>
            <w:tcW w:w="1134" w:type="dxa"/>
            <w:noWrap w:val="0"/>
            <w:vAlign w:val="center"/>
          </w:tcPr>
          <w:p w14:paraId="69ECDF00">
            <w:pPr>
              <w:spacing w:line="360" w:lineRule="auto"/>
              <w:jc w:val="center"/>
              <w:rPr>
                <w:rFonts w:hint="eastAsia" w:ascii="仿宋" w:hAnsi="仿宋" w:eastAsia="仿宋" w:cs="仿宋"/>
                <w:color w:val="auto"/>
                <w:sz w:val="24"/>
                <w:szCs w:val="24"/>
                <w:highlight w:val="none"/>
              </w:rPr>
            </w:pPr>
          </w:p>
        </w:tc>
        <w:tc>
          <w:tcPr>
            <w:tcW w:w="1786" w:type="dxa"/>
            <w:noWrap w:val="0"/>
            <w:vAlign w:val="center"/>
          </w:tcPr>
          <w:p w14:paraId="1CE4B12A">
            <w:pPr>
              <w:spacing w:line="360" w:lineRule="auto"/>
              <w:ind w:firstLine="600"/>
              <w:jc w:val="center"/>
              <w:rPr>
                <w:rFonts w:hint="eastAsia" w:ascii="仿宋" w:hAnsi="仿宋" w:eastAsia="仿宋" w:cs="仿宋"/>
                <w:color w:val="auto"/>
                <w:sz w:val="24"/>
                <w:szCs w:val="24"/>
                <w:highlight w:val="none"/>
              </w:rPr>
            </w:pPr>
          </w:p>
        </w:tc>
        <w:tc>
          <w:tcPr>
            <w:tcW w:w="1191" w:type="dxa"/>
            <w:noWrap w:val="0"/>
            <w:vAlign w:val="center"/>
          </w:tcPr>
          <w:p w14:paraId="478F2B2D">
            <w:pPr>
              <w:spacing w:line="360" w:lineRule="auto"/>
              <w:ind w:firstLine="600"/>
              <w:jc w:val="center"/>
              <w:rPr>
                <w:rFonts w:hint="eastAsia" w:ascii="仿宋" w:hAnsi="仿宋" w:eastAsia="仿宋" w:cs="仿宋"/>
                <w:color w:val="auto"/>
                <w:sz w:val="24"/>
                <w:szCs w:val="24"/>
                <w:highlight w:val="none"/>
              </w:rPr>
            </w:pPr>
          </w:p>
        </w:tc>
      </w:tr>
    </w:tbl>
    <w:p w14:paraId="09469D8E">
      <w:pPr>
        <w:adjustRightInd w:val="0"/>
        <w:snapToGrid w:val="0"/>
        <w:spacing w:line="360" w:lineRule="auto"/>
        <w:rPr>
          <w:rFonts w:hint="eastAsia" w:ascii="仿宋" w:hAnsi="仿宋" w:eastAsia="仿宋" w:cs="仿宋"/>
          <w:b/>
          <w:color w:val="auto"/>
          <w:sz w:val="24"/>
          <w:szCs w:val="24"/>
          <w:highlight w:val="none"/>
          <w:lang w:bidi="ar"/>
        </w:rPr>
      </w:pPr>
    </w:p>
    <w:p w14:paraId="27D91953">
      <w:pPr>
        <w:adjustRightInd w:val="0"/>
        <w:snapToGrid w:val="0"/>
        <w:spacing w:line="360" w:lineRule="auto"/>
        <w:rPr>
          <w:rFonts w:hint="eastAsia" w:ascii="仿宋" w:hAnsi="仿宋" w:eastAsia="仿宋" w:cs="仿宋"/>
          <w:color w:val="auto"/>
          <w:szCs w:val="22"/>
          <w:highlight w:val="none"/>
          <w:lang w:bidi="ar"/>
        </w:rPr>
      </w:pPr>
      <w:r>
        <w:rPr>
          <w:rFonts w:hint="eastAsia" w:ascii="仿宋" w:hAnsi="仿宋" w:eastAsia="仿宋" w:cs="仿宋"/>
          <w:b/>
          <w:color w:val="auto"/>
          <w:highlight w:val="none"/>
          <w:lang w:bidi="ar"/>
        </w:rPr>
        <w:t>备注：</w:t>
      </w:r>
      <w:r>
        <w:rPr>
          <w:rFonts w:hint="eastAsia" w:ascii="仿宋" w:hAnsi="仿宋" w:eastAsia="仿宋" w:cs="仿宋"/>
          <w:color w:val="auto"/>
          <w:szCs w:val="22"/>
          <w:highlight w:val="none"/>
          <w:lang w:bidi="ar"/>
        </w:rPr>
        <w:t>提供上述人员</w:t>
      </w:r>
      <w:r>
        <w:rPr>
          <w:rFonts w:hint="eastAsia" w:ascii="仿宋" w:hAnsi="仿宋" w:eastAsia="仿宋" w:cs="仿宋"/>
          <w:color w:val="auto"/>
          <w:szCs w:val="21"/>
          <w:highlight w:val="none"/>
        </w:rPr>
        <w:t>附身份证、相关</w:t>
      </w:r>
      <w:r>
        <w:rPr>
          <w:rFonts w:hint="eastAsia" w:ascii="仿宋" w:hAnsi="仿宋" w:eastAsia="仿宋" w:cs="仿宋"/>
          <w:color w:val="auto"/>
          <w:szCs w:val="21"/>
          <w:highlight w:val="none"/>
          <w:lang w:val="en-US" w:eastAsia="zh-CN"/>
        </w:rPr>
        <w:t>资格证书</w:t>
      </w:r>
      <w:r>
        <w:rPr>
          <w:rFonts w:hint="eastAsia" w:ascii="仿宋" w:hAnsi="仿宋" w:eastAsia="仿宋" w:cs="仿宋"/>
          <w:color w:val="auto"/>
          <w:szCs w:val="21"/>
          <w:highlight w:val="none"/>
        </w:rPr>
        <w:t>、社保证明等</w:t>
      </w:r>
      <w:r>
        <w:rPr>
          <w:rFonts w:hint="eastAsia" w:ascii="仿宋" w:hAnsi="仿宋" w:eastAsia="仿宋" w:cs="仿宋"/>
          <w:color w:val="auto"/>
          <w:szCs w:val="21"/>
          <w:highlight w:val="none"/>
          <w:lang w:val="en-US" w:eastAsia="zh-CN"/>
        </w:rPr>
        <w:t>复印件</w:t>
      </w:r>
      <w:r>
        <w:rPr>
          <w:rFonts w:hint="eastAsia" w:ascii="仿宋" w:hAnsi="仿宋" w:eastAsia="仿宋" w:cs="仿宋"/>
          <w:color w:val="auto"/>
          <w:szCs w:val="21"/>
          <w:highlight w:val="none"/>
        </w:rPr>
        <w:t>。</w:t>
      </w:r>
    </w:p>
    <w:p w14:paraId="60F68800">
      <w:pPr>
        <w:pStyle w:val="25"/>
        <w:rPr>
          <w:rFonts w:hint="eastAsia" w:ascii="仿宋" w:hAnsi="仿宋" w:eastAsia="仿宋" w:cs="仿宋"/>
          <w:color w:val="auto"/>
          <w:highlight w:val="none"/>
          <w:lang w:val="en-US" w:eastAsia="zh-CN"/>
        </w:rPr>
      </w:pPr>
      <w:r>
        <w:rPr>
          <w:rFonts w:hint="eastAsia" w:ascii="仿宋" w:hAnsi="仿宋" w:eastAsia="仿宋" w:cs="仿宋"/>
          <w:color w:val="auto"/>
          <w:szCs w:val="22"/>
          <w:highlight w:val="none"/>
          <w:lang w:val="en-US" w:eastAsia="zh-CN" w:bidi="ar"/>
        </w:rPr>
        <w:t xml:space="preserve">    </w:t>
      </w:r>
    </w:p>
    <w:p w14:paraId="1C7D4BF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4BDE01D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2F2C907B">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FC8BF6C">
      <w:pPr>
        <w:numPr>
          <w:ilvl w:val="0"/>
          <w:numId w:val="0"/>
        </w:numPr>
        <w:spacing w:beforeLines="0" w:afterLines="0"/>
        <w:ind w:left="4584" w:leftChars="347" w:hanging="3855" w:hangingChars="1200"/>
        <w:jc w:val="left"/>
        <w:rPr>
          <w:rFonts w:hint="eastAsia" w:ascii="宋体" w:hAnsi="宋体" w:eastAsia="宋体" w:cs="宋体"/>
          <w:b/>
          <w:color w:val="auto"/>
          <w:sz w:val="32"/>
          <w:szCs w:val="32"/>
          <w:highlight w:val="none"/>
          <w:lang w:val="zh-CN"/>
        </w:rPr>
      </w:pPr>
      <w:r>
        <w:rPr>
          <w:rFonts w:hint="eastAsia" w:ascii="宋体" w:hAnsi="宋体" w:eastAsia="宋体" w:cs="宋体"/>
          <w:b/>
          <w:color w:val="auto"/>
          <w:sz w:val="32"/>
          <w:szCs w:val="32"/>
          <w:highlight w:val="none"/>
          <w:lang w:val="zh-CN"/>
        </w:rPr>
        <w:br w:type="page"/>
      </w:r>
    </w:p>
    <w:p w14:paraId="487F43F9">
      <w:pPr>
        <w:spacing w:line="360" w:lineRule="auto"/>
        <w:jc w:val="center"/>
        <w:rPr>
          <w:rFonts w:ascii="仿宋_GB2312" w:hAnsi="仿宋_GB2312" w:eastAsia="仿宋_GB2312" w:cs="仿宋_GB2312"/>
          <w:b/>
          <w:bCs/>
          <w:color w:val="auto"/>
          <w:sz w:val="24"/>
          <w:highlight w:val="none"/>
        </w:rPr>
      </w:pPr>
    </w:p>
    <w:p w14:paraId="202781FF">
      <w:pPr>
        <w:numPr>
          <w:ilvl w:val="0"/>
          <w:numId w:val="0"/>
        </w:numPr>
        <w:ind w:left="0" w:leftChars="0" w:firstLine="0" w:firstLineChars="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kern w:val="2"/>
          <w:sz w:val="32"/>
          <w:szCs w:val="32"/>
          <w:highlight w:val="none"/>
          <w:lang w:val="en-US" w:eastAsia="zh-CN" w:bidi="ar-SA"/>
        </w:rPr>
        <w:t>十一、</w:t>
      </w:r>
      <w:r>
        <w:rPr>
          <w:rFonts w:hint="eastAsia" w:ascii="仿宋_GB2312" w:hAnsi="仿宋_GB2312" w:eastAsia="仿宋_GB2312" w:cs="仿宋_GB2312"/>
          <w:b/>
          <w:bCs/>
          <w:color w:val="auto"/>
          <w:sz w:val="32"/>
          <w:szCs w:val="32"/>
          <w:highlight w:val="none"/>
          <w:lang w:val="en-US" w:eastAsia="zh-CN"/>
        </w:rPr>
        <w:t>项目熟知情况</w:t>
      </w:r>
    </w:p>
    <w:p w14:paraId="5F7548B3">
      <w:pPr>
        <w:spacing w:line="360" w:lineRule="auto"/>
        <w:jc w:val="center"/>
        <w:rPr>
          <w:rFonts w:hint="eastAsia" w:ascii="仿宋_GB2312" w:hAnsi="仿宋_GB2312" w:eastAsia="仿宋_GB2312" w:cs="仿宋_GB2312"/>
          <w:color w:val="auto"/>
          <w:sz w:val="24"/>
          <w:highlight w:val="none"/>
        </w:rPr>
      </w:pPr>
    </w:p>
    <w:p w14:paraId="46927BD6">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AC27D5E">
      <w:pPr>
        <w:spacing w:line="360" w:lineRule="auto"/>
        <w:rPr>
          <w:rFonts w:ascii="仿宋_GB2312" w:hAnsi="仿宋_GB2312" w:eastAsia="仿宋_GB2312" w:cs="仿宋_GB2312"/>
          <w:color w:val="auto"/>
          <w:sz w:val="24"/>
          <w:highlight w:val="none"/>
        </w:rPr>
      </w:pPr>
    </w:p>
    <w:p w14:paraId="38E3C12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265F70D">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0C58FB04">
      <w:pPr>
        <w:pStyle w:val="23"/>
        <w:numPr>
          <w:ilvl w:val="0"/>
          <w:numId w:val="0"/>
        </w:numPr>
        <w:ind w:leftChars="0"/>
        <w:rPr>
          <w:rFonts w:hint="default"/>
          <w:color w:val="auto"/>
          <w:highlight w:val="none"/>
          <w:lang w:val="en-US" w:eastAsia="zh-CN"/>
        </w:rPr>
      </w:pPr>
    </w:p>
    <w:p w14:paraId="66EE6974">
      <w:pPr>
        <w:numPr>
          <w:ilvl w:val="0"/>
          <w:numId w:val="0"/>
        </w:numPr>
        <w:ind w:left="0" w:leftChars="0" w:firstLine="0" w:firstLineChars="0"/>
        <w:jc w:val="center"/>
        <w:rPr>
          <w:rFonts w:hint="default"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kern w:val="2"/>
          <w:sz w:val="32"/>
          <w:szCs w:val="32"/>
          <w:highlight w:val="none"/>
          <w:lang w:val="en-US" w:eastAsia="zh-CN" w:bidi="ar-SA"/>
        </w:rPr>
        <w:t>十二、</w:t>
      </w:r>
      <w:r>
        <w:rPr>
          <w:rFonts w:hint="eastAsia" w:ascii="仿宋_GB2312" w:hAnsi="仿宋_GB2312" w:eastAsia="仿宋_GB2312" w:cs="仿宋_GB2312"/>
          <w:b/>
          <w:bCs/>
          <w:color w:val="auto"/>
          <w:sz w:val="32"/>
          <w:szCs w:val="32"/>
          <w:highlight w:val="none"/>
          <w:lang w:val="en-US" w:eastAsia="zh-CN"/>
        </w:rPr>
        <w:t>实施方案</w:t>
      </w:r>
    </w:p>
    <w:p w14:paraId="57CE7A09">
      <w:pPr>
        <w:spacing w:line="360" w:lineRule="auto"/>
        <w:jc w:val="center"/>
        <w:rPr>
          <w:rFonts w:hint="eastAsia" w:ascii="仿宋_GB2312" w:hAnsi="仿宋_GB2312" w:eastAsia="仿宋_GB2312" w:cs="仿宋_GB2312"/>
          <w:color w:val="auto"/>
          <w:sz w:val="24"/>
          <w:highlight w:val="none"/>
        </w:rPr>
      </w:pPr>
    </w:p>
    <w:p w14:paraId="07F6C66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386EE04">
      <w:pPr>
        <w:spacing w:line="360" w:lineRule="auto"/>
        <w:rPr>
          <w:rFonts w:ascii="仿宋_GB2312" w:hAnsi="仿宋_GB2312" w:eastAsia="仿宋_GB2312" w:cs="仿宋_GB2312"/>
          <w:color w:val="auto"/>
          <w:sz w:val="24"/>
          <w:highlight w:val="none"/>
        </w:rPr>
      </w:pPr>
    </w:p>
    <w:p w14:paraId="2460A8D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11A24E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325314F0">
      <w:pPr>
        <w:pStyle w:val="80"/>
        <w:rPr>
          <w:rFonts w:hint="default"/>
          <w:color w:val="auto"/>
          <w:highlight w:val="none"/>
          <w:lang w:val="en-US" w:eastAsia="zh-CN"/>
        </w:rPr>
      </w:pPr>
    </w:p>
    <w:p w14:paraId="070FDCA5">
      <w:pPr>
        <w:pStyle w:val="80"/>
        <w:rPr>
          <w:rFonts w:hint="default"/>
          <w:color w:val="auto"/>
          <w:highlight w:val="none"/>
          <w:lang w:val="en-US" w:eastAsia="zh-CN"/>
        </w:rPr>
      </w:pPr>
    </w:p>
    <w:p w14:paraId="579D7E63">
      <w:pPr>
        <w:numPr>
          <w:ilvl w:val="0"/>
          <w:numId w:val="0"/>
        </w:numPr>
        <w:spacing w:line="360" w:lineRule="auto"/>
        <w:ind w:left="0" w:leftChars="0" w:firstLine="0" w:firstLineChars="0"/>
        <w:jc w:val="cente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kern w:val="2"/>
          <w:sz w:val="32"/>
          <w:szCs w:val="32"/>
          <w:highlight w:val="none"/>
          <w:lang w:val="en-US" w:eastAsia="zh-CN" w:bidi="ar-SA"/>
        </w:rPr>
        <w:t>十三、</w:t>
      </w:r>
      <w:r>
        <w:rPr>
          <w:rFonts w:hint="eastAsia" w:ascii="仿宋_GB2312" w:hAnsi="仿宋_GB2312" w:eastAsia="仿宋_GB2312" w:cs="仿宋_GB2312"/>
          <w:b/>
          <w:bCs/>
          <w:color w:val="auto"/>
          <w:sz w:val="32"/>
          <w:szCs w:val="32"/>
          <w:highlight w:val="none"/>
          <w:lang w:val="en-US" w:eastAsia="zh-CN"/>
        </w:rPr>
        <w:t>计划安排</w:t>
      </w:r>
    </w:p>
    <w:p w14:paraId="43E4F85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4E704925">
      <w:pPr>
        <w:spacing w:line="360" w:lineRule="auto"/>
        <w:rPr>
          <w:rFonts w:ascii="仿宋_GB2312" w:hAnsi="仿宋_GB2312" w:eastAsia="仿宋_GB2312" w:cs="仿宋_GB2312"/>
          <w:color w:val="auto"/>
          <w:sz w:val="24"/>
          <w:highlight w:val="none"/>
        </w:rPr>
      </w:pPr>
    </w:p>
    <w:p w14:paraId="723E549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9D8FAFD">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48624091">
      <w:pPr>
        <w:pStyle w:val="23"/>
        <w:rPr>
          <w:rFonts w:hint="eastAsia" w:ascii="仿宋" w:hAnsi="仿宋" w:eastAsia="仿宋" w:cs="仿宋"/>
          <w:color w:val="auto"/>
          <w:sz w:val="24"/>
          <w:highlight w:val="none"/>
        </w:rPr>
      </w:pPr>
    </w:p>
    <w:p w14:paraId="25E56B57">
      <w:pPr>
        <w:pStyle w:val="79"/>
        <w:rPr>
          <w:rFonts w:hint="eastAsia"/>
          <w:color w:val="auto"/>
          <w:highlight w:val="none"/>
        </w:rPr>
      </w:pPr>
    </w:p>
    <w:p w14:paraId="4053C553">
      <w:pPr>
        <w:numPr>
          <w:ilvl w:val="0"/>
          <w:numId w:val="0"/>
        </w:numPr>
        <w:spacing w:line="360" w:lineRule="auto"/>
        <w:ind w:left="0" w:leftChars="0" w:firstLine="0" w:firstLineChars="0"/>
        <w:jc w:val="center"/>
        <w:rPr>
          <w:rFonts w:hint="default"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kern w:val="2"/>
          <w:sz w:val="32"/>
          <w:szCs w:val="32"/>
          <w:highlight w:val="none"/>
          <w:lang w:val="en-US" w:eastAsia="zh-CN" w:bidi="ar-SA"/>
        </w:rPr>
        <w:t>十四、</w:t>
      </w:r>
      <w:r>
        <w:rPr>
          <w:rFonts w:hint="eastAsia" w:ascii="仿宋_GB2312" w:hAnsi="仿宋_GB2312" w:eastAsia="仿宋_GB2312" w:cs="仿宋_GB2312"/>
          <w:b/>
          <w:bCs/>
          <w:color w:val="auto"/>
          <w:sz w:val="32"/>
          <w:szCs w:val="32"/>
          <w:highlight w:val="none"/>
          <w:lang w:val="en-US" w:eastAsia="zh-CN"/>
        </w:rPr>
        <w:t>防护措施和应急预案</w:t>
      </w:r>
    </w:p>
    <w:p w14:paraId="1D04B02C">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7BA93E1">
      <w:pPr>
        <w:spacing w:line="360" w:lineRule="auto"/>
        <w:rPr>
          <w:rFonts w:ascii="仿宋_GB2312" w:hAnsi="仿宋_GB2312" w:eastAsia="仿宋_GB2312" w:cs="仿宋_GB2312"/>
          <w:color w:val="auto"/>
          <w:sz w:val="24"/>
          <w:highlight w:val="none"/>
        </w:rPr>
      </w:pPr>
    </w:p>
    <w:p w14:paraId="69D1247D">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A6C20E7">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5BC7D9A5">
      <w:pPr>
        <w:pStyle w:val="23"/>
        <w:rPr>
          <w:rFonts w:hint="default"/>
          <w:color w:val="auto"/>
          <w:highlight w:val="none"/>
          <w:lang w:val="en-US" w:eastAsia="zh-CN"/>
        </w:rPr>
      </w:pPr>
    </w:p>
    <w:p w14:paraId="6DE8EDD3">
      <w:pPr>
        <w:pStyle w:val="23"/>
        <w:numPr>
          <w:ilvl w:val="0"/>
          <w:numId w:val="0"/>
        </w:numPr>
        <w:ind w:leftChars="0"/>
        <w:rPr>
          <w:rFonts w:hint="default"/>
          <w:color w:val="auto"/>
          <w:highlight w:val="none"/>
          <w:lang w:val="en-US" w:eastAsia="zh-CN"/>
        </w:rPr>
      </w:pPr>
    </w:p>
    <w:p w14:paraId="40D94206">
      <w:pPr>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br w:type="page"/>
      </w:r>
    </w:p>
    <w:p w14:paraId="157AD897">
      <w:pPr>
        <w:jc w:val="center"/>
        <w:rPr>
          <w:rFonts w:hint="default"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十五、台账设置于管理方案</w:t>
      </w:r>
    </w:p>
    <w:p w14:paraId="2767494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09F6ADD1">
      <w:pPr>
        <w:spacing w:line="360" w:lineRule="auto"/>
        <w:rPr>
          <w:rFonts w:ascii="仿宋_GB2312" w:hAnsi="仿宋_GB2312" w:eastAsia="仿宋_GB2312" w:cs="仿宋_GB2312"/>
          <w:color w:val="auto"/>
          <w:sz w:val="24"/>
          <w:highlight w:val="none"/>
        </w:rPr>
      </w:pPr>
    </w:p>
    <w:p w14:paraId="5697A88B">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FA2E9C7">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7FD4A3D9">
      <w:pPr>
        <w:pStyle w:val="23"/>
        <w:numPr>
          <w:ilvl w:val="0"/>
          <w:numId w:val="0"/>
        </w:numPr>
        <w:rPr>
          <w:rFonts w:hint="default"/>
          <w:color w:val="auto"/>
          <w:highlight w:val="none"/>
          <w:lang w:val="en-US" w:eastAsia="zh-CN"/>
        </w:rPr>
      </w:pPr>
    </w:p>
    <w:p w14:paraId="5312304E">
      <w:pPr>
        <w:jc w:val="center"/>
        <w:rPr>
          <w:rFonts w:hint="eastAsia" w:ascii="仿宋_GB2312" w:hAnsi="仿宋_GB2312" w:eastAsia="仿宋_GB2312" w:cs="仿宋_GB2312"/>
          <w:b/>
          <w:bCs/>
          <w:color w:val="auto"/>
          <w:sz w:val="32"/>
          <w:szCs w:val="32"/>
          <w:highlight w:val="none"/>
          <w:lang w:val="en-US" w:eastAsia="zh-CN"/>
        </w:rPr>
      </w:pPr>
    </w:p>
    <w:p w14:paraId="3C22D006">
      <w:pPr>
        <w:jc w:val="center"/>
        <w:rPr>
          <w:rFonts w:hint="default"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十六、售后服务保障</w:t>
      </w:r>
    </w:p>
    <w:p w14:paraId="64B535CF">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43D590C">
      <w:pPr>
        <w:spacing w:line="360" w:lineRule="auto"/>
        <w:rPr>
          <w:rFonts w:ascii="仿宋_GB2312" w:hAnsi="仿宋_GB2312" w:eastAsia="仿宋_GB2312" w:cs="仿宋_GB2312"/>
          <w:color w:val="auto"/>
          <w:sz w:val="24"/>
          <w:highlight w:val="none"/>
        </w:rPr>
      </w:pPr>
    </w:p>
    <w:p w14:paraId="2114C94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94ABAE5">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4625A1D4">
      <w:pPr>
        <w:rPr>
          <w:rFonts w:hint="eastAsia" w:ascii="仿宋_GB2312" w:hAnsi="仿宋_GB2312" w:eastAsia="仿宋_GB2312" w:cs="仿宋_GB2312"/>
          <w:b/>
          <w:bCs/>
          <w:color w:val="auto"/>
          <w:sz w:val="32"/>
          <w:szCs w:val="32"/>
          <w:highlight w:val="none"/>
        </w:rPr>
      </w:pPr>
    </w:p>
    <w:p w14:paraId="0C6E9E01">
      <w:pPr>
        <w:rPr>
          <w:rFonts w:hint="eastAsia" w:ascii="仿宋_GB2312" w:hAnsi="仿宋_GB2312" w:eastAsia="仿宋_GB2312" w:cs="仿宋_GB2312"/>
          <w:b/>
          <w:bCs/>
          <w:color w:val="auto"/>
          <w:sz w:val="32"/>
          <w:szCs w:val="32"/>
          <w:highlight w:val="none"/>
        </w:rPr>
      </w:pPr>
    </w:p>
    <w:p w14:paraId="3F3B5FE8">
      <w:pPr>
        <w:ind w:firstLine="643" w:firstLineChars="200"/>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val="en-US" w:eastAsia="zh-CN"/>
        </w:rPr>
        <w:t>十七、</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14:paraId="73906FCD">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489F0B6">
      <w:pPr>
        <w:spacing w:line="360" w:lineRule="auto"/>
        <w:rPr>
          <w:rFonts w:ascii="仿宋_GB2312" w:hAnsi="仿宋_GB2312" w:eastAsia="仿宋_GB2312" w:cs="仿宋_GB2312"/>
          <w:color w:val="auto"/>
          <w:sz w:val="24"/>
          <w:highlight w:val="none"/>
        </w:rPr>
      </w:pPr>
    </w:p>
    <w:p w14:paraId="49C66FCF">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89DFEA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17AE7D60">
      <w:pPr>
        <w:pStyle w:val="82"/>
        <w:rPr>
          <w:rFonts w:hint="eastAsia"/>
          <w:color w:val="auto"/>
          <w:highlight w:val="none"/>
        </w:rPr>
        <w:sectPr>
          <w:headerReference r:id="rId9" w:type="first"/>
          <w:footerReference r:id="rId11" w:type="first"/>
          <w:headerReference r:id="rId8" w:type="default"/>
          <w:footerReference r:id="rId10" w:type="default"/>
          <w:pgSz w:w="11906" w:h="16838"/>
          <w:pgMar w:top="1440" w:right="1800" w:bottom="1440" w:left="1800" w:header="851" w:footer="992" w:gutter="0"/>
          <w:pgNumType w:fmt="decimal"/>
          <w:cols w:space="720" w:num="1"/>
          <w:titlePg/>
          <w:docGrid w:linePitch="312" w:charSpace="0"/>
        </w:sectPr>
      </w:pPr>
    </w:p>
    <w:p w14:paraId="3C5B750B">
      <w:pPr>
        <w:widowControl/>
        <w:adjustRightInd/>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十八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25D931E4">
      <w:pPr>
        <w:snapToGrid w:val="0"/>
        <w:spacing w:line="360" w:lineRule="auto"/>
        <w:rPr>
          <w:rFonts w:hint="eastAsia" w:ascii="仿宋" w:hAnsi="仿宋" w:eastAsia="仿宋" w:cs="仿宋"/>
          <w:color w:val="auto"/>
          <w:sz w:val="24"/>
          <w:highlight w:val="none"/>
        </w:rPr>
      </w:pPr>
    </w:p>
    <w:p w14:paraId="68B8A71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9C552F1">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83A14A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7ACF3D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469B9B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6FECF2AF">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CE22BF7">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0C01ACC3">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758F7BA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4B64E5BC">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0FF91178">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1A835F6">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F790334">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2EBDD5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84AFB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6180BBEA">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85CF933">
      <w:pPr>
        <w:spacing w:line="360" w:lineRule="auto"/>
        <w:jc w:val="center"/>
        <w:rPr>
          <w:rFonts w:hint="eastAsia" w:ascii="仿宋" w:hAnsi="仿宋" w:eastAsia="仿宋" w:cs="仿宋"/>
          <w:b/>
          <w:bCs/>
          <w:color w:val="auto"/>
          <w:sz w:val="24"/>
          <w:highlight w:val="none"/>
        </w:rPr>
      </w:pPr>
    </w:p>
    <w:p w14:paraId="27BAE45F">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2536749">
      <w:pPr>
        <w:rPr>
          <w:rFonts w:hint="eastAsia" w:ascii="仿宋" w:hAnsi="仿宋" w:eastAsia="仿宋" w:cs="仿宋"/>
          <w:b/>
          <w:color w:val="auto"/>
          <w:kern w:val="0"/>
          <w:sz w:val="36"/>
          <w:szCs w:val="36"/>
          <w:highlight w:val="none"/>
        </w:rPr>
      </w:pPr>
    </w:p>
    <w:p w14:paraId="622227D4">
      <w:pPr>
        <w:spacing w:line="360" w:lineRule="auto"/>
        <w:jc w:val="center"/>
        <w:outlineLvl w:val="0"/>
        <w:rPr>
          <w:rFonts w:hint="eastAsia" w:ascii="仿宋" w:hAnsi="仿宋" w:eastAsia="仿宋" w:cs="仿宋"/>
          <w:b/>
          <w:color w:val="auto"/>
          <w:kern w:val="0"/>
          <w:sz w:val="36"/>
          <w:szCs w:val="36"/>
          <w:highlight w:val="none"/>
        </w:rPr>
      </w:pPr>
    </w:p>
    <w:p w14:paraId="692FD81D">
      <w:pPr>
        <w:spacing w:line="360" w:lineRule="auto"/>
        <w:jc w:val="center"/>
        <w:outlineLvl w:val="0"/>
        <w:rPr>
          <w:rFonts w:hint="eastAsia" w:ascii="仿宋" w:hAnsi="仿宋" w:eastAsia="仿宋" w:cs="仿宋"/>
          <w:b/>
          <w:color w:val="auto"/>
          <w:kern w:val="0"/>
          <w:sz w:val="36"/>
          <w:szCs w:val="36"/>
          <w:highlight w:val="none"/>
        </w:rPr>
      </w:pPr>
    </w:p>
    <w:p w14:paraId="0C4F8BB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0D8B48A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2B68BF2">
      <w:pPr>
        <w:spacing w:line="360" w:lineRule="auto"/>
        <w:jc w:val="center"/>
        <w:outlineLvl w:val="0"/>
        <w:rPr>
          <w:rFonts w:hint="eastAsia" w:ascii="仿宋" w:hAnsi="仿宋" w:eastAsia="仿宋" w:cs="仿宋"/>
          <w:b/>
          <w:color w:val="auto"/>
          <w:kern w:val="0"/>
          <w:sz w:val="36"/>
          <w:szCs w:val="36"/>
          <w:highlight w:val="none"/>
        </w:rPr>
      </w:pPr>
    </w:p>
    <w:p w14:paraId="59D98AA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42BC2CC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2F9B8F82">
      <w:pPr>
        <w:pStyle w:val="23"/>
        <w:numPr>
          <w:ilvl w:val="0"/>
          <w:numId w:val="0"/>
        </w:numPr>
        <w:snapToGrid w:val="0"/>
        <w:spacing w:line="360" w:lineRule="auto"/>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3743BAAA">
      <w:pPr>
        <w:snapToGrid w:val="0"/>
        <w:spacing w:line="360" w:lineRule="auto"/>
        <w:ind w:right="480"/>
        <w:jc w:val="center"/>
        <w:rPr>
          <w:rFonts w:hint="eastAsia" w:ascii="仿宋" w:hAnsi="仿宋" w:eastAsia="仿宋" w:cs="仿宋"/>
          <w:b/>
          <w:color w:val="auto"/>
          <w:kern w:val="0"/>
          <w:sz w:val="32"/>
          <w:szCs w:val="32"/>
          <w:highlight w:val="none"/>
        </w:rPr>
      </w:pPr>
    </w:p>
    <w:p w14:paraId="17E750D7">
      <w:pPr>
        <w:snapToGrid w:val="0"/>
        <w:spacing w:line="360" w:lineRule="auto"/>
        <w:ind w:right="480"/>
        <w:jc w:val="center"/>
        <w:rPr>
          <w:rFonts w:hint="eastAsia" w:ascii="仿宋" w:hAnsi="仿宋" w:eastAsia="仿宋" w:cs="仿宋"/>
          <w:b/>
          <w:color w:val="auto"/>
          <w:kern w:val="0"/>
          <w:sz w:val="32"/>
          <w:szCs w:val="32"/>
          <w:highlight w:val="none"/>
        </w:rPr>
      </w:pPr>
    </w:p>
    <w:p w14:paraId="121CEA42">
      <w:pPr>
        <w:snapToGrid w:val="0"/>
        <w:spacing w:line="360" w:lineRule="auto"/>
        <w:ind w:right="480"/>
        <w:jc w:val="center"/>
        <w:rPr>
          <w:rFonts w:hint="eastAsia" w:ascii="仿宋" w:hAnsi="仿宋" w:eastAsia="仿宋" w:cs="仿宋"/>
          <w:b/>
          <w:color w:val="auto"/>
          <w:kern w:val="0"/>
          <w:sz w:val="32"/>
          <w:szCs w:val="32"/>
          <w:highlight w:val="none"/>
        </w:rPr>
      </w:pPr>
    </w:p>
    <w:p w14:paraId="4102B953">
      <w:pPr>
        <w:snapToGrid w:val="0"/>
        <w:spacing w:line="360" w:lineRule="auto"/>
        <w:ind w:right="480"/>
        <w:jc w:val="center"/>
        <w:rPr>
          <w:rFonts w:hint="eastAsia" w:ascii="仿宋" w:hAnsi="仿宋" w:eastAsia="仿宋" w:cs="仿宋"/>
          <w:b/>
          <w:color w:val="auto"/>
          <w:kern w:val="0"/>
          <w:sz w:val="32"/>
          <w:szCs w:val="32"/>
          <w:highlight w:val="none"/>
        </w:rPr>
      </w:pPr>
    </w:p>
    <w:p w14:paraId="153A3747">
      <w:pPr>
        <w:snapToGrid w:val="0"/>
        <w:spacing w:line="360" w:lineRule="auto"/>
        <w:ind w:right="480"/>
        <w:jc w:val="center"/>
        <w:rPr>
          <w:rFonts w:hint="eastAsia" w:ascii="仿宋" w:hAnsi="仿宋" w:eastAsia="仿宋" w:cs="仿宋"/>
          <w:b/>
          <w:color w:val="auto"/>
          <w:kern w:val="0"/>
          <w:sz w:val="32"/>
          <w:szCs w:val="32"/>
          <w:highlight w:val="none"/>
        </w:rPr>
      </w:pPr>
    </w:p>
    <w:p w14:paraId="33122542">
      <w:pPr>
        <w:snapToGrid w:val="0"/>
        <w:spacing w:line="360" w:lineRule="auto"/>
        <w:ind w:right="480"/>
        <w:jc w:val="center"/>
        <w:rPr>
          <w:rFonts w:hint="eastAsia" w:ascii="仿宋" w:hAnsi="仿宋" w:eastAsia="仿宋" w:cs="仿宋"/>
          <w:b/>
          <w:color w:val="auto"/>
          <w:kern w:val="0"/>
          <w:sz w:val="32"/>
          <w:szCs w:val="32"/>
          <w:highlight w:val="none"/>
        </w:rPr>
      </w:pPr>
    </w:p>
    <w:p w14:paraId="1CC08237">
      <w:pPr>
        <w:snapToGrid w:val="0"/>
        <w:spacing w:line="360" w:lineRule="auto"/>
        <w:ind w:right="480"/>
        <w:jc w:val="center"/>
        <w:rPr>
          <w:rFonts w:hint="eastAsia" w:ascii="仿宋" w:hAnsi="仿宋" w:eastAsia="仿宋" w:cs="仿宋"/>
          <w:b/>
          <w:color w:val="auto"/>
          <w:kern w:val="0"/>
          <w:sz w:val="32"/>
          <w:szCs w:val="32"/>
          <w:highlight w:val="none"/>
        </w:rPr>
      </w:pPr>
    </w:p>
    <w:p w14:paraId="492972C3">
      <w:pPr>
        <w:snapToGrid w:val="0"/>
        <w:spacing w:line="360" w:lineRule="auto"/>
        <w:ind w:right="480"/>
        <w:jc w:val="center"/>
        <w:rPr>
          <w:rFonts w:hint="eastAsia" w:ascii="仿宋" w:hAnsi="仿宋" w:eastAsia="仿宋" w:cs="仿宋"/>
          <w:b/>
          <w:color w:val="auto"/>
          <w:kern w:val="0"/>
          <w:sz w:val="32"/>
          <w:szCs w:val="32"/>
          <w:highlight w:val="none"/>
        </w:rPr>
      </w:pPr>
    </w:p>
    <w:p w14:paraId="697F3BD4">
      <w:pPr>
        <w:snapToGrid w:val="0"/>
        <w:spacing w:line="360" w:lineRule="auto"/>
        <w:ind w:right="480"/>
        <w:jc w:val="center"/>
        <w:rPr>
          <w:rFonts w:hint="eastAsia" w:ascii="仿宋" w:hAnsi="仿宋" w:eastAsia="仿宋" w:cs="仿宋"/>
          <w:b/>
          <w:color w:val="auto"/>
          <w:kern w:val="0"/>
          <w:sz w:val="32"/>
          <w:szCs w:val="32"/>
          <w:highlight w:val="none"/>
        </w:rPr>
      </w:pPr>
    </w:p>
    <w:p w14:paraId="3D2F8D58">
      <w:pPr>
        <w:snapToGrid w:val="0"/>
        <w:spacing w:line="360" w:lineRule="auto"/>
        <w:ind w:right="480"/>
        <w:jc w:val="center"/>
        <w:rPr>
          <w:rFonts w:hint="eastAsia" w:ascii="仿宋" w:hAnsi="仿宋" w:eastAsia="仿宋" w:cs="仿宋"/>
          <w:b/>
          <w:color w:val="auto"/>
          <w:kern w:val="0"/>
          <w:sz w:val="32"/>
          <w:szCs w:val="32"/>
          <w:highlight w:val="none"/>
        </w:rPr>
      </w:pPr>
    </w:p>
    <w:p w14:paraId="3612E23B">
      <w:pPr>
        <w:snapToGrid w:val="0"/>
        <w:spacing w:line="360" w:lineRule="auto"/>
        <w:ind w:right="480"/>
        <w:jc w:val="center"/>
        <w:rPr>
          <w:rFonts w:hint="eastAsia" w:ascii="仿宋" w:hAnsi="仿宋" w:eastAsia="仿宋" w:cs="仿宋"/>
          <w:b/>
          <w:color w:val="auto"/>
          <w:kern w:val="0"/>
          <w:sz w:val="32"/>
          <w:szCs w:val="32"/>
          <w:highlight w:val="none"/>
        </w:rPr>
      </w:pPr>
    </w:p>
    <w:p w14:paraId="1F0E6DE3">
      <w:pPr>
        <w:snapToGrid w:val="0"/>
        <w:spacing w:line="360" w:lineRule="auto"/>
        <w:ind w:right="480"/>
        <w:jc w:val="center"/>
        <w:rPr>
          <w:rFonts w:hint="eastAsia" w:ascii="仿宋" w:hAnsi="仿宋" w:eastAsia="仿宋" w:cs="仿宋"/>
          <w:b/>
          <w:color w:val="auto"/>
          <w:kern w:val="0"/>
          <w:sz w:val="32"/>
          <w:szCs w:val="32"/>
          <w:highlight w:val="none"/>
        </w:rPr>
      </w:pPr>
    </w:p>
    <w:p w14:paraId="72280482">
      <w:pPr>
        <w:snapToGrid w:val="0"/>
        <w:spacing w:line="360" w:lineRule="auto"/>
        <w:ind w:right="480"/>
        <w:jc w:val="center"/>
        <w:rPr>
          <w:rFonts w:hint="eastAsia" w:ascii="仿宋" w:hAnsi="仿宋" w:eastAsia="仿宋" w:cs="仿宋"/>
          <w:b/>
          <w:color w:val="auto"/>
          <w:kern w:val="0"/>
          <w:sz w:val="32"/>
          <w:szCs w:val="32"/>
          <w:highlight w:val="none"/>
        </w:rPr>
      </w:pPr>
    </w:p>
    <w:p w14:paraId="2C982D97">
      <w:pPr>
        <w:snapToGrid w:val="0"/>
        <w:spacing w:line="360" w:lineRule="auto"/>
        <w:ind w:right="480"/>
        <w:jc w:val="both"/>
        <w:rPr>
          <w:rFonts w:hint="eastAsia" w:ascii="仿宋" w:hAnsi="仿宋" w:eastAsia="仿宋" w:cs="仿宋"/>
          <w:b/>
          <w:color w:val="auto"/>
          <w:kern w:val="0"/>
          <w:sz w:val="32"/>
          <w:szCs w:val="32"/>
          <w:highlight w:val="none"/>
        </w:rPr>
      </w:pPr>
    </w:p>
    <w:p w14:paraId="75AA5B6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3" w:type="first"/>
          <w:footerReference r:id="rId15" w:type="first"/>
          <w:headerReference r:id="rId12" w:type="default"/>
          <w:footerReference r:id="rId14" w:type="default"/>
          <w:pgSz w:w="11906" w:h="16838"/>
          <w:pgMar w:top="1440" w:right="1800" w:bottom="1440" w:left="1800" w:header="851" w:footer="992" w:gutter="0"/>
          <w:pgNumType w:fmt="decimal"/>
          <w:cols w:space="720" w:num="1"/>
          <w:titlePg/>
          <w:docGrid w:linePitch="312" w:charSpace="0"/>
        </w:sectPr>
      </w:pPr>
    </w:p>
    <w:p w14:paraId="47F3CFF3">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2C23858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tbl>
      <w:tblPr>
        <w:tblStyle w:val="62"/>
        <w:tblW w:w="9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2860"/>
        <w:gridCol w:w="2816"/>
        <w:gridCol w:w="3284"/>
      </w:tblGrid>
      <w:tr w14:paraId="4C56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958" w:type="dxa"/>
            <w:tcBorders>
              <w:top w:val="single" w:color="auto" w:sz="4" w:space="0"/>
              <w:left w:val="single" w:color="auto" w:sz="4" w:space="0"/>
              <w:bottom w:val="single" w:color="auto" w:sz="4" w:space="0"/>
              <w:right w:val="single" w:color="auto" w:sz="4" w:space="0"/>
            </w:tcBorders>
            <w:noWrap/>
            <w:vAlign w:val="center"/>
          </w:tcPr>
          <w:p w14:paraId="40B00804">
            <w:pP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860" w:type="dxa"/>
            <w:tcBorders>
              <w:top w:val="single" w:color="auto" w:sz="4" w:space="0"/>
              <w:left w:val="single" w:color="auto" w:sz="4" w:space="0"/>
              <w:bottom w:val="single" w:color="auto" w:sz="4" w:space="0"/>
              <w:right w:val="single" w:color="auto" w:sz="4" w:space="0"/>
            </w:tcBorders>
            <w:noWrap/>
            <w:vAlign w:val="center"/>
          </w:tcPr>
          <w:p w14:paraId="0FD483A5">
            <w:pPr>
              <w:snapToGrid w:val="0"/>
              <w:spacing w:before="50" w:after="50"/>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项目名称</w:t>
            </w:r>
          </w:p>
        </w:tc>
        <w:tc>
          <w:tcPr>
            <w:tcW w:w="2816" w:type="dxa"/>
            <w:tcBorders>
              <w:top w:val="single" w:color="auto" w:sz="4" w:space="0"/>
              <w:left w:val="single" w:color="auto" w:sz="4" w:space="0"/>
              <w:bottom w:val="single" w:color="auto" w:sz="4" w:space="0"/>
              <w:right w:val="single" w:color="auto" w:sz="4" w:space="0"/>
            </w:tcBorders>
            <w:noWrap/>
            <w:vAlign w:val="center"/>
          </w:tcPr>
          <w:p w14:paraId="6DD56D0B">
            <w:pPr>
              <w:snapToGrid w:val="0"/>
              <w:spacing w:before="50" w:after="5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单价</w:t>
            </w:r>
            <w:r>
              <w:rPr>
                <w:rFonts w:hint="eastAsia" w:ascii="仿宋" w:hAnsi="仿宋" w:eastAsia="仿宋" w:cs="仿宋"/>
                <w:b/>
                <w:color w:val="auto"/>
                <w:sz w:val="24"/>
                <w:szCs w:val="24"/>
                <w:highlight w:val="none"/>
                <w:lang w:val="en-US" w:eastAsia="zh-CN"/>
              </w:rPr>
              <w:t>报价</w:t>
            </w:r>
          </w:p>
        </w:tc>
        <w:tc>
          <w:tcPr>
            <w:tcW w:w="3284" w:type="dxa"/>
            <w:tcBorders>
              <w:top w:val="single" w:color="auto" w:sz="4" w:space="0"/>
              <w:left w:val="single" w:color="auto" w:sz="4" w:space="0"/>
              <w:bottom w:val="single" w:color="auto" w:sz="4" w:space="0"/>
              <w:right w:val="single" w:color="auto" w:sz="4" w:space="0"/>
            </w:tcBorders>
            <w:noWrap/>
            <w:vAlign w:val="center"/>
          </w:tcPr>
          <w:p w14:paraId="721448FA">
            <w:pP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0DFAA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9" w:hRule="atLeast"/>
        </w:trPr>
        <w:tc>
          <w:tcPr>
            <w:tcW w:w="958" w:type="dxa"/>
            <w:tcBorders>
              <w:top w:val="single" w:color="auto" w:sz="4" w:space="0"/>
              <w:left w:val="single" w:color="auto" w:sz="4" w:space="0"/>
              <w:bottom w:val="single" w:color="auto" w:sz="4" w:space="0"/>
              <w:right w:val="single" w:color="auto" w:sz="4" w:space="0"/>
            </w:tcBorders>
            <w:noWrap/>
            <w:vAlign w:val="center"/>
          </w:tcPr>
          <w:p w14:paraId="6CBCD00B">
            <w:pP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p>
        </w:tc>
        <w:tc>
          <w:tcPr>
            <w:tcW w:w="2860" w:type="dxa"/>
            <w:tcBorders>
              <w:top w:val="single" w:color="auto" w:sz="4" w:space="0"/>
              <w:left w:val="single" w:color="auto" w:sz="4" w:space="0"/>
              <w:bottom w:val="single" w:color="auto" w:sz="4" w:space="0"/>
              <w:right w:val="single" w:color="auto" w:sz="4" w:space="0"/>
            </w:tcBorders>
            <w:noWrap/>
          </w:tcPr>
          <w:p w14:paraId="332833DA">
            <w:pPr>
              <w:snapToGrid w:val="0"/>
              <w:spacing w:before="50" w:after="50"/>
              <w:jc w:val="left"/>
              <w:rPr>
                <w:rFonts w:hint="eastAsia" w:ascii="仿宋" w:hAnsi="仿宋" w:eastAsia="仿宋" w:cs="仿宋"/>
                <w:color w:val="auto"/>
                <w:sz w:val="24"/>
                <w:highlight w:val="none"/>
                <w:lang w:val="en-US" w:eastAsia="zh-CN"/>
              </w:rPr>
            </w:pPr>
          </w:p>
        </w:tc>
        <w:tc>
          <w:tcPr>
            <w:tcW w:w="2816" w:type="dxa"/>
            <w:tcBorders>
              <w:top w:val="single" w:color="auto" w:sz="4" w:space="0"/>
              <w:left w:val="single" w:color="auto" w:sz="4" w:space="0"/>
              <w:bottom w:val="single" w:color="auto" w:sz="4" w:space="0"/>
              <w:right w:val="single" w:color="auto" w:sz="4" w:space="0"/>
            </w:tcBorders>
            <w:noWrap/>
            <w:vAlign w:val="center"/>
          </w:tcPr>
          <w:p w14:paraId="68C0A804">
            <w:pPr>
              <w:snapToGrid w:val="0"/>
              <w:spacing w:before="50" w:after="50"/>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 xml:space="preserve"> 万元/吨</w:t>
            </w:r>
          </w:p>
        </w:tc>
        <w:tc>
          <w:tcPr>
            <w:tcW w:w="3284" w:type="dxa"/>
            <w:tcBorders>
              <w:top w:val="single" w:color="auto" w:sz="4" w:space="0"/>
              <w:left w:val="single" w:color="auto" w:sz="4" w:space="0"/>
              <w:bottom w:val="single" w:color="auto" w:sz="4" w:space="0"/>
              <w:right w:val="single" w:color="auto" w:sz="4" w:space="0"/>
            </w:tcBorders>
            <w:noWrap/>
          </w:tcPr>
          <w:p w14:paraId="24526A53">
            <w:pPr>
              <w:snapToGrid w:val="0"/>
              <w:spacing w:before="50" w:after="50"/>
              <w:jc w:val="left"/>
              <w:rPr>
                <w:rFonts w:hint="eastAsia" w:ascii="仿宋" w:hAnsi="仿宋" w:eastAsia="仿宋" w:cs="仿宋"/>
                <w:b/>
                <w:color w:val="auto"/>
                <w:sz w:val="24"/>
                <w:szCs w:val="24"/>
                <w:highlight w:val="none"/>
              </w:rPr>
            </w:pPr>
          </w:p>
        </w:tc>
      </w:tr>
    </w:tbl>
    <w:p w14:paraId="1331B59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宋体" w:hAnsi="宋体"/>
          <w:color w:val="auto"/>
          <w:sz w:val="24"/>
          <w:highlight w:val="none"/>
        </w:rPr>
        <w:t xml:space="preserve">注: </w:t>
      </w:r>
      <w:r>
        <w:rPr>
          <w:rFonts w:hint="eastAsia" w:ascii="仿宋" w:hAnsi="仿宋" w:eastAsia="仿宋" w:cs="仿宋"/>
          <w:color w:val="auto"/>
          <w:kern w:val="0"/>
          <w:sz w:val="24"/>
          <w:highlight w:val="none"/>
          <w:lang w:val="zh-CN"/>
        </w:rPr>
        <w:t>1.报价一经涂改，应在涂改处加盖单位公章或者由法定代表人或其授权代表签字或盖章，否则其投标作无效投标处理。</w:t>
      </w:r>
    </w:p>
    <w:p w14:paraId="688D4379">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2.招标人不接受2个(含)以上的报价或方案，若投标人在此表中有2个（含）以上的报价或方案，其投标作无效投标处理。</w:t>
      </w:r>
    </w:p>
    <w:p w14:paraId="3F6AB98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3.单价包括直接回收费用、处置费用、回收点工作经费、仓储费、运输车辆租费、人工费、处置费、危险物运输费、企业管理费、利润、税金及招投标代理等一切费用。</w:t>
      </w:r>
    </w:p>
    <w:p w14:paraId="309899A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9330B93">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02C605C4">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投标人名称（电子签名）：</w:t>
      </w:r>
    </w:p>
    <w:p w14:paraId="498325AD">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535C939E">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1906" w:h="16838"/>
          <w:pgMar w:top="1800" w:right="1440" w:bottom="1800" w:left="1440" w:header="851" w:footer="992" w:gutter="0"/>
          <w:pgNumType w:fmt="decimal"/>
          <w:cols w:space="720" w:num="1"/>
          <w:titlePg/>
          <w:docGrid w:linePitch="312" w:charSpace="0"/>
        </w:sectPr>
      </w:pPr>
    </w:p>
    <w:p w14:paraId="1C24F0AE">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6FD108BC">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57289C1">
      <w:pPr>
        <w:pStyle w:val="81"/>
        <w:rPr>
          <w:rFonts w:hint="eastAsia" w:ascii="仿宋" w:hAnsi="仿宋" w:eastAsia="仿宋" w:cs="仿宋"/>
          <w:b/>
          <w:color w:val="auto"/>
          <w:sz w:val="24"/>
          <w:highlight w:val="none"/>
        </w:rPr>
      </w:pPr>
    </w:p>
    <w:p w14:paraId="1114322B">
      <w:pPr>
        <w:pStyle w:val="82"/>
        <w:rPr>
          <w:rFonts w:hint="eastAsia" w:ascii="仿宋" w:hAnsi="仿宋" w:eastAsia="仿宋" w:cs="仿宋"/>
          <w:b/>
          <w:color w:val="auto"/>
          <w:sz w:val="24"/>
          <w:highlight w:val="none"/>
        </w:rPr>
      </w:pPr>
    </w:p>
    <w:p w14:paraId="3B4210A7">
      <w:pPr>
        <w:rPr>
          <w:rFonts w:hint="eastAsia" w:ascii="仿宋" w:hAnsi="仿宋" w:eastAsia="仿宋" w:cs="仿宋"/>
          <w:b/>
          <w:color w:val="auto"/>
          <w:sz w:val="24"/>
          <w:highlight w:val="none"/>
        </w:rPr>
      </w:pPr>
    </w:p>
    <w:p w14:paraId="651268AA">
      <w:pPr>
        <w:pStyle w:val="81"/>
        <w:rPr>
          <w:rFonts w:hint="eastAsia" w:ascii="仿宋" w:hAnsi="仿宋" w:eastAsia="仿宋" w:cs="仿宋"/>
          <w:b/>
          <w:color w:val="auto"/>
          <w:sz w:val="24"/>
          <w:highlight w:val="none"/>
        </w:rPr>
      </w:pPr>
    </w:p>
    <w:p w14:paraId="0854AEAC">
      <w:pPr>
        <w:rPr>
          <w:rFonts w:hint="eastAsia"/>
          <w:color w:val="auto"/>
          <w:lang w:eastAsia="zh-CN"/>
        </w:rPr>
      </w:pPr>
    </w:p>
    <w:p w14:paraId="044021DA">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4D8D2124">
      <w:pPr>
        <w:pStyle w:val="23"/>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1C0C472">
      <w:pPr>
        <w:pStyle w:val="82"/>
        <w:rPr>
          <w:rFonts w:hint="eastAsia" w:ascii="仿宋" w:hAnsi="仿宋" w:eastAsia="仿宋" w:cs="仿宋"/>
          <w:b/>
          <w:color w:val="auto"/>
          <w:sz w:val="24"/>
          <w:highlight w:val="none"/>
        </w:rPr>
      </w:pPr>
    </w:p>
    <w:p w14:paraId="026D427B">
      <w:pPr>
        <w:rPr>
          <w:rFonts w:hint="eastAsia"/>
          <w:color w:val="auto"/>
          <w:highlight w:val="none"/>
          <w:lang w:eastAsia="zh-CN"/>
        </w:rPr>
      </w:pPr>
    </w:p>
    <w:p w14:paraId="6CA1AA8C">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4BA70D7C">
      <w:pPr>
        <w:spacing w:line="360" w:lineRule="auto"/>
        <w:ind w:right="420" w:firstLine="3614" w:firstLineChars="1000"/>
        <w:rPr>
          <w:rFonts w:hint="eastAsia" w:ascii="仿宋" w:hAnsi="仿宋" w:eastAsia="仿宋" w:cs="仿宋"/>
          <w:b/>
          <w:color w:val="auto"/>
          <w:kern w:val="0"/>
          <w:sz w:val="36"/>
          <w:szCs w:val="36"/>
          <w:highlight w:val="none"/>
        </w:rPr>
      </w:pPr>
    </w:p>
    <w:p w14:paraId="6C9798F9">
      <w:pPr>
        <w:spacing w:line="360" w:lineRule="auto"/>
        <w:ind w:right="420" w:firstLine="3614" w:firstLineChars="1000"/>
        <w:rPr>
          <w:rFonts w:hint="eastAsia" w:ascii="仿宋" w:hAnsi="仿宋" w:eastAsia="仿宋" w:cs="仿宋"/>
          <w:b/>
          <w:color w:val="auto"/>
          <w:kern w:val="0"/>
          <w:sz w:val="36"/>
          <w:szCs w:val="36"/>
          <w:highlight w:val="none"/>
        </w:rPr>
      </w:pPr>
    </w:p>
    <w:p w14:paraId="584A4DF7">
      <w:pPr>
        <w:spacing w:line="360" w:lineRule="auto"/>
        <w:ind w:right="420" w:firstLine="3614" w:firstLineChars="1000"/>
        <w:rPr>
          <w:rFonts w:hint="eastAsia" w:ascii="仿宋" w:hAnsi="仿宋" w:eastAsia="仿宋" w:cs="仿宋"/>
          <w:b/>
          <w:color w:val="auto"/>
          <w:kern w:val="0"/>
          <w:sz w:val="36"/>
          <w:szCs w:val="36"/>
          <w:highlight w:val="none"/>
        </w:rPr>
      </w:pPr>
    </w:p>
    <w:p w14:paraId="3F5B3697">
      <w:pPr>
        <w:spacing w:line="360" w:lineRule="auto"/>
        <w:ind w:right="420" w:firstLine="3614" w:firstLineChars="1000"/>
        <w:rPr>
          <w:rFonts w:hint="eastAsia" w:ascii="仿宋" w:hAnsi="仿宋" w:eastAsia="仿宋" w:cs="仿宋"/>
          <w:b/>
          <w:color w:val="auto"/>
          <w:kern w:val="0"/>
          <w:sz w:val="36"/>
          <w:szCs w:val="36"/>
          <w:highlight w:val="none"/>
        </w:rPr>
      </w:pPr>
    </w:p>
    <w:p w14:paraId="6F2C7C79">
      <w:pPr>
        <w:spacing w:line="360" w:lineRule="auto"/>
        <w:ind w:right="420" w:firstLine="3614" w:firstLineChars="1000"/>
        <w:rPr>
          <w:rFonts w:hint="eastAsia" w:ascii="仿宋" w:hAnsi="仿宋" w:eastAsia="仿宋" w:cs="仿宋"/>
          <w:b/>
          <w:color w:val="auto"/>
          <w:kern w:val="0"/>
          <w:sz w:val="36"/>
          <w:szCs w:val="36"/>
          <w:highlight w:val="none"/>
        </w:rPr>
      </w:pPr>
    </w:p>
    <w:p w14:paraId="157DAB2B">
      <w:pPr>
        <w:spacing w:line="360" w:lineRule="auto"/>
        <w:ind w:right="420" w:firstLine="3614" w:firstLineChars="1000"/>
        <w:rPr>
          <w:rFonts w:hint="eastAsia" w:ascii="仿宋" w:hAnsi="仿宋" w:eastAsia="仿宋" w:cs="仿宋"/>
          <w:b/>
          <w:color w:val="auto"/>
          <w:kern w:val="0"/>
          <w:sz w:val="36"/>
          <w:szCs w:val="36"/>
          <w:highlight w:val="none"/>
        </w:rPr>
      </w:pPr>
    </w:p>
    <w:p w14:paraId="18583E9B">
      <w:pPr>
        <w:spacing w:line="360" w:lineRule="auto"/>
        <w:ind w:right="420" w:firstLine="3614" w:firstLineChars="1000"/>
        <w:rPr>
          <w:rFonts w:hint="eastAsia" w:ascii="仿宋" w:hAnsi="仿宋" w:eastAsia="仿宋" w:cs="仿宋"/>
          <w:b/>
          <w:color w:val="auto"/>
          <w:kern w:val="0"/>
          <w:sz w:val="36"/>
          <w:szCs w:val="36"/>
          <w:highlight w:val="none"/>
        </w:rPr>
      </w:pPr>
    </w:p>
    <w:p w14:paraId="7E089FDA">
      <w:pPr>
        <w:spacing w:line="360" w:lineRule="auto"/>
        <w:ind w:right="420" w:firstLine="3614" w:firstLineChars="1000"/>
        <w:rPr>
          <w:rFonts w:hint="eastAsia" w:ascii="仿宋" w:hAnsi="仿宋" w:eastAsia="仿宋" w:cs="仿宋"/>
          <w:b/>
          <w:color w:val="auto"/>
          <w:kern w:val="0"/>
          <w:sz w:val="36"/>
          <w:szCs w:val="36"/>
          <w:highlight w:val="none"/>
        </w:rPr>
      </w:pPr>
    </w:p>
    <w:p w14:paraId="53E9F26B">
      <w:pPr>
        <w:spacing w:line="360" w:lineRule="auto"/>
        <w:ind w:right="420" w:firstLine="3614" w:firstLineChars="1000"/>
        <w:rPr>
          <w:rFonts w:hint="eastAsia" w:ascii="仿宋" w:hAnsi="仿宋" w:eastAsia="仿宋" w:cs="仿宋"/>
          <w:b/>
          <w:color w:val="auto"/>
          <w:kern w:val="0"/>
          <w:sz w:val="36"/>
          <w:szCs w:val="36"/>
          <w:highlight w:val="none"/>
        </w:rPr>
      </w:pPr>
    </w:p>
    <w:p w14:paraId="3E6F633C">
      <w:pPr>
        <w:pStyle w:val="3"/>
        <w:keepNext w:val="0"/>
        <w:keepLines w:val="0"/>
        <w:pageBreakBefore/>
        <w:widowControl/>
        <w:spacing w:before="100" w:beforeAutospacing="1" w:after="100" w:afterAutospacing="1" w:line="360" w:lineRule="auto"/>
        <w:rPr>
          <w:rFonts w:hint="eastAsia" w:ascii="仿宋" w:hAnsi="仿宋" w:eastAsia="仿宋" w:cs="仿宋"/>
          <w:color w:val="auto"/>
          <w:highlight w:val="none"/>
        </w:rPr>
        <w:sectPr>
          <w:headerReference r:id="rId17" w:type="first"/>
          <w:footerReference r:id="rId20" w:type="first"/>
          <w:headerReference r:id="rId16" w:type="default"/>
          <w:footerReference r:id="rId18" w:type="default"/>
          <w:footerReference r:id="rId19" w:type="even"/>
          <w:pgSz w:w="11906" w:h="16838"/>
          <w:pgMar w:top="1440" w:right="1800" w:bottom="1440" w:left="1800" w:header="851" w:footer="992" w:gutter="0"/>
          <w:pgNumType w:fmt="decimal"/>
          <w:cols w:space="720" w:num="1"/>
          <w:titlePg/>
          <w:docGrid w:linePitch="312" w:charSpace="0"/>
        </w:sectPr>
      </w:pPr>
    </w:p>
    <w:p w14:paraId="458761C9">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mailto:根据浙江省财政厅关于印发《浙江省政府采购活动现场组织管理办法》的通知（浙财采监【2015】13号）文件要求，由各投标供应商在投标文件解密后半小时内如实填写政府采购活动现场确认声明书，并以扫描件形式发送至271184168@qq.com邮箱，如未如实填写，将有可能影响你的投标文件评审（政府采购活动现场确认声明书格式见附表）。" </w:instrText>
      </w:r>
      <w:r>
        <w:rPr>
          <w:rFonts w:hint="eastAsia" w:ascii="仿宋" w:hAnsi="仿宋" w:eastAsia="仿宋" w:cs="仿宋"/>
          <w:b w:val="0"/>
          <w:bCs w:val="0"/>
          <w:color w:val="auto"/>
          <w:sz w:val="24"/>
          <w:szCs w:val="24"/>
          <w:highlight w:val="none"/>
        </w:rPr>
        <w:fldChar w:fldCharType="separate"/>
      </w:r>
      <w:r>
        <w:rPr>
          <w:rStyle w:val="76"/>
          <w:rFonts w:hint="eastAsia" w:ascii="仿宋" w:hAnsi="仿宋" w:eastAsia="仿宋" w:cs="仿宋"/>
          <w:b w:val="0"/>
          <w:bCs w:val="0"/>
          <w:color w:val="auto"/>
          <w:sz w:val="24"/>
          <w:szCs w:val="24"/>
          <w:highlight w:val="none"/>
        </w:rPr>
        <w:t>根据浙江省财政厅关于印发《浙江省政府采购活动现场组织管理办法》的通知（浙财采监【2015】13号）文件要求，由各投标供应商在投标文件解密后</w:t>
      </w:r>
      <w:r>
        <w:rPr>
          <w:rStyle w:val="76"/>
          <w:rFonts w:hint="eastAsia" w:ascii="仿宋" w:hAnsi="仿宋" w:eastAsia="仿宋" w:cs="仿宋"/>
          <w:b w:val="0"/>
          <w:bCs w:val="0"/>
          <w:color w:val="auto"/>
          <w:sz w:val="24"/>
          <w:szCs w:val="24"/>
          <w:highlight w:val="none"/>
          <w:lang w:eastAsia="zh-CN"/>
        </w:rPr>
        <w:t>半小时内</w:t>
      </w:r>
      <w:r>
        <w:rPr>
          <w:rStyle w:val="76"/>
          <w:rFonts w:hint="eastAsia" w:ascii="仿宋" w:hAnsi="仿宋" w:eastAsia="仿宋" w:cs="仿宋"/>
          <w:b w:val="0"/>
          <w:bCs w:val="0"/>
          <w:color w:val="auto"/>
          <w:sz w:val="24"/>
          <w:szCs w:val="24"/>
          <w:highlight w:val="none"/>
        </w:rPr>
        <w:t>如实填写政府采购活动现场确认声明书，并以扫描件形式发送至</w:t>
      </w:r>
      <w:r>
        <w:rPr>
          <w:rStyle w:val="76"/>
          <w:rFonts w:hint="eastAsia" w:ascii="仿宋" w:hAnsi="仿宋" w:eastAsia="仿宋" w:cs="仿宋"/>
          <w:b w:val="0"/>
          <w:bCs w:val="0"/>
          <w:color w:val="auto"/>
          <w:sz w:val="24"/>
          <w:szCs w:val="24"/>
          <w:highlight w:val="none"/>
          <w:lang w:val="en-US" w:eastAsia="zh-CN"/>
        </w:rPr>
        <w:t>1402437534</w:t>
      </w:r>
      <w:r>
        <w:rPr>
          <w:rStyle w:val="76"/>
          <w:rFonts w:hint="eastAsia" w:ascii="仿宋" w:hAnsi="仿宋" w:eastAsia="仿宋" w:cs="仿宋"/>
          <w:b w:val="0"/>
          <w:bCs w:val="0"/>
          <w:color w:val="auto"/>
          <w:sz w:val="24"/>
          <w:szCs w:val="24"/>
          <w:highlight w:val="none"/>
        </w:rPr>
        <w:t>@qq.com邮箱，如未如实填写，将有可能影响你的投标文件评审（政府采购活动现场确认声明书格式</w:t>
      </w:r>
      <w:r>
        <w:rPr>
          <w:rStyle w:val="76"/>
          <w:rFonts w:hint="eastAsia" w:ascii="仿宋" w:hAnsi="仿宋" w:eastAsia="仿宋" w:cs="仿宋"/>
          <w:b w:val="0"/>
          <w:bCs w:val="0"/>
          <w:color w:val="auto"/>
          <w:sz w:val="24"/>
          <w:szCs w:val="24"/>
          <w:highlight w:val="none"/>
          <w:lang w:eastAsia="zh-CN"/>
        </w:rPr>
        <w:t>如下</w:t>
      </w:r>
      <w:r>
        <w:rPr>
          <w:rStyle w:val="76"/>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rPr>
        <w:fldChar w:fldCharType="end"/>
      </w:r>
    </w:p>
    <w:p w14:paraId="17E0D82E">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7F8DCA22">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143AA985">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68DF28E1">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019E5AE5">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4A61CC25">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3E81F63F">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46C20A05">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73B2966E">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70A88CB4">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433B650C">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3ACB7655">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25CBF34A">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4B9E2296">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6A3C6137">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542AC1DA">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35472D4C">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6C10B3C1">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7641C9C9">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0E17CA50">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0910E939">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2FEE9434">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7BE18FAC">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57E3CC70">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38DD7E0C">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05ECF752">
      <w:pPr>
        <w:pStyle w:val="966"/>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b w:val="0"/>
          <w:bCs w:val="0"/>
          <w:color w:val="auto"/>
          <w:sz w:val="24"/>
          <w:szCs w:val="24"/>
          <w:highlight w:val="none"/>
        </w:rPr>
      </w:pPr>
    </w:p>
    <w:p w14:paraId="04C2B31F">
      <w:pPr>
        <w:pStyle w:val="966"/>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政府采购活动现场确认声明书</w:t>
      </w:r>
    </w:p>
    <w:p w14:paraId="3D274DE6">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u w:val="single"/>
          <w:lang w:val="en-US" w:eastAsia="zh-CN"/>
        </w:rPr>
        <w:t>浙江建诚工程管理咨询有限公司</w:t>
      </w:r>
      <w:r>
        <w:rPr>
          <w:rFonts w:hint="eastAsia" w:ascii="仿宋" w:hAnsi="仿宋" w:eastAsia="仿宋" w:cs="仿宋"/>
          <w:color w:val="auto"/>
          <w:kern w:val="0"/>
          <w:sz w:val="24"/>
          <w:szCs w:val="24"/>
          <w:highlight w:val="none"/>
        </w:rPr>
        <w:t>：</w:t>
      </w:r>
    </w:p>
    <w:p w14:paraId="1580D0B1">
      <w:pPr>
        <w:pStyle w:val="966"/>
        <w:keepNext w:val="0"/>
        <w:keepLines w:val="0"/>
        <w:pageBreakBefore w:val="0"/>
        <w:widowControl w:val="0"/>
        <w:kinsoku/>
        <w:wordWrap/>
        <w:overflowPunct/>
        <w:topLinePunct w:val="0"/>
        <w:autoSpaceDE/>
        <w:autoSpaceDN/>
        <w:bidi w:val="0"/>
        <w:adjustRightInd/>
        <w:snapToGrid w:val="0"/>
        <w:spacing w:line="360" w:lineRule="auto"/>
        <w:ind w:firstLine="504" w:firstLineChars="200"/>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本人</w:t>
      </w:r>
      <w:r>
        <w:rPr>
          <w:rFonts w:hint="eastAsia" w:ascii="仿宋" w:hAnsi="仿宋" w:eastAsia="仿宋" w:cs="仿宋"/>
          <w:color w:val="auto"/>
          <w:spacing w:val="6"/>
          <w:sz w:val="24"/>
          <w:szCs w:val="24"/>
          <w:highlight w:val="none"/>
          <w:u w:val="single"/>
          <w:lang w:val="en-US" w:eastAsia="zh-CN"/>
        </w:rPr>
        <w:t xml:space="preserve">     </w:t>
      </w:r>
      <w:r>
        <w:rPr>
          <w:rFonts w:hint="eastAsia" w:ascii="仿宋" w:hAnsi="仿宋" w:eastAsia="仿宋" w:cs="仿宋"/>
          <w:color w:val="auto"/>
          <w:spacing w:val="6"/>
          <w:sz w:val="24"/>
          <w:szCs w:val="24"/>
          <w:highlight w:val="none"/>
        </w:rPr>
        <w:t>经由</w:t>
      </w:r>
      <w:r>
        <w:rPr>
          <w:rFonts w:hint="eastAsia" w:ascii="仿宋" w:hAnsi="仿宋" w:eastAsia="仿宋" w:cs="仿宋"/>
          <w:color w:val="auto"/>
          <w:spacing w:val="6"/>
          <w:sz w:val="24"/>
          <w:szCs w:val="24"/>
          <w:highlight w:val="none"/>
          <w:u w:val="single"/>
        </w:rPr>
        <w:t xml:space="preserve">                         （单位）</w:t>
      </w:r>
      <w:r>
        <w:rPr>
          <w:rFonts w:hint="eastAsia" w:ascii="仿宋" w:hAnsi="仿宋" w:eastAsia="仿宋" w:cs="仿宋"/>
          <w:color w:val="auto"/>
          <w:spacing w:val="6"/>
          <w:sz w:val="24"/>
          <w:szCs w:val="24"/>
          <w:highlight w:val="none"/>
        </w:rPr>
        <w:t>负责人</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i/>
          <w:iCs/>
          <w:color w:val="auto"/>
          <w:spacing w:val="6"/>
          <w:sz w:val="24"/>
          <w:szCs w:val="24"/>
          <w:highlight w:val="none"/>
          <w:u w:val="single"/>
        </w:rPr>
        <w:t xml:space="preserve">     </w:t>
      </w:r>
      <w:r>
        <w:rPr>
          <w:rFonts w:hint="eastAsia" w:ascii="仿宋" w:hAnsi="仿宋" w:eastAsia="仿宋" w:cs="仿宋"/>
          <w:color w:val="auto"/>
          <w:spacing w:val="6"/>
          <w:sz w:val="24"/>
          <w:szCs w:val="24"/>
          <w:highlight w:val="none"/>
          <w:u w:val="single"/>
        </w:rPr>
        <w:t>（姓名）</w:t>
      </w:r>
      <w:r>
        <w:rPr>
          <w:rFonts w:hint="eastAsia" w:ascii="仿宋" w:hAnsi="仿宋" w:eastAsia="仿宋" w:cs="仿宋"/>
          <w:color w:val="auto"/>
          <w:spacing w:val="6"/>
          <w:sz w:val="24"/>
          <w:szCs w:val="24"/>
          <w:highlight w:val="none"/>
        </w:rPr>
        <w:t>合法授权参加</w:t>
      </w:r>
      <w:r>
        <w:rPr>
          <w:rFonts w:hint="eastAsia" w:ascii="仿宋" w:hAnsi="仿宋" w:eastAsia="仿宋" w:cs="仿宋"/>
          <w:color w:val="auto"/>
          <w:spacing w:val="6"/>
          <w:sz w:val="24"/>
          <w:szCs w:val="24"/>
          <w:highlight w:val="none"/>
          <w:lang w:val="en-US" w:eastAsia="zh-CN"/>
        </w:rPr>
        <w:t xml:space="preserve"> </w:t>
      </w:r>
      <w:r>
        <w:rPr>
          <w:rFonts w:hint="eastAsia" w:ascii="仿宋" w:hAnsi="仿宋" w:eastAsia="仿宋" w:cs="仿宋"/>
          <w:color w:val="auto"/>
          <w:spacing w:val="6"/>
          <w:sz w:val="24"/>
          <w:szCs w:val="24"/>
          <w:highlight w:val="none"/>
          <w:u w:val="single"/>
          <w:lang w:val="en-US" w:eastAsia="zh-CN"/>
        </w:rPr>
        <w:t xml:space="preserve">                        </w:t>
      </w:r>
      <w:r>
        <w:rPr>
          <w:rFonts w:hint="eastAsia" w:ascii="仿宋" w:hAnsi="仿宋" w:eastAsia="仿宋" w:cs="仿宋"/>
          <w:color w:val="auto"/>
          <w:spacing w:val="6"/>
          <w:sz w:val="24"/>
          <w:szCs w:val="24"/>
          <w:highlight w:val="none"/>
        </w:rPr>
        <w:t>（项目编号：</w:t>
      </w:r>
      <w:r>
        <w:rPr>
          <w:rFonts w:hint="eastAsia" w:ascii="仿宋" w:hAnsi="仿宋" w:eastAsia="仿宋" w:cs="仿宋"/>
          <w:color w:val="auto"/>
          <w:spacing w:val="6"/>
          <w:sz w:val="24"/>
          <w:szCs w:val="24"/>
          <w:highlight w:val="none"/>
          <w:lang w:val="en-US" w:eastAsia="zh-CN"/>
        </w:rPr>
        <w:t xml:space="preserve">     </w:t>
      </w:r>
      <w:r>
        <w:rPr>
          <w:rFonts w:hint="eastAsia" w:ascii="仿宋" w:hAnsi="仿宋" w:eastAsia="仿宋" w:cs="仿宋"/>
          <w:color w:val="auto"/>
          <w:spacing w:val="6"/>
          <w:sz w:val="24"/>
          <w:szCs w:val="24"/>
          <w:highlight w:val="none"/>
        </w:rPr>
        <w:t xml:space="preserve">）政府采购活动，经与本单位法人代表（负责人）联系确认，现就有关公平竞争事项郑重声明如下： </w:t>
      </w:r>
    </w:p>
    <w:p w14:paraId="414DE41E">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一、本单位与采购人之间 </w:t>
      </w:r>
    </w:p>
    <w:p w14:paraId="696A0156">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□不存在利害关系;</w:t>
      </w:r>
    </w:p>
    <w:p w14:paraId="5B9C49A4">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4A29B9E0">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A.投资关系    B.行政隶属关系    C.业务指导关系</w:t>
      </w:r>
    </w:p>
    <w:p w14:paraId="334F770E">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14:paraId="32F4BD99">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二、</w:t>
      </w:r>
      <w:r>
        <w:rPr>
          <w:rFonts w:hint="eastAsia" w:ascii="仿宋" w:hAnsi="仿宋" w:eastAsia="仿宋" w:cs="仿宋"/>
          <w:color w:val="auto"/>
          <w:kern w:val="0"/>
          <w:sz w:val="24"/>
          <w:szCs w:val="24"/>
          <w:highlight w:val="none"/>
        </w:rPr>
        <w:t xml:space="preserve">现已清楚知道参加本项目采购活动的其他所有供应商名称，本单位 </w:t>
      </w:r>
    </w:p>
    <w:p w14:paraId="3248E147">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□与其他所有供应商之间均不存在利害关系 </w:t>
      </w:r>
    </w:p>
    <w:p w14:paraId="73F3E48E">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D536EB0">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A.法定代表人或负责人或实际控制人是同一人</w:t>
      </w:r>
    </w:p>
    <w:p w14:paraId="29A467DD">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B.法定代表人或负责人或实际控制人是夫妻关系</w:t>
      </w:r>
    </w:p>
    <w:p w14:paraId="41048E86">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C.法定代表人或负责人或实际控制人是直系血亲关系</w:t>
      </w:r>
    </w:p>
    <w:p w14:paraId="41836707">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D.法定代表人或负责人或实际控制人存在三代以内旁系血亲关系</w:t>
      </w:r>
    </w:p>
    <w:p w14:paraId="537691ED">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E.法定代表人或负责人或实际控制人存在近姻亲关系</w:t>
      </w:r>
    </w:p>
    <w:p w14:paraId="5EE30630">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F.法定代表人或负责人或实际控制人存在股份控制或实际控制关系</w:t>
      </w:r>
    </w:p>
    <w:p w14:paraId="201BC251">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G.存在共同直接或间接投资设立子公司、联营企业和合营企业情况</w:t>
      </w:r>
    </w:p>
    <w:p w14:paraId="06CB15C8">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H.存在分级代理或代销关系、同一生产制造商关系、</w:t>
      </w:r>
      <w:r>
        <w:rPr>
          <w:rFonts w:hint="eastAsia" w:ascii="仿宋" w:hAnsi="仿宋" w:eastAsia="仿宋" w:cs="仿宋"/>
          <w:color w:val="auto"/>
          <w:sz w:val="24"/>
          <w:szCs w:val="24"/>
          <w:highlight w:val="none"/>
        </w:rPr>
        <w:t>管理关系、重要业务（占主营业务收入50%以上）或重要财务往来关系（如融资）等其他实质性控制关系</w:t>
      </w:r>
    </w:p>
    <w:p w14:paraId="21E80EB0">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I</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436E8ABB">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三、现已清楚知道并</w:t>
      </w:r>
      <w:r>
        <w:rPr>
          <w:rFonts w:hint="eastAsia" w:ascii="仿宋" w:hAnsi="仿宋" w:eastAsia="仿宋" w:cs="仿宋"/>
          <w:color w:val="auto"/>
          <w:kern w:val="0"/>
          <w:sz w:val="24"/>
          <w:szCs w:val="24"/>
          <w:highlight w:val="none"/>
        </w:rPr>
        <w:t>严格遵守政府采购法律法规和现场纪律。</w:t>
      </w:r>
    </w:p>
    <w:p w14:paraId="3357E276">
      <w:pPr>
        <w:pStyle w:val="967"/>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四、我发现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供应商之间存在或可能存在上述第二条第</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项利害关系。</w:t>
      </w:r>
    </w:p>
    <w:p w14:paraId="6AB21AE3">
      <w:pPr>
        <w:pStyle w:val="966"/>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（供应商代表签名）：                                       </w:t>
      </w:r>
    </w:p>
    <w:p w14:paraId="6F362ED1">
      <w:pPr>
        <w:pStyle w:val="966"/>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rPr>
        <w:t xml:space="preserve">  月   日</w:t>
      </w:r>
    </w:p>
    <w:p w14:paraId="56B737DC">
      <w:pPr>
        <w:pStyle w:val="3"/>
        <w:keepNext w:val="0"/>
        <w:keepLines w:val="0"/>
        <w:pageBreakBefore/>
        <w:widowControl/>
        <w:spacing w:before="100" w:beforeAutospacing="1" w:after="100" w:afterAutospacing="1" w:line="360" w:lineRule="auto"/>
        <w:rPr>
          <w:rFonts w:hint="eastAsia" w:ascii="仿宋" w:hAnsi="仿宋" w:eastAsia="仿宋" w:cs="仿宋"/>
          <w:color w:val="auto"/>
          <w:highlight w:val="none"/>
        </w:rPr>
        <w:sectPr>
          <w:pgSz w:w="11906" w:h="16838"/>
          <w:pgMar w:top="1440" w:right="1800" w:bottom="1440" w:left="1800" w:header="851" w:footer="992" w:gutter="0"/>
          <w:pgNumType w:fmt="decimal"/>
          <w:cols w:space="720" w:num="1"/>
          <w:titlePg/>
          <w:docGrid w:linePitch="312" w:charSpace="0"/>
        </w:sectPr>
      </w:pPr>
    </w:p>
    <w:p w14:paraId="3B36F429">
      <w:pPr>
        <w:pStyle w:val="3"/>
        <w:keepNext w:val="0"/>
        <w:keepLines w:val="0"/>
        <w:pageBreakBefore/>
        <w:widowControl/>
        <w:spacing w:before="100" w:beforeAutospacing="1" w:after="100" w:afterAutospacing="1" w:line="360" w:lineRule="auto"/>
        <w:rPr>
          <w:rFonts w:hint="eastAsia" w:ascii="仿宋" w:hAnsi="仿宋" w:eastAsia="仿宋" w:cs="仿宋"/>
          <w:color w:val="auto"/>
          <w:highlight w:val="none"/>
        </w:rPr>
      </w:pPr>
      <w:r>
        <w:rPr>
          <w:rFonts w:hint="eastAsia" w:ascii="仿宋" w:hAnsi="仿宋" w:eastAsia="仿宋" w:cs="仿宋"/>
          <w:color w:val="auto"/>
          <w:highlight w:val="none"/>
        </w:rPr>
        <w:t>附件</w:t>
      </w:r>
    </w:p>
    <w:p w14:paraId="0F2BB64A">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7ECFBBA9">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DFB1CA5">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4DE017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4C5ACF2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6E04B0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40673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2F05448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4CD1A3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248EBBB">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6861E62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3F7020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18C483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6202287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2ED99D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7E6A41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A6633E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FA8C6C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584A557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F82695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760DD8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6A0BB7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1BD39B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55E5C6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40243D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724AC3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D480B3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D91A57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7B3584B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AD075C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431D09A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8466DF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588D04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44E29210">
      <w:pPr>
        <w:widowControl/>
        <w:spacing w:line="360" w:lineRule="auto"/>
        <w:ind w:firstLine="600" w:firstLineChars="200"/>
        <w:jc w:val="left"/>
        <w:rPr>
          <w:rFonts w:hint="eastAsia" w:ascii="仿宋" w:hAnsi="仿宋" w:eastAsia="仿宋" w:cs="仿宋"/>
          <w:color w:val="auto"/>
          <w:sz w:val="30"/>
          <w:szCs w:val="30"/>
          <w:highlight w:val="none"/>
        </w:rPr>
      </w:pPr>
    </w:p>
    <w:p w14:paraId="3EB58462">
      <w:pPr>
        <w:spacing w:line="360" w:lineRule="auto"/>
        <w:jc w:val="center"/>
        <w:rPr>
          <w:rFonts w:hint="eastAsia" w:ascii="仿宋" w:hAnsi="仿宋" w:eastAsia="仿宋" w:cs="仿宋"/>
          <w:b/>
          <w:color w:val="auto"/>
          <w:spacing w:val="6"/>
          <w:sz w:val="32"/>
          <w:szCs w:val="32"/>
          <w:highlight w:val="none"/>
        </w:rPr>
      </w:pPr>
    </w:p>
    <w:p w14:paraId="237C64F3">
      <w:pPr>
        <w:spacing w:line="360" w:lineRule="auto"/>
        <w:jc w:val="center"/>
        <w:rPr>
          <w:rFonts w:hint="eastAsia" w:ascii="仿宋" w:hAnsi="仿宋" w:eastAsia="仿宋" w:cs="仿宋"/>
          <w:b/>
          <w:color w:val="auto"/>
          <w:spacing w:val="6"/>
          <w:sz w:val="32"/>
          <w:szCs w:val="32"/>
          <w:highlight w:val="none"/>
        </w:rPr>
      </w:pPr>
    </w:p>
    <w:p w14:paraId="5EB8C263">
      <w:pPr>
        <w:spacing w:line="360" w:lineRule="auto"/>
        <w:jc w:val="center"/>
        <w:rPr>
          <w:rFonts w:hint="eastAsia" w:ascii="仿宋" w:hAnsi="仿宋" w:eastAsia="仿宋" w:cs="仿宋"/>
          <w:b/>
          <w:color w:val="auto"/>
          <w:spacing w:val="6"/>
          <w:sz w:val="32"/>
          <w:szCs w:val="32"/>
          <w:highlight w:val="none"/>
        </w:rPr>
      </w:pPr>
    </w:p>
    <w:p w14:paraId="231CA015">
      <w:pPr>
        <w:spacing w:line="360" w:lineRule="auto"/>
        <w:jc w:val="center"/>
        <w:rPr>
          <w:rFonts w:hint="eastAsia" w:ascii="仿宋" w:hAnsi="仿宋" w:eastAsia="仿宋" w:cs="仿宋"/>
          <w:b/>
          <w:color w:val="auto"/>
          <w:spacing w:val="6"/>
          <w:sz w:val="32"/>
          <w:szCs w:val="32"/>
          <w:highlight w:val="none"/>
        </w:rPr>
      </w:pPr>
    </w:p>
    <w:p w14:paraId="2DCE039C">
      <w:pPr>
        <w:spacing w:line="360" w:lineRule="auto"/>
        <w:jc w:val="center"/>
        <w:rPr>
          <w:rFonts w:hint="eastAsia" w:ascii="仿宋" w:hAnsi="仿宋" w:eastAsia="仿宋" w:cs="仿宋"/>
          <w:b/>
          <w:color w:val="auto"/>
          <w:spacing w:val="6"/>
          <w:sz w:val="32"/>
          <w:szCs w:val="32"/>
          <w:highlight w:val="none"/>
        </w:rPr>
      </w:pPr>
    </w:p>
    <w:p w14:paraId="116CD00B">
      <w:pPr>
        <w:spacing w:line="360" w:lineRule="auto"/>
        <w:jc w:val="center"/>
        <w:rPr>
          <w:rFonts w:hint="eastAsia" w:ascii="仿宋" w:hAnsi="仿宋" w:eastAsia="仿宋" w:cs="仿宋"/>
          <w:b/>
          <w:color w:val="auto"/>
          <w:spacing w:val="6"/>
          <w:sz w:val="32"/>
          <w:szCs w:val="32"/>
          <w:highlight w:val="none"/>
        </w:rPr>
      </w:pPr>
    </w:p>
    <w:p w14:paraId="5B2E8DB9">
      <w:pPr>
        <w:spacing w:line="360" w:lineRule="auto"/>
        <w:jc w:val="center"/>
        <w:rPr>
          <w:rFonts w:hint="eastAsia" w:ascii="仿宋" w:hAnsi="仿宋" w:eastAsia="仿宋" w:cs="仿宋"/>
          <w:b/>
          <w:color w:val="auto"/>
          <w:spacing w:val="6"/>
          <w:sz w:val="32"/>
          <w:szCs w:val="32"/>
          <w:highlight w:val="none"/>
        </w:rPr>
      </w:pPr>
    </w:p>
    <w:p w14:paraId="6B010E42">
      <w:pPr>
        <w:spacing w:line="360" w:lineRule="auto"/>
        <w:jc w:val="left"/>
        <w:rPr>
          <w:rFonts w:hint="eastAsia" w:ascii="仿宋" w:hAnsi="仿宋" w:eastAsia="仿宋" w:cs="仿宋"/>
          <w:b/>
          <w:color w:val="auto"/>
          <w:spacing w:val="6"/>
          <w:sz w:val="32"/>
          <w:szCs w:val="32"/>
          <w:highlight w:val="none"/>
        </w:rPr>
      </w:pPr>
    </w:p>
    <w:p w14:paraId="42D40586">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1DEE7A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55F247FA">
      <w:pPr>
        <w:spacing w:line="360" w:lineRule="auto"/>
        <w:jc w:val="center"/>
        <w:rPr>
          <w:rFonts w:hint="eastAsia" w:ascii="仿宋" w:hAnsi="仿宋" w:eastAsia="仿宋" w:cs="仿宋"/>
          <w:b/>
          <w:color w:val="auto"/>
          <w:sz w:val="24"/>
          <w:highlight w:val="none"/>
        </w:rPr>
      </w:pPr>
    </w:p>
    <w:p w14:paraId="13018F5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28036C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0312B8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C562CF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008DDA1">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7AD9B66">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68133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08EDBB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1565AC1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9D0759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8D0A30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4C31F8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95B799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D7F06E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8EAB99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78C3A2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C82E2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7206868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6FB7E2B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66B7DE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8DC667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2F37F9F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5D9465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BB70DF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53997CC7">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1C2F847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E4FC34E">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A4C8B5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3C6CC2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B52710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D4C695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091B6B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BFD8E8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89EF62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5BC6E3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91DE6F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20290DA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DFBC11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59A9C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7E1617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CB3DA94">
      <w:pPr>
        <w:spacing w:line="360" w:lineRule="auto"/>
        <w:rPr>
          <w:rFonts w:hint="eastAsia" w:ascii="仿宋" w:hAnsi="仿宋" w:eastAsia="仿宋" w:cs="仿宋"/>
          <w:b/>
          <w:color w:val="auto"/>
          <w:sz w:val="24"/>
          <w:highlight w:val="none"/>
        </w:rPr>
      </w:pPr>
    </w:p>
    <w:p w14:paraId="46FCF568">
      <w:pPr>
        <w:spacing w:line="360" w:lineRule="auto"/>
        <w:rPr>
          <w:rFonts w:hint="eastAsia" w:ascii="仿宋" w:hAnsi="仿宋" w:eastAsia="仿宋" w:cs="仿宋"/>
          <w:b/>
          <w:color w:val="auto"/>
          <w:sz w:val="24"/>
          <w:highlight w:val="none"/>
        </w:rPr>
      </w:pPr>
    </w:p>
    <w:p w14:paraId="7AC0E61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13162F2">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7798100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849B12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EED0E9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8D2C92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48B0E76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7951463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C9A4BCD">
      <w:pPr>
        <w:spacing w:line="360" w:lineRule="auto"/>
        <w:rPr>
          <w:rFonts w:hint="eastAsia" w:ascii="仿宋" w:hAnsi="仿宋" w:eastAsia="仿宋" w:cs="仿宋"/>
          <w:b/>
          <w:color w:val="auto"/>
          <w:sz w:val="24"/>
          <w:highlight w:val="none"/>
        </w:rPr>
      </w:pPr>
    </w:p>
    <w:p w14:paraId="079B93F5">
      <w:pPr>
        <w:autoSpaceDE w:val="0"/>
        <w:autoSpaceDN w:val="0"/>
        <w:jc w:val="center"/>
        <w:rPr>
          <w:rFonts w:hint="eastAsia" w:ascii="仿宋" w:hAnsi="仿宋" w:eastAsia="仿宋" w:cs="仿宋"/>
          <w:b/>
          <w:color w:val="auto"/>
          <w:spacing w:val="6"/>
          <w:sz w:val="32"/>
          <w:szCs w:val="32"/>
          <w:highlight w:val="none"/>
        </w:rPr>
      </w:pPr>
    </w:p>
    <w:p w14:paraId="7EED9DE0">
      <w:pPr>
        <w:autoSpaceDE w:val="0"/>
        <w:autoSpaceDN w:val="0"/>
        <w:jc w:val="center"/>
        <w:rPr>
          <w:rFonts w:hint="eastAsia" w:ascii="仿宋" w:hAnsi="仿宋" w:eastAsia="仿宋" w:cs="仿宋"/>
          <w:b/>
          <w:color w:val="auto"/>
          <w:spacing w:val="6"/>
          <w:sz w:val="32"/>
          <w:szCs w:val="32"/>
          <w:highlight w:val="none"/>
        </w:rPr>
      </w:pPr>
    </w:p>
    <w:p w14:paraId="04EC0516">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0719BEDE">
      <w:pPr>
        <w:spacing w:line="360" w:lineRule="auto"/>
        <w:rPr>
          <w:rFonts w:hint="eastAsia" w:ascii="仿宋" w:hAnsi="仿宋" w:eastAsia="仿宋" w:cs="仿宋"/>
          <w:color w:val="auto"/>
          <w:sz w:val="24"/>
          <w:highlight w:val="none"/>
          <w:u w:val="single"/>
        </w:rPr>
      </w:pPr>
    </w:p>
    <w:p w14:paraId="0A7C0E41">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3DFD32B9">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9FDB76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253917C3">
      <w:pPr>
        <w:spacing w:line="360" w:lineRule="auto"/>
        <w:ind w:firstLine="494"/>
        <w:rPr>
          <w:rFonts w:hint="eastAsia" w:ascii="仿宋" w:hAnsi="仿宋" w:eastAsia="仿宋" w:cs="仿宋"/>
          <w:color w:val="auto"/>
          <w:sz w:val="24"/>
          <w:highlight w:val="none"/>
        </w:rPr>
      </w:pPr>
    </w:p>
    <w:p w14:paraId="326C1D06">
      <w:pPr>
        <w:spacing w:line="360" w:lineRule="auto"/>
        <w:ind w:firstLine="494"/>
        <w:rPr>
          <w:rFonts w:hint="eastAsia" w:ascii="仿宋" w:hAnsi="仿宋" w:eastAsia="仿宋" w:cs="仿宋"/>
          <w:color w:val="auto"/>
          <w:sz w:val="24"/>
          <w:highlight w:val="none"/>
        </w:rPr>
      </w:pPr>
    </w:p>
    <w:p w14:paraId="7D119E06">
      <w:pPr>
        <w:spacing w:line="360" w:lineRule="auto"/>
        <w:ind w:firstLine="494"/>
        <w:rPr>
          <w:rFonts w:hint="eastAsia" w:ascii="仿宋" w:hAnsi="仿宋" w:eastAsia="仿宋" w:cs="仿宋"/>
          <w:color w:val="auto"/>
          <w:sz w:val="24"/>
          <w:highlight w:val="none"/>
        </w:rPr>
      </w:pPr>
    </w:p>
    <w:p w14:paraId="472639CB">
      <w:pPr>
        <w:spacing w:line="360" w:lineRule="auto"/>
        <w:ind w:firstLine="494"/>
        <w:rPr>
          <w:rFonts w:hint="eastAsia" w:ascii="仿宋" w:hAnsi="仿宋" w:eastAsia="仿宋" w:cs="仿宋"/>
          <w:color w:val="auto"/>
          <w:sz w:val="24"/>
          <w:highlight w:val="none"/>
        </w:rPr>
      </w:pPr>
    </w:p>
    <w:p w14:paraId="2967928C">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4B53368C">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1DDE23A">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03F6DAE2">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425BE44C">
      <w:pPr>
        <w:autoSpaceDE w:val="0"/>
        <w:autoSpaceDN w:val="0"/>
        <w:jc w:val="center"/>
        <w:rPr>
          <w:rFonts w:hint="eastAsia" w:ascii="仿宋" w:hAnsi="仿宋" w:eastAsia="仿宋" w:cs="仿宋"/>
          <w:b/>
          <w:color w:val="auto"/>
          <w:spacing w:val="6"/>
          <w:sz w:val="32"/>
          <w:szCs w:val="32"/>
          <w:highlight w:val="none"/>
        </w:rPr>
      </w:pPr>
    </w:p>
    <w:p w14:paraId="16AF6B2A">
      <w:pPr>
        <w:autoSpaceDE w:val="0"/>
        <w:autoSpaceDN w:val="0"/>
        <w:jc w:val="center"/>
        <w:rPr>
          <w:rFonts w:hint="eastAsia" w:ascii="仿宋" w:hAnsi="仿宋" w:eastAsia="仿宋" w:cs="仿宋"/>
          <w:b/>
          <w:color w:val="auto"/>
          <w:spacing w:val="6"/>
          <w:sz w:val="32"/>
          <w:szCs w:val="32"/>
          <w:highlight w:val="none"/>
        </w:rPr>
      </w:pPr>
    </w:p>
    <w:p w14:paraId="07250633">
      <w:pPr>
        <w:autoSpaceDE w:val="0"/>
        <w:autoSpaceDN w:val="0"/>
        <w:jc w:val="center"/>
        <w:rPr>
          <w:rFonts w:hint="eastAsia" w:ascii="仿宋" w:hAnsi="仿宋" w:eastAsia="仿宋" w:cs="仿宋"/>
          <w:b/>
          <w:color w:val="auto"/>
          <w:spacing w:val="6"/>
          <w:sz w:val="32"/>
          <w:szCs w:val="32"/>
          <w:highlight w:val="none"/>
        </w:rPr>
      </w:pPr>
    </w:p>
    <w:p w14:paraId="6B65A81A">
      <w:pPr>
        <w:autoSpaceDE w:val="0"/>
        <w:autoSpaceDN w:val="0"/>
        <w:jc w:val="center"/>
        <w:rPr>
          <w:rFonts w:hint="eastAsia" w:ascii="仿宋" w:hAnsi="仿宋" w:eastAsia="仿宋" w:cs="仿宋"/>
          <w:b/>
          <w:color w:val="auto"/>
          <w:spacing w:val="6"/>
          <w:sz w:val="32"/>
          <w:szCs w:val="32"/>
          <w:highlight w:val="none"/>
        </w:rPr>
      </w:pPr>
    </w:p>
    <w:p w14:paraId="150B67E5">
      <w:pPr>
        <w:autoSpaceDE w:val="0"/>
        <w:autoSpaceDN w:val="0"/>
        <w:jc w:val="center"/>
        <w:rPr>
          <w:rFonts w:hint="eastAsia" w:ascii="仿宋" w:hAnsi="仿宋" w:eastAsia="仿宋" w:cs="仿宋"/>
          <w:b/>
          <w:color w:val="auto"/>
          <w:spacing w:val="6"/>
          <w:sz w:val="32"/>
          <w:szCs w:val="32"/>
          <w:highlight w:val="none"/>
        </w:rPr>
      </w:pPr>
    </w:p>
    <w:p w14:paraId="5940A3B3">
      <w:pPr>
        <w:autoSpaceDE w:val="0"/>
        <w:autoSpaceDN w:val="0"/>
        <w:jc w:val="center"/>
        <w:rPr>
          <w:rFonts w:hint="eastAsia" w:ascii="仿宋" w:hAnsi="仿宋" w:eastAsia="仿宋" w:cs="仿宋"/>
          <w:b/>
          <w:color w:val="auto"/>
          <w:spacing w:val="6"/>
          <w:sz w:val="32"/>
          <w:szCs w:val="32"/>
          <w:highlight w:val="none"/>
        </w:rPr>
      </w:pPr>
    </w:p>
    <w:p w14:paraId="1602FBB2">
      <w:pPr>
        <w:autoSpaceDE w:val="0"/>
        <w:autoSpaceDN w:val="0"/>
        <w:jc w:val="center"/>
        <w:rPr>
          <w:rFonts w:hint="eastAsia" w:ascii="仿宋" w:hAnsi="仿宋" w:eastAsia="仿宋" w:cs="仿宋"/>
          <w:b/>
          <w:color w:val="auto"/>
          <w:spacing w:val="6"/>
          <w:sz w:val="32"/>
          <w:szCs w:val="32"/>
          <w:highlight w:val="none"/>
        </w:rPr>
      </w:pPr>
    </w:p>
    <w:p w14:paraId="6DF01E4F">
      <w:pPr>
        <w:autoSpaceDE w:val="0"/>
        <w:autoSpaceDN w:val="0"/>
        <w:jc w:val="center"/>
        <w:rPr>
          <w:rFonts w:hint="eastAsia" w:ascii="仿宋" w:hAnsi="仿宋" w:eastAsia="仿宋" w:cs="仿宋"/>
          <w:b/>
          <w:color w:val="auto"/>
          <w:spacing w:val="6"/>
          <w:sz w:val="32"/>
          <w:szCs w:val="32"/>
          <w:highlight w:val="none"/>
        </w:rPr>
      </w:pPr>
    </w:p>
    <w:p w14:paraId="5A8B566E">
      <w:pPr>
        <w:autoSpaceDE w:val="0"/>
        <w:autoSpaceDN w:val="0"/>
        <w:jc w:val="center"/>
        <w:rPr>
          <w:rFonts w:hint="eastAsia" w:ascii="仿宋" w:hAnsi="仿宋" w:eastAsia="仿宋" w:cs="仿宋"/>
          <w:b/>
          <w:color w:val="auto"/>
          <w:spacing w:val="6"/>
          <w:sz w:val="32"/>
          <w:szCs w:val="32"/>
          <w:highlight w:val="none"/>
        </w:rPr>
      </w:pPr>
    </w:p>
    <w:p w14:paraId="5D1E2649">
      <w:pPr>
        <w:autoSpaceDE w:val="0"/>
        <w:autoSpaceDN w:val="0"/>
        <w:jc w:val="center"/>
        <w:rPr>
          <w:rFonts w:hint="eastAsia" w:ascii="仿宋" w:hAnsi="仿宋" w:eastAsia="仿宋" w:cs="仿宋"/>
          <w:b/>
          <w:color w:val="auto"/>
          <w:spacing w:val="6"/>
          <w:sz w:val="32"/>
          <w:szCs w:val="32"/>
          <w:highlight w:val="none"/>
        </w:rPr>
      </w:pPr>
    </w:p>
    <w:p w14:paraId="19797DAF">
      <w:pPr>
        <w:autoSpaceDE w:val="0"/>
        <w:autoSpaceDN w:val="0"/>
        <w:jc w:val="center"/>
        <w:rPr>
          <w:rFonts w:hint="eastAsia" w:ascii="仿宋" w:hAnsi="仿宋" w:eastAsia="仿宋" w:cs="仿宋"/>
          <w:b/>
          <w:color w:val="auto"/>
          <w:spacing w:val="6"/>
          <w:sz w:val="32"/>
          <w:szCs w:val="32"/>
          <w:highlight w:val="none"/>
        </w:rPr>
      </w:pPr>
    </w:p>
    <w:p w14:paraId="58016D2B">
      <w:pPr>
        <w:autoSpaceDE w:val="0"/>
        <w:autoSpaceDN w:val="0"/>
        <w:jc w:val="center"/>
        <w:rPr>
          <w:rFonts w:hint="eastAsia" w:ascii="仿宋" w:hAnsi="仿宋" w:eastAsia="仿宋" w:cs="仿宋"/>
          <w:b/>
          <w:color w:val="auto"/>
          <w:spacing w:val="6"/>
          <w:sz w:val="32"/>
          <w:szCs w:val="32"/>
          <w:highlight w:val="none"/>
        </w:rPr>
      </w:pPr>
    </w:p>
    <w:p w14:paraId="2084CD46">
      <w:pPr>
        <w:autoSpaceDE w:val="0"/>
        <w:autoSpaceDN w:val="0"/>
        <w:jc w:val="center"/>
        <w:rPr>
          <w:rFonts w:hint="eastAsia" w:ascii="仿宋" w:hAnsi="仿宋" w:eastAsia="仿宋" w:cs="仿宋"/>
          <w:b/>
          <w:color w:val="auto"/>
          <w:spacing w:val="6"/>
          <w:sz w:val="32"/>
          <w:szCs w:val="32"/>
          <w:highlight w:val="none"/>
        </w:rPr>
      </w:pPr>
    </w:p>
    <w:p w14:paraId="7FE4E180">
      <w:pPr>
        <w:autoSpaceDE w:val="0"/>
        <w:autoSpaceDN w:val="0"/>
        <w:jc w:val="center"/>
        <w:rPr>
          <w:rFonts w:hint="eastAsia" w:ascii="仿宋" w:hAnsi="仿宋" w:eastAsia="仿宋" w:cs="仿宋"/>
          <w:b/>
          <w:color w:val="auto"/>
          <w:spacing w:val="6"/>
          <w:sz w:val="32"/>
          <w:szCs w:val="32"/>
          <w:highlight w:val="none"/>
        </w:rPr>
      </w:pPr>
    </w:p>
    <w:p w14:paraId="47EC69EB">
      <w:pPr>
        <w:autoSpaceDE w:val="0"/>
        <w:autoSpaceDN w:val="0"/>
        <w:jc w:val="center"/>
        <w:rPr>
          <w:rFonts w:hint="eastAsia" w:ascii="仿宋" w:hAnsi="仿宋" w:eastAsia="仿宋" w:cs="仿宋"/>
          <w:b/>
          <w:color w:val="auto"/>
          <w:spacing w:val="6"/>
          <w:sz w:val="32"/>
          <w:szCs w:val="32"/>
          <w:highlight w:val="none"/>
        </w:rPr>
      </w:pPr>
    </w:p>
    <w:p w14:paraId="2292A9F2">
      <w:pPr>
        <w:autoSpaceDE w:val="0"/>
        <w:autoSpaceDN w:val="0"/>
        <w:jc w:val="center"/>
        <w:rPr>
          <w:rFonts w:hint="eastAsia" w:ascii="仿宋" w:hAnsi="仿宋" w:eastAsia="仿宋" w:cs="仿宋"/>
          <w:b/>
          <w:color w:val="auto"/>
          <w:spacing w:val="6"/>
          <w:sz w:val="32"/>
          <w:szCs w:val="32"/>
          <w:highlight w:val="none"/>
        </w:rPr>
      </w:pPr>
    </w:p>
    <w:p w14:paraId="4C91CE56">
      <w:pPr>
        <w:autoSpaceDE w:val="0"/>
        <w:autoSpaceDN w:val="0"/>
        <w:jc w:val="center"/>
        <w:rPr>
          <w:rFonts w:hint="eastAsia" w:ascii="仿宋" w:hAnsi="仿宋" w:eastAsia="仿宋" w:cs="仿宋"/>
          <w:b/>
          <w:color w:val="auto"/>
          <w:spacing w:val="6"/>
          <w:sz w:val="32"/>
          <w:szCs w:val="32"/>
          <w:highlight w:val="none"/>
        </w:rPr>
      </w:pPr>
    </w:p>
    <w:p w14:paraId="4A594798">
      <w:pPr>
        <w:pStyle w:val="23"/>
        <w:rPr>
          <w:rFonts w:hint="eastAsia" w:ascii="仿宋" w:hAnsi="仿宋" w:eastAsia="仿宋" w:cs="仿宋"/>
          <w:color w:val="auto"/>
          <w:highlight w:val="none"/>
        </w:rPr>
      </w:pPr>
    </w:p>
    <w:p w14:paraId="0F31B418">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69568608">
      <w:pPr>
        <w:spacing w:line="360" w:lineRule="auto"/>
        <w:jc w:val="center"/>
        <w:rPr>
          <w:rFonts w:hint="eastAsia" w:ascii="仿宋" w:hAnsi="仿宋" w:eastAsia="仿宋" w:cs="仿宋"/>
          <w:color w:val="auto"/>
          <w:sz w:val="24"/>
          <w:highlight w:val="none"/>
          <w:u w:val="single"/>
        </w:rPr>
      </w:pPr>
    </w:p>
    <w:p w14:paraId="65915E94">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658A7C4C">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3A02FCA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527F3F8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F078BC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40D349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4EC363A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A9B9E8A">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568296B0">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283E50F4">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4A4A56D1">
      <w:pPr>
        <w:spacing w:line="360" w:lineRule="auto"/>
        <w:ind w:right="420"/>
        <w:rPr>
          <w:rFonts w:hint="eastAsia" w:ascii="仿宋" w:hAnsi="仿宋" w:eastAsia="仿宋" w:cs="仿宋"/>
          <w:color w:val="auto"/>
          <w:sz w:val="24"/>
          <w:highlight w:val="none"/>
        </w:rPr>
      </w:pPr>
    </w:p>
    <w:p w14:paraId="4940637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21EDC74B">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9D7B880">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07CBD58">
      <w:pPr>
        <w:pStyle w:val="2"/>
        <w:rPr>
          <w:rFonts w:hint="eastAsia" w:ascii="仿宋" w:hAnsi="仿宋" w:eastAsia="仿宋" w:cs="仿宋"/>
          <w:color w:val="auto"/>
          <w:highlight w:val="none"/>
          <w:lang w:val="en-US"/>
        </w:rPr>
      </w:pPr>
    </w:p>
    <w:p w14:paraId="077A19E1">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5F08A71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1D0045D4">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89AC658">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618E7559">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67E52AC8">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0A015874">
      <w:pPr>
        <w:pStyle w:val="23"/>
        <w:rPr>
          <w:rFonts w:hint="eastAsia"/>
          <w:color w:val="auto"/>
          <w:highlight w:val="none"/>
          <w:lang w:val="en-US" w:eastAsia="zh-CN"/>
        </w:rPr>
      </w:pPr>
    </w:p>
    <w:p w14:paraId="6281F11F">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150BE37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2B3F7B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0836006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52BCDE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6017F55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1AC616C9">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2F15CD0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4EE4C324">
      <w:pPr>
        <w:widowControl/>
        <w:jc w:val="left"/>
        <w:rPr>
          <w:rFonts w:hint="eastAsia" w:ascii="仿宋" w:hAnsi="仿宋" w:eastAsia="仿宋" w:cs="仿宋"/>
          <w:color w:val="auto"/>
          <w:kern w:val="0"/>
          <w:sz w:val="24"/>
          <w:highlight w:val="none"/>
        </w:rPr>
      </w:pPr>
    </w:p>
    <w:p w14:paraId="02340FE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F3E26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3633C4B3">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187CDE5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342BD76E">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6921147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4A283A4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40485A1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09B50BD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5EA374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D8118C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36F43B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3E3E5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6A7AD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1B1513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344E123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098D6A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0CA78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B60A2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1754B4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5E731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2D2D7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04971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2BA19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AD27D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26CD9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77BE1A">
            <w:pPr>
              <w:widowControl/>
              <w:jc w:val="left"/>
              <w:rPr>
                <w:rFonts w:hint="eastAsia" w:ascii="仿宋" w:hAnsi="仿宋" w:eastAsia="仿宋" w:cs="仿宋"/>
                <w:color w:val="auto"/>
                <w:kern w:val="0"/>
                <w:sz w:val="24"/>
                <w:highlight w:val="none"/>
              </w:rPr>
            </w:pPr>
          </w:p>
        </w:tc>
        <w:tc>
          <w:tcPr>
            <w:tcW w:w="1560" w:type="dxa"/>
            <w:vAlign w:val="center"/>
          </w:tcPr>
          <w:p w14:paraId="211459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E5606A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94674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41AEC3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2546CFF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212B3A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BFDE6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B11F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1A6A02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63975F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24D3A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60DDFE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454C94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33B12A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1CCE8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E4B8FE5">
            <w:pPr>
              <w:widowControl/>
              <w:jc w:val="left"/>
              <w:rPr>
                <w:rFonts w:hint="eastAsia" w:ascii="仿宋" w:hAnsi="仿宋" w:eastAsia="仿宋" w:cs="仿宋"/>
                <w:color w:val="auto"/>
                <w:kern w:val="0"/>
                <w:sz w:val="24"/>
                <w:highlight w:val="none"/>
              </w:rPr>
            </w:pPr>
          </w:p>
        </w:tc>
        <w:tc>
          <w:tcPr>
            <w:tcW w:w="1560" w:type="dxa"/>
            <w:vAlign w:val="center"/>
          </w:tcPr>
          <w:p w14:paraId="3536428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09D893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8A025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51423A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344674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5F6912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654B7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22009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217254F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13CD3B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0BBA0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7E585C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7AE482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6631CB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70EC1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35E389">
            <w:pPr>
              <w:widowControl/>
              <w:jc w:val="left"/>
              <w:rPr>
                <w:rFonts w:hint="eastAsia" w:ascii="仿宋" w:hAnsi="仿宋" w:eastAsia="仿宋" w:cs="仿宋"/>
                <w:color w:val="auto"/>
                <w:kern w:val="0"/>
                <w:sz w:val="24"/>
                <w:highlight w:val="none"/>
              </w:rPr>
            </w:pPr>
          </w:p>
        </w:tc>
        <w:tc>
          <w:tcPr>
            <w:tcW w:w="1560" w:type="dxa"/>
            <w:vAlign w:val="center"/>
          </w:tcPr>
          <w:p w14:paraId="1A4CA9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FAB00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658CD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01FCDA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15590E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733CA9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4C4EDB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854B9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45FFC2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B75DC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46168D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BBB6F5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39A307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62A64C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F449A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4685A7">
            <w:pPr>
              <w:widowControl/>
              <w:jc w:val="left"/>
              <w:rPr>
                <w:rFonts w:hint="eastAsia" w:ascii="仿宋" w:hAnsi="仿宋" w:eastAsia="仿宋" w:cs="仿宋"/>
                <w:color w:val="auto"/>
                <w:kern w:val="0"/>
                <w:sz w:val="24"/>
                <w:highlight w:val="none"/>
              </w:rPr>
            </w:pPr>
          </w:p>
        </w:tc>
        <w:tc>
          <w:tcPr>
            <w:tcW w:w="1560" w:type="dxa"/>
            <w:vAlign w:val="center"/>
          </w:tcPr>
          <w:p w14:paraId="283795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FFF1C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C5816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644E72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38719D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483C6A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8D79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C086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12FE8A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80BA7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CF6E4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D6AC4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6CED2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EF65E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CB686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226A009">
            <w:pPr>
              <w:widowControl/>
              <w:jc w:val="left"/>
              <w:rPr>
                <w:rFonts w:hint="eastAsia" w:ascii="仿宋" w:hAnsi="仿宋" w:eastAsia="仿宋" w:cs="仿宋"/>
                <w:color w:val="auto"/>
                <w:kern w:val="0"/>
                <w:sz w:val="24"/>
                <w:highlight w:val="none"/>
              </w:rPr>
            </w:pPr>
          </w:p>
        </w:tc>
        <w:tc>
          <w:tcPr>
            <w:tcW w:w="1560" w:type="dxa"/>
            <w:vAlign w:val="center"/>
          </w:tcPr>
          <w:p w14:paraId="3F64B0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AA46B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BD8FF0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55FE2BA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6BE6C3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15E461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0C8E74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8E375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0E5B04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B0D0A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ACB32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51F4E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3AEE5A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452C1F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D98F2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33E62F">
            <w:pPr>
              <w:widowControl/>
              <w:jc w:val="left"/>
              <w:rPr>
                <w:rFonts w:hint="eastAsia" w:ascii="仿宋" w:hAnsi="仿宋" w:eastAsia="仿宋" w:cs="仿宋"/>
                <w:color w:val="auto"/>
                <w:kern w:val="0"/>
                <w:sz w:val="24"/>
                <w:highlight w:val="none"/>
              </w:rPr>
            </w:pPr>
          </w:p>
        </w:tc>
        <w:tc>
          <w:tcPr>
            <w:tcW w:w="1560" w:type="dxa"/>
            <w:vAlign w:val="center"/>
          </w:tcPr>
          <w:p w14:paraId="5E21DC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F7038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4778B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746955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456BB4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A0BCB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0C228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1A97E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3EB06B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32D3A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F4139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3A171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77D4B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4CD26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797EC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476841D">
            <w:pPr>
              <w:widowControl/>
              <w:jc w:val="left"/>
              <w:rPr>
                <w:rFonts w:hint="eastAsia" w:ascii="仿宋" w:hAnsi="仿宋" w:eastAsia="仿宋" w:cs="仿宋"/>
                <w:color w:val="auto"/>
                <w:kern w:val="0"/>
                <w:sz w:val="24"/>
                <w:highlight w:val="none"/>
              </w:rPr>
            </w:pPr>
          </w:p>
        </w:tc>
        <w:tc>
          <w:tcPr>
            <w:tcW w:w="1560" w:type="dxa"/>
            <w:vAlign w:val="center"/>
          </w:tcPr>
          <w:p w14:paraId="24D15EF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E632B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C81058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6157D4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0826397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35FA44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24583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23B0D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06D6F9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549C0D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D56EB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3F60A9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34CEF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1782A1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37BD7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55C99B">
            <w:pPr>
              <w:widowControl/>
              <w:jc w:val="left"/>
              <w:rPr>
                <w:rFonts w:hint="eastAsia" w:ascii="仿宋" w:hAnsi="仿宋" w:eastAsia="仿宋" w:cs="仿宋"/>
                <w:color w:val="auto"/>
                <w:kern w:val="0"/>
                <w:sz w:val="24"/>
                <w:highlight w:val="none"/>
              </w:rPr>
            </w:pPr>
          </w:p>
        </w:tc>
        <w:tc>
          <w:tcPr>
            <w:tcW w:w="1560" w:type="dxa"/>
            <w:vAlign w:val="center"/>
          </w:tcPr>
          <w:p w14:paraId="21199D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D644E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49264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1AA8A0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707DB3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57D14BA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8ABE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AC606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38AEA1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5B95C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BBB0A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CE053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E0DE14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330E29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5F2BD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F5CF3FF">
            <w:pPr>
              <w:widowControl/>
              <w:jc w:val="left"/>
              <w:rPr>
                <w:rFonts w:hint="eastAsia" w:ascii="仿宋" w:hAnsi="仿宋" w:eastAsia="仿宋" w:cs="仿宋"/>
                <w:color w:val="auto"/>
                <w:kern w:val="0"/>
                <w:sz w:val="24"/>
                <w:highlight w:val="none"/>
              </w:rPr>
            </w:pPr>
          </w:p>
        </w:tc>
        <w:tc>
          <w:tcPr>
            <w:tcW w:w="1560" w:type="dxa"/>
            <w:vAlign w:val="center"/>
          </w:tcPr>
          <w:p w14:paraId="7A7D25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4EE4C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FFB21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5B1603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51C42D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107C91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07AC7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3C6BA3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0C3F8C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06FE6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9875C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61EF54F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42473C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FCB61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C7FF9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F30667">
            <w:pPr>
              <w:widowControl/>
              <w:jc w:val="left"/>
              <w:rPr>
                <w:rFonts w:hint="eastAsia" w:ascii="仿宋" w:hAnsi="仿宋" w:eastAsia="仿宋" w:cs="仿宋"/>
                <w:color w:val="auto"/>
                <w:kern w:val="0"/>
                <w:sz w:val="24"/>
                <w:highlight w:val="none"/>
              </w:rPr>
            </w:pPr>
          </w:p>
        </w:tc>
        <w:tc>
          <w:tcPr>
            <w:tcW w:w="1560" w:type="dxa"/>
            <w:vAlign w:val="center"/>
          </w:tcPr>
          <w:p w14:paraId="7AA0CE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81D65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8F3B7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1847E1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6B171C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394019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53A6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E302D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3EBE14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056CC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1DFF28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08DB8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62E226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3A0CF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C471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FF81230">
            <w:pPr>
              <w:widowControl/>
              <w:jc w:val="left"/>
              <w:rPr>
                <w:rFonts w:hint="eastAsia" w:ascii="仿宋" w:hAnsi="仿宋" w:eastAsia="仿宋" w:cs="仿宋"/>
                <w:color w:val="auto"/>
                <w:kern w:val="0"/>
                <w:sz w:val="24"/>
                <w:highlight w:val="none"/>
              </w:rPr>
            </w:pPr>
          </w:p>
        </w:tc>
        <w:tc>
          <w:tcPr>
            <w:tcW w:w="1560" w:type="dxa"/>
            <w:vAlign w:val="center"/>
          </w:tcPr>
          <w:p w14:paraId="6AB062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A42FD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27859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502744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3EBB11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3F14A2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2E64C8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07A0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34C37E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2C568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8157C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1FE97A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1E1458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71430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FF5F2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AA2B48">
            <w:pPr>
              <w:widowControl/>
              <w:jc w:val="left"/>
              <w:rPr>
                <w:rFonts w:hint="eastAsia" w:ascii="仿宋" w:hAnsi="仿宋" w:eastAsia="仿宋" w:cs="仿宋"/>
                <w:color w:val="auto"/>
                <w:kern w:val="0"/>
                <w:sz w:val="24"/>
                <w:highlight w:val="none"/>
              </w:rPr>
            </w:pPr>
          </w:p>
        </w:tc>
        <w:tc>
          <w:tcPr>
            <w:tcW w:w="1560" w:type="dxa"/>
            <w:vAlign w:val="center"/>
          </w:tcPr>
          <w:p w14:paraId="4C930B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74DA27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27E87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46D51C3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4A78D23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2CCD3D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5F9F6D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FC9F0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0E7801C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668AF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559B0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570ACD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FE63F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0BC88E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4109F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1FB9214">
            <w:pPr>
              <w:widowControl/>
              <w:jc w:val="left"/>
              <w:rPr>
                <w:rFonts w:hint="eastAsia" w:ascii="仿宋" w:hAnsi="仿宋" w:eastAsia="仿宋" w:cs="仿宋"/>
                <w:color w:val="auto"/>
                <w:kern w:val="0"/>
                <w:sz w:val="24"/>
                <w:highlight w:val="none"/>
              </w:rPr>
            </w:pPr>
          </w:p>
        </w:tc>
        <w:tc>
          <w:tcPr>
            <w:tcW w:w="1560" w:type="dxa"/>
            <w:vAlign w:val="center"/>
          </w:tcPr>
          <w:p w14:paraId="788444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4E9FD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F5CB7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11F773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14E746D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0636DA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1EC4CB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B1824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395DB8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92320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4B688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85B31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AE024C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F0466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E72D8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131CC9">
            <w:pPr>
              <w:widowControl/>
              <w:jc w:val="left"/>
              <w:rPr>
                <w:rFonts w:hint="eastAsia" w:ascii="仿宋" w:hAnsi="仿宋" w:eastAsia="仿宋" w:cs="仿宋"/>
                <w:color w:val="auto"/>
                <w:kern w:val="0"/>
                <w:sz w:val="24"/>
                <w:highlight w:val="none"/>
              </w:rPr>
            </w:pPr>
          </w:p>
        </w:tc>
        <w:tc>
          <w:tcPr>
            <w:tcW w:w="1560" w:type="dxa"/>
            <w:vAlign w:val="center"/>
          </w:tcPr>
          <w:p w14:paraId="4FD69EC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0D2B3F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77331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0DD563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2FD90F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036BD35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72D66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CDCAB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635B65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8C1C3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7C06F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2A028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D9E7E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FCC543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117A788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6240106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28E56E2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7EB54D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432E346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7A16648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5113F4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7E12BF52">
      <w:pPr>
        <w:widowControl/>
        <w:jc w:val="left"/>
        <w:rPr>
          <w:rFonts w:hint="eastAsia" w:ascii="仿宋" w:hAnsi="仿宋" w:eastAsia="仿宋" w:cs="仿宋"/>
          <w:color w:val="auto"/>
          <w:kern w:val="0"/>
          <w:sz w:val="24"/>
          <w:highlight w:val="none"/>
        </w:rPr>
      </w:pPr>
    </w:p>
    <w:p w14:paraId="3E87364E">
      <w:pPr>
        <w:widowControl/>
        <w:jc w:val="left"/>
        <w:rPr>
          <w:rFonts w:hint="eastAsia" w:ascii="仿宋" w:hAnsi="仿宋" w:eastAsia="仿宋" w:cs="仿宋"/>
          <w:color w:val="auto"/>
          <w:kern w:val="0"/>
          <w:sz w:val="24"/>
          <w:highlight w:val="none"/>
        </w:rPr>
      </w:pPr>
    </w:p>
    <w:p w14:paraId="684BFC2E">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0CD6E9E1">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6743581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3263AD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F14B76A">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4EF1BCD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27E1BF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3ABD0BB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04A2CFAF">
      <w:pPr>
        <w:widowControl/>
        <w:jc w:val="left"/>
        <w:rPr>
          <w:rFonts w:hint="eastAsia" w:ascii="仿宋" w:hAnsi="仿宋" w:eastAsia="仿宋" w:cs="仿宋"/>
          <w:color w:val="auto"/>
          <w:kern w:val="0"/>
          <w:sz w:val="18"/>
          <w:szCs w:val="18"/>
          <w:highlight w:val="none"/>
        </w:rPr>
      </w:pPr>
    </w:p>
    <w:p w14:paraId="49C20A39">
      <w:pPr>
        <w:widowControl/>
        <w:jc w:val="left"/>
        <w:rPr>
          <w:rFonts w:hint="eastAsia" w:ascii="仿宋" w:hAnsi="仿宋" w:eastAsia="仿宋" w:cs="仿宋"/>
          <w:color w:val="auto"/>
          <w:kern w:val="0"/>
          <w:sz w:val="18"/>
          <w:szCs w:val="18"/>
          <w:highlight w:val="none"/>
        </w:rPr>
      </w:pPr>
    </w:p>
    <w:p w14:paraId="1552FF2B">
      <w:pPr>
        <w:widowControl/>
        <w:jc w:val="left"/>
        <w:rPr>
          <w:rFonts w:hint="eastAsia" w:ascii="仿宋" w:hAnsi="仿宋" w:eastAsia="仿宋" w:cs="仿宋"/>
          <w:color w:val="auto"/>
          <w:kern w:val="0"/>
          <w:sz w:val="18"/>
          <w:szCs w:val="18"/>
          <w:highlight w:val="none"/>
        </w:rPr>
      </w:pPr>
    </w:p>
    <w:p w14:paraId="12088736">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7D956A97">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3C11324C">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737650D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7AA2316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3B9BCA9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11E5DB98">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12840A3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70BF7ED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3D73428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BDA320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0945A71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1D677F5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6C3E255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3D3D90C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19F0705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44BD482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60901BE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7AC98F1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49D2A2A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54906BF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9CFC1D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4D418AE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1864FF5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1058DDB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6E34E35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07DDA80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033D192F">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19EC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09066B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3C53180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02D3A31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7177E8C4">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3B8D8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F2DCD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090357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7B6BF6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193BBB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D8ADC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5EABE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005F8A">
            <w:pPr>
              <w:widowControl/>
              <w:jc w:val="left"/>
              <w:rPr>
                <w:rFonts w:hint="eastAsia" w:ascii="仿宋" w:hAnsi="仿宋" w:eastAsia="仿宋" w:cs="仿宋"/>
                <w:color w:val="auto"/>
                <w:kern w:val="0"/>
                <w:sz w:val="24"/>
                <w:highlight w:val="none"/>
              </w:rPr>
            </w:pPr>
          </w:p>
        </w:tc>
        <w:tc>
          <w:tcPr>
            <w:tcW w:w="1025" w:type="dxa"/>
            <w:vMerge w:val="continue"/>
            <w:vAlign w:val="center"/>
          </w:tcPr>
          <w:p w14:paraId="10A9DE3D">
            <w:pPr>
              <w:widowControl/>
              <w:jc w:val="left"/>
              <w:rPr>
                <w:rFonts w:hint="eastAsia" w:ascii="仿宋" w:hAnsi="仿宋" w:eastAsia="仿宋" w:cs="仿宋"/>
                <w:color w:val="auto"/>
                <w:kern w:val="0"/>
                <w:sz w:val="24"/>
                <w:highlight w:val="none"/>
              </w:rPr>
            </w:pPr>
          </w:p>
        </w:tc>
        <w:tc>
          <w:tcPr>
            <w:tcW w:w="2836" w:type="dxa"/>
            <w:vMerge w:val="continue"/>
            <w:vAlign w:val="center"/>
          </w:tcPr>
          <w:p w14:paraId="73764D24">
            <w:pPr>
              <w:widowControl/>
              <w:jc w:val="left"/>
              <w:rPr>
                <w:rFonts w:hint="eastAsia" w:ascii="仿宋" w:hAnsi="仿宋" w:eastAsia="仿宋" w:cs="仿宋"/>
                <w:color w:val="auto"/>
                <w:kern w:val="0"/>
                <w:sz w:val="24"/>
                <w:highlight w:val="none"/>
              </w:rPr>
            </w:pPr>
          </w:p>
        </w:tc>
        <w:tc>
          <w:tcPr>
            <w:tcW w:w="606" w:type="dxa"/>
            <w:vAlign w:val="center"/>
          </w:tcPr>
          <w:p w14:paraId="3BF848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BC770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7AC4F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C76A21">
            <w:pPr>
              <w:widowControl/>
              <w:jc w:val="left"/>
              <w:rPr>
                <w:rFonts w:hint="eastAsia" w:ascii="仿宋" w:hAnsi="仿宋" w:eastAsia="仿宋" w:cs="仿宋"/>
                <w:color w:val="auto"/>
                <w:kern w:val="0"/>
                <w:sz w:val="24"/>
                <w:highlight w:val="none"/>
              </w:rPr>
            </w:pPr>
          </w:p>
        </w:tc>
        <w:tc>
          <w:tcPr>
            <w:tcW w:w="1025" w:type="dxa"/>
            <w:vMerge w:val="continue"/>
            <w:vAlign w:val="center"/>
          </w:tcPr>
          <w:p w14:paraId="3A648A1B">
            <w:pPr>
              <w:widowControl/>
              <w:jc w:val="left"/>
              <w:rPr>
                <w:rFonts w:hint="eastAsia" w:ascii="仿宋" w:hAnsi="仿宋" w:eastAsia="仿宋" w:cs="仿宋"/>
                <w:color w:val="auto"/>
                <w:kern w:val="0"/>
                <w:sz w:val="24"/>
                <w:highlight w:val="none"/>
              </w:rPr>
            </w:pPr>
          </w:p>
        </w:tc>
        <w:tc>
          <w:tcPr>
            <w:tcW w:w="2836" w:type="dxa"/>
            <w:vMerge w:val="continue"/>
            <w:vAlign w:val="center"/>
          </w:tcPr>
          <w:p w14:paraId="286DD276">
            <w:pPr>
              <w:widowControl/>
              <w:jc w:val="left"/>
              <w:rPr>
                <w:rFonts w:hint="eastAsia" w:ascii="仿宋" w:hAnsi="仿宋" w:eastAsia="仿宋" w:cs="仿宋"/>
                <w:color w:val="auto"/>
                <w:kern w:val="0"/>
                <w:sz w:val="24"/>
                <w:highlight w:val="none"/>
              </w:rPr>
            </w:pPr>
          </w:p>
        </w:tc>
        <w:tc>
          <w:tcPr>
            <w:tcW w:w="606" w:type="dxa"/>
            <w:vAlign w:val="center"/>
          </w:tcPr>
          <w:p w14:paraId="00573BD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106E2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77B5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2E82C5F">
            <w:pPr>
              <w:widowControl/>
              <w:jc w:val="left"/>
              <w:rPr>
                <w:rFonts w:hint="eastAsia" w:ascii="仿宋" w:hAnsi="仿宋" w:eastAsia="仿宋" w:cs="仿宋"/>
                <w:color w:val="auto"/>
                <w:kern w:val="0"/>
                <w:sz w:val="24"/>
                <w:highlight w:val="none"/>
              </w:rPr>
            </w:pPr>
          </w:p>
        </w:tc>
        <w:tc>
          <w:tcPr>
            <w:tcW w:w="1025" w:type="dxa"/>
            <w:vMerge w:val="restart"/>
            <w:vAlign w:val="center"/>
          </w:tcPr>
          <w:p w14:paraId="7F529F5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2700DA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5D5F11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23B1E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6F5A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BAD89B">
            <w:pPr>
              <w:widowControl/>
              <w:jc w:val="left"/>
              <w:rPr>
                <w:rFonts w:hint="eastAsia" w:ascii="仿宋" w:hAnsi="仿宋" w:eastAsia="仿宋" w:cs="仿宋"/>
                <w:color w:val="auto"/>
                <w:kern w:val="0"/>
                <w:sz w:val="24"/>
                <w:highlight w:val="none"/>
              </w:rPr>
            </w:pPr>
          </w:p>
        </w:tc>
        <w:tc>
          <w:tcPr>
            <w:tcW w:w="1025" w:type="dxa"/>
            <w:vMerge w:val="continue"/>
            <w:vAlign w:val="center"/>
          </w:tcPr>
          <w:p w14:paraId="7AD6A853">
            <w:pPr>
              <w:widowControl/>
              <w:jc w:val="left"/>
              <w:rPr>
                <w:rFonts w:hint="eastAsia" w:ascii="仿宋" w:hAnsi="仿宋" w:eastAsia="仿宋" w:cs="仿宋"/>
                <w:color w:val="auto"/>
                <w:kern w:val="0"/>
                <w:sz w:val="24"/>
                <w:highlight w:val="none"/>
              </w:rPr>
            </w:pPr>
          </w:p>
        </w:tc>
        <w:tc>
          <w:tcPr>
            <w:tcW w:w="2836" w:type="dxa"/>
            <w:vMerge w:val="continue"/>
            <w:vAlign w:val="center"/>
          </w:tcPr>
          <w:p w14:paraId="216277CF">
            <w:pPr>
              <w:widowControl/>
              <w:jc w:val="left"/>
              <w:rPr>
                <w:rFonts w:hint="eastAsia" w:ascii="仿宋" w:hAnsi="仿宋" w:eastAsia="仿宋" w:cs="仿宋"/>
                <w:color w:val="auto"/>
                <w:kern w:val="0"/>
                <w:sz w:val="24"/>
                <w:highlight w:val="none"/>
              </w:rPr>
            </w:pPr>
          </w:p>
        </w:tc>
        <w:tc>
          <w:tcPr>
            <w:tcW w:w="606" w:type="dxa"/>
            <w:vAlign w:val="center"/>
          </w:tcPr>
          <w:p w14:paraId="10BC16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5253B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416BD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BBAE9F2">
            <w:pPr>
              <w:widowControl/>
              <w:jc w:val="left"/>
              <w:rPr>
                <w:rFonts w:hint="eastAsia" w:ascii="仿宋" w:hAnsi="仿宋" w:eastAsia="仿宋" w:cs="仿宋"/>
                <w:color w:val="auto"/>
                <w:kern w:val="0"/>
                <w:sz w:val="24"/>
                <w:highlight w:val="none"/>
              </w:rPr>
            </w:pPr>
          </w:p>
        </w:tc>
        <w:tc>
          <w:tcPr>
            <w:tcW w:w="1025" w:type="dxa"/>
            <w:vMerge w:val="continue"/>
            <w:vAlign w:val="center"/>
          </w:tcPr>
          <w:p w14:paraId="725FF5C1">
            <w:pPr>
              <w:widowControl/>
              <w:jc w:val="left"/>
              <w:rPr>
                <w:rFonts w:hint="eastAsia" w:ascii="仿宋" w:hAnsi="仿宋" w:eastAsia="仿宋" w:cs="仿宋"/>
                <w:color w:val="auto"/>
                <w:kern w:val="0"/>
                <w:sz w:val="24"/>
                <w:highlight w:val="none"/>
              </w:rPr>
            </w:pPr>
          </w:p>
        </w:tc>
        <w:tc>
          <w:tcPr>
            <w:tcW w:w="2836" w:type="dxa"/>
            <w:vMerge w:val="continue"/>
            <w:vAlign w:val="center"/>
          </w:tcPr>
          <w:p w14:paraId="057A55B5">
            <w:pPr>
              <w:widowControl/>
              <w:jc w:val="left"/>
              <w:rPr>
                <w:rFonts w:hint="eastAsia" w:ascii="仿宋" w:hAnsi="仿宋" w:eastAsia="仿宋" w:cs="仿宋"/>
                <w:color w:val="auto"/>
                <w:kern w:val="0"/>
                <w:sz w:val="24"/>
                <w:highlight w:val="none"/>
              </w:rPr>
            </w:pPr>
          </w:p>
        </w:tc>
        <w:tc>
          <w:tcPr>
            <w:tcW w:w="606" w:type="dxa"/>
            <w:vAlign w:val="center"/>
          </w:tcPr>
          <w:p w14:paraId="2B54111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6253D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FD18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7BA501">
            <w:pPr>
              <w:widowControl/>
              <w:jc w:val="left"/>
              <w:rPr>
                <w:rFonts w:hint="eastAsia" w:ascii="仿宋" w:hAnsi="仿宋" w:eastAsia="仿宋" w:cs="仿宋"/>
                <w:color w:val="auto"/>
                <w:kern w:val="0"/>
                <w:sz w:val="24"/>
                <w:highlight w:val="none"/>
              </w:rPr>
            </w:pPr>
          </w:p>
        </w:tc>
        <w:tc>
          <w:tcPr>
            <w:tcW w:w="1025" w:type="dxa"/>
            <w:vMerge w:val="continue"/>
            <w:vAlign w:val="center"/>
          </w:tcPr>
          <w:p w14:paraId="3E5A53F6">
            <w:pPr>
              <w:widowControl/>
              <w:jc w:val="left"/>
              <w:rPr>
                <w:rFonts w:hint="eastAsia" w:ascii="仿宋" w:hAnsi="仿宋" w:eastAsia="仿宋" w:cs="仿宋"/>
                <w:color w:val="auto"/>
                <w:kern w:val="0"/>
                <w:sz w:val="24"/>
                <w:highlight w:val="none"/>
              </w:rPr>
            </w:pPr>
          </w:p>
        </w:tc>
        <w:tc>
          <w:tcPr>
            <w:tcW w:w="2836" w:type="dxa"/>
            <w:vMerge w:val="restart"/>
            <w:vAlign w:val="center"/>
          </w:tcPr>
          <w:p w14:paraId="708D835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0362D31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B3A88C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36325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3BC2E4">
            <w:pPr>
              <w:widowControl/>
              <w:jc w:val="left"/>
              <w:rPr>
                <w:rFonts w:hint="eastAsia" w:ascii="仿宋" w:hAnsi="仿宋" w:eastAsia="仿宋" w:cs="仿宋"/>
                <w:color w:val="auto"/>
                <w:kern w:val="0"/>
                <w:sz w:val="24"/>
                <w:highlight w:val="none"/>
              </w:rPr>
            </w:pPr>
          </w:p>
        </w:tc>
        <w:tc>
          <w:tcPr>
            <w:tcW w:w="1025" w:type="dxa"/>
            <w:vMerge w:val="continue"/>
            <w:vAlign w:val="center"/>
          </w:tcPr>
          <w:p w14:paraId="6A10C39D">
            <w:pPr>
              <w:widowControl/>
              <w:jc w:val="left"/>
              <w:rPr>
                <w:rFonts w:hint="eastAsia" w:ascii="仿宋" w:hAnsi="仿宋" w:eastAsia="仿宋" w:cs="仿宋"/>
                <w:color w:val="auto"/>
                <w:kern w:val="0"/>
                <w:sz w:val="24"/>
                <w:highlight w:val="none"/>
              </w:rPr>
            </w:pPr>
          </w:p>
        </w:tc>
        <w:tc>
          <w:tcPr>
            <w:tcW w:w="2836" w:type="dxa"/>
            <w:vMerge w:val="continue"/>
            <w:vAlign w:val="center"/>
          </w:tcPr>
          <w:p w14:paraId="7A418C7E">
            <w:pPr>
              <w:widowControl/>
              <w:jc w:val="left"/>
              <w:rPr>
                <w:rFonts w:hint="eastAsia" w:ascii="仿宋" w:hAnsi="仿宋" w:eastAsia="仿宋" w:cs="仿宋"/>
                <w:color w:val="auto"/>
                <w:kern w:val="0"/>
                <w:sz w:val="24"/>
                <w:highlight w:val="none"/>
              </w:rPr>
            </w:pPr>
          </w:p>
        </w:tc>
        <w:tc>
          <w:tcPr>
            <w:tcW w:w="606" w:type="dxa"/>
            <w:vAlign w:val="center"/>
          </w:tcPr>
          <w:p w14:paraId="4F268E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E4511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723E6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950F04E">
            <w:pPr>
              <w:widowControl/>
              <w:jc w:val="left"/>
              <w:rPr>
                <w:rFonts w:hint="eastAsia" w:ascii="仿宋" w:hAnsi="仿宋" w:eastAsia="仿宋" w:cs="仿宋"/>
                <w:color w:val="auto"/>
                <w:kern w:val="0"/>
                <w:sz w:val="24"/>
                <w:highlight w:val="none"/>
              </w:rPr>
            </w:pPr>
          </w:p>
        </w:tc>
        <w:tc>
          <w:tcPr>
            <w:tcW w:w="1025" w:type="dxa"/>
            <w:vMerge w:val="continue"/>
            <w:vAlign w:val="center"/>
          </w:tcPr>
          <w:p w14:paraId="2DEE22EA">
            <w:pPr>
              <w:widowControl/>
              <w:jc w:val="left"/>
              <w:rPr>
                <w:rFonts w:hint="eastAsia" w:ascii="仿宋" w:hAnsi="仿宋" w:eastAsia="仿宋" w:cs="仿宋"/>
                <w:color w:val="auto"/>
                <w:kern w:val="0"/>
                <w:sz w:val="24"/>
                <w:highlight w:val="none"/>
              </w:rPr>
            </w:pPr>
          </w:p>
        </w:tc>
        <w:tc>
          <w:tcPr>
            <w:tcW w:w="2836" w:type="dxa"/>
            <w:vMerge w:val="continue"/>
            <w:vAlign w:val="center"/>
          </w:tcPr>
          <w:p w14:paraId="390C8836">
            <w:pPr>
              <w:widowControl/>
              <w:jc w:val="left"/>
              <w:rPr>
                <w:rFonts w:hint="eastAsia" w:ascii="仿宋" w:hAnsi="仿宋" w:eastAsia="仿宋" w:cs="仿宋"/>
                <w:color w:val="auto"/>
                <w:kern w:val="0"/>
                <w:sz w:val="24"/>
                <w:highlight w:val="none"/>
              </w:rPr>
            </w:pPr>
          </w:p>
        </w:tc>
        <w:tc>
          <w:tcPr>
            <w:tcW w:w="606" w:type="dxa"/>
            <w:vAlign w:val="center"/>
          </w:tcPr>
          <w:p w14:paraId="680050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E35C5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EDB9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35977E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34AD49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55E475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D478F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7B2E4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4D98C8C">
            <w:pPr>
              <w:widowControl/>
              <w:jc w:val="left"/>
              <w:rPr>
                <w:rFonts w:hint="eastAsia" w:ascii="仿宋" w:hAnsi="仿宋" w:eastAsia="仿宋" w:cs="仿宋"/>
                <w:color w:val="auto"/>
                <w:kern w:val="0"/>
                <w:sz w:val="24"/>
                <w:highlight w:val="none"/>
              </w:rPr>
            </w:pPr>
          </w:p>
        </w:tc>
        <w:tc>
          <w:tcPr>
            <w:tcW w:w="2836" w:type="dxa"/>
            <w:vMerge w:val="continue"/>
            <w:vAlign w:val="center"/>
          </w:tcPr>
          <w:p w14:paraId="67DD3D02">
            <w:pPr>
              <w:widowControl/>
              <w:jc w:val="left"/>
              <w:rPr>
                <w:rFonts w:hint="eastAsia" w:ascii="仿宋" w:hAnsi="仿宋" w:eastAsia="仿宋" w:cs="仿宋"/>
                <w:color w:val="auto"/>
                <w:kern w:val="0"/>
                <w:sz w:val="24"/>
                <w:highlight w:val="none"/>
              </w:rPr>
            </w:pPr>
          </w:p>
        </w:tc>
        <w:tc>
          <w:tcPr>
            <w:tcW w:w="606" w:type="dxa"/>
            <w:vAlign w:val="center"/>
          </w:tcPr>
          <w:p w14:paraId="49C096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716CC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207CDF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83D85A3">
            <w:pPr>
              <w:widowControl/>
              <w:jc w:val="left"/>
              <w:rPr>
                <w:rFonts w:hint="eastAsia" w:ascii="仿宋" w:hAnsi="仿宋" w:eastAsia="仿宋" w:cs="仿宋"/>
                <w:color w:val="auto"/>
                <w:kern w:val="0"/>
                <w:sz w:val="24"/>
                <w:highlight w:val="none"/>
              </w:rPr>
            </w:pPr>
          </w:p>
        </w:tc>
        <w:tc>
          <w:tcPr>
            <w:tcW w:w="2836" w:type="dxa"/>
            <w:vMerge w:val="continue"/>
            <w:vAlign w:val="center"/>
          </w:tcPr>
          <w:p w14:paraId="7103E650">
            <w:pPr>
              <w:widowControl/>
              <w:jc w:val="left"/>
              <w:rPr>
                <w:rFonts w:hint="eastAsia" w:ascii="仿宋" w:hAnsi="仿宋" w:eastAsia="仿宋" w:cs="仿宋"/>
                <w:color w:val="auto"/>
                <w:kern w:val="0"/>
                <w:sz w:val="24"/>
                <w:highlight w:val="none"/>
              </w:rPr>
            </w:pPr>
          </w:p>
        </w:tc>
        <w:tc>
          <w:tcPr>
            <w:tcW w:w="606" w:type="dxa"/>
            <w:vAlign w:val="center"/>
          </w:tcPr>
          <w:p w14:paraId="0DA702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EF6F28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24743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FCA93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0A6E62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D41E6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F98EB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17E6B7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9A33910">
            <w:pPr>
              <w:widowControl/>
              <w:jc w:val="left"/>
              <w:rPr>
                <w:rFonts w:hint="eastAsia" w:ascii="仿宋" w:hAnsi="仿宋" w:eastAsia="仿宋" w:cs="仿宋"/>
                <w:color w:val="auto"/>
                <w:kern w:val="0"/>
                <w:sz w:val="24"/>
                <w:highlight w:val="none"/>
              </w:rPr>
            </w:pPr>
          </w:p>
        </w:tc>
        <w:tc>
          <w:tcPr>
            <w:tcW w:w="2836" w:type="dxa"/>
            <w:vMerge w:val="continue"/>
            <w:vAlign w:val="center"/>
          </w:tcPr>
          <w:p w14:paraId="4831DFEC">
            <w:pPr>
              <w:widowControl/>
              <w:jc w:val="left"/>
              <w:rPr>
                <w:rFonts w:hint="eastAsia" w:ascii="仿宋" w:hAnsi="仿宋" w:eastAsia="仿宋" w:cs="仿宋"/>
                <w:color w:val="auto"/>
                <w:kern w:val="0"/>
                <w:sz w:val="24"/>
                <w:highlight w:val="none"/>
              </w:rPr>
            </w:pPr>
          </w:p>
        </w:tc>
        <w:tc>
          <w:tcPr>
            <w:tcW w:w="606" w:type="dxa"/>
            <w:vAlign w:val="center"/>
          </w:tcPr>
          <w:p w14:paraId="0F062F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BA0FF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79074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4F434B3">
            <w:pPr>
              <w:widowControl/>
              <w:jc w:val="left"/>
              <w:rPr>
                <w:rFonts w:hint="eastAsia" w:ascii="仿宋" w:hAnsi="仿宋" w:eastAsia="仿宋" w:cs="仿宋"/>
                <w:color w:val="auto"/>
                <w:kern w:val="0"/>
                <w:sz w:val="24"/>
                <w:highlight w:val="none"/>
              </w:rPr>
            </w:pPr>
          </w:p>
        </w:tc>
        <w:tc>
          <w:tcPr>
            <w:tcW w:w="2836" w:type="dxa"/>
            <w:vMerge w:val="continue"/>
            <w:vAlign w:val="center"/>
          </w:tcPr>
          <w:p w14:paraId="32092B32">
            <w:pPr>
              <w:widowControl/>
              <w:jc w:val="left"/>
              <w:rPr>
                <w:rFonts w:hint="eastAsia" w:ascii="仿宋" w:hAnsi="仿宋" w:eastAsia="仿宋" w:cs="仿宋"/>
                <w:color w:val="auto"/>
                <w:kern w:val="0"/>
                <w:sz w:val="24"/>
                <w:highlight w:val="none"/>
              </w:rPr>
            </w:pPr>
          </w:p>
        </w:tc>
        <w:tc>
          <w:tcPr>
            <w:tcW w:w="606" w:type="dxa"/>
            <w:vAlign w:val="center"/>
          </w:tcPr>
          <w:p w14:paraId="73DD7E1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8BA32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65860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A761B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592CB7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4C799E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1B7069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9A122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B139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D90BF4D">
            <w:pPr>
              <w:widowControl/>
              <w:jc w:val="left"/>
              <w:rPr>
                <w:rFonts w:hint="eastAsia" w:ascii="仿宋" w:hAnsi="仿宋" w:eastAsia="仿宋" w:cs="仿宋"/>
                <w:color w:val="auto"/>
                <w:kern w:val="0"/>
                <w:sz w:val="24"/>
                <w:highlight w:val="none"/>
              </w:rPr>
            </w:pPr>
          </w:p>
        </w:tc>
        <w:tc>
          <w:tcPr>
            <w:tcW w:w="1025" w:type="dxa"/>
            <w:vMerge w:val="continue"/>
            <w:vAlign w:val="center"/>
          </w:tcPr>
          <w:p w14:paraId="2BA93205">
            <w:pPr>
              <w:widowControl/>
              <w:jc w:val="left"/>
              <w:rPr>
                <w:rFonts w:hint="eastAsia" w:ascii="仿宋" w:hAnsi="仿宋" w:eastAsia="仿宋" w:cs="仿宋"/>
                <w:color w:val="auto"/>
                <w:kern w:val="0"/>
                <w:sz w:val="24"/>
                <w:highlight w:val="none"/>
              </w:rPr>
            </w:pPr>
          </w:p>
        </w:tc>
        <w:tc>
          <w:tcPr>
            <w:tcW w:w="2836" w:type="dxa"/>
            <w:vMerge w:val="continue"/>
            <w:vAlign w:val="center"/>
          </w:tcPr>
          <w:p w14:paraId="3BDAC17A">
            <w:pPr>
              <w:widowControl/>
              <w:jc w:val="left"/>
              <w:rPr>
                <w:rFonts w:hint="eastAsia" w:ascii="仿宋" w:hAnsi="仿宋" w:eastAsia="仿宋" w:cs="仿宋"/>
                <w:color w:val="auto"/>
                <w:kern w:val="0"/>
                <w:sz w:val="24"/>
                <w:highlight w:val="none"/>
              </w:rPr>
            </w:pPr>
          </w:p>
        </w:tc>
        <w:tc>
          <w:tcPr>
            <w:tcW w:w="606" w:type="dxa"/>
            <w:vAlign w:val="center"/>
          </w:tcPr>
          <w:p w14:paraId="7785B2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E0B18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EB8A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C3AFECD">
            <w:pPr>
              <w:widowControl/>
              <w:jc w:val="left"/>
              <w:rPr>
                <w:rFonts w:hint="eastAsia" w:ascii="仿宋" w:hAnsi="仿宋" w:eastAsia="仿宋" w:cs="仿宋"/>
                <w:color w:val="auto"/>
                <w:kern w:val="0"/>
                <w:sz w:val="24"/>
                <w:highlight w:val="none"/>
              </w:rPr>
            </w:pPr>
          </w:p>
        </w:tc>
        <w:tc>
          <w:tcPr>
            <w:tcW w:w="1025" w:type="dxa"/>
            <w:vMerge w:val="continue"/>
            <w:vAlign w:val="center"/>
          </w:tcPr>
          <w:p w14:paraId="61D4918B">
            <w:pPr>
              <w:widowControl/>
              <w:jc w:val="left"/>
              <w:rPr>
                <w:rFonts w:hint="eastAsia" w:ascii="仿宋" w:hAnsi="仿宋" w:eastAsia="仿宋" w:cs="仿宋"/>
                <w:color w:val="auto"/>
                <w:kern w:val="0"/>
                <w:sz w:val="24"/>
                <w:highlight w:val="none"/>
              </w:rPr>
            </w:pPr>
          </w:p>
        </w:tc>
        <w:tc>
          <w:tcPr>
            <w:tcW w:w="2836" w:type="dxa"/>
            <w:vMerge w:val="continue"/>
            <w:vAlign w:val="center"/>
          </w:tcPr>
          <w:p w14:paraId="7CD7BF99">
            <w:pPr>
              <w:widowControl/>
              <w:jc w:val="left"/>
              <w:rPr>
                <w:rFonts w:hint="eastAsia" w:ascii="仿宋" w:hAnsi="仿宋" w:eastAsia="仿宋" w:cs="仿宋"/>
                <w:color w:val="auto"/>
                <w:kern w:val="0"/>
                <w:sz w:val="24"/>
                <w:highlight w:val="none"/>
              </w:rPr>
            </w:pPr>
          </w:p>
        </w:tc>
        <w:tc>
          <w:tcPr>
            <w:tcW w:w="606" w:type="dxa"/>
            <w:vAlign w:val="center"/>
          </w:tcPr>
          <w:p w14:paraId="5D1EE8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2D51E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196F3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E4220BE">
            <w:pPr>
              <w:widowControl/>
              <w:jc w:val="left"/>
              <w:rPr>
                <w:rFonts w:hint="eastAsia" w:ascii="仿宋" w:hAnsi="仿宋" w:eastAsia="仿宋" w:cs="仿宋"/>
                <w:color w:val="auto"/>
                <w:kern w:val="0"/>
                <w:sz w:val="24"/>
                <w:highlight w:val="none"/>
              </w:rPr>
            </w:pPr>
          </w:p>
        </w:tc>
        <w:tc>
          <w:tcPr>
            <w:tcW w:w="1025" w:type="dxa"/>
            <w:vMerge w:val="restart"/>
            <w:vAlign w:val="center"/>
          </w:tcPr>
          <w:p w14:paraId="304A16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4F4BC2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15FA61E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1AD93A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5A0781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0774207">
            <w:pPr>
              <w:widowControl/>
              <w:jc w:val="left"/>
              <w:rPr>
                <w:rFonts w:hint="eastAsia" w:ascii="仿宋" w:hAnsi="仿宋" w:eastAsia="仿宋" w:cs="仿宋"/>
                <w:color w:val="auto"/>
                <w:kern w:val="0"/>
                <w:sz w:val="24"/>
                <w:highlight w:val="none"/>
              </w:rPr>
            </w:pPr>
          </w:p>
        </w:tc>
        <w:tc>
          <w:tcPr>
            <w:tcW w:w="1025" w:type="dxa"/>
            <w:vMerge w:val="continue"/>
            <w:vAlign w:val="center"/>
          </w:tcPr>
          <w:p w14:paraId="3444DFA5">
            <w:pPr>
              <w:widowControl/>
              <w:jc w:val="left"/>
              <w:rPr>
                <w:rFonts w:hint="eastAsia" w:ascii="仿宋" w:hAnsi="仿宋" w:eastAsia="仿宋" w:cs="仿宋"/>
                <w:color w:val="auto"/>
                <w:kern w:val="0"/>
                <w:sz w:val="24"/>
                <w:highlight w:val="none"/>
              </w:rPr>
            </w:pPr>
          </w:p>
        </w:tc>
        <w:tc>
          <w:tcPr>
            <w:tcW w:w="2836" w:type="dxa"/>
            <w:vMerge w:val="continue"/>
            <w:vAlign w:val="center"/>
          </w:tcPr>
          <w:p w14:paraId="42F521A3">
            <w:pPr>
              <w:widowControl/>
              <w:jc w:val="left"/>
              <w:rPr>
                <w:rFonts w:hint="eastAsia" w:ascii="仿宋" w:hAnsi="仿宋" w:eastAsia="仿宋" w:cs="仿宋"/>
                <w:color w:val="auto"/>
                <w:kern w:val="0"/>
                <w:sz w:val="24"/>
                <w:highlight w:val="none"/>
              </w:rPr>
            </w:pPr>
          </w:p>
        </w:tc>
        <w:tc>
          <w:tcPr>
            <w:tcW w:w="606" w:type="dxa"/>
            <w:vAlign w:val="center"/>
          </w:tcPr>
          <w:p w14:paraId="256FE9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28DEBE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9284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9D2EE8">
            <w:pPr>
              <w:widowControl/>
              <w:jc w:val="left"/>
              <w:rPr>
                <w:rFonts w:hint="eastAsia" w:ascii="仿宋" w:hAnsi="仿宋" w:eastAsia="仿宋" w:cs="仿宋"/>
                <w:color w:val="auto"/>
                <w:kern w:val="0"/>
                <w:sz w:val="24"/>
                <w:highlight w:val="none"/>
              </w:rPr>
            </w:pPr>
          </w:p>
        </w:tc>
        <w:tc>
          <w:tcPr>
            <w:tcW w:w="1025" w:type="dxa"/>
            <w:vMerge w:val="continue"/>
            <w:vAlign w:val="center"/>
          </w:tcPr>
          <w:p w14:paraId="6BD07DCD">
            <w:pPr>
              <w:widowControl/>
              <w:jc w:val="left"/>
              <w:rPr>
                <w:rFonts w:hint="eastAsia" w:ascii="仿宋" w:hAnsi="仿宋" w:eastAsia="仿宋" w:cs="仿宋"/>
                <w:color w:val="auto"/>
                <w:kern w:val="0"/>
                <w:sz w:val="24"/>
                <w:highlight w:val="none"/>
              </w:rPr>
            </w:pPr>
          </w:p>
        </w:tc>
        <w:tc>
          <w:tcPr>
            <w:tcW w:w="2836" w:type="dxa"/>
            <w:vMerge w:val="continue"/>
            <w:vAlign w:val="center"/>
          </w:tcPr>
          <w:p w14:paraId="783BA63C">
            <w:pPr>
              <w:widowControl/>
              <w:jc w:val="left"/>
              <w:rPr>
                <w:rFonts w:hint="eastAsia" w:ascii="仿宋" w:hAnsi="仿宋" w:eastAsia="仿宋" w:cs="仿宋"/>
                <w:color w:val="auto"/>
                <w:kern w:val="0"/>
                <w:sz w:val="24"/>
                <w:highlight w:val="none"/>
              </w:rPr>
            </w:pPr>
          </w:p>
        </w:tc>
        <w:tc>
          <w:tcPr>
            <w:tcW w:w="606" w:type="dxa"/>
            <w:vAlign w:val="center"/>
          </w:tcPr>
          <w:p w14:paraId="465C7A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21C61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662CA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DAF5A6">
            <w:pPr>
              <w:widowControl/>
              <w:jc w:val="left"/>
              <w:rPr>
                <w:rFonts w:hint="eastAsia" w:ascii="仿宋" w:hAnsi="仿宋" w:eastAsia="仿宋" w:cs="仿宋"/>
                <w:color w:val="auto"/>
                <w:kern w:val="0"/>
                <w:sz w:val="24"/>
                <w:highlight w:val="none"/>
              </w:rPr>
            </w:pPr>
          </w:p>
        </w:tc>
        <w:tc>
          <w:tcPr>
            <w:tcW w:w="1025" w:type="dxa"/>
            <w:vMerge w:val="restart"/>
            <w:vAlign w:val="center"/>
          </w:tcPr>
          <w:p w14:paraId="746FB6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183F7D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2AA8F1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5560C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B5FD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50B9A7">
            <w:pPr>
              <w:widowControl/>
              <w:jc w:val="left"/>
              <w:rPr>
                <w:rFonts w:hint="eastAsia" w:ascii="仿宋" w:hAnsi="仿宋" w:eastAsia="仿宋" w:cs="仿宋"/>
                <w:color w:val="auto"/>
                <w:kern w:val="0"/>
                <w:sz w:val="24"/>
                <w:highlight w:val="none"/>
              </w:rPr>
            </w:pPr>
          </w:p>
        </w:tc>
        <w:tc>
          <w:tcPr>
            <w:tcW w:w="1025" w:type="dxa"/>
            <w:vMerge w:val="continue"/>
            <w:vAlign w:val="center"/>
          </w:tcPr>
          <w:p w14:paraId="60174EB6">
            <w:pPr>
              <w:widowControl/>
              <w:jc w:val="left"/>
              <w:rPr>
                <w:rFonts w:hint="eastAsia" w:ascii="仿宋" w:hAnsi="仿宋" w:eastAsia="仿宋" w:cs="仿宋"/>
                <w:color w:val="auto"/>
                <w:kern w:val="0"/>
                <w:sz w:val="24"/>
                <w:highlight w:val="none"/>
              </w:rPr>
            </w:pPr>
          </w:p>
        </w:tc>
        <w:tc>
          <w:tcPr>
            <w:tcW w:w="2836" w:type="dxa"/>
            <w:vMerge w:val="continue"/>
            <w:vAlign w:val="center"/>
          </w:tcPr>
          <w:p w14:paraId="1989BF82">
            <w:pPr>
              <w:widowControl/>
              <w:jc w:val="left"/>
              <w:rPr>
                <w:rFonts w:hint="eastAsia" w:ascii="仿宋" w:hAnsi="仿宋" w:eastAsia="仿宋" w:cs="仿宋"/>
                <w:color w:val="auto"/>
                <w:kern w:val="0"/>
                <w:sz w:val="24"/>
                <w:highlight w:val="none"/>
              </w:rPr>
            </w:pPr>
          </w:p>
        </w:tc>
        <w:tc>
          <w:tcPr>
            <w:tcW w:w="606" w:type="dxa"/>
            <w:vAlign w:val="center"/>
          </w:tcPr>
          <w:p w14:paraId="3BF988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D1639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2CD7BA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EEB264E">
            <w:pPr>
              <w:widowControl/>
              <w:jc w:val="left"/>
              <w:rPr>
                <w:rFonts w:hint="eastAsia" w:ascii="仿宋" w:hAnsi="仿宋" w:eastAsia="仿宋" w:cs="仿宋"/>
                <w:color w:val="auto"/>
                <w:kern w:val="0"/>
                <w:sz w:val="24"/>
                <w:highlight w:val="none"/>
              </w:rPr>
            </w:pPr>
          </w:p>
        </w:tc>
        <w:tc>
          <w:tcPr>
            <w:tcW w:w="1025" w:type="dxa"/>
            <w:vMerge w:val="continue"/>
            <w:vAlign w:val="center"/>
          </w:tcPr>
          <w:p w14:paraId="30B5E289">
            <w:pPr>
              <w:widowControl/>
              <w:jc w:val="left"/>
              <w:rPr>
                <w:rFonts w:hint="eastAsia" w:ascii="仿宋" w:hAnsi="仿宋" w:eastAsia="仿宋" w:cs="仿宋"/>
                <w:color w:val="auto"/>
                <w:kern w:val="0"/>
                <w:sz w:val="24"/>
                <w:highlight w:val="none"/>
              </w:rPr>
            </w:pPr>
          </w:p>
        </w:tc>
        <w:tc>
          <w:tcPr>
            <w:tcW w:w="2836" w:type="dxa"/>
            <w:vMerge w:val="continue"/>
            <w:vAlign w:val="center"/>
          </w:tcPr>
          <w:p w14:paraId="6317353A">
            <w:pPr>
              <w:widowControl/>
              <w:jc w:val="left"/>
              <w:rPr>
                <w:rFonts w:hint="eastAsia" w:ascii="仿宋" w:hAnsi="仿宋" w:eastAsia="仿宋" w:cs="仿宋"/>
                <w:color w:val="auto"/>
                <w:kern w:val="0"/>
                <w:sz w:val="24"/>
                <w:highlight w:val="none"/>
              </w:rPr>
            </w:pPr>
          </w:p>
        </w:tc>
        <w:tc>
          <w:tcPr>
            <w:tcW w:w="606" w:type="dxa"/>
            <w:vAlign w:val="center"/>
          </w:tcPr>
          <w:p w14:paraId="6142A4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B6AA9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087927AE">
      <w:pPr>
        <w:rPr>
          <w:rFonts w:hint="eastAsia" w:ascii="仿宋" w:hAnsi="仿宋" w:eastAsia="仿宋" w:cs="仿宋"/>
          <w:color w:val="auto"/>
          <w:sz w:val="24"/>
          <w:highlight w:val="none"/>
        </w:rPr>
      </w:pPr>
    </w:p>
    <w:p w14:paraId="363EF0AD">
      <w:pPr>
        <w:ind w:firstLine="420" w:firstLineChars="200"/>
        <w:rPr>
          <w:rFonts w:hint="eastAsia" w:ascii="仿宋" w:hAnsi="仿宋" w:eastAsia="仿宋" w:cs="仿宋"/>
          <w:color w:val="auto"/>
          <w:highlight w:val="none"/>
        </w:rPr>
      </w:pPr>
    </w:p>
    <w:p w14:paraId="76E00218">
      <w:pPr>
        <w:spacing w:line="360" w:lineRule="auto"/>
        <w:ind w:right="420"/>
        <w:rPr>
          <w:rFonts w:hint="eastAsia" w:ascii="仿宋" w:hAnsi="仿宋" w:eastAsia="仿宋" w:cs="仿宋"/>
          <w:color w:val="auto"/>
          <w:highlight w:val="none"/>
        </w:rPr>
      </w:pPr>
    </w:p>
    <w:p w14:paraId="048C85C2">
      <w:pPr>
        <w:spacing w:line="360" w:lineRule="auto"/>
        <w:rPr>
          <w:rFonts w:ascii="宋体" w:hAnsi="宋体" w:cs="宋体"/>
          <w:bCs/>
          <w:color w:val="auto"/>
          <w:sz w:val="24"/>
          <w:highlight w:val="none"/>
        </w:rPr>
      </w:pPr>
    </w:p>
    <w:sectPr>
      <w:pgSz w:w="11906" w:h="16838"/>
      <w:pgMar w:top="1440" w:right="1800" w:bottom="1440" w:left="180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884E">
    <w:pPr>
      <w:pStyle w:val="40"/>
      <w:framePr w:wrap="around" w:vAnchor="text" w:hAnchor="margin" w:xAlign="right" w:y="1"/>
      <w:rPr>
        <w:rStyle w:val="72"/>
      </w:rPr>
    </w:pPr>
    <w:r>
      <w:fldChar w:fldCharType="begin"/>
    </w:r>
    <w:r>
      <w:rPr>
        <w:rStyle w:val="72"/>
      </w:rPr>
      <w:instrText xml:space="preserve">PAGE  </w:instrText>
    </w:r>
    <w:r>
      <w:fldChar w:fldCharType="end"/>
    </w:r>
  </w:p>
  <w:p w14:paraId="29581182">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EAA58">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46C0">
    <w:pPr>
      <w:pStyle w:val="4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C609CC">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9C609CC">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9A6EF">
    <w:pPr>
      <w:rPr>
        <w:rFonts w:ascii="仿宋_GB2312" w:eastAsia="仿宋_GB2312"/>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790939">
                          <w:pPr>
                            <w:pStyle w:val="4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6790939">
                    <w:pPr>
                      <w:pStyle w:val="4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82DA3">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F5ECC8">
                          <w:pPr>
                            <w:pStyle w:val="4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BF5ECC8">
                    <w:pPr>
                      <w:pStyle w:val="4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3C315">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D9F43E">
                          <w:pPr>
                            <w:pStyle w:val="4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3D9F43E">
                    <w:pPr>
                      <w:pStyle w:val="4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49CC8">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EC49B0">
                          <w:pPr>
                            <w:pStyle w:val="4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2EC49B0">
                    <w:pPr>
                      <w:pStyle w:val="4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8F576">
    <w:pPr>
      <w:pStyle w:val="40"/>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6C5256">
                          <w:pPr>
                            <w:pStyle w:val="4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D6C5256">
                    <w:pPr>
                      <w:pStyle w:val="40"/>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A6700">
    <w:pPr>
      <w:pStyle w:val="40"/>
      <w:framePr w:wrap="around" w:vAnchor="text" w:hAnchor="margin" w:xAlign="right" w:y="1"/>
      <w:rPr>
        <w:rStyle w:val="72"/>
      </w:rPr>
    </w:pPr>
    <w:r>
      <w:fldChar w:fldCharType="begin"/>
    </w:r>
    <w:r>
      <w:rPr>
        <w:rStyle w:val="72"/>
      </w:rPr>
      <w:instrText xml:space="preserve">PAGE  </w:instrText>
    </w:r>
    <w:r>
      <w:fldChar w:fldCharType="end"/>
    </w:r>
  </w:p>
  <w:p w14:paraId="4F002B72">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661F5">
    <w:pPr>
      <w:pStyle w:val="40"/>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6E87B7">
                          <w:pPr>
                            <w:pStyle w:val="4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36E87B7">
                    <w:pPr>
                      <w:pStyle w:val="40"/>
                    </w:pPr>
                    <w:r>
                      <w:fldChar w:fldCharType="begin"/>
                    </w:r>
                    <w:r>
                      <w:instrText xml:space="preserve"> PAGE  \* MERGEFORMAT </w:instrText>
                    </w:r>
                    <w:r>
                      <w:fldChar w:fldCharType="separate"/>
                    </w:r>
                    <w:r>
                      <w:t>55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AD3800">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A2583">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p>
  <w:p w14:paraId="3FD83FEF">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633B6">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p>
  <w:p w14:paraId="7870E327">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0ED5B">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p>
  <w:p w14:paraId="21D17F81">
    <w:pPr>
      <w:pStyle w:val="41"/>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355B8">
    <w:pPr>
      <w:rPr>
        <w:rFonts w:ascii="仿宋_GB2312" w:eastAsia="仿宋_GB2312"/>
        <w:b/>
        <w:i/>
        <w:sz w:val="18"/>
        <w:u w:val="single"/>
      </w:rPr>
    </w:pPr>
    <w:r>
      <w:rPr>
        <w:rFonts w:hint="eastAsia" w:ascii="仿宋" w:hAnsi="仿宋" w:eastAsia="仿宋" w:cs="仿宋"/>
        <w:lang w:val="en-US" w:eastAsia="zh-CN"/>
      </w:rPr>
      <w:t xml:space="preserve">浙江建诚工程管理咨询有限公司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3D8348">
    <w:pPr>
      <w:pStyle w:val="41"/>
      <w:pBdr>
        <w:bottom w:val="none" w:color="auto" w:sz="0" w:space="1"/>
      </w:pBdr>
      <w:jc w:val="both"/>
    </w:pPr>
    <w:r>
      <w:rPr>
        <w:rFonts w:hint="eastAsia" w:ascii="仿宋" w:hAnsi="仿宋" w:eastAsia="仿宋" w:cs="仿宋"/>
        <w:lang w:val="en-US" w:eastAsia="zh-CN"/>
      </w:rPr>
      <w:t xml:space="preserve">浙江建诚工程管理咨询有限公司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0AFB7">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p>
  <w:p w14:paraId="0494FDD0">
    <w:pPr>
      <w:pStyle w:val="41"/>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9DCED">
    <w:pPr>
      <w:pStyle w:val="41"/>
      <w:jc w:val="left"/>
      <w:rPr>
        <w:rFonts w:ascii="仿宋_GB2312" w:eastAsia="仿宋_GB2312"/>
        <w:b w:val="0"/>
        <w:i/>
        <w:sz w:val="18"/>
        <w:u w:val="single"/>
        <w:lang w:val="en-US"/>
      </w:rPr>
    </w:pPr>
    <w:r>
      <w:rPr>
        <w:rFonts w:hint="eastAsia" w:ascii="仿宋" w:hAnsi="仿宋" w:eastAsia="仿宋" w:cs="仿宋"/>
        <w:lang w:val="en-US" w:eastAsia="zh-CN"/>
      </w:rPr>
      <w:t xml:space="preserve">浙江建诚工程管理咨询有限公司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p>
  <w:p w14:paraId="1446F612">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6E1819"/>
    <w:multiLevelType w:val="singleLevel"/>
    <w:tmpl w:val="8D6E1819"/>
    <w:lvl w:ilvl="0" w:tentative="0">
      <w:start w:val="6"/>
      <w:numFmt w:val="chineseCounting"/>
      <w:suff w:val="nothing"/>
      <w:lvlText w:val="%1、"/>
      <w:lvlJc w:val="left"/>
      <w:rPr>
        <w:rFonts w:hint="eastAsia"/>
      </w:rPr>
    </w:lvl>
  </w:abstractNum>
  <w:abstractNum w:abstractNumId="1">
    <w:nsid w:val="49E949B7"/>
    <w:multiLevelType w:val="singleLevel"/>
    <w:tmpl w:val="49E949B7"/>
    <w:lvl w:ilvl="0" w:tentative="0">
      <w:start w:val="2"/>
      <w:numFmt w:val="chineseCounting"/>
      <w:suff w:val="nothing"/>
      <w:lvlText w:val="%1、"/>
      <w:lvlJc w:val="left"/>
      <w:rPr>
        <w:rFonts w:hint="eastAsia"/>
      </w:rPr>
    </w:lvl>
  </w:abstractNum>
  <w:abstractNum w:abstractNumId="2">
    <w:nsid w:val="7C4EEB5F"/>
    <w:multiLevelType w:val="singleLevel"/>
    <w:tmpl w:val="7C4EEB5F"/>
    <w:lvl w:ilvl="0" w:tentative="0">
      <w:start w:val="1"/>
      <w:numFmt w:val="decimal"/>
      <w:lvlText w:val="%1."/>
      <w:lvlJc w:val="left"/>
      <w:pPr>
        <w:tabs>
          <w:tab w:val="left" w:pos="312"/>
        </w:tabs>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ZiNWE4MWU2OTlkNDAxMWY3MGJiNDBlNGFiOGRjZDkifQ=="/>
  </w:docVars>
  <w:rsids>
    <w:rsidRoot w:val="00172A27"/>
    <w:rsid w:val="027B04B8"/>
    <w:rsid w:val="02D00D59"/>
    <w:rsid w:val="03605D10"/>
    <w:rsid w:val="04BC1312"/>
    <w:rsid w:val="07ED086D"/>
    <w:rsid w:val="0A125CFF"/>
    <w:rsid w:val="0D3319F8"/>
    <w:rsid w:val="0E8E73E1"/>
    <w:rsid w:val="0F096B8F"/>
    <w:rsid w:val="0F63063F"/>
    <w:rsid w:val="11726486"/>
    <w:rsid w:val="12B71F54"/>
    <w:rsid w:val="13212417"/>
    <w:rsid w:val="13293A70"/>
    <w:rsid w:val="16CE11FA"/>
    <w:rsid w:val="18E60774"/>
    <w:rsid w:val="19E1797F"/>
    <w:rsid w:val="19FC5530"/>
    <w:rsid w:val="1CE21C37"/>
    <w:rsid w:val="1D2F1C3B"/>
    <w:rsid w:val="1D993462"/>
    <w:rsid w:val="1F226CF6"/>
    <w:rsid w:val="1FBF36AE"/>
    <w:rsid w:val="20256D0F"/>
    <w:rsid w:val="22813F5F"/>
    <w:rsid w:val="233A6779"/>
    <w:rsid w:val="25E0515F"/>
    <w:rsid w:val="264B2FCC"/>
    <w:rsid w:val="29563E43"/>
    <w:rsid w:val="2A901FCC"/>
    <w:rsid w:val="2B12161A"/>
    <w:rsid w:val="2B2D68A9"/>
    <w:rsid w:val="2BB80DD6"/>
    <w:rsid w:val="2C4003B2"/>
    <w:rsid w:val="2CE9487F"/>
    <w:rsid w:val="2FD56706"/>
    <w:rsid w:val="30CD01D9"/>
    <w:rsid w:val="312729AE"/>
    <w:rsid w:val="32F477D5"/>
    <w:rsid w:val="330F5F53"/>
    <w:rsid w:val="349B6ECC"/>
    <w:rsid w:val="369C3193"/>
    <w:rsid w:val="3AC97F9B"/>
    <w:rsid w:val="3AF13785"/>
    <w:rsid w:val="3CDB4965"/>
    <w:rsid w:val="3D2D6B2F"/>
    <w:rsid w:val="3EE70F95"/>
    <w:rsid w:val="3EFE0382"/>
    <w:rsid w:val="427E60E8"/>
    <w:rsid w:val="4364489E"/>
    <w:rsid w:val="44194484"/>
    <w:rsid w:val="45206726"/>
    <w:rsid w:val="45BC53D2"/>
    <w:rsid w:val="463762D1"/>
    <w:rsid w:val="46BB1765"/>
    <w:rsid w:val="47A32315"/>
    <w:rsid w:val="49DA2145"/>
    <w:rsid w:val="4B8D7E41"/>
    <w:rsid w:val="4CD71131"/>
    <w:rsid w:val="4E601AC4"/>
    <w:rsid w:val="4EBC5B78"/>
    <w:rsid w:val="4F4B3D85"/>
    <w:rsid w:val="54AC1C6D"/>
    <w:rsid w:val="54CD33CB"/>
    <w:rsid w:val="565F52E7"/>
    <w:rsid w:val="58F6189A"/>
    <w:rsid w:val="59BF4717"/>
    <w:rsid w:val="5A7C34BF"/>
    <w:rsid w:val="5D957C98"/>
    <w:rsid w:val="5E595457"/>
    <w:rsid w:val="5E947B1D"/>
    <w:rsid w:val="5F561B6F"/>
    <w:rsid w:val="5F57E5CA"/>
    <w:rsid w:val="5FD63BE8"/>
    <w:rsid w:val="61097C4E"/>
    <w:rsid w:val="61C42C2D"/>
    <w:rsid w:val="62796D56"/>
    <w:rsid w:val="63082288"/>
    <w:rsid w:val="63E03897"/>
    <w:rsid w:val="66432752"/>
    <w:rsid w:val="669C35D3"/>
    <w:rsid w:val="67524BFF"/>
    <w:rsid w:val="67FE215F"/>
    <w:rsid w:val="693873DE"/>
    <w:rsid w:val="69411C6F"/>
    <w:rsid w:val="6A0526F7"/>
    <w:rsid w:val="6CE66B6E"/>
    <w:rsid w:val="6D413351"/>
    <w:rsid w:val="6D621B82"/>
    <w:rsid w:val="6DE006E6"/>
    <w:rsid w:val="6F441D17"/>
    <w:rsid w:val="6F7246F2"/>
    <w:rsid w:val="6FC37AD4"/>
    <w:rsid w:val="6FCB1B8D"/>
    <w:rsid w:val="711075A2"/>
    <w:rsid w:val="72387BF6"/>
    <w:rsid w:val="735F1D32"/>
    <w:rsid w:val="7603170B"/>
    <w:rsid w:val="78A648FD"/>
    <w:rsid w:val="78AD1F79"/>
    <w:rsid w:val="79247CAB"/>
    <w:rsid w:val="799A3F67"/>
    <w:rsid w:val="7C0924C9"/>
    <w:rsid w:val="7C644432"/>
    <w:rsid w:val="7DFF3A1B"/>
    <w:rsid w:val="7FCE9F2A"/>
    <w:rsid w:val="7FFBFCF7"/>
    <w:rsid w:val="ABFB7417"/>
    <w:rsid w:val="DFBB651F"/>
    <w:rsid w:val="FF3F59E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1"/>
    <w:qFormat/>
    <w:uiPriority w:val="0"/>
    <w:pPr>
      <w:ind w:firstLine="420"/>
    </w:pPr>
    <w:rPr>
      <w:rFonts w:hAnsi="Calibri" w:cs="Times New Roman"/>
      <w:snapToGrid/>
      <w:szCs w:val="20"/>
    </w:rPr>
  </w:style>
  <w:style w:type="paragraph" w:styleId="25">
    <w:name w:val="Body Text Indent"/>
    <w:basedOn w:val="1"/>
    <w:next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2"/>
    <w:basedOn w:val="25"/>
    <w:next w:val="29"/>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 表格正文 + 两端对齐"/>
    <w:basedOn w:val="1"/>
    <w:next w:val="80"/>
    <w:qFormat/>
    <w:uiPriority w:val="99"/>
    <w:pPr>
      <w:spacing w:line="300" w:lineRule="auto"/>
    </w:pPr>
    <w:rPr>
      <w:sz w:val="24"/>
    </w:rPr>
  </w:style>
  <w:style w:type="paragraph" w:customStyle="1" w:styleId="8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1">
    <w:name w:val="Default"/>
    <w:next w:val="82"/>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065a2bc-5607-4f88-bb9a-f4f6c7b4e0ea"/>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29dca83e-cfa0-4d29-9006-28a1b752e563"/>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2"/>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b6bb7154-40a1-4532-be09-cdbace51fda5"/>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1"/>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81"/>
    <w:next w:val="81"/>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81"/>
    <w:next w:val="81"/>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8"/>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5">
    <w:name w:val="xl5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b/>
      <w:bCs/>
      <w:kern w:val="0"/>
      <w:sz w:val="20"/>
      <w:szCs w:val="20"/>
    </w:rPr>
  </w:style>
  <w:style w:type="paragraph" w:customStyle="1" w:styleId="966">
    <w:name w:val="Plain Text"/>
    <w:basedOn w:val="967"/>
    <w:autoRedefine/>
    <w:qFormat/>
    <w:uiPriority w:val="0"/>
    <w:pPr>
      <w:widowControl/>
      <w:jc w:val="left"/>
    </w:pPr>
    <w:rPr>
      <w:rFonts w:ascii="宋体" w:hAnsi="Courier New"/>
    </w:rPr>
  </w:style>
  <w:style w:type="paragraph" w:customStyle="1" w:styleId="967">
    <w:name w:val="Normal"/>
    <w:autoRedefine/>
    <w:qFormat/>
    <w:uiPriority w:val="0"/>
    <w:pPr>
      <w:widowControl w:val="0"/>
      <w:jc w:val="both"/>
    </w:pPr>
    <w:rPr>
      <w:rFonts w:hint="eastAsia"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74</Pages>
  <Words>21855</Words>
  <Characters>23309</Characters>
  <Paragraphs>1943</Paragraphs>
  <TotalTime>24</TotalTime>
  <ScaleCrop>false</ScaleCrop>
  <LinksUpToDate>false</LinksUpToDate>
  <CharactersWithSpaces>24981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Perfect</cp:lastModifiedBy>
  <cp:lastPrinted>2025-04-11T01:00:28Z</cp:lastPrinted>
  <dcterms:modified xsi:type="dcterms:W3CDTF">2025-04-11T01:17:46Z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F5436F5779F94BE9BD257FDC7FB41883_13</vt:lpwstr>
  </property>
  <property fmtid="{D5CDD505-2E9C-101B-9397-08002B2CF9AE}" pid="5" name="KSOTemplateDocerSaveRecord">
    <vt:lpwstr>eyJoZGlkIjoiZmZiNWE4MWU2OTlkNDAxMWY3MGJiNDBlNGFiOGRjZDkiLCJ1c2VySWQiOiIyNzcyNTg3MTYifQ==</vt:lpwstr>
  </property>
</Properties>
</file>