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绍兴文理学院南山新建学生公寓</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家具采购项目</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2025-01-0003</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一</w:t>
            </w:r>
            <w:r>
              <w:rPr>
                <w:rFonts w:hint="eastAsia" w:ascii="隶书" w:hAnsi="隶书" w:eastAsia="隶书" w:cs="隶书"/>
                <w:color w:val="auto"/>
                <w:sz w:val="28"/>
                <w:szCs w:val="28"/>
                <w:highlight w:val="none"/>
              </w:rPr>
              <w:t>月</w:t>
            </w:r>
          </w:p>
        </w:tc>
      </w:tr>
    </w:tbl>
    <w:p>
      <w:pPr>
        <w:pStyle w:val="636"/>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_Toc91899870"/>
      <w:bookmarkStart w:id="8" w:name="第二部分"/>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绍兴文理学院南山新建学生公寓家具采购项目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w:t>
      </w:r>
      <w:r>
        <w:rPr>
          <w:rStyle w:val="76"/>
          <w:rFonts w:hint="eastAsia" w:ascii="仿宋_GB2312" w:hAnsi="仿宋_GB2312" w:eastAsia="仿宋_GB2312" w:cs="仿宋_GB2312"/>
          <w:snapToGrid/>
          <w:color w:val="auto"/>
          <w:kern w:val="2"/>
          <w:sz w:val="24"/>
          <w:szCs w:val="24"/>
          <w:highlight w:val="none"/>
          <w:lang w:val="en-US" w:eastAsia="zh-CN"/>
        </w:rPr>
        <w:t>2</w:t>
      </w:r>
      <w:r>
        <w:rPr>
          <w:rStyle w:val="76"/>
          <w:rFonts w:hint="eastAsia" w:ascii="仿宋_GB2312" w:hAnsi="仿宋_GB2312" w:eastAsia="仿宋_GB2312" w:cs="仿宋_GB2312"/>
          <w:snapToGrid/>
          <w:color w:val="auto"/>
          <w:kern w:val="2"/>
          <w:sz w:val="24"/>
          <w:szCs w:val="24"/>
          <w:highlight w:val="none"/>
        </w:rPr>
        <w:t xml:space="preserve"> 月</w:t>
      </w:r>
      <w:r>
        <w:rPr>
          <w:rStyle w:val="76"/>
          <w:rFonts w:hint="eastAsia" w:ascii="仿宋_GB2312" w:hAnsi="仿宋_GB2312" w:eastAsia="仿宋_GB2312" w:cs="仿宋_GB2312"/>
          <w:snapToGrid/>
          <w:color w:val="auto"/>
          <w:kern w:val="2"/>
          <w:sz w:val="24"/>
          <w:szCs w:val="24"/>
          <w:highlight w:val="none"/>
          <w:lang w:val="en-US" w:eastAsia="zh-CN"/>
        </w:rPr>
        <w:t>19</w:t>
      </w:r>
      <w:r>
        <w:rPr>
          <w:rStyle w:val="76"/>
          <w:rFonts w:hint="eastAsia" w:ascii="仿宋_GB2312" w:hAnsi="仿宋_GB2312" w:eastAsia="仿宋_GB2312" w:cs="仿宋_GB2312"/>
          <w:snapToGrid/>
          <w:color w:val="auto"/>
          <w:kern w:val="2"/>
          <w:sz w:val="24"/>
          <w:szCs w:val="24"/>
          <w:highlight w:val="none"/>
        </w:rPr>
        <w:t xml:space="preserve"> 日 </w:t>
      </w:r>
      <w:r>
        <w:rPr>
          <w:rStyle w:val="76"/>
          <w:rFonts w:hint="eastAsia" w:ascii="仿宋_GB2312" w:hAnsi="仿宋_GB2312" w:eastAsia="仿宋_GB2312" w:cs="仿宋_GB2312"/>
          <w:snapToGrid/>
          <w:color w:val="auto"/>
          <w:kern w:val="2"/>
          <w:sz w:val="24"/>
          <w:szCs w:val="24"/>
          <w:highlight w:val="none"/>
          <w:lang w:val="en-US" w:eastAsia="zh-CN"/>
        </w:rPr>
        <w:t>9</w:t>
      </w:r>
      <w:r>
        <w:rPr>
          <w:rStyle w:val="76"/>
          <w:rFonts w:hint="eastAsia" w:ascii="仿宋_GB2312" w:hAnsi="仿宋_GB2312" w:eastAsia="仿宋_GB2312" w:cs="仿宋_GB2312"/>
          <w:snapToGrid/>
          <w:color w:val="auto"/>
          <w:kern w:val="2"/>
          <w:sz w:val="24"/>
          <w:szCs w:val="24"/>
          <w:highlight w:val="none"/>
        </w:rPr>
        <w:t>点</w:t>
      </w:r>
      <w:r>
        <w:rPr>
          <w:rStyle w:val="76"/>
          <w:rFonts w:hint="eastAsia" w:ascii="仿宋_GB2312" w:hAnsi="仿宋_GB2312" w:eastAsia="仿宋_GB2312" w:cs="仿宋_GB2312"/>
          <w:snapToGrid/>
          <w:color w:val="auto"/>
          <w:kern w:val="2"/>
          <w:sz w:val="24"/>
          <w:szCs w:val="24"/>
          <w:highlight w:val="none"/>
          <w:lang w:val="en-US" w:eastAsia="zh-CN"/>
        </w:rPr>
        <w:t>00</w:t>
      </w:r>
      <w:r>
        <w:rPr>
          <w:rStyle w:val="76"/>
          <w:rFonts w:hint="eastAsia" w:ascii="仿宋_GB2312" w:hAnsi="仿宋_GB2312" w:eastAsia="仿宋_GB2312" w:cs="仿宋_GB2312"/>
          <w:snapToGrid/>
          <w:color w:val="auto"/>
          <w:kern w:val="2"/>
          <w:sz w:val="24"/>
          <w:szCs w:val="24"/>
          <w:highlight w:val="none"/>
        </w:rPr>
        <w:t xml:space="preserve">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2025-01-0003</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绍兴文理学院南山新建学生公寓家具采购项目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bCs w:val="0"/>
          <w:color w:val="auto"/>
          <w:sz w:val="24"/>
          <w:highlight w:val="none"/>
          <w:lang w:eastAsia="zh-CN"/>
        </w:rPr>
      </w:pPr>
      <w:r>
        <w:rPr>
          <w:rFonts w:hint="eastAsia" w:ascii="仿宋_GB2312" w:hAnsi="仿宋_GB2312" w:eastAsia="仿宋_GB2312" w:cs="仿宋_GB2312"/>
          <w:b/>
          <w:bCs w:val="0"/>
          <w:color w:val="auto"/>
          <w:sz w:val="24"/>
          <w:highlight w:val="none"/>
        </w:rPr>
        <w:t>预算金额（元）：19000600</w:t>
      </w:r>
      <w:r>
        <w:rPr>
          <w:rFonts w:hint="eastAsia" w:ascii="仿宋_GB2312" w:hAnsi="仿宋_GB2312" w:eastAsia="仿宋_GB2312" w:cs="仿宋_GB2312"/>
          <w:b/>
          <w:bCs w:val="0"/>
          <w:color w:val="auto"/>
          <w:sz w:val="24"/>
          <w:highlight w:val="none"/>
          <w:lang w:eastAsia="zh-CN"/>
        </w:rPr>
        <w:t>（</w:t>
      </w:r>
      <w:r>
        <w:rPr>
          <w:rFonts w:hint="eastAsia" w:ascii="仿宋_GB2312" w:hAnsi="仿宋_GB2312" w:eastAsia="仿宋_GB2312" w:cs="仿宋_GB2312"/>
          <w:b/>
          <w:bCs w:val="0"/>
          <w:color w:val="auto"/>
          <w:sz w:val="24"/>
          <w:highlight w:val="none"/>
          <w:lang w:val="en-US" w:eastAsia="zh-CN"/>
        </w:rPr>
        <w:t>标项一10078800，标项二8921800</w:t>
      </w:r>
      <w:r>
        <w:rPr>
          <w:rFonts w:hint="eastAsia" w:ascii="仿宋_GB2312" w:hAnsi="仿宋_GB2312" w:eastAsia="仿宋_GB2312" w:cs="仿宋_GB2312"/>
          <w:b/>
          <w:bCs w:val="0"/>
          <w:color w:val="auto"/>
          <w:sz w:val="24"/>
          <w:highlight w:val="none"/>
          <w:lang w:eastAsia="zh-CN"/>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最高限价（元）：19000600</w:t>
      </w:r>
      <w:r>
        <w:rPr>
          <w:rFonts w:hint="eastAsia" w:ascii="仿宋_GB2312" w:hAnsi="仿宋_GB2312" w:eastAsia="仿宋_GB2312" w:cs="仿宋_GB2312"/>
          <w:b/>
          <w:bCs w:val="0"/>
          <w:color w:val="auto"/>
          <w:sz w:val="24"/>
          <w:highlight w:val="none"/>
          <w:lang w:eastAsia="zh-CN"/>
        </w:rPr>
        <w:t>（</w:t>
      </w:r>
      <w:r>
        <w:rPr>
          <w:rFonts w:hint="eastAsia" w:ascii="仿宋_GB2312" w:hAnsi="仿宋_GB2312" w:eastAsia="仿宋_GB2312" w:cs="仿宋_GB2312"/>
          <w:b/>
          <w:bCs w:val="0"/>
          <w:color w:val="auto"/>
          <w:sz w:val="24"/>
          <w:highlight w:val="none"/>
          <w:lang w:val="en-US" w:eastAsia="zh-CN"/>
        </w:rPr>
        <w:t>标项一10078800，标项二8921800</w:t>
      </w:r>
      <w:r>
        <w:rPr>
          <w:rFonts w:hint="eastAsia" w:ascii="仿宋_GB2312" w:hAnsi="仿宋_GB2312" w:eastAsia="仿宋_GB2312" w:cs="仿宋_GB2312"/>
          <w:b/>
          <w:bCs w:val="0"/>
          <w:color w:val="auto"/>
          <w:sz w:val="24"/>
          <w:highlight w:val="none"/>
          <w:lang w:eastAsia="zh-CN"/>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标项名称：学生公寓13、14幢家具采购项目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预算金额（元）：10078800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color w:val="auto"/>
          <w:sz w:val="24"/>
          <w:szCs w:val="24"/>
          <w:highlight w:val="none"/>
        </w:rPr>
        <w:t>标项</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标项名称:学生公寓10、11幢家具采购项目</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数量:1</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 预算金额（元）:8921800 </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主要内容：简要规格描</w:t>
      </w:r>
      <w:r>
        <w:rPr>
          <w:rFonts w:hint="eastAsia" w:ascii="仿宋_GB2312" w:hAnsi="仿宋_GB2312" w:eastAsia="仿宋_GB2312" w:cs="仿宋_GB2312"/>
          <w:b w:val="0"/>
          <w:bCs/>
          <w:color w:val="auto"/>
          <w:sz w:val="24"/>
          <w:szCs w:val="24"/>
          <w:highlight w:val="none"/>
        </w:rPr>
        <w:t>述或项目基本概况介绍、用途，详见采购文件。</w:t>
      </w:r>
    </w:p>
    <w:p>
      <w:pPr>
        <w:pageBreakBefore w:val="0"/>
        <w:widowControl w:val="0"/>
        <w:kinsoku/>
        <w:wordWrap w:val="0"/>
        <w:overflowPunct/>
        <w:topLinePunct w:val="0"/>
        <w:autoSpaceDE/>
        <w:autoSpaceDN/>
        <w:bidi w:val="0"/>
        <w:spacing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合同履约期限：</w:t>
      </w:r>
      <w:r>
        <w:rPr>
          <w:rFonts w:hint="eastAsia" w:ascii="仿宋_GB2312" w:hAnsi="仿宋_GB2312" w:eastAsia="仿宋_GB2312" w:cs="仿宋_GB2312"/>
          <w:b w:val="0"/>
          <w:bCs/>
          <w:color w:val="auto"/>
          <w:sz w:val="24"/>
          <w:szCs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szCs w:val="24"/>
          <w:highlight w:val="none"/>
        </w:rPr>
        <w:t>本项目接受联合体投标：</w:t>
      </w:r>
      <w:sdt>
        <w:sdtPr>
          <w:rPr>
            <w:rFonts w:hint="eastAsia" w:ascii="仿宋_GB2312" w:hAnsi="仿宋_GB2312" w:eastAsia="仿宋_GB2312" w:cs="仿宋_GB2312"/>
            <w:b/>
            <w:color w:val="auto"/>
            <w:sz w:val="24"/>
            <w:szCs w:val="24"/>
            <w:highlight w:val="none"/>
          </w:rPr>
          <w:id w:val="725337177"/>
        </w:sdtPr>
        <w:sdtEndPr>
          <w:rPr>
            <w:rFonts w:hint="eastAsia" w:ascii="仿宋_GB2312" w:hAnsi="仿宋_GB2312" w:eastAsia="仿宋_GB2312" w:cs="仿宋_GB2312"/>
            <w:b/>
            <w:color w:val="auto"/>
            <w:sz w:val="24"/>
            <w:szCs w:val="24"/>
            <w:highlight w:val="none"/>
          </w:rPr>
        </w:sdtEndPr>
        <w:sdtContent>
          <w:r>
            <w:rPr>
              <w:rFonts w:hint="eastAsia" w:ascii="仿宋_GB2312" w:hAnsi="仿宋_GB2312" w:eastAsia="仿宋_GB2312" w:cs="仿宋_GB2312"/>
              <w:b/>
              <w:color w:val="auto"/>
              <w:sz w:val="24"/>
              <w:szCs w:val="24"/>
              <w:highlight w:val="none"/>
            </w:rPr>
            <w:sym w:font="Wingdings" w:char="F0FE"/>
          </w:r>
        </w:sdtContent>
      </w:sdt>
      <w:r>
        <w:rPr>
          <w:rFonts w:hint="eastAsia" w:ascii="仿宋_GB2312" w:hAnsi="仿宋_GB2312" w:eastAsia="仿宋_GB2312" w:cs="仿宋_GB2312"/>
          <w:b/>
          <w:color w:val="auto"/>
          <w:sz w:val="24"/>
          <w:szCs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2</w:t>
      </w:r>
      <w:r>
        <w:rPr>
          <w:rFonts w:hint="eastAsia" w:ascii="仿宋_GB2312" w:hAnsi="仿宋_GB2312" w:eastAsia="仿宋_GB2312" w:cs="仿宋_GB2312"/>
          <w:color w:val="auto"/>
          <w:sz w:val="24"/>
          <w:highlight w:val="none"/>
          <w:u w:val="single"/>
        </w:rPr>
        <w:t xml:space="preserve"> 月</w:t>
      </w:r>
      <w:r>
        <w:rPr>
          <w:rFonts w:hint="eastAsia" w:ascii="仿宋_GB2312" w:hAnsi="仿宋_GB2312" w:eastAsia="仿宋_GB2312" w:cs="仿宋_GB2312"/>
          <w:color w:val="auto"/>
          <w:sz w:val="24"/>
          <w:highlight w:val="none"/>
          <w:u w:val="single"/>
          <w:lang w:val="en-US" w:eastAsia="zh-CN"/>
        </w:rPr>
        <w:t>19</w:t>
      </w:r>
      <w:r>
        <w:rPr>
          <w:rFonts w:hint="eastAsia" w:ascii="仿宋_GB2312" w:hAnsi="仿宋_GB2312" w:eastAsia="仿宋_GB2312" w:cs="仿宋_GB2312"/>
          <w:color w:val="auto"/>
          <w:sz w:val="24"/>
          <w:highlight w:val="none"/>
          <w:u w:val="single"/>
        </w:rPr>
        <w:t xml:space="preserve">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2</w:t>
      </w:r>
      <w:r>
        <w:rPr>
          <w:rFonts w:hint="eastAsia" w:ascii="仿宋_GB2312" w:hAnsi="仿宋_GB2312" w:eastAsia="仿宋_GB2312" w:cs="仿宋_GB2312"/>
          <w:color w:val="auto"/>
          <w:sz w:val="24"/>
          <w:highlight w:val="none"/>
          <w:u w:val="single"/>
        </w:rPr>
        <w:t xml:space="preserve"> 月</w:t>
      </w:r>
      <w:r>
        <w:rPr>
          <w:rFonts w:hint="eastAsia" w:ascii="仿宋_GB2312" w:hAnsi="仿宋_GB2312" w:eastAsia="仿宋_GB2312" w:cs="仿宋_GB2312"/>
          <w:color w:val="auto"/>
          <w:sz w:val="24"/>
          <w:highlight w:val="none"/>
          <w:u w:val="single"/>
          <w:lang w:val="en-US" w:eastAsia="zh-CN"/>
        </w:rPr>
        <w:t>19</w:t>
      </w:r>
      <w:r>
        <w:rPr>
          <w:rFonts w:hint="eastAsia" w:ascii="仿宋_GB2312" w:hAnsi="仿宋_GB2312" w:eastAsia="仿宋_GB2312" w:cs="仿宋_GB2312"/>
          <w:color w:val="auto"/>
          <w:sz w:val="24"/>
          <w:highlight w:val="none"/>
          <w:u w:val="single"/>
        </w:rPr>
        <w:t xml:space="preserve"> 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 xml:space="preserve"> 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 xml:space="preserve">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2</w:t>
      </w:r>
      <w:r>
        <w:rPr>
          <w:rFonts w:hint="eastAsia" w:ascii="仿宋_GB2312" w:hAnsi="仿宋_GB2312" w:eastAsia="仿宋_GB2312" w:cs="仿宋_GB2312"/>
          <w:color w:val="auto"/>
          <w:sz w:val="24"/>
          <w:highlight w:val="none"/>
          <w:u w:val="single"/>
        </w:rPr>
        <w:t xml:space="preserve"> 月</w:t>
      </w:r>
      <w:r>
        <w:rPr>
          <w:rFonts w:hint="eastAsia" w:ascii="仿宋_GB2312" w:hAnsi="仿宋_GB2312" w:eastAsia="仿宋_GB2312" w:cs="仿宋_GB2312"/>
          <w:color w:val="auto"/>
          <w:sz w:val="24"/>
          <w:highlight w:val="none"/>
          <w:u w:val="single"/>
          <w:lang w:val="en-US" w:eastAsia="zh-CN"/>
        </w:rPr>
        <w:t>19</w:t>
      </w:r>
      <w:r>
        <w:rPr>
          <w:rFonts w:hint="eastAsia" w:ascii="仿宋_GB2312" w:hAnsi="仿宋_GB2312" w:eastAsia="仿宋_GB2312" w:cs="仿宋_GB2312"/>
          <w:color w:val="auto"/>
          <w:sz w:val="24"/>
          <w:highlight w:val="none"/>
          <w:u w:val="single"/>
        </w:rPr>
        <w:t xml:space="preserve"> 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 xml:space="preserve"> 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 xml:space="preserve">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35393637"/>
      <w:bookmarkStart w:id="12" w:name="_Toc28359096"/>
      <w:bookmarkStart w:id="13" w:name="_Toc28359019"/>
      <w:bookmarkStart w:id="14" w:name="_Toc3539380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绍兴文理学院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 xml:space="preserve">绍兴市越城区环城西路508号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 xml:space="preserve"> /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项目联系人（询问）：聂玉冰</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项目联系方式（询问）：0575-88342889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质疑联系人：杨路华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质疑联系方式：0575-88341862</w:t>
      </w:r>
    </w:p>
    <w:p>
      <w:pPr>
        <w:pStyle w:val="5"/>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35393807"/>
      <w:bookmarkStart w:id="16" w:name="_Toc35393638"/>
      <w:bookmarkStart w:id="17" w:name="_Toc28359097"/>
      <w:bookmarkStart w:id="18" w:name="_Toc28359020"/>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35393808"/>
      <w:bookmarkStart w:id="20" w:name="_Toc35393639"/>
      <w:bookmarkStart w:id="21" w:name="_Toc28359098"/>
      <w:bookmarkStart w:id="22" w:name="_Toc28359021"/>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地址：绍兴市越城区迪荡新城鼎盛时代大厦431室</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传真：0575-88307029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A3"/>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01标、02标：公寓组合床（清单序号1）、单椅（清单序号2） 、行李柜（清单序号3）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提供完整样品，具体标准详见宿舍家具配置参数及清单、样品要求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rPr>
              <w:sym w:font="Wingdings 2" w:char="0052"/>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投标截止时间2025年2月19日9时前提交</w:t>
            </w:r>
            <w:bookmarkStart w:id="54" w:name="_GoBack"/>
            <w:bookmarkEnd w:id="54"/>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绍兴文理学院南山校区新建学生公寓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焦章飞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15967558112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01标、02标：公寓组合床（清单序号1）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snapToGrid w:val="0"/>
              <w:spacing w:line="360" w:lineRule="auto"/>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 w:eastAsia="仿宋_GB2312" w:cs="Arial"/>
                <w:color w:val="auto"/>
                <w:kern w:val="0"/>
                <w:sz w:val="24"/>
                <w:highlight w:val="none"/>
              </w:rPr>
              <w:t>（</w:t>
            </w:r>
            <w:r>
              <w:rPr>
                <w:rFonts w:hint="eastAsia" w:ascii="仿宋_GB2312" w:hAnsi="仿宋" w:eastAsia="仿宋_GB2312" w:cs="Arial"/>
                <w:color w:val="auto"/>
                <w:kern w:val="0"/>
                <w:sz w:val="24"/>
                <w:highlight w:val="none"/>
                <w:lang w:val="en-US" w:eastAsia="zh-CN"/>
              </w:rPr>
              <w:t>2</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02标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75236101"/>
      <w:bookmarkEnd w:id="23"/>
      <w:bookmarkStart w:id="24" w:name="_Hlt75236011"/>
      <w:bookmarkEnd w:id="24"/>
      <w:bookmarkStart w:id="25" w:name="_Hlt75236290"/>
      <w:bookmarkEnd w:id="25"/>
      <w:bookmarkStart w:id="26" w:name="_Hlt68072998"/>
      <w:bookmarkEnd w:id="26"/>
      <w:bookmarkStart w:id="27" w:name="_Hlt68072990"/>
      <w:bookmarkEnd w:id="27"/>
      <w:bookmarkStart w:id="28" w:name="_Hlt74730295"/>
      <w:bookmarkEnd w:id="28"/>
      <w:bookmarkStart w:id="29" w:name="_Hlt68403820"/>
      <w:bookmarkEnd w:id="29"/>
      <w:bookmarkStart w:id="30" w:name="_Hlt68073093"/>
      <w:bookmarkEnd w:id="30"/>
      <w:bookmarkStart w:id="31" w:name="_Hlt68057669"/>
      <w:bookmarkEnd w:id="31"/>
      <w:bookmarkStart w:id="32" w:name="_Hlt74707468"/>
      <w:bookmarkEnd w:id="32"/>
      <w:bookmarkStart w:id="33" w:name="_Hlt74714665"/>
      <w:bookmarkEnd w:id="33"/>
      <w:bookmarkStart w:id="34" w:name="_Hlt74729768"/>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3.2评标委员会由采购人代表和有关方面的专家组成，成员人数为七人以上单数。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4325929"/>
      <w:bookmarkStart w:id="39" w:name="_Toc81372953"/>
      <w:bookmarkStart w:id="40" w:name="_Toc81372776"/>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pPr>
        <w:spacing w:line="440" w:lineRule="exact"/>
        <w:ind w:right="420"/>
        <w:rPr>
          <w:rFonts w:hint="eastAsia" w:ascii="仿宋_GB2312" w:hAnsi="新宋体" w:eastAsia="仿宋_GB2312" w:cs="Arial"/>
          <w:b/>
          <w:bCs/>
          <w:color w:val="auto"/>
          <w:sz w:val="24"/>
          <w:szCs w:val="24"/>
          <w:highlight w:val="none"/>
          <w:bdr w:val="single" w:color="auto" w:sz="4" w:space="0"/>
          <w:lang w:eastAsia="zh-CN"/>
        </w:rPr>
      </w:pPr>
      <w:r>
        <w:rPr>
          <w:rFonts w:hint="eastAsia" w:ascii="仿宋_GB2312" w:hAnsi="新宋体" w:eastAsia="仿宋_GB2312" w:cs="Arial"/>
          <w:b/>
          <w:bCs/>
          <w:color w:val="auto"/>
          <w:sz w:val="24"/>
          <w:szCs w:val="24"/>
          <w:highlight w:val="none"/>
        </w:rPr>
        <w:t>绍兴文理学院南山新建学生公寓家具采购项目</w:t>
      </w:r>
      <w:r>
        <w:rPr>
          <w:rFonts w:hint="eastAsia" w:ascii="仿宋_GB2312" w:hAnsi="新宋体" w:eastAsia="仿宋_GB2312" w:cs="Arial"/>
          <w:b/>
          <w:bCs/>
          <w:color w:val="auto"/>
          <w:sz w:val="24"/>
          <w:szCs w:val="24"/>
          <w:highlight w:val="none"/>
          <w:lang w:eastAsia="zh-CN"/>
        </w:rPr>
        <w:t>（</w:t>
      </w:r>
      <w:r>
        <w:rPr>
          <w:rFonts w:hint="eastAsia" w:ascii="仿宋_GB2312" w:hAnsi="新宋体" w:eastAsia="仿宋_GB2312" w:cs="Arial"/>
          <w:b/>
          <w:bCs/>
          <w:color w:val="auto"/>
          <w:sz w:val="24"/>
          <w:szCs w:val="24"/>
          <w:highlight w:val="none"/>
          <w:lang w:val="en-US" w:eastAsia="zh-CN"/>
        </w:rPr>
        <w:t>预算金额：1900.06万元</w:t>
      </w:r>
      <w:r>
        <w:rPr>
          <w:rFonts w:hint="eastAsia" w:ascii="仿宋_GB2312" w:hAnsi="新宋体" w:eastAsia="仿宋_GB2312" w:cs="Arial"/>
          <w:b/>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right="0" w:firstLine="482" w:firstLineChars="200"/>
        <w:textAlignment w:val="auto"/>
        <w:rPr>
          <w:rFonts w:hint="eastAsia"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一、招标项目一览表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348"/>
        <w:gridCol w:w="1446"/>
        <w:gridCol w:w="759"/>
        <w:gridCol w:w="709"/>
        <w:gridCol w:w="1924"/>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29" w:type="dxa"/>
            <w:vAlign w:val="center"/>
          </w:tcPr>
          <w:p>
            <w:pPr>
              <w:keepNext w:val="0"/>
              <w:keepLines w:val="0"/>
              <w:kinsoku/>
              <w:wordWrap/>
              <w:overflowPunct/>
              <w:topLinePunct w:val="0"/>
              <w:bidi w:val="0"/>
              <w:spacing w:line="300" w:lineRule="exact"/>
              <w:jc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标项</w:t>
            </w:r>
          </w:p>
        </w:tc>
        <w:tc>
          <w:tcPr>
            <w:tcW w:w="1365" w:type="dxa"/>
            <w:vAlign w:val="center"/>
          </w:tcPr>
          <w:p>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kern w:val="0"/>
                <w:sz w:val="24"/>
                <w:szCs w:val="24"/>
                <w:highlight w:val="none"/>
                <w:lang w:val="en-US" w:eastAsia="zh-CN" w:bidi="ar"/>
              </w:rPr>
            </w:pPr>
            <w:r>
              <w:rPr>
                <w:rFonts w:hint="eastAsia" w:ascii="仿宋_GB2312" w:hAnsi="仿宋_GB2312" w:eastAsia="仿宋_GB2312" w:cs="仿宋_GB2312"/>
                <w:b/>
                <w:bCs/>
                <w:color w:val="auto"/>
                <w:kern w:val="0"/>
                <w:sz w:val="24"/>
                <w:szCs w:val="24"/>
                <w:highlight w:val="none"/>
                <w:lang w:val="en-US" w:eastAsia="zh-CN" w:bidi="ar"/>
              </w:rPr>
              <w:t>标项名称</w:t>
            </w:r>
          </w:p>
        </w:tc>
        <w:tc>
          <w:tcPr>
            <w:tcW w:w="1465" w:type="dxa"/>
            <w:vAlign w:val="center"/>
          </w:tcPr>
          <w:p>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kern w:val="0"/>
                <w:sz w:val="24"/>
                <w:szCs w:val="24"/>
                <w:highlight w:val="none"/>
                <w:lang w:bidi="ar"/>
              </w:rPr>
              <w:t>产品名称</w:t>
            </w:r>
          </w:p>
        </w:tc>
        <w:tc>
          <w:tcPr>
            <w:tcW w:w="761" w:type="dxa"/>
            <w:vAlign w:val="center"/>
          </w:tcPr>
          <w:p>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kern w:val="0"/>
                <w:sz w:val="24"/>
                <w:szCs w:val="24"/>
                <w:highlight w:val="none"/>
                <w:lang w:bidi="ar"/>
              </w:rPr>
              <w:t>数量</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kern w:val="0"/>
                <w:sz w:val="24"/>
                <w:szCs w:val="24"/>
                <w:highlight w:val="none"/>
                <w:lang w:bidi="ar"/>
              </w:rPr>
              <w:t>单位</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bCs/>
                <w:color w:val="auto"/>
                <w:kern w:val="0"/>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规格</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bCs/>
                <w:color w:val="auto"/>
                <w:sz w:val="24"/>
                <w:szCs w:val="24"/>
                <w:highlight w:val="none"/>
                <w:vertAlign w:val="baseline"/>
                <w:lang w:eastAsia="zh-CN"/>
              </w:rPr>
            </w:pPr>
            <w:r>
              <w:rPr>
                <w:rFonts w:hint="eastAsia" w:ascii="仿宋_GB2312" w:hAnsi="仿宋_GB2312" w:eastAsia="仿宋_GB2312" w:cs="仿宋_GB2312"/>
                <w:b/>
                <w:bCs/>
                <w:color w:val="auto"/>
                <w:kern w:val="0"/>
                <w:sz w:val="24"/>
                <w:szCs w:val="24"/>
                <w:highlight w:val="none"/>
                <w:lang w:bidi="ar"/>
              </w:rPr>
              <w:t>尺寸</w:t>
            </w: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mm）</w:t>
            </w:r>
          </w:p>
        </w:tc>
        <w:tc>
          <w:tcPr>
            <w:tcW w:w="1628" w:type="dxa"/>
            <w:vAlign w:val="center"/>
          </w:tcPr>
          <w:p>
            <w:pPr>
              <w:keepNext w:val="0"/>
              <w:keepLines w:val="0"/>
              <w:kinsoku/>
              <w:wordWrap/>
              <w:overflowPunct/>
              <w:topLinePunct w:val="0"/>
              <w:bidi w:val="0"/>
              <w:spacing w:line="300" w:lineRule="exact"/>
              <w:jc w:val="center"/>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vAlign w:val="center"/>
          </w:tcPr>
          <w:p>
            <w:pPr>
              <w:keepNext w:val="0"/>
              <w:keepLines w:val="0"/>
              <w:kinsoku/>
              <w:wordWrap/>
              <w:overflowPunct/>
              <w:topLinePunct w:val="0"/>
              <w:bidi w:val="0"/>
              <w:spacing w:line="300" w:lineRule="exact"/>
              <w:jc w:val="center"/>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c>
          <w:tcPr>
            <w:tcW w:w="1365" w:type="dxa"/>
            <w:vMerge w:val="restart"/>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学生公寓13、14幢</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家具采购</w:t>
            </w:r>
          </w:p>
        </w:tc>
        <w:tc>
          <w:tcPr>
            <w:tcW w:w="146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公寓组合床</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核心产品</w:t>
            </w:r>
            <w:r>
              <w:rPr>
                <w:rFonts w:hint="eastAsia" w:ascii="仿宋_GB2312" w:hAnsi="仿宋_GB2312" w:eastAsia="仿宋_GB2312" w:cs="仿宋_GB2312"/>
                <w:b/>
                <w:bCs/>
                <w:color w:val="auto"/>
                <w:kern w:val="0"/>
                <w:sz w:val="24"/>
                <w:szCs w:val="24"/>
                <w:highlight w:val="none"/>
                <w:lang w:eastAsia="zh-CN" w:bidi="ar"/>
              </w:rPr>
              <w:t>）</w:t>
            </w:r>
          </w:p>
        </w:tc>
        <w:tc>
          <w:tcPr>
            <w:tcW w:w="761" w:type="dxa"/>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1576</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组</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4500*900*2280</w:t>
            </w:r>
          </w:p>
        </w:tc>
        <w:tc>
          <w:tcPr>
            <w:tcW w:w="1628" w:type="dxa"/>
            <w:vMerge w:val="restart"/>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val="0"/>
                <w:bCs w:val="0"/>
                <w:color w:val="auto"/>
                <w:sz w:val="24"/>
                <w:szCs w:val="24"/>
                <w:highlight w:val="none"/>
                <w:vertAlign w:val="baseline"/>
                <w:lang w:eastAsia="zh-CN"/>
              </w:rPr>
              <w:t>1007.88万元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365" w:type="dxa"/>
            <w:vMerge w:val="continue"/>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bidi="ar"/>
              </w:rPr>
            </w:pPr>
          </w:p>
        </w:tc>
        <w:tc>
          <w:tcPr>
            <w:tcW w:w="146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单椅</w:t>
            </w:r>
          </w:p>
        </w:tc>
        <w:tc>
          <w:tcPr>
            <w:tcW w:w="761" w:type="dxa"/>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3200</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把</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500*490*800</w:t>
            </w:r>
          </w:p>
        </w:tc>
        <w:tc>
          <w:tcPr>
            <w:tcW w:w="1628" w:type="dxa"/>
            <w:vMerge w:val="continue"/>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365" w:type="dxa"/>
            <w:vMerge w:val="continue"/>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bidi="ar"/>
              </w:rPr>
            </w:pPr>
          </w:p>
        </w:tc>
        <w:tc>
          <w:tcPr>
            <w:tcW w:w="146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行李柜</w:t>
            </w:r>
          </w:p>
        </w:tc>
        <w:tc>
          <w:tcPr>
            <w:tcW w:w="761" w:type="dxa"/>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1576</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个</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400*850*2276</w:t>
            </w:r>
          </w:p>
        </w:tc>
        <w:tc>
          <w:tcPr>
            <w:tcW w:w="1628" w:type="dxa"/>
            <w:vMerge w:val="continue"/>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vAlign w:val="center"/>
          </w:tcPr>
          <w:p>
            <w:pPr>
              <w:keepNext w:val="0"/>
              <w:keepLines w:val="0"/>
              <w:kinsoku/>
              <w:wordWrap/>
              <w:overflowPunct/>
              <w:topLinePunct w:val="0"/>
              <w:bidi w:val="0"/>
              <w:spacing w:line="300" w:lineRule="exact"/>
              <w:jc w:val="center"/>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w:t>
            </w:r>
          </w:p>
        </w:tc>
        <w:tc>
          <w:tcPr>
            <w:tcW w:w="1365" w:type="dxa"/>
            <w:vMerge w:val="restart"/>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学生公寓10、11幢</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0"/>
                <w:sz w:val="24"/>
                <w:szCs w:val="24"/>
                <w:highlight w:val="none"/>
                <w:lang w:eastAsia="zh-CN" w:bidi="ar"/>
              </w:rPr>
            </w:pPr>
            <w:r>
              <w:rPr>
                <w:rFonts w:hint="eastAsia" w:ascii="仿宋_GB2312" w:hAnsi="仿宋_GB2312" w:eastAsia="仿宋_GB2312" w:cs="仿宋_GB2312"/>
                <w:b w:val="0"/>
                <w:bCs w:val="0"/>
                <w:color w:val="auto"/>
                <w:kern w:val="0"/>
                <w:sz w:val="24"/>
                <w:szCs w:val="24"/>
                <w:highlight w:val="none"/>
                <w:lang w:eastAsia="zh-CN" w:bidi="ar"/>
              </w:rPr>
              <w:t>家具采购</w:t>
            </w:r>
          </w:p>
        </w:tc>
        <w:tc>
          <w:tcPr>
            <w:tcW w:w="146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公寓组合床</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核心产品</w:t>
            </w:r>
            <w:r>
              <w:rPr>
                <w:rFonts w:hint="eastAsia" w:ascii="仿宋_GB2312" w:hAnsi="仿宋_GB2312" w:eastAsia="仿宋_GB2312" w:cs="仿宋_GB2312"/>
                <w:b/>
                <w:bCs/>
                <w:color w:val="auto"/>
                <w:kern w:val="0"/>
                <w:sz w:val="24"/>
                <w:szCs w:val="24"/>
                <w:highlight w:val="none"/>
                <w:lang w:eastAsia="zh-CN" w:bidi="ar"/>
              </w:rPr>
              <w:t>）</w:t>
            </w:r>
          </w:p>
        </w:tc>
        <w:tc>
          <w:tcPr>
            <w:tcW w:w="761" w:type="dxa"/>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1396</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组</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4500*900*2280</w:t>
            </w:r>
          </w:p>
        </w:tc>
        <w:tc>
          <w:tcPr>
            <w:tcW w:w="1628" w:type="dxa"/>
            <w:vMerge w:val="restart"/>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b w:val="0"/>
                <w:bCs w:val="0"/>
                <w:color w:val="auto"/>
                <w:sz w:val="24"/>
                <w:szCs w:val="24"/>
                <w:highlight w:val="none"/>
                <w:vertAlign w:val="baseline"/>
                <w:lang w:eastAsia="zh-CN"/>
              </w:rPr>
              <w:t>892.18万元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365" w:type="dxa"/>
            <w:vMerge w:val="continue"/>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p>
        </w:tc>
        <w:tc>
          <w:tcPr>
            <w:tcW w:w="146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单椅</w:t>
            </w:r>
          </w:p>
        </w:tc>
        <w:tc>
          <w:tcPr>
            <w:tcW w:w="761" w:type="dxa"/>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2800</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把</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500*490*800</w:t>
            </w:r>
          </w:p>
        </w:tc>
        <w:tc>
          <w:tcPr>
            <w:tcW w:w="1628" w:type="dxa"/>
            <w:vMerge w:val="continue"/>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c>
          <w:tcPr>
            <w:tcW w:w="1365" w:type="dxa"/>
            <w:vMerge w:val="continue"/>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p>
        </w:tc>
        <w:tc>
          <w:tcPr>
            <w:tcW w:w="146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行李柜</w:t>
            </w:r>
          </w:p>
        </w:tc>
        <w:tc>
          <w:tcPr>
            <w:tcW w:w="761" w:type="dxa"/>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rPr>
              <w:t>1396</w:t>
            </w:r>
          </w:p>
        </w:tc>
        <w:tc>
          <w:tcPr>
            <w:tcW w:w="715"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kern w:val="0"/>
                <w:sz w:val="24"/>
                <w:szCs w:val="24"/>
                <w:highlight w:val="none"/>
                <w:lang w:bidi="ar"/>
              </w:rPr>
              <w:t>个</w:t>
            </w:r>
          </w:p>
        </w:tc>
        <w:tc>
          <w:tcPr>
            <w:tcW w:w="1928" w:type="dxa"/>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b w:val="0"/>
                <w:bCs w:val="0"/>
                <w:color w:val="auto"/>
                <w:sz w:val="24"/>
                <w:szCs w:val="24"/>
                <w:highlight w:val="none"/>
                <w:vertAlign w:val="baseline"/>
                <w:lang w:eastAsia="zh-CN"/>
              </w:rPr>
            </w:pPr>
            <w:r>
              <w:rPr>
                <w:rFonts w:hint="eastAsia" w:ascii="仿宋_GB2312" w:hAnsi="仿宋_GB2312" w:eastAsia="仿宋_GB2312" w:cs="仿宋_GB2312"/>
                <w:color w:val="auto"/>
                <w:kern w:val="0"/>
                <w:sz w:val="24"/>
                <w:szCs w:val="24"/>
                <w:highlight w:val="none"/>
                <w:lang w:bidi="ar"/>
              </w:rPr>
              <w:t>400*850*2276</w:t>
            </w:r>
          </w:p>
        </w:tc>
        <w:tc>
          <w:tcPr>
            <w:tcW w:w="1628" w:type="dxa"/>
            <w:vMerge w:val="continue"/>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b w:val="0"/>
                <w:bCs w:val="0"/>
                <w:color w:val="auto"/>
                <w:sz w:val="24"/>
                <w:szCs w:val="24"/>
                <w:highlight w:val="none"/>
                <w:vertAlign w:val="baseline"/>
                <w:lang w:eastAsia="zh-CN"/>
              </w:rPr>
            </w:pPr>
          </w:p>
        </w:tc>
      </w:tr>
    </w:tbl>
    <w:p>
      <w:pPr>
        <w:keepNext w:val="0"/>
        <w:keepLines w:val="0"/>
        <w:pageBreakBefore w:val="0"/>
        <w:widowControl w:val="0"/>
        <w:kinsoku/>
        <w:wordWrap/>
        <w:overflowPunct/>
        <w:topLinePunct w:val="0"/>
        <w:autoSpaceDE/>
        <w:autoSpaceDN/>
        <w:bidi w:val="0"/>
        <w:adjustRightInd/>
        <w:snapToGrid/>
        <w:spacing w:line="440" w:lineRule="exact"/>
        <w:ind w:right="0" w:firstLine="482" w:firstLineChars="200"/>
        <w:textAlignment w:val="auto"/>
        <w:rPr>
          <w:rFonts w:hint="eastAsia"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本项目为防范项目资金使用风险，涉及金额大，由同一供应商中标，存在服务能力、履约能力等方面不满足投标人履行合同的实质性要求的风险。允许投标人同时对2个标项进行投标响应，评标委员会按标项序号从小到大的顺序进行评审和推荐中标候选人，取得标项一中标候选人资格的投标人不再参与标项二的评审，即每个投标人仅可获得1个标项的中标候选人资格。</w:t>
      </w:r>
    </w:p>
    <w:p>
      <w:pPr>
        <w:keepNext w:val="0"/>
        <w:keepLines w:val="0"/>
        <w:pageBreakBefore w:val="0"/>
        <w:widowControl w:val="0"/>
        <w:kinsoku/>
        <w:wordWrap/>
        <w:overflowPunct/>
        <w:topLinePunct w:val="0"/>
        <w:autoSpaceDE/>
        <w:autoSpaceDN/>
        <w:bidi w:val="0"/>
        <w:adjustRightInd/>
        <w:snapToGrid/>
        <w:spacing w:line="440" w:lineRule="exact"/>
        <w:ind w:right="0" w:firstLine="482" w:firstLineChars="200"/>
        <w:textAlignment w:val="auto"/>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二、宿舍家具配置参数</w:t>
      </w:r>
    </w:p>
    <w:tbl>
      <w:tblPr>
        <w:tblStyle w:val="62"/>
        <w:tblW w:w="5029" w:type="pct"/>
        <w:jc w:val="center"/>
        <w:tblLayout w:type="fixed"/>
        <w:tblCellMar>
          <w:top w:w="0" w:type="dxa"/>
          <w:left w:w="108" w:type="dxa"/>
          <w:bottom w:w="0" w:type="dxa"/>
          <w:right w:w="108" w:type="dxa"/>
        </w:tblCellMar>
      </w:tblPr>
      <w:tblGrid>
        <w:gridCol w:w="666"/>
        <w:gridCol w:w="1469"/>
        <w:gridCol w:w="1549"/>
        <w:gridCol w:w="1070"/>
        <w:gridCol w:w="3817"/>
      </w:tblGrid>
      <w:tr>
        <w:tblPrEx>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序号</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产品名称</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参考图片</w:t>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规格</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bidi="ar"/>
              </w:rPr>
              <w:t>尺寸</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val="en-US" w:eastAsia="zh-CN" w:bidi="ar"/>
              </w:rPr>
              <w:t>mm）</w:t>
            </w:r>
          </w:p>
        </w:tc>
        <w:tc>
          <w:tcPr>
            <w:tcW w:w="22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技术指标要求</w:t>
            </w:r>
          </w:p>
        </w:tc>
      </w:tr>
      <w:tr>
        <w:tblPrEx>
          <w:tblCellMar>
            <w:top w:w="0" w:type="dxa"/>
            <w:left w:w="108" w:type="dxa"/>
            <w:bottom w:w="0" w:type="dxa"/>
            <w:right w:w="108" w:type="dxa"/>
          </w:tblCellMar>
        </w:tblPrEx>
        <w:trPr>
          <w:trHeight w:val="312" w:hRule="atLeast"/>
          <w:jc w:val="center"/>
        </w:trPr>
        <w:tc>
          <w:tcPr>
            <w:tcW w:w="3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w:t>
            </w:r>
          </w:p>
        </w:tc>
        <w:tc>
          <w:tcPr>
            <w:tcW w:w="85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公寓组合床</w:t>
            </w:r>
          </w:p>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kern w:val="0"/>
                <w:sz w:val="24"/>
                <w:szCs w:val="24"/>
                <w:highlight w:val="none"/>
                <w:lang w:eastAsia="zh-CN" w:bidi="ar"/>
              </w:rPr>
            </w:pPr>
            <w:r>
              <w:rPr>
                <w:rFonts w:hint="eastAsia" w:ascii="仿宋_GB2312" w:hAnsi="仿宋_GB2312" w:eastAsia="仿宋_GB2312" w:cs="仿宋_GB2312"/>
                <w:b/>
                <w:bCs/>
                <w:color w:val="auto"/>
                <w:kern w:val="0"/>
                <w:sz w:val="24"/>
                <w:szCs w:val="24"/>
                <w:highlight w:val="none"/>
                <w:lang w:eastAsia="zh-CN" w:bidi="ar"/>
              </w:rPr>
              <w:t>（</w:t>
            </w:r>
            <w:r>
              <w:rPr>
                <w:rFonts w:hint="eastAsia" w:ascii="仿宋_GB2312" w:hAnsi="仿宋_GB2312" w:eastAsia="仿宋_GB2312" w:cs="仿宋_GB2312"/>
                <w:b/>
                <w:bCs/>
                <w:color w:val="auto"/>
                <w:kern w:val="0"/>
                <w:sz w:val="24"/>
                <w:szCs w:val="24"/>
                <w:highlight w:val="none"/>
                <w:lang w:val="en-US" w:eastAsia="zh-CN" w:bidi="ar"/>
              </w:rPr>
              <w:t>核心产品</w:t>
            </w:r>
            <w:r>
              <w:rPr>
                <w:rFonts w:hint="eastAsia" w:ascii="仿宋_GB2312" w:hAnsi="仿宋_GB2312" w:eastAsia="仿宋_GB2312" w:cs="仿宋_GB2312"/>
                <w:b/>
                <w:bCs/>
                <w:color w:val="auto"/>
                <w:kern w:val="0"/>
                <w:sz w:val="24"/>
                <w:szCs w:val="24"/>
                <w:highlight w:val="none"/>
                <w:lang w:eastAsia="zh-CN" w:bidi="ar"/>
              </w:rPr>
              <w:t>）</w:t>
            </w:r>
          </w:p>
        </w:tc>
        <w:tc>
          <w:tcPr>
            <w:tcW w:w="90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drawing>
                <wp:inline distT="0" distB="0" distL="114300" distR="114300">
                  <wp:extent cx="1021080" cy="1000125"/>
                  <wp:effectExtent l="0" t="0" r="7620" b="9525"/>
                  <wp:docPr id="5" name="图片 5" descr="公寓组合床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寓组合床图"/>
                          <pic:cNvPicPr>
                            <a:picLocks noChangeAspect="1"/>
                          </pic:cNvPicPr>
                        </pic:nvPicPr>
                        <pic:blipFill>
                          <a:blip r:embed="rId24"/>
                          <a:stretch>
                            <a:fillRect/>
                          </a:stretch>
                        </pic:blipFill>
                        <pic:spPr>
                          <a:xfrm>
                            <a:off x="0" y="0"/>
                            <a:ext cx="1021080" cy="10001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注：以上参考图片为基本样式，投标人可根据实际情况进行局部细节优化。</w:t>
            </w:r>
          </w:p>
        </w:tc>
        <w:tc>
          <w:tcPr>
            <w:tcW w:w="62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4500*900*2280</w:t>
            </w:r>
          </w:p>
        </w:tc>
        <w:tc>
          <w:tcPr>
            <w:tcW w:w="22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一、钢制部分：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1.</w:t>
            </w:r>
            <w:r>
              <w:rPr>
                <w:rFonts w:hint="eastAsia" w:ascii="仿宋_GB2312" w:hAnsi="仿宋_GB2312" w:eastAsia="仿宋_GB2312" w:cs="仿宋_GB2312"/>
                <w:color w:val="auto"/>
                <w:kern w:val="0"/>
                <w:sz w:val="24"/>
                <w:szCs w:val="24"/>
                <w:highlight w:val="none"/>
                <w:lang w:bidi="ar"/>
              </w:rPr>
              <w:t xml:space="preserve">工艺要求：主件表面经充分硅烷磷化处理，环氧聚酯热固粉末（环保一级塑粉）高压恒温静电喷塑，喷涂均匀，附着牢固，耐腐蚀，耐划擦，耐冲击。金属配件做除锈和防腐处理。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 xml:space="preserve">表面要求：喷塑后，热固粉与所有贴面附着牢固，不易脱落，无气泡；表面硬度较大，不易划伤；有较强的抗涂鸦能力与防破坏能力，便于维护。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3.</w:t>
            </w:r>
            <w:r>
              <w:rPr>
                <w:rFonts w:hint="eastAsia" w:ascii="仿宋_GB2312" w:hAnsi="仿宋_GB2312" w:eastAsia="仿宋_GB2312" w:cs="仿宋_GB2312"/>
                <w:color w:val="auto"/>
                <w:kern w:val="0"/>
                <w:sz w:val="24"/>
                <w:szCs w:val="24"/>
                <w:highlight w:val="none"/>
                <w:lang w:bidi="ar"/>
              </w:rPr>
              <w:t xml:space="preserve">焊接要求：二氧化碳保护焊焊接，焊接无灰渣、气孔、焊瘤；无脱焊、虚焊、焊穿；精细打磨，光洁平整。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4.</w:t>
            </w:r>
            <w:r>
              <w:rPr>
                <w:rFonts w:hint="eastAsia" w:ascii="仿宋_GB2312" w:hAnsi="仿宋_GB2312" w:eastAsia="仿宋_GB2312" w:cs="仿宋_GB2312"/>
                <w:color w:val="auto"/>
                <w:kern w:val="0"/>
                <w:sz w:val="24"/>
                <w:szCs w:val="24"/>
                <w:highlight w:val="none"/>
                <w:lang w:bidi="ar"/>
              </w:rPr>
              <w:t xml:space="preserve">连接要求：床挺固定金属连接件与立柱为双点式嵌齿卡口加固定螺丝连接，无螺栓。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5.</w:t>
            </w:r>
            <w:r>
              <w:rPr>
                <w:rFonts w:hint="eastAsia" w:ascii="仿宋_GB2312" w:hAnsi="仿宋_GB2312" w:eastAsia="仿宋_GB2312" w:cs="仿宋_GB2312"/>
                <w:color w:val="auto"/>
                <w:kern w:val="0"/>
                <w:sz w:val="24"/>
                <w:szCs w:val="24"/>
                <w:highlight w:val="none"/>
                <w:lang w:bidi="ar"/>
              </w:rPr>
              <w:t xml:space="preserve">钢管涂装：硅烷磷化，环氧聚酯热固粉末（环保一级塑粉）高压静电喷塑。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6.</w:t>
            </w:r>
            <w:r>
              <w:rPr>
                <w:rFonts w:hint="eastAsia" w:ascii="仿宋_GB2312" w:hAnsi="仿宋_GB2312" w:eastAsia="仿宋_GB2312" w:cs="仿宋_GB2312"/>
                <w:color w:val="auto"/>
                <w:kern w:val="0"/>
                <w:sz w:val="24"/>
                <w:szCs w:val="24"/>
                <w:highlight w:val="none"/>
                <w:lang w:bidi="ar"/>
              </w:rPr>
              <w:t xml:space="preserve">安装要求：钢管及连接件安装严密、平整、端正、牢固，结合处无崩茬或松动，外露嵌齿卡口连接采用PP塑料装饰件安全覆盖，外露栓头加塞 ABS 工程塑料内外套。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 xml:space="preserve">二、公寓床主要部件：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1.立柱：</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▲1-1.采用≥65*65*26*1.2mm安全导角L型高频焊接管；</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1-2.采用封闭式型材使立柱抗扭距性增强，人体易接触部位不能有直角；</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1-3.表面经除锈工艺后静电喷塑处理；</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1-4.立柱底部端口安装优质工程塑料耐磨内塞（嵌入深度≥25mm，外露厚度≥7mm），立柱顶部端口安装优质安全导角工程塑料内塞（内塞内嵌深度≥100mm，外露厚度≥20mm，金属蚊帐杆可直接插入且固定于顶部内塞）。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2.前后床厅：</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▲2-1.采用≥80*20*1.2mm矩形高频焊接钢管，两端焊接金属嵌齿卡口连接件；</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2-2.床厅与立柱的固定采用双点式金属嵌齿卡口连接件加固定螺丝连接，嵌齿卡口连接件采用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2.5mm厚的优质钢板经冲压拉伸一次成型，尺寸为≥26.5*26.5*140mm，外露金属连接件采用卡扣式PP塑料装饰件安全覆盖。</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3.床厅横档：▲每个床铺均配有4条≥30*20*1.2mm钢管横档。</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4.前床厅护栏：</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▲4-1.采用金属框体结构护拦，护栏高度≥350mm；</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4-2.外框采用≥25*25*1.0mmU形金属型材，护拦板采用≥18mm厚E0级饰面刨花板，≥1.5mmPVC同色封边条封边工艺；</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4-3.护栏板内侧带有床褥安全高度警示线；</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4-4.板材顶部与两侧内嵌与金属框体内，安全牢固，避免螺丝裸露，影响美观。</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5.后床厅护栏：</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▲5-1.护栏高度≥200mm，护拦板采用≥18mm厚E0级饰面刨花板，≥1.5mmPVC封边条同色封边工艺；</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5-2.护拦板与立柱、床板采用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2.5mm厚冷轧钢板冲压件固定。</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6.内爬梯：</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6-1.爬梯内框采用≥25*25*1.2mm方管焊接而成；</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6-2.柜体板材采用≥25mm厚E0级饰面刨花板，≥1.5mmPVC同色封边条封边工艺；</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6-3.楼梯为四阶结构，三阶可储物，储物柜门采用免拉手上翻设计，配</w:t>
            </w:r>
            <w:r>
              <w:rPr>
                <w:rFonts w:hint="eastAsia" w:ascii="仿宋_GB2312" w:hAnsi="仿宋_GB2312" w:eastAsia="仿宋_GB2312" w:cs="仿宋_GB2312"/>
                <w:color w:val="auto"/>
                <w:kern w:val="0"/>
                <w:sz w:val="24"/>
                <w:szCs w:val="24"/>
                <w:highlight w:val="none"/>
                <w:lang w:val="en-US" w:eastAsia="zh-CN" w:bidi="ar"/>
              </w:rPr>
              <w:t>置</w:t>
            </w:r>
            <w:r>
              <w:rPr>
                <w:rFonts w:hint="eastAsia" w:ascii="仿宋_GB2312" w:hAnsi="仿宋_GB2312" w:eastAsia="仿宋_GB2312" w:cs="仿宋_GB2312"/>
                <w:color w:val="auto"/>
                <w:kern w:val="0"/>
                <w:sz w:val="24"/>
                <w:szCs w:val="24"/>
                <w:highlight w:val="none"/>
                <w:lang w:bidi="ar"/>
              </w:rPr>
              <w:t>阻尼缓冲铰链；</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 xml:space="preserve">6-4.踏板前端采用铝合金护条与软性橡胶材质防滑条集成组装，增强上下爬梯安全性。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7.床挂件：采用优质钢板经冲压拉伸一次成型，成型后外形规格高于145mm，宽度不小于26mm,厚度不小于2.5mm，挂件与床厅接触的前后面要满焊，不能留下缝隙，挂件与立柱至少有两个接触面，不少于2个挂齿，挂齿由导向段和锁紧段组成，安装时床挂件件与立柱齐平，整体美观。</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8.床头横梁：采用≥40*50*1.2mm 安全导角L型管。</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9.蚊帐杆：采用≥30*20*1.2</w:t>
            </w:r>
            <w:r>
              <w:rPr>
                <w:rFonts w:hint="eastAsia" w:ascii="仿宋_GB2312" w:hAnsi="仿宋_GB2312" w:eastAsia="仿宋_GB2312" w:cs="仿宋_GB2312"/>
                <w:color w:val="auto"/>
                <w:kern w:val="0"/>
                <w:sz w:val="24"/>
                <w:szCs w:val="24"/>
                <w:highlight w:val="none"/>
                <w:lang w:val="en-US" w:eastAsia="zh-CN" w:bidi="ar"/>
              </w:rPr>
              <w:t>mm</w:t>
            </w:r>
            <w:r>
              <w:rPr>
                <w:rFonts w:hint="eastAsia" w:ascii="仿宋_GB2312" w:hAnsi="仿宋_GB2312" w:eastAsia="仿宋_GB2312" w:cs="仿宋_GB2312"/>
                <w:color w:val="auto"/>
                <w:kern w:val="0"/>
                <w:sz w:val="24"/>
                <w:szCs w:val="24"/>
                <w:highlight w:val="none"/>
                <w:lang w:bidi="ar"/>
              </w:rPr>
              <w:t>矩形钢管或≥φ19*1.2mm的圆管制作，金属蚊帐杆可直接插入且固定于立柱顶部内塞，且确保蚊帐杆稳定不晃动。</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 xml:space="preserve">三、柜体及其他部分：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1.床板：</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1-1.采用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18mm厚E0级饰面刨花板制作，≥1.5mmPVC封边条同色封边工艺；</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1-2.每块床板均配有6个网状透气孔，透气孔采用PP材质，子母扣结构，无须螺丝；</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1-3.</w:t>
            </w:r>
            <w:r>
              <w:rPr>
                <w:rFonts w:hint="eastAsia" w:ascii="仿宋_GB2312" w:hAnsi="仿宋_GB2312" w:eastAsia="仿宋_GB2312" w:cs="仿宋_GB2312"/>
                <w:color w:val="auto"/>
                <w:kern w:val="0"/>
                <w:sz w:val="24"/>
                <w:szCs w:val="24"/>
                <w:highlight w:val="none"/>
                <w:lang w:val="en-US" w:eastAsia="zh-CN" w:bidi="ar"/>
              </w:rPr>
              <w:t>床</w:t>
            </w:r>
            <w:r>
              <w:rPr>
                <w:rFonts w:hint="eastAsia" w:ascii="仿宋_GB2312" w:hAnsi="仿宋_GB2312" w:eastAsia="仿宋_GB2312" w:cs="仿宋_GB2312"/>
                <w:color w:val="auto"/>
                <w:kern w:val="0"/>
                <w:sz w:val="24"/>
                <w:szCs w:val="24"/>
                <w:highlight w:val="none"/>
                <w:lang w:bidi="ar"/>
              </w:rPr>
              <w:t xml:space="preserve">板具有静音功能，避免相互打扰。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2.衣柜、书桌及吊柜：</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2-1.采用E0级饰面刨花板制作，门板厚度</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16mm，其余板材厚度均为≥18mm，≥1.5mmPVC封边条同色封边工艺；</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2-2.衣柜及书桌采用钻石斜切设计；</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2-3.柜内可存放</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30寸行李箱，挂衣杆采用铝合金材质。</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2-4.铰链采用阻尼缓冲铰链；2-5.衣柜柜门拉手嵌入式设计，金属材质，拉手集成锁扣和自动落锁一体式设计；</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2-6.开启时随手</w:t>
            </w:r>
            <w:r>
              <w:rPr>
                <w:rFonts w:hint="eastAsia" w:ascii="仿宋_GB2312" w:hAnsi="仿宋_GB2312" w:eastAsia="仿宋_GB2312" w:cs="仿宋_GB2312"/>
                <w:color w:val="auto"/>
                <w:kern w:val="0"/>
                <w:sz w:val="24"/>
                <w:szCs w:val="24"/>
                <w:highlight w:val="none"/>
                <w:lang w:val="en-US" w:eastAsia="zh-CN" w:bidi="ar"/>
              </w:rPr>
              <w:t>拨</w:t>
            </w:r>
            <w:r>
              <w:rPr>
                <w:rFonts w:hint="eastAsia" w:ascii="仿宋_GB2312" w:hAnsi="仿宋_GB2312" w:eastAsia="仿宋_GB2312" w:cs="仿宋_GB2312"/>
                <w:color w:val="auto"/>
                <w:kern w:val="0"/>
                <w:sz w:val="24"/>
                <w:szCs w:val="24"/>
                <w:highlight w:val="none"/>
                <w:lang w:bidi="ar"/>
              </w:rPr>
              <w:t>动开锁按钮即可打开柜门，关门后可自动落锁；2-7.使用者可配挂锁，锁悬挂于挖槽中；</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2-8.柜内锁片采用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2mm厚安全导角折弯镀锌金属件制作。</w:t>
            </w:r>
          </w:p>
        </w:tc>
      </w:tr>
      <w:tr>
        <w:tblPrEx>
          <w:tblCellMar>
            <w:top w:w="0" w:type="dxa"/>
            <w:left w:w="108" w:type="dxa"/>
            <w:bottom w:w="0" w:type="dxa"/>
            <w:right w:w="108" w:type="dxa"/>
          </w:tblCellMar>
        </w:tblPrEx>
        <w:trPr>
          <w:trHeight w:val="312" w:hRule="atLeast"/>
          <w:jc w:val="center"/>
        </w:trPr>
        <w:tc>
          <w:tcPr>
            <w:tcW w:w="38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85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90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62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kinsoku/>
              <w:wordWrap/>
              <w:overflowPunct/>
              <w:topLinePunct w:val="0"/>
              <w:bidi w:val="0"/>
              <w:spacing w:line="300" w:lineRule="exact"/>
              <w:jc w:val="center"/>
              <w:rPr>
                <w:rFonts w:hint="eastAsia" w:ascii="仿宋_GB2312" w:hAnsi="仿宋_GB2312" w:eastAsia="仿宋_GB2312" w:cs="仿宋_GB2312"/>
                <w:color w:val="auto"/>
                <w:sz w:val="24"/>
                <w:szCs w:val="24"/>
                <w:highlight w:val="none"/>
              </w:rPr>
            </w:pPr>
          </w:p>
        </w:tc>
        <w:tc>
          <w:tcPr>
            <w:tcW w:w="222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kinsoku/>
              <w:wordWrap/>
              <w:overflowPunct/>
              <w:topLinePunct w:val="0"/>
              <w:bidi w:val="0"/>
              <w:spacing w:line="300" w:lineRule="exact"/>
              <w:jc w:val="lef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单椅</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drawing>
                <wp:inline distT="0" distB="0" distL="114300" distR="114300">
                  <wp:extent cx="916940" cy="1013460"/>
                  <wp:effectExtent l="0" t="0" r="16510" b="15240"/>
                  <wp:docPr id="4" name="图片 4" descr="椅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椅子图"/>
                          <pic:cNvPicPr>
                            <a:picLocks noChangeAspect="1"/>
                          </pic:cNvPicPr>
                        </pic:nvPicPr>
                        <pic:blipFill>
                          <a:blip r:embed="rId25"/>
                          <a:stretch>
                            <a:fillRect/>
                          </a:stretch>
                        </pic:blipFill>
                        <pic:spPr>
                          <a:xfrm>
                            <a:off x="0" y="0"/>
                            <a:ext cx="916940" cy="1013460"/>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注：以上参考图片为基本样式，投标人可根据实际情况进行局部细节优化。</w:t>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500*490*800</w:t>
            </w:r>
          </w:p>
        </w:tc>
        <w:tc>
          <w:tcPr>
            <w:tcW w:w="22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1.椅面：</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1-1.使用改性PP材料混入加强纤维，经模具一次注塑成型，独具匠心的椅背设计，提供舒适安全背部支撑。</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1-2.椅面边缘厚度≥4MM,椅面座深：≥390MM。</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1-3.椅子带有腰靠。</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2.脚套：主体选用尼龙（PA)材料制作，与地面接触面采用毛毡软性材料，具有优质的耐磨性和保护地面的特点，配套前端脚套和后脚垫。</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3.钢架：</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▲3-1.椅脚采用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φ32*1.8mm圆管；</w:t>
            </w:r>
          </w:p>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▲3-2.椅面固定管采用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φ25*1.5mm圆管，弯管焊接加工。</w:t>
            </w:r>
          </w:p>
        </w:tc>
      </w:tr>
      <w:tr>
        <w:tblPrEx>
          <w:tblCellMar>
            <w:top w:w="0" w:type="dxa"/>
            <w:left w:w="108" w:type="dxa"/>
            <w:bottom w:w="0" w:type="dxa"/>
            <w:right w:w="108" w:type="dxa"/>
          </w:tblCellMar>
        </w:tblPrEx>
        <w:trPr>
          <w:trHeight w:val="0" w:hRule="atLeast"/>
          <w:jc w:val="center"/>
        </w:trPr>
        <w:tc>
          <w:tcPr>
            <w:tcW w:w="3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w:t>
            </w:r>
          </w:p>
        </w:tc>
        <w:tc>
          <w:tcPr>
            <w:tcW w:w="8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行李柜</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kern w:val="0"/>
                <w:sz w:val="24"/>
                <w:szCs w:val="24"/>
                <w:highlight w:val="none"/>
                <w:bdr w:val="single" w:color="000000" w:sz="4" w:space="0"/>
                <w:lang w:bidi="ar"/>
              </w:rPr>
            </w:pPr>
            <w:r>
              <w:rPr>
                <w:rFonts w:hint="eastAsia" w:ascii="仿宋_GB2312" w:hAnsi="仿宋_GB2312" w:eastAsia="仿宋_GB2312" w:cs="仿宋_GB2312"/>
                <w:color w:val="auto"/>
                <w:kern w:val="0"/>
                <w:sz w:val="24"/>
                <w:szCs w:val="24"/>
                <w:highlight w:val="none"/>
                <w:bdr w:val="single" w:color="000000" w:sz="4" w:space="0"/>
                <w:lang w:bidi="ar"/>
              </w:rPr>
              <w:drawing>
                <wp:inline distT="0" distB="0" distL="114300" distR="114300">
                  <wp:extent cx="898525" cy="1203325"/>
                  <wp:effectExtent l="0" t="0" r="15875" b="15875"/>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26"/>
                          <a:stretch>
                            <a:fillRect/>
                          </a:stretch>
                        </pic:blipFill>
                        <pic:spPr>
                          <a:xfrm>
                            <a:off x="0" y="0"/>
                            <a:ext cx="898525" cy="12033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kern w:val="0"/>
                <w:sz w:val="24"/>
                <w:szCs w:val="24"/>
                <w:highlight w:val="none"/>
                <w:bdr w:val="single" w:color="000000" w:sz="4" w:space="0"/>
                <w:lang w:bidi="ar"/>
              </w:rPr>
            </w:pPr>
            <w:r>
              <w:rPr>
                <w:rFonts w:hint="eastAsia" w:ascii="仿宋_GB2312" w:hAnsi="仿宋_GB2312" w:eastAsia="仿宋_GB2312" w:cs="仿宋_GB2312"/>
                <w:b/>
                <w:bCs/>
                <w:color w:val="auto"/>
                <w:sz w:val="24"/>
                <w:szCs w:val="24"/>
                <w:highlight w:val="none"/>
                <w:lang w:val="en-US" w:eastAsia="zh-CN"/>
              </w:rPr>
              <w:t>注：以上参考图片为基本样式，投标人可根据实际情况进行局部细节优化。</w:t>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400*850*2276</w:t>
            </w:r>
          </w:p>
        </w:tc>
        <w:tc>
          <w:tcPr>
            <w:tcW w:w="22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kinsoku/>
              <w:wordWrap/>
              <w:overflowPunct/>
              <w:topLinePunct w:val="0"/>
              <w:bidi w:val="0"/>
              <w:spacing w:line="300" w:lineRule="exact"/>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kern w:val="0"/>
                <w:sz w:val="24"/>
                <w:szCs w:val="24"/>
                <w:highlight w:val="none"/>
                <w:lang w:val="en-US" w:eastAsia="zh-CN" w:bidi="ar"/>
              </w:rPr>
              <w:t>1.</w:t>
            </w:r>
            <w:r>
              <w:rPr>
                <w:rFonts w:hint="eastAsia" w:ascii="仿宋_GB2312" w:hAnsi="仿宋_GB2312" w:eastAsia="仿宋_GB2312" w:cs="仿宋_GB2312"/>
                <w:color w:val="auto"/>
                <w:kern w:val="0"/>
                <w:sz w:val="24"/>
                <w:szCs w:val="24"/>
                <w:highlight w:val="none"/>
                <w:lang w:bidi="ar"/>
              </w:rPr>
              <w:t xml:space="preserve">板材要求：所有板材需达到E0级国家标准。要求表面双贴品牌三聚氰胺纸。                                                                                                                  </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kern w:val="0"/>
                <w:sz w:val="24"/>
                <w:szCs w:val="24"/>
                <w:highlight w:val="none"/>
                <w:lang w:val="en-US" w:eastAsia="zh-CN" w:bidi="ar"/>
              </w:rPr>
              <w:t>2</w:t>
            </w:r>
            <w:r>
              <w:rPr>
                <w:rFonts w:hint="eastAsia" w:ascii="仿宋_GB2312" w:hAnsi="仿宋_GB2312" w:eastAsia="仿宋_GB2312" w:cs="仿宋_GB2312"/>
                <w:color w:val="auto"/>
                <w:kern w:val="0"/>
                <w:sz w:val="24"/>
                <w:szCs w:val="24"/>
                <w:highlight w:val="none"/>
                <w:lang w:bidi="ar"/>
              </w:rPr>
              <w:t>.柜体：整体采用≥25*25*1.2mm方管制作，层板，</w:t>
            </w:r>
            <w:r>
              <w:rPr>
                <w:rFonts w:hint="eastAsia" w:ascii="仿宋_GB2312" w:hAnsi="仿宋_GB2312" w:eastAsia="仿宋_GB2312" w:cs="仿宋_GB2312"/>
                <w:color w:val="auto"/>
                <w:kern w:val="0"/>
                <w:sz w:val="24"/>
                <w:szCs w:val="24"/>
                <w:highlight w:val="none"/>
                <w:lang w:val="en-US" w:eastAsia="zh-CN" w:bidi="ar"/>
              </w:rPr>
              <w:t>面</w:t>
            </w:r>
            <w:r>
              <w:rPr>
                <w:rFonts w:hint="eastAsia" w:ascii="仿宋_GB2312" w:hAnsi="仿宋_GB2312" w:eastAsia="仿宋_GB2312" w:cs="仿宋_GB2312"/>
                <w:color w:val="auto"/>
                <w:kern w:val="0"/>
                <w:sz w:val="24"/>
                <w:szCs w:val="24"/>
                <w:highlight w:val="none"/>
                <w:lang w:bidi="ar"/>
              </w:rPr>
              <w:t>板采用</w:t>
            </w:r>
            <w:r>
              <w:rPr>
                <w:rFonts w:hint="eastAsia" w:ascii="仿宋_GB2312" w:hAnsi="仿宋_GB2312" w:eastAsia="仿宋_GB2312" w:cs="仿宋_GB2312"/>
                <w:color w:val="auto"/>
                <w:kern w:val="0"/>
                <w:sz w:val="24"/>
                <w:szCs w:val="24"/>
                <w:highlight w:val="none"/>
                <w:lang w:val="en-US" w:eastAsia="zh-CN" w:bidi="ar"/>
              </w:rPr>
              <w:t>≥</w:t>
            </w:r>
            <w:r>
              <w:rPr>
                <w:rFonts w:hint="eastAsia" w:ascii="仿宋_GB2312" w:hAnsi="仿宋_GB2312" w:eastAsia="仿宋_GB2312" w:cs="仿宋_GB2312"/>
                <w:color w:val="auto"/>
                <w:kern w:val="0"/>
                <w:sz w:val="24"/>
                <w:szCs w:val="24"/>
                <w:highlight w:val="none"/>
                <w:lang w:bidi="ar"/>
              </w:rPr>
              <w:t>18mm厚E0级饰面刨花板制作，≥1.5mmPVC封边条同色封边工艺。</w:t>
            </w:r>
            <w:r>
              <w:rPr>
                <w:rFonts w:hint="eastAsia" w:ascii="仿宋_GB2312" w:hAnsi="仿宋_GB2312" w:eastAsia="仿宋_GB2312" w:cs="仿宋_GB2312"/>
                <w:color w:val="auto"/>
                <w:kern w:val="0"/>
                <w:sz w:val="24"/>
                <w:szCs w:val="24"/>
                <w:highlight w:val="none"/>
                <w:lang w:bidi="ar"/>
              </w:rPr>
              <w:br w:type="textWrapping"/>
            </w:r>
            <w:r>
              <w:rPr>
                <w:rFonts w:hint="eastAsia" w:ascii="仿宋_GB2312" w:hAnsi="仿宋_GB2312" w:eastAsia="仿宋_GB2312" w:cs="仿宋_GB2312"/>
                <w:color w:val="auto"/>
                <w:kern w:val="0"/>
                <w:sz w:val="24"/>
                <w:szCs w:val="24"/>
                <w:highlight w:val="none"/>
                <w:lang w:val="en-US" w:eastAsia="zh-CN" w:bidi="ar"/>
              </w:rPr>
              <w:t>3</w:t>
            </w:r>
            <w:r>
              <w:rPr>
                <w:rFonts w:hint="eastAsia" w:ascii="仿宋_GB2312" w:hAnsi="仿宋_GB2312" w:eastAsia="仿宋_GB2312" w:cs="仿宋_GB2312"/>
                <w:color w:val="auto"/>
                <w:kern w:val="0"/>
                <w:sz w:val="24"/>
                <w:szCs w:val="24"/>
                <w:highlight w:val="none"/>
                <w:lang w:bidi="ar"/>
              </w:rPr>
              <w:t>.五金件：</w:t>
            </w:r>
            <w:r>
              <w:rPr>
                <w:rFonts w:hint="eastAsia" w:ascii="仿宋_GB2312" w:hAnsi="仿宋_GB2312" w:eastAsia="仿宋_GB2312" w:cs="仿宋_GB2312"/>
                <w:color w:val="auto"/>
                <w:kern w:val="0"/>
                <w:sz w:val="24"/>
                <w:szCs w:val="24"/>
                <w:highlight w:val="none"/>
                <w:lang w:val="en-US" w:eastAsia="zh-CN" w:bidi="ar"/>
              </w:rPr>
              <w:t>柜子外侧面板加装拉手，柜子底座安装</w:t>
            </w:r>
            <w:r>
              <w:rPr>
                <w:rFonts w:hint="eastAsia" w:ascii="仿宋_GB2312" w:hAnsi="仿宋_GB2312" w:eastAsia="仿宋_GB2312" w:cs="仿宋_GB2312"/>
                <w:color w:val="auto"/>
                <w:kern w:val="0"/>
                <w:sz w:val="24"/>
                <w:szCs w:val="24"/>
                <w:highlight w:val="none"/>
                <w:lang w:bidi="ar"/>
              </w:rPr>
              <w:t>优质静音滑轮，经久耐用。</w:t>
            </w:r>
          </w:p>
        </w:tc>
      </w:tr>
    </w:tbl>
    <w:p>
      <w:pPr>
        <w:keepNext w:val="0"/>
        <w:keepLines w:val="0"/>
        <w:kinsoku/>
        <w:wordWrap/>
        <w:overflowPunct/>
        <w:topLinePunct w:val="0"/>
        <w:bidi w:val="0"/>
        <w:spacing w:line="300" w:lineRule="exact"/>
        <w:ind w:firstLine="482" w:firstLineChars="200"/>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rPr>
        <w:t>样品要求</w:t>
      </w:r>
    </w:p>
    <w:p>
      <w:pPr>
        <w:keepNext w:val="0"/>
        <w:keepLines w:val="0"/>
        <w:tabs>
          <w:tab w:val="left" w:pos="3870"/>
          <w:tab w:val="left" w:pos="4085"/>
        </w:tabs>
        <w:kinsoku/>
        <w:wordWrap/>
        <w:overflowPunct/>
        <w:topLinePunct w:val="0"/>
        <w:bidi w:val="0"/>
        <w:snapToGrid w:val="0"/>
        <w:spacing w:line="30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投标人必须提供与技术需求相符的样品：</w:t>
      </w:r>
    </w:p>
    <w:tbl>
      <w:tblPr>
        <w:tblStyle w:val="62"/>
        <w:tblW w:w="3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683"/>
        <w:gridCol w:w="311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1" w:type="pct"/>
            <w:tcBorders>
              <w:bottom w:val="single" w:color="auto" w:sz="4" w:space="0"/>
            </w:tcBorders>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1269" w:type="pct"/>
            <w:tcBorders>
              <w:bottom w:val="single" w:color="auto" w:sz="4" w:space="0"/>
            </w:tcBorders>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样品名称</w:t>
            </w:r>
          </w:p>
        </w:tc>
        <w:tc>
          <w:tcPr>
            <w:tcW w:w="2344" w:type="pct"/>
            <w:tcBorders>
              <w:bottom w:val="single" w:color="auto" w:sz="4" w:space="0"/>
            </w:tcBorders>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规格(mm)</w:t>
            </w:r>
          </w:p>
        </w:tc>
        <w:tc>
          <w:tcPr>
            <w:tcW w:w="834" w:type="pct"/>
            <w:tcBorders>
              <w:bottom w:val="single" w:color="auto" w:sz="4" w:space="0"/>
            </w:tcBorders>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1"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269" w:type="pct"/>
            <w:noWrap w:val="0"/>
            <w:vAlign w:val="center"/>
          </w:tcPr>
          <w:p>
            <w:pPr>
              <w:keepNext w:val="0"/>
              <w:keepLines w:val="0"/>
              <w:kinsoku/>
              <w:wordWrap/>
              <w:overflowPunct/>
              <w:topLinePunct w:val="0"/>
              <w:bidi w:val="0"/>
              <w:spacing w:line="300" w:lineRule="exact"/>
              <w:ind w:firstLine="42"/>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公寓组合床</w:t>
            </w:r>
          </w:p>
        </w:tc>
        <w:tc>
          <w:tcPr>
            <w:tcW w:w="2344"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4500*900*2280</w:t>
            </w:r>
          </w:p>
        </w:tc>
        <w:tc>
          <w:tcPr>
            <w:tcW w:w="834"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551"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1269" w:type="pct"/>
            <w:noWrap w:val="0"/>
            <w:vAlign w:val="center"/>
          </w:tcPr>
          <w:p>
            <w:pPr>
              <w:keepNext w:val="0"/>
              <w:keepLines w:val="0"/>
              <w:kinsoku/>
              <w:wordWrap/>
              <w:overflowPunct/>
              <w:topLinePunct w:val="0"/>
              <w:bidi w:val="0"/>
              <w:spacing w:line="300" w:lineRule="exact"/>
              <w:ind w:firstLine="42"/>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单椅</w:t>
            </w:r>
          </w:p>
        </w:tc>
        <w:tc>
          <w:tcPr>
            <w:tcW w:w="2344"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500*490*800</w:t>
            </w:r>
          </w:p>
        </w:tc>
        <w:tc>
          <w:tcPr>
            <w:tcW w:w="834"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51"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1269" w:type="pct"/>
            <w:noWrap w:val="0"/>
            <w:vAlign w:val="center"/>
          </w:tcPr>
          <w:p>
            <w:pPr>
              <w:keepNext w:val="0"/>
              <w:keepLines w:val="0"/>
              <w:kinsoku/>
              <w:wordWrap/>
              <w:overflowPunct/>
              <w:topLinePunct w:val="0"/>
              <w:bidi w:val="0"/>
              <w:spacing w:line="300" w:lineRule="exact"/>
              <w:ind w:firstLine="42"/>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行李柜</w:t>
            </w:r>
          </w:p>
        </w:tc>
        <w:tc>
          <w:tcPr>
            <w:tcW w:w="2344"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400*850*2276</w:t>
            </w:r>
          </w:p>
        </w:tc>
        <w:tc>
          <w:tcPr>
            <w:tcW w:w="834" w:type="pct"/>
            <w:noWrap w:val="0"/>
            <w:vAlign w:val="center"/>
          </w:tcPr>
          <w:p>
            <w:pPr>
              <w:keepNext w:val="0"/>
              <w:keepLines w:val="0"/>
              <w:kinsoku/>
              <w:wordWrap/>
              <w:overflowPunct/>
              <w:topLinePunct w:val="0"/>
              <w:bidi w:val="0"/>
              <w:adjustRightInd w:val="0"/>
              <w:snapToGrid w:val="0"/>
              <w:spacing w:line="3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1个</w:t>
            </w:r>
          </w:p>
        </w:tc>
      </w:tr>
    </w:tbl>
    <w:p>
      <w:pPr>
        <w:keepNext w:val="0"/>
        <w:keepLines w:val="0"/>
        <w:kinsoku/>
        <w:wordWrap/>
        <w:overflowPunct/>
        <w:topLinePunct w:val="0"/>
        <w:bidi w:val="0"/>
        <w:spacing w:line="300" w:lineRule="exact"/>
        <w:ind w:firstLine="480"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w:t>
      </w:r>
      <w:r>
        <w:rPr>
          <w:rFonts w:hint="eastAsia" w:ascii="仿宋_GB2312" w:hAnsi="仿宋_GB2312" w:eastAsia="仿宋_GB2312" w:cs="仿宋_GB2312"/>
          <w:b/>
          <w:bCs/>
          <w:color w:val="auto"/>
          <w:sz w:val="24"/>
          <w:szCs w:val="24"/>
          <w:highlight w:val="none"/>
          <w:lang w:val="en-US" w:eastAsia="zh-CN"/>
        </w:rPr>
        <w:t>注：对未提供样品或提供样品不满足采购需求实质性条件的，按无效投标处理。</w:t>
      </w:r>
    </w:p>
    <w:p>
      <w:pPr>
        <w:keepNext w:val="0"/>
        <w:keepLines w:val="0"/>
        <w:kinsoku/>
        <w:wordWrap/>
        <w:overflowPunct/>
        <w:topLinePunct w:val="0"/>
        <w:bidi w:val="0"/>
        <w:spacing w:line="300" w:lineRule="exact"/>
        <w:ind w:firstLine="482" w:firstLineChars="200"/>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2.制作标准要求：</w:t>
      </w:r>
    </w:p>
    <w:p>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2.1</w:t>
      </w:r>
      <w:r>
        <w:rPr>
          <w:rFonts w:hint="eastAsia" w:ascii="仿宋_GB2312" w:hAnsi="仿宋_GB2312" w:eastAsia="仿宋_GB2312" w:cs="仿宋_GB2312"/>
          <w:b/>
          <w:bCs/>
          <w:color w:val="auto"/>
          <w:sz w:val="24"/>
          <w:szCs w:val="24"/>
          <w:highlight w:val="none"/>
        </w:rPr>
        <w:t>.金属家具制作工艺规范</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（1）焊接要求：焊接处应无脱焊、虚焊、焊穿，焊渣，夹渣；气孔、焊瘤、咬边、焊接处平滑，焊缝应修整光滑。</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家具整体质量要求</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（1）外形尺寸偏差：产品外形宽、深</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高的尺寸偏差为±</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mm，其他</w:t>
      </w:r>
      <w:r>
        <w:rPr>
          <w:rFonts w:hint="eastAsia" w:ascii="仿宋_GB2312" w:hAnsi="仿宋_GB2312" w:eastAsia="仿宋_GB2312" w:cs="仿宋_GB2312"/>
          <w:color w:val="auto"/>
          <w:sz w:val="24"/>
          <w:szCs w:val="24"/>
          <w:highlight w:val="none"/>
          <w:lang w:val="en-US" w:eastAsia="zh-CN"/>
        </w:rPr>
        <w:t>部分</w:t>
      </w:r>
      <w:r>
        <w:rPr>
          <w:rFonts w:hint="eastAsia" w:ascii="仿宋_GB2312" w:hAnsi="仿宋_GB2312" w:eastAsia="仿宋_GB2312" w:cs="仿宋_GB2312"/>
          <w:color w:val="auto"/>
          <w:sz w:val="24"/>
          <w:szCs w:val="24"/>
          <w:highlight w:val="none"/>
        </w:rPr>
        <w:t>为±</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mm。</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要求：①突出物：产品不应有危险突出物。如果存在危险突出物，则应用合适的方式对其加以保护。如，将末端弯曲或加上保护帽或罩以有效增加可能与皮肤接触的面积。保护帽或罩在保护件拉力试验测试时，不应脱落。②孔及间隙：产品刚性材料上，深度超过10mm的孔及间隙，其直径或间隙应小于6mm或大于等于12mm；产品可接触的活动部位间的间隙应小于5mm或大于等于12mm。</w:t>
      </w:r>
    </w:p>
    <w:p>
      <w:pPr>
        <w:keepNext w:val="0"/>
        <w:keepLines w:val="0"/>
        <w:pageBreakBefore w:val="0"/>
        <w:kinsoku/>
        <w:wordWrap/>
        <w:overflowPunct/>
        <w:topLinePunct w:val="0"/>
        <w:bidi w:val="0"/>
        <w:spacing w:line="440" w:lineRule="exact"/>
        <w:ind w:right="420" w:firstLine="482"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3.样品的递交方式：</w:t>
      </w:r>
      <w:r>
        <w:rPr>
          <w:rFonts w:hint="eastAsia" w:ascii="仿宋_GB2312" w:hAnsi="仿宋_GB2312" w:eastAsia="仿宋_GB2312" w:cs="仿宋_GB2312"/>
          <w:color w:val="auto"/>
          <w:sz w:val="24"/>
          <w:szCs w:val="24"/>
          <w:highlight w:val="none"/>
          <w:lang w:val="en-US" w:eastAsia="zh-CN"/>
        </w:rPr>
        <w:t>详见前附表。</w:t>
      </w:r>
    </w:p>
    <w:p>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、项目技术方案要求</w:t>
      </w:r>
    </w:p>
    <w:p>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(一)招标产品技术规范</w:t>
      </w:r>
    </w:p>
    <w:p>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 xml:space="preserve">.相关标准和要求 </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（1）主要技术要求：GB/T3325-1995金属家具类。</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（2）漆膜理化性能：金属件GB1730硬度；GB1732冲击强度；GB1720附着力；GB1763耐腐蚀。</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（3）防火性能要求：投标产品应符合GB50222-2015规定的一类高层民用建筑中的有关活动家具和装饰织物的防火等级要求。</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（4）质量检验：整体家具应达到国家规定的A级标准：GB/T1951.2-1994 金属家具质量。</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（5）本招标文件中未包括的标准和规范以及非现行的标准和规范，投标人应提供现行的标准和规范的名称及标准号。</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（6）投标人的产品其主材及配件等必须符合招标文件技术要求，</w:t>
      </w:r>
      <w:r>
        <w:rPr>
          <w:rFonts w:hint="eastAsia" w:ascii="仿宋_GB2312" w:hAnsi="仿宋_GB2312" w:eastAsia="仿宋_GB2312" w:cs="仿宋_GB2312"/>
          <w:color w:val="auto"/>
          <w:sz w:val="24"/>
          <w:szCs w:val="24"/>
          <w:highlight w:val="none"/>
          <w:lang w:val="en-US" w:eastAsia="zh-CN"/>
        </w:rPr>
        <w:t>同时</w:t>
      </w:r>
      <w:r>
        <w:rPr>
          <w:rFonts w:hint="eastAsia" w:ascii="仿宋_GB2312" w:hAnsi="仿宋_GB2312" w:eastAsia="仿宋_GB2312" w:cs="仿宋_GB2312"/>
          <w:color w:val="auto"/>
          <w:sz w:val="24"/>
          <w:szCs w:val="24"/>
          <w:highlight w:val="none"/>
        </w:rPr>
        <w:t>在投标文件上注明品牌及产地的。</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（7）所有家具的颜色在合同签订后由采购人确定。</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（8）深化设计费用</w:t>
      </w:r>
      <w:r>
        <w:rPr>
          <w:rFonts w:hint="eastAsia" w:ascii="仿宋_GB2312" w:hAnsi="仿宋_GB2312" w:eastAsia="仿宋_GB2312" w:cs="仿宋_GB2312"/>
          <w:color w:val="auto"/>
          <w:sz w:val="24"/>
          <w:szCs w:val="24"/>
          <w:highlight w:val="none"/>
          <w:lang w:val="en-US" w:eastAsia="zh-CN"/>
        </w:rPr>
        <w:t>包含在本次预算内，</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在投标时</w:t>
      </w:r>
      <w:r>
        <w:rPr>
          <w:rFonts w:hint="eastAsia" w:ascii="仿宋_GB2312" w:hAnsi="仿宋_GB2312" w:eastAsia="仿宋_GB2312" w:cs="仿宋_GB2312"/>
          <w:color w:val="auto"/>
          <w:sz w:val="24"/>
          <w:szCs w:val="24"/>
          <w:highlight w:val="none"/>
          <w:lang w:val="en-US" w:eastAsia="zh-CN"/>
        </w:rPr>
        <w:t>应</w:t>
      </w:r>
      <w:r>
        <w:rPr>
          <w:rFonts w:hint="eastAsia" w:ascii="仿宋_GB2312" w:hAnsi="仿宋_GB2312" w:eastAsia="仿宋_GB2312" w:cs="仿宋_GB2312"/>
          <w:color w:val="auto"/>
          <w:sz w:val="24"/>
          <w:szCs w:val="24"/>
          <w:highlight w:val="none"/>
        </w:rPr>
        <w:t>综合考虑，中标后不再另行支付。</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（9）深化设计时允许对招标清单内的家具尺寸根据不同房间大小做优化调整，投标</w:t>
      </w:r>
      <w:r>
        <w:rPr>
          <w:rFonts w:hint="eastAsia" w:ascii="仿宋_GB2312" w:hAnsi="仿宋_GB2312" w:eastAsia="仿宋_GB2312" w:cs="仿宋_GB2312"/>
          <w:color w:val="auto"/>
          <w:sz w:val="24"/>
          <w:szCs w:val="24"/>
          <w:highlight w:val="none"/>
          <w:lang w:eastAsia="zh-CN"/>
        </w:rPr>
        <w:t>人</w:t>
      </w:r>
      <w:r>
        <w:rPr>
          <w:rFonts w:hint="eastAsia" w:ascii="仿宋_GB2312" w:hAnsi="仿宋_GB2312" w:eastAsia="仿宋_GB2312" w:cs="仿宋_GB2312"/>
          <w:color w:val="auto"/>
          <w:sz w:val="24"/>
          <w:szCs w:val="24"/>
          <w:highlight w:val="none"/>
        </w:rPr>
        <w:t>需在报价时做综合考虑，中标后单价不得调整。</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（10）采购人有权对招标清单内所有家具的数量进行</w:t>
      </w:r>
      <w:r>
        <w:rPr>
          <w:rFonts w:hint="eastAsia" w:ascii="仿宋_GB2312" w:hAnsi="仿宋_GB2312" w:eastAsia="仿宋_GB2312" w:cs="仿宋_GB2312"/>
          <w:color w:val="auto"/>
          <w:sz w:val="24"/>
          <w:szCs w:val="24"/>
          <w:highlight w:val="none"/>
          <w:lang w:val="en-US" w:eastAsia="zh-CN"/>
        </w:rPr>
        <w:t>综合调整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调整后中标单价不变</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最终结算价格不超过合同总价（即投标总价）。</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不得以任何理由拒绝，否则视为违约。</w:t>
      </w:r>
    </w:p>
    <w:p>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.实物照片或效果图</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投标人在投标时必须根据招标文件中要求，提供家具实物效果图，作为中标后验收的依据。</w:t>
      </w:r>
    </w:p>
    <w:p>
      <w:pPr>
        <w:keepNext w:val="0"/>
        <w:keepLines w:val="0"/>
        <w:pageBreakBefore w:val="0"/>
        <w:kinsoku/>
        <w:wordWrap/>
        <w:overflowPunct/>
        <w:topLinePunct w:val="0"/>
        <w:bidi w:val="0"/>
        <w:spacing w:line="440" w:lineRule="exact"/>
        <w:ind w:right="4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.其他要求</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（1）任何合理化建议或技术偏离，可专列章节说明，供</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评标时参考。</w:t>
      </w:r>
    </w:p>
    <w:p>
      <w:pPr>
        <w:keepNext w:val="0"/>
        <w:keepLines w:val="0"/>
        <w:pageBreakBefore w:val="0"/>
        <w:kinsoku/>
        <w:wordWrap/>
        <w:overflowPunct/>
        <w:topLinePunct w:val="0"/>
        <w:bidi w:val="0"/>
        <w:spacing w:line="440" w:lineRule="exact"/>
        <w:ind w:right="4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（2）该部分技术要求（规格）书只是对产品的一些原则性要求，并不是详尽的要求，投标人有责任对设计符合技术规范、标准负责。</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应对投标内容所涉及的知识产权承担责任，并负责保护</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的利益不受任何损害。一切由于文字、商标、专利等引起的任何纠纷、诉讼和费用均由投标人承担全部责任，与</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无关。如因此给</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造成损失的，投标人应向</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承担全额赔偿责任。</w:t>
      </w:r>
    </w:p>
    <w:p>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bookmarkStart w:id="43" w:name="_Toc8760737"/>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、交货时间、地点要求</w:t>
      </w:r>
    </w:p>
    <w:p>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在中标通知书发出7个工作日内按招标文件和</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投标文件的约定，在绍兴文理学院由法定代表人或授权委托人与采购人签订书面合同，</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未在规定时间内签订合同，一切后果由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w:t>
      </w:r>
    </w:p>
    <w:p>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2.交货地点、交货方式：采购人指定地点，</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负责运至现场安装调试，安装调试验收合格前的所有材料的运输、保管、保险均由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负责，由此产生的一切费用由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w:t>
      </w:r>
    </w:p>
    <w:p>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3.交货期：</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必须在5月31日前在指定地点完成家具的安装和调试，并将施工垃圾清理完毕。若不能及时供货安装，一切后果由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w:t>
      </w:r>
    </w:p>
    <w:bookmarkEnd w:id="43"/>
    <w:p>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、付款说明</w:t>
      </w:r>
    </w:p>
    <w:p>
      <w:pPr>
        <w:keepNext w:val="0"/>
        <w:keepLines w:val="0"/>
        <w:pageBreakBefore w:val="0"/>
        <w:kinsoku/>
        <w:wordWrap/>
        <w:overflowPunct/>
        <w:topLinePunct w:val="0"/>
        <w:bidi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合同签订后，投标人需支付中标额的1%的履约保证金给采购人，付款方式按《浙江省财政厅关于进一步发挥政府采购政策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kinsoku/>
        <w:wordWrap/>
        <w:overflowPunct/>
        <w:topLinePunct w:val="0"/>
        <w:bidi w:val="0"/>
        <w:spacing w:line="44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其它相关要求及说明</w:t>
      </w:r>
    </w:p>
    <w:p>
      <w:pPr>
        <w:pStyle w:val="396"/>
        <w:keepNext w:val="0"/>
        <w:keepLines w:val="0"/>
        <w:pageBreakBefore w:val="0"/>
        <w:widowControl w:val="0"/>
        <w:kinsoku/>
        <w:wordWrap/>
        <w:overflowPunct/>
        <w:topLinePunct w:val="0"/>
        <w:bidi w:val="0"/>
        <w:spacing w:afterLines="0" w:line="440" w:lineRule="exact"/>
        <w:ind w:firstLine="482"/>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1.安装及调试、第三方检测、验收</w:t>
      </w:r>
    </w:p>
    <w:p>
      <w:pPr>
        <w:pStyle w:val="396"/>
        <w:keepNext w:val="0"/>
        <w:keepLines w:val="0"/>
        <w:pageBreakBefore w:val="0"/>
        <w:widowControl w:val="0"/>
        <w:kinsoku/>
        <w:wordWrap/>
        <w:overflowPunct/>
        <w:topLinePunct w:val="0"/>
        <w:bidi w:val="0"/>
        <w:spacing w:afterLines="0"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应派经</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认可的有能力、具有相应资质的技术人员，负责家具安装工作，在安装期间应充分了解进度要求，解决安装中出现的技术问题。</w:t>
      </w:r>
    </w:p>
    <w:p>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负责家具的安装、调试。</w:t>
      </w:r>
    </w:p>
    <w:p>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调试所需专用工具设施物料由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自备、自费运到现场，完工后自费搬走。</w:t>
      </w:r>
    </w:p>
    <w:p>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iCs/>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安装完成后，进行调试、验收。验</w:t>
      </w:r>
      <w:r>
        <w:rPr>
          <w:rFonts w:hint="eastAsia" w:ascii="仿宋_GB2312" w:hAnsi="仿宋_GB2312" w:eastAsia="仿宋_GB2312" w:cs="仿宋_GB2312"/>
          <w:iCs/>
          <w:color w:val="auto"/>
          <w:sz w:val="24"/>
          <w:szCs w:val="24"/>
          <w:highlight w:val="none"/>
        </w:rPr>
        <w:t>收按</w:t>
      </w:r>
      <w:r>
        <w:rPr>
          <w:rFonts w:hint="eastAsia" w:ascii="仿宋_GB2312" w:hAnsi="仿宋_GB2312" w:eastAsia="仿宋_GB2312" w:cs="仿宋_GB2312"/>
          <w:color w:val="auto"/>
          <w:sz w:val="24"/>
          <w:szCs w:val="24"/>
          <w:highlight w:val="none"/>
        </w:rPr>
        <w:t>国家有关规范标准（国家无验收规范标准的按双方合同规定的要求）进行</w:t>
      </w:r>
      <w:r>
        <w:rPr>
          <w:rFonts w:hint="eastAsia" w:ascii="仿宋_GB2312" w:hAnsi="仿宋_GB2312" w:eastAsia="仿宋_GB2312" w:cs="仿宋_GB2312"/>
          <w:iCs/>
          <w:color w:val="auto"/>
          <w:sz w:val="24"/>
          <w:szCs w:val="24"/>
          <w:highlight w:val="none"/>
        </w:rPr>
        <w:t>，</w:t>
      </w:r>
      <w:r>
        <w:rPr>
          <w:rFonts w:hint="eastAsia" w:ascii="仿宋_GB2312" w:hAnsi="仿宋_GB2312" w:eastAsia="仿宋_GB2312" w:cs="仿宋_GB2312"/>
          <w:color w:val="auto"/>
          <w:sz w:val="24"/>
          <w:szCs w:val="24"/>
          <w:highlight w:val="none"/>
        </w:rPr>
        <w:t>且须通过具备相关资质的第三方检测机构检测，出具检测报告，费用由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支付。</w:t>
      </w:r>
    </w:p>
    <w:p>
      <w:pPr>
        <w:keepNext w:val="0"/>
        <w:keepLines w:val="0"/>
        <w:pageBreakBefore w:val="0"/>
        <w:tabs>
          <w:tab w:val="left" w:pos="1365"/>
        </w:tabs>
        <w:kinsoku/>
        <w:wordWrap/>
        <w:overflowPunct/>
        <w:topLinePunct w:val="0"/>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家具的安装、调试等各项工作由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负责，但必须在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指定人员的参与下进行。在实际实施前必须先经</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同意方可进行。调试的原始记录须经各方签字后作为验收的文件之一。</w:t>
      </w:r>
    </w:p>
    <w:p>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en-US" w:eastAsia="zh-CN"/>
        </w:rPr>
        <w:t>)所有的招标货物应按照国家有关技术标准在制造厂检查和试验合格，以表明其安全性能及材料和结构的完整性。采购人将委派质量技术监督局人员至工厂现场进行抽检，该部分检验费用包含于投标总价中，投标人报价时应予以考虑。</w:t>
      </w:r>
    </w:p>
    <w:p>
      <w:pPr>
        <w:pStyle w:val="26"/>
        <w:keepNext w:val="0"/>
        <w:keepLines w:val="0"/>
        <w:pageBreakBefore w:val="0"/>
        <w:numPr>
          <w:ilvl w:val="0"/>
          <w:numId w:val="0"/>
        </w:numPr>
        <w:tabs>
          <w:tab w:val="clear" w:pos="360"/>
        </w:tabs>
        <w:kinsoku/>
        <w:wordWrap/>
        <w:overflowPunct/>
        <w:topLinePunct w:val="0"/>
        <w:bidi w:val="0"/>
        <w:spacing w:afterLines="0" w:line="440" w:lineRule="exact"/>
        <w:ind w:left="760" w:left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2.售后服务</w:t>
      </w:r>
    </w:p>
    <w:p>
      <w:pPr>
        <w:pStyle w:val="7"/>
        <w:keepNext w:val="0"/>
        <w:keepLines w:val="0"/>
        <w:pageBreakBefore w:val="0"/>
        <w:kinsoku/>
        <w:wordWrap/>
        <w:overflowPunct/>
        <w:topLinePunct w:val="0"/>
        <w:bidi w:val="0"/>
        <w:spacing w:line="440" w:lineRule="exact"/>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经调试、验收合格后</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须</w:t>
      </w:r>
      <w:r>
        <w:rPr>
          <w:rFonts w:hint="eastAsia" w:ascii="仿宋_GB2312" w:hAnsi="仿宋_GB2312" w:eastAsia="仿宋_GB2312" w:cs="仿宋_GB2312"/>
          <w:color w:val="auto"/>
          <w:sz w:val="24"/>
          <w:szCs w:val="24"/>
          <w:highlight w:val="none"/>
        </w:rPr>
        <w:t>提供产品5年质量保证期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5年内免费维修，不能维修</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免费更换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必须有可靠的售后服务保障，能提供正常的技术、备品备件服务。</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在接到</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通知后，6小时内派人赴现场解决质量问题。24小时内不能修复的，则无偿提供备件或备用零件供采购人使用。</w:t>
      </w:r>
    </w:p>
    <w:p>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_GB2312" w:eastAsia="仿宋_GB2312" w:cs="仿宋_GB2312"/>
          <w:b/>
          <w:bCs/>
          <w:color w:val="auto"/>
          <w:kern w:val="0"/>
          <w:sz w:val="24"/>
          <w:szCs w:val="24"/>
          <w:highlight w:val="none"/>
          <w:u w:val="wave"/>
        </w:rPr>
      </w:pPr>
      <w:r>
        <w:rPr>
          <w:rFonts w:hint="eastAsia" w:ascii="仿宋_GB2312" w:hAnsi="仿宋_GB2312" w:eastAsia="仿宋_GB2312" w:cs="仿宋_GB2312"/>
          <w:b/>
          <w:bCs/>
          <w:color w:val="auto"/>
          <w:sz w:val="24"/>
          <w:szCs w:val="24"/>
          <w:highlight w:val="none"/>
        </w:rPr>
        <w:t>3.服务要求</w:t>
      </w:r>
    </w:p>
    <w:p>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提供的货物，必须符合招标文件及其投标文件规定的要求，如有不符，采购人可以无条件退货，造成的损失由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承担。</w:t>
      </w:r>
    </w:p>
    <w:p>
      <w:pPr>
        <w:keepNext w:val="0"/>
        <w:keepLines w:val="0"/>
        <w:pageBreakBefore w:val="0"/>
        <w:tabs>
          <w:tab w:val="left" w:pos="3870"/>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、供货人名称必须一致，否则作违约处理，其履约保证金不予退还。</w:t>
      </w:r>
    </w:p>
    <w:p>
      <w:pPr>
        <w:keepNext w:val="0"/>
        <w:keepLines w:val="0"/>
        <w:pageBreakBefore w:val="0"/>
        <w:kinsoku/>
        <w:wordWrap/>
        <w:overflowPunct/>
        <w:topLinePunct w:val="0"/>
        <w:autoSpaceDE w:val="0"/>
        <w:autoSpaceDN w:val="0"/>
        <w:bidi w:val="0"/>
        <w:adjustRightIn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必须按照招标文件及其投标文件规定的时间要求完成供货和施工，如未按期完成，由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按照中标总价的10%进行赔偿，因此造成的任何损失和损伤，一切责任由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负责。</w:t>
      </w:r>
    </w:p>
    <w:p>
      <w:pPr>
        <w:keepNext w:val="0"/>
        <w:keepLines w:val="0"/>
        <w:pageBreakBefore w:val="0"/>
        <w:kinsoku/>
        <w:wordWrap/>
        <w:overflowPunct/>
        <w:topLinePunct w:val="0"/>
        <w:autoSpaceDE w:val="0"/>
        <w:autoSpaceDN w:val="0"/>
        <w:bidi w:val="0"/>
        <w:adjustRightInd w:val="0"/>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(4)投标人拥有相关的技术团队，如</w:t>
      </w:r>
      <w:r>
        <w:rPr>
          <w:rFonts w:hint="eastAsia" w:ascii="仿宋_GB2312" w:hAnsi="仿宋_GB2312" w:eastAsia="仿宋_GB2312" w:cs="仿宋_GB2312"/>
          <w:color w:val="auto"/>
          <w:sz w:val="24"/>
          <w:szCs w:val="24"/>
          <w:highlight w:val="none"/>
        </w:rPr>
        <w:t>项目经理负责人、专业技术负责人员、售后服务管理人员</w:t>
      </w:r>
      <w:r>
        <w:rPr>
          <w:rFonts w:hint="eastAsia" w:ascii="仿宋_GB2312" w:hAnsi="仿宋_GB2312" w:eastAsia="仿宋_GB2312" w:cs="仿宋_GB2312"/>
          <w:color w:val="auto"/>
          <w:sz w:val="24"/>
          <w:szCs w:val="24"/>
          <w:highlight w:val="none"/>
          <w:lang w:val="en-US" w:eastAsia="zh-CN"/>
        </w:rPr>
        <w:t>等，投标人需要提供项目技术团队及其能力说明，提供人员清单、履历、专业技术能力等资料。</w:t>
      </w:r>
    </w:p>
    <w:p>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4.项目实施人员费用</w:t>
      </w:r>
    </w:p>
    <w:p>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应自行承担选派专业人员的住宿、就餐和交通等费用。</w:t>
      </w:r>
    </w:p>
    <w:p>
      <w:pPr>
        <w:kinsoku/>
        <w:wordWrap w:val="0"/>
        <w:overflowPunct/>
        <w:topLinePunct w:val="0"/>
        <w:bidi w:val="0"/>
        <w:snapToGrid w:val="0"/>
        <w:spacing w:line="440" w:lineRule="exact"/>
        <w:jc w:val="left"/>
        <w:rPr>
          <w:rFonts w:hint="eastAsia" w:ascii="仿宋_GB2312" w:hAnsi="宋体" w:eastAsia="仿宋_GB2312"/>
          <w:color w:val="auto"/>
          <w:sz w:val="24"/>
          <w:highlight w:val="none"/>
        </w:rPr>
      </w:pP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5"/>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4" w:name="_Toc22209"/>
      <w:r>
        <w:rPr>
          <w:rFonts w:hint="eastAsia" w:ascii="仿宋" w:hAnsi="仿宋" w:eastAsia="仿宋" w:cs="仿宋"/>
          <w:b/>
          <w:bCs/>
          <w:color w:val="auto"/>
          <w:kern w:val="0"/>
          <w:sz w:val="24"/>
          <w:szCs w:val="20"/>
          <w:highlight w:val="none"/>
        </w:rPr>
        <w:t>第一节 政府采购合同协议书</w:t>
      </w:r>
      <w:bookmarkEnd w:id="44"/>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1"/>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2"/>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3"/>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5" w:name="_Toc27624"/>
      <w:r>
        <w:rPr>
          <w:rFonts w:hint="eastAsia" w:ascii="仿宋" w:hAnsi="仿宋" w:eastAsia="仿宋" w:cs="仿宋"/>
          <w:b/>
          <w:bCs/>
          <w:color w:val="auto"/>
          <w:kern w:val="0"/>
          <w:sz w:val="24"/>
          <w:szCs w:val="20"/>
          <w:highlight w:val="none"/>
        </w:rPr>
        <w:t>政府采购合同通用条款</w:t>
      </w:r>
      <w:bookmarkEnd w:id="45"/>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7"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本项目为防范项目资金使用风险，涉及金额大，由同一供应商中标，存在服务能力、履约能力等方面不满足投标人履行合同的实质性要求的风险。允许投标人同时对2个标项进行投标响应，评标委员会按标项序号从小到大的顺序进行评审和推荐中标候选人，取得标项一中标候选人资格的投标人不再参与标项二的评审，即每个投标人仅可获得1个标项的中标候选人资格。</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053"/>
        <w:gridCol w:w="6495"/>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6" w:type="pct"/>
            <w:noWrap w:val="0"/>
            <w:vAlign w:val="center"/>
          </w:tcPr>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b/>
                <w:bCs/>
                <w:color w:val="auto"/>
                <w:sz w:val="24"/>
                <w:szCs w:val="24"/>
                <w:highlight w:val="none"/>
              </w:rPr>
            </w:pPr>
            <w:r>
              <w:rPr>
                <w:rFonts w:hint="eastAsia" w:ascii="仿宋" w:hAnsi="仿宋" w:eastAsia="仿宋" w:cs="仿宋"/>
                <w:color w:val="auto"/>
                <w:sz w:val="20"/>
                <w:szCs w:val="20"/>
                <w:highlight w:val="none"/>
                <w:shd w:val="clear" w:color="auto" w:fill="FFFFFF"/>
              </w:rPr>
              <w:t> </w:t>
            </w:r>
            <w:r>
              <w:rPr>
                <w:rFonts w:hint="eastAsia" w:ascii="仿宋_GB2312" w:hAnsi="仿宋_GB2312" w:eastAsia="仿宋_GB2312" w:cs="仿宋_GB2312"/>
                <w:b/>
                <w:bCs/>
                <w:color w:val="auto"/>
                <w:sz w:val="24"/>
                <w:szCs w:val="24"/>
                <w:highlight w:val="none"/>
              </w:rPr>
              <w:t>序号</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3541"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评审依据及标准</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36" w:type="pct"/>
            <w:noWrap w:val="0"/>
            <w:vAlign w:val="center"/>
          </w:tcPr>
          <w:p>
            <w:pPr>
              <w:keepNext w:val="0"/>
              <w:keepLines w:val="0"/>
              <w:pageBreakBefore w:val="0"/>
              <w:kinsoku/>
              <w:wordWrap w:val="0"/>
              <w:overflowPunct/>
              <w:topLinePunct w:val="0"/>
              <w:bidi w:val="0"/>
              <w:adjustRightInd w:val="0"/>
              <w:snapToGrid w:val="0"/>
              <w:spacing w:line="440" w:lineRule="exact"/>
              <w:jc w:val="center"/>
              <w:textAlignment w:val="auto"/>
              <w:rPr>
                <w:rFonts w:hint="eastAsia"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lang w:val="en-US" w:eastAsia="zh-CN"/>
              </w:rPr>
              <w:t>1</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技术</w:t>
            </w: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pacing w:val="-6"/>
                <w:sz w:val="24"/>
                <w:szCs w:val="24"/>
                <w:highlight w:val="none"/>
              </w:rPr>
              <w:t>响应</w:t>
            </w:r>
          </w:p>
        </w:tc>
        <w:tc>
          <w:tcPr>
            <w:tcW w:w="3541" w:type="pct"/>
            <w:noWrap w:val="0"/>
            <w:vAlign w:val="center"/>
          </w:tcPr>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color w:val="auto"/>
                <w:kern w:val="2"/>
                <w:sz w:val="24"/>
                <w:szCs w:val="24"/>
                <w:highlight w:val="none"/>
                <w:lang w:val="en-US" w:eastAsia="zh-CN" w:bidi="ar-SA"/>
              </w:rPr>
              <w:t>技术参数响应情况：对应于招标文件第三部分招标项目范围及要求——8.招标项目设备名称及数量——“二、宿舍家具配置参数清单”，完全满足指标参数得11分。打“★”号的性能指标为实质性指标，若出现负偏离作无效标处理；打“▲”为主要性能指标，每有一项负偏离扣1分；其他指标，每有一项负偏离扣0.5分，扣完为止。</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体系</w:t>
            </w: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认证</w:t>
            </w:r>
          </w:p>
        </w:tc>
        <w:tc>
          <w:tcPr>
            <w:tcW w:w="3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根据投标人企业认证证书情况进行打分，提供相关证明并加盖投标人公章。(本项分值设置为3,2,1,0.5,0分)</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36" w:type="pct"/>
            <w:tcBorders>
              <w:top w:val="single" w:color="auto" w:sz="4" w:space="0"/>
            </w:tcBorders>
            <w:noWrap w:val="0"/>
            <w:vAlign w:val="center"/>
          </w:tcPr>
          <w:p>
            <w:pPr>
              <w:keepNext w:val="0"/>
              <w:keepLines w:val="0"/>
              <w:kinsoku/>
              <w:wordWrap/>
              <w:overflowPunct/>
              <w:topLinePunct w:val="0"/>
              <w:bidi w:val="0"/>
              <w:snapToGrid w:val="0"/>
              <w:spacing w:line="30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c>
          <w:tcPr>
            <w:tcW w:w="574" w:type="pct"/>
            <w:tcBorders>
              <w:top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w:t>
            </w:r>
          </w:p>
        </w:tc>
        <w:tc>
          <w:tcPr>
            <w:tcW w:w="3541" w:type="pct"/>
            <w:tcBorders>
              <w:top w:val="single" w:color="auto" w:sz="4" w:space="0"/>
            </w:tcBorders>
            <w:noWrap w:val="0"/>
            <w:vAlign w:val="center"/>
          </w:tcPr>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月1日以来（以合同签订时间为准）完成的同类案例，每有1个得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注：1.每个案例提供合同和验收报告复印件，并加盖投标人公章。</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2.投标产品为省级以上主管部门认定的首台套产品，自纳入《省推广应用指导目录》起三年内参加政府采购活动，视同已具备相应销售业绩，业绩分为满分。</w:t>
            </w:r>
          </w:p>
        </w:tc>
        <w:tc>
          <w:tcPr>
            <w:tcW w:w="447" w:type="pct"/>
            <w:tcBorders>
              <w:top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专利</w:t>
            </w: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情况</w:t>
            </w:r>
          </w:p>
        </w:tc>
        <w:tc>
          <w:tcPr>
            <w:tcW w:w="3541" w:type="pct"/>
            <w:noWrap w:val="0"/>
            <w:vAlign w:val="top"/>
          </w:tcPr>
          <w:p>
            <w:pPr>
              <w:keepNext w:val="0"/>
              <w:keepLines w:val="0"/>
              <w:kinsoku/>
              <w:wordWrap/>
              <w:overflowPunct/>
              <w:topLinePunct w:val="0"/>
              <w:bidi w:val="0"/>
              <w:spacing w:line="300" w:lineRule="exact"/>
              <w:jc w:val="left"/>
              <w:outlineLvl w:val="0"/>
              <w:rPr>
                <w:rFonts w:hint="eastAsia" w:ascii="仿宋_GB2312" w:hAnsi="仿宋_GB2312" w:eastAsia="仿宋_GB2312" w:cs="仿宋_GB2312"/>
                <w:b/>
                <w:bCs/>
                <w:color w:val="auto"/>
                <w:sz w:val="24"/>
                <w:szCs w:val="24"/>
                <w:highlight w:val="none"/>
                <w:lang w:val="zh-TW" w:eastAsia="zh-TW"/>
              </w:rPr>
            </w:pPr>
            <w:r>
              <w:rPr>
                <w:rFonts w:hint="eastAsia" w:ascii="仿宋_GB2312" w:hAnsi="仿宋_GB2312" w:eastAsia="仿宋_GB2312" w:cs="仿宋_GB2312"/>
                <w:color w:val="auto"/>
                <w:sz w:val="24"/>
                <w:szCs w:val="24"/>
                <w:highlight w:val="none"/>
                <w:lang w:val="zh-TW" w:eastAsia="zh-TW"/>
              </w:rPr>
              <w:t>与</w:t>
            </w:r>
            <w:r>
              <w:rPr>
                <w:rFonts w:hint="eastAsia" w:ascii="仿宋_GB2312" w:hAnsi="仿宋_GB2312" w:eastAsia="仿宋_GB2312" w:cs="仿宋_GB2312"/>
                <w:color w:val="auto"/>
                <w:sz w:val="24"/>
                <w:szCs w:val="24"/>
                <w:highlight w:val="none"/>
                <w:lang w:val="zh-TW"/>
              </w:rPr>
              <w:t>本项目</w:t>
            </w:r>
            <w:r>
              <w:rPr>
                <w:rFonts w:hint="eastAsia" w:ascii="仿宋_GB2312" w:hAnsi="仿宋_GB2312" w:eastAsia="仿宋_GB2312" w:cs="仿宋_GB2312"/>
                <w:color w:val="auto"/>
                <w:sz w:val="24"/>
                <w:szCs w:val="24"/>
                <w:highlight w:val="none"/>
                <w:lang w:val="en-US" w:eastAsia="zh-CN"/>
              </w:rPr>
              <w:t>采购产品</w:t>
            </w:r>
            <w:r>
              <w:rPr>
                <w:rFonts w:hint="eastAsia" w:ascii="仿宋_GB2312" w:hAnsi="仿宋_GB2312" w:eastAsia="仿宋_GB2312" w:cs="仿宋_GB2312"/>
                <w:color w:val="auto"/>
                <w:sz w:val="24"/>
                <w:szCs w:val="24"/>
                <w:highlight w:val="none"/>
                <w:lang w:val="zh-TW"/>
              </w:rPr>
              <w:t>（公寓</w:t>
            </w:r>
            <w:r>
              <w:rPr>
                <w:rFonts w:hint="eastAsia" w:ascii="仿宋_GB2312" w:hAnsi="仿宋_GB2312" w:eastAsia="仿宋_GB2312" w:cs="仿宋_GB2312"/>
                <w:color w:val="auto"/>
                <w:sz w:val="24"/>
                <w:szCs w:val="24"/>
                <w:highlight w:val="none"/>
              </w:rPr>
              <w:t>组合</w:t>
            </w:r>
            <w:r>
              <w:rPr>
                <w:rFonts w:hint="eastAsia" w:ascii="仿宋_GB2312" w:hAnsi="仿宋_GB2312" w:eastAsia="仿宋_GB2312" w:cs="仿宋_GB2312"/>
                <w:color w:val="auto"/>
                <w:sz w:val="24"/>
                <w:szCs w:val="24"/>
                <w:highlight w:val="none"/>
                <w:lang w:val="zh-TW"/>
              </w:rPr>
              <w:t>床、单椅、</w:t>
            </w:r>
            <w:r>
              <w:rPr>
                <w:rFonts w:hint="eastAsia" w:ascii="仿宋_GB2312" w:hAnsi="仿宋_GB2312" w:eastAsia="仿宋_GB2312" w:cs="仿宋_GB2312"/>
                <w:color w:val="auto"/>
                <w:sz w:val="24"/>
                <w:szCs w:val="24"/>
                <w:highlight w:val="none"/>
              </w:rPr>
              <w:t>行李柜</w:t>
            </w:r>
            <w:r>
              <w:rPr>
                <w:rFonts w:hint="eastAsia" w:ascii="仿宋_GB2312" w:hAnsi="仿宋_GB2312" w:eastAsia="仿宋_GB2312" w:cs="仿宋_GB2312"/>
                <w:color w:val="auto"/>
                <w:sz w:val="24"/>
                <w:szCs w:val="24"/>
                <w:highlight w:val="none"/>
                <w:lang w:val="zh-TW"/>
              </w:rPr>
              <w:t>）</w:t>
            </w:r>
            <w:r>
              <w:rPr>
                <w:rFonts w:hint="eastAsia" w:ascii="仿宋_GB2312" w:hAnsi="仿宋_GB2312" w:eastAsia="仿宋_GB2312" w:cs="仿宋_GB2312"/>
                <w:color w:val="auto"/>
                <w:sz w:val="24"/>
                <w:szCs w:val="24"/>
                <w:highlight w:val="none"/>
                <w:lang w:val="zh-TW" w:eastAsia="zh-TW"/>
              </w:rPr>
              <w:t>相关的外观、结构、工艺及技术专利 (发明、实用新型、外观设计得分不同，专利须在保护期内)</w:t>
            </w:r>
            <w:r>
              <w:rPr>
                <w:rFonts w:hint="eastAsia" w:ascii="仿宋_GB2312" w:hAnsi="仿宋_GB2312" w:eastAsia="仿宋_GB2312" w:cs="仿宋_GB2312"/>
                <w:color w:val="auto"/>
                <w:sz w:val="24"/>
                <w:szCs w:val="24"/>
                <w:highlight w:val="none"/>
                <w:lang w:val="zh-TW"/>
              </w:rPr>
              <w:t>：</w:t>
            </w:r>
            <w:r>
              <w:rPr>
                <w:rFonts w:hint="eastAsia" w:ascii="仿宋_GB2312" w:hAnsi="仿宋_GB2312" w:eastAsia="仿宋_GB2312" w:cs="仿宋_GB2312"/>
                <w:color w:val="auto"/>
                <w:sz w:val="24"/>
                <w:szCs w:val="24"/>
                <w:highlight w:val="none"/>
                <w:lang w:val="zh-TW" w:eastAsia="zh-TW"/>
              </w:rPr>
              <w:t>每项发明专利得</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TW" w:eastAsia="zh-TW"/>
              </w:rPr>
              <w:t>分，最高得</w:t>
            </w:r>
            <w:r>
              <w:rPr>
                <w:rFonts w:hint="eastAsia" w:ascii="仿宋_GB2312" w:hAnsi="仿宋_GB2312" w:eastAsia="仿宋_GB2312" w:cs="仿宋_GB2312"/>
                <w:color w:val="auto"/>
                <w:sz w:val="24"/>
                <w:szCs w:val="24"/>
                <w:highlight w:val="none"/>
                <w:lang w:val="zh-TW"/>
              </w:rPr>
              <w:t>1</w:t>
            </w:r>
            <w:r>
              <w:rPr>
                <w:rFonts w:hint="eastAsia" w:ascii="仿宋_GB2312" w:hAnsi="仿宋_GB2312" w:eastAsia="仿宋_GB2312" w:cs="仿宋_GB2312"/>
                <w:color w:val="auto"/>
                <w:sz w:val="24"/>
                <w:szCs w:val="24"/>
                <w:highlight w:val="none"/>
                <w:lang w:val="zh-TW" w:eastAsia="zh-TW"/>
              </w:rPr>
              <w:t>分；每项实用新型专利得0.5分，最高得1分；每项外观专利得0.25分，最高得</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TW" w:eastAsia="zh-TW"/>
              </w:rPr>
              <w:t>分。提供专利证书复印件</w:t>
            </w:r>
            <w:r>
              <w:rPr>
                <w:rFonts w:hint="eastAsia" w:ascii="仿宋_GB2312" w:hAnsi="仿宋_GB2312" w:eastAsia="仿宋_GB2312" w:cs="仿宋_GB2312"/>
                <w:color w:val="auto"/>
                <w:sz w:val="24"/>
                <w:szCs w:val="24"/>
                <w:highlight w:val="none"/>
                <w:lang w:val="zh-TW"/>
              </w:rPr>
              <w:t>，</w:t>
            </w:r>
            <w:r>
              <w:rPr>
                <w:rFonts w:hint="eastAsia" w:ascii="仿宋_GB2312" w:hAnsi="仿宋_GB2312" w:eastAsia="仿宋_GB2312" w:cs="仿宋_GB2312"/>
                <w:color w:val="auto"/>
                <w:sz w:val="24"/>
                <w:szCs w:val="24"/>
                <w:highlight w:val="none"/>
                <w:lang w:val="zh-TW" w:eastAsia="zh-TW"/>
              </w:rPr>
              <w:t>本项合计最</w:t>
            </w:r>
            <w:r>
              <w:rPr>
                <w:rFonts w:hint="eastAsia" w:ascii="仿宋_GB2312" w:hAnsi="仿宋_GB2312" w:eastAsia="仿宋_GB2312" w:cs="仿宋_GB2312"/>
                <w:color w:val="auto"/>
                <w:sz w:val="24"/>
                <w:szCs w:val="24"/>
                <w:highlight w:val="none"/>
                <w:lang w:val="en-US" w:eastAsia="zh-CN"/>
              </w:rPr>
              <w:t>多</w:t>
            </w:r>
            <w:r>
              <w:rPr>
                <w:rFonts w:hint="eastAsia" w:ascii="仿宋_GB2312" w:hAnsi="仿宋_GB2312" w:eastAsia="仿宋_GB2312" w:cs="仿宋_GB2312"/>
                <w:color w:val="auto"/>
                <w:sz w:val="24"/>
                <w:szCs w:val="24"/>
                <w:highlight w:val="none"/>
                <w:lang w:val="zh-TW" w:eastAsia="zh-TW"/>
              </w:rPr>
              <w:t>得3分</w:t>
            </w:r>
            <w:r>
              <w:rPr>
                <w:rFonts w:hint="eastAsia" w:ascii="仿宋_GB2312" w:hAnsi="仿宋_GB2312" w:eastAsia="仿宋_GB2312" w:cs="仿宋_GB2312"/>
                <w:color w:val="auto"/>
                <w:sz w:val="24"/>
                <w:szCs w:val="24"/>
                <w:highlight w:val="none"/>
                <w:lang w:val="zh-TW" w:eastAsia="zh-CN"/>
              </w:rPr>
              <w:t>。</w:t>
            </w:r>
            <w:r>
              <w:rPr>
                <w:rFonts w:hint="eastAsia" w:ascii="仿宋_GB2312" w:hAnsi="仿宋_GB2312" w:eastAsia="仿宋_GB2312" w:cs="仿宋_GB2312"/>
                <w:b/>
                <w:bCs/>
                <w:color w:val="auto"/>
                <w:sz w:val="24"/>
                <w:szCs w:val="24"/>
                <w:highlight w:val="none"/>
                <w:lang w:val="zh-TW" w:eastAsia="zh-CN"/>
              </w:rPr>
              <w:t>（</w:t>
            </w:r>
            <w:r>
              <w:rPr>
                <w:rFonts w:hint="eastAsia" w:ascii="仿宋_GB2312" w:hAnsi="仿宋_GB2312" w:eastAsia="仿宋_GB2312" w:cs="仿宋_GB2312"/>
                <w:b/>
                <w:bCs/>
                <w:color w:val="auto"/>
                <w:sz w:val="24"/>
                <w:szCs w:val="24"/>
                <w:highlight w:val="none"/>
                <w:lang w:val="en-US" w:eastAsia="zh-CN"/>
              </w:rPr>
              <w:t>仅提供单一采购产品证书的，本项得分最多得2分。</w:t>
            </w:r>
            <w:r>
              <w:rPr>
                <w:rFonts w:hint="eastAsia" w:ascii="仿宋_GB2312" w:hAnsi="仿宋_GB2312" w:eastAsia="仿宋_GB2312" w:cs="仿宋_GB2312"/>
                <w:b/>
                <w:bCs/>
                <w:color w:val="auto"/>
                <w:sz w:val="24"/>
                <w:szCs w:val="24"/>
                <w:highlight w:val="none"/>
                <w:lang w:val="zh-TW" w:eastAsia="zh-CN"/>
              </w:rPr>
              <w:t>）</w:t>
            </w:r>
          </w:p>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w:t>
            </w:r>
            <w:r>
              <w:rPr>
                <w:rFonts w:hint="eastAsia" w:ascii="仿宋_GB2312" w:hAnsi="仿宋_GB2312" w:eastAsia="仿宋_GB2312" w:cs="仿宋_GB2312"/>
                <w:b/>
                <w:bCs/>
                <w:color w:val="auto"/>
                <w:sz w:val="24"/>
                <w:szCs w:val="24"/>
                <w:highlight w:val="none"/>
                <w:lang w:val="zh-TW" w:eastAsia="zh-TW"/>
              </w:rPr>
              <w:t>投标文件提供相关</w:t>
            </w:r>
            <w:r>
              <w:rPr>
                <w:rFonts w:hint="eastAsia" w:ascii="仿宋_GB2312" w:hAnsi="仿宋_GB2312" w:eastAsia="仿宋_GB2312" w:cs="仿宋_GB2312"/>
                <w:b/>
                <w:bCs/>
                <w:color w:val="auto"/>
                <w:sz w:val="24"/>
                <w:szCs w:val="24"/>
                <w:highlight w:val="none"/>
              </w:rPr>
              <w:t>专利</w:t>
            </w:r>
            <w:r>
              <w:rPr>
                <w:rFonts w:hint="eastAsia" w:ascii="仿宋_GB2312" w:hAnsi="仿宋_GB2312" w:eastAsia="仿宋_GB2312" w:cs="仿宋_GB2312"/>
                <w:b/>
                <w:bCs/>
                <w:color w:val="auto"/>
                <w:sz w:val="24"/>
                <w:szCs w:val="24"/>
                <w:highlight w:val="none"/>
                <w:lang w:val="zh-TW" w:eastAsia="zh-TW"/>
              </w:rPr>
              <w:t>证书复印件加盖投标人公章，未提供不得分。</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生产</w:t>
            </w: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w:t>
            </w:r>
          </w:p>
        </w:tc>
        <w:tc>
          <w:tcPr>
            <w:tcW w:w="3541" w:type="pct"/>
            <w:noWrap w:val="0"/>
            <w:vAlign w:val="center"/>
          </w:tcPr>
          <w:p>
            <w:pPr>
              <w:keepNext w:val="0"/>
              <w:keepLines w:val="0"/>
              <w:tabs>
                <w:tab w:val="left" w:pos="720"/>
              </w:tabs>
              <w:kinsoku/>
              <w:wordWrap/>
              <w:overflowPunct/>
              <w:topLinePunct w:val="0"/>
              <w:autoSpaceDE w:val="0"/>
              <w:autoSpaceDN w:val="0"/>
              <w:bidi w:val="0"/>
              <w:snapToGrid w:val="0"/>
              <w:spacing w:line="300" w:lineRule="exact"/>
              <w:jc w:val="lef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投标人或制造商自有生产设备数量，根据提供的清单进行打分： </w:t>
            </w:r>
          </w:p>
          <w:p>
            <w:pPr>
              <w:keepNext w:val="0"/>
              <w:keepLines w:val="0"/>
              <w:tabs>
                <w:tab w:val="left" w:pos="720"/>
              </w:tabs>
              <w:kinsoku/>
              <w:wordWrap/>
              <w:overflowPunct/>
              <w:topLinePunct w:val="0"/>
              <w:autoSpaceDE w:val="0"/>
              <w:autoSpaceDN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1.金属加工设备：光纤激光切割机、全自动切管机、金属圆锯机、弯管机、单弯机、单头倒角机、滚圆机、压力机、焊接机器人工作站、焊接机器人、冲床、半自动金属圆锯机</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2.金属表面处理设备：钢制家具喷涂生产线或油漆生产线、快速换色粉房或喷漆房、抛丸机</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3.木制加工设备：电脑裁板锯、液压升降台、加工中心、六面数控钻孔中心、多排多轴钻、自动封边机、手动封边机、双排银管亚移输送机、冷压机、推台锯</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p>
          <w:p>
            <w:pPr>
              <w:keepNext w:val="0"/>
              <w:keepLines w:val="0"/>
              <w:tabs>
                <w:tab w:val="left" w:pos="720"/>
              </w:tabs>
              <w:kinsoku/>
              <w:wordWrap/>
              <w:overflowPunct/>
              <w:topLinePunct w:val="0"/>
              <w:autoSpaceDE w:val="0"/>
              <w:autoSpaceDN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4.污染防治设备：污染防治设备(废水废气工程) 、污染防治设备(涂装废水处理设备)</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。满足1项得0.5分，最高得1分。</w:t>
            </w:r>
          </w:p>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注：</w:t>
            </w:r>
            <w:r>
              <w:rPr>
                <w:rFonts w:hint="eastAsia" w:ascii="仿宋_GB2312" w:hAnsi="仿宋_GB2312" w:eastAsia="仿宋_GB2312" w:cs="仿宋_GB2312"/>
                <w:color w:val="auto"/>
                <w:sz w:val="24"/>
                <w:szCs w:val="24"/>
                <w:highlight w:val="none"/>
              </w:rPr>
              <w:t>投标人在投标文件中需提供设备发票复印件（抬头名称是投标人或制造商）、设备现场照片</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发票、照片缺一不可，未提供不得分</w:t>
            </w:r>
            <w:r>
              <w:rPr>
                <w:rFonts w:hint="eastAsia" w:ascii="仿宋_GB2312" w:hAnsi="仿宋_GB2312" w:eastAsia="仿宋_GB2312" w:cs="仿宋_GB2312"/>
                <w:color w:val="auto"/>
                <w:sz w:val="24"/>
                <w:szCs w:val="24"/>
                <w:highlight w:val="none"/>
                <w:lang w:eastAsia="zh-CN"/>
              </w:rPr>
              <w:t>。</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6</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w:t>
            </w: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z w:val="24"/>
                <w:szCs w:val="24"/>
                <w:highlight w:val="none"/>
              </w:rPr>
              <w:t>团队</w:t>
            </w:r>
          </w:p>
        </w:tc>
        <w:tc>
          <w:tcPr>
            <w:tcW w:w="3541" w:type="pct"/>
            <w:noWrap w:val="0"/>
            <w:vAlign w:val="center"/>
          </w:tcPr>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w:t>
            </w:r>
            <w:r>
              <w:rPr>
                <w:rFonts w:hint="eastAsia" w:ascii="仿宋_GB2312" w:hAnsi="仿宋_GB2312" w:eastAsia="仿宋_GB2312" w:cs="仿宋_GB2312"/>
                <w:color w:val="auto"/>
                <w:sz w:val="24"/>
                <w:szCs w:val="24"/>
                <w:highlight w:val="none"/>
                <w:lang w:val="en-US" w:eastAsia="zh-CN"/>
              </w:rPr>
              <w:t>拟派</w:t>
            </w:r>
            <w:r>
              <w:rPr>
                <w:rFonts w:hint="eastAsia" w:ascii="仿宋_GB2312" w:hAnsi="仿宋_GB2312" w:eastAsia="仿宋_GB2312" w:cs="仿宋_GB2312"/>
                <w:color w:val="auto"/>
                <w:sz w:val="24"/>
                <w:szCs w:val="24"/>
                <w:highlight w:val="none"/>
              </w:rPr>
              <w:t>技术团队实力：项目经理负责人、专业技术负责人员、售后服务管理人员的</w:t>
            </w:r>
            <w:r>
              <w:rPr>
                <w:rFonts w:hint="eastAsia" w:ascii="仿宋_GB2312" w:hAnsi="仿宋_GB2312" w:eastAsia="仿宋_GB2312" w:cs="仿宋_GB2312"/>
                <w:color w:val="auto"/>
                <w:sz w:val="24"/>
                <w:szCs w:val="24"/>
                <w:highlight w:val="none"/>
                <w:lang w:val="en-US" w:eastAsia="zh-CN"/>
              </w:rPr>
              <w:t>证书情况</w:t>
            </w:r>
            <w:r>
              <w:rPr>
                <w:rFonts w:hint="eastAsia" w:ascii="仿宋_GB2312" w:hAnsi="仿宋_GB2312" w:eastAsia="仿宋_GB2312" w:cs="仿宋_GB2312"/>
                <w:color w:val="auto"/>
                <w:sz w:val="24"/>
                <w:szCs w:val="24"/>
                <w:highlight w:val="none"/>
              </w:rPr>
              <w:t>、职称</w:t>
            </w:r>
            <w:r>
              <w:rPr>
                <w:rFonts w:hint="eastAsia" w:ascii="仿宋_GB2312" w:hAnsi="仿宋_GB2312" w:eastAsia="仿宋_GB2312" w:cs="仿宋_GB2312"/>
                <w:color w:val="auto"/>
                <w:sz w:val="24"/>
                <w:szCs w:val="24"/>
                <w:highlight w:val="none"/>
                <w:lang w:val="en-US" w:eastAsia="zh-CN"/>
              </w:rPr>
              <w:t>情况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资质</w:t>
            </w:r>
            <w:r>
              <w:rPr>
                <w:rFonts w:hint="eastAsia" w:ascii="仿宋_GB2312" w:hAnsi="仿宋_GB2312" w:eastAsia="仿宋_GB2312" w:cs="仿宋_GB2312"/>
                <w:color w:val="auto"/>
                <w:sz w:val="24"/>
                <w:szCs w:val="24"/>
                <w:highlight w:val="none"/>
              </w:rPr>
              <w:t>等内容</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打分。(本项分值设置为3,2,1,0.5,0分)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注：</w:t>
            </w:r>
            <w:r>
              <w:rPr>
                <w:rFonts w:hint="eastAsia" w:ascii="仿宋_GB2312" w:hAnsi="仿宋_GB2312" w:eastAsia="仿宋_GB2312" w:cs="仿宋_GB2312"/>
                <w:b/>
                <w:bCs/>
                <w:color w:val="auto"/>
                <w:sz w:val="24"/>
                <w:szCs w:val="24"/>
                <w:highlight w:val="none"/>
              </w:rPr>
              <w:t>投标人在投标文件中需提供以上人员</w:t>
            </w:r>
            <w:r>
              <w:rPr>
                <w:rFonts w:hint="eastAsia" w:ascii="仿宋_GB2312" w:hAnsi="仿宋_GB2312" w:eastAsia="仿宋_GB2312" w:cs="仿宋_GB2312"/>
                <w:b/>
                <w:bCs/>
                <w:color w:val="auto"/>
                <w:sz w:val="24"/>
                <w:szCs w:val="24"/>
                <w:highlight w:val="none"/>
                <w:lang w:val="en-US" w:eastAsia="zh-CN"/>
              </w:rPr>
              <w:t>本单位社保缴纳证明复印件加盖投标人公章。</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7</w:t>
            </w:r>
          </w:p>
        </w:tc>
        <w:tc>
          <w:tcPr>
            <w:tcW w:w="574" w:type="pct"/>
            <w:noWrap w:val="0"/>
            <w:vAlign w:val="center"/>
          </w:tcPr>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成品检测报告</w:t>
            </w:r>
          </w:p>
        </w:tc>
        <w:tc>
          <w:tcPr>
            <w:tcW w:w="3541" w:type="pct"/>
            <w:noWrap w:val="0"/>
            <w:vAlign w:val="center"/>
          </w:tcPr>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投标人提供（投标截止日期前一年内），具备</w:t>
            </w:r>
            <w:r>
              <w:rPr>
                <w:rFonts w:ascii="仿宋_GB2312" w:hAnsi="仿宋_GB2312" w:eastAsia="仿宋_GB2312" w:cs="仿宋_GB2312"/>
                <w:color w:val="auto"/>
                <w:sz w:val="24"/>
                <w:highlight w:val="none"/>
              </w:rPr>
              <w:t>CMA</w:t>
            </w:r>
            <w:r>
              <w:rPr>
                <w:rFonts w:hint="eastAsia" w:ascii="仿宋_GB2312" w:hAnsi="仿宋_GB2312" w:eastAsia="仿宋_GB2312" w:cs="仿宋_GB2312"/>
                <w:color w:val="auto"/>
                <w:sz w:val="24"/>
                <w:highlight w:val="none"/>
              </w:rPr>
              <w:t>资质的第三方检测机构出具的带有</w:t>
            </w:r>
            <w:r>
              <w:rPr>
                <w:rFonts w:ascii="仿宋_GB2312" w:hAnsi="仿宋_GB2312" w:eastAsia="仿宋_GB2312" w:cs="仿宋_GB2312"/>
                <w:color w:val="auto"/>
                <w:sz w:val="24"/>
                <w:highlight w:val="none"/>
              </w:rPr>
              <w:t>CMA</w:t>
            </w:r>
            <w:r>
              <w:rPr>
                <w:rFonts w:hint="eastAsia" w:ascii="仿宋_GB2312" w:hAnsi="仿宋_GB2312" w:eastAsia="仿宋_GB2312" w:cs="仿宋_GB2312"/>
                <w:color w:val="auto"/>
                <w:sz w:val="24"/>
                <w:highlight w:val="none"/>
                <w:lang w:val="en-US" w:eastAsia="zh-CN"/>
              </w:rPr>
              <w:t>或</w:t>
            </w:r>
            <w:r>
              <w:rPr>
                <w:rFonts w:ascii="仿宋_GB2312" w:hAnsi="仿宋_GB2312" w:eastAsia="仿宋_GB2312" w:cs="仿宋_GB2312"/>
                <w:color w:val="auto"/>
                <w:sz w:val="24"/>
                <w:highlight w:val="none"/>
              </w:rPr>
              <w:t>CNAS</w:t>
            </w:r>
            <w:r>
              <w:rPr>
                <w:rFonts w:hint="eastAsia" w:ascii="仿宋_GB2312" w:hAnsi="仿宋_GB2312" w:eastAsia="仿宋_GB2312" w:cs="仿宋_GB2312"/>
                <w:color w:val="auto"/>
                <w:sz w:val="24"/>
                <w:highlight w:val="none"/>
              </w:rPr>
              <w:t>标志的“公寓组合床”、“单椅”以及“行李柜”的成品检测报告：</w:t>
            </w:r>
          </w:p>
          <w:p>
            <w:pPr>
              <w:snapToGrid w:val="0"/>
              <w:spacing w:line="300" w:lineRule="exact"/>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r>
              <w:rPr>
                <w:rFonts w:hint="eastAsia" w:ascii="仿宋_GB2312" w:hAnsi="仿宋_GB2312" w:eastAsia="仿宋_GB2312" w:cs="仿宋_GB2312"/>
                <w:b/>
                <w:color w:val="auto"/>
                <w:sz w:val="24"/>
                <w:highlight w:val="none"/>
              </w:rPr>
              <w:t>公寓组合床</w:t>
            </w:r>
            <w:r>
              <w:rPr>
                <w:rFonts w:hint="eastAsia" w:ascii="仿宋_GB2312" w:hAnsi="仿宋_GB2312" w:eastAsia="仿宋_GB2312" w:cs="仿宋_GB2312"/>
                <w:color w:val="auto"/>
                <w:sz w:val="24"/>
                <w:highlight w:val="none"/>
              </w:rPr>
              <w:t>：</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检测依据为</w:t>
            </w:r>
            <w:r>
              <w:rPr>
                <w:rFonts w:ascii="仿宋_GB2312" w:hAnsi="仿宋_GB2312" w:eastAsia="仿宋_GB2312" w:cs="仿宋_GB2312"/>
                <w:color w:val="auto"/>
                <w:sz w:val="24"/>
                <w:highlight w:val="none"/>
              </w:rPr>
              <w:t>QB/T2741-2013</w:t>
            </w:r>
            <w:r>
              <w:rPr>
                <w:rFonts w:hint="eastAsia" w:ascii="仿宋_GB2312" w:hAnsi="仿宋_GB2312" w:eastAsia="仿宋_GB2312" w:cs="仿宋_GB2312"/>
                <w:color w:val="auto"/>
                <w:sz w:val="24"/>
                <w:highlight w:val="none"/>
              </w:rPr>
              <w:t>《学生公寓多功能家具》、</w:t>
            </w:r>
            <w:r>
              <w:rPr>
                <w:rFonts w:ascii="仿宋_GB2312" w:hAnsi="仿宋_GB2312" w:eastAsia="仿宋_GB2312" w:cs="仿宋_GB2312"/>
                <w:color w:val="auto"/>
                <w:sz w:val="24"/>
                <w:highlight w:val="none"/>
              </w:rPr>
              <w:t>GB20286-2006</w:t>
            </w:r>
            <w:r>
              <w:rPr>
                <w:rFonts w:hint="eastAsia" w:ascii="仿宋_GB2312" w:hAnsi="仿宋_GB2312" w:eastAsia="仿宋_GB2312" w:cs="仿宋_GB2312"/>
                <w:color w:val="auto"/>
                <w:sz w:val="24"/>
                <w:highlight w:val="none"/>
              </w:rPr>
              <w:t>《公共场所阻燃制品及组件燃烧性能要求和标识》</w:t>
            </w:r>
            <w:r>
              <w:rPr>
                <w:rFonts w:hint="eastAsia" w:ascii="仿宋_GB2312" w:hAnsi="仿宋_GB2312" w:eastAsia="仿宋_GB2312" w:cs="仿宋_GB2312"/>
                <w:color w:val="auto"/>
                <w:sz w:val="24"/>
                <w:highlight w:val="none"/>
                <w:lang w:eastAsia="zh-CN"/>
              </w:rPr>
              <w:t>、QB/T4371-2012《家具抗菌性能的评价》</w:t>
            </w:r>
            <w:r>
              <w:rPr>
                <w:rFonts w:hint="eastAsia" w:ascii="仿宋_GB2312" w:hAnsi="仿宋_GB2312" w:eastAsia="仿宋_GB2312" w:cs="仿宋_GB2312"/>
                <w:color w:val="auto"/>
                <w:sz w:val="24"/>
                <w:highlight w:val="none"/>
              </w:rPr>
              <w:t>全项目委托抽样检测报告。其中核心参数要求：</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阻燃等级</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级，其中热释放速率峰值≤</w:t>
            </w:r>
            <w:r>
              <w:rPr>
                <w:rFonts w:ascii="仿宋_GB2312" w:hAnsi="仿宋_GB2312" w:eastAsia="仿宋_GB2312" w:cs="仿宋_GB2312"/>
                <w:color w:val="auto"/>
                <w:sz w:val="24"/>
                <w:highlight w:val="none"/>
              </w:rPr>
              <w:t>150KW</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5min</w:t>
            </w:r>
            <w:r>
              <w:rPr>
                <w:rFonts w:hint="eastAsia" w:ascii="仿宋_GB2312" w:hAnsi="仿宋_GB2312" w:eastAsia="仿宋_GB2312" w:cs="仿宋_GB2312"/>
                <w:color w:val="auto"/>
                <w:sz w:val="24"/>
                <w:highlight w:val="none"/>
              </w:rPr>
              <w:t>内放出的总能力≤</w:t>
            </w:r>
            <w:r>
              <w:rPr>
                <w:rFonts w:ascii="仿宋_GB2312" w:hAnsi="仿宋_GB2312" w:eastAsia="仿宋_GB2312" w:cs="仿宋_GB2312"/>
                <w:color w:val="auto"/>
                <w:sz w:val="24"/>
                <w:highlight w:val="none"/>
              </w:rPr>
              <w:t>30MJ</w:t>
            </w:r>
            <w:r>
              <w:rPr>
                <w:rFonts w:hint="eastAsia" w:ascii="仿宋_GB2312" w:hAnsi="仿宋_GB2312" w:eastAsia="仿宋_GB2312" w:cs="仿宋_GB2312"/>
                <w:color w:val="auto"/>
                <w:sz w:val="24"/>
                <w:highlight w:val="none"/>
              </w:rPr>
              <w:t>；最大烟密度≤</w:t>
            </w:r>
            <w:r>
              <w:rPr>
                <w:rFonts w:ascii="仿宋_GB2312" w:hAnsi="仿宋_GB2312" w:eastAsia="仿宋_GB2312" w:cs="仿宋_GB2312"/>
                <w:color w:val="auto"/>
                <w:sz w:val="24"/>
                <w:highlight w:val="none"/>
              </w:rPr>
              <w:t>75%</w:t>
            </w:r>
            <w:r>
              <w:rPr>
                <w:rFonts w:hint="eastAsia" w:ascii="仿宋_GB2312" w:hAnsi="仿宋_GB2312" w:eastAsia="仿宋_GB2312" w:cs="仿宋_GB2312"/>
                <w:color w:val="auto"/>
                <w:sz w:val="24"/>
                <w:highlight w:val="none"/>
              </w:rPr>
              <w:t>；</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rPr>
              <w:t>）甲醛释放量≤</w:t>
            </w:r>
            <w:r>
              <w:rPr>
                <w:rFonts w:ascii="仿宋_GB2312" w:hAnsi="仿宋_GB2312" w:eastAsia="仿宋_GB2312" w:cs="仿宋_GB2312"/>
                <w:color w:val="auto"/>
                <w:sz w:val="24"/>
                <w:highlight w:val="none"/>
              </w:rPr>
              <w:t>0.5 mg/L</w:t>
            </w:r>
            <w:r>
              <w:rPr>
                <w:rFonts w:hint="eastAsia" w:ascii="仿宋_GB2312" w:hAnsi="仿宋_GB2312" w:eastAsia="仿宋_GB2312" w:cs="仿宋_GB2312"/>
                <w:color w:val="auto"/>
                <w:sz w:val="24"/>
                <w:highlight w:val="none"/>
              </w:rPr>
              <w:t>；</w:t>
            </w:r>
          </w:p>
          <w:p>
            <w:pPr>
              <w:snapToGrid w:val="0"/>
              <w:spacing w:line="30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rPr>
              <w:t>）力学性能检测项目至少包含：桌类、柜类、床类、书架、扶梯、安全栏，并符合相应要求；</w:t>
            </w:r>
          </w:p>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cs="仿宋_GB2312"/>
                <w:color w:val="auto"/>
                <w:sz w:val="24"/>
                <w:highlight w:val="none"/>
                <w:lang w:eastAsia="zh-CN"/>
              </w:rPr>
              <w:t>（</w:t>
            </w:r>
            <w:r>
              <w:rPr>
                <w:rFonts w:hint="eastAsia" w:ascii="仿宋_GB2312" w:hAnsi="仿宋_GB2312" w:cs="仿宋_GB2312"/>
                <w:color w:val="auto"/>
                <w:sz w:val="24"/>
                <w:highlight w:val="none"/>
                <w:lang w:val="en-US" w:eastAsia="zh-CN"/>
              </w:rPr>
              <w:t>4</w:t>
            </w:r>
            <w:r>
              <w:rPr>
                <w:rFonts w:hint="eastAsia" w:ascii="仿宋_GB2312" w:hAnsi="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抗菌性能：大肠杆菌（培养24h）抑菌率≥99%。</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每满足</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项得</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分，全部满足的得</w:t>
            </w:r>
            <w:r>
              <w:rPr>
                <w:rFonts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rPr>
              <w:t>分，不满足或不提供不得分。</w:t>
            </w:r>
          </w:p>
          <w:p>
            <w:pPr>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2.</w:t>
            </w:r>
            <w:r>
              <w:rPr>
                <w:rFonts w:hint="eastAsia" w:ascii="仿宋_GB2312" w:hAnsi="仿宋_GB2312" w:eastAsia="仿宋_GB2312" w:cs="仿宋_GB2312"/>
                <w:b/>
                <w:bCs/>
                <w:color w:val="auto"/>
                <w:sz w:val="24"/>
                <w:highlight w:val="none"/>
              </w:rPr>
              <w:t>单椅：</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检测依据为</w:t>
            </w:r>
            <w:r>
              <w:rPr>
                <w:rFonts w:ascii="仿宋_GB2312" w:hAnsi="仿宋_GB2312" w:eastAsia="仿宋_GB2312" w:cs="仿宋_GB2312"/>
                <w:color w:val="auto"/>
                <w:sz w:val="24"/>
                <w:highlight w:val="none"/>
              </w:rPr>
              <w:t xml:space="preserve"> GB/T32487-2016</w:t>
            </w:r>
            <w:r>
              <w:rPr>
                <w:rFonts w:hint="eastAsia" w:ascii="仿宋_GB2312" w:hAnsi="仿宋_GB2312" w:eastAsia="仿宋_GB2312" w:cs="仿宋_GB2312"/>
                <w:color w:val="auto"/>
                <w:sz w:val="24"/>
                <w:highlight w:val="none"/>
              </w:rPr>
              <w:t>《塑料家具通用技术条件》、</w:t>
            </w:r>
            <w:r>
              <w:rPr>
                <w:rFonts w:ascii="仿宋_GB2312" w:hAnsi="仿宋_GB2312" w:eastAsia="仿宋_GB2312" w:cs="仿宋_GB2312"/>
                <w:color w:val="auto"/>
                <w:sz w:val="24"/>
                <w:highlight w:val="none"/>
              </w:rPr>
              <w:t xml:space="preserve"> GB20286-2006</w:t>
            </w:r>
            <w:r>
              <w:rPr>
                <w:rFonts w:hint="eastAsia" w:ascii="仿宋_GB2312" w:hAnsi="仿宋_GB2312" w:eastAsia="仿宋_GB2312" w:cs="仿宋_GB2312"/>
                <w:color w:val="auto"/>
                <w:sz w:val="24"/>
                <w:highlight w:val="none"/>
              </w:rPr>
              <w:t>《公共场所阻燃制品及组件燃烧性能要求和标识》全项目委托抽样检测报告。</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其中核心参数要求：</w:t>
            </w:r>
            <w:r>
              <w:rPr>
                <w:rFonts w:hint="eastAsia" w:ascii="仿宋_GB2312" w:hAnsi="仿宋_GB2312" w:eastAsia="仿宋_GB2312" w:cs="仿宋_GB2312"/>
                <w:color w:val="auto"/>
                <w:sz w:val="24"/>
                <w:highlight w:val="none"/>
              </w:rPr>
              <w:t>阻燃等级</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级，其中热释放速率峰值≤</w:t>
            </w:r>
            <w:r>
              <w:rPr>
                <w:rFonts w:ascii="仿宋_GB2312" w:hAnsi="仿宋_GB2312" w:eastAsia="仿宋_GB2312" w:cs="仿宋_GB2312"/>
                <w:color w:val="auto"/>
                <w:sz w:val="24"/>
                <w:highlight w:val="none"/>
              </w:rPr>
              <w:t>150KW</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5min</w:t>
            </w:r>
            <w:r>
              <w:rPr>
                <w:rFonts w:hint="eastAsia" w:ascii="仿宋_GB2312" w:hAnsi="仿宋_GB2312" w:eastAsia="仿宋_GB2312" w:cs="仿宋_GB2312"/>
                <w:color w:val="auto"/>
                <w:sz w:val="24"/>
                <w:highlight w:val="none"/>
              </w:rPr>
              <w:t>内放出的总能力≤</w:t>
            </w:r>
            <w:r>
              <w:rPr>
                <w:rFonts w:ascii="仿宋_GB2312" w:hAnsi="仿宋_GB2312" w:eastAsia="仿宋_GB2312" w:cs="仿宋_GB2312"/>
                <w:color w:val="auto"/>
                <w:sz w:val="24"/>
                <w:highlight w:val="none"/>
              </w:rPr>
              <w:t>30MJ</w:t>
            </w:r>
            <w:r>
              <w:rPr>
                <w:rFonts w:hint="eastAsia" w:ascii="仿宋_GB2312" w:hAnsi="仿宋_GB2312" w:eastAsia="仿宋_GB2312" w:cs="仿宋_GB2312"/>
                <w:color w:val="auto"/>
                <w:sz w:val="24"/>
                <w:highlight w:val="none"/>
              </w:rPr>
              <w:t>；最大烟密度≤</w:t>
            </w:r>
            <w:r>
              <w:rPr>
                <w:rFonts w:ascii="仿宋_GB2312" w:hAnsi="仿宋_GB2312" w:eastAsia="仿宋_GB2312" w:cs="仿宋_GB2312"/>
                <w:color w:val="auto"/>
                <w:sz w:val="24"/>
                <w:highlight w:val="none"/>
              </w:rPr>
              <w:t>75%</w:t>
            </w:r>
            <w:r>
              <w:rPr>
                <w:rFonts w:hint="eastAsia" w:ascii="仿宋_GB2312" w:hAnsi="仿宋_GB2312" w:eastAsia="仿宋_GB2312" w:cs="仿宋_GB2312"/>
                <w:color w:val="auto"/>
                <w:sz w:val="24"/>
                <w:highlight w:val="none"/>
              </w:rPr>
              <w:t>；甲醛释放量≤</w:t>
            </w:r>
            <w:r>
              <w:rPr>
                <w:rFonts w:ascii="仿宋_GB2312" w:hAnsi="仿宋_GB2312" w:eastAsia="仿宋_GB2312" w:cs="仿宋_GB2312"/>
                <w:color w:val="auto"/>
                <w:sz w:val="24"/>
                <w:highlight w:val="none"/>
              </w:rPr>
              <w:t>0.5 mg/L</w:t>
            </w:r>
            <w:r>
              <w:rPr>
                <w:rFonts w:hint="eastAsia" w:ascii="仿宋_GB2312" w:hAnsi="仿宋_GB2312" w:eastAsia="仿宋_GB2312" w:cs="仿宋_GB2312"/>
                <w:color w:val="auto"/>
                <w:sz w:val="24"/>
                <w:highlight w:val="none"/>
              </w:rPr>
              <w:t>；耐老化性：室内用</w:t>
            </w:r>
            <w:r>
              <w:rPr>
                <w:rFonts w:ascii="仿宋_GB2312" w:hAnsi="仿宋_GB2312" w:eastAsia="仿宋_GB2312" w:cs="仿宋_GB2312"/>
                <w:color w:val="auto"/>
                <w:sz w:val="24"/>
                <w:highlight w:val="none"/>
              </w:rPr>
              <w:t>500h,</w:t>
            </w:r>
            <w:r>
              <w:rPr>
                <w:rFonts w:hint="eastAsia" w:ascii="仿宋_GB2312" w:hAnsi="仿宋_GB2312" w:eastAsia="仿宋_GB2312" w:cs="仿宋_GB2312"/>
                <w:color w:val="auto"/>
                <w:sz w:val="24"/>
                <w:highlight w:val="none"/>
              </w:rPr>
              <w:t>冲击强度的保持率≥</w:t>
            </w:r>
            <w:r>
              <w:rPr>
                <w:rFonts w:ascii="仿宋_GB2312" w:hAnsi="仿宋_GB2312" w:eastAsia="仿宋_GB2312" w:cs="仿宋_GB2312"/>
                <w:color w:val="auto"/>
                <w:sz w:val="24"/>
                <w:highlight w:val="none"/>
              </w:rPr>
              <w:t>60%</w:t>
            </w:r>
            <w:r>
              <w:rPr>
                <w:rFonts w:hint="eastAsia" w:ascii="仿宋_GB2312" w:hAnsi="仿宋_GB2312" w:eastAsia="仿宋_GB2312" w:cs="仿宋_GB2312"/>
                <w:color w:val="auto"/>
                <w:sz w:val="24"/>
                <w:highlight w:val="none"/>
              </w:rPr>
              <w:t>，外观颜色变色评级≥</w:t>
            </w:r>
            <w:r>
              <w:rPr>
                <w:rFonts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rPr>
              <w:t>级。</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满足的得</w:t>
            </w:r>
            <w:r>
              <w:rPr>
                <w:rFonts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rPr>
              <w:t>分，不满足或不提供不得分。</w:t>
            </w:r>
          </w:p>
          <w:p>
            <w:pPr>
              <w:snapToGrid w:val="0"/>
              <w:spacing w:line="300" w:lineRule="exact"/>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r>
              <w:rPr>
                <w:rFonts w:hint="eastAsia" w:ascii="仿宋_GB2312" w:hAnsi="仿宋_GB2312" w:eastAsia="仿宋_GB2312" w:cs="仿宋_GB2312"/>
                <w:b/>
                <w:color w:val="auto"/>
                <w:sz w:val="24"/>
                <w:highlight w:val="none"/>
              </w:rPr>
              <w:t>行李柜</w:t>
            </w:r>
            <w:r>
              <w:rPr>
                <w:rFonts w:hint="eastAsia" w:ascii="仿宋_GB2312" w:hAnsi="仿宋_GB2312" w:eastAsia="仿宋_GB2312" w:cs="仿宋_GB2312"/>
                <w:color w:val="auto"/>
                <w:sz w:val="24"/>
                <w:highlight w:val="none"/>
              </w:rPr>
              <w:t>：</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检测依据为</w:t>
            </w:r>
            <w:r>
              <w:rPr>
                <w:rFonts w:ascii="仿宋_GB2312" w:hAnsi="仿宋_GB2312" w:eastAsia="仿宋_GB2312" w:cs="仿宋_GB2312"/>
                <w:color w:val="auto"/>
                <w:sz w:val="24"/>
                <w:highlight w:val="none"/>
              </w:rPr>
              <w:t>QB/T 2741-2013</w:t>
            </w:r>
            <w:r>
              <w:rPr>
                <w:rFonts w:hint="eastAsia" w:ascii="仿宋_GB2312" w:hAnsi="仿宋_GB2312" w:eastAsia="仿宋_GB2312" w:cs="仿宋_GB2312"/>
                <w:color w:val="auto"/>
                <w:sz w:val="24"/>
                <w:highlight w:val="none"/>
              </w:rPr>
              <w:t>《学生公寓多功能家具》、</w:t>
            </w:r>
            <w:r>
              <w:rPr>
                <w:rFonts w:ascii="仿宋_GB2312" w:hAnsi="仿宋_GB2312" w:eastAsia="仿宋_GB2312" w:cs="仿宋_GB2312"/>
                <w:color w:val="auto"/>
                <w:sz w:val="24"/>
                <w:highlight w:val="none"/>
              </w:rPr>
              <w:t>GB 20286-2006</w:t>
            </w:r>
            <w:r>
              <w:rPr>
                <w:rFonts w:hint="eastAsia" w:ascii="仿宋_GB2312" w:hAnsi="仿宋_GB2312" w:eastAsia="仿宋_GB2312" w:cs="仿宋_GB2312"/>
                <w:color w:val="auto"/>
                <w:sz w:val="24"/>
                <w:highlight w:val="none"/>
              </w:rPr>
              <w:t>《公共场所阻燃制品及组件燃烧性能要求和标识》全项目委托抽样检测报告。</w:t>
            </w:r>
          </w:p>
          <w:p>
            <w:pPr>
              <w:snapToGrid w:val="0"/>
              <w:spacing w:line="300" w:lineRule="exact"/>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其中核心参数要求：</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阻燃等级</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级，其中热释放速率峰值≤</w:t>
            </w:r>
            <w:r>
              <w:rPr>
                <w:rFonts w:ascii="仿宋_GB2312" w:hAnsi="仿宋_GB2312" w:eastAsia="仿宋_GB2312" w:cs="仿宋_GB2312"/>
                <w:color w:val="auto"/>
                <w:sz w:val="24"/>
                <w:highlight w:val="none"/>
              </w:rPr>
              <w:t>150KW</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5min</w:t>
            </w:r>
            <w:r>
              <w:rPr>
                <w:rFonts w:hint="eastAsia" w:ascii="仿宋_GB2312" w:hAnsi="仿宋_GB2312" w:eastAsia="仿宋_GB2312" w:cs="仿宋_GB2312"/>
                <w:color w:val="auto"/>
                <w:sz w:val="24"/>
                <w:highlight w:val="none"/>
              </w:rPr>
              <w:t>内放出的总能力≤</w:t>
            </w:r>
            <w:r>
              <w:rPr>
                <w:rFonts w:ascii="仿宋_GB2312" w:hAnsi="仿宋_GB2312" w:eastAsia="仿宋_GB2312" w:cs="仿宋_GB2312"/>
                <w:color w:val="auto"/>
                <w:sz w:val="24"/>
                <w:highlight w:val="none"/>
              </w:rPr>
              <w:t>30MJ</w:t>
            </w:r>
            <w:r>
              <w:rPr>
                <w:rFonts w:hint="eastAsia" w:ascii="仿宋_GB2312" w:hAnsi="仿宋_GB2312" w:eastAsia="仿宋_GB2312" w:cs="仿宋_GB2312"/>
                <w:color w:val="auto"/>
                <w:sz w:val="24"/>
                <w:highlight w:val="none"/>
              </w:rPr>
              <w:t>；最大烟密度≤</w:t>
            </w:r>
            <w:r>
              <w:rPr>
                <w:rFonts w:ascii="仿宋_GB2312" w:hAnsi="仿宋_GB2312" w:eastAsia="仿宋_GB2312" w:cs="仿宋_GB2312"/>
                <w:color w:val="auto"/>
                <w:sz w:val="24"/>
                <w:highlight w:val="none"/>
              </w:rPr>
              <w:t>75%</w:t>
            </w:r>
            <w:r>
              <w:rPr>
                <w:rFonts w:hint="eastAsia" w:ascii="仿宋_GB2312" w:hAnsi="仿宋_GB2312" w:eastAsia="仿宋_GB2312" w:cs="仿宋_GB2312"/>
                <w:color w:val="auto"/>
                <w:sz w:val="24"/>
                <w:highlight w:val="none"/>
              </w:rPr>
              <w:t>；甲醛释放量≤</w:t>
            </w:r>
            <w:r>
              <w:rPr>
                <w:rFonts w:ascii="仿宋_GB2312" w:hAnsi="仿宋_GB2312" w:eastAsia="仿宋_GB2312" w:cs="仿宋_GB2312"/>
                <w:color w:val="auto"/>
                <w:sz w:val="24"/>
                <w:highlight w:val="none"/>
              </w:rPr>
              <w:t>0.5 mg/L</w:t>
            </w:r>
            <w:r>
              <w:rPr>
                <w:rFonts w:hint="eastAsia" w:ascii="仿宋_GB2312" w:hAnsi="仿宋_GB2312" w:eastAsia="仿宋_GB2312" w:cs="仿宋_GB2312"/>
                <w:color w:val="auto"/>
                <w:sz w:val="24"/>
                <w:highlight w:val="none"/>
              </w:rPr>
              <w:t>。</w:t>
            </w:r>
          </w:p>
          <w:p>
            <w:pPr>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满足的得</w:t>
            </w:r>
            <w:r>
              <w:rPr>
                <w:rFonts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rPr>
              <w:t>分，不满足或不提供不得分。</w:t>
            </w:r>
          </w:p>
          <w:p>
            <w:pPr>
              <w:keepNext w:val="0"/>
              <w:keepLines w:val="0"/>
              <w:kinsoku/>
              <w:wordWrap/>
              <w:overflowPunct/>
              <w:topLinePunct w:val="0"/>
              <w:bidi w:val="0"/>
              <w:snapToGrid w:val="0"/>
              <w:spacing w:line="3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highlight w:val="none"/>
              </w:rPr>
              <w:t>注：投标文件中须提供有效检测报告复印件加盖投标人公章，否则不得分。检测报告要求为本项目投标截止日期前一年内检测报告，否则不得分。</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lang w:eastAsia="zh-CN"/>
              </w:rPr>
            </w:pPr>
            <w:r>
              <w:rPr>
                <w:rFonts w:hint="eastAsia" w:ascii="仿宋_GB2312" w:hAnsi="仿宋_GB2312" w:eastAsia="仿宋_GB2312" w:cs="仿宋_GB2312"/>
                <w:color w:val="auto"/>
                <w:spacing w:val="-6"/>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8</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原材料检测报告</w:t>
            </w:r>
          </w:p>
        </w:tc>
        <w:tc>
          <w:tcPr>
            <w:tcW w:w="3541" w:type="pct"/>
            <w:noWrap w:val="0"/>
            <w:vAlign w:val="center"/>
          </w:tcPr>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投标人提供（投标截止日期前一年内），具备</w:t>
            </w:r>
            <w:r>
              <w:rPr>
                <w:rFonts w:ascii="仿宋_GB2312" w:hAnsi="仿宋_GB2312" w:eastAsia="仿宋_GB2312" w:cs="仿宋_GB2312"/>
                <w:color w:val="auto"/>
                <w:sz w:val="24"/>
                <w:highlight w:val="none"/>
              </w:rPr>
              <w:t>CMA</w:t>
            </w:r>
            <w:r>
              <w:rPr>
                <w:rFonts w:hint="eastAsia" w:ascii="仿宋_GB2312" w:hAnsi="仿宋_GB2312" w:eastAsia="仿宋_GB2312" w:cs="仿宋_GB2312"/>
                <w:color w:val="auto"/>
                <w:sz w:val="24"/>
                <w:highlight w:val="none"/>
              </w:rPr>
              <w:t>资格的第三方检测机构出具的三聚氰胺饰面刨花板、钢管、铝铸件、五金连接件（阻尼铰链）、胶粘剂、塑料件、转接件等的原材料检测报告。</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1.</w:t>
            </w:r>
            <w:r>
              <w:rPr>
                <w:rFonts w:hint="eastAsia" w:ascii="仿宋_GB2312" w:hAnsi="仿宋_GB2312" w:eastAsia="仿宋_GB2312" w:cs="仿宋_GB2312"/>
                <w:b/>
                <w:bCs/>
                <w:color w:val="auto"/>
                <w:sz w:val="24"/>
                <w:highlight w:val="none"/>
              </w:rPr>
              <w:t>三聚氰胺饰面刨花板：</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GB/T15102-201</w:t>
            </w:r>
            <w:r>
              <w:rPr>
                <w:rFonts w:hint="eastAsia" w:ascii="仿宋_GB2312" w:hAnsi="仿宋_GB2312" w:eastAsia="仿宋_GB2312" w:cs="仿宋_GB2312"/>
                <w:color w:val="auto"/>
                <w:sz w:val="24"/>
                <w:highlight w:val="none"/>
                <w:lang w:val="en-US" w:eastAsia="zh-CN"/>
              </w:rPr>
              <w:t>7和HJ 571-2010</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检测结果要求：静曲强度、内结合强度、表面胶合强度、</w:t>
            </w:r>
            <w:r>
              <w:rPr>
                <w:rFonts w:ascii="仿宋_GB2312" w:hAnsi="仿宋_GB2312" w:eastAsia="仿宋_GB2312" w:cs="仿宋_GB2312"/>
                <w:color w:val="auto"/>
                <w:sz w:val="24"/>
                <w:highlight w:val="none"/>
              </w:rPr>
              <w:t>2h</w:t>
            </w:r>
            <w:r>
              <w:rPr>
                <w:rFonts w:hint="eastAsia" w:ascii="仿宋_GB2312" w:hAnsi="仿宋_GB2312" w:eastAsia="仿宋_GB2312" w:cs="仿宋_GB2312"/>
                <w:color w:val="auto"/>
                <w:sz w:val="24"/>
                <w:highlight w:val="none"/>
              </w:rPr>
              <w:t>吸水厚度膨胀率、表面耐划痕、表面耐磨、表面耐香烟灼烧、甲醛释放量等重要项目符合标准要求</w:t>
            </w:r>
            <w:r>
              <w:rPr>
                <w:rFonts w:hint="eastAsia" w:ascii="仿宋_GB2312" w:hAnsi="仿宋_GB2312" w:eastAsia="仿宋_GB2312" w:cs="仿宋_GB2312"/>
                <w:color w:val="auto"/>
                <w:sz w:val="24"/>
                <w:highlight w:val="none"/>
                <w:lang w:eastAsia="zh-CN"/>
              </w:rPr>
              <w:t>；总挥发有机化合物TVOC≤0.5mg/㎡·h（72h）。</w:t>
            </w:r>
          </w:p>
          <w:p>
            <w:pPr>
              <w:wordWrap w:val="0"/>
              <w:snapToGrid w:val="0"/>
              <w:spacing w:line="300" w:lineRule="exact"/>
              <w:jc w:val="left"/>
              <w:rPr>
                <w:rFonts w:ascii="仿宋_GB2312" w:hAnsi="仿宋_GB2312" w:eastAsia="仿宋_GB2312" w:cs="仿宋_GB2312"/>
                <w:color w:val="auto"/>
                <w:sz w:val="24"/>
                <w:highlight w:val="none"/>
              </w:rPr>
            </w:pPr>
            <w:r>
              <w:rPr>
                <w:rFonts w:ascii="仿宋_GB2312" w:hAnsi="仿宋_GB2312" w:eastAsia="仿宋_GB2312" w:cs="仿宋_GB2312"/>
                <w:b/>
                <w:bCs/>
                <w:color w:val="auto"/>
                <w:sz w:val="24"/>
                <w:highlight w:val="none"/>
              </w:rPr>
              <w:t>2.</w:t>
            </w:r>
            <w:r>
              <w:rPr>
                <w:rFonts w:hint="eastAsia" w:ascii="仿宋_GB2312" w:hAnsi="仿宋_GB2312" w:eastAsia="仿宋_GB2312" w:cs="仿宋_GB2312"/>
                <w:b/>
                <w:bCs/>
                <w:color w:val="auto"/>
                <w:sz w:val="24"/>
                <w:highlight w:val="none"/>
              </w:rPr>
              <w:t>钢管：</w:t>
            </w:r>
            <w:r>
              <w:rPr>
                <w:rFonts w:ascii="仿宋_GB2312" w:hAnsi="仿宋_GB2312" w:eastAsia="仿宋_GB2312" w:cs="仿宋_GB2312"/>
                <w:color w:val="auto"/>
                <w:sz w:val="24"/>
                <w:highlight w:val="none"/>
              </w:rPr>
              <w:t xml:space="preserve"> </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GB/T 3325</w:t>
            </w:r>
            <w:r>
              <w:rPr>
                <w:rFonts w:hint="eastAsia" w:ascii="仿宋_GB2312" w:hAnsi="仿宋_GB2312" w:eastAsia="仿宋_GB2312" w:cs="仿宋_GB2312"/>
                <w:color w:val="auto"/>
                <w:sz w:val="24"/>
                <w:highlight w:val="none"/>
              </w:rPr>
              <w:t>和</w:t>
            </w:r>
            <w:r>
              <w:rPr>
                <w:rFonts w:ascii="仿宋_GB2312" w:hAnsi="仿宋_GB2312" w:eastAsia="仿宋_GB2312" w:cs="仿宋_GB2312"/>
                <w:color w:val="auto"/>
                <w:sz w:val="24"/>
                <w:highlight w:val="none"/>
              </w:rPr>
              <w:t>QB/T 3826-1999</w:t>
            </w:r>
            <w:r>
              <w:rPr>
                <w:rFonts w:hint="eastAsia" w:ascii="仿宋_GB2312" w:hAnsi="仿宋_GB2312" w:eastAsia="仿宋_GB2312" w:cs="仿宋_GB2312"/>
                <w:color w:val="auto"/>
                <w:sz w:val="24"/>
                <w:highlight w:val="none"/>
              </w:rPr>
              <w:t>；检测结果要求：金属电镀层的抗盐雾</w:t>
            </w:r>
            <w:r>
              <w:rPr>
                <w:rFonts w:ascii="仿宋_GB2312" w:hAnsi="仿宋_GB2312" w:eastAsia="仿宋_GB2312" w:cs="仿宋_GB2312"/>
                <w:color w:val="auto"/>
                <w:sz w:val="24"/>
                <w:highlight w:val="none"/>
              </w:rPr>
              <w:t>18h</w:t>
            </w:r>
            <w:r>
              <w:rPr>
                <w:rFonts w:hint="eastAsia" w:ascii="仿宋_GB2312" w:hAnsi="仿宋_GB2312" w:eastAsia="仿宋_GB2312" w:cs="仿宋_GB2312"/>
                <w:color w:val="auto"/>
                <w:sz w:val="24"/>
                <w:highlight w:val="none"/>
              </w:rPr>
              <w:t>无锈点。</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3.</w:t>
            </w:r>
            <w:r>
              <w:rPr>
                <w:rFonts w:hint="eastAsia" w:ascii="仿宋_GB2312" w:hAnsi="仿宋_GB2312" w:eastAsia="仿宋_GB2312" w:cs="仿宋_GB2312"/>
                <w:b/>
                <w:bCs/>
                <w:color w:val="auto"/>
                <w:sz w:val="24"/>
                <w:highlight w:val="none"/>
              </w:rPr>
              <w:t>太空铝铸件护栏连接件：</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QB/T 3826-1999</w:t>
            </w: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QB/T 3827-1999</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检测结果要求：中性盐雾试验（</w:t>
            </w:r>
            <w:r>
              <w:rPr>
                <w:rFonts w:ascii="仿宋_GB2312" w:hAnsi="仿宋_GB2312" w:eastAsia="仿宋_GB2312" w:cs="仿宋_GB2312"/>
                <w:color w:val="auto"/>
                <w:sz w:val="24"/>
                <w:highlight w:val="none"/>
              </w:rPr>
              <w:t>200h</w:t>
            </w:r>
            <w:r>
              <w:rPr>
                <w:rFonts w:hint="eastAsia" w:ascii="仿宋_GB2312" w:hAnsi="仿宋_GB2312" w:eastAsia="仿宋_GB2312" w:cs="仿宋_GB2312"/>
                <w:color w:val="auto"/>
                <w:sz w:val="24"/>
                <w:highlight w:val="none"/>
              </w:rPr>
              <w:t>）检测中评定涂层本身及涂层对基体金属的防蚀能力均为</w:t>
            </w:r>
            <w:r>
              <w:rPr>
                <w:rFonts w:ascii="仿宋_GB2312" w:hAnsi="仿宋_GB2312" w:eastAsia="仿宋_GB2312" w:cs="仿宋_GB2312"/>
                <w:color w:val="auto"/>
                <w:sz w:val="24"/>
                <w:highlight w:val="none"/>
              </w:rPr>
              <w:t>10</w:t>
            </w:r>
            <w:r>
              <w:rPr>
                <w:rFonts w:hint="eastAsia" w:ascii="仿宋_GB2312" w:hAnsi="仿宋_GB2312" w:eastAsia="仿宋_GB2312" w:cs="仿宋_GB2312"/>
                <w:color w:val="auto"/>
                <w:sz w:val="24"/>
                <w:highlight w:val="none"/>
              </w:rPr>
              <w:t>级；乙酸盐雾试验（</w:t>
            </w:r>
            <w:r>
              <w:rPr>
                <w:rFonts w:ascii="仿宋_GB2312" w:hAnsi="仿宋_GB2312" w:eastAsia="仿宋_GB2312" w:cs="仿宋_GB2312"/>
                <w:color w:val="auto"/>
                <w:sz w:val="24"/>
                <w:highlight w:val="none"/>
              </w:rPr>
              <w:t>100h</w:t>
            </w:r>
            <w:r>
              <w:rPr>
                <w:rFonts w:hint="eastAsia" w:ascii="仿宋_GB2312" w:hAnsi="仿宋_GB2312" w:eastAsia="仿宋_GB2312" w:cs="仿宋_GB2312"/>
                <w:color w:val="auto"/>
                <w:sz w:val="24"/>
                <w:highlight w:val="none"/>
              </w:rPr>
              <w:t>）检测中评定涂层本身及涂层对基体金属的防蚀能力均为</w:t>
            </w:r>
            <w:r>
              <w:rPr>
                <w:rFonts w:ascii="仿宋_GB2312" w:hAnsi="仿宋_GB2312" w:eastAsia="仿宋_GB2312" w:cs="仿宋_GB2312"/>
                <w:color w:val="auto"/>
                <w:sz w:val="24"/>
                <w:highlight w:val="none"/>
              </w:rPr>
              <w:t>10</w:t>
            </w:r>
            <w:r>
              <w:rPr>
                <w:rFonts w:hint="eastAsia" w:ascii="仿宋_GB2312" w:hAnsi="仿宋_GB2312" w:eastAsia="仿宋_GB2312" w:cs="仿宋_GB2312"/>
                <w:color w:val="auto"/>
                <w:sz w:val="24"/>
                <w:highlight w:val="none"/>
              </w:rPr>
              <w:t>级。</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4.</w:t>
            </w:r>
            <w:r>
              <w:rPr>
                <w:rFonts w:hint="eastAsia" w:ascii="仿宋_GB2312" w:hAnsi="仿宋_GB2312" w:eastAsia="仿宋_GB2312" w:cs="仿宋_GB2312"/>
                <w:b/>
                <w:bCs/>
                <w:color w:val="auto"/>
                <w:sz w:val="24"/>
                <w:highlight w:val="none"/>
              </w:rPr>
              <w:t>塑料件：</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GB/T 32487-2016</w:t>
            </w:r>
            <w:r>
              <w:rPr>
                <w:rFonts w:hint="eastAsia" w:ascii="仿宋_GB2312" w:hAnsi="仿宋_GB2312" w:eastAsia="仿宋_GB2312" w:cs="仿宋_GB2312"/>
                <w:color w:val="auto"/>
                <w:sz w:val="24"/>
                <w:highlight w:val="none"/>
              </w:rPr>
              <w:t>和</w:t>
            </w:r>
            <w:r>
              <w:rPr>
                <w:rFonts w:ascii="仿宋_GB2312" w:hAnsi="仿宋_GB2312" w:eastAsia="仿宋_GB2312" w:cs="仿宋_GB2312"/>
                <w:color w:val="auto"/>
                <w:sz w:val="24"/>
                <w:highlight w:val="none"/>
              </w:rPr>
              <w:t>GB 20286-2006</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检测结果要求：塑料材料理化性能的耐老化性合格（或室内用</w:t>
            </w:r>
            <w:r>
              <w:rPr>
                <w:rFonts w:ascii="仿宋_GB2312" w:hAnsi="仿宋_GB2312" w:eastAsia="仿宋_GB2312" w:cs="仿宋_GB2312"/>
                <w:color w:val="auto"/>
                <w:sz w:val="24"/>
                <w:highlight w:val="none"/>
              </w:rPr>
              <w:t>500h</w:t>
            </w:r>
            <w:r>
              <w:rPr>
                <w:rFonts w:hint="eastAsia" w:ascii="仿宋_GB2312" w:hAnsi="仿宋_GB2312" w:eastAsia="仿宋_GB2312" w:cs="仿宋_GB2312"/>
                <w:color w:val="auto"/>
                <w:sz w:val="24"/>
                <w:highlight w:val="none"/>
              </w:rPr>
              <w:t>，冲击强度的保持率≥</w:t>
            </w:r>
            <w:r>
              <w:rPr>
                <w:rFonts w:hint="eastAsia" w:ascii="仿宋_GB2312" w:hAnsi="仿宋_GB2312" w:eastAsia="仿宋_GB2312" w:cs="仿宋_GB2312"/>
                <w:color w:val="auto"/>
                <w:sz w:val="24"/>
                <w:highlight w:val="none"/>
                <w:lang w:val="en-US" w:eastAsia="zh-CN"/>
              </w:rPr>
              <w:t>60</w:t>
            </w: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，外观颜色变色评级≥</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级）；公共场所阻燃家具及组件的燃烧性能：阻燃</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级符合要求。</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5.</w:t>
            </w:r>
            <w:r>
              <w:rPr>
                <w:rFonts w:hint="eastAsia" w:ascii="仿宋_GB2312" w:hAnsi="仿宋_GB2312" w:eastAsia="仿宋_GB2312" w:cs="仿宋_GB2312"/>
                <w:b/>
                <w:bCs/>
                <w:color w:val="auto"/>
                <w:sz w:val="24"/>
                <w:highlight w:val="none"/>
              </w:rPr>
              <w:t>五金连接件（阻尼铰链）：</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hint="eastAsia" w:ascii="仿宋_GB2312" w:hAnsi="仿宋_GB2312" w:eastAsia="仿宋_GB2312" w:cs="仿宋_GB2312"/>
                <w:color w:val="auto"/>
                <w:sz w:val="24"/>
                <w:highlight w:val="none"/>
                <w:lang w:val="en-US" w:eastAsia="zh-CN"/>
              </w:rPr>
              <w:t>Q</w:t>
            </w:r>
            <w:r>
              <w:rPr>
                <w:rFonts w:ascii="仿宋_GB2312" w:hAnsi="仿宋_GB2312" w:eastAsia="仿宋_GB2312" w:cs="仿宋_GB2312"/>
                <w:color w:val="auto"/>
                <w:sz w:val="24"/>
                <w:highlight w:val="none"/>
              </w:rPr>
              <w:t>B/T 2189-2013</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检测结果要求：下沉量≤</w:t>
            </w:r>
            <w:r>
              <w:rPr>
                <w:rFonts w:hint="eastAsia" w:ascii="仿宋_GB2312" w:hAnsi="仿宋_GB2312" w:eastAsia="仿宋_GB2312" w:cs="仿宋_GB2312"/>
                <w:color w:val="auto"/>
                <w:sz w:val="24"/>
                <w:highlight w:val="none"/>
                <w:lang w:val="en-US" w:eastAsia="zh-CN"/>
              </w:rPr>
              <w:t>2.0</w:t>
            </w:r>
            <w:r>
              <w:rPr>
                <w:rFonts w:ascii="仿宋_GB2312" w:hAnsi="仿宋_GB2312" w:eastAsia="仿宋_GB2312" w:cs="仿宋_GB2312"/>
                <w:color w:val="auto"/>
                <w:sz w:val="24"/>
                <w:highlight w:val="none"/>
              </w:rPr>
              <w:t>mm</w:t>
            </w:r>
            <w:r>
              <w:rPr>
                <w:rFonts w:hint="eastAsia" w:ascii="仿宋_GB2312" w:hAnsi="仿宋_GB2312" w:eastAsia="仿宋_GB2312" w:cs="仿宋_GB2312"/>
                <w:color w:val="auto"/>
                <w:sz w:val="24"/>
                <w:highlight w:val="none"/>
              </w:rPr>
              <w:t>；其余检测项目均符合标准要求。</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6.</w:t>
            </w:r>
            <w:r>
              <w:rPr>
                <w:rFonts w:hint="eastAsia" w:ascii="仿宋_GB2312" w:hAnsi="仿宋_GB2312" w:eastAsia="仿宋_GB2312" w:cs="仿宋_GB2312"/>
                <w:b/>
                <w:bCs/>
                <w:color w:val="auto"/>
                <w:sz w:val="24"/>
                <w:highlight w:val="none"/>
              </w:rPr>
              <w:t>柜门拉手：</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GB/T 3324-20</w:t>
            </w: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检测结果要求：金属拉手耐腐蚀合格。</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7.</w:t>
            </w:r>
            <w:r>
              <w:rPr>
                <w:rFonts w:hint="eastAsia" w:ascii="仿宋_GB2312" w:hAnsi="仿宋_GB2312" w:eastAsia="仿宋_GB2312" w:cs="仿宋_GB2312"/>
                <w:b/>
                <w:bCs/>
                <w:color w:val="auto"/>
                <w:sz w:val="24"/>
                <w:highlight w:val="none"/>
              </w:rPr>
              <w:t>胶粘剂：</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GB18583-2008</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检测结果要求：游离甲醛、苯、甲苯</w:t>
            </w: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二甲苯均未检出；总挥发性有机物≤</w:t>
            </w:r>
            <w:r>
              <w:rPr>
                <w:rFonts w:ascii="仿宋_GB2312" w:hAnsi="仿宋_GB2312" w:eastAsia="仿宋_GB2312" w:cs="仿宋_GB2312"/>
                <w:color w:val="auto"/>
                <w:sz w:val="24"/>
                <w:highlight w:val="none"/>
              </w:rPr>
              <w:t>38g/L</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8.PVC</w:t>
            </w:r>
            <w:r>
              <w:rPr>
                <w:rFonts w:hint="eastAsia" w:ascii="仿宋_GB2312" w:hAnsi="仿宋_GB2312" w:eastAsia="仿宋_GB2312" w:cs="仿宋_GB2312"/>
                <w:b/>
                <w:bCs/>
                <w:color w:val="auto"/>
                <w:sz w:val="24"/>
                <w:highlight w:val="none"/>
              </w:rPr>
              <w:t>封边条：</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QB/T 4463-2013</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检测结果要求：耐磨性磨</w:t>
            </w:r>
            <w:r>
              <w:rPr>
                <w:rFonts w:ascii="仿宋_GB2312" w:hAnsi="仿宋_GB2312" w:eastAsia="仿宋_GB2312" w:cs="仿宋_GB2312"/>
                <w:color w:val="auto"/>
                <w:sz w:val="24"/>
                <w:highlight w:val="none"/>
              </w:rPr>
              <w:t>30r</w:t>
            </w:r>
            <w:r>
              <w:rPr>
                <w:rFonts w:hint="eastAsia" w:ascii="仿宋_GB2312" w:hAnsi="仿宋_GB2312" w:eastAsia="仿宋_GB2312" w:cs="仿宋_GB2312"/>
                <w:color w:val="auto"/>
                <w:sz w:val="24"/>
                <w:highlight w:val="none"/>
              </w:rPr>
              <w:t>后无露底；耐开裂性、耐光色牢度符合要求</w:t>
            </w:r>
            <w:r>
              <w:rPr>
                <w:rFonts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rPr>
              <w:t>有害物质限量未检出</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甲醛释放量未检出</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9.PP</w:t>
            </w:r>
            <w:r>
              <w:rPr>
                <w:rFonts w:hint="eastAsia" w:ascii="仿宋_GB2312" w:hAnsi="仿宋_GB2312" w:eastAsia="仿宋_GB2312" w:cs="仿宋_GB2312"/>
                <w:b/>
                <w:bCs/>
                <w:color w:val="auto"/>
                <w:sz w:val="24"/>
                <w:highlight w:val="none"/>
              </w:rPr>
              <w:t>原料：</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w:t>
            </w:r>
            <w:r>
              <w:rPr>
                <w:rFonts w:ascii="仿宋_GB2312" w:hAnsi="仿宋_GB2312" w:eastAsia="仿宋_GB2312" w:cs="仿宋_GB2312"/>
                <w:color w:val="auto"/>
                <w:sz w:val="24"/>
                <w:highlight w:val="none"/>
              </w:rPr>
              <w:t>GB28481-2012</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检测结果要求：邻苯二甲酸酯、重金属均未检出。</w:t>
            </w:r>
          </w:p>
          <w:p>
            <w:pPr>
              <w:wordWrap w:val="0"/>
              <w:snapToGrid w:val="0"/>
              <w:spacing w:line="300" w:lineRule="exact"/>
              <w:jc w:val="left"/>
              <w:rPr>
                <w:rFonts w:ascii="仿宋_GB2312" w:hAnsi="仿宋_GB2312" w:eastAsia="仿宋_GB2312" w:cs="仿宋_GB2312"/>
                <w:b/>
                <w:bCs/>
                <w:color w:val="auto"/>
                <w:sz w:val="24"/>
                <w:highlight w:val="none"/>
              </w:rPr>
            </w:pPr>
            <w:r>
              <w:rPr>
                <w:rFonts w:ascii="仿宋_GB2312" w:hAnsi="仿宋_GB2312" w:eastAsia="仿宋_GB2312" w:cs="仿宋_GB2312"/>
                <w:b/>
                <w:bCs/>
                <w:color w:val="auto"/>
                <w:sz w:val="24"/>
                <w:highlight w:val="none"/>
              </w:rPr>
              <w:t>10.</w:t>
            </w:r>
            <w:r>
              <w:rPr>
                <w:rFonts w:hint="eastAsia" w:ascii="仿宋_GB2312" w:hAnsi="仿宋_GB2312" w:eastAsia="仿宋_GB2312" w:cs="仿宋_GB2312"/>
                <w:b/>
                <w:bCs/>
                <w:color w:val="auto"/>
                <w:sz w:val="24"/>
                <w:highlight w:val="none"/>
              </w:rPr>
              <w:t>五金连接件（阻尼三节导轨）：</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要求提供第三方检测报告佐证，检测依据为：</w:t>
            </w:r>
            <w:r>
              <w:rPr>
                <w:rFonts w:ascii="仿宋_GB2312" w:hAnsi="仿宋_GB2312" w:eastAsia="仿宋_GB2312" w:cs="仿宋_GB2312"/>
                <w:color w:val="auto"/>
                <w:sz w:val="24"/>
                <w:highlight w:val="none"/>
              </w:rPr>
              <w:t>QB/T 2454-2013</w:t>
            </w:r>
            <w:r>
              <w:rPr>
                <w:rFonts w:hint="eastAsia" w:ascii="仿宋_GB2312" w:hAnsi="仿宋_GB2312" w:eastAsia="仿宋_GB2312" w:cs="仿宋_GB2312"/>
                <w:color w:val="auto"/>
                <w:sz w:val="24"/>
                <w:highlight w:val="none"/>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检测结果要求：</w:t>
            </w:r>
            <w:r>
              <w:rPr>
                <w:rFonts w:hint="eastAsia" w:ascii="仿宋_GB2312" w:hAnsi="仿宋_GB2312" w:eastAsia="仿宋_GB2312" w:cs="仿宋_GB2312"/>
                <w:color w:val="auto"/>
                <w:sz w:val="24"/>
                <w:szCs w:val="24"/>
                <w:highlight w:val="none"/>
                <w:lang w:eastAsia="zh-CN" w:bidi="ar"/>
              </w:rPr>
              <w:t>过载（垂直向下静载荷、水平侧向静载荷、猛关或猛开）、功能（操作力、耐久性、垂直向下静载荷、水平侧向静载荷、拉出安全性、猛关或猛开、下沉量）、耐腐蚀18h均需符合要求</w:t>
            </w:r>
            <w:r>
              <w:rPr>
                <w:rFonts w:hint="eastAsia" w:ascii="仿宋_GB2312" w:hAnsi="仿宋_GB2312" w:eastAsia="仿宋_GB2312" w:cs="仿宋_GB2312"/>
                <w:color w:val="auto"/>
                <w:sz w:val="24"/>
                <w:szCs w:val="24"/>
                <w:highlight w:val="none"/>
                <w:lang w:bidi="ar"/>
              </w:rPr>
              <w:t>。</w:t>
            </w:r>
          </w:p>
          <w:p>
            <w:pPr>
              <w:wordWrap w:val="0"/>
              <w:snapToGrid w:val="0"/>
              <w:spacing w:line="3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每满足</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项得</w:t>
            </w:r>
            <w:r>
              <w:rPr>
                <w:rFonts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rPr>
              <w:t>分，全部满足的得</w:t>
            </w:r>
            <w:r>
              <w:rPr>
                <w:rFonts w:ascii="仿宋_GB2312" w:hAnsi="仿宋_GB2312" w:eastAsia="仿宋_GB2312" w:cs="仿宋_GB2312"/>
                <w:color w:val="auto"/>
                <w:sz w:val="24"/>
                <w:highlight w:val="none"/>
              </w:rPr>
              <w:t>10</w:t>
            </w:r>
            <w:r>
              <w:rPr>
                <w:rFonts w:hint="eastAsia" w:ascii="仿宋_GB2312" w:hAnsi="仿宋_GB2312" w:eastAsia="仿宋_GB2312" w:cs="仿宋_GB2312"/>
                <w:color w:val="auto"/>
                <w:sz w:val="24"/>
                <w:highlight w:val="none"/>
              </w:rPr>
              <w:t>分，不满足或不提供不得分。</w:t>
            </w:r>
          </w:p>
          <w:p>
            <w:pPr>
              <w:keepNext w:val="0"/>
              <w:keepLines w:val="0"/>
              <w:pageBreakBefore w:val="0"/>
              <w:widowControl w:val="0"/>
              <w:kinsoku/>
              <w:wordWrap w:val="0"/>
              <w:overflowPunct/>
              <w:topLinePunct w:val="0"/>
              <w:autoSpaceDE/>
              <w:autoSpaceDN/>
              <w:bidi w:val="0"/>
              <w:adjustRightInd/>
              <w:snapToGrid w:val="0"/>
              <w:spacing w:line="300" w:lineRule="exact"/>
              <w:textAlignment w:val="auto"/>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b/>
                <w:bCs/>
                <w:color w:val="auto"/>
                <w:sz w:val="24"/>
                <w:highlight w:val="none"/>
              </w:rPr>
              <w:t>注：投标文件中须提供有效检测报告复印件加盖投标人公章，否则不得分。检测报告要求为本项目投标截止日期前一年内的检测报告，否则不得分。</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p>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9</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项目实施方案</w:t>
            </w:r>
          </w:p>
        </w:tc>
        <w:tc>
          <w:tcPr>
            <w:tcW w:w="3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1.项目实施规划方案，提出项目整体实施方案，能按照项目分解节点，并可跟踪实施。根据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提供的方案</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zh-CN"/>
              </w:rPr>
              <w:t>生产实施方案，要具备生产能力，在规定的时间内有计划的完成项目需求产品的生产装配。根据投标人提供的方案进行打分，(本项分值设置为2,1,0.5,0分)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3.品质管理管控过程，有独立品管部门和专门品管人员，确保产品生产过程中的质量控制完善。由评审小组对响应方案</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4.产品仓储及散味储存方案，在仓库中设置专门的散味区域，采用通风良好的环境，定期开窗通风或使用空气净化设备。根据实际操作内容能否满足采购需求</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(本项分值设置为1,0.5,0分)</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售后服务方案</w:t>
            </w:r>
          </w:p>
        </w:tc>
        <w:tc>
          <w:tcPr>
            <w:tcW w:w="3541" w:type="pct"/>
            <w:noWrap w:val="0"/>
            <w:vAlign w:val="center"/>
          </w:tcPr>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的服务承诺方案，包含售后响应时间、保障措施、质保期后维保费用以及服务承诺条款等方面</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。(本项分值设置为2,1,0.5,0分)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2.提供产品5年质量保证期（5年内免费维修，不能维修免费更换）</w:t>
            </w:r>
            <w:r>
              <w:rPr>
                <w:rFonts w:hint="eastAsia" w:ascii="仿宋_GB2312" w:hAnsi="仿宋_GB2312" w:eastAsia="仿宋_GB2312" w:cs="仿宋_GB2312"/>
                <w:color w:val="auto"/>
                <w:sz w:val="24"/>
                <w:szCs w:val="24"/>
                <w:highlight w:val="none"/>
                <w:lang w:val="en-US" w:eastAsia="zh-CN"/>
              </w:rPr>
              <w:t>基础上</w:t>
            </w:r>
            <w:r>
              <w:rPr>
                <w:rFonts w:hint="eastAsia" w:ascii="仿宋_GB2312" w:hAnsi="仿宋_GB2312" w:eastAsia="仿宋_GB2312" w:cs="仿宋_GB2312"/>
                <w:color w:val="auto"/>
                <w:sz w:val="24"/>
                <w:szCs w:val="24"/>
                <w:highlight w:val="none"/>
              </w:rPr>
              <w:t>，超过5年的每</w:t>
            </w:r>
            <w:r>
              <w:rPr>
                <w:rFonts w:hint="eastAsia" w:ascii="仿宋_GB2312" w:hAnsi="仿宋_GB2312" w:eastAsia="仿宋_GB2312" w:cs="仿宋_GB2312"/>
                <w:color w:val="auto"/>
                <w:sz w:val="24"/>
                <w:szCs w:val="24"/>
                <w:highlight w:val="none"/>
                <w:lang w:val="en-US" w:eastAsia="zh-CN"/>
              </w:rPr>
              <w:t>增加</w:t>
            </w:r>
            <w:r>
              <w:rPr>
                <w:rFonts w:hint="eastAsia" w:ascii="仿宋_GB2312" w:hAnsi="仿宋_GB2312" w:eastAsia="仿宋_GB2312" w:cs="仿宋_GB2312"/>
                <w:color w:val="auto"/>
                <w:sz w:val="24"/>
                <w:szCs w:val="24"/>
                <w:highlight w:val="none"/>
              </w:rPr>
              <w:t>一年加1分，最高得3分</w:t>
            </w:r>
            <w:r>
              <w:rPr>
                <w:rFonts w:hint="eastAsia" w:ascii="仿宋_GB2312" w:hAnsi="仿宋_GB2312" w:eastAsia="仿宋_GB2312" w:cs="仿宋_GB2312"/>
                <w:color w:val="auto"/>
                <w:sz w:val="24"/>
                <w:szCs w:val="24"/>
                <w:highlight w:val="none"/>
                <w:lang w:eastAsia="zh-CN"/>
              </w:rPr>
              <w:t>。</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6"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11</w:t>
            </w:r>
          </w:p>
        </w:tc>
        <w:tc>
          <w:tcPr>
            <w:tcW w:w="574"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样品</w:t>
            </w:r>
          </w:p>
        </w:tc>
        <w:tc>
          <w:tcPr>
            <w:tcW w:w="3541" w:type="pct"/>
            <w:noWrap w:val="0"/>
            <w:vAlign w:val="center"/>
          </w:tcPr>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1.公寓组合床：根据整体功能、外观、色差、光洁度、牢固度、稳定性、制作工艺等进行打分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(本项分值设置为5,4,3,2,1,0.5,0分)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2.单椅：根据整体功能、外观、色差、光洁度、牢固度、稳定性、制作工艺等进行打分</w:t>
            </w:r>
            <w:r>
              <w:rPr>
                <w:rFonts w:hint="eastAsia" w:ascii="仿宋_GB2312" w:hAnsi="仿宋_GB2312" w:eastAsia="仿宋_GB2312" w:cs="仿宋_GB2312"/>
                <w:color w:val="auto"/>
                <w:sz w:val="24"/>
                <w:szCs w:val="24"/>
                <w:highlight w:val="none"/>
                <w:lang w:eastAsia="zh-CN"/>
              </w:rPr>
              <w:t>，(本项分值设置为5,4,3,2,1,0.5,0分)</w:t>
            </w:r>
            <w:r>
              <w:rPr>
                <w:rFonts w:hint="eastAsia" w:ascii="仿宋_GB2312" w:hAnsi="仿宋_GB2312" w:eastAsia="仿宋_GB2312" w:cs="仿宋_GB2312"/>
                <w:color w:val="auto"/>
                <w:sz w:val="24"/>
                <w:szCs w:val="24"/>
                <w:highlight w:val="none"/>
              </w:rPr>
              <w:t>。</w:t>
            </w:r>
          </w:p>
          <w:p>
            <w:pPr>
              <w:keepNext w:val="0"/>
              <w:keepLines w:val="0"/>
              <w:kinsoku/>
              <w:wordWrap/>
              <w:overflowPunct/>
              <w:topLinePunct w:val="0"/>
              <w:bidi w:val="0"/>
              <w:snapToGrid w:val="0"/>
              <w:spacing w:line="300" w:lineRule="exact"/>
              <w:rPr>
                <w:rFonts w:hint="eastAsia" w:ascii="仿宋_GB2312" w:hAnsi="仿宋_GB2312" w:eastAsia="仿宋_GB2312" w:cs="仿宋_GB2312"/>
                <w:i w:val="0"/>
                <w:iCs w:val="0"/>
                <w:caps w:val="0"/>
                <w:color w:val="auto"/>
                <w:spacing w:val="0"/>
                <w:sz w:val="24"/>
                <w:szCs w:val="24"/>
                <w:highlight w:val="none"/>
                <w:shd w:val="clear" w:color="auto" w:fill="FFFFFF"/>
              </w:rPr>
            </w:pPr>
            <w:r>
              <w:rPr>
                <w:rFonts w:hint="eastAsia" w:ascii="仿宋_GB2312" w:hAnsi="仿宋_GB2312" w:eastAsia="仿宋_GB2312" w:cs="仿宋_GB2312"/>
                <w:color w:val="auto"/>
                <w:sz w:val="24"/>
                <w:szCs w:val="24"/>
                <w:highlight w:val="none"/>
              </w:rPr>
              <w:t>3.行李柜：根据整体功能、外观、色差、光洁度、牢固度、稳定性、制作工艺等进行打分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shd w:val="clear" w:color="auto" w:fill="FFFFFF"/>
              </w:rPr>
              <w:t>(本项分值设置为5,4,3,2,1,0.5,0分)</w:t>
            </w:r>
          </w:p>
          <w:p>
            <w:pPr>
              <w:keepNext w:val="0"/>
              <w:keepLines w:val="0"/>
              <w:kinsoku/>
              <w:wordWrap/>
              <w:overflowPunct/>
              <w:topLinePunct w:val="0"/>
              <w:bidi w:val="0"/>
              <w:snapToGrid w:val="0"/>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w:t>
            </w:r>
            <w:r>
              <w:rPr>
                <w:rFonts w:hint="eastAsia" w:ascii="仿宋_GB2312" w:hAnsi="仿宋_GB2312" w:eastAsia="仿宋_GB2312" w:cs="仿宋_GB2312"/>
                <w:b/>
                <w:bCs/>
                <w:color w:val="auto"/>
                <w:sz w:val="24"/>
                <w:szCs w:val="24"/>
                <w:highlight w:val="none"/>
                <w:lang w:val="en-US" w:eastAsia="zh-CN"/>
              </w:rPr>
              <w:t>注：对未提供样品或提供样品不满足采购需求实质性条件的，按无效投标处理。</w:t>
            </w:r>
          </w:p>
        </w:tc>
        <w:tc>
          <w:tcPr>
            <w:tcW w:w="447" w:type="pct"/>
            <w:noWrap w:val="0"/>
            <w:vAlign w:val="center"/>
          </w:tcPr>
          <w:p>
            <w:pPr>
              <w:keepNext w:val="0"/>
              <w:keepLines w:val="0"/>
              <w:kinsoku/>
              <w:wordWrap/>
              <w:overflowPunct/>
              <w:topLinePunct w:val="0"/>
              <w:bidi w:val="0"/>
              <w:snapToGrid w:val="0"/>
              <w:spacing w:line="3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z w:val="24"/>
                <w:szCs w:val="24"/>
                <w:highlight w:val="none"/>
              </w:rPr>
              <w:t>15</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bookmarkEnd w:id="41"/>
    <w:bookmarkEnd w:id="42"/>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绍兴文理学院南山新建学生公寓家具采购项目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2025-01-0003</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4"/>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绍兴文理学院、绍兴市公共资源交易中心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绍兴文理学院南山新建学生公寓家具采购项目（招标编号:2025-01-0003）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绍兴文理学院、绍兴市公共资源交易中心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绍兴文理学院南山新建学生公寓家具采购项目（招标编号:2023-07-0055）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5"/>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0"/>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5"/>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5"/>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0"/>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绍兴文理学院南山新建学生公寓家具采购项目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2025-01-0003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0"/>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（如有）</w:t>
      </w:r>
      <w:bookmarkEnd w:id="48"/>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color w:val="auto"/>
          <w:highlight w:val="none"/>
        </w:rPr>
      </w:pPr>
    </w:p>
    <w:p>
      <w:pPr>
        <w:pStyle w:val="81"/>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9" w:name="_Toc465665161"/>
      <w:r>
        <w:rPr>
          <w:rFonts w:hint="eastAsia" w:ascii="仿宋" w:hAnsi="仿宋" w:eastAsia="仿宋" w:cs="仿宋"/>
          <w:color w:val="auto"/>
          <w:highlight w:val="none"/>
        </w:rPr>
        <w:t>附件</w:t>
      </w:r>
      <w:bookmarkEnd w:id="49"/>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绍兴文理学院南山新建学生公寓家具采购项目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2025-01-0003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绍兴文理学院南山新建学生公寓家具采购项目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2025-01-0003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绍兴文理学院南山新建学生公寓家具采购项目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2025-01-0003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2" w:name="OLE_LINK13"/>
      <w:bookmarkStart w:id="53" w:name="OLE_LINK14"/>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2"/>
    <w:bookmarkEnd w:id="53"/>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绍兴文理学院南山新建学生公寓家具采购项目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绍兴文理学院南山新建学生公寓家具采购项目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0000012" w:usb3="00000000" w:csb0="4002009F" w:csb1="DFD7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hakuyoxingshu7000">
    <w:panose1 w:val="02000600000000000000"/>
    <w:charset w:val="86"/>
    <w:family w:val="auto"/>
    <w:pitch w:val="default"/>
    <w:sig w:usb0="FFFFFFFF" w:usb1="E9FFFFFF" w:usb2="0000003F" w:usb3="00000000" w:csb0="603F00FF" w:csb1="FFFF0000"/>
  </w:font>
  <w:font w:name="Arial">
    <w:panose1 w:val="020B0604020202020204"/>
    <w:charset w:val="00"/>
    <w:family w:val="auto"/>
    <w:pitch w:val="default"/>
    <w:sig w:usb0="E0002AFF" w:usb1="C0007843" w:usb2="00000009" w:usb3="00000000" w:csb0="400001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4A61CE9"/>
    <w:rsid w:val="06D74677"/>
    <w:rsid w:val="082A3A50"/>
    <w:rsid w:val="0983157E"/>
    <w:rsid w:val="0F292E06"/>
    <w:rsid w:val="0FA0239A"/>
    <w:rsid w:val="14127BE9"/>
    <w:rsid w:val="169E17AF"/>
    <w:rsid w:val="1AF0D45A"/>
    <w:rsid w:val="1FBF3881"/>
    <w:rsid w:val="1FCBC4A9"/>
    <w:rsid w:val="1FDF64A5"/>
    <w:rsid w:val="212E33F2"/>
    <w:rsid w:val="21DB06FD"/>
    <w:rsid w:val="23384B81"/>
    <w:rsid w:val="234D2BA0"/>
    <w:rsid w:val="26866A58"/>
    <w:rsid w:val="2CDA6E57"/>
    <w:rsid w:val="2F886838"/>
    <w:rsid w:val="302663EC"/>
    <w:rsid w:val="341F6CD1"/>
    <w:rsid w:val="370E5D48"/>
    <w:rsid w:val="37D80F43"/>
    <w:rsid w:val="38647781"/>
    <w:rsid w:val="39B01401"/>
    <w:rsid w:val="39E73C0E"/>
    <w:rsid w:val="3DF3849B"/>
    <w:rsid w:val="3E51324C"/>
    <w:rsid w:val="3F326AC0"/>
    <w:rsid w:val="3F6D7804"/>
    <w:rsid w:val="3FEFF7E8"/>
    <w:rsid w:val="3FF7BB55"/>
    <w:rsid w:val="3FFCE84F"/>
    <w:rsid w:val="3FFE25DA"/>
    <w:rsid w:val="3FFF5138"/>
    <w:rsid w:val="45FF8421"/>
    <w:rsid w:val="46E70398"/>
    <w:rsid w:val="48594BC3"/>
    <w:rsid w:val="4D7D204A"/>
    <w:rsid w:val="4DE4148C"/>
    <w:rsid w:val="4F20277D"/>
    <w:rsid w:val="4F3FEEA3"/>
    <w:rsid w:val="4FAE554B"/>
    <w:rsid w:val="4FEEF1CF"/>
    <w:rsid w:val="50C301CB"/>
    <w:rsid w:val="545B4FDA"/>
    <w:rsid w:val="55E34E9E"/>
    <w:rsid w:val="566FF3A5"/>
    <w:rsid w:val="57DAE6E1"/>
    <w:rsid w:val="5A558E99"/>
    <w:rsid w:val="5BDF3378"/>
    <w:rsid w:val="5CFEE2CC"/>
    <w:rsid w:val="5D7F1DB6"/>
    <w:rsid w:val="5F665FB3"/>
    <w:rsid w:val="642152E2"/>
    <w:rsid w:val="65077AE2"/>
    <w:rsid w:val="66CC1693"/>
    <w:rsid w:val="67FC8C85"/>
    <w:rsid w:val="69B5403F"/>
    <w:rsid w:val="6AEF1016"/>
    <w:rsid w:val="6B64145F"/>
    <w:rsid w:val="6BBFC6AF"/>
    <w:rsid w:val="6BEFF7E4"/>
    <w:rsid w:val="729E74BD"/>
    <w:rsid w:val="73982586"/>
    <w:rsid w:val="76FBAFF1"/>
    <w:rsid w:val="776E0A3D"/>
    <w:rsid w:val="77C33BE9"/>
    <w:rsid w:val="77FE5760"/>
    <w:rsid w:val="77FF1645"/>
    <w:rsid w:val="79C8350D"/>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9"/>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0"/>
    <w:qFormat/>
    <w:uiPriority w:val="0"/>
    <w:pPr>
      <w:ind w:firstLine="420"/>
    </w:pPr>
    <w:rPr>
      <w:rFonts w:hAnsi="Calibri" w:cs="Times New Roman"/>
      <w:snapToGrid/>
      <w:szCs w:val="20"/>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3"/>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4.emf"/><Relationship Id="rId27" Type="http://schemas.openxmlformats.org/officeDocument/2006/relationships/oleObject" Target="embeddings/oleObject1.bin"/><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41</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2021-12-31T11:06:00Z</cp:lastPrinted>
  <dcterms:modified xsi:type="dcterms:W3CDTF">2025-01-27T02:43:50Z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