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B42FE">
      <w:pPr>
        <w:pStyle w:val="23"/>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嵊州市石璜镇2024年4个“百亩方”（寺新村、雅宅村、范油车村、白竹村、溪西村）永久基本农田连片整治工程项目方案编制服务项目</w:t>
      </w:r>
    </w:p>
    <w:p w14:paraId="012AEE5A">
      <w:pPr>
        <w:pStyle w:val="23"/>
        <w:jc w:val="center"/>
        <w:rPr>
          <w:rFonts w:hint="eastAsia" w:ascii="仿宋" w:hAnsi="仿宋" w:eastAsia="仿宋" w:cs="仿宋"/>
          <w:b/>
          <w:sz w:val="60"/>
          <w:szCs w:val="60"/>
        </w:rPr>
      </w:pPr>
      <w:r>
        <w:rPr>
          <w:rFonts w:hint="eastAsia" w:ascii="仿宋" w:hAnsi="仿宋" w:eastAsia="仿宋" w:cs="仿宋"/>
          <w:b w:val="0"/>
          <w:bCs w:val="0"/>
          <w:sz w:val="32"/>
          <w:szCs w:val="32"/>
          <w:lang w:val="en-US" w:eastAsia="zh-CN"/>
        </w:rPr>
        <w:t>项目</w:t>
      </w:r>
      <w:r>
        <w:rPr>
          <w:rFonts w:hint="eastAsia" w:ascii="仿宋" w:hAnsi="仿宋" w:eastAsia="仿宋" w:cs="仿宋"/>
          <w:b w:val="0"/>
          <w:bCs w:val="0"/>
          <w:sz w:val="32"/>
          <w:szCs w:val="32"/>
        </w:rPr>
        <w:t>编号：SXQM-SZ202412-13YNN</w:t>
      </w:r>
    </w:p>
    <w:p w14:paraId="66F3900E">
      <w:pPr>
        <w:bidi w:val="0"/>
        <w:jc w:val="center"/>
        <w:rPr>
          <w:sz w:val="72"/>
          <w:szCs w:val="112"/>
        </w:rPr>
      </w:pPr>
      <w:r>
        <w:rPr>
          <w:rFonts w:hint="eastAsia"/>
          <w:sz w:val="72"/>
          <w:szCs w:val="112"/>
        </w:rPr>
        <w:t>竞</w:t>
      </w:r>
    </w:p>
    <w:p w14:paraId="5895DD8C">
      <w:pPr>
        <w:bidi w:val="0"/>
        <w:jc w:val="center"/>
        <w:rPr>
          <w:sz w:val="72"/>
          <w:szCs w:val="112"/>
        </w:rPr>
      </w:pPr>
      <w:r>
        <w:rPr>
          <w:rFonts w:hint="eastAsia"/>
          <w:sz w:val="72"/>
          <w:szCs w:val="112"/>
        </w:rPr>
        <w:t>争</w:t>
      </w:r>
    </w:p>
    <w:p w14:paraId="0319473E">
      <w:pPr>
        <w:bidi w:val="0"/>
        <w:jc w:val="center"/>
        <w:rPr>
          <w:sz w:val="72"/>
          <w:szCs w:val="112"/>
        </w:rPr>
      </w:pPr>
      <w:r>
        <w:rPr>
          <w:rFonts w:hint="eastAsia"/>
          <w:sz w:val="72"/>
          <w:szCs w:val="112"/>
        </w:rPr>
        <w:t>性</w:t>
      </w:r>
    </w:p>
    <w:p w14:paraId="4DF2F589">
      <w:pPr>
        <w:bidi w:val="0"/>
        <w:jc w:val="center"/>
        <w:rPr>
          <w:sz w:val="72"/>
          <w:szCs w:val="112"/>
        </w:rPr>
      </w:pPr>
      <w:r>
        <w:rPr>
          <w:rFonts w:hint="eastAsia"/>
          <w:sz w:val="72"/>
          <w:szCs w:val="112"/>
        </w:rPr>
        <w:t>磋</w:t>
      </w:r>
    </w:p>
    <w:p w14:paraId="02013F14">
      <w:pPr>
        <w:bidi w:val="0"/>
        <w:jc w:val="center"/>
        <w:rPr>
          <w:sz w:val="72"/>
          <w:szCs w:val="112"/>
        </w:rPr>
      </w:pPr>
      <w:r>
        <w:rPr>
          <w:rFonts w:hint="eastAsia"/>
          <w:sz w:val="72"/>
          <w:szCs w:val="112"/>
        </w:rPr>
        <w:t>商</w:t>
      </w:r>
    </w:p>
    <w:p w14:paraId="631C8E93">
      <w:pPr>
        <w:bidi w:val="0"/>
        <w:jc w:val="center"/>
        <w:rPr>
          <w:sz w:val="72"/>
          <w:szCs w:val="112"/>
        </w:rPr>
      </w:pPr>
      <w:r>
        <w:rPr>
          <w:rFonts w:hint="eastAsia"/>
          <w:sz w:val="72"/>
          <w:szCs w:val="112"/>
        </w:rPr>
        <w:t>文</w:t>
      </w:r>
    </w:p>
    <w:p w14:paraId="48962DD3">
      <w:pPr>
        <w:bidi w:val="0"/>
        <w:jc w:val="center"/>
        <w:rPr>
          <w:sz w:val="56"/>
          <w:szCs w:val="72"/>
        </w:rPr>
      </w:pPr>
      <w:r>
        <w:rPr>
          <w:rFonts w:hint="eastAsia"/>
          <w:sz w:val="72"/>
          <w:szCs w:val="112"/>
        </w:rPr>
        <w:t>件</w:t>
      </w:r>
    </w:p>
    <w:p w14:paraId="005343C6">
      <w:pPr>
        <w:adjustRightInd/>
        <w:spacing w:line="360" w:lineRule="auto"/>
        <w:jc w:val="center"/>
        <w:rPr>
          <w:rFonts w:ascii="宋体" w:hAnsi="宋体" w:eastAsia="宋体" w:cs="仿宋_GB2312"/>
          <w:sz w:val="24"/>
        </w:rPr>
      </w:pPr>
      <w:r>
        <w:rPr>
          <w:rFonts w:hint="eastAsia" w:ascii="仿宋" w:hAnsi="仿宋" w:eastAsia="仿宋" w:cs="仿宋"/>
          <w:b/>
          <w:sz w:val="44"/>
          <w:szCs w:val="44"/>
        </w:rPr>
        <w:t>（电子交易）</w:t>
      </w:r>
    </w:p>
    <w:p w14:paraId="7E933D2D">
      <w:pPr>
        <w:pStyle w:val="74"/>
        <w:rPr>
          <w:rFonts w:ascii="宋体" w:hAnsi="宋体" w:eastAsia="宋体" w:cs="仿宋_GB2312"/>
          <w:sz w:val="24"/>
        </w:rPr>
      </w:pPr>
    </w:p>
    <w:tbl>
      <w:tblPr>
        <w:tblStyle w:val="62"/>
        <w:tblW w:w="7801" w:type="dxa"/>
        <w:jc w:val="center"/>
        <w:tblLayout w:type="fixed"/>
        <w:tblCellMar>
          <w:top w:w="0" w:type="dxa"/>
          <w:left w:w="108" w:type="dxa"/>
          <w:bottom w:w="0" w:type="dxa"/>
          <w:right w:w="108" w:type="dxa"/>
        </w:tblCellMar>
      </w:tblPr>
      <w:tblGrid>
        <w:gridCol w:w="2356"/>
        <w:gridCol w:w="5445"/>
      </w:tblGrid>
      <w:tr w14:paraId="7932E076">
        <w:tblPrEx>
          <w:tblCellMar>
            <w:top w:w="0" w:type="dxa"/>
            <w:left w:w="108" w:type="dxa"/>
            <w:bottom w:w="0" w:type="dxa"/>
            <w:right w:w="108" w:type="dxa"/>
          </w:tblCellMar>
        </w:tblPrEx>
        <w:trPr>
          <w:trHeight w:val="567" w:hRule="exact"/>
          <w:jc w:val="center"/>
        </w:trPr>
        <w:tc>
          <w:tcPr>
            <w:tcW w:w="2356" w:type="dxa"/>
            <w:vAlign w:val="center"/>
          </w:tcPr>
          <w:p w14:paraId="20B31946">
            <w:pPr>
              <w:spacing w:after="100" w:afterAutospacing="1" w:line="440" w:lineRule="exact"/>
              <w:jc w:val="left"/>
              <w:rPr>
                <w:rFonts w:ascii="仿宋" w:hAnsi="仿宋" w:eastAsia="仿宋" w:cs="仿宋"/>
                <w:color w:val="auto"/>
                <w:sz w:val="28"/>
                <w:szCs w:val="28"/>
              </w:rPr>
            </w:pPr>
            <w:r>
              <w:rPr>
                <w:rFonts w:hint="eastAsia" w:ascii="仿宋" w:hAnsi="仿宋" w:eastAsia="仿宋" w:cs="仿宋"/>
                <w:color w:val="auto"/>
                <w:spacing w:val="105"/>
                <w:kern w:val="0"/>
                <w:sz w:val="28"/>
                <w:szCs w:val="28"/>
                <w:fitText w:val="2240" w:id="764366939"/>
              </w:rPr>
              <w:t>采购单位</w:t>
            </w:r>
            <w:r>
              <w:rPr>
                <w:rFonts w:hint="eastAsia" w:ascii="仿宋" w:hAnsi="仿宋" w:eastAsia="仿宋" w:cs="仿宋"/>
                <w:color w:val="auto"/>
                <w:spacing w:val="0"/>
                <w:kern w:val="0"/>
                <w:sz w:val="28"/>
                <w:szCs w:val="28"/>
                <w:fitText w:val="2240" w:id="764366939"/>
              </w:rPr>
              <w:t>：</w:t>
            </w:r>
          </w:p>
        </w:tc>
        <w:tc>
          <w:tcPr>
            <w:tcW w:w="5445" w:type="dxa"/>
            <w:vAlign w:val="center"/>
          </w:tcPr>
          <w:p w14:paraId="27F00AAD">
            <w:pPr>
              <w:spacing w:line="320" w:lineRule="exact"/>
              <w:outlineLvl w:val="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嵊州市石璜镇人民政府</w:t>
            </w:r>
          </w:p>
        </w:tc>
      </w:tr>
      <w:tr w14:paraId="458F016F">
        <w:tblPrEx>
          <w:tblCellMar>
            <w:top w:w="0" w:type="dxa"/>
            <w:left w:w="108" w:type="dxa"/>
            <w:bottom w:w="0" w:type="dxa"/>
            <w:right w:w="108" w:type="dxa"/>
          </w:tblCellMar>
        </w:tblPrEx>
        <w:trPr>
          <w:trHeight w:val="567" w:hRule="exact"/>
          <w:jc w:val="center"/>
        </w:trPr>
        <w:tc>
          <w:tcPr>
            <w:tcW w:w="2356" w:type="dxa"/>
            <w:vAlign w:val="center"/>
          </w:tcPr>
          <w:p w14:paraId="61851DA9">
            <w:pPr>
              <w:spacing w:after="100" w:afterAutospacing="1" w:line="440" w:lineRule="exact"/>
              <w:jc w:val="left"/>
              <w:rPr>
                <w:rFonts w:ascii="仿宋" w:hAnsi="仿宋" w:eastAsia="仿宋" w:cs="仿宋"/>
                <w:color w:val="auto"/>
                <w:sz w:val="28"/>
                <w:szCs w:val="28"/>
              </w:rPr>
            </w:pPr>
            <w:r>
              <w:rPr>
                <w:rFonts w:hint="eastAsia" w:ascii="仿宋" w:hAnsi="仿宋" w:eastAsia="仿宋" w:cs="仿宋"/>
                <w:color w:val="auto"/>
                <w:kern w:val="0"/>
                <w:sz w:val="28"/>
                <w:szCs w:val="28"/>
              </w:rPr>
              <w:t>采购代理机构</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rPr>
              <w:t>：</w:t>
            </w:r>
          </w:p>
        </w:tc>
        <w:tc>
          <w:tcPr>
            <w:tcW w:w="5445" w:type="dxa"/>
            <w:vAlign w:val="center"/>
          </w:tcPr>
          <w:p w14:paraId="677D835D">
            <w:pPr>
              <w:spacing w:after="100" w:afterAutospacing="1" w:line="44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绍兴市千目招标代理有限公司</w:t>
            </w:r>
          </w:p>
        </w:tc>
      </w:tr>
      <w:tr w14:paraId="268D7C77">
        <w:tblPrEx>
          <w:tblCellMar>
            <w:top w:w="0" w:type="dxa"/>
            <w:left w:w="108" w:type="dxa"/>
            <w:bottom w:w="0" w:type="dxa"/>
            <w:right w:w="108" w:type="dxa"/>
          </w:tblCellMar>
        </w:tblPrEx>
        <w:trPr>
          <w:trHeight w:val="567" w:hRule="exact"/>
          <w:jc w:val="center"/>
        </w:trPr>
        <w:tc>
          <w:tcPr>
            <w:tcW w:w="2356" w:type="dxa"/>
            <w:shd w:val="clear" w:color="auto" w:fill="auto"/>
            <w:vAlign w:val="center"/>
          </w:tcPr>
          <w:p w14:paraId="571C96C5">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pacing w:val="11"/>
                <w:kern w:val="0"/>
                <w:sz w:val="28"/>
                <w:szCs w:val="28"/>
                <w:fitText w:val="1680" w:id="1456099094"/>
              </w:rPr>
              <w:t>监</w:t>
            </w:r>
            <w:r>
              <w:rPr>
                <w:rFonts w:hint="eastAsia" w:ascii="仿宋" w:hAnsi="仿宋" w:eastAsia="仿宋" w:cs="仿宋"/>
                <w:color w:val="auto"/>
                <w:spacing w:val="11"/>
                <w:kern w:val="0"/>
                <w:sz w:val="28"/>
                <w:szCs w:val="28"/>
                <w:fitText w:val="1680" w:id="1456099094"/>
                <w:lang w:val="en-US" w:eastAsia="zh-CN"/>
              </w:rPr>
              <w:t xml:space="preserve"> </w:t>
            </w:r>
            <w:r>
              <w:rPr>
                <w:rFonts w:hint="eastAsia" w:ascii="仿宋" w:hAnsi="仿宋" w:eastAsia="仿宋" w:cs="仿宋"/>
                <w:color w:val="auto"/>
                <w:spacing w:val="11"/>
                <w:kern w:val="0"/>
                <w:sz w:val="28"/>
                <w:szCs w:val="28"/>
                <w:fitText w:val="1680" w:id="1456099094"/>
              </w:rPr>
              <w:t>督</w:t>
            </w:r>
            <w:r>
              <w:rPr>
                <w:rFonts w:hint="eastAsia" w:ascii="仿宋" w:hAnsi="仿宋" w:eastAsia="仿宋" w:cs="仿宋"/>
                <w:color w:val="auto"/>
                <w:spacing w:val="11"/>
                <w:kern w:val="0"/>
                <w:sz w:val="28"/>
                <w:szCs w:val="28"/>
                <w:fitText w:val="1680" w:id="1456099094"/>
                <w:lang w:val="en-US" w:eastAsia="zh-CN"/>
              </w:rPr>
              <w:t xml:space="preserve"> </w:t>
            </w:r>
            <w:r>
              <w:rPr>
                <w:rFonts w:hint="eastAsia" w:ascii="仿宋" w:hAnsi="仿宋" w:eastAsia="仿宋" w:cs="仿宋"/>
                <w:color w:val="auto"/>
                <w:spacing w:val="11"/>
                <w:kern w:val="0"/>
                <w:sz w:val="28"/>
                <w:szCs w:val="28"/>
                <w:fitText w:val="1680" w:id="1456099094"/>
              </w:rPr>
              <w:t>单</w:t>
            </w:r>
            <w:r>
              <w:rPr>
                <w:rFonts w:hint="eastAsia" w:ascii="仿宋" w:hAnsi="仿宋" w:eastAsia="仿宋" w:cs="仿宋"/>
                <w:color w:val="auto"/>
                <w:spacing w:val="11"/>
                <w:kern w:val="0"/>
                <w:sz w:val="28"/>
                <w:szCs w:val="28"/>
                <w:fitText w:val="1680" w:id="1456099094"/>
                <w:lang w:val="en-US" w:eastAsia="zh-CN"/>
              </w:rPr>
              <w:t xml:space="preserve"> </w:t>
            </w:r>
            <w:r>
              <w:rPr>
                <w:rFonts w:hint="eastAsia" w:ascii="仿宋" w:hAnsi="仿宋" w:eastAsia="仿宋" w:cs="仿宋"/>
                <w:color w:val="auto"/>
                <w:spacing w:val="4"/>
                <w:kern w:val="0"/>
                <w:sz w:val="28"/>
                <w:szCs w:val="28"/>
                <w:fitText w:val="1680" w:id="1456099094"/>
              </w:rPr>
              <w:t>位</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rPr>
              <w:t>：</w:t>
            </w:r>
          </w:p>
        </w:tc>
        <w:tc>
          <w:tcPr>
            <w:tcW w:w="5445" w:type="dxa"/>
            <w:shd w:val="clear" w:color="auto" w:fill="auto"/>
            <w:vAlign w:val="top"/>
          </w:tcPr>
          <w:p w14:paraId="34A5027B">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嵊州市采购监管</w:t>
            </w:r>
          </w:p>
        </w:tc>
      </w:tr>
      <w:tr w14:paraId="6179F252">
        <w:tblPrEx>
          <w:tblCellMar>
            <w:top w:w="0" w:type="dxa"/>
            <w:left w:w="108" w:type="dxa"/>
            <w:bottom w:w="0" w:type="dxa"/>
            <w:right w:w="108" w:type="dxa"/>
          </w:tblCellMar>
        </w:tblPrEx>
        <w:trPr>
          <w:trHeight w:val="567" w:hRule="exact"/>
          <w:jc w:val="center"/>
        </w:trPr>
        <w:tc>
          <w:tcPr>
            <w:tcW w:w="7801" w:type="dxa"/>
            <w:gridSpan w:val="2"/>
            <w:vAlign w:val="center"/>
          </w:tcPr>
          <w:p w14:paraId="247EDF42">
            <w:pPr>
              <w:spacing w:after="100" w:afterAutospacing="1"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二〇二</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rPr>
              <w:t>月</w:t>
            </w:r>
          </w:p>
        </w:tc>
      </w:tr>
    </w:tbl>
    <w:p w14:paraId="0886A22B">
      <w:p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643772E6">
      <w:pPr>
        <w:spacing w:line="360" w:lineRule="auto"/>
        <w:jc w:val="center"/>
        <w:rPr>
          <w:rFonts w:ascii="仿宋" w:hAnsi="仿宋" w:eastAsia="仿宋" w:cs="仿宋"/>
          <w:sz w:val="32"/>
          <w:szCs w:val="32"/>
        </w:rPr>
      </w:pPr>
      <w:r>
        <w:rPr>
          <w:rFonts w:hint="eastAsia" w:ascii="仿宋" w:hAnsi="仿宋" w:eastAsia="仿宋" w:cs="仿宋"/>
          <w:b/>
          <w:sz w:val="48"/>
          <w:szCs w:val="48"/>
        </w:rPr>
        <w:t>目  录</w:t>
      </w:r>
    </w:p>
    <w:p w14:paraId="04FCBEE6">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sz w:val="36"/>
          <w:szCs w:val="36"/>
        </w:rPr>
      </w:pPr>
      <w:r>
        <w:rPr>
          <w:rFonts w:hint="eastAsia" w:ascii="仿宋" w:hAnsi="仿宋" w:eastAsia="仿宋" w:cs="仿宋"/>
          <w:b/>
          <w:bCs/>
          <w:sz w:val="36"/>
          <w:szCs w:val="36"/>
        </w:rPr>
        <w:t>第一部分      磋商公告</w:t>
      </w:r>
    </w:p>
    <w:p w14:paraId="4EC536D7">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355FCBE9">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第三部分      采购需求</w:t>
      </w:r>
    </w:p>
    <w:p w14:paraId="781DB1E5">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第四部分      评审方法及标准</w:t>
      </w:r>
    </w:p>
    <w:p w14:paraId="7471EF68">
      <w:pPr>
        <w:spacing w:line="360" w:lineRule="auto"/>
        <w:ind w:firstLine="1807" w:firstLineChars="500"/>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6894254D">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第六部分      磋商响应文件及其附件格式</w:t>
      </w:r>
    </w:p>
    <w:p w14:paraId="361CB978">
      <w:pPr>
        <w:spacing w:line="360" w:lineRule="auto"/>
        <w:ind w:firstLine="549" w:firstLineChars="229"/>
        <w:rPr>
          <w:rFonts w:ascii="仿宋" w:hAnsi="仿宋" w:eastAsia="仿宋" w:cs="仿宋"/>
          <w:sz w:val="24"/>
        </w:rPr>
      </w:pPr>
      <w:bookmarkStart w:id="0" w:name="_Hlt91233176"/>
      <w:bookmarkEnd w:id="0"/>
      <w:bookmarkStart w:id="1" w:name="_Toc91899869"/>
    </w:p>
    <w:p w14:paraId="6A6C8A83">
      <w:pPr>
        <w:spacing w:line="360" w:lineRule="auto"/>
        <w:ind w:firstLine="549" w:firstLineChars="229"/>
        <w:rPr>
          <w:rFonts w:ascii="宋体" w:hAnsi="宋体" w:eastAsia="宋体" w:cs="仿宋_GB2312"/>
          <w:sz w:val="24"/>
        </w:rPr>
      </w:pPr>
    </w:p>
    <w:p w14:paraId="1E937D0D">
      <w:pPr>
        <w:spacing w:line="360" w:lineRule="auto"/>
        <w:ind w:firstLine="549" w:firstLineChars="229"/>
        <w:rPr>
          <w:rFonts w:ascii="宋体" w:hAnsi="宋体" w:eastAsia="宋体" w:cs="仿宋_GB2312"/>
          <w:sz w:val="24"/>
        </w:rPr>
      </w:pPr>
    </w:p>
    <w:p w14:paraId="75EB117A">
      <w:pPr>
        <w:spacing w:line="360" w:lineRule="auto"/>
        <w:ind w:firstLine="549" w:firstLineChars="229"/>
        <w:rPr>
          <w:rFonts w:ascii="宋体" w:hAnsi="宋体" w:eastAsia="宋体" w:cs="仿宋_GB2312"/>
          <w:sz w:val="24"/>
        </w:rPr>
      </w:pPr>
    </w:p>
    <w:p w14:paraId="5586E094">
      <w:pPr>
        <w:spacing w:line="360" w:lineRule="auto"/>
        <w:ind w:firstLine="549" w:firstLineChars="229"/>
        <w:rPr>
          <w:rFonts w:ascii="宋体" w:hAnsi="宋体" w:eastAsia="宋体" w:cs="仿宋_GB2312"/>
          <w:sz w:val="24"/>
        </w:rPr>
      </w:pPr>
    </w:p>
    <w:p w14:paraId="57624334">
      <w:pPr>
        <w:spacing w:line="360" w:lineRule="auto"/>
        <w:ind w:firstLine="549" w:firstLineChars="229"/>
        <w:rPr>
          <w:rFonts w:ascii="宋体" w:hAnsi="宋体" w:eastAsia="宋体" w:cs="仿宋_GB2312"/>
          <w:sz w:val="24"/>
        </w:rPr>
      </w:pPr>
    </w:p>
    <w:p w14:paraId="769318F0">
      <w:pPr>
        <w:spacing w:line="360" w:lineRule="auto"/>
        <w:ind w:firstLine="549" w:firstLineChars="229"/>
        <w:rPr>
          <w:rFonts w:ascii="宋体" w:hAnsi="宋体" w:eastAsia="宋体" w:cs="仿宋_GB2312"/>
          <w:sz w:val="24"/>
        </w:rPr>
      </w:pPr>
    </w:p>
    <w:p w14:paraId="78406844">
      <w:pPr>
        <w:spacing w:line="360" w:lineRule="auto"/>
        <w:ind w:firstLine="549" w:firstLineChars="229"/>
        <w:rPr>
          <w:rFonts w:ascii="宋体" w:hAnsi="宋体" w:eastAsia="宋体" w:cs="仿宋_GB2312"/>
          <w:sz w:val="24"/>
        </w:rPr>
      </w:pPr>
    </w:p>
    <w:p w14:paraId="050503E6">
      <w:pPr>
        <w:spacing w:line="360" w:lineRule="auto"/>
        <w:ind w:firstLine="549" w:firstLineChars="229"/>
        <w:rPr>
          <w:rFonts w:ascii="宋体" w:hAnsi="宋体" w:eastAsia="宋体" w:cs="仿宋_GB2312"/>
          <w:sz w:val="24"/>
        </w:rPr>
      </w:pPr>
    </w:p>
    <w:p w14:paraId="0515EE66">
      <w:pPr>
        <w:spacing w:line="360" w:lineRule="auto"/>
        <w:ind w:firstLine="549" w:firstLineChars="229"/>
        <w:rPr>
          <w:rFonts w:ascii="宋体" w:hAnsi="宋体" w:eastAsia="宋体" w:cs="仿宋_GB2312"/>
          <w:sz w:val="24"/>
        </w:rPr>
      </w:pPr>
    </w:p>
    <w:p w14:paraId="04B68E95">
      <w:pPr>
        <w:spacing w:line="360" w:lineRule="auto"/>
        <w:ind w:firstLine="549" w:firstLineChars="229"/>
        <w:rPr>
          <w:rFonts w:ascii="宋体" w:hAnsi="宋体" w:eastAsia="宋体" w:cs="仿宋_GB2312"/>
          <w:sz w:val="24"/>
        </w:rPr>
      </w:pPr>
    </w:p>
    <w:bookmarkEnd w:id="1"/>
    <w:p w14:paraId="6406FDBC">
      <w:pPr>
        <w:adjustRightInd/>
        <w:spacing w:line="360" w:lineRule="auto"/>
        <w:jc w:val="center"/>
        <w:outlineLvl w:val="0"/>
        <w:rPr>
          <w:rFonts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3AFA8D9D">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磋商公告</w:t>
      </w:r>
    </w:p>
    <w:p w14:paraId="3928393B">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14:paraId="51EDF4ED">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rPr>
        <w:t>嵊州市石璜镇2024年4个“百亩方”（寺新村、雅宅村、范油车村、白竹村、溪西村）永久基本农田连片整治工程项目方案编制服务项目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31</w:t>
      </w:r>
      <w:r>
        <w:rPr>
          <w:rFonts w:hint="eastAsia" w:ascii="仿宋" w:hAnsi="仿宋" w:eastAsia="仿宋" w:cs="仿宋"/>
          <w:sz w:val="24"/>
          <w:u w:val="single"/>
          <w:lang w:eastAsia="zh-CN"/>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75982DC3">
      <w:pPr>
        <w:pStyle w:val="3"/>
        <w:numPr>
          <w:ilvl w:val="0"/>
          <w:numId w:val="0"/>
        </w:numPr>
        <w:spacing w:line="336" w:lineRule="auto"/>
        <w:rPr>
          <w:rFonts w:ascii="仿宋" w:eastAsia="仿宋" w:cs="仿宋"/>
          <w:sz w:val="24"/>
          <w:szCs w:val="24"/>
        </w:rPr>
      </w:pPr>
      <w:bookmarkStart w:id="9" w:name="_Toc35393629"/>
      <w:bookmarkStart w:id="10" w:name="_Toc28359089"/>
      <w:bookmarkStart w:id="11" w:name="_Toc35393798"/>
      <w:bookmarkStart w:id="12" w:name="_Toc28359012"/>
      <w:r>
        <w:rPr>
          <w:rFonts w:hint="eastAsia" w:ascii="仿宋" w:eastAsia="仿宋" w:cs="仿宋"/>
          <w:sz w:val="24"/>
          <w:szCs w:val="24"/>
        </w:rPr>
        <w:t>一、项目基本情况</w:t>
      </w:r>
      <w:bookmarkEnd w:id="9"/>
      <w:bookmarkEnd w:id="10"/>
      <w:bookmarkEnd w:id="11"/>
      <w:bookmarkEnd w:id="12"/>
    </w:p>
    <w:p w14:paraId="4E746CAD">
      <w:pPr>
        <w:spacing w:line="336"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项目编号：SXQM-SZ202412-13YNN</w:t>
      </w:r>
    </w:p>
    <w:p w14:paraId="59ECB227">
      <w:pPr>
        <w:spacing w:line="336" w:lineRule="auto"/>
        <w:ind w:firstLine="480" w:firstLineChars="200"/>
        <w:rPr>
          <w:rFonts w:hint="eastAsia" w:ascii="仿宋" w:hAnsi="仿宋" w:eastAsia="仿宋" w:cs="仿宋"/>
          <w:color w:val="auto"/>
          <w:sz w:val="24"/>
          <w:u w:val="none"/>
          <w:lang w:val="en-US" w:eastAsia="zh-CN"/>
        </w:rPr>
      </w:pPr>
      <w:r>
        <w:rPr>
          <w:rFonts w:hint="eastAsia" w:ascii="仿宋" w:hAnsi="仿宋" w:eastAsia="仿宋" w:cs="仿宋"/>
          <w:b w:val="0"/>
          <w:bCs/>
          <w:color w:val="auto"/>
          <w:sz w:val="24"/>
        </w:rPr>
        <w:t>项目名称：嵊州市石璜镇2024年4个“百亩方”（寺新村、雅宅村、范油车村、白竹村、溪西村）永久基本农田连片整治工程项目方案编制服务项目</w:t>
      </w:r>
    </w:p>
    <w:p w14:paraId="7232F6FB">
      <w:pPr>
        <w:spacing w:line="336" w:lineRule="auto"/>
        <w:ind w:firstLine="480" w:firstLineChars="200"/>
        <w:rPr>
          <w:rFonts w:hint="eastAsia"/>
          <w:lang w:val="en-US" w:eastAsia="zh-CN"/>
        </w:rPr>
      </w:pPr>
      <w:r>
        <w:rPr>
          <w:rFonts w:hint="eastAsia" w:ascii="仿宋" w:hAnsi="仿宋" w:eastAsia="仿宋" w:cs="仿宋"/>
          <w:b w:val="0"/>
          <w:bCs/>
          <w:sz w:val="24"/>
        </w:rPr>
        <w:t>采购方式：竞争性磋商</w:t>
      </w:r>
    </w:p>
    <w:p w14:paraId="56AF62EC">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512600元</w:t>
      </w:r>
    </w:p>
    <w:p w14:paraId="7CD9B43C">
      <w:pPr>
        <w:spacing w:line="336" w:lineRule="auto"/>
        <w:ind w:firstLine="480" w:firstLineChars="200"/>
        <w:rPr>
          <w:rFonts w:hint="eastAsia"/>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512600元</w:t>
      </w:r>
    </w:p>
    <w:p w14:paraId="4803C313">
      <w:pPr>
        <w:spacing w:line="336"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数量：1</w:t>
      </w:r>
    </w:p>
    <w:p w14:paraId="76CE9FA7">
      <w:pPr>
        <w:spacing w:line="336"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简要规格描述：详见磋商文件。</w:t>
      </w:r>
    </w:p>
    <w:p w14:paraId="49B820F1">
      <w:pPr>
        <w:spacing w:line="336"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采购需求：详见磋商文件第三部分。</w:t>
      </w:r>
    </w:p>
    <w:p w14:paraId="2D7CD9BD">
      <w:pPr>
        <w:spacing w:line="336" w:lineRule="auto"/>
        <w:ind w:firstLine="480" w:firstLineChars="200"/>
        <w:rPr>
          <w:rFonts w:hint="eastAsia" w:eastAsia="仿宋"/>
          <w:lang w:eastAsia="zh-CN"/>
        </w:rPr>
      </w:pPr>
      <w:r>
        <w:rPr>
          <w:rFonts w:hint="eastAsia" w:ascii="仿宋" w:hAnsi="仿宋" w:eastAsia="仿宋" w:cs="仿宋"/>
          <w:b w:val="0"/>
          <w:bCs/>
          <w:color w:val="auto"/>
          <w:sz w:val="24"/>
        </w:rPr>
        <w:t>合同履行期限：详见磋商文件</w:t>
      </w:r>
      <w:r>
        <w:rPr>
          <w:rFonts w:hint="eastAsia" w:ascii="仿宋" w:hAnsi="仿宋" w:eastAsia="仿宋" w:cs="仿宋"/>
          <w:b w:val="0"/>
          <w:bCs/>
          <w:color w:val="auto"/>
          <w:sz w:val="24"/>
          <w:lang w:eastAsia="zh-CN"/>
        </w:rPr>
        <w:t>。</w:t>
      </w:r>
    </w:p>
    <w:p w14:paraId="0690C5FF">
      <w:pPr>
        <w:spacing w:line="336" w:lineRule="auto"/>
        <w:ind w:firstLine="420" w:firstLineChars="200"/>
        <w:rPr>
          <w:rFonts w:hint="eastAsia" w:ascii="仿宋" w:hAnsi="仿宋" w:eastAsia="仿宋" w:cs="仿宋"/>
          <w:b/>
          <w:bCs/>
          <w:color w:val="auto"/>
          <w:sz w:val="24"/>
        </w:rPr>
      </w:pPr>
      <w:r>
        <w:rPr>
          <w:rFonts w:hint="eastAsia" w:eastAsia="仿宋"/>
          <w:lang w:val="en-US" w:eastAsia="zh-CN"/>
        </w:rPr>
        <w:t xml:space="preserve"> </w:t>
      </w: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bookmarkStart w:id="13" w:name="_Toc35393630"/>
      <w:bookmarkStart w:id="14" w:name="_Toc35393799"/>
      <w:bookmarkStart w:id="15" w:name="_Toc28359013"/>
      <w:bookmarkStart w:id="16" w:name="_Toc28359090"/>
    </w:p>
    <w:p w14:paraId="04ADEB8E">
      <w:pPr>
        <w:pStyle w:val="3"/>
        <w:numPr>
          <w:ilvl w:val="0"/>
          <w:numId w:val="0"/>
        </w:numPr>
        <w:spacing w:line="336" w:lineRule="auto"/>
        <w:rPr>
          <w:rFonts w:hint="eastAsia" w:ascii="仿宋" w:eastAsia="仿宋" w:cs="仿宋"/>
          <w:sz w:val="24"/>
          <w:szCs w:val="24"/>
        </w:rPr>
      </w:pPr>
      <w:r>
        <w:rPr>
          <w:rFonts w:hint="eastAsia" w:ascii="仿宋" w:eastAsia="仿宋" w:cs="仿宋"/>
          <w:sz w:val="24"/>
          <w:szCs w:val="24"/>
        </w:rPr>
        <w:t>二、申请人的资格要求：</w:t>
      </w:r>
      <w:bookmarkEnd w:id="13"/>
      <w:bookmarkEnd w:id="14"/>
      <w:bookmarkEnd w:id="15"/>
      <w:bookmarkEnd w:id="16"/>
    </w:p>
    <w:p w14:paraId="78619A4E">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1802FD0">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0FC20DE1">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17D3D058">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14:paraId="76C5372D">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15CB899A">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34B07783">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45554612">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eastAsia="zh-CN"/>
        </w:rPr>
        <w:t>无</w:t>
      </w:r>
      <w:r>
        <w:rPr>
          <w:rFonts w:hint="eastAsia" w:ascii="仿宋" w:hAnsi="仿宋" w:eastAsia="仿宋" w:cs="仿宋"/>
          <w:color w:val="auto"/>
          <w:sz w:val="24"/>
        </w:rPr>
        <w:t>；</w:t>
      </w:r>
    </w:p>
    <w:p w14:paraId="042C9A9E">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580D64">
      <w:pPr>
        <w:pStyle w:val="3"/>
        <w:numPr>
          <w:ilvl w:val="0"/>
          <w:numId w:val="0"/>
        </w:numPr>
        <w:spacing w:line="336" w:lineRule="auto"/>
        <w:rPr>
          <w:rFonts w:hint="eastAsia" w:ascii="仿宋" w:eastAsia="仿宋" w:cs="仿宋"/>
          <w:sz w:val="24"/>
          <w:szCs w:val="24"/>
        </w:rPr>
      </w:pPr>
      <w:bookmarkStart w:id="17" w:name="_Toc35393800"/>
      <w:bookmarkStart w:id="18" w:name="_Toc35393631"/>
      <w:bookmarkStart w:id="19" w:name="_Toc28359014"/>
      <w:bookmarkStart w:id="20" w:name="_Toc28359091"/>
      <w:r>
        <w:rPr>
          <w:rFonts w:hint="eastAsia" w:ascii="仿宋" w:eastAsia="仿宋" w:cs="仿宋"/>
          <w:sz w:val="24"/>
          <w:szCs w:val="24"/>
        </w:rPr>
        <w:t>三、获取（下载）采购文件</w:t>
      </w:r>
      <w:bookmarkEnd w:id="17"/>
      <w:bookmarkEnd w:id="18"/>
      <w:bookmarkEnd w:id="19"/>
      <w:bookmarkEnd w:id="20"/>
    </w:p>
    <w:p w14:paraId="407D10AF">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2024年</w:t>
      </w:r>
      <w:r>
        <w:rPr>
          <w:rFonts w:hint="eastAsia" w:ascii="仿宋" w:hAnsi="仿宋" w:eastAsia="仿宋" w:cs="仿宋"/>
          <w:color w:val="auto"/>
          <w:sz w:val="24"/>
          <w:lang w:val="en-US" w:eastAsia="zh-CN"/>
        </w:rPr>
        <w:t>12</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31</w:t>
      </w:r>
      <w:r>
        <w:rPr>
          <w:rFonts w:hint="eastAsia" w:ascii="仿宋" w:hAnsi="仿宋" w:eastAsia="仿宋" w:cs="仿宋"/>
          <w:color w:val="auto"/>
          <w:sz w:val="24"/>
          <w:lang w:eastAsia="zh-CN"/>
        </w:rPr>
        <w:t>日</w:t>
      </w:r>
      <w:r>
        <w:rPr>
          <w:rFonts w:hint="eastAsia" w:ascii="仿宋" w:hAnsi="仿宋" w:eastAsia="仿宋" w:cs="仿宋"/>
          <w:color w:val="auto"/>
          <w:sz w:val="24"/>
        </w:rPr>
        <w:t>，每天上午00:00至12:00 ，下午12:00至23:59（北京时间，线上获取法定节假日均可，线下获取文件法定节假日除外）；</w:t>
      </w:r>
    </w:p>
    <w:p w14:paraId="5B1DB367">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0"/>
          <w:rFonts w:hint="eastAsia" w:ascii="仿宋" w:hAnsi="仿宋" w:eastAsia="仿宋" w:cs="仿宋"/>
          <w:b w:val="0"/>
          <w:bCs/>
          <w:color w:val="auto"/>
          <w:sz w:val="24"/>
        </w:rPr>
        <w:t>https://www.zcygov.cn/</w:t>
      </w:r>
      <w:r>
        <w:rPr>
          <w:rStyle w:val="70"/>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53791AC7">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22E4224E">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45061327">
      <w:pPr>
        <w:pStyle w:val="3"/>
        <w:numPr>
          <w:ilvl w:val="0"/>
          <w:numId w:val="0"/>
        </w:numPr>
        <w:spacing w:line="336" w:lineRule="auto"/>
        <w:rPr>
          <w:rFonts w:hint="eastAsia" w:ascii="仿宋" w:eastAsia="仿宋" w:cs="仿宋"/>
          <w:sz w:val="24"/>
          <w:szCs w:val="24"/>
        </w:rPr>
      </w:pPr>
      <w:bookmarkStart w:id="21" w:name="_Toc28359092"/>
      <w:bookmarkStart w:id="22" w:name="_Toc35393632"/>
      <w:bookmarkStart w:id="23" w:name="_Toc35393801"/>
      <w:bookmarkStart w:id="24" w:name="_Toc28359015"/>
      <w:r>
        <w:rPr>
          <w:rFonts w:hint="eastAsia" w:ascii="仿宋" w:eastAsia="仿宋" w:cs="仿宋"/>
          <w:sz w:val="24"/>
          <w:szCs w:val="24"/>
        </w:rPr>
        <w:t>四、响应文件提交</w:t>
      </w:r>
      <w:bookmarkEnd w:id="21"/>
      <w:bookmarkEnd w:id="22"/>
      <w:bookmarkEnd w:id="23"/>
      <w:bookmarkEnd w:id="24"/>
      <w:r>
        <w:rPr>
          <w:rFonts w:hint="eastAsia" w:ascii="仿宋" w:eastAsia="仿宋" w:cs="仿宋"/>
          <w:sz w:val="24"/>
          <w:szCs w:val="24"/>
        </w:rPr>
        <w:t>（上传）</w:t>
      </w:r>
    </w:p>
    <w:p w14:paraId="64C238BD">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lang w:eastAsia="zh-CN"/>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52ED988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0"/>
          <w:rFonts w:hint="eastAsia" w:ascii="仿宋" w:hAnsi="仿宋" w:eastAsia="仿宋" w:cs="仿宋"/>
          <w:b w:val="0"/>
          <w:bCs/>
          <w:color w:val="auto"/>
          <w:kern w:val="2"/>
          <w:sz w:val="24"/>
          <w:szCs w:val="24"/>
        </w:rPr>
        <w:t>https://www.zcygov.cn/</w:t>
      </w:r>
      <w:r>
        <w:rPr>
          <w:rStyle w:val="70"/>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278FCE4F">
      <w:pPr>
        <w:pStyle w:val="3"/>
        <w:numPr>
          <w:ilvl w:val="0"/>
          <w:numId w:val="0"/>
        </w:numPr>
        <w:spacing w:line="336" w:lineRule="auto"/>
        <w:rPr>
          <w:rFonts w:hint="eastAsia" w:ascii="仿宋" w:eastAsia="仿宋" w:cs="仿宋"/>
          <w:sz w:val="24"/>
          <w:szCs w:val="24"/>
        </w:rPr>
      </w:pPr>
      <w:bookmarkStart w:id="25" w:name="_Toc28359016"/>
      <w:bookmarkStart w:id="26" w:name="_Toc28359093"/>
      <w:bookmarkStart w:id="27" w:name="_Toc35393633"/>
      <w:bookmarkStart w:id="28" w:name="_Toc35393802"/>
      <w:r>
        <w:rPr>
          <w:rFonts w:hint="eastAsia" w:ascii="仿宋" w:eastAsia="仿宋" w:cs="仿宋"/>
          <w:sz w:val="24"/>
          <w:szCs w:val="24"/>
        </w:rPr>
        <w:t>五、响应文件开启</w:t>
      </w:r>
      <w:bookmarkEnd w:id="25"/>
      <w:bookmarkEnd w:id="26"/>
      <w:bookmarkEnd w:id="27"/>
      <w:bookmarkEnd w:id="28"/>
    </w:p>
    <w:p w14:paraId="1594CCC0">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lang w:eastAsia="zh-CN"/>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31</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09D57818">
      <w:pPr>
        <w:spacing w:line="336" w:lineRule="auto"/>
        <w:ind w:firstLine="480" w:firstLineChars="200"/>
        <w:rPr>
          <w:rFonts w:hint="eastAsia" w:ascii="仿宋" w:eastAsia="仿宋" w:cs="仿宋"/>
          <w:color w:val="auto"/>
          <w:sz w:val="24"/>
          <w:szCs w:val="24"/>
          <w:lang w:val="en-US" w:eastAsia="zh-CN"/>
        </w:rPr>
      </w:pPr>
      <w:r>
        <w:rPr>
          <w:rFonts w:hint="eastAsia" w:ascii="仿宋" w:hAnsi="仿宋" w:eastAsia="仿宋" w:cs="仿宋"/>
          <w:color w:val="auto"/>
          <w:sz w:val="24"/>
        </w:rPr>
        <w:t>地点（网址）：政采云平台（https://www.zcygov.cn/）。</w:t>
      </w:r>
      <w:bookmarkStart w:id="29" w:name="_Toc35393803"/>
      <w:bookmarkStart w:id="30" w:name="_Toc35393634"/>
      <w:bookmarkStart w:id="31" w:name="_Toc28359094"/>
      <w:bookmarkStart w:id="32" w:name="_Toc28359017"/>
    </w:p>
    <w:p w14:paraId="51642217">
      <w:pPr>
        <w:pStyle w:val="3"/>
        <w:numPr>
          <w:ilvl w:val="0"/>
          <w:numId w:val="0"/>
        </w:numPr>
        <w:spacing w:line="336" w:lineRule="auto"/>
        <w:rPr>
          <w:rFonts w:ascii="仿宋" w:eastAsia="仿宋" w:cs="仿宋"/>
          <w:sz w:val="24"/>
          <w:szCs w:val="24"/>
        </w:rPr>
      </w:pPr>
      <w:r>
        <w:rPr>
          <w:rFonts w:hint="eastAsia" w:ascii="仿宋" w:eastAsia="仿宋" w:cs="仿宋"/>
          <w:sz w:val="24"/>
          <w:szCs w:val="24"/>
          <w:lang w:val="en-US" w:eastAsia="zh-CN"/>
        </w:rPr>
        <w:t>六</w:t>
      </w:r>
      <w:r>
        <w:rPr>
          <w:rFonts w:hint="eastAsia" w:ascii="仿宋" w:eastAsia="仿宋" w:cs="仿宋"/>
          <w:sz w:val="24"/>
          <w:szCs w:val="24"/>
        </w:rPr>
        <w:t>、公告期限</w:t>
      </w:r>
      <w:bookmarkEnd w:id="29"/>
      <w:bookmarkEnd w:id="30"/>
      <w:bookmarkEnd w:id="31"/>
      <w:bookmarkEnd w:id="32"/>
    </w:p>
    <w:p w14:paraId="088382A5">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472624A4">
      <w:pPr>
        <w:pStyle w:val="3"/>
        <w:numPr>
          <w:ilvl w:val="0"/>
          <w:numId w:val="0"/>
        </w:numPr>
        <w:spacing w:line="336" w:lineRule="auto"/>
        <w:rPr>
          <w:rFonts w:hint="eastAsia" w:ascii="仿宋" w:eastAsia="仿宋" w:cs="仿宋"/>
          <w:sz w:val="24"/>
          <w:szCs w:val="24"/>
        </w:rPr>
      </w:pPr>
      <w:bookmarkStart w:id="33" w:name="_Toc35393804"/>
      <w:bookmarkStart w:id="34" w:name="_Toc35393635"/>
      <w:r>
        <w:rPr>
          <w:rFonts w:hint="eastAsia" w:ascii="仿宋" w:eastAsia="仿宋" w:cs="仿宋"/>
          <w:sz w:val="24"/>
          <w:szCs w:val="24"/>
          <w:lang w:val="en-US" w:eastAsia="zh-CN"/>
        </w:rPr>
        <w:t>七</w:t>
      </w:r>
      <w:r>
        <w:rPr>
          <w:rFonts w:hint="eastAsia" w:ascii="仿宋" w:eastAsia="仿宋" w:cs="仿宋"/>
          <w:sz w:val="24"/>
          <w:szCs w:val="24"/>
        </w:rPr>
        <w:t>、其他补充事宜</w:t>
      </w:r>
      <w:bookmarkEnd w:id="33"/>
      <w:bookmarkEnd w:id="34"/>
    </w:p>
    <w:p w14:paraId="6E660E19">
      <w:pPr>
        <w:spacing w:line="440" w:lineRule="exact"/>
        <w:ind w:firstLine="480" w:firstLineChars="200"/>
        <w:rPr>
          <w:rFonts w:ascii="仿宋" w:hAnsi="仿宋" w:eastAsia="仿宋" w:cs="仿宋"/>
          <w:sz w:val="24"/>
          <w:highlight w:val="none"/>
        </w:rPr>
      </w:pPr>
      <w:r>
        <w:rPr>
          <w:rFonts w:hint="eastAsia" w:ascii="仿宋" w:hAnsi="仿宋" w:eastAsia="仿宋" w:cs="仿宋"/>
          <w:sz w:val="24"/>
          <w:lang w:val="en-US" w:eastAsia="zh-CN"/>
        </w:rPr>
        <w:t>1.</w:t>
      </w:r>
      <w:r>
        <w:rPr>
          <w:rFonts w:hint="eastAsia" w:ascii="仿宋" w:hAnsi="仿宋" w:eastAsia="仿宋" w:cs="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p>
    <w:p w14:paraId="6847892D">
      <w:pPr>
        <w:spacing w:line="44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DF19AC">
      <w:pPr>
        <w:spacing w:line="44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FECADE">
      <w:pPr>
        <w:spacing w:line="440" w:lineRule="exact"/>
        <w:ind w:firstLine="480" w:firstLineChars="200"/>
        <w:rPr>
          <w:rFonts w:hint="eastAsia" w:ascii="仿宋" w:hAnsi="仿宋" w:eastAsia="仿宋" w:cs="仿宋"/>
          <w:b/>
          <w:bCs/>
          <w:sz w:val="24"/>
          <w:lang w:val="en-US" w:eastAsia="zh-CN"/>
        </w:rPr>
      </w:pPr>
      <w:r>
        <w:rPr>
          <w:rFonts w:hint="eastAsia" w:ascii="仿宋" w:hAnsi="仿宋" w:eastAsia="仿宋" w:cs="仿宋"/>
          <w:sz w:val="24"/>
          <w:lang w:val="en-US" w:eastAsia="zh-CN"/>
        </w:rPr>
        <w:t>4.其他事项：（1）需要落实的政府采购政策：包括节约资源、保护环境、支持创新、促进中小企业发展等，详见磋商文件第三部分。（2）电子交易的说明: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磋商文件公告期限与磋商公告的公告期限一致。</w:t>
      </w:r>
      <w:bookmarkStart w:id="35" w:name="_Toc35393805"/>
      <w:bookmarkStart w:id="36" w:name="_Toc28359095"/>
      <w:bookmarkStart w:id="37" w:name="_Toc35393636"/>
      <w:bookmarkStart w:id="38" w:name="_Toc28359018"/>
    </w:p>
    <w:p w14:paraId="0E4618D8">
      <w:pPr>
        <w:spacing w:line="44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八、凡对本次采购提出询问、质疑、投诉，请按以下方式联系</w:t>
      </w:r>
      <w:bookmarkEnd w:id="35"/>
      <w:bookmarkEnd w:id="36"/>
      <w:bookmarkEnd w:id="37"/>
      <w:bookmarkEnd w:id="38"/>
    </w:p>
    <w:p w14:paraId="4E9E1E61">
      <w:pPr>
        <w:spacing w:line="336" w:lineRule="auto"/>
        <w:ind w:firstLine="480"/>
        <w:rPr>
          <w:rFonts w:hint="eastAsia" w:ascii="仿宋" w:hAnsi="仿宋" w:eastAsia="仿宋" w:cs="仿宋"/>
          <w:b/>
          <w:bCs/>
          <w:sz w:val="24"/>
          <w:lang w:val="en-US" w:eastAsia="zh-CN"/>
        </w:rPr>
      </w:pPr>
      <w:bookmarkStart w:id="39" w:name="_Toc35393637"/>
      <w:bookmarkStart w:id="40" w:name="_Toc28359096"/>
      <w:bookmarkStart w:id="41" w:name="_Toc28359019"/>
      <w:bookmarkStart w:id="42" w:name="_Toc35393806"/>
      <w:bookmarkStart w:id="43" w:name="_Toc35393639"/>
      <w:bookmarkStart w:id="44" w:name="_Toc35393808"/>
      <w:bookmarkStart w:id="45" w:name="_Toc28359098"/>
      <w:bookmarkStart w:id="46" w:name="_Toc28359021"/>
      <w:r>
        <w:rPr>
          <w:rFonts w:hint="eastAsia" w:ascii="仿宋" w:hAnsi="仿宋" w:eastAsia="仿宋" w:cs="仿宋"/>
          <w:b/>
          <w:bCs/>
          <w:sz w:val="24"/>
          <w:lang w:val="en-US" w:eastAsia="zh-CN"/>
        </w:rPr>
        <w:t>1.采购人信息</w:t>
      </w:r>
      <w:bookmarkEnd w:id="39"/>
      <w:bookmarkEnd w:id="40"/>
      <w:bookmarkEnd w:id="41"/>
      <w:bookmarkEnd w:id="42"/>
      <w:r>
        <w:rPr>
          <w:rFonts w:hint="eastAsia" w:ascii="仿宋" w:hAnsi="仿宋" w:eastAsia="仿宋" w:cs="仿宋"/>
          <w:b/>
          <w:bCs/>
          <w:sz w:val="24"/>
          <w:lang w:val="en-US" w:eastAsia="zh-CN"/>
        </w:rPr>
        <w:t>：</w:t>
      </w:r>
    </w:p>
    <w:p w14:paraId="2D607623">
      <w:pPr>
        <w:spacing w:line="336" w:lineRule="auto"/>
        <w:ind w:firstLine="480"/>
        <w:rPr>
          <w:rFonts w:hint="eastAsia" w:ascii="仿宋" w:hAnsi="仿宋" w:eastAsia="仿宋" w:cs="仿宋"/>
          <w:b w:val="0"/>
          <w:bCs w:val="0"/>
          <w:sz w:val="24"/>
        </w:rPr>
      </w:pPr>
      <w:r>
        <w:rPr>
          <w:rFonts w:hint="eastAsia" w:ascii="仿宋" w:hAnsi="仿宋" w:eastAsia="仿宋" w:cs="仿宋"/>
          <w:b w:val="0"/>
          <w:bCs w:val="0"/>
          <w:sz w:val="24"/>
        </w:rPr>
        <w:t>名    称：</w:t>
      </w:r>
      <w:r>
        <w:rPr>
          <w:rFonts w:hint="eastAsia" w:ascii="仿宋" w:hAnsi="仿宋" w:eastAsia="仿宋" w:cs="仿宋"/>
          <w:b w:val="0"/>
          <w:bCs w:val="0"/>
          <w:sz w:val="24"/>
          <w:lang w:val="en-US" w:eastAsia="zh-CN"/>
        </w:rPr>
        <w:t>嵊州市石璜镇人民政府</w:t>
      </w:r>
      <w:r>
        <w:rPr>
          <w:rFonts w:hint="eastAsia" w:ascii="仿宋" w:hAnsi="仿宋" w:eastAsia="仿宋" w:cs="仿宋"/>
          <w:b w:val="0"/>
          <w:bCs w:val="0"/>
          <w:sz w:val="24"/>
        </w:rPr>
        <w:t xml:space="preserve"> </w:t>
      </w:r>
    </w:p>
    <w:p w14:paraId="51BF2493">
      <w:pPr>
        <w:spacing w:line="336" w:lineRule="auto"/>
        <w:ind w:firstLine="480"/>
        <w:rPr>
          <w:rFonts w:hint="eastAsia" w:ascii="仿宋" w:hAnsi="仿宋" w:eastAsia="仿宋" w:cs="仿宋"/>
          <w:b w:val="0"/>
          <w:bCs w:val="0"/>
          <w:sz w:val="24"/>
        </w:rPr>
      </w:pPr>
      <w:r>
        <w:rPr>
          <w:rFonts w:hint="eastAsia" w:ascii="仿宋" w:hAnsi="仿宋" w:eastAsia="仿宋" w:cs="仿宋"/>
          <w:b w:val="0"/>
          <w:bCs w:val="0"/>
          <w:sz w:val="24"/>
        </w:rPr>
        <w:t>地    址：嵊州市石璜镇镇东路25号</w:t>
      </w:r>
      <w:bookmarkStart w:id="93" w:name="_GoBack"/>
      <w:bookmarkEnd w:id="93"/>
    </w:p>
    <w:p w14:paraId="47519849">
      <w:pPr>
        <w:spacing w:line="336" w:lineRule="auto"/>
        <w:ind w:firstLine="480"/>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王颖烨</w:t>
      </w:r>
    </w:p>
    <w:p w14:paraId="6BC5163C">
      <w:pPr>
        <w:spacing w:line="336" w:lineRule="auto"/>
        <w:ind w:firstLine="480"/>
        <w:rPr>
          <w:rFonts w:hint="default" w:ascii="仿宋" w:hAnsi="仿宋" w:eastAsia="仿宋" w:cs="仿宋"/>
          <w:sz w:val="24"/>
          <w:lang w:val="en-US" w:eastAsia="zh-CN"/>
        </w:rPr>
      </w:pPr>
      <w:r>
        <w:rPr>
          <w:rFonts w:hint="eastAsia" w:ascii="仿宋" w:hAnsi="仿宋" w:eastAsia="仿宋" w:cs="仿宋"/>
          <w:sz w:val="24"/>
          <w:lang w:eastAsia="zh-CN"/>
        </w:rPr>
        <w:t>项目联系方式：</w:t>
      </w:r>
      <w:r>
        <w:rPr>
          <w:rFonts w:hint="eastAsia" w:ascii="仿宋" w:hAnsi="仿宋" w:eastAsia="仿宋" w:cs="仿宋"/>
          <w:sz w:val="24"/>
          <w:lang w:val="en-US" w:eastAsia="zh-CN"/>
        </w:rPr>
        <w:t>0575-89303866</w:t>
      </w:r>
    </w:p>
    <w:p w14:paraId="70E5FA4A">
      <w:pPr>
        <w:spacing w:line="336" w:lineRule="auto"/>
        <w:ind w:firstLine="480"/>
        <w:rPr>
          <w:rFonts w:hint="eastAsia" w:ascii="仿宋" w:hAnsi="仿宋" w:eastAsia="仿宋" w:cs="仿宋"/>
          <w:b/>
          <w:bCs/>
          <w:sz w:val="24"/>
        </w:rPr>
      </w:pPr>
      <w:bookmarkStart w:id="47" w:name="_Toc28359097"/>
      <w:bookmarkStart w:id="48" w:name="_Toc35393638"/>
      <w:bookmarkStart w:id="49" w:name="_Toc28359020"/>
      <w:bookmarkStart w:id="50" w:name="_Toc35393807"/>
      <w:r>
        <w:rPr>
          <w:rFonts w:hint="eastAsia" w:ascii="仿宋" w:hAnsi="仿宋" w:eastAsia="仿宋" w:cs="仿宋"/>
          <w:b/>
          <w:bCs/>
          <w:sz w:val="24"/>
        </w:rPr>
        <w:t>2.采购代理机构信息</w:t>
      </w:r>
      <w:bookmarkEnd w:id="47"/>
      <w:bookmarkEnd w:id="48"/>
      <w:bookmarkEnd w:id="49"/>
      <w:bookmarkEnd w:id="50"/>
      <w:r>
        <w:rPr>
          <w:rFonts w:hint="eastAsia" w:ascii="仿宋" w:hAnsi="仿宋" w:eastAsia="仿宋" w:cs="仿宋"/>
          <w:b/>
          <w:bCs/>
          <w:sz w:val="24"/>
        </w:rPr>
        <w:t>：</w:t>
      </w:r>
    </w:p>
    <w:p w14:paraId="4EC7B5F8">
      <w:pPr>
        <w:spacing w:line="336"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w:t>
      </w:r>
      <w:r>
        <w:rPr>
          <w:rFonts w:hint="eastAsia" w:ascii="仿宋" w:hAnsi="仿宋" w:eastAsia="仿宋" w:cs="仿宋"/>
          <w:sz w:val="24"/>
          <w:lang w:val="en-US" w:eastAsia="zh-CN"/>
        </w:rPr>
        <w:t>绍兴市千目招标代理有限公司</w:t>
      </w:r>
      <w:r>
        <w:rPr>
          <w:rFonts w:hint="eastAsia" w:ascii="仿宋" w:hAnsi="仿宋" w:eastAsia="仿宋" w:cs="仿宋"/>
          <w:sz w:val="24"/>
        </w:rPr>
        <w:t xml:space="preserve">               </w:t>
      </w:r>
    </w:p>
    <w:p w14:paraId="79BB1EB2">
      <w:pPr>
        <w:spacing w:line="336"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val="en-US" w:eastAsia="zh-CN"/>
        </w:rPr>
        <w:t>嵊州市领带园二路5号天池创业园1号楼212室</w:t>
      </w:r>
      <w:r>
        <w:rPr>
          <w:rFonts w:hint="eastAsia" w:ascii="仿宋" w:hAnsi="仿宋" w:eastAsia="仿宋" w:cs="仿宋"/>
          <w:sz w:val="24"/>
        </w:rPr>
        <w:t xml:space="preserve"> </w:t>
      </w:r>
    </w:p>
    <w:p w14:paraId="350AD6FE">
      <w:pPr>
        <w:spacing w:line="336" w:lineRule="auto"/>
        <w:ind w:firstLine="48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裘女士</w:t>
      </w:r>
    </w:p>
    <w:p w14:paraId="06A44209">
      <w:pPr>
        <w:spacing w:line="336" w:lineRule="auto"/>
        <w:ind w:firstLine="480"/>
        <w:rPr>
          <w:rFonts w:hint="default" w:ascii="仿宋" w:hAnsi="仿宋" w:eastAsia="仿宋" w:cs="仿宋"/>
          <w:sz w:val="24"/>
          <w:lang w:val="en-US" w:eastAsia="zh-CN"/>
        </w:rPr>
      </w:pPr>
      <w:r>
        <w:rPr>
          <w:rFonts w:hint="eastAsia" w:ascii="仿宋" w:hAnsi="仿宋" w:eastAsia="仿宋" w:cs="仿宋"/>
          <w:sz w:val="24"/>
        </w:rPr>
        <w:t>项目联系方式（询问）：0575-</w:t>
      </w:r>
      <w:r>
        <w:rPr>
          <w:rFonts w:hint="eastAsia" w:ascii="仿宋" w:hAnsi="仿宋" w:eastAsia="仿宋" w:cs="仿宋"/>
          <w:sz w:val="24"/>
          <w:lang w:val="en-US" w:eastAsia="zh-CN"/>
        </w:rPr>
        <w:t>83276877</w:t>
      </w:r>
    </w:p>
    <w:p w14:paraId="27B7068B">
      <w:pPr>
        <w:spacing w:line="336" w:lineRule="auto"/>
        <w:ind w:firstLine="48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14:paraId="64411B63">
      <w:pPr>
        <w:spacing w:line="336" w:lineRule="auto"/>
        <w:rPr>
          <w:rFonts w:ascii="仿宋" w:hAnsi="仿宋" w:eastAsia="仿宋" w:cs="仿宋"/>
          <w:sz w:val="24"/>
        </w:rPr>
      </w:pPr>
      <w:r>
        <w:rPr>
          <w:rFonts w:hint="eastAsia" w:ascii="仿宋" w:hAnsi="仿宋" w:eastAsia="仿宋" w:cs="仿宋"/>
          <w:sz w:val="24"/>
        </w:rPr>
        <w:t xml:space="preserve">    </w:t>
      </w:r>
      <w:bookmarkEnd w:id="43"/>
      <w:bookmarkEnd w:id="44"/>
      <w:bookmarkEnd w:id="45"/>
      <w:bookmarkEnd w:id="46"/>
      <w:r>
        <w:rPr>
          <w:rFonts w:hint="eastAsia" w:ascii="仿宋" w:hAnsi="仿宋" w:eastAsia="仿宋" w:cs="仿宋"/>
          <w:sz w:val="24"/>
        </w:rPr>
        <w:t>名    称：</w:t>
      </w:r>
      <w:r>
        <w:rPr>
          <w:rFonts w:hint="eastAsia" w:ascii="仿宋" w:hAnsi="仿宋" w:eastAsia="仿宋" w:cs="仿宋"/>
          <w:color w:val="auto"/>
          <w:sz w:val="24"/>
        </w:rPr>
        <w:t>嵊州市采购监管</w:t>
      </w:r>
    </w:p>
    <w:p w14:paraId="2D23A3D6">
      <w:pPr>
        <w:spacing w:line="336"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rPr>
        <w:t>浙江省绍兴市嵊州市三江街道国资综合大楼1004室</w:t>
      </w:r>
      <w:r>
        <w:rPr>
          <w:rFonts w:hint="eastAsia" w:ascii="仿宋" w:hAnsi="仿宋" w:eastAsia="仿宋" w:cs="仿宋"/>
          <w:sz w:val="24"/>
        </w:rPr>
        <w:t xml:space="preserve"> </w:t>
      </w:r>
    </w:p>
    <w:p w14:paraId="135F3F42">
      <w:pPr>
        <w:spacing w:line="336" w:lineRule="auto"/>
        <w:rPr>
          <w:rFonts w:ascii="仿宋" w:hAnsi="仿宋" w:eastAsia="仿宋" w:cs="仿宋"/>
          <w:sz w:val="24"/>
        </w:rPr>
      </w:pPr>
      <w:r>
        <w:rPr>
          <w:rFonts w:hint="eastAsia" w:ascii="仿宋" w:hAnsi="仿宋" w:eastAsia="仿宋" w:cs="仿宋"/>
          <w:sz w:val="24"/>
        </w:rPr>
        <w:t xml:space="preserve">    联系人 ：</w:t>
      </w:r>
      <w:r>
        <w:rPr>
          <w:rFonts w:hint="eastAsia" w:ascii="仿宋" w:hAnsi="仿宋" w:eastAsia="仿宋" w:cs="仿宋"/>
          <w:color w:val="auto"/>
          <w:sz w:val="24"/>
          <w:lang w:eastAsia="zh-CN"/>
        </w:rPr>
        <w:t>陈</w:t>
      </w:r>
      <w:r>
        <w:rPr>
          <w:rFonts w:hint="eastAsia" w:ascii="仿宋" w:hAnsi="仿宋" w:eastAsia="仿宋" w:cs="仿宋"/>
          <w:color w:val="auto"/>
          <w:sz w:val="24"/>
        </w:rPr>
        <w:t>老师</w:t>
      </w:r>
      <w:r>
        <w:rPr>
          <w:rFonts w:hint="eastAsia" w:ascii="仿宋" w:hAnsi="仿宋" w:eastAsia="仿宋" w:cs="仿宋"/>
          <w:sz w:val="24"/>
        </w:rPr>
        <w:t xml:space="preserve"> </w:t>
      </w:r>
    </w:p>
    <w:p w14:paraId="38EEF8CE">
      <w:pPr>
        <w:spacing w:line="336" w:lineRule="auto"/>
        <w:ind w:firstLine="480"/>
        <w:rPr>
          <w:rFonts w:ascii="仿宋" w:hAnsi="仿宋" w:eastAsia="仿宋" w:cs="仿宋"/>
          <w:sz w:val="24"/>
        </w:rPr>
      </w:pPr>
      <w:r>
        <w:rPr>
          <w:rFonts w:hint="eastAsia" w:ascii="仿宋" w:hAnsi="仿宋" w:eastAsia="仿宋" w:cs="仿宋"/>
          <w:sz w:val="24"/>
        </w:rPr>
        <w:t xml:space="preserve">监督投诉电话：0575-83032507     </w:t>
      </w:r>
    </w:p>
    <w:p w14:paraId="6609C631">
      <w:pPr>
        <w:spacing w:line="336" w:lineRule="auto"/>
        <w:ind w:firstLine="480" w:firstLineChars="200"/>
        <w:rPr>
          <w:rFonts w:hint="eastAsia" w:ascii="仿宋" w:hAnsi="仿宋" w:eastAsia="仿宋" w:cs="仿宋"/>
          <w:sz w:val="24"/>
        </w:rPr>
      </w:pPr>
    </w:p>
    <w:p w14:paraId="122D9581">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4EBC2D04">
      <w:pPr>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454ED198">
      <w:pPr>
        <w:rPr>
          <w:rFonts w:hint="eastAsia" w:ascii="仿宋" w:hAnsi="仿宋" w:eastAsia="仿宋" w:cs="仿宋"/>
          <w:b/>
          <w:sz w:val="36"/>
          <w:szCs w:val="20"/>
        </w:rPr>
      </w:pPr>
      <w:r>
        <w:rPr>
          <w:rFonts w:hint="eastAsia" w:ascii="仿宋" w:hAnsi="仿宋" w:eastAsia="仿宋" w:cs="仿宋"/>
          <w:b/>
          <w:sz w:val="36"/>
          <w:szCs w:val="20"/>
        </w:rPr>
        <w:br w:type="page"/>
      </w:r>
    </w:p>
    <w:p w14:paraId="135B0DA7">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7FBAB11B">
      <w:pPr>
        <w:pStyle w:val="3"/>
        <w:numPr>
          <w:ilvl w:val="0"/>
          <w:numId w:val="0"/>
        </w:numPr>
        <w:bidi w:val="0"/>
        <w:ind w:leftChars="0"/>
        <w:jc w:val="center"/>
      </w:pPr>
      <w:r>
        <w:rPr>
          <w:rFonts w:hint="eastAsia"/>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2917"/>
        <w:gridCol w:w="4186"/>
      </w:tblGrid>
      <w:tr w14:paraId="5FEC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604410AC">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序号</w:t>
            </w:r>
          </w:p>
        </w:tc>
        <w:tc>
          <w:tcPr>
            <w:tcW w:w="8371" w:type="dxa"/>
            <w:gridSpan w:val="3"/>
            <w:vAlign w:val="center"/>
          </w:tcPr>
          <w:p w14:paraId="637BFA4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内　　　　容</w:t>
            </w:r>
          </w:p>
        </w:tc>
      </w:tr>
      <w:tr w14:paraId="6DC1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25586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1</w:t>
            </w:r>
          </w:p>
        </w:tc>
        <w:tc>
          <w:tcPr>
            <w:tcW w:w="8371" w:type="dxa"/>
            <w:gridSpan w:val="3"/>
            <w:vAlign w:val="center"/>
          </w:tcPr>
          <w:p w14:paraId="486949F4">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b/>
                <w:sz w:val="24"/>
              </w:rPr>
              <w:t>磋商响应人应当提交的资格、资信证明文件（如果有）</w:t>
            </w:r>
            <w:r>
              <w:rPr>
                <w:rFonts w:hint="eastAsia" w:ascii="仿宋" w:hAnsi="仿宋" w:eastAsia="仿宋" w:cs="仿宋"/>
                <w:sz w:val="24"/>
              </w:rPr>
              <w:t>：</w:t>
            </w:r>
          </w:p>
          <w:p w14:paraId="5BFFA90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070F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0BA6EA4E">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2</w:t>
            </w:r>
          </w:p>
        </w:tc>
        <w:tc>
          <w:tcPr>
            <w:tcW w:w="8371" w:type="dxa"/>
            <w:gridSpan w:val="3"/>
            <w:vAlign w:val="center"/>
          </w:tcPr>
          <w:p w14:paraId="2406E9A1">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资格审查方式：</w:t>
            </w:r>
          </w:p>
          <w:p w14:paraId="1BD44E9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1.资格后审。</w:t>
            </w:r>
          </w:p>
          <w:p w14:paraId="3B4B99C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14:paraId="175F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3E8AC4B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3</w:t>
            </w:r>
          </w:p>
        </w:tc>
        <w:tc>
          <w:tcPr>
            <w:tcW w:w="8371" w:type="dxa"/>
            <w:gridSpan w:val="3"/>
            <w:vAlign w:val="center"/>
          </w:tcPr>
          <w:p w14:paraId="79BAB8EE">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val="0"/>
                <w:bCs/>
                <w:sz w:val="24"/>
                <w:highlight w:val="none"/>
              </w:rPr>
              <w:t>磋商响应人的磋商文件中承</w:t>
            </w:r>
            <w:r>
              <w:rPr>
                <w:rFonts w:hint="eastAsia" w:ascii="仿宋" w:hAnsi="仿宋" w:eastAsia="仿宋" w:cs="仿宋"/>
                <w:b w:val="0"/>
                <w:bCs/>
                <w:sz w:val="24"/>
                <w:szCs w:val="21"/>
                <w:highlight w:val="none"/>
              </w:rPr>
              <w:t>诺的磋商有效期少于磋商文件中载明的磋商有效期的，磋商无效。</w:t>
            </w:r>
          </w:p>
        </w:tc>
      </w:tr>
      <w:tr w14:paraId="5650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243E76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4</w:t>
            </w:r>
          </w:p>
        </w:tc>
        <w:tc>
          <w:tcPr>
            <w:tcW w:w="8371" w:type="dxa"/>
            <w:gridSpan w:val="3"/>
            <w:vAlign w:val="center"/>
          </w:tcPr>
          <w:p w14:paraId="48B81CDE">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4B9E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05C171D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5</w:t>
            </w:r>
          </w:p>
        </w:tc>
        <w:tc>
          <w:tcPr>
            <w:tcW w:w="8371" w:type="dxa"/>
            <w:gridSpan w:val="3"/>
            <w:vAlign w:val="center"/>
          </w:tcPr>
          <w:p w14:paraId="2B6EA474">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186192B4">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F94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55919E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6</w:t>
            </w:r>
          </w:p>
        </w:tc>
        <w:tc>
          <w:tcPr>
            <w:tcW w:w="8371" w:type="dxa"/>
            <w:gridSpan w:val="3"/>
            <w:vAlign w:val="center"/>
          </w:tcPr>
          <w:p w14:paraId="4FD91610">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330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600E914">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7</w:t>
            </w:r>
          </w:p>
        </w:tc>
        <w:tc>
          <w:tcPr>
            <w:tcW w:w="8371" w:type="dxa"/>
            <w:gridSpan w:val="3"/>
            <w:vAlign w:val="center"/>
          </w:tcPr>
          <w:p w14:paraId="6248B202">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sz w:val="24"/>
              </w:rPr>
            </w:pPr>
            <w:r>
              <w:rPr>
                <w:rFonts w:hint="eastAsia" w:ascii="仿宋" w:hAnsi="仿宋" w:eastAsia="仿宋" w:cs="仿宋"/>
                <w:b/>
                <w:sz w:val="24"/>
              </w:rPr>
              <w:t>开标前答疑会或现场考察：</w:t>
            </w:r>
          </w:p>
          <w:p w14:paraId="0E82A206">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14:paraId="6802921C">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C7D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0D346D8">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8</w:t>
            </w:r>
          </w:p>
        </w:tc>
        <w:tc>
          <w:tcPr>
            <w:tcW w:w="8371" w:type="dxa"/>
            <w:gridSpan w:val="3"/>
            <w:vAlign w:val="center"/>
          </w:tcPr>
          <w:p w14:paraId="6D20EFD0">
            <w:pPr>
              <w:keepNext w:val="0"/>
              <w:keepLines w:val="0"/>
              <w:pageBreakBefore w:val="0"/>
              <w:widowControl w:val="0"/>
              <w:kinsoku/>
              <w:wordWrap/>
              <w:overflowPunct/>
              <w:topLinePunct w:val="0"/>
              <w:bidi w:val="0"/>
              <w:adjustRightInd w:val="0"/>
              <w:spacing w:line="360" w:lineRule="auto"/>
              <w:rPr>
                <w:rFonts w:ascii="仿宋" w:hAnsi="仿宋" w:eastAsia="仿宋" w:cs="仿宋"/>
                <w:b/>
                <w:sz w:val="24"/>
              </w:rPr>
            </w:pPr>
            <w:r>
              <w:rPr>
                <w:rFonts w:hint="eastAsia" w:ascii="仿宋" w:hAnsi="仿宋" w:eastAsia="仿宋" w:cs="仿宋"/>
                <w:b/>
                <w:sz w:val="24"/>
              </w:rPr>
              <w:t>样品提供：</w:t>
            </w:r>
          </w:p>
          <w:p w14:paraId="460C89BF">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不要求提供。</w:t>
            </w:r>
          </w:p>
          <w:p w14:paraId="2ED516CB">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□B要求提供，</w:t>
            </w:r>
          </w:p>
          <w:p w14:paraId="66436D41">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39467B5">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6BAF0BD1">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E35AAB4">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CCEAFD">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336A7862">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AA68FC1">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4CED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71B3B28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9</w:t>
            </w:r>
          </w:p>
        </w:tc>
        <w:tc>
          <w:tcPr>
            <w:tcW w:w="8371" w:type="dxa"/>
            <w:gridSpan w:val="3"/>
            <w:vAlign w:val="center"/>
          </w:tcPr>
          <w:p w14:paraId="3FCD0B3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sz w:val="24"/>
                <w:szCs w:val="24"/>
              </w:rPr>
            </w:pPr>
            <w:r>
              <w:rPr>
                <w:rFonts w:hint="eastAsia" w:ascii="仿宋" w:hAnsi="仿宋" w:eastAsia="仿宋" w:cs="仿宋"/>
                <w:b/>
                <w:bCs/>
                <w:sz w:val="24"/>
                <w:szCs w:val="24"/>
              </w:rPr>
              <w:t>方案讲解演示：</w:t>
            </w:r>
          </w:p>
          <w:p w14:paraId="410BFD8A">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p>
          <w:p w14:paraId="3976CD1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sz w:val="24"/>
                <w:szCs w:val="24"/>
              </w:rPr>
            </w:pPr>
            <w:r>
              <w:rPr>
                <w:rFonts w:hint="eastAsia" w:ascii="仿宋" w:hAnsi="仿宋" w:eastAsia="仿宋" w:cs="仿宋"/>
                <w:sz w:val="24"/>
                <w:szCs w:val="24"/>
              </w:rPr>
              <w:t>□B有方案讲解演示：</w:t>
            </w:r>
          </w:p>
          <w:p w14:paraId="4023DE35">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分钟（编制时可根据项目情况进行调整），讲解次序以磋商响应文件解密时间先后次序为准。讲解演示结束后按要求解答评标委员会提问。</w:t>
            </w:r>
          </w:p>
          <w:p w14:paraId="03CB46A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455B6542">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14967DA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 </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14:paraId="22BA11A3">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B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02497CE7">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10</w:t>
            </w:r>
          </w:p>
        </w:tc>
        <w:tc>
          <w:tcPr>
            <w:tcW w:w="1268" w:type="dxa"/>
            <w:vAlign w:val="center"/>
          </w:tcPr>
          <w:p w14:paraId="03B64A37">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进口产品</w:t>
            </w:r>
          </w:p>
        </w:tc>
        <w:tc>
          <w:tcPr>
            <w:tcW w:w="7103" w:type="dxa"/>
            <w:gridSpan w:val="2"/>
            <w:vAlign w:val="center"/>
          </w:tcPr>
          <w:p w14:paraId="352924B2">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14:paraId="3F7D3F2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39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419DCE81">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11</w:t>
            </w:r>
          </w:p>
        </w:tc>
        <w:tc>
          <w:tcPr>
            <w:tcW w:w="1268" w:type="dxa"/>
            <w:vAlign w:val="center"/>
          </w:tcPr>
          <w:p w14:paraId="3CFBEE20">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103" w:type="dxa"/>
            <w:gridSpan w:val="2"/>
            <w:vAlign w:val="center"/>
          </w:tcPr>
          <w:p w14:paraId="7F615C60">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p w14:paraId="1F0CF1C9">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服务类。</w:t>
            </w:r>
          </w:p>
        </w:tc>
      </w:tr>
      <w:tr w14:paraId="16BA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E296FE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12</w:t>
            </w:r>
          </w:p>
        </w:tc>
        <w:tc>
          <w:tcPr>
            <w:tcW w:w="1268" w:type="dxa"/>
            <w:vAlign w:val="center"/>
          </w:tcPr>
          <w:p w14:paraId="37A5083F">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103" w:type="dxa"/>
            <w:gridSpan w:val="2"/>
            <w:vAlign w:val="center"/>
          </w:tcPr>
          <w:p w14:paraId="449DA1FC">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sz w:val="24"/>
              </w:rPr>
              <w:t>根据《工业和信息化部、国家统计局、国家发展和改革委员会、财政部关于印发中小企业划型标准规定的通知》（工信部联企业[2011]300号</w:t>
            </w:r>
            <w:r>
              <w:rPr>
                <w:rFonts w:hint="eastAsia" w:ascii="仿宋" w:hAnsi="仿宋" w:eastAsia="仿宋" w:cs="仿宋"/>
                <w:color w:val="auto"/>
                <w:sz w:val="24"/>
              </w:rPr>
              <w:t>）规定（有最新中小企业划型标准的以更新后的为准）</w:t>
            </w:r>
            <w:r>
              <w:rPr>
                <w:rFonts w:hint="eastAsia" w:ascii="仿宋" w:hAnsi="仿宋" w:eastAsia="仿宋" w:cs="仿宋"/>
                <w:color w:val="auto"/>
                <w:sz w:val="24"/>
                <w:lang w:eastAsia="zh-CN"/>
              </w:rPr>
              <w:t>：</w:t>
            </w:r>
          </w:p>
          <w:p w14:paraId="4670463A">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rPr>
              <w:t xml:space="preserve">嵊州市石璜镇2024年4个“百亩方”（寺新村、雅宅村、范油车村、白竹村、溪西村）永久基本农田连片整治工程项目方案编制服务项目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0AE12EA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rPr>
            </w:pPr>
            <w:r>
              <w:rPr>
                <w:rFonts w:hint="eastAsia" w:ascii="仿宋" w:hAnsi="仿宋" w:eastAsia="仿宋" w:cs="仿宋"/>
                <w:color w:val="auto"/>
                <w:sz w:val="24"/>
              </w:rPr>
              <w:t>说明：声明函中所列行业与采购文件所明确的行业不一致但不改变划型结果情形的，不影响</w:t>
            </w:r>
            <w:r>
              <w:rPr>
                <w:rFonts w:hint="eastAsia" w:ascii="仿宋" w:hAnsi="仿宋" w:eastAsia="仿宋" w:cs="仿宋"/>
                <w:sz w:val="24"/>
              </w:rPr>
              <w:t>声明有效性，也不作为虚假资料情形认定。</w:t>
            </w:r>
          </w:p>
        </w:tc>
      </w:tr>
      <w:tr w14:paraId="027C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D3BA65C">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13</w:t>
            </w:r>
          </w:p>
        </w:tc>
        <w:tc>
          <w:tcPr>
            <w:tcW w:w="1268" w:type="dxa"/>
            <w:vAlign w:val="center"/>
          </w:tcPr>
          <w:p w14:paraId="5133871E">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spacing w:val="-20"/>
                <w:kern w:val="2"/>
                <w:sz w:val="24"/>
                <w:szCs w:val="24"/>
                <w:lang w:val="en-US" w:eastAsia="zh-CN" w:bidi="ar-SA"/>
              </w:rPr>
            </w:pPr>
            <w:r>
              <w:rPr>
                <w:rFonts w:hint="eastAsia" w:ascii="仿宋" w:hAnsi="仿宋" w:eastAsia="仿宋" w:cs="仿宋"/>
                <w:b/>
                <w:spacing w:val="-20"/>
                <w:sz w:val="24"/>
              </w:rPr>
              <w:t>采购项目需要落实的政府采购政策</w:t>
            </w:r>
          </w:p>
        </w:tc>
        <w:tc>
          <w:tcPr>
            <w:tcW w:w="7103" w:type="dxa"/>
            <w:gridSpan w:val="2"/>
            <w:vAlign w:val="center"/>
          </w:tcPr>
          <w:p w14:paraId="7F5687CA">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专门面向中小微企业采购项目。小微企业报价不再享受价格折扣。</w:t>
            </w:r>
          </w:p>
          <w:p w14:paraId="3B1C7EB2">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w:t>
            </w:r>
            <w:r>
              <w:rPr>
                <w:rFonts w:hint="eastAsia" w:ascii="仿宋" w:hAnsi="仿宋" w:eastAsia="仿宋" w:cs="仿宋"/>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sz w:val="24"/>
                <w:lang w:val="en-US" w:eastAsia="zh-CN"/>
              </w:rPr>
              <w:t>文件</w:t>
            </w:r>
            <w:r>
              <w:rPr>
                <w:rFonts w:hint="eastAsia" w:ascii="仿宋" w:hAnsi="仿宋" w:eastAsia="仿宋" w:cs="仿宋"/>
                <w:sz w:val="24"/>
              </w:rPr>
              <w:t>规定，用扣除后的价格参与评审。扣除比例为：小型、微型企业均扣除10%，监狱企业、残疾人福利性单位视同小型、微型企业，享受价格扣除。</w:t>
            </w:r>
          </w:p>
        </w:tc>
      </w:tr>
      <w:tr w14:paraId="3182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22F83766">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kern w:val="2"/>
                <w:sz w:val="24"/>
                <w:szCs w:val="24"/>
                <w:lang w:val="en-US" w:eastAsia="zh-CN" w:bidi="ar-SA"/>
              </w:rPr>
            </w:pPr>
          </w:p>
          <w:p w14:paraId="57885767">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68" w:type="dxa"/>
            <w:vMerge w:val="restart"/>
            <w:vAlign w:val="center"/>
          </w:tcPr>
          <w:p w14:paraId="7A74C3D9">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供应商信用信息事项</w:t>
            </w:r>
          </w:p>
        </w:tc>
        <w:tc>
          <w:tcPr>
            <w:tcW w:w="7103" w:type="dxa"/>
            <w:gridSpan w:val="2"/>
            <w:vAlign w:val="center"/>
          </w:tcPr>
          <w:p w14:paraId="50B21FA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5C0A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23161317">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p>
        </w:tc>
        <w:tc>
          <w:tcPr>
            <w:tcW w:w="1268" w:type="dxa"/>
            <w:vMerge w:val="continue"/>
            <w:vAlign w:val="center"/>
          </w:tcPr>
          <w:p w14:paraId="5C40D3D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p>
        </w:tc>
        <w:tc>
          <w:tcPr>
            <w:tcW w:w="7103" w:type="dxa"/>
            <w:gridSpan w:val="2"/>
            <w:vAlign w:val="center"/>
          </w:tcPr>
          <w:p w14:paraId="2758726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3F42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3E31DAF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p>
        </w:tc>
        <w:tc>
          <w:tcPr>
            <w:tcW w:w="1268" w:type="dxa"/>
            <w:vMerge w:val="continue"/>
            <w:vAlign w:val="center"/>
          </w:tcPr>
          <w:p w14:paraId="0B3BEEF4">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p>
        </w:tc>
        <w:tc>
          <w:tcPr>
            <w:tcW w:w="7103" w:type="dxa"/>
            <w:gridSpan w:val="2"/>
            <w:vAlign w:val="center"/>
          </w:tcPr>
          <w:p w14:paraId="3C7A322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66144AC8">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D78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623EEC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15</w:t>
            </w:r>
          </w:p>
        </w:tc>
        <w:tc>
          <w:tcPr>
            <w:tcW w:w="8371" w:type="dxa"/>
            <w:gridSpan w:val="3"/>
            <w:vAlign w:val="center"/>
          </w:tcPr>
          <w:p w14:paraId="13D92CF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14:paraId="29C5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4785DB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16</w:t>
            </w:r>
          </w:p>
        </w:tc>
        <w:tc>
          <w:tcPr>
            <w:tcW w:w="8371" w:type="dxa"/>
            <w:gridSpan w:val="3"/>
            <w:vAlign w:val="center"/>
          </w:tcPr>
          <w:p w14:paraId="5CC1E84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更正补充公告请自行登录浙江政府采购网查看下载。</w:t>
            </w:r>
          </w:p>
        </w:tc>
      </w:tr>
      <w:tr w14:paraId="64BF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A8EE0D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17</w:t>
            </w:r>
          </w:p>
        </w:tc>
        <w:tc>
          <w:tcPr>
            <w:tcW w:w="8371" w:type="dxa"/>
            <w:gridSpan w:val="3"/>
            <w:vAlign w:val="center"/>
          </w:tcPr>
          <w:p w14:paraId="2D063B29">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b/>
                <w:bCs/>
                <w:sz w:val="24"/>
              </w:rPr>
              <w:t>磋商注意事项：</w:t>
            </w:r>
          </w:p>
          <w:p w14:paraId="3A895238">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4121A0A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6D1CAF51">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0E9130A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3.磋商响应文件制作、递交、解密：</w:t>
            </w:r>
          </w:p>
          <w:p w14:paraId="1B8B48B8">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361F379D">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5831B669">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w:t>
            </w:r>
            <w:r>
              <w:rPr>
                <w:rFonts w:hint="eastAsia" w:ascii="仿宋" w:hAnsi="仿宋" w:eastAsia="仿宋" w:cs="仿宋"/>
                <w:b/>
                <w:bCs/>
                <w:sz w:val="24"/>
                <w:u w:val="single"/>
              </w:rPr>
              <w:t>若供应商未按时解密的，视为磋商响应文件撤回</w:t>
            </w:r>
            <w:r>
              <w:rPr>
                <w:rFonts w:hint="eastAsia" w:ascii="仿宋" w:hAnsi="仿宋" w:eastAsia="仿宋" w:cs="仿宋"/>
                <w:sz w:val="24"/>
              </w:rPr>
              <w:t>。</w:t>
            </w:r>
          </w:p>
        </w:tc>
      </w:tr>
      <w:tr w14:paraId="5973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E737E66">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 xml:space="preserve">                                                                                                                                                                                                                                                                                                                                                                                                                                                                                                                                                                                                                                                                                                                                                                                                                                                                                                                                                                                                                                                                                                                                                                                                                                                                                                                                       </w:t>
            </w:r>
          </w:p>
        </w:tc>
        <w:tc>
          <w:tcPr>
            <w:tcW w:w="8371" w:type="dxa"/>
            <w:gridSpan w:val="3"/>
            <w:vAlign w:val="center"/>
          </w:tcPr>
          <w:p w14:paraId="6388EF37">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sz w:val="24"/>
                <w:lang w:val="en-US" w:eastAsia="zh-CN"/>
              </w:rPr>
            </w:pPr>
            <w:r>
              <w:rPr>
                <w:rFonts w:hint="eastAsia" w:ascii="仿宋" w:hAnsi="仿宋" w:eastAsia="仿宋" w:cs="仿宋"/>
                <w:b/>
                <w:sz w:val="24"/>
              </w:rPr>
              <w:t>备份</w:t>
            </w:r>
            <w:r>
              <w:rPr>
                <w:rFonts w:hint="eastAsia" w:ascii="仿宋" w:hAnsi="仿宋" w:eastAsia="仿宋" w:cs="仿宋"/>
                <w:b/>
                <w:sz w:val="24"/>
                <w:lang w:val="en-US" w:eastAsia="zh-CN"/>
              </w:rPr>
              <w:t>响应</w:t>
            </w:r>
            <w:r>
              <w:rPr>
                <w:rFonts w:hint="eastAsia" w:ascii="仿宋" w:hAnsi="仿宋" w:eastAsia="仿宋" w:cs="仿宋"/>
                <w:b/>
                <w:sz w:val="24"/>
              </w:rPr>
              <w:t>文件</w:t>
            </w:r>
            <w:r>
              <w:rPr>
                <w:rFonts w:hint="eastAsia" w:ascii="仿宋" w:hAnsi="仿宋" w:eastAsia="仿宋" w:cs="仿宋"/>
                <w:b/>
                <w:sz w:val="24"/>
                <w:lang w:val="en-US" w:eastAsia="zh-CN"/>
              </w:rPr>
              <w:t>:</w:t>
            </w:r>
          </w:p>
          <w:p w14:paraId="2B58EFCC">
            <w:pPr>
              <w:pStyle w:val="24"/>
              <w:keepNext w:val="0"/>
              <w:keepLines w:val="0"/>
              <w:pageBreakBefore w:val="0"/>
              <w:widowControl w:val="0"/>
              <w:numPr>
                <w:ilvl w:val="0"/>
                <w:numId w:val="7"/>
              </w:numPr>
              <w:kinsoku/>
              <w:wordWrap/>
              <w:overflowPunct/>
              <w:topLinePunct w:val="0"/>
              <w:bidi w:val="0"/>
              <w:adjustRightInd w:val="0"/>
              <w:spacing w:line="360" w:lineRule="auto"/>
              <w:ind w:left="0" w:leftChars="0" w:firstLine="0" w:firstLine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供应商在“政府采购云平台”完成电子加密“磋商响应文件”的在线传输递交后，还可以在响应截止时间前通过EMS、顺丰邮寄等形式送达以介质存储的数据电文形式的“备份响应文件”。“备份响应文件”由供应商自愿提交，采购文件不作强制性要求，但供应商仅递交了“备份响应文件”的，响应无效。</w:t>
            </w:r>
          </w:p>
          <w:p w14:paraId="2678B6E6">
            <w:pPr>
              <w:pStyle w:val="24"/>
              <w:keepNext w:val="0"/>
              <w:keepLines w:val="0"/>
              <w:pageBreakBefore w:val="0"/>
              <w:widowControl w:val="0"/>
              <w:numPr>
                <w:ilvl w:val="0"/>
                <w:numId w:val="7"/>
              </w:numPr>
              <w:kinsoku/>
              <w:wordWrap/>
              <w:overflowPunct/>
              <w:topLinePunct w:val="0"/>
              <w:bidi w:val="0"/>
              <w:adjustRightInd w:val="0"/>
              <w:spacing w:line="360" w:lineRule="auto"/>
              <w:ind w:left="0" w:leftChars="0" w:firstLine="0" w:firstLine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备份响应文件:密封包装后（建议以EMS、顺丰邮寄等形式）响应截止时间前（送达时间以采购组织机构实际签收时间为准）送达（一份）（邮寄地址：嵊州市三江街道领带园二路5号天池创业园1号楼212室 裘女士收）。</w:t>
            </w:r>
          </w:p>
          <w:p w14:paraId="7983D07F">
            <w:pPr>
              <w:pStyle w:val="24"/>
              <w:keepNext w:val="0"/>
              <w:keepLines w:val="0"/>
              <w:pageBreakBefore w:val="0"/>
              <w:widowControl w:val="0"/>
              <w:numPr>
                <w:ilvl w:val="0"/>
                <w:numId w:val="0"/>
              </w:numPr>
              <w:kinsoku/>
              <w:wordWrap/>
              <w:overflowPunct/>
              <w:topLinePunct w:val="0"/>
              <w:bidi w:val="0"/>
              <w:adjustRightInd w:val="0"/>
              <w:spacing w:line="360" w:lineRule="auto"/>
              <w:ind w:left="0" w:leftChars="0" w:firstLine="0" w:firstLineChars="0"/>
              <w:jc w:val="both"/>
              <w:rPr>
                <w:rFonts w:hint="eastAsia" w:ascii="仿宋" w:hAnsi="仿宋" w:eastAsia="仿宋" w:cs="仿宋"/>
                <w:kern w:val="2"/>
                <w:sz w:val="24"/>
                <w:szCs w:val="20"/>
                <w:lang w:val="zh-CN" w:eastAsia="zh-CN" w:bidi="ar-SA"/>
              </w:rPr>
            </w:pPr>
            <w:r>
              <w:rPr>
                <w:rFonts w:hint="eastAsia" w:ascii="仿宋" w:hAnsi="仿宋" w:eastAsia="仿宋" w:cs="仿宋"/>
                <w:snapToGrid w:val="0"/>
                <w:kern w:val="28"/>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32F6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14:paraId="4BF5E35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p>
        </w:tc>
        <w:tc>
          <w:tcPr>
            <w:tcW w:w="8371" w:type="dxa"/>
            <w:gridSpan w:val="3"/>
            <w:vAlign w:val="center"/>
          </w:tcPr>
          <w:p w14:paraId="11134D4E">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lang w:val="en-US" w:eastAsia="zh-CN"/>
              </w:rPr>
            </w:pPr>
            <w:r>
              <w:rPr>
                <w:rFonts w:hint="default" w:ascii="仿宋" w:hAnsi="仿宋" w:eastAsia="仿宋" w:cs="仿宋"/>
                <w:b/>
                <w:bCs/>
                <w:snapToGrid w:val="0"/>
                <w:color w:val="auto"/>
                <w:kern w:val="28"/>
                <w:sz w:val="24"/>
                <w:lang w:val="en-US" w:eastAsia="zh-CN"/>
              </w:rPr>
              <w:t>金融支持</w:t>
            </w:r>
            <w:r>
              <w:rPr>
                <w:rFonts w:hint="eastAsia" w:ascii="仿宋" w:hAnsi="仿宋" w:eastAsia="仿宋" w:cs="仿宋"/>
                <w:b/>
                <w:bCs/>
                <w:snapToGrid w:val="0"/>
                <w:color w:val="auto"/>
                <w:kern w:val="28"/>
                <w:sz w:val="24"/>
                <w:lang w:val="en-US" w:eastAsia="zh-CN"/>
              </w:rPr>
              <w:t>：</w:t>
            </w:r>
          </w:p>
          <w:p w14:paraId="72D3D06E">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snapToGrid w:val="0"/>
                <w:color w:val="auto"/>
                <w:kern w:val="28"/>
                <w:sz w:val="24"/>
                <w:lang w:val="en-US" w:eastAsia="zh-CN"/>
              </w:rPr>
              <w:t>为支持和促进中小企业发展，进一步发挥政府采购政策功能，浙江省财政厅出台浙财采监【2022】3号文件，企业若有融资意向，可登陆政采云平台融资服务（</w:t>
            </w:r>
            <w:r>
              <w:rPr>
                <w:rFonts w:hint="eastAsia" w:ascii="仿宋" w:hAnsi="仿宋" w:eastAsia="仿宋" w:cs="仿宋"/>
                <w:snapToGrid w:val="0"/>
                <w:color w:val="auto"/>
                <w:kern w:val="28"/>
                <w:sz w:val="24"/>
                <w:lang w:val="en-US" w:eastAsia="zh-CN"/>
              </w:rPr>
              <w:fldChar w:fldCharType="begin"/>
            </w:r>
            <w:r>
              <w:rPr>
                <w:rFonts w:hint="eastAsia" w:ascii="仿宋" w:hAnsi="仿宋" w:eastAsia="仿宋" w:cs="仿宋"/>
                <w:snapToGrid w:val="0"/>
                <w:color w:val="auto"/>
                <w:kern w:val="28"/>
                <w:sz w:val="24"/>
                <w:lang w:val="en-US" w:eastAsia="zh-CN"/>
              </w:rPr>
              <w:instrText xml:space="preserve">HYPERLINK "https://jinrong.zcygov.en/finance-service/%23/home"</w:instrText>
            </w:r>
            <w:r>
              <w:rPr>
                <w:rFonts w:hint="eastAsia" w:ascii="仿宋" w:hAnsi="仿宋" w:eastAsia="仿宋" w:cs="仿宋"/>
                <w:snapToGrid w:val="0"/>
                <w:color w:val="auto"/>
                <w:kern w:val="28"/>
                <w:sz w:val="24"/>
                <w:lang w:val="en-US" w:eastAsia="zh-CN"/>
              </w:rPr>
              <w:fldChar w:fldCharType="separate"/>
            </w:r>
            <w:r>
              <w:rPr>
                <w:rFonts w:hint="eastAsia" w:ascii="仿宋" w:hAnsi="仿宋" w:eastAsia="仿宋" w:cs="仿宋"/>
                <w:snapToGrid w:val="0"/>
                <w:color w:val="auto"/>
                <w:kern w:val="28"/>
                <w:sz w:val="24"/>
                <w:lang w:val="en-US" w:eastAsia="zh-CN"/>
              </w:rPr>
              <w:t>https://jinrong.zcygov.en/finance-service/#/home</w:t>
            </w:r>
            <w:r>
              <w:rPr>
                <w:rFonts w:hint="eastAsia" w:ascii="仿宋" w:hAnsi="仿宋" w:eastAsia="仿宋" w:cs="仿宋"/>
                <w:snapToGrid w:val="0"/>
                <w:color w:val="auto"/>
                <w:kern w:val="28"/>
                <w:sz w:val="24"/>
                <w:lang w:val="en-US" w:eastAsia="zh-CN"/>
              </w:rPr>
              <w:fldChar w:fldCharType="end"/>
            </w:r>
            <w:r>
              <w:rPr>
                <w:rFonts w:hint="eastAsia" w:ascii="仿宋" w:hAnsi="仿宋" w:eastAsia="仿宋" w:cs="仿宋"/>
                <w:snapToGrid w:val="0"/>
                <w:color w:val="auto"/>
                <w:kern w:val="28"/>
                <w:sz w:val="24"/>
                <w:lang w:val="en-US" w:eastAsia="zh-CN"/>
              </w:rPr>
              <w:t>），查看相应融资政策文件及各相关银行服务方案。</w:t>
            </w:r>
          </w:p>
        </w:tc>
      </w:tr>
      <w:tr w14:paraId="7DA2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69" w:type="dxa"/>
            <w:vMerge w:val="restart"/>
            <w:vAlign w:val="center"/>
          </w:tcPr>
          <w:p w14:paraId="46BDADE5">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8371" w:type="dxa"/>
            <w:gridSpan w:val="3"/>
            <w:vAlign w:val="center"/>
          </w:tcPr>
          <w:p w14:paraId="387FF532">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1A3A8B7D">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采购人须向</w:t>
            </w:r>
            <w:r>
              <w:rPr>
                <w:rFonts w:hint="eastAsia" w:ascii="仿宋" w:hAnsi="仿宋" w:eastAsia="仿宋" w:cs="仿宋"/>
                <w:snapToGrid w:val="0"/>
                <w:kern w:val="28"/>
                <w:sz w:val="24"/>
                <w:szCs w:val="24"/>
                <w:lang w:val="en-US" w:eastAsia="zh-CN" w:bidi="ar-SA"/>
              </w:rPr>
              <w:t>采购代理机构按如下标准和规定交纳成交服务费：</w:t>
            </w:r>
          </w:p>
          <w:p w14:paraId="5B3E482B">
            <w:pPr>
              <w:keepNext w:val="0"/>
              <w:keepLines w:val="0"/>
              <w:numPr>
                <w:ilvl w:val="0"/>
                <w:numId w:val="0"/>
              </w:numPr>
              <w:suppressLineNumbers w:val="0"/>
              <w:spacing w:before="0" w:beforeAutospacing="0" w:after="0" w:afterAutospacing="0" w:line="440" w:lineRule="exact"/>
              <w:ind w:left="0" w:right="0"/>
              <w:rPr>
                <w:rFonts w:hint="eastAsia" w:ascii="仿宋" w:hAnsi="仿宋" w:eastAsia="仿宋" w:cs="仿宋"/>
                <w:lang w:val="en-US" w:eastAsia="zh-CN"/>
              </w:rPr>
            </w:pPr>
            <w:r>
              <w:rPr>
                <w:rFonts w:hint="eastAsia" w:ascii="仿宋" w:hAnsi="仿宋" w:eastAsia="仿宋" w:cs="仿宋"/>
                <w:snapToGrid w:val="0"/>
                <w:kern w:val="28"/>
                <w:sz w:val="24"/>
                <w:szCs w:val="24"/>
                <w:lang w:val="en-US" w:eastAsia="zh-CN" w:bidi="ar-SA"/>
              </w:rPr>
              <w:t>①</w:t>
            </w:r>
            <w:r>
              <w:rPr>
                <w:rFonts w:hint="eastAsia" w:ascii="仿宋" w:hAnsi="仿宋" w:eastAsia="仿宋" w:cs="仿宋"/>
                <w:color w:val="auto"/>
                <w:sz w:val="24"/>
                <w:szCs w:val="24"/>
              </w:rPr>
              <w:t>采购代理服务费：以标项中标金额为计算基数，采用差额定率累进计费方式，按以下标准费率计算值的收取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费率标准如下：</w:t>
            </w:r>
          </w:p>
        </w:tc>
      </w:tr>
      <w:tr w14:paraId="2592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69" w:type="dxa"/>
            <w:vMerge w:val="continue"/>
            <w:vAlign w:val="center"/>
          </w:tcPr>
          <w:p w14:paraId="5B0E5708">
            <w:pPr>
              <w:pStyle w:val="24"/>
              <w:keepNext w:val="0"/>
              <w:keepLines w:val="0"/>
              <w:pageBreakBefore w:val="0"/>
              <w:widowControl w:val="0"/>
              <w:kinsoku/>
              <w:wordWrap/>
              <w:overflowPunct/>
              <w:topLinePunct w:val="0"/>
              <w:bidi w:val="0"/>
              <w:adjustRightInd w:val="0"/>
              <w:spacing w:line="360" w:lineRule="auto"/>
              <w:ind w:leftChars="0"/>
              <w:jc w:val="both"/>
            </w:pPr>
          </w:p>
        </w:tc>
        <w:tc>
          <w:tcPr>
            <w:tcW w:w="4185" w:type="dxa"/>
            <w:gridSpan w:val="2"/>
            <w:vAlign w:val="center"/>
          </w:tcPr>
          <w:p w14:paraId="5E043F54">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pPr>
            <w:r>
              <w:rPr>
                <w:rFonts w:hint="eastAsia" w:ascii="仿宋" w:hAnsi="仿宋" w:eastAsia="仿宋" w:cs="仿宋"/>
                <w:color w:val="auto"/>
                <w:sz w:val="24"/>
                <w:szCs w:val="24"/>
                <w:vertAlign w:val="baseline"/>
                <w:lang w:val="en-US" w:eastAsia="zh-CN"/>
              </w:rPr>
              <w:t>金额（万元）</w:t>
            </w:r>
          </w:p>
        </w:tc>
        <w:tc>
          <w:tcPr>
            <w:tcW w:w="4186" w:type="dxa"/>
            <w:vAlign w:val="center"/>
          </w:tcPr>
          <w:p w14:paraId="2C08DADF">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lang w:val="en-US" w:eastAsia="zh-CN"/>
              </w:rPr>
            </w:pPr>
            <w:r>
              <w:rPr>
                <w:rFonts w:hint="eastAsia" w:ascii="仿宋" w:hAnsi="仿宋" w:eastAsia="仿宋" w:cs="仿宋"/>
                <w:color w:val="auto"/>
                <w:sz w:val="24"/>
                <w:szCs w:val="24"/>
                <w:vertAlign w:val="baseline"/>
                <w:lang w:val="en-US" w:eastAsia="zh-CN"/>
              </w:rPr>
              <w:t>费率</w:t>
            </w:r>
          </w:p>
        </w:tc>
      </w:tr>
      <w:tr w14:paraId="375B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9" w:type="dxa"/>
            <w:vMerge w:val="continue"/>
            <w:vAlign w:val="center"/>
          </w:tcPr>
          <w:p w14:paraId="7BC3A69A">
            <w:pPr>
              <w:pStyle w:val="24"/>
              <w:keepNext w:val="0"/>
              <w:keepLines w:val="0"/>
              <w:pageBreakBefore w:val="0"/>
              <w:widowControl w:val="0"/>
              <w:kinsoku/>
              <w:wordWrap/>
              <w:overflowPunct/>
              <w:topLinePunct w:val="0"/>
              <w:bidi w:val="0"/>
              <w:adjustRightInd w:val="0"/>
              <w:spacing w:line="360" w:lineRule="auto"/>
              <w:ind w:leftChars="0"/>
              <w:jc w:val="both"/>
            </w:pPr>
          </w:p>
        </w:tc>
        <w:tc>
          <w:tcPr>
            <w:tcW w:w="4185" w:type="dxa"/>
            <w:gridSpan w:val="2"/>
            <w:vAlign w:val="center"/>
          </w:tcPr>
          <w:p w14:paraId="4306BEDE">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pPr>
            <w:r>
              <w:rPr>
                <w:rFonts w:hint="eastAsia" w:ascii="仿宋" w:hAnsi="仿宋" w:eastAsia="仿宋" w:cs="仿宋"/>
                <w:color w:val="auto"/>
                <w:sz w:val="24"/>
                <w:szCs w:val="24"/>
                <w:vertAlign w:val="baseline"/>
                <w:lang w:val="en-US" w:eastAsia="zh-CN"/>
              </w:rPr>
              <w:t>100（含）及以下部分</w:t>
            </w:r>
          </w:p>
        </w:tc>
        <w:tc>
          <w:tcPr>
            <w:tcW w:w="4186" w:type="dxa"/>
            <w:vAlign w:val="center"/>
          </w:tcPr>
          <w:p w14:paraId="3988E5C6">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lang w:val="en-US" w:eastAsia="zh-CN"/>
              </w:rPr>
            </w:pPr>
            <w:r>
              <w:rPr>
                <w:rFonts w:hint="eastAsia" w:ascii="仿宋" w:hAnsi="仿宋" w:eastAsia="仿宋" w:cs="仿宋"/>
                <w:color w:val="auto"/>
                <w:sz w:val="24"/>
                <w:szCs w:val="24"/>
                <w:vertAlign w:val="baseline"/>
                <w:lang w:val="en-US" w:eastAsia="zh-CN"/>
              </w:rPr>
              <w:t>1.5%</w:t>
            </w:r>
          </w:p>
        </w:tc>
      </w:tr>
      <w:tr w14:paraId="3B11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69" w:type="dxa"/>
            <w:vMerge w:val="continue"/>
            <w:vAlign w:val="center"/>
          </w:tcPr>
          <w:p w14:paraId="4E77F9B0">
            <w:pPr>
              <w:pStyle w:val="24"/>
              <w:keepNext w:val="0"/>
              <w:keepLines w:val="0"/>
              <w:pageBreakBefore w:val="0"/>
              <w:widowControl w:val="0"/>
              <w:kinsoku/>
              <w:wordWrap/>
              <w:overflowPunct/>
              <w:topLinePunct w:val="0"/>
              <w:bidi w:val="0"/>
              <w:adjustRightInd w:val="0"/>
              <w:spacing w:line="360" w:lineRule="auto"/>
              <w:ind w:leftChars="0"/>
              <w:jc w:val="both"/>
              <w:rPr>
                <w:rFonts w:hint="eastAsia" w:ascii="仿宋" w:hAnsi="仿宋" w:eastAsia="仿宋" w:cs="仿宋"/>
                <w:lang w:val="en-US" w:eastAsia="zh-CN"/>
              </w:rPr>
            </w:pPr>
          </w:p>
        </w:tc>
        <w:tc>
          <w:tcPr>
            <w:tcW w:w="8371" w:type="dxa"/>
            <w:gridSpan w:val="3"/>
            <w:vAlign w:val="center"/>
          </w:tcPr>
          <w:p w14:paraId="56938200">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②用银行支票、电汇、现金等付款方式直接交纳代理服务费。</w:t>
            </w:r>
          </w:p>
          <w:p w14:paraId="30C0708B">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lang w:val="en-US" w:eastAsia="zh-CN"/>
              </w:rPr>
            </w:pPr>
            <w:r>
              <w:rPr>
                <w:rFonts w:hint="eastAsia" w:ascii="仿宋" w:hAnsi="仿宋" w:eastAsia="仿宋" w:cs="仿宋"/>
                <w:lang w:val="en-US" w:eastAsia="zh-CN"/>
              </w:rPr>
              <w:t xml:space="preserve">公司名称: </w:t>
            </w:r>
            <w:r>
              <w:rPr>
                <w:rFonts w:hint="eastAsia" w:ascii="仿宋" w:hAnsi="仿宋" w:eastAsia="仿宋" w:cs="仿宋"/>
                <w:bCs/>
                <w:color w:val="auto"/>
                <w:sz w:val="24"/>
              </w:rPr>
              <w:t>绍兴市千目招标代理有限公司</w:t>
            </w:r>
          </w:p>
          <w:p w14:paraId="39F19494">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开户行: </w:t>
            </w:r>
            <w:r>
              <w:rPr>
                <w:rFonts w:hint="eastAsia" w:ascii="仿宋" w:hAnsi="仿宋" w:eastAsia="仿宋" w:cs="仿宋"/>
                <w:bCs/>
                <w:color w:val="auto"/>
                <w:sz w:val="24"/>
              </w:rPr>
              <w:t>中信银行股份有限公司绍兴嵊州支行</w:t>
            </w:r>
          </w:p>
          <w:p w14:paraId="137A1C5C">
            <w:pPr>
              <w:spacing w:line="360" w:lineRule="auto"/>
              <w:rPr>
                <w:rFonts w:hint="eastAsia" w:ascii="仿宋" w:hAnsi="仿宋" w:eastAsia="仿宋" w:cs="仿宋"/>
                <w:bCs/>
                <w:color w:val="auto"/>
                <w:sz w:val="24"/>
              </w:rPr>
            </w:pPr>
            <w:r>
              <w:rPr>
                <w:rFonts w:hint="eastAsia" w:ascii="仿宋" w:hAnsi="仿宋" w:eastAsia="仿宋" w:cs="仿宋"/>
                <w:lang w:val="en-US" w:eastAsia="zh-CN"/>
              </w:rPr>
              <w:t xml:space="preserve">账  号: </w:t>
            </w:r>
            <w:r>
              <w:rPr>
                <w:rFonts w:hint="eastAsia" w:ascii="仿宋" w:hAnsi="仿宋" w:eastAsia="仿宋" w:cs="仿宋"/>
                <w:bCs/>
                <w:color w:val="auto"/>
                <w:sz w:val="24"/>
              </w:rPr>
              <w:t>8110801013902058166</w:t>
            </w:r>
          </w:p>
          <w:p w14:paraId="54CCEA64">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lang w:val="en-US" w:eastAsia="zh-CN"/>
              </w:rPr>
            </w:pPr>
            <w:r>
              <w:rPr>
                <w:rFonts w:hint="eastAsia" w:ascii="仿宋" w:hAnsi="仿宋" w:eastAsia="仿宋" w:cs="仿宋"/>
                <w:bCs/>
                <w:color w:val="auto"/>
                <w:sz w:val="24"/>
              </w:rPr>
              <w:t>③中标服务费的交纳时间：领取中标通知书前一次性交纳。</w:t>
            </w:r>
          </w:p>
        </w:tc>
      </w:tr>
      <w:tr w14:paraId="2D48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5F52B96E">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8371" w:type="dxa"/>
            <w:gridSpan w:val="3"/>
            <w:vAlign w:val="center"/>
          </w:tcPr>
          <w:p w14:paraId="25F83213">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r>
              <w:rPr>
                <w:rFonts w:hint="eastAsia" w:ascii="仿宋" w:hAnsi="仿宋" w:eastAsia="仿宋" w:cs="仿宋"/>
                <w:b w:val="0"/>
                <w:bCs w:val="0"/>
                <w:snapToGrid w:val="0"/>
                <w:kern w:val="2"/>
                <w:sz w:val="24"/>
                <w:szCs w:val="21"/>
                <w:lang w:val="en-US" w:eastAsia="zh-CN" w:bidi="ar-SA"/>
              </w:rPr>
              <w:t>推荐中标候选人数量：1名。</w:t>
            </w:r>
          </w:p>
        </w:tc>
      </w:tr>
      <w:tr w14:paraId="037A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EF6509C">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8371" w:type="dxa"/>
            <w:gridSpan w:val="3"/>
            <w:vAlign w:val="center"/>
          </w:tcPr>
          <w:p w14:paraId="629F23EF">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sz w:val="24"/>
                <w:lang w:eastAsia="zh-CN"/>
              </w:rPr>
            </w:pPr>
            <w:r>
              <w:rPr>
                <w:rFonts w:hint="eastAsia" w:ascii="仿宋" w:hAnsi="仿宋" w:eastAsia="仿宋" w:cs="仿宋"/>
                <w:b/>
                <w:sz w:val="24"/>
                <w:lang w:eastAsia="zh-CN"/>
              </w:rPr>
              <w:t>其他：</w:t>
            </w:r>
          </w:p>
          <w:p w14:paraId="57D8386B">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sz w:val="24"/>
                <w:highlight w:val="yellow"/>
                <w:u w:val="single"/>
              </w:rPr>
            </w:pPr>
            <w:r>
              <w:rPr>
                <w:rFonts w:hint="eastAsia" w:ascii="仿宋" w:hAnsi="仿宋" w:eastAsia="仿宋" w:cs="仿宋"/>
                <w:b w:val="0"/>
                <w:bCs w:val="0"/>
                <w:sz w:val="24"/>
              </w:rPr>
              <w:t>在领取</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通知书时</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供应商需根据采购人要求提供纸质</w:t>
            </w:r>
            <w:r>
              <w:rPr>
                <w:rFonts w:hint="eastAsia" w:ascii="仿宋" w:hAnsi="仿宋" w:eastAsia="仿宋" w:cs="仿宋"/>
                <w:b w:val="0"/>
                <w:bCs w:val="0"/>
                <w:sz w:val="24"/>
                <w:lang w:val="en-US" w:eastAsia="zh-CN"/>
              </w:rPr>
              <w:t>磋商响应</w:t>
            </w:r>
            <w:r>
              <w:rPr>
                <w:rFonts w:hint="eastAsia" w:ascii="仿宋" w:hAnsi="仿宋" w:eastAsia="仿宋" w:cs="仿宋"/>
                <w:b w:val="0"/>
                <w:bCs w:val="0"/>
                <w:sz w:val="24"/>
              </w:rPr>
              <w:t>文件（与电子</w:t>
            </w:r>
            <w:r>
              <w:rPr>
                <w:rFonts w:hint="eastAsia" w:ascii="仿宋" w:hAnsi="仿宋" w:eastAsia="仿宋" w:cs="仿宋"/>
                <w:b w:val="0"/>
                <w:bCs w:val="0"/>
                <w:sz w:val="24"/>
                <w:lang w:val="en-US" w:eastAsia="zh-CN"/>
              </w:rPr>
              <w:t>响应</w:t>
            </w:r>
            <w:r>
              <w:rPr>
                <w:rFonts w:hint="eastAsia" w:ascii="仿宋" w:hAnsi="仿宋" w:eastAsia="仿宋" w:cs="仿宋"/>
                <w:b w:val="0"/>
                <w:bCs w:val="0"/>
                <w:sz w:val="24"/>
              </w:rPr>
              <w:t>文件一致）至少</w:t>
            </w:r>
            <w:r>
              <w:rPr>
                <w:rFonts w:hint="eastAsia" w:ascii="仿宋" w:hAnsi="仿宋" w:eastAsia="仿宋" w:cs="仿宋"/>
                <w:b w:val="0"/>
                <w:bCs w:val="0"/>
                <w:sz w:val="24"/>
                <w:lang w:val="en-US" w:eastAsia="zh-CN"/>
              </w:rPr>
              <w:t>二</w:t>
            </w:r>
            <w:r>
              <w:rPr>
                <w:rFonts w:hint="eastAsia" w:ascii="仿宋" w:hAnsi="仿宋" w:eastAsia="仿宋" w:cs="仿宋"/>
                <w:b w:val="0"/>
                <w:bCs w:val="0"/>
                <w:sz w:val="24"/>
              </w:rPr>
              <w:t>份，递交至代理机构，如与电子</w:t>
            </w:r>
            <w:r>
              <w:rPr>
                <w:rFonts w:hint="eastAsia" w:ascii="仿宋" w:hAnsi="仿宋" w:eastAsia="仿宋" w:cs="仿宋"/>
                <w:b w:val="0"/>
                <w:bCs w:val="0"/>
                <w:sz w:val="24"/>
                <w:lang w:val="en-US" w:eastAsia="zh-CN"/>
              </w:rPr>
              <w:t>响应</w:t>
            </w:r>
            <w:r>
              <w:rPr>
                <w:rFonts w:hint="eastAsia" w:ascii="仿宋" w:hAnsi="仿宋" w:eastAsia="仿宋" w:cs="仿宋"/>
                <w:b w:val="0"/>
                <w:bCs w:val="0"/>
                <w:sz w:val="24"/>
              </w:rPr>
              <w:t>文件不符将影响</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供应商领取</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通知书。</w:t>
            </w:r>
          </w:p>
        </w:tc>
      </w:tr>
      <w:tr w14:paraId="04D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14:paraId="66559C88">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rPr>
              <w:t>解释：凡涉及本磋商文件的解释权属于采购人</w:t>
            </w:r>
            <w:r>
              <w:rPr>
                <w:rFonts w:hint="eastAsia" w:ascii="仿宋" w:hAnsi="仿宋" w:eastAsia="仿宋" w:cs="仿宋"/>
                <w:sz w:val="24"/>
                <w:lang w:val="en-US" w:eastAsia="zh-CN"/>
              </w:rPr>
              <w:t>和</w:t>
            </w:r>
            <w:r>
              <w:rPr>
                <w:rFonts w:hint="eastAsia" w:ascii="仿宋" w:hAnsi="仿宋" w:eastAsia="仿宋" w:cs="仿宋"/>
                <w:color w:val="auto"/>
                <w:sz w:val="24"/>
              </w:rPr>
              <w:t>采购代理机构</w:t>
            </w:r>
            <w:r>
              <w:rPr>
                <w:rFonts w:hint="eastAsia" w:ascii="仿宋" w:hAnsi="仿宋" w:eastAsia="仿宋" w:cs="仿宋"/>
                <w:sz w:val="24"/>
              </w:rPr>
              <w:t>。</w:t>
            </w:r>
          </w:p>
        </w:tc>
      </w:tr>
      <w:tr w14:paraId="4639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14:paraId="7B29BA7A">
            <w:pPr>
              <w:keepNext w:val="0"/>
              <w:keepLines w:val="0"/>
              <w:pageBreakBefore w:val="0"/>
              <w:widowControl w:val="0"/>
              <w:kinsoku/>
              <w:wordWrap/>
              <w:overflowPunct/>
              <w:topLinePunct w:val="0"/>
              <w:bidi w:val="0"/>
              <w:adjustRightInd w:val="0"/>
              <w:spacing w:line="360" w:lineRule="auto"/>
              <w:rPr>
                <w:rFonts w:ascii="仿宋" w:hAnsi="仿宋" w:eastAsia="仿宋" w:cs="仿宋"/>
                <w:b/>
                <w:sz w:val="24"/>
              </w:rPr>
            </w:pPr>
            <w:r>
              <w:rPr>
                <w:rFonts w:hint="eastAsia" w:ascii="仿宋" w:hAnsi="仿宋" w:eastAsia="仿宋" w:cs="仿宋"/>
                <w:b w:val="0"/>
                <w:bCs/>
                <w:sz w:val="24"/>
              </w:rPr>
              <w:t>注：成交候选供应商放弃成交资格或因质疑、投诉被取消成交资格或不能履行合同的，采购人重新开展采购活动。</w:t>
            </w:r>
          </w:p>
        </w:tc>
      </w:tr>
    </w:tbl>
    <w:p w14:paraId="15C0326C">
      <w:pPr>
        <w:snapToGrid w:val="0"/>
        <w:spacing w:line="336" w:lineRule="auto"/>
        <w:jc w:val="center"/>
        <w:rPr>
          <w:rFonts w:ascii="仿宋" w:hAnsi="仿宋" w:eastAsia="仿宋" w:cs="仿宋"/>
          <w:b/>
          <w:sz w:val="32"/>
          <w:szCs w:val="20"/>
        </w:rPr>
      </w:pPr>
    </w:p>
    <w:p w14:paraId="1C5E572B">
      <w:pPr>
        <w:pStyle w:val="3"/>
        <w:numPr>
          <w:ilvl w:val="0"/>
          <w:numId w:val="0"/>
        </w:numPr>
        <w:bidi w:val="0"/>
        <w:ind w:leftChars="0"/>
        <w:jc w:val="center"/>
        <w:rPr>
          <w:rFonts w:hint="eastAsia" w:cs="Times New Roman"/>
        </w:rPr>
      </w:pPr>
      <w:r>
        <w:rPr>
          <w:rFonts w:hint="eastAsia" w:cs="Times New Roman"/>
        </w:rPr>
        <w:t>一、总则</w:t>
      </w:r>
    </w:p>
    <w:p w14:paraId="5C58268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1.适用范围</w:t>
      </w:r>
    </w:p>
    <w:p w14:paraId="53097AE6">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rPr>
        <w:t>本磋商文件适用于该项目的邀请、响应、开启响应文件、信用信息查询、资格性审查、评审、成交、合同、验收等行为（法律、法规另有规定的，从其规定）。</w:t>
      </w:r>
    </w:p>
    <w:p w14:paraId="0C3547D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2.定义</w:t>
      </w:r>
    </w:p>
    <w:p w14:paraId="77E50B8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2.1“采购人”系指磋商邀请公告中载明的本项目的采购人。</w:t>
      </w:r>
    </w:p>
    <w:p w14:paraId="53281E3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2.2“采购代理机构”系指磋商邀请公告中载明的本项目的采购代理机构。</w:t>
      </w:r>
    </w:p>
    <w:p w14:paraId="4149D51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highlight w:val="none"/>
        </w:rPr>
        <w:t>“供应商”系</w:t>
      </w:r>
      <w:r>
        <w:rPr>
          <w:rFonts w:hint="eastAsia" w:ascii="仿宋" w:hAnsi="仿宋" w:eastAsia="仿宋" w:cs="仿宋"/>
          <w:sz w:val="24"/>
          <w:szCs w:val="24"/>
        </w:rPr>
        <w:t>指响应磋商、参加本次竞争的法人、其他组织或自然人。</w:t>
      </w:r>
    </w:p>
    <w:p w14:paraId="415464D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2.4“监督单位”系指政府采购监督管理部门</w:t>
      </w:r>
      <w:r>
        <w:rPr>
          <w:rFonts w:hint="eastAsia" w:ascii="仿宋" w:hAnsi="仿宋" w:eastAsia="仿宋" w:cs="仿宋"/>
          <w:sz w:val="24"/>
          <w:szCs w:val="24"/>
          <w:lang w:eastAsia="zh-CN"/>
        </w:rPr>
        <w:t>。</w:t>
      </w:r>
    </w:p>
    <w:p w14:paraId="48D9B9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2.5“负责人”系指法人企业的法定负责人，或其他组织为法律、行政法规规定代表单位行使职权的主要负责人，或自然人本人。</w:t>
      </w:r>
    </w:p>
    <w:p w14:paraId="1E8E619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“电子签名”系指数据电文中以电子形式所含、所附用于识别签名人身份并表明签名人认可其中内容的数据；。</w:t>
      </w:r>
      <w:r>
        <w:rPr>
          <w:rFonts w:hint="eastAsia" w:ascii="仿宋" w:hAnsi="仿宋" w:eastAsia="仿宋" w:cs="仿宋"/>
          <w:sz w:val="24"/>
          <w:szCs w:val="24"/>
          <w:lang w:val="en-US" w:eastAsia="zh-CN"/>
        </w:rPr>
        <w:t xml:space="preserve">  </w:t>
      </w:r>
    </w:p>
    <w:p w14:paraId="45942B5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“电子交易平台”系指本项目政府采购活动所依托的政府采购云平台（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p>
    <w:p w14:paraId="2EBD1EE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r>
        <w:rPr>
          <w:rFonts w:hint="eastAsia" w:ascii="仿宋" w:hAnsi="仿宋" w:eastAsia="仿宋" w:cs="仿宋"/>
          <w:sz w:val="24"/>
          <w:szCs w:val="24"/>
        </w:rPr>
        <w:t>”系指适用本项目的要求，“☐”系指不适用本项目的要求。</w:t>
      </w:r>
    </w:p>
    <w:p w14:paraId="5128A994">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15E24F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E0028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3.2支持绿色发展</w:t>
      </w:r>
    </w:p>
    <w:p w14:paraId="5D9F288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7A9718A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color w:val="auto"/>
          <w:sz w:val="24"/>
          <w:szCs w:val="24"/>
        </w:rPr>
        <w:t>★</w:t>
      </w:r>
      <w:r>
        <w:rPr>
          <w:rFonts w:hint="eastAsia" w:ascii="仿宋" w:hAnsi="仿宋" w:eastAsia="仿宋" w:cs="仿宋"/>
          <w:b/>
          <w:bCs/>
          <w:sz w:val="24"/>
          <w:szCs w:val="24"/>
        </w:rPr>
        <w:t>3.2.2采</w:t>
      </w:r>
      <w:r>
        <w:rPr>
          <w:rFonts w:hint="eastAsia" w:ascii="仿宋" w:hAnsi="仿宋" w:eastAsia="仿宋" w:cs="仿宋"/>
          <w:b/>
          <w:sz w:val="24"/>
          <w:szCs w:val="24"/>
        </w:rPr>
        <w:t>购人拟采购的产品属于政府强制采购的节能产品品目清单范围的，磋商响应人未按磋商文件要求提供国家确定的认证机构出具的、处于有效期之内的节能产品认证证书，磋商无效。</w:t>
      </w:r>
    </w:p>
    <w:p w14:paraId="7BF4A79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3.2.3纳入政府采购管理的修缮、装修类项目采购建材的，采购单位</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28E1E58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7A3627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4322D9A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0E78929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18A9E25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E5BA86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Cs/>
          <w:sz w:val="24"/>
          <w:szCs w:val="24"/>
        </w:rPr>
        <w:t>3.3.2在货物采购项目中</w:t>
      </w:r>
      <w:r>
        <w:rPr>
          <w:rFonts w:hint="eastAsia" w:ascii="仿宋" w:hAnsi="仿宋" w:eastAsia="仿宋" w:cs="仿宋"/>
          <w:b w:val="0"/>
          <w:bCs/>
          <w:sz w:val="24"/>
          <w:szCs w:val="24"/>
        </w:rPr>
        <w:t>，货物由小微企业制造，即货物由小微企业生产且使用该小微企业商号或者注册商标。供应商提供的货物既有中小企业制造货物，也有大型企业制造货物的，不享受中小企业扶持政策。</w:t>
      </w:r>
    </w:p>
    <w:p w14:paraId="4EA8E49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3.3.3在服务采购项目中，服务由小微企业承接，即提供服务的人员为小微企业依照《中华人民共和国劳动合同法》订立劳动合同的从业人员。</w:t>
      </w:r>
    </w:p>
    <w:p w14:paraId="387D14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3.3.4小微企业应按照磋商文件格式要求提供《中小企业声明函》。</w:t>
      </w:r>
    </w:p>
    <w:p w14:paraId="27D435C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szCs w:val="24"/>
          <w:highlight w:val="none"/>
        </w:rPr>
        <w:t>10%</w:t>
      </w:r>
      <w:r>
        <w:rPr>
          <w:rFonts w:hint="eastAsia" w:ascii="仿宋" w:hAnsi="仿宋" w:eastAsia="仿宋" w:cs="仿宋"/>
          <w:sz w:val="24"/>
          <w:szCs w:val="24"/>
        </w:rPr>
        <w:t>的扣除，用扣除后的价格参加评审。</w:t>
      </w:r>
    </w:p>
    <w:p w14:paraId="7243C70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的</w:t>
      </w:r>
      <w:r>
        <w:rPr>
          <w:rFonts w:hint="eastAsia" w:ascii="仿宋" w:hAnsi="仿宋" w:eastAsia="仿宋" w:cs="仿宋"/>
          <w:sz w:val="24"/>
          <w:szCs w:val="24"/>
        </w:rPr>
        <w:t>扣除，用扣除后的价格参加评审。组成联合体或者接受分包的小微企业与联合体内其他企业、分包企业之间存在直接控股、管理关系的，不享受价格扣除优惠政策。</w:t>
      </w:r>
    </w:p>
    <w:p w14:paraId="5F0868D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val="0"/>
          <w:bCs/>
          <w:sz w:val="24"/>
          <w:szCs w:val="24"/>
        </w:rPr>
        <w:t>以联合体形式参加政府采购活动， 联合体各方均为中小企业的，联合体视同中小企业。其中，联合体各方均为小微企业的，联合体视同小微企业。</w:t>
      </w:r>
    </w:p>
    <w:p w14:paraId="6CBE1D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3.3.7符合《关于促进残疾人就业政府采购政策的通知》（财库〔2017〕141号）规定的条件并提供《残疾人福利性单位声明函》的残疾人福利性单位视同小微企业；</w:t>
      </w:r>
    </w:p>
    <w:p w14:paraId="48544B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C57348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支持创新发展</w:t>
      </w:r>
    </w:p>
    <w:p w14:paraId="2455622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14:paraId="64D3979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6AB2BA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599D00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2A3A5A5B">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6E0B22F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4.1供应商应仔细阅读磋商文件的所有内容，按照磋商文件的要求提交磋商响应文件，并对所提供的全部资料的真实性承担法律责任。</w:t>
      </w:r>
    </w:p>
    <w:p w14:paraId="1F3DC6F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2</w:t>
      </w:r>
      <w:r>
        <w:rPr>
          <w:rFonts w:hint="eastAsia" w:ascii="仿宋" w:hAnsi="仿宋" w:eastAsia="仿宋" w:cs="仿宋"/>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sz w:val="24"/>
          <w:szCs w:val="24"/>
          <w:highlight w:val="none"/>
        </w:rPr>
        <w:t>规定</w:t>
      </w:r>
      <w:r>
        <w:rPr>
          <w:rFonts w:hint="eastAsia" w:ascii="仿宋" w:hAnsi="仿宋" w:eastAsia="仿宋" w:cs="仿宋"/>
          <w:sz w:val="24"/>
          <w:szCs w:val="24"/>
        </w:rPr>
        <w:t>赔偿采购人，且民事赔偿并不免除违法供应商的行政与刑事责任。</w:t>
      </w:r>
    </w:p>
    <w:p w14:paraId="7FBF6CF3">
      <w:pPr>
        <w:snapToGrid w:val="0"/>
        <w:spacing w:line="336" w:lineRule="auto"/>
        <w:ind w:firstLine="643" w:firstLineChars="200"/>
        <w:jc w:val="left"/>
        <w:rPr>
          <w:rFonts w:ascii="仿宋" w:hAnsi="仿宋" w:eastAsia="仿宋" w:cs="仿宋"/>
          <w:b/>
          <w:sz w:val="32"/>
          <w:szCs w:val="32"/>
        </w:rPr>
      </w:pPr>
    </w:p>
    <w:p w14:paraId="53CBB906">
      <w:pPr>
        <w:pStyle w:val="3"/>
        <w:numPr>
          <w:ilvl w:val="0"/>
          <w:numId w:val="0"/>
        </w:numPr>
        <w:bidi w:val="0"/>
        <w:ind w:leftChars="0"/>
        <w:jc w:val="center"/>
        <w:rPr>
          <w:rFonts w:hint="eastAsia" w:cs="Times New Roman"/>
        </w:rPr>
      </w:pPr>
      <w:r>
        <w:rPr>
          <w:rFonts w:hint="eastAsia" w:cs="Times New Roman"/>
        </w:rPr>
        <w:t>二、磋商文件</w:t>
      </w:r>
    </w:p>
    <w:p w14:paraId="0C4A5CC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政府采购方式</w:t>
      </w:r>
    </w:p>
    <w:p w14:paraId="2A3BC5B5">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 xml:space="preserve">    1.1 本项目采用</w:t>
      </w:r>
      <w:r>
        <w:rPr>
          <w:rFonts w:hint="eastAsia" w:ascii="仿宋" w:hAnsi="仿宋" w:eastAsia="仿宋" w:cs="仿宋"/>
          <w:b w:val="0"/>
          <w:bCs/>
          <w:kern w:val="0"/>
          <w:sz w:val="24"/>
          <w:szCs w:val="24"/>
        </w:rPr>
        <w:t>竞争性磋商</w:t>
      </w:r>
      <w:r>
        <w:rPr>
          <w:rFonts w:hint="eastAsia" w:ascii="仿宋" w:hAnsi="仿宋" w:eastAsia="仿宋" w:cs="仿宋"/>
          <w:sz w:val="24"/>
          <w:szCs w:val="24"/>
        </w:rPr>
        <w:t>方式进行。</w:t>
      </w:r>
    </w:p>
    <w:p w14:paraId="4CC0DD6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sz w:val="24"/>
          <w:szCs w:val="24"/>
        </w:rPr>
        <w:t xml:space="preserve">    1.2 如某一标项实质性响应磋商文件的供应商不足三家时，由采购人重新组织开展采购活动或按有关规定实施。</w:t>
      </w:r>
    </w:p>
    <w:p w14:paraId="3FA71224">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1.3 本次竞争性磋商设定上限价，上限价即谈判公告中公布的各分标项预算金额。（各分标项之间的预算金额不能互相调整）</w:t>
      </w:r>
    </w:p>
    <w:p w14:paraId="044BDFE8">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磋商委托</w:t>
      </w:r>
    </w:p>
    <w:p w14:paraId="487629B2">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本项目为电子磋商项目，供应商的法定代表人或其授权代表或个体工商户不需要参加现场磋商和开标。</w:t>
      </w:r>
    </w:p>
    <w:p w14:paraId="457091F7">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磋商费用</w:t>
      </w:r>
    </w:p>
    <w:p w14:paraId="683EC8FC">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供应商应自行承担编制磋商响应文件及参加本次磋商所涉及的一切费用。不管磋商结果如何，采购人对上述费用不负任何责任。</w:t>
      </w:r>
    </w:p>
    <w:p w14:paraId="7A2FF8F7">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磋商文件</w:t>
      </w:r>
    </w:p>
    <w:p w14:paraId="62A0BA5B">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4.1 </w:t>
      </w:r>
      <w:r>
        <w:rPr>
          <w:rFonts w:hint="eastAsia" w:ascii="仿宋" w:hAnsi="仿宋" w:eastAsia="仿宋" w:cs="仿宋"/>
          <w:bCs/>
          <w:sz w:val="24"/>
          <w:szCs w:val="24"/>
        </w:rPr>
        <w:t>磋商文件包括本磋商文件及所有的磋商答疑记录（澄清、修改）和发出的补充通知</w:t>
      </w:r>
      <w:r>
        <w:rPr>
          <w:rFonts w:hint="eastAsia" w:ascii="仿宋" w:hAnsi="仿宋" w:eastAsia="仿宋" w:cs="仿宋"/>
          <w:sz w:val="24"/>
          <w:szCs w:val="24"/>
        </w:rPr>
        <w:t>。</w:t>
      </w:r>
    </w:p>
    <w:p w14:paraId="79A25AB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4.2磋商文件的澄清 </w:t>
      </w:r>
    </w:p>
    <w:p w14:paraId="3365059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45A89F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4.3磋商文件的修改</w:t>
      </w:r>
    </w:p>
    <w:p w14:paraId="040B683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1644C8A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18"/>
          <w:szCs w:val="18"/>
          <w:lang w:val="en-US"/>
        </w:rPr>
      </w:pPr>
      <w:r>
        <w:rPr>
          <w:rFonts w:hint="eastAsia" w:ascii="仿宋" w:hAnsi="仿宋" w:eastAsia="仿宋" w:cs="仿宋"/>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szCs w:val="24"/>
          <w:lang w:val="en-US"/>
        </w:rPr>
        <w:t xml:space="preserve">    </w:t>
      </w:r>
    </w:p>
    <w:p w14:paraId="22955136">
      <w:pPr>
        <w:bidi w:val="0"/>
        <w:rPr>
          <w:rFonts w:hint="eastAsia"/>
        </w:rPr>
      </w:pPr>
    </w:p>
    <w:p w14:paraId="405E5808">
      <w:pPr>
        <w:bidi w:val="0"/>
        <w:rPr>
          <w:rFonts w:hint="eastAsia"/>
        </w:rPr>
      </w:pPr>
    </w:p>
    <w:p w14:paraId="7DC0A283">
      <w:pPr>
        <w:pStyle w:val="3"/>
        <w:numPr>
          <w:ilvl w:val="0"/>
          <w:numId w:val="0"/>
        </w:numPr>
        <w:bidi w:val="0"/>
        <w:ind w:leftChars="0"/>
        <w:jc w:val="center"/>
        <w:rPr>
          <w:rFonts w:hint="eastAsia" w:cs="Times New Roman"/>
        </w:rPr>
      </w:pPr>
      <w:r>
        <w:rPr>
          <w:rFonts w:hint="eastAsia" w:cs="Times New Roman"/>
        </w:rPr>
        <w:t>三、响应文件</w:t>
      </w:r>
    </w:p>
    <w:p w14:paraId="5C5587B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1.响应文件的语言及计量单位</w:t>
      </w:r>
    </w:p>
    <w:p w14:paraId="3C58C59E">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1.1供应商应仔细阅读磋商文件中的所有内容，按照磋商文件要求，详细编制响应文件，并保证响应文件的正确性和真实性。</w:t>
      </w:r>
    </w:p>
    <w:p w14:paraId="3F1BDAD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1.2响应文件以及供应商与采购人、采购代理机构就有关磋商事宜的所有来往函电，均应以中文书写（技术术语除外）。</w:t>
      </w:r>
    </w:p>
    <w:p w14:paraId="4E48C78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1.3磋商计量单位，除磋商文件中有特殊要求外，应采用中华人民共和国法定计量单位，货币单位：人民币元。</w:t>
      </w:r>
    </w:p>
    <w:p w14:paraId="3D98FD58">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1.4不按磋商文件的要求提供的响应文件可能导致被拒绝。</w:t>
      </w:r>
    </w:p>
    <w:p w14:paraId="200EC44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1.5响应文件的形式和效力</w:t>
      </w:r>
    </w:p>
    <w:p w14:paraId="4CC7D33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1.5.1磋商响应文件为电子响应文件，电子响应文件按“政采云供应商项目采购-电子招投标操作指南”及本磋商文件要求制作、加密传输。</w:t>
      </w:r>
    </w:p>
    <w:p w14:paraId="15F5CBC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1.5.2响应文件的效力：</w:t>
      </w:r>
    </w:p>
    <w:p w14:paraId="2AEA724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sz w:val="24"/>
          <w:szCs w:val="24"/>
          <w:u w:val="single"/>
        </w:rPr>
      </w:pPr>
      <w:r>
        <w:rPr>
          <w:rFonts w:hint="eastAsia" w:ascii="仿宋" w:hAnsi="仿宋" w:eastAsia="仿宋" w:cs="仿宋"/>
          <w:b w:val="0"/>
          <w:bCs/>
          <w:sz w:val="24"/>
          <w:szCs w:val="24"/>
          <w:u w:val="single"/>
        </w:rPr>
        <w:t>磋商响应文件未在磋商截止时间前完成传输的，视为磋商响应文件撤回；磋商响应文件未按时解密，亦视为响应文件撤回。</w:t>
      </w:r>
    </w:p>
    <w:p w14:paraId="3E614035">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2B3BF05B">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“商务技术文件”、“报价文件”三部分组成，其中电子磋商响应文件中所须加盖公章部分均应采用电子签章。</w:t>
      </w:r>
    </w:p>
    <w:p w14:paraId="7A8F2FD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538918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.1.1营业执照扫描件；</w:t>
      </w:r>
    </w:p>
    <w:p w14:paraId="53EE5C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2.1.2</w:t>
      </w:r>
      <w:r>
        <w:rPr>
          <w:rFonts w:hint="eastAsia" w:ascii="仿宋" w:hAnsi="仿宋" w:eastAsia="仿宋" w:cs="仿宋"/>
          <w:b w:val="0"/>
          <w:bCs/>
          <w:sz w:val="24"/>
          <w:szCs w:val="24"/>
        </w:rPr>
        <w:t>法定代表人身份证明书；</w:t>
      </w:r>
    </w:p>
    <w:p w14:paraId="27319CC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2</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法定代表人授权委托书</w:t>
      </w:r>
      <w:r>
        <w:rPr>
          <w:rFonts w:hint="eastAsia" w:ascii="仿宋" w:hAnsi="仿宋" w:eastAsia="仿宋" w:cs="仿宋"/>
          <w:b w:val="0"/>
          <w:bCs/>
          <w:sz w:val="24"/>
          <w:szCs w:val="24"/>
          <w:lang w:val="en-US" w:eastAsia="zh-CN"/>
        </w:rPr>
        <w:t>及</w:t>
      </w:r>
      <w:r>
        <w:rPr>
          <w:rFonts w:hint="eastAsia" w:ascii="仿宋" w:hAnsi="仿宋" w:eastAsia="仿宋" w:cs="仿宋"/>
          <w:b w:val="0"/>
          <w:bCs/>
          <w:sz w:val="24"/>
          <w:szCs w:val="24"/>
        </w:rPr>
        <w:t>授权代表社保证明</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若委托</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w:t>
      </w:r>
    </w:p>
    <w:p w14:paraId="0D13CB5E">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2.1.</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符合参加政府采购活动应当具备的一般条件的承诺函；</w:t>
      </w:r>
    </w:p>
    <w:p w14:paraId="3C4A5699">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2.1.5中小企业声明函（或监狱企业声明函及其相关的充分的证明材料或残疾人福利性单位声明函）；</w:t>
      </w:r>
    </w:p>
    <w:p w14:paraId="51ABAB1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sz w:val="24"/>
          <w:szCs w:val="24"/>
          <w:lang w:val="en-US" w:eastAsia="zh-CN"/>
        </w:rPr>
        <w:t>2.1.6单位负责人为同一人或者存在直接控股、管理关系的不同供应商，不得参加同一合同项下的政府采购活动（开标后提供《政府采购活动现场确认声明书》（PDF格式），发送至邮箱784332087@qq.com）；</w:t>
      </w:r>
    </w:p>
    <w:p w14:paraId="17041816">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569C715E">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252962F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BE64C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14:paraId="515A21B6">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14:paraId="7CC87AC5">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val="en-US" w:eastAsia="zh-CN"/>
        </w:rPr>
        <w:t>评分索引表；</w:t>
      </w:r>
    </w:p>
    <w:p w14:paraId="077FA1B3">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r>
        <w:rPr>
          <w:rFonts w:hint="eastAsia" w:ascii="仿宋" w:hAnsi="仿宋" w:eastAsia="仿宋" w:cs="仿宋"/>
          <w:color w:val="auto"/>
          <w:sz w:val="24"/>
          <w:szCs w:val="24"/>
          <w:lang w:val="en-US" w:eastAsia="zh-CN"/>
        </w:rPr>
        <w:t>；</w:t>
      </w:r>
    </w:p>
    <w:p w14:paraId="1D6E0DA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387D09C8">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386783D9">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sz w:val="24"/>
          <w:highlight w:val="none"/>
        </w:rPr>
        <w:t>评标标准相应的商务技术资料</w:t>
      </w:r>
      <w:r>
        <w:rPr>
          <w:rFonts w:hint="eastAsia" w:ascii="仿宋" w:hAnsi="仿宋" w:eastAsia="仿宋" w:cs="仿宋"/>
          <w:sz w:val="24"/>
          <w:highlight w:val="none"/>
          <w:lang w:eastAsia="zh-CN"/>
        </w:rPr>
        <w:t>；</w:t>
      </w:r>
    </w:p>
    <w:p w14:paraId="0707A7A4">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434B8D17">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72B3A47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569A322">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4A699572">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26A41B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3.1磋商</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提供服务所需的一切人员工资、住宿、门票、餐费、交通、意外险、管理费、税费、利润、完成合同所需的一切本身和不可或缺的所有工作开支、政策性文件规定计合同包含的所有风险、责任等各项全部费用。</w:t>
      </w:r>
    </w:p>
    <w:p w14:paraId="183694B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2B4826C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224757B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1E7A9ECF">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rPr>
        <w:t>4.</w:t>
      </w:r>
      <w:r>
        <w:rPr>
          <w:rFonts w:hint="eastAsia" w:ascii="仿宋" w:hAnsi="仿宋" w:eastAsia="仿宋" w:cs="仿宋"/>
          <w:b/>
          <w:sz w:val="24"/>
          <w:szCs w:val="24"/>
        </w:rPr>
        <w:t>响应文件的编制和签署</w:t>
      </w:r>
    </w:p>
    <w:p w14:paraId="15AED91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7ACAE5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67F35F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.3使用“政采云电子交易客户端”需要提前申领CA数字证书，申领流程请自行前往“浙江政府采购网-下载专区-电子交易客户端-CA驱动和申领流程”进行查阅。</w:t>
      </w:r>
    </w:p>
    <w:p w14:paraId="7BD1EF02">
      <w:pPr>
        <w:pStyle w:val="396"/>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.4响应文件按照磋商文件第六部分格式要求进行签署、盖章。</w:t>
      </w:r>
      <w:r>
        <w:rPr>
          <w:rFonts w:hint="eastAsia" w:ascii="仿宋" w:hAnsi="仿宋" w:eastAsia="仿宋" w:cs="仿宋"/>
          <w:b/>
          <w:sz w:val="24"/>
          <w:szCs w:val="24"/>
        </w:rPr>
        <w:t>供应商的响应文件未按照磋商文件要求签署、盖章的，其响应无效</w:t>
      </w:r>
      <w:r>
        <w:rPr>
          <w:rFonts w:hint="eastAsia" w:ascii="仿宋" w:hAnsi="仿宋" w:eastAsia="仿宋" w:cs="仿宋"/>
          <w:sz w:val="24"/>
          <w:szCs w:val="24"/>
        </w:rPr>
        <w:t>。</w:t>
      </w:r>
    </w:p>
    <w:p w14:paraId="0DB661DE">
      <w:pPr>
        <w:pStyle w:val="396"/>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.5为确保网上操作合法、有效和安全，供应商应当在响应截止时间前完成在“政府采购云平台”的身份认证，确保在电子交易过程中能够对相关数据电文进行加密和使用电子签名。</w:t>
      </w:r>
    </w:p>
    <w:p w14:paraId="18DE9B65">
      <w:pPr>
        <w:pStyle w:val="396"/>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6磋商文件对响应文件签署、盖章的要求适用于电子签名。</w:t>
      </w:r>
    </w:p>
    <w:p w14:paraId="6A3B8FEA">
      <w:pPr>
        <w:pStyle w:val="396"/>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磋商响应文件的提交、补充、修改、撤回</w:t>
      </w:r>
    </w:p>
    <w:p w14:paraId="4AFA33A0">
      <w:pPr>
        <w:pStyle w:val="396"/>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F606E7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.2在响应截止时间以后，不能补充、修改响应文件。</w:t>
      </w:r>
    </w:p>
    <w:p w14:paraId="3B14AAB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3在提交“最后报价”后，供应商不能退出磋商。</w:t>
      </w:r>
    </w:p>
    <w:p w14:paraId="476EF98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.4电子交易平台收到响应文件，将妥善保存并即时向供应商发出确认回执通知。在响应截止时间前，除供应商补充、修改或者撤回响应文件外，任何单位和个人不得解密或提取响应文件。</w:t>
      </w:r>
    </w:p>
    <w:p w14:paraId="745777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.5采购代理机构可以视情况延长提交响应文件的截止时间。在上述情况下，采购代理机构与供应商以前在响应截止期方面的全部权利、责任和义务，将适用于延长至新的响应截止期。</w:t>
      </w:r>
    </w:p>
    <w:p w14:paraId="5FEA774F">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5.6备份响应文件</w:t>
      </w:r>
    </w:p>
    <w:p w14:paraId="00F886A0">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7DC06B4D">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10242337">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750F2FB7">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307AB672">
      <w:pPr>
        <w:pStyle w:val="396"/>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5.6.5供应商仅提交备份响应文件，没有在电子交易平台传输递交响应文件的，响应无效。</w:t>
      </w:r>
    </w:p>
    <w:p w14:paraId="3D1EAFB3">
      <w:pPr>
        <w:pStyle w:val="396"/>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磋商响应有效期</w:t>
      </w:r>
    </w:p>
    <w:p w14:paraId="3D8FAF8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1磋商响应有效期为从提交磋商响应文件的截止之日起90天。供应商的磋商响应文件中承诺的磋商响应有效期少于磋商文件中载明的磋商有效期的，磋商无效。</w:t>
      </w:r>
    </w:p>
    <w:p w14:paraId="34B7A51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2磋商响应文件合格投递后，自磋商截止日期起，在磋商有效期内有效。</w:t>
      </w:r>
    </w:p>
    <w:p w14:paraId="6A8C1FD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lang w:val="en-US"/>
        </w:rPr>
        <w:t>6.</w:t>
      </w:r>
      <w:r>
        <w:rPr>
          <w:rFonts w:hint="eastAsia" w:ascii="仿宋" w:hAnsi="仿宋" w:eastAsia="仿宋" w:cs="仿宋"/>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4EE2843">
      <w:pPr>
        <w:bidi w:val="0"/>
      </w:pPr>
    </w:p>
    <w:p w14:paraId="1665F44B">
      <w:pPr>
        <w:bidi w:val="0"/>
        <w:rPr>
          <w:rFonts w:hint="eastAsia"/>
        </w:rPr>
      </w:pPr>
    </w:p>
    <w:p w14:paraId="04881E99">
      <w:pPr>
        <w:pStyle w:val="3"/>
        <w:numPr>
          <w:ilvl w:val="0"/>
          <w:numId w:val="0"/>
        </w:numPr>
        <w:bidi w:val="0"/>
        <w:ind w:leftChars="0"/>
        <w:jc w:val="center"/>
        <w:rPr>
          <w:rFonts w:hint="eastAsia" w:cs="Times New Roman"/>
        </w:rPr>
      </w:pPr>
      <w:r>
        <w:rPr>
          <w:rFonts w:hint="eastAsia" w:cs="Times New Roman"/>
        </w:rPr>
        <w:t>四、磋商和评审</w:t>
      </w:r>
    </w:p>
    <w:p w14:paraId="0A44181D">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磋商程序</w:t>
      </w:r>
    </w:p>
    <w:p w14:paraId="7071B35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1.1响应截止时间后，主持人宣布磋商开始。</w:t>
      </w:r>
    </w:p>
    <w:p w14:paraId="423F2A1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1.2供应商登录政采云平台，用“项目采购-开标评标”功能对电子磋商响应文件进行在线解密。在线解密电子磋商响应文件时间为磋商截止时间起30分钟内。</w:t>
      </w:r>
    </w:p>
    <w:p w14:paraId="1835EA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1.3确定各供应商磋商、演示顺序（如有要求）。</w:t>
      </w:r>
    </w:p>
    <w:p w14:paraId="7AE7F96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1.4磋商小组对磋商响应文件进行评估和比较。</w:t>
      </w:r>
    </w:p>
    <w:p w14:paraId="21634C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1.5磋商小组与单一供应商分别进行磋商。</w:t>
      </w:r>
    </w:p>
    <w:p w14:paraId="4323444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1.6</w:t>
      </w:r>
      <w:r>
        <w:rPr>
          <w:rFonts w:hint="eastAsia" w:ascii="仿宋" w:hAnsi="仿宋" w:eastAsia="仿宋" w:cs="仿宋"/>
          <w:b w:val="0"/>
          <w:bCs w:val="0"/>
          <w:sz w:val="24"/>
          <w:szCs w:val="24"/>
        </w:rPr>
        <w:t>磋商小组要求所有实质性响应的供应商在规定时间内提交最后报价。</w:t>
      </w:r>
    </w:p>
    <w:p w14:paraId="552098C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7169505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1.8主持人公布磋商结果。</w:t>
      </w:r>
    </w:p>
    <w:p w14:paraId="5215882E">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特别说明：政采云公司如对电子化磋商程序有调整的，按调整后的程序操作。</w:t>
      </w:r>
    </w:p>
    <w:p w14:paraId="78A8E25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2.采购过程中出现以下情形，导致电子交易平台无法正常运行，或者无法保证电子交易的公平、公正和安全时，采购组织机构可中止电子交易活动：</w:t>
      </w:r>
    </w:p>
    <w:p w14:paraId="6212748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2.1电子交易平台发生故障而无法登录访问的； </w:t>
      </w:r>
    </w:p>
    <w:p w14:paraId="115DBED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2.2电子交易平台应用或数据库出现错误，不能进行正常操作的；</w:t>
      </w:r>
    </w:p>
    <w:p w14:paraId="750AEAB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2.3电子交易平台发现严重安全漏洞，有潜在泄密危险的；</w:t>
      </w:r>
    </w:p>
    <w:p w14:paraId="21FF227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2.4病毒发作导致不能进行正常操作的； </w:t>
      </w:r>
    </w:p>
    <w:p w14:paraId="6AEAA8B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2.5其他无法保证电子交易的公平、公正和安全的情况。</w:t>
      </w:r>
    </w:p>
    <w:p w14:paraId="649F4D4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380B99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磋商内容</w:t>
      </w:r>
    </w:p>
    <w:p w14:paraId="00FC98E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本次磋商内容为在磋商文件范围内就供应商的磋商响应文件，磋商小组与供应商在技术、价格、服务、合同等问题进行磋商，最终确定成交与否。</w:t>
      </w:r>
    </w:p>
    <w:p w14:paraId="28D7604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3.2磋商应作书面记录，供应商并就磋商内容作出书面承诺，并由供应商法定代表人或其授权委托人签字后生效，作为磋商响应文件的一部分。</w:t>
      </w:r>
    </w:p>
    <w:p w14:paraId="31831C8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3.3磋商文件有实质性变动的，磋商小组以书面形式通知所有参加磋商的供应商。</w:t>
      </w:r>
    </w:p>
    <w:p w14:paraId="467F12E4">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w:t>
      </w:r>
    </w:p>
    <w:p w14:paraId="0DAF137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4.1磋商小组由采购人依法组建，负责评审活动。磋商小组遵循公开、公平、公正、科学合理、竞争择优的原则。</w:t>
      </w:r>
    </w:p>
    <w:p w14:paraId="2F73E8C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4.2磋商小组由采购人代表和有关方面的专家组成，成员人数为3人以上单数。</w:t>
      </w:r>
    </w:p>
    <w:p w14:paraId="396ED6A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4.3磋商小组负责对供应商资格的最终审定。</w:t>
      </w:r>
    </w:p>
    <w:p w14:paraId="1E97FFE9">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4.4磋商小组可以要求供应商对其磋商响应文件中含义不明确的内容作必要的澄清或者说明，但澄清或者说明不得超过磋商响应文件的范围或者改变磋商响应文件的实质性内容。</w:t>
      </w:r>
    </w:p>
    <w:p w14:paraId="0D25B0C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2D7F675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供应商通过政采云平台交换的数据电文必须进行电子签章。</w:t>
      </w:r>
    </w:p>
    <w:p w14:paraId="6578BC5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F99C37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4.6</w:t>
      </w:r>
      <w:r>
        <w:rPr>
          <w:rFonts w:hint="eastAsia" w:ascii="仿宋" w:hAnsi="仿宋" w:eastAsia="仿宋" w:cs="仿宋"/>
          <w:sz w:val="24"/>
          <w:szCs w:val="24"/>
        </w:rPr>
        <w:t>磋商小组</w:t>
      </w:r>
      <w:r>
        <w:rPr>
          <w:rFonts w:hint="eastAsia" w:ascii="仿宋" w:hAnsi="仿宋" w:eastAsia="仿宋" w:cs="仿宋"/>
          <w:kern w:val="0"/>
          <w:sz w:val="24"/>
          <w:szCs w:val="24"/>
        </w:rPr>
        <w:t>对磋商响应文件的判定，只依据磋商响应文件和磋商文件内容本身，不依据任何外来证明。</w:t>
      </w:r>
    </w:p>
    <w:p w14:paraId="53F720B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4.7磋商小组不向落标方解释落标的原因，不退还磋商响应文件。</w:t>
      </w:r>
    </w:p>
    <w:p w14:paraId="7B68822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磋商响应文件的初审鉴定</w:t>
      </w:r>
    </w:p>
    <w:p w14:paraId="541DCD9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5.1资格性审查</w:t>
      </w:r>
    </w:p>
    <w:p w14:paraId="03C8374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5.1.1依据法律、法规和磋商文件规定，对磋商响应文件中对资格证明进行审查，以确定供应商是否具备磋商资格。</w:t>
      </w:r>
    </w:p>
    <w:p w14:paraId="47C6C74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5.1.2</w:t>
      </w:r>
      <w:r>
        <w:rPr>
          <w:rFonts w:hint="eastAsia" w:ascii="仿宋" w:hAnsi="仿宋" w:eastAsia="仿宋" w:cs="仿宋"/>
          <w:color w:val="auto"/>
          <w:sz w:val="24"/>
          <w:szCs w:val="24"/>
          <w:lang w:val="en-US" w:eastAsia="zh-CN"/>
        </w:rPr>
        <w:t>供应商未按照磋商文件要求提供与基本资格条件、特定资格条件相应的有效资格证明材料的，视为供应商不具备磋商文件中规定的资格要求，其响应无效。</w:t>
      </w:r>
    </w:p>
    <w:p w14:paraId="3DEA48E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5.2符合性审查</w:t>
      </w:r>
    </w:p>
    <w:p w14:paraId="5F33A6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2A356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5.3如果磋商响应文件实质不响应磋商文件的各项要求，磋商小组将予以拒绝，并且不允许供应商通过修改或撤销其不符合要求的差异或保留，使之成为具有响应性的磋商。</w:t>
      </w:r>
    </w:p>
    <w:p w14:paraId="0A57B474">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6</w:t>
      </w:r>
      <w:r>
        <w:rPr>
          <w:rFonts w:hint="eastAsia" w:ascii="仿宋" w:hAnsi="仿宋" w:eastAsia="仿宋" w:cs="仿宋"/>
          <w:b/>
          <w:kern w:val="0"/>
          <w:sz w:val="24"/>
          <w:szCs w:val="24"/>
          <w:highlight w:val="none"/>
          <w:lang w:val="en-US" w:eastAsia="zh-CN"/>
        </w:rPr>
        <w:t>.</w:t>
      </w:r>
      <w:r>
        <w:rPr>
          <w:rFonts w:hint="eastAsia" w:ascii="仿宋" w:hAnsi="仿宋" w:eastAsia="仿宋" w:cs="仿宋"/>
          <w:b/>
          <w:kern w:val="0"/>
          <w:sz w:val="24"/>
          <w:szCs w:val="24"/>
          <w:highlight w:val="none"/>
        </w:rPr>
        <w:t>对明显的文字和计算错误的修正原则</w:t>
      </w:r>
    </w:p>
    <w:p w14:paraId="5A84386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6.1磋商响应文件中报价一览表（报价表）内容与磋商响应文件中相应内容不一致的，以报价一览表（报价表）为准；</w:t>
      </w:r>
    </w:p>
    <w:p w14:paraId="09BF5E2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6.2大写金额和小写金额不一致的，以大写金额为准；</w:t>
      </w:r>
    </w:p>
    <w:p w14:paraId="51AAC73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6.3单价金额小数点或者百分比有明显错位的，以报价一览表的总价为准，并修改单价；</w:t>
      </w:r>
    </w:p>
    <w:p w14:paraId="482E5B7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6.4总价金额与按单价汇总金额不一致的，以单价金额计算结果为准。</w:t>
      </w:r>
    </w:p>
    <w:p w14:paraId="472AF8A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w:t>
      </w:r>
      <w:r>
        <w:rPr>
          <w:rFonts w:hint="eastAsia" w:ascii="仿宋" w:hAnsi="仿宋" w:eastAsia="仿宋" w:cs="仿宋"/>
          <w:bCs/>
          <w:sz w:val="24"/>
          <w:szCs w:val="24"/>
        </w:rPr>
        <w:t>修正后的报价按照财政部公布第87号令《政府采购货物和服务招标投标管理办法》</w:t>
      </w:r>
      <w:r>
        <w:rPr>
          <w:rFonts w:hint="eastAsia" w:ascii="仿宋" w:hAnsi="仿宋" w:eastAsia="仿宋" w:cs="仿宋"/>
          <w:sz w:val="24"/>
          <w:szCs w:val="24"/>
        </w:rPr>
        <w:t>第五十一条第二款的规定经磋商响应人确认后产生约束力，磋商响应人不确认的，其磋商无效。</w:t>
      </w:r>
    </w:p>
    <w:p w14:paraId="51A908F9">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7.磋商响应文件的评审、比较和否决</w:t>
      </w:r>
    </w:p>
    <w:p w14:paraId="1BA7D3C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7.1磋商小组将对在实质上响应磋商文件要求的磋商响应文件进行评估和比较。</w:t>
      </w:r>
    </w:p>
    <w:p w14:paraId="7686FF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7.2磋商小组可以书面形式要求供应商就磋商响应文件含义不明确的内容进行书面说明并提供相关材料。</w:t>
      </w:r>
    </w:p>
    <w:p w14:paraId="729D104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7.3如发现与磋商文件要求相偏离的，磋商小组应对其偏离情形进行必要的书面核实。</w:t>
      </w:r>
    </w:p>
    <w:p w14:paraId="7A99158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7.4如属于实质性偏离或符合无效响应条件的，磋商小组应当询问相关供应商，并允许其进行陈述申辩，但不允许对偏离条款撤回。</w:t>
      </w:r>
    </w:p>
    <w:p w14:paraId="14BC5D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7.5比较与评价。磋商小组依据磋商文件规定的评审标准和方法，对磋商响应文件进行商务和技术评估，综合比较与评价。。</w:t>
      </w:r>
    </w:p>
    <w:p w14:paraId="75A1827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7.6汇总（商务技术得分情况）。磋商小组各成员应当独立对每个供应商的磋商响应文件进行评价，并汇总商务技术得分情况。</w:t>
      </w:r>
    </w:p>
    <w:p w14:paraId="2FEA283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 报价审核。对符合采购需求且通过商务技术（资信）评审的供应商的报价的合理性、准确性等进行审查核实。</w:t>
      </w:r>
    </w:p>
    <w:p w14:paraId="39875D3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119D3C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7.7.2根据财政部发布的《政府采购促进中小企业发展暂行办法》规定，对于非专门面向中小企业的项目，对小型和微型企业产品的价格给予一定的扣除，用扣除后的价格参与评审。</w:t>
      </w:r>
    </w:p>
    <w:p w14:paraId="1E2A29D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7.7.3如需磋商价格修正，按财政部第87号令第五十九条的规定对磋商价格进行修正。</w:t>
      </w:r>
    </w:p>
    <w:p w14:paraId="243C887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7.8磋商小组依据磋商文件规定的评标标准和方法，对磋商响应文件进行评审和比较后，向</w:t>
      </w:r>
      <w:r>
        <w:rPr>
          <w:rFonts w:hint="eastAsia" w:ascii="仿宋" w:hAnsi="仿宋" w:eastAsia="仿宋" w:cs="仿宋"/>
          <w:sz w:val="24"/>
          <w:szCs w:val="24"/>
          <w:highlight w:val="none"/>
          <w:lang w:eastAsia="zh-CN"/>
        </w:rPr>
        <w:t>采购人或其委托的采购代理机构</w:t>
      </w:r>
      <w:r>
        <w:rPr>
          <w:rFonts w:hint="eastAsia" w:ascii="仿宋" w:hAnsi="仿宋" w:eastAsia="仿宋" w:cs="仿宋"/>
          <w:sz w:val="24"/>
          <w:szCs w:val="24"/>
        </w:rPr>
        <w:t>提供书面磋商报告，并按得分高低排序推荐中标候选供应商。</w:t>
      </w:r>
    </w:p>
    <w:p w14:paraId="23B605EF">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sz w:val="24"/>
          <w:szCs w:val="24"/>
        </w:rPr>
      </w:pPr>
      <w:r>
        <w:rPr>
          <w:rFonts w:hint="eastAsia" w:ascii="仿宋" w:hAnsi="仿宋" w:eastAsia="仿宋" w:cs="仿宋"/>
          <w:b/>
          <w:sz w:val="24"/>
          <w:szCs w:val="24"/>
        </w:rPr>
        <w:t>8.磋商响应文件的澄清</w:t>
      </w:r>
    </w:p>
    <w:p w14:paraId="306B24A3">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2E50EBA1">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9．无效磋商的情形</w:t>
      </w:r>
    </w:p>
    <w:p w14:paraId="0AE6D4A2">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磋商响应文件有下列情形之一的作无效磋商响应处理：</w:t>
      </w:r>
    </w:p>
    <w:p w14:paraId="2BD519A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4821D27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14:paraId="608D8F2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2D25BF4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65BDF47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659E2E6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4DB6949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6ED096F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14:paraId="6918E42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14:paraId="42FB94E5">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18E06CB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B8E5827">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269A717C">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7F1AD80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210350D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6D84B9C">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01DB95AC">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14:paraId="015EDF3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14:paraId="2E7CC8E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95DA71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color w:val="auto"/>
          <w:sz w:val="24"/>
          <w:szCs w:val="24"/>
        </w:rPr>
        <w:t>9.20供应商对根据修正原则修正后的报价不确认的；</w:t>
      </w:r>
    </w:p>
    <w:p w14:paraId="7AEFB3D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14:paraId="289A26B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14:paraId="1DF0689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14:paraId="45AF720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14:paraId="7364EF1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14:paraId="3E2E11F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14:paraId="2CFFEDA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14:paraId="2D597BCA">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14:paraId="0A8B812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14:paraId="28A2FBAC">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14:paraId="7551E5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14:paraId="6A1A78B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14:paraId="62AE2E9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14:paraId="5084B7A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14:paraId="1FB8BEF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14:paraId="7C26849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14:paraId="11855A3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14:paraId="684719D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14:paraId="3934440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14:paraId="153FB12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14:paraId="5DD8DE3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14:paraId="112E036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磋商响应文件出现不是唯一的、有选择性报价的；</w:t>
      </w:r>
    </w:p>
    <w:p w14:paraId="3054472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其他违反法律、法规的情形。</w:t>
      </w:r>
    </w:p>
    <w:p w14:paraId="4C10D142">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10.</w:t>
      </w:r>
      <w:r>
        <w:rPr>
          <w:rFonts w:hint="eastAsia" w:ascii="仿宋" w:hAnsi="仿宋" w:eastAsia="仿宋" w:cs="仿宋"/>
          <w:b/>
          <w:color w:val="auto"/>
          <w:kern w:val="0"/>
          <w:sz w:val="24"/>
          <w:szCs w:val="24"/>
          <w:lang w:val="en-US" w:eastAsia="zh-CN"/>
        </w:rPr>
        <w:t>废标的情形</w:t>
      </w:r>
    </w:p>
    <w:p w14:paraId="5C5ECCD3">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在采购中，出现下列情形之一的，应予废标：</w:t>
      </w:r>
    </w:p>
    <w:p w14:paraId="511CAC1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10.1符合专业条件的供应商或者对磋商文件作实质性响应的供应商不足三家的；</w:t>
      </w:r>
    </w:p>
    <w:p w14:paraId="30528E2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10.2出现影响采购公正的违法、违规行为的；</w:t>
      </w:r>
    </w:p>
    <w:p w14:paraId="74A4430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10.3供应商的报价均超过了采购预算，采购人不能支付的；</w:t>
      </w:r>
    </w:p>
    <w:p w14:paraId="5BADE04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kern w:val="0"/>
          <w:sz w:val="24"/>
          <w:szCs w:val="24"/>
          <w:lang w:val="en-US" w:eastAsia="zh-CN"/>
        </w:rPr>
      </w:pPr>
      <w:r>
        <w:rPr>
          <w:rFonts w:hint="eastAsia" w:ascii="仿宋" w:hAnsi="仿宋" w:eastAsia="仿宋" w:cs="仿宋"/>
          <w:b w:val="0"/>
          <w:bCs/>
          <w:color w:val="auto"/>
          <w:kern w:val="0"/>
          <w:sz w:val="24"/>
          <w:szCs w:val="24"/>
          <w:lang w:val="en-US" w:eastAsia="zh-CN"/>
        </w:rPr>
        <w:t>10.4因重大变故，采购任务取消的。</w:t>
      </w:r>
    </w:p>
    <w:p w14:paraId="6ED713E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11.</w:t>
      </w:r>
      <w:r>
        <w:rPr>
          <w:rFonts w:hint="eastAsia" w:ascii="仿宋" w:hAnsi="仿宋" w:eastAsia="仿宋" w:cs="仿宋"/>
          <w:b/>
          <w:kern w:val="0"/>
          <w:sz w:val="24"/>
          <w:szCs w:val="24"/>
        </w:rPr>
        <w:t>磋商过程保密</w:t>
      </w:r>
    </w:p>
    <w:p w14:paraId="42F2CAE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r>
        <w:rPr>
          <w:rFonts w:hint="eastAsia" w:ascii="仿宋" w:hAnsi="仿宋" w:eastAsia="仿宋" w:cs="仿宋"/>
          <w:kern w:val="0"/>
          <w:sz w:val="24"/>
          <w:szCs w:val="24"/>
          <w:lang w:val="en-US" w:eastAsia="zh-CN"/>
        </w:rPr>
        <w:t>.1</w:t>
      </w:r>
      <w:r>
        <w:rPr>
          <w:rFonts w:hint="eastAsia" w:ascii="仿宋" w:hAnsi="仿宋" w:eastAsia="仿宋" w:cs="仿宋"/>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6BE216A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szCs w:val="24"/>
        </w:rPr>
        <w:t>10.2在磋商期间，供应商企图影响采购人、采购代理机构或</w:t>
      </w:r>
      <w:r>
        <w:rPr>
          <w:rFonts w:hint="eastAsia" w:ascii="仿宋" w:hAnsi="仿宋" w:eastAsia="仿宋" w:cs="仿宋"/>
          <w:sz w:val="24"/>
          <w:szCs w:val="24"/>
        </w:rPr>
        <w:t>磋商小组</w:t>
      </w:r>
      <w:r>
        <w:rPr>
          <w:rFonts w:hint="eastAsia" w:ascii="仿宋" w:hAnsi="仿宋" w:eastAsia="仿宋" w:cs="仿宋"/>
          <w:kern w:val="0"/>
          <w:sz w:val="24"/>
          <w:szCs w:val="24"/>
        </w:rPr>
        <w:t>的任何活动，都将导致磋商被拒绝，并由其承担相应的法律责任。</w:t>
      </w:r>
    </w:p>
    <w:p w14:paraId="66A8E1C4">
      <w:pPr>
        <w:bidi w:val="0"/>
      </w:pPr>
    </w:p>
    <w:p w14:paraId="24887EAD">
      <w:pPr>
        <w:pStyle w:val="3"/>
        <w:numPr>
          <w:ilvl w:val="0"/>
          <w:numId w:val="0"/>
        </w:numPr>
        <w:bidi w:val="0"/>
        <w:ind w:leftChars="0"/>
        <w:jc w:val="center"/>
        <w:rPr>
          <w:rFonts w:hint="eastAsia" w:cs="Times New Roman"/>
        </w:rPr>
      </w:pPr>
      <w:r>
        <w:rPr>
          <w:rFonts w:hint="eastAsia" w:cs="Times New Roman"/>
          <w:lang w:eastAsia="zh-CN"/>
        </w:rPr>
        <w:t>五</w:t>
      </w:r>
      <w:r>
        <w:rPr>
          <w:rFonts w:hint="eastAsia" w:cs="Times New Roman"/>
        </w:rPr>
        <w:t>、成交</w:t>
      </w:r>
    </w:p>
    <w:p w14:paraId="366EACE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bookmarkStart w:id="51" w:name="_Toc84325929"/>
      <w:bookmarkStart w:id="52" w:name="_Toc81372953"/>
      <w:bookmarkStart w:id="53" w:name="_Toc81372776"/>
      <w:r>
        <w:rPr>
          <w:rFonts w:hint="eastAsia" w:ascii="仿宋" w:hAnsi="仿宋" w:eastAsia="仿宋" w:cs="仿宋"/>
          <w:b/>
          <w:sz w:val="24"/>
          <w:szCs w:val="24"/>
          <w:lang w:val="en-US" w:eastAsia="zh-CN"/>
        </w:rPr>
        <w:t>.</w:t>
      </w:r>
      <w:r>
        <w:rPr>
          <w:rFonts w:hint="eastAsia" w:ascii="仿宋" w:hAnsi="仿宋" w:eastAsia="仿宋" w:cs="仿宋"/>
          <w:b/>
          <w:sz w:val="24"/>
          <w:szCs w:val="24"/>
        </w:rPr>
        <w:t>成交条件</w:t>
      </w:r>
    </w:p>
    <w:p w14:paraId="07C7B856">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磋商响应文件基本符合磋商文件要求；</w:t>
      </w:r>
    </w:p>
    <w:p w14:paraId="4BFEFC3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1.2供应商有很好的执行合同的能力；</w:t>
      </w:r>
    </w:p>
    <w:p w14:paraId="13B3E2D7">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1.3实施方案最合理并对采购人最为有利，最大限度满足磋商文件的要求；</w:t>
      </w:r>
    </w:p>
    <w:p w14:paraId="340CF986">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1.4供应商能够提供质量技术、商务经济占综合优势的系统及服务。</w:t>
      </w:r>
    </w:p>
    <w:p w14:paraId="1AB05999">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2.成交确认</w:t>
      </w:r>
    </w:p>
    <w:p w14:paraId="1D9347D5">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2.1采购人应当在收到评审报告之日起５个工作日内，在评审报告提出的成交候选供应商单中确定成交供应商。</w:t>
      </w:r>
    </w:p>
    <w:p w14:paraId="121B93C1">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2.2采购人逾期未确定成交供应商的，视为确定评审报告提出的成交候选供应商为成交供应商。</w:t>
      </w:r>
    </w:p>
    <w:p w14:paraId="0DDD2A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2.3采购人应在确认成交供应商前再次对资格条件和相关证件材料进一步查验核实。</w:t>
      </w:r>
    </w:p>
    <w:p w14:paraId="7FF632E7">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成交通知</w:t>
      </w:r>
    </w:p>
    <w:bookmarkEnd w:id="51"/>
    <w:bookmarkEnd w:id="52"/>
    <w:bookmarkEnd w:id="53"/>
    <w:p w14:paraId="15395D67">
      <w:pPr>
        <w:pStyle w:val="396"/>
        <w:keepNext w:val="0"/>
        <w:keepLines w:val="0"/>
        <w:pageBreakBefore w:val="0"/>
        <w:tabs>
          <w:tab w:val="left" w:pos="0"/>
        </w:tabs>
        <w:kinsoku/>
        <w:wordWrap/>
        <w:overflowPunct/>
        <w:topLinePunct w:val="0"/>
        <w:autoSpaceDE/>
        <w:autoSpaceDN/>
        <w:bidi w:val="0"/>
        <w:spacing w:before="0"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kern w:val="0"/>
          <w:sz w:val="24"/>
          <w:szCs w:val="24"/>
        </w:rPr>
        <w:t>采购代理机构</w:t>
      </w:r>
      <w:r>
        <w:rPr>
          <w:rFonts w:hint="eastAsia" w:ascii="仿宋" w:hAnsi="仿宋" w:eastAsia="仿宋" w:cs="仿宋"/>
          <w:sz w:val="24"/>
          <w:szCs w:val="24"/>
        </w:rPr>
        <w:t>对成交结果在指定媒体</w:t>
      </w:r>
      <w:r>
        <w:rPr>
          <w:rFonts w:hint="eastAsia" w:ascii="仿宋" w:hAnsi="仿宋" w:eastAsia="仿宋" w:cs="仿宋"/>
          <w:kern w:val="0"/>
          <w:sz w:val="24"/>
          <w:szCs w:val="24"/>
        </w:rPr>
        <w:t>（浙江政府采购网http://zfcg.czt.zj.gov.cn/）发布成交公告，成交公告期限为1个工作日。</w:t>
      </w:r>
    </w:p>
    <w:p w14:paraId="6192524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kern w:val="0"/>
          <w:sz w:val="24"/>
          <w:szCs w:val="24"/>
          <w:lang w:val="zh-CN"/>
        </w:rPr>
      </w:pPr>
      <w:r>
        <w:rPr>
          <w:rFonts w:hint="eastAsia" w:ascii="仿宋" w:hAnsi="仿宋" w:eastAsia="仿宋" w:cs="仿宋"/>
          <w:sz w:val="24"/>
          <w:szCs w:val="24"/>
        </w:rPr>
        <w:t>3.2采购机构通过政采云平台向成交供应商签发成交通知书。在采购代理机构发出成交通知书前，成交供应商如有违反有关法律法规和本项目要求行为的，则取消该成交供应商的成交资格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szCs w:val="24"/>
          <w:lang w:val="zh-CN"/>
        </w:rPr>
        <w:t>。</w:t>
      </w:r>
    </w:p>
    <w:p w14:paraId="00CBF8A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3.3采购人、</w:t>
      </w:r>
      <w:r>
        <w:rPr>
          <w:rFonts w:hint="eastAsia" w:ascii="仿宋" w:hAnsi="仿宋" w:eastAsia="仿宋" w:cs="仿宋"/>
          <w:kern w:val="0"/>
          <w:sz w:val="24"/>
          <w:szCs w:val="24"/>
        </w:rPr>
        <w:t>采购代理机构</w:t>
      </w:r>
      <w:r>
        <w:rPr>
          <w:rFonts w:hint="eastAsia" w:ascii="仿宋" w:hAnsi="仿宋" w:eastAsia="仿宋" w:cs="仿宋"/>
          <w:sz w:val="24"/>
          <w:szCs w:val="24"/>
        </w:rPr>
        <w:t>对成交结果不作任何说明和解释，也不回答任何提问。</w:t>
      </w:r>
    </w:p>
    <w:p w14:paraId="23C5BCA1">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履约保证金</w:t>
      </w:r>
    </w:p>
    <w:p w14:paraId="71716EC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lang w:val="en-US" w:eastAsia="zh-CN"/>
        </w:rPr>
        <w:t>成交供应商</w:t>
      </w:r>
      <w:r>
        <w:rPr>
          <w:rFonts w:hint="eastAsia" w:ascii="仿宋" w:hAnsi="仿宋" w:eastAsia="仿宋" w:cs="仿宋"/>
          <w:sz w:val="24"/>
          <w:szCs w:val="24"/>
        </w:rPr>
        <w:t>按照采购文件规定递交履约保证金。</w:t>
      </w:r>
    </w:p>
    <w:p w14:paraId="5854503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color w:val="auto"/>
          <w:sz w:val="24"/>
          <w:szCs w:val="24"/>
          <w:lang w:val="en-US" w:eastAsia="zh-CN"/>
        </w:rPr>
        <w:t>签订合同后，如成交供应商不按双方合同约定履约，则没收其全部履约保证金，履约保证金不足以赔偿损失的，按实际损失赔偿。</w:t>
      </w:r>
    </w:p>
    <w:p w14:paraId="7B6CF32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color w:val="auto"/>
          <w:sz w:val="24"/>
          <w:szCs w:val="24"/>
          <w:lang w:val="en-US" w:eastAsia="zh-CN"/>
        </w:rPr>
        <w:t>4.3成交供应商如未按时交纳履约保证金，采购人有权撤销其成交资格，并根据磋商小组确定的成交候选人名单与下一顺序单位商谈合同，或报请批准后另行采购。</w:t>
      </w:r>
    </w:p>
    <w:p w14:paraId="45EF421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合同签订及备案</w:t>
      </w:r>
    </w:p>
    <w:p w14:paraId="7BA67FB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.1成交人应当在成交通知书发出之日起30天内与采购人签订合同。</w:t>
      </w:r>
    </w:p>
    <w:p w14:paraId="19DAFE9B">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.2如成交人为联合体的，由联合体成员各方法定代表人或其授权代表与采购人代表签订合同。</w:t>
      </w:r>
    </w:p>
    <w:p w14:paraId="611E49D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.验收</w:t>
      </w:r>
    </w:p>
    <w:p w14:paraId="0BBB7C1F">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5A2089">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2采购人可以邀请参加本项目的其他供应商或者第三方机构参与验收。参与验收的供应商或者第三方机构的意见作为验收书的参考资料一并存档。</w:t>
      </w:r>
    </w:p>
    <w:p w14:paraId="01571ECC">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19A968">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2758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lang w:val="en-US" w:eastAsia="zh-CN"/>
        </w:rPr>
      </w:pPr>
      <w:r>
        <w:rPr>
          <w:rFonts w:hint="eastAsia" w:ascii="仿宋" w:hAnsi="仿宋" w:eastAsia="仿宋" w:cs="仿宋"/>
          <w:color w:val="auto"/>
          <w:sz w:val="24"/>
          <w:szCs w:val="24"/>
          <w:lang w:val="en-US" w:eastAsia="zh-CN"/>
        </w:rPr>
        <w:t>6.5采购人负责加强对供应商的履约管理，并按照采购合同约定，及时向供应商支付采购资金。对于供应商违反采购合同约定的行为，采购人应当及时处理，依法追究其违约责任。</w:t>
      </w:r>
    </w:p>
    <w:p w14:paraId="1D4836CD">
      <w:pPr>
        <w:spacing w:line="336" w:lineRule="auto"/>
        <w:ind w:firstLine="640" w:firstLineChars="200"/>
        <w:rPr>
          <w:rFonts w:ascii="仿宋" w:hAnsi="仿宋" w:eastAsia="仿宋" w:cs="仿宋"/>
          <w:sz w:val="32"/>
          <w:szCs w:val="32"/>
        </w:rPr>
      </w:pPr>
    </w:p>
    <w:p w14:paraId="2D35ED03">
      <w:pPr>
        <w:pStyle w:val="3"/>
        <w:numPr>
          <w:ilvl w:val="0"/>
          <w:numId w:val="0"/>
        </w:numPr>
        <w:bidi w:val="0"/>
        <w:ind w:leftChars="0"/>
        <w:jc w:val="center"/>
        <w:rPr>
          <w:rFonts w:hint="eastAsia" w:cs="Times New Roman"/>
          <w:lang w:eastAsia="zh-CN"/>
        </w:rPr>
      </w:pPr>
      <w:r>
        <w:rPr>
          <w:rFonts w:hint="eastAsia" w:cs="Times New Roman"/>
          <w:lang w:eastAsia="zh-CN"/>
        </w:rPr>
        <w:t>六、询问、质疑与投诉</w:t>
      </w:r>
    </w:p>
    <w:p w14:paraId="0CFECA30">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1.在线询问、质疑、投诉</w:t>
      </w:r>
    </w:p>
    <w:p w14:paraId="5BDA24C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514FC">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2. 供应商询问</w:t>
      </w:r>
    </w:p>
    <w:p w14:paraId="725803B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197A76">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 供应商质疑</w:t>
      </w:r>
    </w:p>
    <w:p w14:paraId="738EED7D">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kern w:val="0"/>
          <w:sz w:val="24"/>
          <w:szCs w:val="24"/>
          <w:lang w:val="zh-CN"/>
        </w:rPr>
        <w:t>3</w:t>
      </w:r>
      <w:r>
        <w:rPr>
          <w:rFonts w:hint="eastAsia" w:ascii="仿宋" w:hAnsi="仿宋" w:eastAsia="仿宋" w:cs="仿宋"/>
          <w:b/>
          <w:sz w:val="24"/>
          <w:szCs w:val="24"/>
        </w:rPr>
        <w:t>.1质疑提出时效</w:t>
      </w:r>
    </w:p>
    <w:p w14:paraId="549517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3.1.1提出质疑的供应商应当是参与所质疑项目采购活动的供应商。潜在供应商已依法获取其可质疑的采购文件的，可以对该文件提出质疑。</w:t>
      </w:r>
    </w:p>
    <w:p w14:paraId="3F17DD29">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3</w:t>
      </w:r>
      <w:r>
        <w:rPr>
          <w:rFonts w:hint="eastAsia" w:ascii="仿宋" w:hAnsi="仿宋" w:eastAsia="仿宋" w:cs="仿宋"/>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sz w:val="24"/>
          <w:szCs w:val="24"/>
          <w:lang w:val="en-US" w:eastAsia="zh-CN"/>
        </w:rPr>
        <w:t>一次性</w:t>
      </w:r>
      <w:r>
        <w:rPr>
          <w:rFonts w:hint="eastAsia" w:ascii="仿宋" w:hAnsi="仿宋" w:eastAsia="仿宋" w:cs="仿宋"/>
          <w:sz w:val="24"/>
          <w:szCs w:val="24"/>
        </w:rPr>
        <w:t>提出质疑，否则，采购人或者采购代理机构不予受理：</w:t>
      </w:r>
    </w:p>
    <w:p w14:paraId="7A35CDFF">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2EEE0A67">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3.1.2.2对采购过程提出质疑的，质疑期限为各采购程序环节结束之日起计算。</w:t>
      </w:r>
    </w:p>
    <w:p w14:paraId="5E1D34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3.1.2.3对采购结果提出质疑的，质疑期限自采购结果公告期限届满之日起计算。</w:t>
      </w:r>
    </w:p>
    <w:p w14:paraId="524FD863">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3.1.2.4对同一采购程序环节的质疑，供应商须一次性提出。</w:t>
      </w:r>
    </w:p>
    <w:p w14:paraId="6E31ADF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lang w:val="zh-CN"/>
        </w:rPr>
        <w:t>3.</w:t>
      </w:r>
      <w:r>
        <w:rPr>
          <w:rFonts w:hint="eastAsia" w:ascii="仿宋" w:hAnsi="仿宋" w:eastAsia="仿宋" w:cs="仿宋"/>
          <w:b/>
          <w:kern w:val="0"/>
          <w:sz w:val="24"/>
          <w:szCs w:val="24"/>
          <w:lang w:val="en-US"/>
        </w:rPr>
        <w:t>2</w:t>
      </w:r>
      <w:r>
        <w:rPr>
          <w:rFonts w:hint="eastAsia" w:ascii="仿宋" w:hAnsi="仿宋" w:eastAsia="仿宋" w:cs="仿宋"/>
          <w:b/>
          <w:kern w:val="0"/>
          <w:sz w:val="24"/>
          <w:szCs w:val="24"/>
          <w:lang w:val="zh-CN"/>
        </w:rPr>
        <w:t>质疑函</w:t>
      </w:r>
    </w:p>
    <w:p w14:paraId="20B7405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2</w:t>
      </w:r>
      <w:r>
        <w:rPr>
          <w:rFonts w:hint="eastAsia" w:ascii="仿宋" w:hAnsi="仿宋" w:eastAsia="仿宋" w:cs="仿宋"/>
          <w:sz w:val="24"/>
          <w:szCs w:val="24"/>
        </w:rPr>
        <w:t>.1供应商提出质疑应当提交质疑函和必要的证明材料。质疑函应当包括下列内容：</w:t>
      </w:r>
    </w:p>
    <w:p w14:paraId="23BD89FB">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5F524E18">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质疑项目的名称、编号；</w:t>
      </w:r>
    </w:p>
    <w:p w14:paraId="3FD9614E">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44A7EF6E">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7D188E3C">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必要的法律依据；</w:t>
      </w:r>
    </w:p>
    <w:p w14:paraId="0A6B1B0A">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提出质疑的日期。</w:t>
      </w:r>
    </w:p>
    <w:p w14:paraId="33A8F2A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供应商提交的质疑函需一式三份。供应商为自然人的，应当由本人签字；供应商为法人或者其他组织的，应当由法定代表人、主要负责人，或者其授权代表签字或者盖章，并加盖公章。</w:t>
      </w:r>
    </w:p>
    <w:p w14:paraId="64FF2D41">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4.供应商投诉</w:t>
      </w:r>
    </w:p>
    <w:p w14:paraId="43C5059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4.1质疑供应商对采购人</w:t>
      </w:r>
      <w:r>
        <w:rPr>
          <w:rFonts w:hint="eastAsia" w:ascii="仿宋" w:hAnsi="仿宋" w:eastAsia="仿宋" w:cs="仿宋"/>
          <w:sz w:val="24"/>
          <w:szCs w:val="24"/>
          <w:lang w:eastAsia="zh-CN"/>
        </w:rPr>
        <w:t>或</w:t>
      </w:r>
      <w:r>
        <w:rPr>
          <w:rFonts w:hint="eastAsia" w:ascii="仿宋" w:hAnsi="仿宋" w:eastAsia="仿宋" w:cs="仿宋"/>
          <w:sz w:val="24"/>
          <w:szCs w:val="24"/>
        </w:rPr>
        <w:t>采购代理机构的答复不满意或者采购人、采购代理机构未在规定的时间内作出答复的，可以在答复期满后十五个工作日内向同级政府采购监督管理部门提出投诉。</w:t>
      </w:r>
    </w:p>
    <w:p w14:paraId="521DA03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4.2供应商投诉的事项不得超出已质疑事项的范围，基于质疑答复内容提出的投诉事项除外。</w:t>
      </w:r>
    </w:p>
    <w:p w14:paraId="5C4C46FB">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4.3供应商投诉应当有明确的请求和必要的证明材料。</w:t>
      </w:r>
    </w:p>
    <w:p w14:paraId="45C63E54">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4.4以联合体形式参加政府采购活动的，其投诉应当由组成联合体的所有供应商共同提出。</w:t>
      </w:r>
    </w:p>
    <w:p w14:paraId="3C6360D6">
      <w:pPr>
        <w:spacing w:line="336" w:lineRule="auto"/>
        <w:ind w:firstLine="480" w:firstLineChars="200"/>
        <w:rPr>
          <w:rFonts w:ascii="仿宋" w:hAnsi="仿宋" w:eastAsia="仿宋" w:cs="仿宋"/>
          <w:sz w:val="24"/>
          <w:szCs w:val="20"/>
        </w:rPr>
      </w:pPr>
    </w:p>
    <w:bookmarkEnd w:id="8"/>
    <w:p w14:paraId="456401C9">
      <w:pPr>
        <w:pStyle w:val="23"/>
        <w:bidi w:val="0"/>
      </w:pPr>
      <w:bookmarkStart w:id="54" w:name="第三部分"/>
      <w:bookmarkStart w:id="55" w:name="_Toc164416483"/>
    </w:p>
    <w:p w14:paraId="29FF3665">
      <w:pPr>
        <w:pStyle w:val="23"/>
        <w:bidi w:val="0"/>
        <w:rPr>
          <w:rFonts w:hint="eastAsia"/>
          <w:lang w:eastAsia="zh-CN"/>
        </w:rPr>
      </w:pPr>
      <w:bookmarkStart w:id="56" w:name="_Hlt75236011"/>
      <w:bookmarkEnd w:id="56"/>
      <w:bookmarkStart w:id="57" w:name="_Hlt74729768"/>
      <w:bookmarkEnd w:id="57"/>
      <w:bookmarkStart w:id="58" w:name="_Hlt75236101"/>
      <w:bookmarkEnd w:id="58"/>
      <w:bookmarkStart w:id="59" w:name="_Hlt75236290"/>
      <w:bookmarkEnd w:id="59"/>
      <w:bookmarkStart w:id="60" w:name="_Hlt68057669"/>
      <w:bookmarkEnd w:id="60"/>
      <w:bookmarkStart w:id="61" w:name="_Hlt74730295"/>
      <w:bookmarkEnd w:id="61"/>
      <w:bookmarkStart w:id="62" w:name="_Hlt74707468"/>
      <w:bookmarkEnd w:id="62"/>
      <w:bookmarkStart w:id="63" w:name="_Hlt74714665"/>
      <w:bookmarkEnd w:id="63"/>
      <w:bookmarkStart w:id="64" w:name="_Hlt68072990"/>
      <w:bookmarkEnd w:id="64"/>
    </w:p>
    <w:p w14:paraId="6A383546">
      <w:pPr>
        <w:pStyle w:val="23"/>
        <w:bidi w:val="0"/>
        <w:rPr>
          <w:rFonts w:hint="eastAsia"/>
          <w:lang w:eastAsia="zh-CN"/>
        </w:rPr>
      </w:pPr>
    </w:p>
    <w:p w14:paraId="103DF6E7">
      <w:pPr>
        <w:pStyle w:val="23"/>
        <w:bidi w:val="0"/>
      </w:pPr>
    </w:p>
    <w:p w14:paraId="14C2A1C2">
      <w:pPr>
        <w:pStyle w:val="23"/>
        <w:bidi w:val="0"/>
        <w:rPr>
          <w:rFonts w:hint="eastAsia"/>
          <w:lang w:eastAsia="zh-CN"/>
        </w:rPr>
      </w:pPr>
    </w:p>
    <w:p w14:paraId="704370B9">
      <w:pPr>
        <w:pStyle w:val="23"/>
        <w:bidi w:val="0"/>
        <w:rPr>
          <w:rFonts w:hint="eastAsia"/>
          <w:lang w:eastAsia="zh-CN"/>
        </w:rPr>
      </w:pPr>
    </w:p>
    <w:p w14:paraId="73E5E83F">
      <w:pPr>
        <w:tabs>
          <w:tab w:val="left" w:pos="0"/>
        </w:tabs>
        <w:spacing w:line="336" w:lineRule="auto"/>
        <w:jc w:val="both"/>
        <w:rPr>
          <w:rFonts w:hint="eastAsia" w:ascii="仿宋" w:hAnsi="仿宋" w:eastAsia="仿宋" w:cs="仿宋"/>
          <w:b/>
          <w:color w:val="auto"/>
          <w:sz w:val="36"/>
          <w:szCs w:val="36"/>
          <w:lang w:eastAsia="zh-CN"/>
        </w:rPr>
      </w:pPr>
    </w:p>
    <w:p w14:paraId="4A2DBABA">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lang w:eastAsia="zh-CN"/>
        </w:rPr>
        <w:t>第三部分</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采购需求</w:t>
      </w:r>
    </w:p>
    <w:p w14:paraId="56E85E3E">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一、</w:t>
      </w:r>
      <w:r>
        <w:rPr>
          <w:rFonts w:hint="eastAsia" w:ascii="仿宋" w:hAnsi="仿宋" w:eastAsia="仿宋" w:cs="仿宋"/>
          <w:bCs/>
          <w:kern w:val="21"/>
          <w:sz w:val="24"/>
          <w:szCs w:val="24"/>
        </w:rPr>
        <w:t>项目背景</w:t>
      </w:r>
    </w:p>
    <w:p w14:paraId="1D7AF0F9">
      <w:pPr>
        <w:tabs>
          <w:tab w:val="left" w:pos="840"/>
        </w:tabs>
        <w:spacing w:line="360" w:lineRule="auto"/>
        <w:ind w:firstLine="480" w:firstLineChars="200"/>
        <w:rPr>
          <w:rFonts w:hint="eastAsia" w:ascii="仿宋" w:hAnsi="仿宋" w:eastAsia="仿宋" w:cs="仿宋"/>
          <w:kern w:val="21"/>
          <w:sz w:val="24"/>
          <w:szCs w:val="24"/>
        </w:rPr>
      </w:pPr>
      <w:r>
        <w:rPr>
          <w:rFonts w:hint="eastAsia" w:ascii="仿宋" w:hAnsi="仿宋" w:eastAsia="仿宋" w:cs="仿宋"/>
          <w:kern w:val="21"/>
          <w:sz w:val="24"/>
          <w:szCs w:val="24"/>
        </w:rPr>
        <w:t>根据《浙江省自然资源厅关于开展永久基本农田集中连片整治工作的通知》（浙自然厅函〔2021〕389 号）、《浙江省自然资源厅关于调整“百千万”永久基本农田集中连片整治项目立项验收和报备方式的函》（浙自然资厅函〔2022〕1167号）和《绍兴市自然资源和规划局办公室关于预下达2024年全市耕地保护重点工作任务的通知》（绍市自然资规办〔2024〕4号）等文件要求，按嵊州市自然资源和规划局部署，石璜镇拟启动2024年度永久基本农田集中连片整治选址、立项和验收工作。</w:t>
      </w:r>
    </w:p>
    <w:p w14:paraId="29512E2B">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二、</w:t>
      </w:r>
      <w:r>
        <w:rPr>
          <w:rFonts w:hint="eastAsia" w:ascii="仿宋" w:hAnsi="仿宋" w:eastAsia="仿宋" w:cs="仿宋"/>
          <w:bCs/>
          <w:kern w:val="21"/>
          <w:sz w:val="24"/>
          <w:szCs w:val="24"/>
        </w:rPr>
        <w:t>工作目标</w:t>
      </w:r>
    </w:p>
    <w:p w14:paraId="7B4B5E80">
      <w:pPr>
        <w:spacing w:line="360" w:lineRule="auto"/>
        <w:ind w:firstLine="480" w:firstLineChars="200"/>
        <w:rPr>
          <w:rFonts w:hint="eastAsia" w:ascii="仿宋" w:hAnsi="仿宋" w:eastAsia="仿宋" w:cs="仿宋"/>
          <w:kern w:val="21"/>
          <w:sz w:val="24"/>
          <w:szCs w:val="24"/>
        </w:rPr>
      </w:pPr>
      <w:r>
        <w:rPr>
          <w:rFonts w:hint="eastAsia" w:ascii="仿宋" w:hAnsi="仿宋" w:eastAsia="仿宋" w:cs="仿宋"/>
          <w:kern w:val="21"/>
          <w:sz w:val="24"/>
          <w:szCs w:val="24"/>
        </w:rPr>
        <w:t>在镇域永久基本农田集中分布的区域，通过实施永久基本农田集中连片整治，统筹推进耕地功能恢复、耕地生态建设、整治补充耕地、建设用地复垦等各项工程，逐步解决耕地碎片化、“非农化”“非粮化”问题，建成布局集中连片、农田设施完善、生态美丽良好、适合规模种植和现代农业生产的永久基本农田保护区，以此进一步夯实镇域耕地数量、质量、生态“三位一体”保护，切实保障粮食安全。</w:t>
      </w:r>
    </w:p>
    <w:p w14:paraId="2A64F95F">
      <w:pPr>
        <w:spacing w:line="360" w:lineRule="auto"/>
        <w:ind w:firstLine="480" w:firstLineChars="200"/>
        <w:rPr>
          <w:rFonts w:hint="eastAsia" w:ascii="仿宋" w:hAnsi="仿宋" w:eastAsia="仿宋" w:cs="仿宋"/>
          <w:kern w:val="21"/>
          <w:sz w:val="24"/>
          <w:szCs w:val="24"/>
        </w:rPr>
      </w:pPr>
      <w:r>
        <w:rPr>
          <w:rFonts w:hint="eastAsia" w:ascii="仿宋" w:hAnsi="仿宋" w:eastAsia="仿宋" w:cs="仿宋"/>
          <w:kern w:val="21"/>
          <w:sz w:val="24"/>
          <w:szCs w:val="24"/>
        </w:rPr>
        <w:t>根据前期摸排，拟完成项目清单如下：</w:t>
      </w:r>
    </w:p>
    <w:tbl>
      <w:tblPr>
        <w:tblStyle w:val="63"/>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251"/>
      </w:tblGrid>
      <w:tr w14:paraId="25DC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85" w:type="pct"/>
            <w:vAlign w:val="center"/>
          </w:tcPr>
          <w:p w14:paraId="0439B85E">
            <w:pPr>
              <w:widowControl/>
              <w:spacing w:line="360" w:lineRule="auto"/>
              <w:jc w:val="center"/>
              <w:rPr>
                <w:rFonts w:hint="eastAsia" w:ascii="仿宋" w:hAnsi="仿宋" w:eastAsia="仿宋" w:cs="仿宋"/>
                <w:b/>
                <w:bCs/>
                <w:kern w:val="0"/>
                <w:sz w:val="24"/>
                <w:szCs w:val="24"/>
                <w14:ligatures w14:val="none"/>
              </w:rPr>
            </w:pPr>
            <w:r>
              <w:rPr>
                <w:rFonts w:hint="eastAsia" w:ascii="仿宋" w:hAnsi="仿宋" w:eastAsia="仿宋" w:cs="仿宋"/>
                <w:b/>
                <w:bCs/>
                <w:kern w:val="0"/>
                <w:sz w:val="24"/>
                <w:szCs w:val="24"/>
                <w14:ligatures w14:val="none"/>
              </w:rPr>
              <w:t>序号</w:t>
            </w:r>
          </w:p>
        </w:tc>
        <w:tc>
          <w:tcPr>
            <w:tcW w:w="4514" w:type="pct"/>
            <w:vAlign w:val="center"/>
          </w:tcPr>
          <w:p w14:paraId="3562AEE3">
            <w:pPr>
              <w:widowControl/>
              <w:spacing w:line="360" w:lineRule="auto"/>
              <w:jc w:val="center"/>
              <w:rPr>
                <w:rFonts w:hint="default" w:ascii="仿宋" w:hAnsi="仿宋" w:eastAsia="仿宋" w:cs="仿宋"/>
                <w:b/>
                <w:bCs/>
                <w:kern w:val="0"/>
                <w:sz w:val="24"/>
                <w:szCs w:val="24"/>
                <w:lang w:val="en-US" w:eastAsia="zh-CN"/>
                <w14:ligatures w14:val="none"/>
              </w:rPr>
            </w:pPr>
            <w:r>
              <w:rPr>
                <w:rFonts w:hint="eastAsia" w:ascii="仿宋" w:hAnsi="仿宋" w:eastAsia="仿宋" w:cs="仿宋"/>
                <w:b/>
                <w:bCs/>
                <w:kern w:val="0"/>
                <w:sz w:val="24"/>
                <w:szCs w:val="24"/>
                <w:lang w:val="en-US" w:eastAsia="zh-CN"/>
                <w14:ligatures w14:val="none"/>
              </w:rPr>
              <w:t>项目内容</w:t>
            </w:r>
          </w:p>
        </w:tc>
      </w:tr>
      <w:tr w14:paraId="2A98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vAlign w:val="center"/>
          </w:tcPr>
          <w:p w14:paraId="6421F2E2">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1</w:t>
            </w:r>
          </w:p>
        </w:tc>
        <w:tc>
          <w:tcPr>
            <w:tcW w:w="8251" w:type="dxa"/>
            <w:vAlign w:val="center"/>
          </w:tcPr>
          <w:p w14:paraId="056FBC52">
            <w:pPr>
              <w:widowControl/>
              <w:jc w:val="both"/>
              <w:rPr>
                <w:rFonts w:hint="eastAsia" w:ascii="仿宋" w:hAnsi="仿宋" w:eastAsia="仿宋" w:cs="仿宋"/>
                <w:color w:val="000000"/>
                <w:kern w:val="0"/>
                <w:sz w:val="24"/>
                <w:szCs w:val="24"/>
              </w:rPr>
            </w:pPr>
            <w:r>
              <w:rPr>
                <w:rFonts w:hint="eastAsia" w:ascii="仿宋" w:hAnsi="仿宋" w:eastAsia="仿宋" w:cs="仿宋"/>
                <w:sz w:val="24"/>
                <w:szCs w:val="24"/>
              </w:rPr>
              <w:t>2024年度嵊州市石璜镇白竹村等两村百亩方永久基本农田集中连片整治项目</w:t>
            </w:r>
          </w:p>
        </w:tc>
      </w:tr>
      <w:tr w14:paraId="2CA6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5" w:type="pct"/>
            <w:vAlign w:val="center"/>
          </w:tcPr>
          <w:p w14:paraId="27156448">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251" w:type="dxa"/>
            <w:vAlign w:val="center"/>
          </w:tcPr>
          <w:p w14:paraId="55F7701F">
            <w:pPr>
              <w:widowControl/>
              <w:jc w:val="both"/>
              <w:rPr>
                <w:rFonts w:hint="eastAsia" w:ascii="仿宋" w:hAnsi="仿宋" w:eastAsia="仿宋" w:cs="仿宋"/>
                <w:color w:val="000000"/>
                <w:kern w:val="0"/>
                <w:sz w:val="24"/>
                <w:szCs w:val="24"/>
              </w:rPr>
            </w:pPr>
            <w:r>
              <w:rPr>
                <w:rFonts w:hint="eastAsia" w:ascii="仿宋" w:hAnsi="仿宋" w:eastAsia="仿宋" w:cs="仿宋"/>
                <w:sz w:val="24"/>
                <w:szCs w:val="24"/>
              </w:rPr>
              <w:t>2024年度嵊州市石璜镇寺新村百亩方永久基本农田集中连片整治项目</w:t>
            </w:r>
          </w:p>
        </w:tc>
      </w:tr>
      <w:tr w14:paraId="2942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85" w:type="pct"/>
            <w:vAlign w:val="center"/>
          </w:tcPr>
          <w:p w14:paraId="50500699">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251" w:type="dxa"/>
            <w:vAlign w:val="center"/>
          </w:tcPr>
          <w:p w14:paraId="7F716628">
            <w:pPr>
              <w:widowControl/>
              <w:jc w:val="both"/>
              <w:rPr>
                <w:rFonts w:hint="eastAsia" w:ascii="仿宋" w:hAnsi="仿宋" w:eastAsia="仿宋" w:cs="仿宋"/>
                <w:color w:val="000000"/>
                <w:kern w:val="0"/>
                <w:sz w:val="24"/>
                <w:szCs w:val="24"/>
              </w:rPr>
            </w:pPr>
            <w:r>
              <w:rPr>
                <w:rFonts w:hint="eastAsia" w:ascii="仿宋" w:hAnsi="仿宋" w:eastAsia="仿宋" w:cs="仿宋"/>
                <w:sz w:val="24"/>
                <w:szCs w:val="24"/>
              </w:rPr>
              <w:t>2024年度嵊州市石璜镇溪西村百亩方永久基本农田集中连片整治项目</w:t>
            </w:r>
          </w:p>
        </w:tc>
      </w:tr>
      <w:tr w14:paraId="520A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85" w:type="pct"/>
            <w:vAlign w:val="center"/>
          </w:tcPr>
          <w:p w14:paraId="4E93073E">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251" w:type="dxa"/>
            <w:vAlign w:val="center"/>
          </w:tcPr>
          <w:p w14:paraId="1C596106">
            <w:pPr>
              <w:widowControl/>
              <w:jc w:val="both"/>
              <w:rPr>
                <w:rFonts w:hint="eastAsia" w:ascii="仿宋" w:hAnsi="仿宋" w:eastAsia="仿宋" w:cs="仿宋"/>
                <w:color w:val="000000"/>
                <w:kern w:val="0"/>
                <w:sz w:val="24"/>
                <w:szCs w:val="24"/>
              </w:rPr>
            </w:pPr>
            <w:r>
              <w:rPr>
                <w:rFonts w:hint="eastAsia" w:ascii="仿宋" w:hAnsi="仿宋" w:eastAsia="仿宋" w:cs="仿宋"/>
                <w:sz w:val="24"/>
                <w:szCs w:val="24"/>
              </w:rPr>
              <w:t>2024年度嵊州市石璜镇雅宅村等两村百亩方永久基本农田集中连片整治项目</w:t>
            </w:r>
          </w:p>
        </w:tc>
      </w:tr>
    </w:tbl>
    <w:p w14:paraId="1B6E0C7F">
      <w:pPr>
        <w:pStyle w:val="3"/>
        <w:numPr>
          <w:ilvl w:val="0"/>
          <w:numId w:val="0"/>
        </w:numPr>
        <w:tabs>
          <w:tab w:val="left" w:pos="358"/>
        </w:tabs>
        <w:spacing w:line="360" w:lineRule="auto"/>
        <w:ind w:leftChars="0"/>
        <w:rPr>
          <w:rFonts w:hint="eastAsia" w:ascii="仿宋" w:eastAsia="仿宋" w:cs="仿宋"/>
          <w:bCs/>
          <w:kern w:val="21"/>
          <w:sz w:val="24"/>
          <w:szCs w:val="24"/>
          <w:lang w:val="en-US" w:eastAsia="zh-CN"/>
        </w:rPr>
      </w:pPr>
      <w:r>
        <w:rPr>
          <w:rFonts w:hint="eastAsia" w:ascii="仿宋" w:eastAsia="仿宋" w:cs="仿宋"/>
          <w:bCs/>
          <w:kern w:val="21"/>
          <w:sz w:val="24"/>
          <w:szCs w:val="24"/>
          <w:lang w:val="en-US" w:eastAsia="zh-CN"/>
        </w:rPr>
        <w:t>三、技术标准</w:t>
      </w:r>
    </w:p>
    <w:p w14:paraId="67E228B2">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w:t>
      </w:r>
      <w:r>
        <w:rPr>
          <w:rFonts w:hint="eastAsia" w:ascii="仿宋" w:hAnsi="仿宋" w:eastAsia="仿宋" w:cs="仿宋"/>
          <w:kern w:val="21"/>
          <w:sz w:val="24"/>
          <w:szCs w:val="24"/>
          <w:lang w:eastAsia="zh-CN"/>
        </w:rPr>
        <w:t>《关于强化管控落实最严格耕地保护制度的通知》（国土资发〔2014〕18号）</w:t>
      </w:r>
    </w:p>
    <w:p w14:paraId="6A401638">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2）</w:t>
      </w:r>
      <w:r>
        <w:rPr>
          <w:rFonts w:hint="eastAsia" w:ascii="仿宋" w:hAnsi="仿宋" w:eastAsia="仿宋" w:cs="仿宋"/>
          <w:kern w:val="21"/>
          <w:sz w:val="24"/>
          <w:szCs w:val="24"/>
          <w:lang w:eastAsia="zh-CN"/>
        </w:rPr>
        <w:t>《浙江省国土资源厅关于改进和落实耕地占补平衡的通知》（浙土资规〔2018〕9 号）</w:t>
      </w:r>
    </w:p>
    <w:p w14:paraId="37A14F37">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3）</w:t>
      </w:r>
      <w:r>
        <w:rPr>
          <w:rFonts w:hint="eastAsia" w:ascii="仿宋" w:hAnsi="仿宋" w:eastAsia="仿宋" w:cs="仿宋"/>
          <w:kern w:val="21"/>
          <w:sz w:val="24"/>
          <w:szCs w:val="24"/>
          <w:lang w:eastAsia="zh-CN"/>
        </w:rPr>
        <w:t>《浙江省自然资源厅关于开展永久基本农田集中连片整治工作的通知》（浙自然资厅函〔2021〕389 号）</w:t>
      </w:r>
    </w:p>
    <w:p w14:paraId="4268C7E6">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4）</w:t>
      </w:r>
      <w:r>
        <w:rPr>
          <w:rFonts w:hint="eastAsia" w:ascii="仿宋" w:hAnsi="仿宋" w:eastAsia="仿宋" w:cs="仿宋"/>
          <w:kern w:val="21"/>
          <w:sz w:val="24"/>
          <w:szCs w:val="24"/>
          <w:lang w:eastAsia="zh-CN"/>
        </w:rPr>
        <w:t>《浙江省自然资源厅关于做好 2023 年度“百千万”永久基本农田集中连片整治工作的通知》（浙自然资厅函〔2022〕77 号）</w:t>
      </w:r>
    </w:p>
    <w:p w14:paraId="48C99101">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5）</w:t>
      </w:r>
      <w:r>
        <w:rPr>
          <w:rFonts w:hint="eastAsia" w:ascii="仿宋" w:hAnsi="仿宋" w:eastAsia="仿宋" w:cs="仿宋"/>
          <w:kern w:val="21"/>
          <w:sz w:val="24"/>
          <w:szCs w:val="24"/>
          <w:lang w:eastAsia="zh-CN"/>
        </w:rPr>
        <w:t>浙江省永久基本农田集中连片整治项目实施技术指南》（试行）（2023 年 6 月）</w:t>
      </w:r>
    </w:p>
    <w:p w14:paraId="77CCB405">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6）</w:t>
      </w:r>
      <w:r>
        <w:rPr>
          <w:rFonts w:hint="eastAsia" w:ascii="仿宋" w:hAnsi="仿宋" w:eastAsia="仿宋" w:cs="仿宋"/>
          <w:kern w:val="21"/>
          <w:sz w:val="24"/>
          <w:szCs w:val="24"/>
          <w:lang w:eastAsia="zh-CN"/>
        </w:rPr>
        <w:t>《浙江省自然资源厅耕地保护监督处关于“百千万”永久基本农田集中连片整治工程有关事项的通知》</w:t>
      </w:r>
    </w:p>
    <w:p w14:paraId="723B92D3">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7）</w:t>
      </w:r>
      <w:r>
        <w:rPr>
          <w:rFonts w:hint="eastAsia" w:ascii="仿宋" w:hAnsi="仿宋" w:eastAsia="仿宋" w:cs="仿宋"/>
          <w:kern w:val="21"/>
          <w:sz w:val="24"/>
          <w:szCs w:val="24"/>
          <w:lang w:eastAsia="zh-CN"/>
        </w:rPr>
        <w:t>《浙江省土地整治条例》</w:t>
      </w:r>
    </w:p>
    <w:p w14:paraId="727C9FF0">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8）</w:t>
      </w:r>
      <w:r>
        <w:rPr>
          <w:rFonts w:hint="eastAsia" w:ascii="仿宋" w:hAnsi="仿宋" w:eastAsia="仿宋" w:cs="仿宋"/>
          <w:kern w:val="21"/>
          <w:sz w:val="24"/>
          <w:szCs w:val="24"/>
          <w:lang w:eastAsia="zh-CN"/>
        </w:rPr>
        <w:t>《高标准农田建设通则》（GB/T 30600-2022）</w:t>
      </w:r>
    </w:p>
    <w:p w14:paraId="3210B1B3">
      <w:pPr>
        <w:pStyle w:val="108"/>
        <w:numPr>
          <w:ilvl w:val="0"/>
          <w:numId w:val="0"/>
        </w:numPr>
        <w:spacing w:line="360" w:lineRule="auto"/>
        <w:ind w:left="0" w:leftChars="0" w:firstLine="420" w:firstLineChars="175"/>
        <w:rPr>
          <w:rFonts w:hint="eastAsia" w:ascii="仿宋" w:hAnsi="仿宋" w:eastAsia="仿宋" w:cs="仿宋"/>
          <w:kern w:val="21"/>
          <w:sz w:val="24"/>
          <w:szCs w:val="24"/>
          <w:lang w:eastAsia="zh-CN"/>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9）</w:t>
      </w:r>
      <w:r>
        <w:rPr>
          <w:rFonts w:hint="eastAsia" w:ascii="仿宋" w:hAnsi="仿宋" w:eastAsia="仿宋" w:cs="仿宋"/>
          <w:kern w:val="21"/>
          <w:sz w:val="24"/>
          <w:szCs w:val="24"/>
          <w:lang w:eastAsia="zh-CN"/>
        </w:rPr>
        <w:t>《高标准农田建设评价规范》（GB/T 33130-2021）</w:t>
      </w:r>
    </w:p>
    <w:p w14:paraId="457DEF14">
      <w:pPr>
        <w:pStyle w:val="108"/>
        <w:numPr>
          <w:ilvl w:val="0"/>
          <w:numId w:val="0"/>
        </w:numPr>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10）</w:t>
      </w:r>
      <w:r>
        <w:rPr>
          <w:rFonts w:hint="eastAsia" w:ascii="仿宋" w:hAnsi="仿宋" w:eastAsia="仿宋" w:cs="仿宋"/>
          <w:kern w:val="21"/>
          <w:sz w:val="24"/>
          <w:szCs w:val="24"/>
        </w:rPr>
        <w:t>《浙江省土地整治工程建设标准》（2021年6月）</w:t>
      </w:r>
    </w:p>
    <w:p w14:paraId="0B499DF2">
      <w:pPr>
        <w:pStyle w:val="108"/>
        <w:numPr>
          <w:ilvl w:val="0"/>
          <w:numId w:val="0"/>
        </w:numPr>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11）</w:t>
      </w:r>
      <w:r>
        <w:rPr>
          <w:rFonts w:hint="eastAsia" w:ascii="仿宋" w:hAnsi="仿宋" w:eastAsia="仿宋" w:cs="仿宋"/>
          <w:kern w:val="21"/>
          <w:sz w:val="24"/>
          <w:szCs w:val="24"/>
        </w:rPr>
        <w:t>《浙江省土地整治项目规划设计规范》</w:t>
      </w:r>
    </w:p>
    <w:p w14:paraId="223D11ED">
      <w:pPr>
        <w:pStyle w:val="108"/>
        <w:numPr>
          <w:ilvl w:val="0"/>
          <w:numId w:val="0"/>
        </w:numPr>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12）</w:t>
      </w:r>
      <w:r>
        <w:rPr>
          <w:rFonts w:hint="eastAsia" w:ascii="仿宋" w:hAnsi="仿宋" w:eastAsia="仿宋" w:cs="仿宋"/>
          <w:kern w:val="21"/>
          <w:sz w:val="24"/>
          <w:szCs w:val="24"/>
        </w:rPr>
        <w:t>《节水灌溉工程技术标准》（GBT 50363-2018）</w:t>
      </w:r>
    </w:p>
    <w:p w14:paraId="1BE56FBE">
      <w:pPr>
        <w:pStyle w:val="108"/>
        <w:numPr>
          <w:ilvl w:val="0"/>
          <w:numId w:val="0"/>
        </w:numPr>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13）</w:t>
      </w:r>
      <w:r>
        <w:rPr>
          <w:rFonts w:hint="eastAsia" w:ascii="仿宋" w:hAnsi="仿宋" w:eastAsia="仿宋" w:cs="仿宋"/>
          <w:kern w:val="21"/>
          <w:sz w:val="24"/>
          <w:szCs w:val="24"/>
        </w:rPr>
        <w:t>《农田排水工程技术规范》（SL/T 4—2020）</w:t>
      </w:r>
    </w:p>
    <w:p w14:paraId="4BFC79CE">
      <w:pPr>
        <w:pStyle w:val="108"/>
        <w:numPr>
          <w:ilvl w:val="0"/>
          <w:numId w:val="0"/>
        </w:numPr>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14）</w:t>
      </w:r>
      <w:r>
        <w:rPr>
          <w:rFonts w:hint="eastAsia" w:ascii="仿宋" w:hAnsi="仿宋" w:eastAsia="仿宋" w:cs="仿宋"/>
          <w:kern w:val="21"/>
          <w:sz w:val="24"/>
          <w:szCs w:val="24"/>
        </w:rPr>
        <w:t>《灌溉与排水渠系建筑物设计规范》(SL 482-2011)；</w:t>
      </w:r>
    </w:p>
    <w:p w14:paraId="2FD9AD00">
      <w:pPr>
        <w:pStyle w:val="108"/>
        <w:numPr>
          <w:ilvl w:val="0"/>
          <w:numId w:val="0"/>
        </w:numPr>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lang w:eastAsia="zh-CN"/>
        </w:rPr>
        <w:t>（</w:t>
      </w:r>
      <w:r>
        <w:rPr>
          <w:rFonts w:hint="eastAsia" w:ascii="仿宋" w:hAnsi="仿宋" w:eastAsia="仿宋" w:cs="仿宋"/>
          <w:kern w:val="21"/>
          <w:sz w:val="24"/>
          <w:szCs w:val="24"/>
          <w:lang w:val="en-US" w:eastAsia="zh-CN"/>
        </w:rPr>
        <w:t>15）</w:t>
      </w:r>
      <w:r>
        <w:rPr>
          <w:rFonts w:hint="eastAsia" w:ascii="仿宋" w:hAnsi="仿宋" w:eastAsia="仿宋" w:cs="仿宋"/>
          <w:kern w:val="21"/>
          <w:sz w:val="24"/>
          <w:szCs w:val="24"/>
        </w:rPr>
        <w:t>其他相关文件。</w:t>
      </w:r>
    </w:p>
    <w:p w14:paraId="75285E4D">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四、</w:t>
      </w:r>
      <w:r>
        <w:rPr>
          <w:rFonts w:hint="eastAsia" w:ascii="仿宋" w:hAnsi="仿宋" w:eastAsia="仿宋" w:cs="仿宋"/>
          <w:bCs/>
          <w:kern w:val="21"/>
          <w:sz w:val="24"/>
          <w:szCs w:val="24"/>
        </w:rPr>
        <w:t>工作内容</w:t>
      </w:r>
    </w:p>
    <w:p w14:paraId="7706B3D4">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本次涉及嵊州市石璜镇2024年4个百亩方永久基本农田连片整治工程项目，服务内容如下：</w:t>
      </w:r>
    </w:p>
    <w:p w14:paraId="6CE2CB38">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（1）按照嵊州市自然资源主管部门要求，协助乡镇开展2024年度永久基本农田集中连片整治项目选址分析和政策咨询；</w:t>
      </w:r>
    </w:p>
    <w:p w14:paraId="13F4BD01">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（2）按照上级文件要求，做好拟建项目的立项和验收工作，包含：</w:t>
      </w:r>
    </w:p>
    <w:p w14:paraId="3440C978">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完成现状调查和测量：完成项目范围内整治后连片耕地的范围确定以及现状勘测图；</w:t>
      </w:r>
    </w:p>
    <w:p w14:paraId="359107FF">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完成方案编制和上报：完成百、千、万亩方永久基本农田连片整治方案编制并通过上级论证；完成立项所需材料的制作、整理、上报和备案；完成项目的上报和立项；</w:t>
      </w:r>
    </w:p>
    <w:p w14:paraId="1ABB1026">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完成项目验收和备案：完成百、千、万亩方永久基本农田连片整治验收材料的制作、整理、上报和备案，包括项目调整和核减等相关工作；</w:t>
      </w:r>
    </w:p>
    <w:p w14:paraId="0BF0D194">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（3）其他工作</w:t>
      </w:r>
    </w:p>
    <w:p w14:paraId="14581D9A">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完成航摄视频和正摄影像：完成整治项目区范围内整治前后航摄视频、照片；完成项目上报和验收所需的正射影像拍摄和制作。</w:t>
      </w:r>
    </w:p>
    <w:p w14:paraId="032A04C1">
      <w:pPr>
        <w:spacing w:line="360" w:lineRule="auto"/>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完成日常服务工作：包括协助乡镇完成项目实施过程中的政策咨询、图表制作、数据分析和进度填报等其它相关工作。</w:t>
      </w:r>
    </w:p>
    <w:p w14:paraId="30C30F53">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五、</w:t>
      </w:r>
      <w:r>
        <w:rPr>
          <w:rFonts w:hint="eastAsia" w:ascii="仿宋" w:hAnsi="仿宋" w:eastAsia="仿宋" w:cs="仿宋"/>
          <w:bCs/>
          <w:kern w:val="21"/>
          <w:sz w:val="24"/>
          <w:szCs w:val="24"/>
        </w:rPr>
        <w:t>工作要求</w:t>
      </w:r>
    </w:p>
    <w:p w14:paraId="462FA504">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1.向采购人提交各阶段成果，同时收取相应阶段的咨询费用。</w:t>
      </w:r>
    </w:p>
    <w:p w14:paraId="2CDA5755">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2.在服务过程中成交投标单位应积极主动与采购人沟通，准确了解和贯彻采购人布置的任务。</w:t>
      </w:r>
    </w:p>
    <w:p w14:paraId="4F55194A">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3.采购人有权了解成交投标单位服务内容、进度和质量，成交投标单位应积极配合并如实反映。</w:t>
      </w:r>
    </w:p>
    <w:p w14:paraId="0EB81BAE">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4.变更工作日程时，及时通知采购人。</w:t>
      </w:r>
    </w:p>
    <w:p w14:paraId="480A95FC">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5.按采购人的要求和国家、省、市等地方有关规定，保质保量完成任务。</w:t>
      </w:r>
    </w:p>
    <w:p w14:paraId="2FFA4245">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六、</w:t>
      </w:r>
      <w:r>
        <w:rPr>
          <w:rFonts w:hint="eastAsia" w:ascii="仿宋" w:hAnsi="仿宋" w:eastAsia="仿宋" w:cs="仿宋"/>
          <w:bCs/>
          <w:kern w:val="21"/>
          <w:sz w:val="24"/>
          <w:szCs w:val="24"/>
        </w:rPr>
        <w:t>实施计划进度和完成项目期限：</w:t>
      </w:r>
    </w:p>
    <w:p w14:paraId="6A3157BF">
      <w:pPr>
        <w:tabs>
          <w:tab w:val="left" w:pos="840"/>
        </w:tabs>
        <w:spacing w:line="360" w:lineRule="auto"/>
        <w:ind w:left="0" w:leftChars="0" w:firstLine="420" w:firstLineChars="175"/>
        <w:rPr>
          <w:rFonts w:hint="eastAsia" w:ascii="仿宋" w:hAnsi="仿宋" w:eastAsia="仿宋" w:cs="仿宋"/>
          <w:kern w:val="21"/>
          <w:sz w:val="24"/>
          <w:szCs w:val="24"/>
        </w:rPr>
      </w:pPr>
      <w:bookmarkStart w:id="65" w:name="_Hlk137224528"/>
      <w:r>
        <w:rPr>
          <w:rFonts w:hint="eastAsia" w:ascii="仿宋" w:hAnsi="仿宋" w:eastAsia="仿宋" w:cs="仿宋"/>
          <w:kern w:val="21"/>
          <w:sz w:val="24"/>
          <w:szCs w:val="24"/>
        </w:rPr>
        <w:t>在上级要求的时间节点前完采购人所委托项目的立项和验收报备工作。</w:t>
      </w:r>
    </w:p>
    <w:p w14:paraId="1BBA19F8">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七、</w:t>
      </w:r>
      <w:r>
        <w:rPr>
          <w:rFonts w:hint="eastAsia" w:ascii="仿宋" w:hAnsi="仿宋" w:eastAsia="仿宋" w:cs="仿宋"/>
          <w:bCs/>
          <w:kern w:val="21"/>
          <w:sz w:val="24"/>
          <w:szCs w:val="24"/>
        </w:rPr>
        <w:t>验收标准</w:t>
      </w:r>
    </w:p>
    <w:p w14:paraId="059EC729">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按照《浙江省永久基本农田集中连片建设技术指南（试行）（2023年）》（后续有最新文件要求按最新文件执行）进行项目的立项和验收。以嵊州市人民政府正式立项批文和验收批文作为本项目的验收依据。</w:t>
      </w:r>
    </w:p>
    <w:bookmarkEnd w:id="65"/>
    <w:p w14:paraId="377B1BAD">
      <w:pPr>
        <w:pStyle w:val="3"/>
        <w:numPr>
          <w:ilvl w:val="0"/>
          <w:numId w:val="0"/>
        </w:numPr>
        <w:tabs>
          <w:tab w:val="left" w:pos="358"/>
        </w:tabs>
        <w:spacing w:line="360" w:lineRule="auto"/>
        <w:ind w:leftChars="0"/>
        <w:rPr>
          <w:rFonts w:hint="eastAsia" w:ascii="仿宋" w:hAnsi="仿宋" w:eastAsia="仿宋" w:cs="仿宋"/>
          <w:b w:val="0"/>
          <w:kern w:val="21"/>
          <w:sz w:val="24"/>
          <w:szCs w:val="24"/>
        </w:rPr>
      </w:pPr>
      <w:r>
        <w:rPr>
          <w:rFonts w:hint="eastAsia" w:ascii="仿宋" w:eastAsia="仿宋" w:cs="仿宋"/>
          <w:bCs/>
          <w:kern w:val="21"/>
          <w:sz w:val="24"/>
          <w:szCs w:val="24"/>
          <w:lang w:val="en-US" w:eastAsia="zh-CN"/>
        </w:rPr>
        <w:t>八、</w:t>
      </w:r>
      <w:r>
        <w:rPr>
          <w:rFonts w:hint="eastAsia" w:ascii="仿宋" w:hAnsi="仿宋" w:eastAsia="仿宋" w:cs="仿宋"/>
          <w:bCs/>
          <w:kern w:val="21"/>
          <w:sz w:val="24"/>
          <w:szCs w:val="24"/>
        </w:rPr>
        <w:t>服务质量承诺</w:t>
      </w:r>
    </w:p>
    <w:p w14:paraId="02002F34">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符合国家现行标准。</w:t>
      </w:r>
    </w:p>
    <w:p w14:paraId="5C1F982F">
      <w:pPr>
        <w:pStyle w:val="3"/>
        <w:numPr>
          <w:ilvl w:val="0"/>
          <w:numId w:val="0"/>
        </w:numPr>
        <w:tabs>
          <w:tab w:val="left" w:pos="358"/>
        </w:tabs>
        <w:spacing w:line="360" w:lineRule="auto"/>
        <w:ind w:leftChars="0"/>
        <w:rPr>
          <w:rFonts w:hint="eastAsia" w:ascii="仿宋" w:hAnsi="仿宋" w:eastAsia="仿宋" w:cs="仿宋"/>
          <w:bCs/>
          <w:kern w:val="21"/>
          <w:sz w:val="24"/>
          <w:szCs w:val="24"/>
        </w:rPr>
      </w:pPr>
      <w:r>
        <w:rPr>
          <w:rFonts w:hint="eastAsia" w:ascii="仿宋" w:eastAsia="仿宋" w:cs="仿宋"/>
          <w:bCs/>
          <w:kern w:val="21"/>
          <w:sz w:val="24"/>
          <w:szCs w:val="24"/>
          <w:lang w:val="en-US" w:eastAsia="zh-CN"/>
        </w:rPr>
        <w:t>九、</w:t>
      </w:r>
      <w:r>
        <w:rPr>
          <w:rFonts w:hint="eastAsia" w:ascii="仿宋" w:hAnsi="仿宋" w:eastAsia="仿宋" w:cs="仿宋"/>
          <w:bCs/>
          <w:kern w:val="21"/>
          <w:sz w:val="24"/>
          <w:szCs w:val="24"/>
        </w:rPr>
        <w:t>付款方式</w:t>
      </w:r>
    </w:p>
    <w:p w14:paraId="7719D0BB">
      <w:pPr>
        <w:tabs>
          <w:tab w:val="left" w:pos="840"/>
        </w:tabs>
        <w:spacing w:line="360" w:lineRule="auto"/>
        <w:ind w:left="0" w:leftChars="0" w:firstLine="420" w:firstLineChars="175"/>
        <w:rPr>
          <w:rFonts w:hint="eastAsia" w:ascii="仿宋" w:hAnsi="仿宋" w:eastAsia="仿宋" w:cs="仿宋"/>
          <w:kern w:val="21"/>
          <w:sz w:val="24"/>
          <w:szCs w:val="24"/>
        </w:rPr>
      </w:pPr>
      <w:r>
        <w:rPr>
          <w:rFonts w:hint="eastAsia" w:ascii="仿宋" w:hAnsi="仿宋" w:eastAsia="仿宋" w:cs="仿宋"/>
          <w:kern w:val="21"/>
          <w:sz w:val="24"/>
          <w:szCs w:val="24"/>
        </w:rPr>
        <w:t>在完成项目验收后支付合同款项。</w:t>
      </w:r>
    </w:p>
    <w:p w14:paraId="7BBB596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p>
    <w:p w14:paraId="2A3B965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p>
    <w:p w14:paraId="6D749CA1">
      <w:pPr>
        <w:rPr>
          <w:rFonts w:hint="eastAsia" w:ascii="仿宋" w:hAnsi="仿宋" w:eastAsia="仿宋" w:cs="仿宋"/>
          <w:b/>
          <w:color w:val="auto"/>
          <w:sz w:val="36"/>
          <w:szCs w:val="36"/>
          <w:highlight w:val="none"/>
        </w:rPr>
      </w:pPr>
    </w:p>
    <w:p w14:paraId="7F451BD3">
      <w:pPr>
        <w:pStyle w:val="23"/>
        <w:rPr>
          <w:rFonts w:hint="eastAsia" w:ascii="仿宋" w:hAnsi="仿宋" w:eastAsia="仿宋" w:cs="仿宋"/>
          <w:b/>
          <w:color w:val="auto"/>
          <w:sz w:val="36"/>
          <w:szCs w:val="36"/>
          <w:highlight w:val="none"/>
        </w:rPr>
      </w:pPr>
    </w:p>
    <w:p w14:paraId="0500AF11">
      <w:pPr>
        <w:pStyle w:val="75"/>
        <w:rPr>
          <w:rFonts w:hint="eastAsia" w:ascii="仿宋" w:hAnsi="仿宋" w:eastAsia="仿宋" w:cs="仿宋"/>
          <w:b/>
          <w:color w:val="auto"/>
          <w:sz w:val="36"/>
          <w:szCs w:val="36"/>
          <w:highlight w:val="none"/>
        </w:rPr>
      </w:pPr>
    </w:p>
    <w:p w14:paraId="6D939B55">
      <w:pPr>
        <w:pStyle w:val="75"/>
        <w:rPr>
          <w:rFonts w:hint="eastAsia" w:ascii="仿宋" w:hAnsi="仿宋" w:eastAsia="仿宋" w:cs="仿宋"/>
          <w:b/>
          <w:color w:val="auto"/>
          <w:sz w:val="36"/>
          <w:szCs w:val="36"/>
          <w:highlight w:val="none"/>
        </w:rPr>
      </w:pPr>
    </w:p>
    <w:p w14:paraId="65837511">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评审方法及评审标准</w:t>
      </w:r>
    </w:p>
    <w:p w14:paraId="5F6F67B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6C90A114">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1606AA66">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376EA7C4">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80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20 </w:t>
      </w:r>
      <w:r>
        <w:rPr>
          <w:rFonts w:hint="eastAsia" w:ascii="仿宋" w:hAnsi="仿宋" w:eastAsia="仿宋" w:cs="仿宋"/>
          <w:color w:val="auto"/>
          <w:sz w:val="24"/>
          <w:highlight w:val="none"/>
        </w:rPr>
        <w:t>分。评分依下述所列为评审打分依据，分值如下（计算分值时，按其算术平均值保留小数2位）。</w:t>
      </w:r>
    </w:p>
    <w:p w14:paraId="0553E58B">
      <w:pPr>
        <w:spacing w:line="336" w:lineRule="auto"/>
        <w:ind w:firstLine="241" w:firstLineChars="100"/>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lang w:eastAsia="zh-CN"/>
        </w:rPr>
        <w:t>（一）</w:t>
      </w:r>
      <w:r>
        <w:rPr>
          <w:rFonts w:hint="eastAsia" w:ascii="仿宋" w:hAnsi="仿宋" w:eastAsia="仿宋" w:cs="仿宋"/>
          <w:b/>
          <w:bCs/>
          <w:iCs/>
          <w:color w:val="auto"/>
          <w:sz w:val="24"/>
          <w:highlight w:val="none"/>
        </w:rPr>
        <w:t>商务技术分（</w:t>
      </w:r>
      <w:r>
        <w:rPr>
          <w:rFonts w:hint="eastAsia" w:ascii="仿宋" w:hAnsi="仿宋" w:eastAsia="仿宋" w:cs="仿宋"/>
          <w:b/>
          <w:bCs/>
          <w:iCs/>
          <w:color w:val="auto"/>
          <w:sz w:val="24"/>
          <w:highlight w:val="none"/>
          <w:u w:val="single"/>
          <w:lang w:val="en-US" w:eastAsia="zh-CN"/>
        </w:rPr>
        <w:t xml:space="preserve"> 80 </w:t>
      </w:r>
      <w:r>
        <w:rPr>
          <w:rFonts w:hint="eastAsia" w:ascii="仿宋" w:hAnsi="仿宋" w:eastAsia="仿宋" w:cs="仿宋"/>
          <w:b/>
          <w:bCs/>
          <w:iCs/>
          <w:color w:val="auto"/>
          <w:sz w:val="24"/>
          <w:highlight w:val="none"/>
        </w:rPr>
        <w:t>分）</w:t>
      </w:r>
    </w:p>
    <w:tbl>
      <w:tblPr>
        <w:tblStyle w:val="63"/>
        <w:tblW w:w="9043"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17"/>
        <w:gridCol w:w="5943"/>
        <w:gridCol w:w="1018"/>
      </w:tblGrid>
      <w:tr w14:paraId="6FE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4B3FDAD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序号</w:t>
            </w:r>
          </w:p>
        </w:tc>
        <w:tc>
          <w:tcPr>
            <w:tcW w:w="1317" w:type="dxa"/>
            <w:vAlign w:val="center"/>
          </w:tcPr>
          <w:p w14:paraId="5AB200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评分因素</w:t>
            </w:r>
          </w:p>
        </w:tc>
        <w:tc>
          <w:tcPr>
            <w:tcW w:w="5943" w:type="dxa"/>
            <w:vAlign w:val="center"/>
          </w:tcPr>
          <w:p w14:paraId="2259F72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评分标准</w:t>
            </w:r>
          </w:p>
        </w:tc>
        <w:tc>
          <w:tcPr>
            <w:tcW w:w="1018" w:type="dxa"/>
            <w:vAlign w:val="center"/>
          </w:tcPr>
          <w:p w14:paraId="46426FB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r>
      <w:tr w14:paraId="7FFA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0EA44A2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p>
        </w:tc>
        <w:tc>
          <w:tcPr>
            <w:tcW w:w="1317" w:type="dxa"/>
            <w:vAlign w:val="center"/>
          </w:tcPr>
          <w:p w14:paraId="6A8BB5B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w:t>
            </w:r>
            <w:r>
              <w:rPr>
                <w:rFonts w:hint="eastAsia" w:ascii="仿宋" w:hAnsi="仿宋" w:eastAsia="仿宋" w:cs="仿宋"/>
                <w:color w:val="000000" w:themeColor="text1"/>
                <w:sz w:val="24"/>
                <w:szCs w:val="24"/>
                <w:lang w:val="en-US" w:eastAsia="zh-CN"/>
                <w14:textFill>
                  <w14:solidFill>
                    <w14:schemeClr w14:val="tx1"/>
                  </w14:solidFill>
                </w14:textFill>
              </w:rPr>
              <w:t>实力</w:t>
            </w:r>
          </w:p>
        </w:tc>
        <w:tc>
          <w:tcPr>
            <w:tcW w:w="5943" w:type="dxa"/>
            <w:vAlign w:val="center"/>
          </w:tcPr>
          <w:p w14:paraId="06297FBF">
            <w:pPr>
              <w:numPr>
                <w:ilvl w:val="0"/>
                <w:numId w:val="8"/>
              </w:numPr>
              <w:adjustRightInd w:val="0"/>
              <w:spacing w:after="0" w:line="360" w:lineRule="auto"/>
              <w:rPr>
                <w:rFonts w:hint="eastAsia" w:ascii="仿宋" w:hAnsi="仿宋" w:eastAsia="仿宋" w:cs="仿宋"/>
                <w:b w:val="0"/>
                <w:bCs/>
                <w:color w:val="auto"/>
                <w:kern w:val="0"/>
                <w:sz w:val="24"/>
                <w:szCs w:val="24"/>
              </w:rPr>
            </w:pPr>
            <w:r>
              <w:rPr>
                <w:rFonts w:hint="eastAsia" w:ascii="仿宋" w:hAnsi="仿宋" w:eastAsia="仿宋" w:cs="仿宋"/>
                <w:b w:val="0"/>
                <w:bCs/>
                <w:iCs/>
                <w:color w:val="auto"/>
                <w:sz w:val="24"/>
                <w:szCs w:val="24"/>
              </w:rPr>
              <w:t>投标人具有ISO质量管理体系认证、环境管理体系认证、职业健康安全管理体系认证</w:t>
            </w:r>
            <w:r>
              <w:rPr>
                <w:rFonts w:hint="eastAsia" w:ascii="仿宋" w:hAnsi="仿宋" w:eastAsia="仿宋" w:cs="仿宋"/>
                <w:b w:val="0"/>
                <w:bCs/>
                <w:iCs/>
                <w:color w:val="auto"/>
                <w:sz w:val="24"/>
                <w:szCs w:val="24"/>
                <w:lang w:val="en-US" w:eastAsia="zh-CN"/>
              </w:rPr>
              <w:t>的</w:t>
            </w:r>
            <w:r>
              <w:rPr>
                <w:rFonts w:hint="eastAsia" w:ascii="仿宋" w:hAnsi="仿宋" w:eastAsia="仿宋" w:cs="仿宋"/>
                <w:b w:val="0"/>
                <w:bCs/>
                <w:iCs/>
                <w:color w:val="auto"/>
                <w:sz w:val="24"/>
                <w:szCs w:val="24"/>
              </w:rPr>
              <w:t>，每个得1分，最高得</w:t>
            </w:r>
            <w:r>
              <w:rPr>
                <w:rFonts w:hint="eastAsia" w:ascii="仿宋" w:hAnsi="仿宋" w:eastAsia="仿宋" w:cs="仿宋"/>
                <w:b w:val="0"/>
                <w:bCs/>
                <w:iCs/>
                <w:color w:val="auto"/>
                <w:sz w:val="24"/>
                <w:szCs w:val="24"/>
                <w:lang w:val="en-US" w:eastAsia="zh-CN"/>
              </w:rPr>
              <w:t>3</w:t>
            </w:r>
            <w:r>
              <w:rPr>
                <w:rFonts w:hint="eastAsia" w:ascii="仿宋" w:hAnsi="仿宋" w:eastAsia="仿宋" w:cs="仿宋"/>
                <w:b w:val="0"/>
                <w:bCs/>
                <w:iCs/>
                <w:color w:val="auto"/>
                <w:sz w:val="24"/>
                <w:szCs w:val="24"/>
              </w:rPr>
              <w:t>分。</w:t>
            </w:r>
            <w:r>
              <w:rPr>
                <w:rFonts w:hint="eastAsia" w:ascii="仿宋" w:hAnsi="仿宋" w:eastAsia="仿宋" w:cs="仿宋"/>
                <w:b/>
                <w:bCs w:val="0"/>
                <w:iCs/>
                <w:color w:val="auto"/>
                <w:sz w:val="24"/>
                <w:szCs w:val="24"/>
              </w:rPr>
              <w:t>（须提供证书复印件或扫描件加盖公章，否则不得分。）</w:t>
            </w:r>
          </w:p>
          <w:p w14:paraId="346C33D3">
            <w:pPr>
              <w:numPr>
                <w:ilvl w:val="0"/>
                <w:numId w:val="8"/>
              </w:numPr>
              <w:adjustRightInd w:val="0"/>
              <w:spacing w:after="0" w:line="360" w:lineRule="auto"/>
              <w:rPr>
                <w:rFonts w:hint="eastAsia" w:ascii="仿宋" w:hAnsi="仿宋" w:eastAsia="仿宋" w:cs="仿宋"/>
                <w:b w:val="0"/>
                <w:bCs/>
                <w:color w:val="000000" w:themeColor="text1"/>
                <w:sz w:val="24"/>
                <w:szCs w:val="24"/>
                <w:lang w:val="zh-CN"/>
                <w14:textFill>
                  <w14:solidFill>
                    <w14:schemeClr w14:val="tx1"/>
                  </w14:solidFill>
                </w14:textFill>
              </w:rPr>
            </w:pPr>
            <w:r>
              <w:rPr>
                <w:rFonts w:hint="eastAsia" w:ascii="仿宋" w:hAnsi="仿宋" w:eastAsia="仿宋" w:cs="仿宋"/>
                <w:b w:val="0"/>
                <w:bCs/>
                <w:color w:val="auto"/>
                <w:kern w:val="0"/>
                <w:sz w:val="24"/>
                <w:szCs w:val="24"/>
                <w:highlight w:val="none"/>
              </w:rPr>
              <w:t>投标人具有</w:t>
            </w:r>
            <w:r>
              <w:rPr>
                <w:rFonts w:hint="eastAsia" w:ascii="仿宋" w:hAnsi="仿宋" w:eastAsia="仿宋" w:cs="仿宋"/>
                <w:b w:val="0"/>
                <w:bCs/>
                <w:color w:val="auto"/>
                <w:kern w:val="0"/>
                <w:sz w:val="24"/>
                <w:szCs w:val="24"/>
                <w:highlight w:val="none"/>
                <w:lang w:val="en-US" w:eastAsia="zh-CN"/>
              </w:rPr>
              <w:t>耕地质量等级监测类系统</w:t>
            </w:r>
            <w:r>
              <w:rPr>
                <w:rFonts w:hint="eastAsia" w:ascii="仿宋" w:hAnsi="仿宋" w:eastAsia="仿宋" w:cs="仿宋"/>
                <w:b w:val="0"/>
                <w:bCs/>
                <w:color w:val="auto"/>
                <w:kern w:val="0"/>
                <w:sz w:val="24"/>
                <w:szCs w:val="24"/>
                <w:highlight w:val="none"/>
              </w:rPr>
              <w:t>软著权的，得2分。</w:t>
            </w:r>
            <w:r>
              <w:rPr>
                <w:rFonts w:hint="eastAsia" w:ascii="仿宋" w:hAnsi="仿宋" w:eastAsia="仿宋" w:cs="仿宋"/>
                <w:b/>
                <w:bCs w:val="0"/>
                <w:iCs/>
                <w:color w:val="auto"/>
                <w:sz w:val="24"/>
                <w:szCs w:val="24"/>
                <w:highlight w:val="none"/>
              </w:rPr>
              <w:t>（须提供软件著作权证书复印件加盖公章，否则不得分。）</w:t>
            </w:r>
          </w:p>
        </w:tc>
        <w:tc>
          <w:tcPr>
            <w:tcW w:w="1018" w:type="dxa"/>
            <w:vAlign w:val="center"/>
          </w:tcPr>
          <w:p w14:paraId="26AFF7A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5分</w:t>
            </w:r>
          </w:p>
        </w:tc>
      </w:tr>
      <w:tr w14:paraId="2587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57F130C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p>
        </w:tc>
        <w:tc>
          <w:tcPr>
            <w:tcW w:w="1317" w:type="dxa"/>
            <w:vAlign w:val="center"/>
          </w:tcPr>
          <w:p w14:paraId="7065C3EB">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项目业绩</w:t>
            </w:r>
          </w:p>
        </w:tc>
        <w:tc>
          <w:tcPr>
            <w:tcW w:w="5943" w:type="dxa"/>
            <w:vAlign w:val="center"/>
          </w:tcPr>
          <w:p w14:paraId="248BA7B6">
            <w:pPr>
              <w:spacing w:line="360" w:lineRule="auto"/>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供应商自202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zh-CN"/>
                <w14:textFill>
                  <w14:solidFill>
                    <w14:schemeClr w14:val="tx1"/>
                  </w14:solidFill>
                </w14:textFill>
              </w:rPr>
              <w:t>月1日以来（以合同签订时间为准）独立承担过类似项目的，每个业绩得1分，最高得2分。</w:t>
            </w:r>
          </w:p>
          <w:p w14:paraId="1EA98F5A">
            <w:pPr>
              <w:spacing w:line="360" w:lineRule="auto"/>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（提供业绩合同复印件或扫描件</w:t>
            </w:r>
            <w:r>
              <w:rPr>
                <w:rFonts w:hint="eastAsia" w:ascii="仿宋" w:hAnsi="仿宋" w:eastAsia="仿宋" w:cs="仿宋"/>
                <w:b/>
                <w:bCs/>
                <w:color w:val="000000" w:themeColor="text1"/>
                <w:sz w:val="24"/>
                <w:szCs w:val="24"/>
                <w:lang w:eastAsia="zh-CN"/>
                <w14:textFill>
                  <w14:solidFill>
                    <w14:schemeClr w14:val="tx1"/>
                  </w14:solidFill>
                </w14:textFill>
              </w:rPr>
              <w:t>加盖</w:t>
            </w:r>
            <w:r>
              <w:rPr>
                <w:rFonts w:hint="eastAsia" w:ascii="仿宋" w:hAnsi="仿宋" w:eastAsia="仿宋" w:cs="仿宋"/>
                <w:b/>
                <w:bCs/>
                <w:color w:val="000000" w:themeColor="text1"/>
                <w:sz w:val="24"/>
                <w:szCs w:val="24"/>
                <w:lang w:val="en-US" w:eastAsia="zh-CN"/>
                <w14:textFill>
                  <w14:solidFill>
                    <w14:schemeClr w14:val="tx1"/>
                  </w14:solidFill>
                </w14:textFill>
              </w:rPr>
              <w:t>CA 签章</w:t>
            </w:r>
            <w:r>
              <w:rPr>
                <w:rFonts w:hint="eastAsia" w:ascii="仿宋" w:hAnsi="仿宋" w:eastAsia="仿宋" w:cs="仿宋"/>
                <w:b/>
                <w:bCs/>
                <w:color w:val="000000" w:themeColor="text1"/>
                <w:sz w:val="24"/>
                <w:szCs w:val="24"/>
                <w:lang w:val="zh-CN"/>
                <w14:textFill>
                  <w14:solidFill>
                    <w14:schemeClr w14:val="tx1"/>
                  </w14:solidFill>
                </w14:textFill>
              </w:rPr>
              <w:t>，不提供不得分）</w:t>
            </w:r>
          </w:p>
        </w:tc>
        <w:tc>
          <w:tcPr>
            <w:tcW w:w="1018" w:type="dxa"/>
            <w:vAlign w:val="center"/>
          </w:tcPr>
          <w:p w14:paraId="37AF2A7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2分</w:t>
            </w:r>
          </w:p>
        </w:tc>
      </w:tr>
      <w:tr w14:paraId="22C9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restart"/>
            <w:vAlign w:val="center"/>
          </w:tcPr>
          <w:p w14:paraId="418F1DF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p>
        </w:tc>
        <w:tc>
          <w:tcPr>
            <w:tcW w:w="1317" w:type="dxa"/>
            <w:vMerge w:val="restart"/>
            <w:vAlign w:val="center"/>
          </w:tcPr>
          <w:p w14:paraId="51CC05A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项目团队</w:t>
            </w:r>
          </w:p>
        </w:tc>
        <w:tc>
          <w:tcPr>
            <w:tcW w:w="5943" w:type="dxa"/>
            <w:vAlign w:val="center"/>
          </w:tcPr>
          <w:p w14:paraId="2B8970A3">
            <w:pPr>
              <w:spacing w:after="0" w:line="360" w:lineRule="auto"/>
              <w:rPr>
                <w:rFonts w:hint="eastAsia" w:ascii="仿宋" w:hAnsi="仿宋" w:eastAsia="仿宋" w:cs="仿宋"/>
                <w:bCs/>
                <w:iCs/>
                <w:color w:val="auto"/>
                <w:sz w:val="24"/>
                <w:szCs w:val="24"/>
                <w:lang w:eastAsia="zh-CN"/>
              </w:rPr>
            </w:pPr>
            <w:r>
              <w:rPr>
                <w:rFonts w:hint="eastAsia" w:ascii="仿宋" w:hAnsi="仿宋" w:eastAsia="仿宋" w:cs="仿宋"/>
                <w:bCs/>
                <w:iCs/>
                <w:color w:val="auto"/>
                <w:sz w:val="24"/>
                <w:szCs w:val="24"/>
              </w:rPr>
              <w:t>（1）项目负责人</w:t>
            </w:r>
            <w:r>
              <w:rPr>
                <w:rFonts w:hint="eastAsia" w:ascii="仿宋" w:hAnsi="仿宋" w:eastAsia="仿宋" w:cs="仿宋"/>
                <w:bCs/>
                <w:iCs/>
                <w:color w:val="auto"/>
                <w:sz w:val="24"/>
                <w:szCs w:val="24"/>
                <w:lang w:val="en-US" w:eastAsia="zh-CN"/>
              </w:rPr>
              <w:t>同时</w:t>
            </w:r>
            <w:r>
              <w:rPr>
                <w:rFonts w:hint="eastAsia" w:ascii="仿宋" w:hAnsi="仿宋" w:eastAsia="仿宋" w:cs="仿宋"/>
                <w:bCs/>
                <w:iCs/>
                <w:color w:val="auto"/>
                <w:sz w:val="24"/>
                <w:szCs w:val="24"/>
              </w:rPr>
              <w:t>具有土地相关专业（土地管理、土地整治与生态修复、土地工程、土地规划）高级工程师及以上职称</w:t>
            </w:r>
            <w:r>
              <w:rPr>
                <w:rFonts w:hint="eastAsia" w:ascii="仿宋" w:hAnsi="仿宋" w:eastAsia="仿宋" w:cs="仿宋"/>
                <w:bCs/>
                <w:iCs/>
                <w:color w:val="auto"/>
                <w:sz w:val="24"/>
                <w:szCs w:val="24"/>
                <w:lang w:val="en-US" w:eastAsia="zh-CN"/>
              </w:rPr>
              <w:t>和注册城乡规划师证书</w:t>
            </w:r>
            <w:r>
              <w:rPr>
                <w:rFonts w:hint="eastAsia" w:ascii="仿宋" w:hAnsi="仿宋" w:eastAsia="仿宋" w:cs="仿宋"/>
                <w:bCs/>
                <w:iCs/>
                <w:color w:val="auto"/>
                <w:sz w:val="24"/>
                <w:szCs w:val="24"/>
              </w:rPr>
              <w:t>得</w:t>
            </w:r>
            <w:r>
              <w:rPr>
                <w:rFonts w:hint="eastAsia" w:ascii="仿宋" w:hAnsi="仿宋" w:eastAsia="仿宋" w:cs="仿宋"/>
                <w:bCs/>
                <w:iCs/>
                <w:color w:val="auto"/>
                <w:sz w:val="24"/>
                <w:szCs w:val="24"/>
                <w:lang w:val="en-US" w:eastAsia="zh-CN"/>
              </w:rPr>
              <w:t>2</w:t>
            </w:r>
            <w:r>
              <w:rPr>
                <w:rFonts w:hint="eastAsia" w:ascii="仿宋" w:hAnsi="仿宋" w:eastAsia="仿宋" w:cs="仿宋"/>
                <w:bCs/>
                <w:iCs/>
                <w:color w:val="auto"/>
                <w:sz w:val="24"/>
                <w:szCs w:val="24"/>
              </w:rPr>
              <w:t>分；具有土地相关专业（土地管理、土地整治与生态修复、土地工程、土地规划）中级工程师得</w:t>
            </w:r>
            <w:r>
              <w:rPr>
                <w:rFonts w:hint="eastAsia" w:ascii="仿宋" w:hAnsi="仿宋" w:eastAsia="仿宋" w:cs="仿宋"/>
                <w:bCs/>
                <w:iCs/>
                <w:color w:val="auto"/>
                <w:sz w:val="24"/>
                <w:szCs w:val="24"/>
                <w:lang w:val="en-US" w:eastAsia="zh-CN"/>
              </w:rPr>
              <w:t>1</w:t>
            </w:r>
            <w:r>
              <w:rPr>
                <w:rFonts w:hint="eastAsia" w:ascii="仿宋" w:hAnsi="仿宋" w:eastAsia="仿宋" w:cs="仿宋"/>
                <w:bCs/>
                <w:iCs/>
                <w:color w:val="auto"/>
                <w:sz w:val="24"/>
                <w:szCs w:val="24"/>
              </w:rPr>
              <w:t>分。</w:t>
            </w:r>
          </w:p>
          <w:p w14:paraId="2E41CFDA">
            <w:pPr>
              <w:spacing w:after="0" w:line="360" w:lineRule="auto"/>
              <w:rPr>
                <w:rFonts w:hint="eastAsia" w:ascii="仿宋" w:hAnsi="仿宋" w:eastAsia="仿宋" w:cs="仿宋"/>
                <w:b/>
                <w:bCs w:val="0"/>
                <w:iCs/>
                <w:color w:val="auto"/>
                <w:sz w:val="24"/>
                <w:szCs w:val="24"/>
              </w:rPr>
            </w:pPr>
            <w:r>
              <w:rPr>
                <w:rFonts w:hint="eastAsia" w:ascii="仿宋" w:hAnsi="仿宋" w:eastAsia="仿宋" w:cs="仿宋"/>
                <w:b/>
                <w:bCs w:val="0"/>
                <w:iCs/>
                <w:color w:val="auto"/>
                <w:sz w:val="24"/>
                <w:szCs w:val="24"/>
              </w:rPr>
              <w:t>（须提供项目负责人职称证书及开标前三个月在本单位缴纳的社保证明原件扫描件，否则不得分。）</w:t>
            </w:r>
          </w:p>
          <w:p w14:paraId="2A323CB8">
            <w:pPr>
              <w:spacing w:after="0" w:line="360" w:lineRule="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（2）项目负责人获得过</w:t>
            </w:r>
            <w:r>
              <w:rPr>
                <w:rFonts w:hint="eastAsia" w:ascii="仿宋" w:hAnsi="仿宋" w:eastAsia="仿宋" w:cs="仿宋"/>
                <w:bCs/>
                <w:iCs/>
                <w:color w:val="auto"/>
                <w:sz w:val="24"/>
                <w:szCs w:val="24"/>
                <w:highlight w:val="none"/>
                <w:lang w:val="en-US" w:eastAsia="zh-CN"/>
              </w:rPr>
              <w:t>地理信息类</w:t>
            </w:r>
            <w:r>
              <w:rPr>
                <w:rFonts w:hint="eastAsia" w:ascii="仿宋" w:hAnsi="仿宋" w:eastAsia="仿宋" w:cs="仿宋"/>
                <w:bCs/>
                <w:iCs/>
                <w:color w:val="auto"/>
                <w:sz w:val="24"/>
                <w:szCs w:val="24"/>
                <w:highlight w:val="none"/>
              </w:rPr>
              <w:t>国家级奖项的得</w:t>
            </w: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分，获得过省级奖项的得1分。最高得</w:t>
            </w: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w:t>
            </w:r>
          </w:p>
          <w:p w14:paraId="430F32CE">
            <w:pPr>
              <w:spacing w:after="0" w:line="360" w:lineRule="auto"/>
              <w:rPr>
                <w:rFonts w:hint="default"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（3）项目负责人承担过省级及以上土地类相关课题研究的，每有1个得1分，最高得</w:t>
            </w: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w:t>
            </w:r>
            <w:r>
              <w:rPr>
                <w:rFonts w:hint="eastAsia" w:ascii="仿宋" w:hAnsi="仿宋" w:eastAsia="仿宋" w:cs="仿宋"/>
                <w:bCs/>
                <w:iCs/>
                <w:color w:val="auto"/>
                <w:sz w:val="24"/>
                <w:szCs w:val="24"/>
                <w:highlight w:val="none"/>
                <w:lang w:eastAsia="zh-CN"/>
              </w:rPr>
              <w:t>。</w:t>
            </w:r>
          </w:p>
          <w:p w14:paraId="5D9595D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val="0"/>
                <w:iCs/>
                <w:color w:val="auto"/>
                <w:sz w:val="24"/>
                <w:szCs w:val="24"/>
              </w:rPr>
              <w:t>（须提供以上所有证书或证明材料扫描件加盖公章，并提供项目负责人开标前三个月在本单位缴纳的社保证明原件扫描件加盖公章。）</w:t>
            </w:r>
          </w:p>
        </w:tc>
        <w:tc>
          <w:tcPr>
            <w:tcW w:w="1018" w:type="dxa"/>
            <w:vAlign w:val="center"/>
          </w:tcPr>
          <w:p w14:paraId="769FCFD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79CE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765" w:type="dxa"/>
            <w:vMerge w:val="continue"/>
            <w:vAlign w:val="center"/>
          </w:tcPr>
          <w:p w14:paraId="7760254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p>
        </w:tc>
        <w:tc>
          <w:tcPr>
            <w:tcW w:w="1317" w:type="dxa"/>
            <w:vMerge w:val="continue"/>
            <w:vAlign w:val="center"/>
          </w:tcPr>
          <w:p w14:paraId="0AA32CC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p>
        </w:tc>
        <w:tc>
          <w:tcPr>
            <w:tcW w:w="5943" w:type="dxa"/>
            <w:vAlign w:val="center"/>
          </w:tcPr>
          <w:p w14:paraId="4D605A44">
            <w:pPr>
              <w:spacing w:after="0" w:line="360" w:lineRule="auto"/>
              <w:rPr>
                <w:rFonts w:hint="default" w:ascii="仿宋" w:hAnsi="仿宋" w:eastAsia="仿宋" w:cs="仿宋"/>
                <w:bCs/>
                <w:iCs/>
                <w:color w:val="auto"/>
                <w:sz w:val="24"/>
                <w:szCs w:val="24"/>
                <w:lang w:val="en-US"/>
              </w:rPr>
            </w:pPr>
            <w:r>
              <w:rPr>
                <w:rFonts w:hint="eastAsia" w:ascii="仿宋" w:hAnsi="仿宋" w:eastAsia="仿宋" w:cs="仿宋"/>
                <w:bCs/>
                <w:iCs/>
                <w:color w:val="auto"/>
                <w:sz w:val="24"/>
                <w:szCs w:val="24"/>
              </w:rPr>
              <w:t>项目人员配置（不含项目负责人）：拟派项目人员中具有土地管理</w:t>
            </w:r>
            <w:r>
              <w:rPr>
                <w:rFonts w:hint="eastAsia" w:ascii="仿宋" w:hAnsi="仿宋" w:eastAsia="仿宋" w:cs="仿宋"/>
                <w:bCs/>
                <w:iCs/>
                <w:color w:val="auto"/>
                <w:sz w:val="24"/>
                <w:szCs w:val="24"/>
                <w:lang w:eastAsia="zh-CN"/>
              </w:rPr>
              <w:t>、</w:t>
            </w:r>
            <w:r>
              <w:rPr>
                <w:rFonts w:hint="eastAsia" w:ascii="仿宋" w:hAnsi="仿宋" w:eastAsia="仿宋" w:cs="仿宋"/>
                <w:bCs/>
                <w:iCs/>
                <w:color w:val="auto"/>
                <w:sz w:val="24"/>
                <w:szCs w:val="24"/>
              </w:rPr>
              <w:t>土地</w:t>
            </w:r>
            <w:r>
              <w:rPr>
                <w:rFonts w:hint="eastAsia" w:ascii="仿宋" w:hAnsi="仿宋" w:eastAsia="仿宋" w:cs="仿宋"/>
                <w:bCs/>
                <w:iCs/>
                <w:color w:val="auto"/>
                <w:sz w:val="24"/>
                <w:szCs w:val="24"/>
                <w:lang w:val="en-US" w:eastAsia="zh-CN"/>
              </w:rPr>
              <w:t>工程、</w:t>
            </w:r>
            <w:r>
              <w:rPr>
                <w:rFonts w:hint="eastAsia" w:ascii="仿宋" w:hAnsi="仿宋" w:eastAsia="仿宋" w:cs="仿宋"/>
                <w:bCs/>
                <w:iCs/>
                <w:color w:val="auto"/>
                <w:sz w:val="24"/>
                <w:szCs w:val="24"/>
              </w:rPr>
              <w:t>土地</w:t>
            </w:r>
            <w:r>
              <w:rPr>
                <w:rFonts w:hint="eastAsia" w:ascii="仿宋" w:hAnsi="仿宋" w:eastAsia="仿宋" w:cs="仿宋"/>
                <w:bCs/>
                <w:iCs/>
                <w:color w:val="auto"/>
                <w:sz w:val="24"/>
                <w:szCs w:val="24"/>
                <w:lang w:val="en-US" w:eastAsia="zh-CN"/>
              </w:rPr>
              <w:t>规划专业</w:t>
            </w:r>
            <w:r>
              <w:rPr>
                <w:rFonts w:hint="eastAsia" w:ascii="仿宋" w:hAnsi="仿宋" w:eastAsia="仿宋" w:cs="仿宋"/>
                <w:bCs/>
                <w:iCs/>
                <w:color w:val="auto"/>
                <w:sz w:val="24"/>
                <w:szCs w:val="24"/>
              </w:rPr>
              <w:t>中级工程师及以上职称的</w:t>
            </w:r>
            <w:r>
              <w:rPr>
                <w:rFonts w:hint="eastAsia" w:ascii="仿宋" w:hAnsi="仿宋" w:eastAsia="仿宋" w:cs="仿宋"/>
                <w:bCs/>
                <w:iCs/>
                <w:color w:val="auto"/>
                <w:sz w:val="24"/>
                <w:szCs w:val="24"/>
                <w:lang w:eastAsia="zh-CN"/>
              </w:rPr>
              <w:t>，</w:t>
            </w:r>
            <w:r>
              <w:rPr>
                <w:rFonts w:hint="eastAsia" w:ascii="仿宋" w:hAnsi="仿宋" w:eastAsia="仿宋" w:cs="仿宋"/>
                <w:bCs/>
                <w:iCs/>
                <w:color w:val="auto"/>
                <w:sz w:val="24"/>
                <w:szCs w:val="24"/>
                <w:lang w:val="en-US" w:eastAsia="zh-CN"/>
              </w:rPr>
              <w:t>每有一人得1分，最高得2分；同时参加过保密（涉密）培训并获得证书的，得1分，最高得2分。</w:t>
            </w:r>
          </w:p>
          <w:p w14:paraId="193E0FB2">
            <w:pPr>
              <w:widowControl/>
              <w:snapToGrid w:val="0"/>
              <w:spacing w:line="360" w:lineRule="auto"/>
              <w:jc w:val="left"/>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val="0"/>
                <w:iCs/>
                <w:color w:val="auto"/>
                <w:sz w:val="24"/>
                <w:szCs w:val="24"/>
              </w:rPr>
              <w:t>（须提供以上所有证书扫描件加盖公章，并提供开标前三个月在本单位缴纳的社保证明原件扫描件加盖公章。）</w:t>
            </w:r>
          </w:p>
        </w:tc>
        <w:tc>
          <w:tcPr>
            <w:tcW w:w="1018" w:type="dxa"/>
            <w:vAlign w:val="center"/>
          </w:tcPr>
          <w:p w14:paraId="78F368D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4分</w:t>
            </w:r>
          </w:p>
        </w:tc>
      </w:tr>
      <w:tr w14:paraId="4172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65" w:type="dxa"/>
            <w:vAlign w:val="center"/>
          </w:tcPr>
          <w:p w14:paraId="3EF12E4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p>
        </w:tc>
        <w:tc>
          <w:tcPr>
            <w:tcW w:w="1317" w:type="dxa"/>
            <w:vAlign w:val="center"/>
          </w:tcPr>
          <w:p w14:paraId="0123A7D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rPr>
              <w:t>项目的认识与理解</w:t>
            </w:r>
          </w:p>
        </w:tc>
        <w:tc>
          <w:tcPr>
            <w:tcW w:w="5943" w:type="dxa"/>
            <w:vAlign w:val="center"/>
          </w:tcPr>
          <w:p w14:paraId="668ABBB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eastAsia="zh-CN"/>
              </w:rPr>
              <w:t>根据供应商</w:t>
            </w:r>
            <w:r>
              <w:rPr>
                <w:rFonts w:hint="eastAsia" w:ascii="仿宋" w:hAnsi="仿宋" w:eastAsia="仿宋" w:cs="仿宋"/>
                <w:color w:val="auto"/>
                <w:sz w:val="24"/>
                <w:szCs w:val="24"/>
              </w:rPr>
              <w:t>对本项目招标需求、工作任务的理解是否全面和准确</w:t>
            </w:r>
            <w:r>
              <w:rPr>
                <w:rFonts w:hint="eastAsia" w:ascii="仿宋" w:hAnsi="仿宋" w:eastAsia="仿宋" w:cs="仿宋"/>
                <w:color w:val="auto"/>
                <w:sz w:val="24"/>
                <w:szCs w:val="24"/>
                <w:lang w:eastAsia="zh-CN"/>
              </w:rPr>
              <w:t>进行评分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6，5,4,3,2,1,0）</w:t>
            </w:r>
          </w:p>
        </w:tc>
        <w:tc>
          <w:tcPr>
            <w:tcW w:w="1018" w:type="dxa"/>
            <w:vAlign w:val="center"/>
          </w:tcPr>
          <w:p w14:paraId="52E71E0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35AF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65" w:type="dxa"/>
            <w:vMerge w:val="restart"/>
            <w:vAlign w:val="center"/>
          </w:tcPr>
          <w:p w14:paraId="252F1DE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p>
        </w:tc>
        <w:tc>
          <w:tcPr>
            <w:tcW w:w="1317" w:type="dxa"/>
            <w:vMerge w:val="restart"/>
            <w:vAlign w:val="center"/>
          </w:tcPr>
          <w:p w14:paraId="4EEE698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lang w:val="zh-CN"/>
              </w:rPr>
              <w:t>技术方案</w:t>
            </w:r>
          </w:p>
        </w:tc>
        <w:tc>
          <w:tcPr>
            <w:tcW w:w="5943" w:type="dxa"/>
            <w:vAlign w:val="center"/>
          </w:tcPr>
          <w:p w14:paraId="7C1617C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lang w:val="zh-CN"/>
              </w:rPr>
              <w:t>对项目区的基本情况剖析：</w:t>
            </w:r>
            <w:r>
              <w:rPr>
                <w:rFonts w:hint="eastAsia" w:ascii="仿宋" w:hAnsi="仿宋" w:eastAsia="仿宋" w:cs="仿宋"/>
                <w:color w:val="auto"/>
                <w:sz w:val="24"/>
                <w:szCs w:val="24"/>
                <w:lang w:eastAsia="zh-CN"/>
              </w:rPr>
              <w:t>根据供应商</w:t>
            </w:r>
            <w:r>
              <w:rPr>
                <w:rFonts w:hint="eastAsia" w:ascii="仿宋" w:hAnsi="仿宋" w:eastAsia="仿宋" w:cs="仿宋"/>
                <w:color w:val="auto"/>
                <w:sz w:val="24"/>
                <w:szCs w:val="24"/>
                <w:lang w:val="zh-CN"/>
              </w:rPr>
              <w:t>针对项目区（</w:t>
            </w:r>
            <w:r>
              <w:rPr>
                <w:rFonts w:hint="eastAsia" w:ascii="仿宋" w:hAnsi="仿宋" w:eastAsia="仿宋" w:cs="仿宋"/>
                <w:color w:val="auto"/>
                <w:sz w:val="24"/>
                <w:szCs w:val="24"/>
                <w:lang w:val="en-US" w:eastAsia="zh-CN"/>
              </w:rPr>
              <w:t>长乐镇)</w:t>
            </w:r>
            <w:r>
              <w:rPr>
                <w:rFonts w:hint="eastAsia" w:ascii="仿宋" w:hAnsi="仿宋" w:eastAsia="仿宋" w:cs="仿宋"/>
                <w:color w:val="auto"/>
                <w:sz w:val="24"/>
                <w:szCs w:val="24"/>
                <w:lang w:val="zh-CN"/>
              </w:rPr>
              <w:t>的土地利用现状情况、已完成整治工程情况认识是否深刻透彻进行评分。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6，5,4,3,2,1,0）</w:t>
            </w:r>
          </w:p>
        </w:tc>
        <w:tc>
          <w:tcPr>
            <w:tcW w:w="1018" w:type="dxa"/>
            <w:vAlign w:val="center"/>
          </w:tcPr>
          <w:p w14:paraId="7F869C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4DBE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65" w:type="dxa"/>
            <w:vMerge w:val="continue"/>
            <w:vAlign w:val="center"/>
          </w:tcPr>
          <w:p w14:paraId="40C8F2C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p>
        </w:tc>
        <w:tc>
          <w:tcPr>
            <w:tcW w:w="1317" w:type="dxa"/>
            <w:vMerge w:val="continue"/>
            <w:vAlign w:val="center"/>
          </w:tcPr>
          <w:p w14:paraId="25D4C28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lang w:val="zh-CN"/>
              </w:rPr>
            </w:pPr>
          </w:p>
        </w:tc>
        <w:tc>
          <w:tcPr>
            <w:tcW w:w="5943" w:type="dxa"/>
            <w:vAlign w:val="center"/>
          </w:tcPr>
          <w:p w14:paraId="6C08AF9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根据供应商对该项目提出的工作技术路线的合理性和科学性等进行评分。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6，5,4,3,2,1,0）</w:t>
            </w:r>
          </w:p>
        </w:tc>
        <w:tc>
          <w:tcPr>
            <w:tcW w:w="1018" w:type="dxa"/>
            <w:vAlign w:val="center"/>
          </w:tcPr>
          <w:p w14:paraId="1C17FC8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4025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65" w:type="dxa"/>
            <w:vMerge w:val="continue"/>
            <w:vAlign w:val="center"/>
          </w:tcPr>
          <w:p w14:paraId="7248D6B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p>
        </w:tc>
        <w:tc>
          <w:tcPr>
            <w:tcW w:w="1317" w:type="dxa"/>
            <w:vMerge w:val="continue"/>
            <w:vAlign w:val="center"/>
          </w:tcPr>
          <w:p w14:paraId="0F23B80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p>
        </w:tc>
        <w:tc>
          <w:tcPr>
            <w:tcW w:w="5943" w:type="dxa"/>
            <w:vAlign w:val="center"/>
          </w:tcPr>
          <w:p w14:paraId="3B49651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lang w:val="zh-CN"/>
              </w:rPr>
              <w:t>根据供应商设置具体工作步骤的合理性和科学性等进行评分。（</w:t>
            </w:r>
            <w:r>
              <w:rPr>
                <w:rFonts w:hint="eastAsia" w:ascii="仿宋" w:hAnsi="仿宋" w:eastAsia="仿宋" w:cs="仿宋"/>
                <w:color w:val="auto"/>
                <w:sz w:val="24"/>
                <w:szCs w:val="24"/>
                <w:lang w:val="en-US" w:eastAsia="zh-CN"/>
              </w:rPr>
              <w:t>6，5,4,3,2,1,0）</w:t>
            </w:r>
          </w:p>
        </w:tc>
        <w:tc>
          <w:tcPr>
            <w:tcW w:w="1018" w:type="dxa"/>
            <w:vAlign w:val="center"/>
          </w:tcPr>
          <w:p w14:paraId="7969708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324D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65" w:type="dxa"/>
            <w:vMerge w:val="continue"/>
            <w:vAlign w:val="center"/>
          </w:tcPr>
          <w:p w14:paraId="5E4DED4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p>
        </w:tc>
        <w:tc>
          <w:tcPr>
            <w:tcW w:w="1317" w:type="dxa"/>
            <w:vMerge w:val="continue"/>
            <w:vAlign w:val="center"/>
          </w:tcPr>
          <w:p w14:paraId="5EBC880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p>
        </w:tc>
        <w:tc>
          <w:tcPr>
            <w:tcW w:w="5943" w:type="dxa"/>
            <w:vAlign w:val="center"/>
          </w:tcPr>
          <w:p w14:paraId="67C4171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lang w:val="zh-CN"/>
              </w:rPr>
              <w:t>根据供应商对该项目的工作重点、难点的分析，以及针对重点、难点提出的应对措施等情况进行综合评分。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6，5,4,3,2,1,0）</w:t>
            </w:r>
          </w:p>
        </w:tc>
        <w:tc>
          <w:tcPr>
            <w:tcW w:w="1018" w:type="dxa"/>
            <w:vAlign w:val="center"/>
          </w:tcPr>
          <w:p w14:paraId="74BACFD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41B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restart"/>
            <w:vAlign w:val="center"/>
          </w:tcPr>
          <w:p w14:paraId="5AE4BC0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w:t>
            </w:r>
          </w:p>
        </w:tc>
        <w:tc>
          <w:tcPr>
            <w:tcW w:w="1317" w:type="dxa"/>
            <w:vMerge w:val="restart"/>
            <w:vAlign w:val="center"/>
          </w:tcPr>
          <w:p w14:paraId="147B914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组织措施和实施计划</w:t>
            </w:r>
          </w:p>
        </w:tc>
        <w:tc>
          <w:tcPr>
            <w:tcW w:w="5943" w:type="dxa"/>
            <w:vAlign w:val="center"/>
          </w:tcPr>
          <w:p w14:paraId="631550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根据供应商对完成本项目工作内容制定的组织措施的完善性、合理性和可操作性等情况</w:t>
            </w:r>
            <w:r>
              <w:rPr>
                <w:rFonts w:hint="eastAsia" w:ascii="仿宋" w:hAnsi="仿宋" w:eastAsia="仿宋" w:cs="仿宋"/>
                <w:color w:val="auto"/>
                <w:sz w:val="24"/>
                <w:szCs w:val="24"/>
                <w:lang w:eastAsia="zh-CN"/>
              </w:rPr>
              <w:t>进行评</w:t>
            </w:r>
            <w:r>
              <w:rPr>
                <w:rFonts w:hint="eastAsia" w:ascii="仿宋" w:hAnsi="仿宋" w:eastAsia="仿宋" w:cs="仿宋"/>
                <w:color w:val="auto"/>
                <w:sz w:val="24"/>
                <w:szCs w:val="24"/>
              </w:rPr>
              <w:t>分</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5,4,3,2,1,0）</w:t>
            </w:r>
          </w:p>
        </w:tc>
        <w:tc>
          <w:tcPr>
            <w:tcW w:w="1018" w:type="dxa"/>
            <w:vAlign w:val="center"/>
          </w:tcPr>
          <w:p w14:paraId="0EDD7A9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5分</w:t>
            </w:r>
          </w:p>
        </w:tc>
      </w:tr>
      <w:tr w14:paraId="00E2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continue"/>
            <w:vAlign w:val="center"/>
          </w:tcPr>
          <w:p w14:paraId="6D0D8DE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p>
        </w:tc>
        <w:tc>
          <w:tcPr>
            <w:tcW w:w="1317" w:type="dxa"/>
            <w:vMerge w:val="continue"/>
            <w:vAlign w:val="center"/>
          </w:tcPr>
          <w:p w14:paraId="3951BC3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rPr>
            </w:pPr>
          </w:p>
        </w:tc>
        <w:tc>
          <w:tcPr>
            <w:tcW w:w="5943" w:type="dxa"/>
            <w:vAlign w:val="center"/>
          </w:tcPr>
          <w:p w14:paraId="593D9A6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根据供应商拟定的实施计划的完善性、合理性和可操作性等情况</w:t>
            </w:r>
            <w:r>
              <w:rPr>
                <w:rFonts w:hint="eastAsia" w:ascii="仿宋" w:hAnsi="仿宋" w:eastAsia="仿宋" w:cs="仿宋"/>
                <w:color w:val="auto"/>
                <w:sz w:val="24"/>
                <w:szCs w:val="24"/>
                <w:lang w:eastAsia="zh-CN"/>
              </w:rPr>
              <w:t>进行评</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5,4,3,2,1,0）</w:t>
            </w:r>
          </w:p>
        </w:tc>
        <w:tc>
          <w:tcPr>
            <w:tcW w:w="1018" w:type="dxa"/>
            <w:vAlign w:val="center"/>
          </w:tcPr>
          <w:p w14:paraId="13BB926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5分</w:t>
            </w:r>
          </w:p>
        </w:tc>
      </w:tr>
      <w:tr w14:paraId="4969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53FB2C0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7</w:t>
            </w:r>
          </w:p>
        </w:tc>
        <w:tc>
          <w:tcPr>
            <w:tcW w:w="1317" w:type="dxa"/>
            <w:vAlign w:val="center"/>
          </w:tcPr>
          <w:p w14:paraId="2C943D4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rPr>
              <w:t>保证质量措施</w:t>
            </w:r>
          </w:p>
        </w:tc>
        <w:tc>
          <w:tcPr>
            <w:tcW w:w="5943" w:type="dxa"/>
            <w:vAlign w:val="center"/>
          </w:tcPr>
          <w:p w14:paraId="6679B11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制定和提出的项目质量目标、管理组织构架、监督体系、质量保证措施和保密措施的完善性、合理性和可操作性进行</w:t>
            </w:r>
            <w:r>
              <w:rPr>
                <w:rFonts w:hint="eastAsia" w:ascii="仿宋" w:hAnsi="仿宋" w:eastAsia="仿宋" w:cs="仿宋"/>
                <w:color w:val="auto"/>
                <w:sz w:val="24"/>
                <w:szCs w:val="24"/>
                <w:lang w:eastAsia="zh-CN"/>
              </w:rPr>
              <w:t>评分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（6，5,4,3,2,1,0）</w:t>
            </w:r>
          </w:p>
        </w:tc>
        <w:tc>
          <w:tcPr>
            <w:tcW w:w="1018" w:type="dxa"/>
            <w:vAlign w:val="center"/>
          </w:tcPr>
          <w:p w14:paraId="73D5085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4D19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B822D5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w:t>
            </w:r>
          </w:p>
        </w:tc>
        <w:tc>
          <w:tcPr>
            <w:tcW w:w="1317" w:type="dxa"/>
            <w:vAlign w:val="center"/>
          </w:tcPr>
          <w:p w14:paraId="5BCD281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服务保障</w:t>
            </w:r>
          </w:p>
        </w:tc>
        <w:tc>
          <w:tcPr>
            <w:tcW w:w="5943" w:type="dxa"/>
            <w:vAlign w:val="center"/>
          </w:tcPr>
          <w:p w14:paraId="0C2B4EA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制定的服务保障体系是否健全，应对措施是否科学进行</w:t>
            </w:r>
            <w:r>
              <w:rPr>
                <w:rFonts w:hint="eastAsia" w:ascii="仿宋" w:hAnsi="仿宋" w:eastAsia="仿宋" w:cs="仿宋"/>
                <w:color w:val="auto"/>
                <w:sz w:val="24"/>
                <w:szCs w:val="24"/>
                <w:lang w:eastAsia="zh-CN"/>
              </w:rPr>
              <w:t>综合评分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（6，5,4,3,2,1,0）</w:t>
            </w:r>
          </w:p>
        </w:tc>
        <w:tc>
          <w:tcPr>
            <w:tcW w:w="1018" w:type="dxa"/>
            <w:vAlign w:val="center"/>
          </w:tcPr>
          <w:p w14:paraId="6BF69D8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4E00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6BE4C6F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9</w:t>
            </w:r>
          </w:p>
        </w:tc>
        <w:tc>
          <w:tcPr>
            <w:tcW w:w="1317" w:type="dxa"/>
            <w:vAlign w:val="center"/>
          </w:tcPr>
          <w:p w14:paraId="3BD2B76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安全与保密措施</w:t>
            </w:r>
          </w:p>
        </w:tc>
        <w:tc>
          <w:tcPr>
            <w:tcW w:w="5943" w:type="dxa"/>
            <w:vAlign w:val="center"/>
          </w:tcPr>
          <w:p w14:paraId="75F8B58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提供的安全与保密措施的可行性、完整性，包括数据保密管理措施等情况</w:t>
            </w:r>
            <w:r>
              <w:rPr>
                <w:rFonts w:hint="eastAsia" w:ascii="仿宋" w:hAnsi="仿宋" w:eastAsia="仿宋" w:cs="仿宋"/>
                <w:color w:val="auto"/>
                <w:sz w:val="24"/>
                <w:szCs w:val="24"/>
                <w:lang w:eastAsia="zh-CN"/>
              </w:rPr>
              <w:t>进行评</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6，5,4,3,2,1,0）</w:t>
            </w:r>
          </w:p>
        </w:tc>
        <w:tc>
          <w:tcPr>
            <w:tcW w:w="1018" w:type="dxa"/>
            <w:vAlign w:val="center"/>
          </w:tcPr>
          <w:p w14:paraId="3A32B08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6分</w:t>
            </w:r>
          </w:p>
        </w:tc>
      </w:tr>
      <w:tr w14:paraId="09B6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3B0440D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10</w:t>
            </w:r>
          </w:p>
        </w:tc>
        <w:tc>
          <w:tcPr>
            <w:tcW w:w="1317" w:type="dxa"/>
            <w:vAlign w:val="center"/>
          </w:tcPr>
          <w:p w14:paraId="1DF7DC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tc>
        <w:tc>
          <w:tcPr>
            <w:tcW w:w="5943" w:type="dxa"/>
            <w:vAlign w:val="center"/>
          </w:tcPr>
          <w:p w14:paraId="458F62E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提供的售后服务方案可行性、完整性，包括技术服务培训和维护及其他实质性优惠承诺进行</w:t>
            </w:r>
            <w:r>
              <w:rPr>
                <w:rFonts w:hint="eastAsia" w:ascii="仿宋" w:hAnsi="仿宋" w:eastAsia="仿宋" w:cs="仿宋"/>
                <w:color w:val="auto"/>
                <w:sz w:val="24"/>
                <w:szCs w:val="24"/>
                <w:lang w:eastAsia="zh-CN"/>
              </w:rPr>
              <w:t>综合评分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5,4,3,2,1,0）</w:t>
            </w:r>
          </w:p>
        </w:tc>
        <w:tc>
          <w:tcPr>
            <w:tcW w:w="1018" w:type="dxa"/>
            <w:vAlign w:val="center"/>
          </w:tcPr>
          <w:p w14:paraId="128294A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5分</w:t>
            </w:r>
          </w:p>
        </w:tc>
      </w:tr>
    </w:tbl>
    <w:p w14:paraId="6E3D45ED">
      <w:pPr>
        <w:spacing w:line="336" w:lineRule="auto"/>
        <w:rPr>
          <w:rFonts w:hint="eastAsia" w:ascii="仿宋" w:hAnsi="仿宋" w:eastAsia="仿宋" w:cs="仿宋"/>
          <w:b/>
          <w:bCs/>
          <w:iCs/>
          <w:color w:val="auto"/>
          <w:sz w:val="24"/>
          <w:highlight w:val="none"/>
          <w:lang w:eastAsia="zh-CN"/>
        </w:rPr>
      </w:pPr>
    </w:p>
    <w:p w14:paraId="5F4FA6FD">
      <w:pPr>
        <w:spacing w:line="336" w:lineRule="auto"/>
        <w:ind w:firstLine="241" w:firstLineChars="1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lang w:eastAsia="zh-CN"/>
        </w:rPr>
        <w:t>（二）</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u w:val="single"/>
          <w:lang w:val="en-US" w:eastAsia="zh-CN"/>
        </w:rPr>
        <w:t xml:space="preserve"> 20 </w:t>
      </w:r>
      <w:r>
        <w:rPr>
          <w:rFonts w:hint="eastAsia" w:ascii="仿宋" w:hAnsi="仿宋" w:eastAsia="仿宋" w:cs="仿宋"/>
          <w:b/>
          <w:bCs/>
          <w:iCs/>
          <w:color w:val="auto"/>
          <w:sz w:val="24"/>
          <w:highlight w:val="none"/>
        </w:rPr>
        <w:t>分）</w:t>
      </w:r>
    </w:p>
    <w:p w14:paraId="46EF999B">
      <w:pPr>
        <w:spacing w:line="42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2.1磋商基准价：即满足磋商文件要求且最后磋商报价最低为磋商基准价，其价格分为满分。</w:t>
      </w:r>
    </w:p>
    <w:p w14:paraId="4FD57DBB">
      <w:pPr>
        <w:spacing w:line="420" w:lineRule="atLeas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2.2其他供应商的价格分统一按照下列公式计算：</w:t>
      </w:r>
    </w:p>
    <w:p w14:paraId="0E5504C2">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磋商报价得分=(磋商基准价/最终磋商报价)×</w:t>
      </w:r>
      <w:r>
        <w:rPr>
          <w:rFonts w:hint="eastAsia" w:ascii="仿宋" w:hAnsi="仿宋" w:eastAsia="仿宋" w:cs="仿宋"/>
          <w:sz w:val="24"/>
          <w:szCs w:val="24"/>
          <w:lang w:val="en-US" w:eastAsia="zh-CN"/>
        </w:rPr>
        <w:t>2</w:t>
      </w:r>
      <w:r>
        <w:rPr>
          <w:rFonts w:hint="eastAsia" w:ascii="仿宋" w:hAnsi="仿宋" w:eastAsia="仿宋" w:cs="仿宋"/>
          <w:sz w:val="24"/>
          <w:szCs w:val="24"/>
        </w:rPr>
        <w:t>0%×100</w:t>
      </w:r>
    </w:p>
    <w:p w14:paraId="6563A642">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评标委员会或者竞争性磋商小组认为供应商报价明显低于其他通过符合性审查供应商的报价，有可能影响产品质量或者不能诚信履约的，应当要求其在评审现场合理时间内提供书面说明，必要时提供相关证明材料；供应商不能证明其报价合理性的，评标委员会或竞争性磋商小组应当将其作为无效投标或者无效响应处理。</w:t>
      </w:r>
    </w:p>
    <w:p w14:paraId="785A29A6">
      <w:pPr>
        <w:spacing w:line="336"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3D2C9568">
      <w:pPr>
        <w:spacing w:line="336" w:lineRule="auto"/>
        <w:rPr>
          <w:rFonts w:ascii="仿宋" w:hAnsi="仿宋" w:eastAsia="仿宋" w:cs="仿宋"/>
          <w:color w:val="auto"/>
          <w:sz w:val="24"/>
        </w:rPr>
      </w:pPr>
      <w:bookmarkStart w:id="66" w:name="第五部分"/>
      <w:bookmarkStart w:id="67" w:name="_Toc86217003"/>
    </w:p>
    <w:p w14:paraId="352E7C45">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71FCC8A0">
      <w:pPr>
        <w:pStyle w:val="73"/>
        <w:rPr>
          <w:rFonts w:hint="eastAsia" w:ascii="仿宋" w:hAnsi="仿宋" w:eastAsia="仿宋" w:cs="仿宋"/>
          <w:color w:val="auto"/>
          <w:sz w:val="24"/>
          <w:u w:val="single"/>
        </w:rPr>
      </w:pPr>
    </w:p>
    <w:p w14:paraId="56BDC363">
      <w:pPr>
        <w:pStyle w:val="74"/>
        <w:rPr>
          <w:rFonts w:hint="eastAsia"/>
        </w:rPr>
      </w:pPr>
    </w:p>
    <w:p w14:paraId="6C7F0DAE">
      <w:pPr>
        <w:spacing w:line="336" w:lineRule="auto"/>
        <w:rPr>
          <w:rFonts w:ascii="仿宋" w:hAnsi="仿宋" w:eastAsia="仿宋" w:cs="仿宋"/>
          <w:color w:val="auto"/>
          <w:sz w:val="24"/>
          <w:u w:val="single"/>
        </w:rPr>
      </w:pPr>
    </w:p>
    <w:p w14:paraId="6A19DE0B">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采购合同参考范本</w:t>
      </w:r>
    </w:p>
    <w:p w14:paraId="7254DC7E">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2CD0320B">
      <w:pPr>
        <w:pStyle w:val="285"/>
        <w:spacing w:after="0" w:line="336" w:lineRule="auto"/>
        <w:ind w:left="0" w:leftChars="0"/>
        <w:rPr>
          <w:rFonts w:ascii="仿宋" w:hAnsi="仿宋" w:eastAsia="仿宋" w:cs="仿宋"/>
          <w:color w:val="auto"/>
          <w:szCs w:val="24"/>
        </w:rPr>
      </w:pPr>
    </w:p>
    <w:p w14:paraId="18334A03">
      <w:pPr>
        <w:pStyle w:val="285"/>
        <w:ind w:firstLine="2843" w:firstLineChars="1180"/>
        <w:rPr>
          <w:rFonts w:ascii="仿宋_GB2312" w:hAnsi="仿宋" w:eastAsia="仿宋_GB2312"/>
          <w:b/>
          <w:color w:val="auto"/>
          <w:szCs w:val="24"/>
        </w:rPr>
      </w:pPr>
      <w:r>
        <w:rPr>
          <w:rFonts w:hint="eastAsia" w:ascii="仿宋_GB2312" w:hAnsi="仿宋" w:eastAsia="仿宋_GB2312"/>
          <w:b/>
          <w:color w:val="auto"/>
          <w:szCs w:val="24"/>
        </w:rPr>
        <w:t>第一部分   合同书</w:t>
      </w:r>
    </w:p>
    <w:p w14:paraId="074B6F5F">
      <w:pPr>
        <w:pStyle w:val="16"/>
        <w:rPr>
          <w:rFonts w:ascii="仿宋" w:hAnsi="仿宋" w:eastAsia="仿宋" w:cs="仿宋"/>
          <w:color w:val="auto"/>
          <w:szCs w:val="24"/>
        </w:rPr>
      </w:pPr>
    </w:p>
    <w:p w14:paraId="7DF2789A">
      <w:pPr>
        <w:pStyle w:val="16"/>
        <w:rPr>
          <w:rFonts w:ascii="仿宋" w:hAnsi="仿宋" w:eastAsia="仿宋" w:cs="仿宋"/>
          <w:color w:val="auto"/>
          <w:szCs w:val="24"/>
        </w:rPr>
      </w:pPr>
    </w:p>
    <w:p w14:paraId="5B41067F">
      <w:pPr>
        <w:pStyle w:val="16"/>
        <w:ind w:left="0" w:leftChars="0" w:firstLine="0" w:firstLineChars="0"/>
        <w:rPr>
          <w:rFonts w:ascii="仿宋" w:hAnsi="仿宋" w:eastAsia="仿宋" w:cs="仿宋"/>
          <w:color w:val="auto"/>
          <w:szCs w:val="24"/>
        </w:rPr>
      </w:pPr>
    </w:p>
    <w:p w14:paraId="7ED2DD4B">
      <w:pPr>
        <w:spacing w:line="336" w:lineRule="auto"/>
        <w:rPr>
          <w:rFonts w:ascii="仿宋" w:hAnsi="仿宋" w:eastAsia="仿宋" w:cs="仿宋"/>
          <w:color w:val="auto"/>
          <w:sz w:val="24"/>
        </w:rPr>
      </w:pPr>
    </w:p>
    <w:p w14:paraId="4BA9E820">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35141BF">
      <w:pPr>
        <w:pStyle w:val="620"/>
        <w:spacing w:line="336" w:lineRule="auto"/>
        <w:rPr>
          <w:rFonts w:ascii="仿宋" w:hAnsi="仿宋" w:eastAsia="仿宋" w:cs="仿宋"/>
          <w:color w:val="auto"/>
          <w:szCs w:val="24"/>
        </w:rPr>
      </w:pPr>
    </w:p>
    <w:p w14:paraId="52D7BDFD">
      <w:pPr>
        <w:spacing w:line="336" w:lineRule="auto"/>
        <w:rPr>
          <w:rFonts w:ascii="仿宋" w:hAnsi="仿宋" w:eastAsia="仿宋" w:cs="仿宋"/>
          <w:color w:val="auto"/>
          <w:sz w:val="24"/>
        </w:rPr>
      </w:pPr>
    </w:p>
    <w:p w14:paraId="29081B2C">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5A0B6B38">
      <w:pPr>
        <w:spacing w:line="336" w:lineRule="auto"/>
        <w:rPr>
          <w:rFonts w:ascii="仿宋" w:hAnsi="仿宋" w:eastAsia="仿宋" w:cs="仿宋"/>
          <w:color w:val="auto"/>
          <w:sz w:val="24"/>
        </w:rPr>
      </w:pPr>
    </w:p>
    <w:p w14:paraId="03D4AFDD">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1D0D3EA0">
      <w:pPr>
        <w:spacing w:line="336" w:lineRule="auto"/>
        <w:rPr>
          <w:rFonts w:ascii="仿宋" w:hAnsi="仿宋" w:eastAsia="仿宋" w:cs="仿宋"/>
          <w:color w:val="auto"/>
          <w:sz w:val="24"/>
        </w:rPr>
      </w:pPr>
    </w:p>
    <w:p w14:paraId="2F61E100">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7DEB681B">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4D72334D">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E22C5F5">
      <w:pPr>
        <w:widowControl/>
        <w:adjustRightInd/>
        <w:spacing w:line="336" w:lineRule="auto"/>
        <w:jc w:val="left"/>
        <w:rPr>
          <w:rFonts w:ascii="仿宋" w:hAnsi="仿宋" w:eastAsia="仿宋" w:cs="仿宋"/>
          <w:b/>
          <w:color w:val="auto"/>
          <w:sz w:val="24"/>
        </w:rPr>
      </w:pPr>
      <w:r>
        <w:rPr>
          <w:rFonts w:hint="eastAsia" w:ascii="仿宋" w:hAnsi="仿宋" w:eastAsia="仿宋" w:cs="仿宋"/>
          <w:b/>
          <w:color w:val="auto"/>
          <w:sz w:val="24"/>
        </w:rPr>
        <w:br w:type="page"/>
      </w:r>
    </w:p>
    <w:p w14:paraId="7D783776">
      <w:pPr>
        <w:spacing w:line="360" w:lineRule="auto"/>
        <w:ind w:left="1199" w:leftChars="228" w:hanging="720" w:hangingChars="300"/>
        <w:rPr>
          <w:rFonts w:hint="eastAsia" w:ascii="仿宋" w:hAnsi="仿宋" w:eastAsia="仿宋" w:cs="仿宋"/>
          <w:kern w:val="0"/>
          <w:sz w:val="24"/>
          <w:highlight w:val="none"/>
          <w:lang w:eastAsia="zh-CN"/>
        </w:rPr>
      </w:pPr>
      <w:bookmarkStart w:id="68" w:name="_Toc28855"/>
      <w:bookmarkStart w:id="69" w:name="_Toc19273"/>
      <w:bookmarkStart w:id="70" w:name="_Toc15367"/>
      <w:bookmarkStart w:id="71" w:name="_Toc22967"/>
      <w:bookmarkStart w:id="72" w:name="_Toc20421"/>
      <w:r>
        <w:rPr>
          <w:rFonts w:hint="eastAsia" w:ascii="仿宋" w:hAnsi="仿宋" w:eastAsia="仿宋" w:cs="仿宋"/>
          <w:kern w:val="0"/>
          <w:sz w:val="24"/>
          <w:highlight w:val="none"/>
        </w:rPr>
        <w:t>甲方（采购方）：</w:t>
      </w:r>
    </w:p>
    <w:p w14:paraId="7A651D1C">
      <w:pPr>
        <w:spacing w:line="360" w:lineRule="auto"/>
        <w:ind w:left="1199" w:leftChars="228" w:hanging="720" w:hangingChars="300"/>
        <w:rPr>
          <w:rFonts w:hint="eastAsia" w:ascii="仿宋" w:hAnsi="仿宋" w:eastAsia="仿宋" w:cs="仿宋"/>
          <w:kern w:val="0"/>
          <w:sz w:val="24"/>
          <w:highlight w:val="none"/>
        </w:rPr>
      </w:pPr>
      <w:r>
        <w:rPr>
          <w:rFonts w:hint="eastAsia" w:ascii="仿宋" w:hAnsi="仿宋" w:eastAsia="仿宋" w:cs="仿宋"/>
          <w:kern w:val="0"/>
          <w:sz w:val="24"/>
          <w:highlight w:val="none"/>
        </w:rPr>
        <w:t>乙方（中标方）：</w:t>
      </w:r>
    </w:p>
    <w:p w14:paraId="04E4422D">
      <w:pPr>
        <w:tabs>
          <w:tab w:val="left" w:pos="34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根据《中华人民共和国民法典》规定，本合同当事人在平等、自愿的基础上，经协商一致，同意按下述条款和条件签署本合同：</w:t>
      </w:r>
    </w:p>
    <w:p w14:paraId="4F09C9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一、合同组成部分</w:t>
      </w:r>
      <w:bookmarkEnd w:id="68"/>
      <w:bookmarkEnd w:id="69"/>
      <w:bookmarkEnd w:id="70"/>
      <w:bookmarkEnd w:id="71"/>
      <w:bookmarkEnd w:id="72"/>
    </w:p>
    <w:p w14:paraId="2E4A15DC">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本合同所附下列文件是构成本合同不可分割的部分：</w:t>
      </w:r>
    </w:p>
    <w:p w14:paraId="5CCB0204">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1.</w:t>
      </w:r>
      <w:r>
        <w:rPr>
          <w:rFonts w:hint="eastAsia" w:ascii="仿宋" w:hAnsi="仿宋" w:eastAsia="仿宋" w:cs="仿宋"/>
          <w:highlight w:val="none"/>
          <w:lang w:eastAsia="zh-CN"/>
        </w:rPr>
        <w:t>嵊州市石璜镇2024年4个“百亩方”（寺新村、雅宅村、范油车村、白竹村、溪西村）永久基本农田连片整治工程项目方案编制服务项目</w:t>
      </w:r>
      <w:r>
        <w:rPr>
          <w:rFonts w:hint="eastAsia" w:ascii="仿宋" w:hAnsi="仿宋" w:eastAsia="仿宋" w:cs="仿宋"/>
          <w:highlight w:val="none"/>
          <w:lang w:bidi="ar"/>
        </w:rPr>
        <w:t>文件以及相关的澄清、补充文件等；</w:t>
      </w:r>
    </w:p>
    <w:p w14:paraId="50523C16">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2.乙方的响应文件及澄清、补充说明文件等；</w:t>
      </w:r>
    </w:p>
    <w:p w14:paraId="7245F540">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3.履约保证金；</w:t>
      </w:r>
    </w:p>
    <w:p w14:paraId="53775342">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4.中标通知书；</w:t>
      </w:r>
    </w:p>
    <w:p w14:paraId="593ACB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bidi="ar"/>
        </w:rPr>
        <w:t>5.合同。</w:t>
      </w:r>
    </w:p>
    <w:p w14:paraId="2050735B">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服务内容</w:t>
      </w:r>
      <w:bookmarkEnd w:id="66"/>
      <w:bookmarkEnd w:id="67"/>
    </w:p>
    <w:p w14:paraId="221FCE86">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本次涉及嵊州市石璜镇2024年4个百亩方永久基本农田连片整治工程项目，服务内容如下：</w:t>
      </w:r>
    </w:p>
    <w:p w14:paraId="0B40729E">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（1）按照嵊州市自然资源主管部门要求，协助乡镇开展2024年度永久基本农田集中连片整治项目选址分析和政策咨询；</w:t>
      </w:r>
    </w:p>
    <w:p w14:paraId="02EF1C11">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（2）按照上级文件要求，做好拟建项目的立项和验收工作，包含：</w:t>
      </w:r>
    </w:p>
    <w:p w14:paraId="2F55EE76">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完成现状调查和测量：完成项目范围内整治后连片耕地的范围确定以及现状勘测图；</w:t>
      </w:r>
    </w:p>
    <w:p w14:paraId="0B61FDC6">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完成方案编制和上报：完成百、千、万亩方永久基本农田连片整治方案编制并通过上级论证；完成立项所需材料的制作、整理、上报和备案；完成项目的上报和立项；</w:t>
      </w:r>
    </w:p>
    <w:p w14:paraId="5101D907">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完成项目验收和备案：完成百、千、万亩方永久基本农田连片整治验收材料的制作、整理、上报和备案，包括项目调整和核减等相关工作；</w:t>
      </w:r>
    </w:p>
    <w:p w14:paraId="1409D457">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（3）其他工作</w:t>
      </w:r>
    </w:p>
    <w:p w14:paraId="36376437">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bidi="ar"/>
        </w:rPr>
        <w:t>完成航摄视频和正摄影像：完成整治项目区范围内整治前后航摄视频、照片；完成项目上报和验收所需的正射影像拍摄和制作。</w:t>
      </w:r>
    </w:p>
    <w:p w14:paraId="516230B5">
      <w:pPr>
        <w:pStyle w:val="58"/>
        <w:widowControl w:val="0"/>
        <w:spacing w:before="0" w:beforeAutospacing="0" w:after="0" w:afterAutospacing="0" w:line="360" w:lineRule="auto"/>
        <w:ind w:firstLine="480" w:firstLineChars="200"/>
        <w:rPr>
          <w:rFonts w:hint="eastAsia" w:ascii="仿宋" w:hAnsi="仿宋" w:eastAsia="仿宋" w:cs="仿宋"/>
          <w:b/>
          <w:color w:val="auto"/>
          <w:sz w:val="24"/>
          <w:lang w:val="en-US" w:eastAsia="zh-CN"/>
        </w:rPr>
      </w:pPr>
      <w:r>
        <w:rPr>
          <w:rFonts w:hint="eastAsia" w:ascii="仿宋" w:hAnsi="仿宋" w:eastAsia="仿宋" w:cs="仿宋"/>
          <w:highlight w:val="none"/>
          <w:lang w:bidi="ar"/>
        </w:rPr>
        <w:t>完成日常服务工作：包括协助乡镇完成项目实施过程中的政策咨询、图表制作、数据分析和进度填报等其它相关工作。</w:t>
      </w:r>
    </w:p>
    <w:p w14:paraId="10CFBD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三、</w:t>
      </w:r>
      <w:r>
        <w:rPr>
          <w:rFonts w:hint="eastAsia" w:ascii="仿宋" w:hAnsi="仿宋" w:eastAsia="仿宋" w:cs="仿宋"/>
          <w:b/>
          <w:color w:val="auto"/>
          <w:sz w:val="24"/>
          <w:lang w:val="en-US" w:eastAsia="zh-CN"/>
        </w:rPr>
        <w:t>项目、技术经济及技术标准</w:t>
      </w:r>
    </w:p>
    <w:p w14:paraId="277FB04A">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w:t>
      </w:r>
      <w:r>
        <w:rPr>
          <w:rFonts w:hint="eastAsia" w:ascii="仿宋" w:hAnsi="仿宋" w:eastAsia="仿宋" w:cs="仿宋"/>
          <w:highlight w:val="none"/>
          <w:lang w:bidi="ar"/>
        </w:rPr>
        <w:t>《关于强化管控落实最严格耕地保护制度的通知》（国土资发〔2014〕18号）</w:t>
      </w:r>
    </w:p>
    <w:p w14:paraId="371A42D3">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(2)</w:t>
      </w:r>
      <w:r>
        <w:rPr>
          <w:rFonts w:hint="eastAsia" w:ascii="仿宋" w:hAnsi="仿宋" w:eastAsia="仿宋" w:cs="仿宋"/>
          <w:highlight w:val="none"/>
          <w:lang w:bidi="ar"/>
        </w:rPr>
        <w:t>《浙江省国土资源厅关于改进和落实耕地占补平衡的通知》（浙土资规〔2018〕9 号）</w:t>
      </w:r>
    </w:p>
    <w:p w14:paraId="76AA89A5">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(3)</w:t>
      </w:r>
      <w:r>
        <w:rPr>
          <w:rFonts w:hint="eastAsia" w:ascii="仿宋" w:hAnsi="仿宋" w:eastAsia="仿宋" w:cs="仿宋"/>
          <w:highlight w:val="none"/>
          <w:lang w:bidi="ar"/>
        </w:rPr>
        <w:t>《浙江省自然资源厅关于开展永久基本农田集中连片整治工作的通知》（浙自然资厅函〔2021〕389 号）</w:t>
      </w:r>
    </w:p>
    <w:p w14:paraId="57A944F3">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(4)</w:t>
      </w:r>
      <w:r>
        <w:rPr>
          <w:rFonts w:hint="eastAsia" w:ascii="仿宋" w:hAnsi="仿宋" w:eastAsia="仿宋" w:cs="仿宋"/>
          <w:highlight w:val="none"/>
          <w:lang w:bidi="ar"/>
        </w:rPr>
        <w:t>《浙江省自然资源厅关于做好 2023 年度“百千万”永久基本农田集中连片整治工作的通知》（浙自然资厅函〔2022〕77 号）</w:t>
      </w:r>
    </w:p>
    <w:p w14:paraId="7A37D573">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(5)</w:t>
      </w:r>
      <w:r>
        <w:rPr>
          <w:rFonts w:hint="eastAsia" w:ascii="仿宋" w:hAnsi="仿宋" w:eastAsia="仿宋" w:cs="仿宋"/>
          <w:highlight w:val="none"/>
          <w:lang w:bidi="ar"/>
        </w:rPr>
        <w:t>浙江省永久基本农田集中连片整治项目实施技术指南》（试行）（2023 年 6 月）</w:t>
      </w:r>
    </w:p>
    <w:p w14:paraId="3DF4B7C9">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(6)</w:t>
      </w:r>
      <w:r>
        <w:rPr>
          <w:rFonts w:hint="eastAsia" w:ascii="仿宋" w:hAnsi="仿宋" w:eastAsia="仿宋" w:cs="仿宋"/>
          <w:highlight w:val="none"/>
          <w:lang w:bidi="ar"/>
        </w:rPr>
        <w:t>《浙江省自然资源厅耕地保护监督处关于“百千万”永久基本农田集中连片整治工程有关事项的通知》</w:t>
      </w:r>
    </w:p>
    <w:p w14:paraId="5B313524">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(7)</w:t>
      </w:r>
      <w:r>
        <w:rPr>
          <w:rFonts w:hint="eastAsia" w:ascii="仿宋" w:hAnsi="仿宋" w:eastAsia="仿宋" w:cs="仿宋"/>
          <w:highlight w:val="none"/>
          <w:lang w:bidi="ar"/>
        </w:rPr>
        <w:t>《浙江省土地整治条例》</w:t>
      </w:r>
    </w:p>
    <w:p w14:paraId="5D960786">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(8)</w:t>
      </w:r>
      <w:r>
        <w:rPr>
          <w:rFonts w:hint="eastAsia" w:ascii="仿宋" w:hAnsi="仿宋" w:eastAsia="仿宋" w:cs="仿宋"/>
          <w:highlight w:val="none"/>
          <w:lang w:bidi="ar"/>
        </w:rPr>
        <w:t>《高标准农田建设通则》（GB/T 30600-2022）</w:t>
      </w:r>
    </w:p>
    <w:p w14:paraId="6016D2EB">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(9)</w:t>
      </w:r>
      <w:r>
        <w:rPr>
          <w:rFonts w:hint="eastAsia" w:ascii="仿宋" w:hAnsi="仿宋" w:eastAsia="仿宋" w:cs="仿宋"/>
          <w:highlight w:val="none"/>
          <w:lang w:bidi="ar"/>
        </w:rPr>
        <w:t>《高标准农田建设评价规范》（GB/T 33130-2021）</w:t>
      </w:r>
    </w:p>
    <w:p w14:paraId="3AAE0375">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(10)</w:t>
      </w:r>
      <w:r>
        <w:rPr>
          <w:rFonts w:hint="eastAsia" w:ascii="仿宋" w:hAnsi="仿宋" w:eastAsia="仿宋" w:cs="仿宋"/>
          <w:highlight w:val="none"/>
          <w:lang w:bidi="ar"/>
        </w:rPr>
        <w:t>《浙江省土地整治工程建设标准》（2021年6月）</w:t>
      </w:r>
    </w:p>
    <w:p w14:paraId="0A30D435">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(11)</w:t>
      </w:r>
      <w:r>
        <w:rPr>
          <w:rFonts w:hint="eastAsia" w:ascii="仿宋" w:hAnsi="仿宋" w:eastAsia="仿宋" w:cs="仿宋"/>
          <w:highlight w:val="none"/>
          <w:lang w:bidi="ar"/>
        </w:rPr>
        <w:t>《浙江省土地整治项目规划设计规范》</w:t>
      </w:r>
    </w:p>
    <w:p w14:paraId="40E12F94">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(12)</w:t>
      </w:r>
      <w:r>
        <w:rPr>
          <w:rFonts w:hint="eastAsia" w:ascii="仿宋" w:hAnsi="仿宋" w:eastAsia="仿宋" w:cs="仿宋"/>
          <w:highlight w:val="none"/>
          <w:lang w:bidi="ar"/>
        </w:rPr>
        <w:t>《节水灌溉工程技术标准》（GBT 50363-2018）</w:t>
      </w:r>
    </w:p>
    <w:p w14:paraId="79D158FD">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(13)</w:t>
      </w:r>
      <w:r>
        <w:rPr>
          <w:rFonts w:hint="eastAsia" w:ascii="仿宋" w:hAnsi="仿宋" w:eastAsia="仿宋" w:cs="仿宋"/>
          <w:highlight w:val="none"/>
          <w:lang w:bidi="ar"/>
        </w:rPr>
        <w:t>《农田排水工程技术规范》（SL/T 4—2020）</w:t>
      </w:r>
    </w:p>
    <w:p w14:paraId="265322A2">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(14)</w:t>
      </w:r>
      <w:r>
        <w:rPr>
          <w:rFonts w:hint="eastAsia" w:ascii="仿宋" w:hAnsi="仿宋" w:eastAsia="仿宋" w:cs="仿宋"/>
          <w:highlight w:val="none"/>
          <w:lang w:bidi="ar"/>
        </w:rPr>
        <w:t>《灌溉与排水渠系建筑物设计规范》(SL 482-2011)；</w:t>
      </w:r>
    </w:p>
    <w:p w14:paraId="6CD891A4">
      <w:pPr>
        <w:pStyle w:val="58"/>
        <w:widowControl w:val="0"/>
        <w:spacing w:before="0" w:beforeAutospacing="0" w:after="0" w:afterAutospacing="0" w:line="360" w:lineRule="auto"/>
        <w:ind w:firstLine="480" w:firstLineChars="200"/>
        <w:rPr>
          <w:rFonts w:hint="eastAsia" w:ascii="仿宋" w:hAnsi="仿宋" w:eastAsia="仿宋" w:cs="仿宋"/>
          <w:highlight w:val="none"/>
          <w:lang w:bidi="ar"/>
        </w:rPr>
      </w:pPr>
      <w:r>
        <w:rPr>
          <w:rFonts w:hint="eastAsia" w:ascii="仿宋" w:hAnsi="仿宋" w:eastAsia="仿宋" w:cs="仿宋"/>
          <w:highlight w:val="none"/>
          <w:lang w:val="en-US" w:eastAsia="zh-CN" w:bidi="ar"/>
        </w:rPr>
        <w:t>(15)</w:t>
      </w:r>
      <w:r>
        <w:rPr>
          <w:rFonts w:hint="eastAsia" w:ascii="仿宋" w:hAnsi="仿宋" w:eastAsia="仿宋" w:cs="仿宋"/>
          <w:highlight w:val="none"/>
          <w:lang w:bidi="ar"/>
        </w:rPr>
        <w:t>其他相关文件。</w:t>
      </w:r>
    </w:p>
    <w:p w14:paraId="38C55C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四、编制期限</w:t>
      </w:r>
    </w:p>
    <w:p w14:paraId="6E1E8D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eastAsia" w:ascii="仿宋" w:hAnsi="仿宋" w:eastAsia="仿宋" w:cs="仿宋"/>
          <w:b/>
          <w:color w:val="auto"/>
          <w:sz w:val="24"/>
          <w:lang w:val="en-US" w:eastAsia="zh-CN"/>
        </w:rPr>
      </w:pPr>
      <w:r>
        <w:rPr>
          <w:rFonts w:hint="eastAsia" w:ascii="仿宋" w:hAnsi="仿宋" w:eastAsia="仿宋" w:cs="仿宋"/>
          <w:color w:val="auto"/>
          <w:sz w:val="24"/>
        </w:rPr>
        <w:t>根据上级时间要求全面完成该项工作并上报成果，直至成果获批。</w:t>
      </w:r>
    </w:p>
    <w:p w14:paraId="7248AB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五、合同金额</w:t>
      </w:r>
    </w:p>
    <w:p w14:paraId="072B2515">
      <w:pPr>
        <w:spacing w:beforeLines="0" w:line="360" w:lineRule="auto"/>
        <w:ind w:left="479" w:leftChars="228"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1.合同金额为(人民币)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元整 。</w:t>
      </w:r>
      <w:r>
        <w:rPr>
          <w:rFonts w:hint="eastAsia" w:ascii="仿宋" w:hAnsi="仿宋" w:eastAsia="仿宋" w:cs="仿宋"/>
          <w:color w:val="auto"/>
          <w:sz w:val="24"/>
          <w:lang w:val="en-US" w:eastAsia="zh-CN"/>
        </w:rPr>
        <w:br w:type="textWrapping"/>
      </w:r>
      <w:r>
        <w:rPr>
          <w:rFonts w:hint="eastAsia" w:ascii="仿宋" w:hAnsi="仿宋" w:eastAsia="仿宋" w:cs="仿宋"/>
          <w:color w:val="auto"/>
          <w:sz w:val="24"/>
          <w:lang w:val="en-US" w:eastAsia="zh-CN"/>
        </w:rPr>
        <w:t>合同包含项目所需全部内容、服务，不得缺漏，含保险、采购代理费、税金以及安装、调试、保修等一切税金和费用。</w:t>
      </w:r>
    </w:p>
    <w:p w14:paraId="29D0FCA1">
      <w:pPr>
        <w:spacing w:beforeLines="0"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2.付款方式：</w:t>
      </w:r>
    </w:p>
    <w:p w14:paraId="2801FF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在完成项目验收后支付合同款项。</w:t>
      </w:r>
    </w:p>
    <w:p w14:paraId="63A692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六、成果要求</w:t>
      </w:r>
    </w:p>
    <w:p w14:paraId="5C0896C6">
      <w:pPr>
        <w:spacing w:beforeLines="0"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成果包括项目实施方案以及立项与验收阶段需要提交的各项附件材料。</w:t>
      </w:r>
    </w:p>
    <w:p w14:paraId="66E9F340">
      <w:pPr>
        <w:spacing w:line="440" w:lineRule="exact"/>
        <w:ind w:left="420" w:leftChars="200"/>
        <w:rPr>
          <w:rFonts w:hint="eastAsia" w:ascii="仿宋" w:hAnsi="仿宋" w:eastAsia="仿宋" w:cs="仿宋"/>
          <w:b/>
          <w:sz w:val="24"/>
          <w:highlight w:val="none"/>
        </w:rPr>
      </w:pPr>
      <w:r>
        <w:rPr>
          <w:rFonts w:hint="eastAsia" w:ascii="仿宋" w:hAnsi="仿宋" w:eastAsia="仿宋" w:cs="仿宋"/>
          <w:b/>
          <w:sz w:val="24"/>
          <w:highlight w:val="none"/>
          <w:lang w:eastAsia="zh-CN"/>
        </w:rPr>
        <w:t>七、</w:t>
      </w:r>
      <w:r>
        <w:rPr>
          <w:rFonts w:hint="eastAsia" w:ascii="仿宋" w:hAnsi="仿宋" w:eastAsia="仿宋" w:cs="仿宋"/>
          <w:b/>
          <w:sz w:val="24"/>
          <w:highlight w:val="none"/>
        </w:rPr>
        <w:t>验收</w:t>
      </w:r>
    </w:p>
    <w:p w14:paraId="612AE51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按照《浙江省永久基本农田集中连片建设技术指南（试行）（2023年）》（后续有最新文件要求按最新文件执行）进行项目的立项和验收。以嵊州市人民政府正式立项批文和验收批文作为本项目的验收依据。</w:t>
      </w:r>
    </w:p>
    <w:p w14:paraId="10E53629">
      <w:pPr>
        <w:spacing w:line="44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.由甲方负责验收</w:t>
      </w:r>
      <w:r>
        <w:rPr>
          <w:rFonts w:hint="eastAsia" w:ascii="仿宋" w:hAnsi="仿宋" w:eastAsia="仿宋" w:cs="仿宋"/>
          <w:sz w:val="24"/>
          <w:highlight w:val="none"/>
          <w:lang w:val="en-US" w:eastAsia="zh-CN"/>
        </w:rPr>
        <w:t>.</w:t>
      </w:r>
    </w:p>
    <w:p w14:paraId="14D6CC5A">
      <w:pPr>
        <w:spacing w:line="440" w:lineRule="exact"/>
        <w:ind w:left="0" w:leftChars="0" w:firstLine="420" w:firstLineChars="175"/>
        <w:rPr>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甲方在乙方履行合同结束后进行检查验收，如果发现成果有质量、技术等问题，乙方应负责根据合同及甲方的要求采取补足或更换等处理措施，并承担由此发生的一切损失和费用。验收合格后，甲方在验收单上签字并加盖单位公章。</w:t>
      </w:r>
    </w:p>
    <w:p w14:paraId="4E5F1368">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eastAsia="zh-CN"/>
        </w:rPr>
        <w:t>八、</w:t>
      </w:r>
      <w:r>
        <w:rPr>
          <w:rFonts w:hint="eastAsia" w:ascii="仿宋" w:hAnsi="仿宋" w:eastAsia="仿宋" w:cs="仿宋"/>
          <w:b/>
          <w:sz w:val="24"/>
          <w:highlight w:val="none"/>
        </w:rPr>
        <w:t>违约责任</w:t>
      </w:r>
    </w:p>
    <w:p w14:paraId="4ABA9C2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1.乙方合同签订后，不得转包或变相转包、分包他人，一经发现，视为违约行为，甲方有权立即终止合同，乙方承担全部违约责任，扣除全额履约保证金。</w:t>
      </w:r>
    </w:p>
    <w:p w14:paraId="3D06EF4D">
      <w:pPr>
        <w:spacing w:line="440" w:lineRule="exact"/>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2.乙方无力履约或自动退出承包的，终止合同，没收全额履约保证金</w:t>
      </w:r>
      <w:r>
        <w:rPr>
          <w:rFonts w:hint="eastAsia" w:ascii="仿宋" w:hAnsi="仿宋" w:eastAsia="仿宋" w:cs="仿宋"/>
          <w:b/>
          <w:bCs/>
          <w:sz w:val="24"/>
          <w:highlight w:val="none"/>
        </w:rPr>
        <w:t>。</w:t>
      </w:r>
    </w:p>
    <w:p w14:paraId="046B932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3.乙方违反合同中的有关规定，经责令整改仍不到位的，甲方有权终止合同，没收全额履约保证金。</w:t>
      </w:r>
    </w:p>
    <w:p w14:paraId="66368670">
      <w:pPr>
        <w:spacing w:line="440" w:lineRule="exact"/>
        <w:ind w:firstLine="480" w:firstLineChars="200"/>
        <w:rPr>
          <w:rFonts w:hint="eastAsia" w:ascii="仿宋" w:hAnsi="仿宋" w:eastAsia="仿宋" w:cs="仿宋"/>
          <w:bCs/>
          <w:sz w:val="24"/>
          <w:highlight w:val="none"/>
        </w:rPr>
      </w:pPr>
      <w:bookmarkStart w:id="73" w:name="_Toc340322178"/>
      <w:bookmarkStart w:id="74" w:name="_Toc339302139"/>
      <w:bookmarkStart w:id="75" w:name="_Toc340321923"/>
      <w:bookmarkStart w:id="76" w:name="_Toc269217282"/>
      <w:bookmarkStart w:id="77" w:name="_Toc480884142"/>
      <w:bookmarkStart w:id="78" w:name="_Toc15180"/>
      <w:r>
        <w:rPr>
          <w:rFonts w:hint="eastAsia" w:ascii="仿宋" w:hAnsi="仿宋" w:eastAsia="仿宋" w:cs="仿宋"/>
          <w:bCs/>
          <w:sz w:val="24"/>
          <w:highlight w:val="none"/>
        </w:rPr>
        <w:t>4.</w:t>
      </w:r>
      <w:r>
        <w:rPr>
          <w:rFonts w:hint="eastAsia" w:ascii="仿宋" w:hAnsi="仿宋" w:eastAsia="仿宋" w:cs="仿宋"/>
          <w:sz w:val="24"/>
          <w:highlight w:val="none"/>
        </w:rPr>
        <w:t>乙方未按约定时间及时完成项目（有正当理由的除外），每逾期一天，乙方支付200元违约金，甲方有权直接从合同款项中扣取。逾期超过15日的，甲方有权终止合同，没收全额履约保证金。</w:t>
      </w:r>
    </w:p>
    <w:p w14:paraId="651E766C">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5.乙方必须按投标时承诺的人员进行配置，如未按投标时承诺进行人员配置，甲方有权终止承包合同，并罚没履约保证金。</w:t>
      </w:r>
    </w:p>
    <w:bookmarkEnd w:id="73"/>
    <w:bookmarkEnd w:id="74"/>
    <w:bookmarkEnd w:id="75"/>
    <w:bookmarkEnd w:id="76"/>
    <w:bookmarkEnd w:id="77"/>
    <w:bookmarkEnd w:id="78"/>
    <w:p w14:paraId="5E837A08">
      <w:pPr>
        <w:spacing w:line="440" w:lineRule="exact"/>
        <w:ind w:firstLine="482" w:firstLineChars="200"/>
        <w:rPr>
          <w:rFonts w:hint="eastAsia" w:ascii="仿宋" w:hAnsi="仿宋" w:eastAsia="仿宋" w:cs="仿宋"/>
          <w:b/>
          <w:sz w:val="24"/>
          <w:highlight w:val="none"/>
        </w:rPr>
      </w:pPr>
      <w:bookmarkStart w:id="79" w:name="_Toc339302140"/>
      <w:bookmarkStart w:id="80" w:name="_Toc340322179"/>
      <w:bookmarkStart w:id="81" w:name="_Toc340321924"/>
      <w:bookmarkStart w:id="82" w:name="_Toc480884143"/>
      <w:r>
        <w:rPr>
          <w:rFonts w:hint="eastAsia" w:ascii="仿宋" w:hAnsi="仿宋" w:eastAsia="仿宋" w:cs="仿宋"/>
          <w:b/>
          <w:sz w:val="24"/>
          <w:highlight w:val="none"/>
          <w:lang w:eastAsia="zh-CN"/>
        </w:rPr>
        <w:t>九、</w:t>
      </w:r>
      <w:r>
        <w:rPr>
          <w:rFonts w:hint="eastAsia" w:ascii="仿宋" w:hAnsi="仿宋" w:eastAsia="仿宋" w:cs="仿宋"/>
          <w:b/>
          <w:sz w:val="24"/>
          <w:highlight w:val="none"/>
        </w:rPr>
        <w:t>争议解决</w:t>
      </w:r>
      <w:bookmarkEnd w:id="79"/>
      <w:bookmarkEnd w:id="80"/>
      <w:bookmarkEnd w:id="81"/>
      <w:bookmarkEnd w:id="82"/>
    </w:p>
    <w:p w14:paraId="7AC8D26A">
      <w:pPr>
        <w:spacing w:line="44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本合同在履行</w:t>
      </w:r>
      <w:r>
        <w:rPr>
          <w:rFonts w:hint="eastAsia" w:ascii="仿宋" w:hAnsi="仿宋" w:eastAsia="仿宋" w:cs="仿宋"/>
          <w:sz w:val="24"/>
          <w:highlight w:val="none"/>
          <w:lang w:eastAsia="zh-CN"/>
        </w:rPr>
        <w:t>过程</w:t>
      </w:r>
      <w:r>
        <w:rPr>
          <w:rFonts w:hint="eastAsia" w:ascii="仿宋" w:hAnsi="仿宋" w:eastAsia="仿宋" w:cs="仿宋"/>
          <w:sz w:val="24"/>
          <w:highlight w:val="none"/>
        </w:rPr>
        <w:t>中发生争议，</w:t>
      </w:r>
      <w:r>
        <w:rPr>
          <w:rFonts w:hint="eastAsia" w:ascii="仿宋" w:hAnsi="仿宋" w:eastAsia="仿宋" w:cs="仿宋"/>
          <w:sz w:val="24"/>
          <w:highlight w:val="none"/>
          <w:lang w:eastAsia="zh-CN"/>
        </w:rPr>
        <w:t>各</w:t>
      </w:r>
      <w:r>
        <w:rPr>
          <w:rFonts w:hint="eastAsia" w:ascii="仿宋" w:hAnsi="仿宋" w:eastAsia="仿宋" w:cs="仿宋"/>
          <w:sz w:val="24"/>
          <w:highlight w:val="none"/>
        </w:rPr>
        <w:t>方应</w:t>
      </w:r>
      <w:r>
        <w:rPr>
          <w:rFonts w:hint="eastAsia" w:ascii="仿宋" w:hAnsi="仿宋" w:eastAsia="仿宋" w:cs="仿宋"/>
          <w:sz w:val="24"/>
          <w:highlight w:val="none"/>
          <w:lang w:eastAsia="zh-CN"/>
        </w:rPr>
        <w:t>及时</w:t>
      </w:r>
      <w:r>
        <w:rPr>
          <w:rFonts w:hint="eastAsia" w:ascii="仿宋" w:hAnsi="仿宋" w:eastAsia="仿宋" w:cs="仿宋"/>
          <w:sz w:val="24"/>
          <w:highlight w:val="none"/>
        </w:rPr>
        <w:t>协商解决，如</w:t>
      </w:r>
      <w:r>
        <w:rPr>
          <w:rFonts w:hint="eastAsia" w:ascii="仿宋" w:hAnsi="仿宋" w:eastAsia="仿宋" w:cs="仿宋"/>
          <w:sz w:val="24"/>
          <w:highlight w:val="none"/>
          <w:lang w:eastAsia="zh-CN"/>
        </w:rPr>
        <w:t>未能达成一致</w:t>
      </w:r>
      <w:r>
        <w:rPr>
          <w:rFonts w:hint="eastAsia" w:ascii="仿宋" w:hAnsi="仿宋" w:eastAsia="仿宋" w:cs="仿宋"/>
          <w:sz w:val="24"/>
          <w:highlight w:val="none"/>
        </w:rPr>
        <w:t>，</w:t>
      </w:r>
      <w:r>
        <w:rPr>
          <w:rFonts w:hint="eastAsia" w:ascii="仿宋" w:hAnsi="仿宋" w:eastAsia="仿宋" w:cs="仿宋"/>
          <w:sz w:val="24"/>
          <w:highlight w:val="none"/>
          <w:lang w:eastAsia="zh-CN"/>
        </w:rPr>
        <w:t>可提交有关主管部门解决协商或调解不成的，按下列第（二）种方式解决：</w:t>
      </w:r>
    </w:p>
    <w:p w14:paraId="2A434320">
      <w:pPr>
        <w:spacing w:line="44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（一）提交绍兴仲裁委员会仲裁；</w:t>
      </w:r>
    </w:p>
    <w:p w14:paraId="34C37A22">
      <w:pPr>
        <w:spacing w:line="44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（二）依法向嵊州市人民法院起诉。</w:t>
      </w:r>
    </w:p>
    <w:p w14:paraId="5A857C4E">
      <w:pPr>
        <w:spacing w:line="440" w:lineRule="exact"/>
        <w:ind w:firstLine="482" w:firstLineChars="200"/>
        <w:rPr>
          <w:rFonts w:hint="eastAsia" w:ascii="仿宋" w:hAnsi="仿宋" w:eastAsia="仿宋" w:cs="仿宋"/>
          <w:b/>
          <w:sz w:val="24"/>
          <w:highlight w:val="none"/>
        </w:rPr>
      </w:pPr>
      <w:bookmarkStart w:id="83" w:name="_Toc339302141"/>
      <w:bookmarkStart w:id="84" w:name="_Toc480884144"/>
      <w:bookmarkStart w:id="85" w:name="_Toc340321925"/>
      <w:bookmarkStart w:id="86" w:name="_Toc340322180"/>
      <w:r>
        <w:rPr>
          <w:rFonts w:hint="eastAsia" w:ascii="仿宋" w:hAnsi="仿宋" w:eastAsia="仿宋" w:cs="仿宋"/>
          <w:b/>
          <w:sz w:val="24"/>
          <w:highlight w:val="none"/>
          <w:lang w:eastAsia="zh-CN"/>
        </w:rPr>
        <w:t>十、</w:t>
      </w:r>
      <w:r>
        <w:rPr>
          <w:rFonts w:hint="eastAsia" w:ascii="仿宋" w:hAnsi="仿宋" w:eastAsia="仿宋" w:cs="仿宋"/>
          <w:b/>
          <w:sz w:val="24"/>
          <w:highlight w:val="none"/>
        </w:rPr>
        <w:t>免责条款</w:t>
      </w:r>
      <w:bookmarkEnd w:id="83"/>
      <w:bookmarkEnd w:id="84"/>
      <w:bookmarkEnd w:id="85"/>
      <w:bookmarkEnd w:id="86"/>
    </w:p>
    <w:p w14:paraId="11A1885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77934EFE">
      <w:pPr>
        <w:spacing w:line="440" w:lineRule="exact"/>
        <w:ind w:firstLine="482" w:firstLineChars="200"/>
        <w:rPr>
          <w:rFonts w:hint="eastAsia" w:ascii="仿宋" w:hAnsi="仿宋" w:eastAsia="仿宋" w:cs="仿宋"/>
          <w:b/>
          <w:sz w:val="24"/>
          <w:highlight w:val="none"/>
        </w:rPr>
      </w:pPr>
      <w:bookmarkStart w:id="87" w:name="_Toc480884145"/>
      <w:bookmarkStart w:id="88" w:name="_Toc340322181"/>
      <w:bookmarkStart w:id="89" w:name="_Toc340321926"/>
      <w:bookmarkStart w:id="90" w:name="_Toc339302142"/>
      <w:r>
        <w:rPr>
          <w:rFonts w:hint="eastAsia" w:ascii="仿宋" w:hAnsi="仿宋" w:eastAsia="仿宋" w:cs="仿宋"/>
          <w:b/>
          <w:sz w:val="24"/>
          <w:highlight w:val="none"/>
          <w:lang w:eastAsia="zh-CN"/>
        </w:rPr>
        <w:t>十一、</w:t>
      </w:r>
      <w:r>
        <w:rPr>
          <w:rFonts w:hint="eastAsia" w:ascii="仿宋" w:hAnsi="仿宋" w:eastAsia="仿宋" w:cs="仿宋"/>
          <w:b/>
          <w:sz w:val="24"/>
          <w:highlight w:val="none"/>
        </w:rPr>
        <w:t>协议生效</w:t>
      </w:r>
      <w:bookmarkEnd w:id="87"/>
      <w:bookmarkEnd w:id="88"/>
      <w:bookmarkEnd w:id="89"/>
      <w:bookmarkEnd w:id="90"/>
    </w:p>
    <w:p w14:paraId="6C34536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本协议及所含附件自双方签订之日即生效。</w:t>
      </w:r>
    </w:p>
    <w:p w14:paraId="408B27B8">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eastAsia="zh-CN"/>
        </w:rPr>
        <w:t>十二、</w:t>
      </w:r>
      <w:r>
        <w:rPr>
          <w:rFonts w:hint="eastAsia" w:ascii="仿宋" w:hAnsi="仿宋" w:eastAsia="仿宋" w:cs="仿宋"/>
          <w:b/>
          <w:sz w:val="24"/>
          <w:highlight w:val="none"/>
        </w:rPr>
        <w:t xml:space="preserve">附则 </w:t>
      </w:r>
    </w:p>
    <w:p w14:paraId="6B4E9BF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1.协议正本条款受国家《民法典》的保护。</w:t>
      </w:r>
    </w:p>
    <w:p w14:paraId="4E676C1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2.未经甲乙双方书面确认，任何一方不得自行变更或修改本协议。</w:t>
      </w:r>
    </w:p>
    <w:p w14:paraId="7DD3FCA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3.合同在执行过程中出现的未尽事宜，遵照《民法典》有关条文，双方在不违背本合同和磋商文件的原则下，协商解决，协商结果以书面形式盖章记录在案，作为本合同的附件，具有同等效力。</w:t>
      </w:r>
    </w:p>
    <w:p w14:paraId="4B8E6B8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4.本协议一式</w:t>
      </w:r>
      <w:r>
        <w:rPr>
          <w:rFonts w:hint="eastAsia" w:ascii="仿宋" w:hAnsi="仿宋" w:eastAsia="仿宋" w:cs="仿宋"/>
          <w:sz w:val="24"/>
          <w:highlight w:val="none"/>
          <w:lang w:eastAsia="zh-CN"/>
        </w:rPr>
        <w:t>肆</w:t>
      </w:r>
      <w:r>
        <w:rPr>
          <w:rFonts w:hint="eastAsia" w:ascii="仿宋" w:hAnsi="仿宋" w:eastAsia="仿宋" w:cs="仿宋"/>
          <w:sz w:val="24"/>
          <w:highlight w:val="none"/>
        </w:rPr>
        <w:t>份，甲方贰份、乙方贰份，合同附件和本合同均具有同等法律效力。</w:t>
      </w:r>
    </w:p>
    <w:tbl>
      <w:tblPr>
        <w:tblStyle w:val="62"/>
        <w:tblW w:w="9151" w:type="dxa"/>
        <w:tblInd w:w="-95" w:type="dxa"/>
        <w:tblLayout w:type="fixed"/>
        <w:tblCellMar>
          <w:top w:w="0" w:type="dxa"/>
          <w:left w:w="108" w:type="dxa"/>
          <w:bottom w:w="0" w:type="dxa"/>
          <w:right w:w="108" w:type="dxa"/>
        </w:tblCellMar>
      </w:tblPr>
      <w:tblGrid>
        <w:gridCol w:w="1540"/>
        <w:gridCol w:w="2796"/>
        <w:gridCol w:w="1527"/>
        <w:gridCol w:w="3288"/>
      </w:tblGrid>
      <w:tr w14:paraId="494A4E1F">
        <w:tblPrEx>
          <w:tblCellMar>
            <w:top w:w="0" w:type="dxa"/>
            <w:left w:w="108" w:type="dxa"/>
            <w:bottom w:w="0" w:type="dxa"/>
            <w:right w:w="108" w:type="dxa"/>
          </w:tblCellMar>
        </w:tblPrEx>
        <w:trPr>
          <w:cantSplit/>
          <w:trHeight w:val="713" w:hRule="atLeast"/>
        </w:trPr>
        <w:tc>
          <w:tcPr>
            <w:tcW w:w="1540" w:type="dxa"/>
            <w:noWrap w:val="0"/>
            <w:vAlign w:val="center"/>
          </w:tcPr>
          <w:p w14:paraId="49CCCB05">
            <w:pPr>
              <w:spacing w:line="440" w:lineRule="exact"/>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采购方</w:t>
            </w:r>
          </w:p>
        </w:tc>
        <w:tc>
          <w:tcPr>
            <w:tcW w:w="2796" w:type="dxa"/>
            <w:noWrap w:val="0"/>
            <w:vAlign w:val="center"/>
          </w:tcPr>
          <w:p w14:paraId="444D6B22">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（盖章）</w:t>
            </w:r>
          </w:p>
        </w:tc>
        <w:tc>
          <w:tcPr>
            <w:tcW w:w="1527" w:type="dxa"/>
            <w:noWrap w:val="0"/>
            <w:vAlign w:val="center"/>
          </w:tcPr>
          <w:p w14:paraId="6DA0CDF5">
            <w:pPr>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实施方</w:t>
            </w:r>
          </w:p>
        </w:tc>
        <w:tc>
          <w:tcPr>
            <w:tcW w:w="3288" w:type="dxa"/>
            <w:noWrap w:val="0"/>
            <w:vAlign w:val="center"/>
          </w:tcPr>
          <w:p w14:paraId="3AD968B8">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（盖章）</w:t>
            </w:r>
          </w:p>
        </w:tc>
      </w:tr>
      <w:tr w14:paraId="69A2CB8F">
        <w:tblPrEx>
          <w:tblCellMar>
            <w:top w:w="0" w:type="dxa"/>
            <w:left w:w="108" w:type="dxa"/>
            <w:bottom w:w="0" w:type="dxa"/>
            <w:right w:w="108" w:type="dxa"/>
          </w:tblCellMar>
        </w:tblPrEx>
        <w:trPr>
          <w:cantSplit/>
          <w:trHeight w:val="662" w:hRule="atLeast"/>
        </w:trPr>
        <w:tc>
          <w:tcPr>
            <w:tcW w:w="1540" w:type="dxa"/>
            <w:noWrap w:val="0"/>
            <w:vAlign w:val="center"/>
          </w:tcPr>
          <w:p w14:paraId="4A5AAB43">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代表签名</w:t>
            </w:r>
          </w:p>
        </w:tc>
        <w:tc>
          <w:tcPr>
            <w:tcW w:w="2796" w:type="dxa"/>
            <w:noWrap w:val="0"/>
            <w:vAlign w:val="center"/>
          </w:tcPr>
          <w:p w14:paraId="0752E40E">
            <w:pPr>
              <w:spacing w:line="440" w:lineRule="exact"/>
              <w:jc w:val="center"/>
              <w:rPr>
                <w:rFonts w:hint="eastAsia" w:ascii="仿宋" w:hAnsi="仿宋" w:eastAsia="仿宋" w:cs="仿宋"/>
                <w:kern w:val="0"/>
                <w:sz w:val="24"/>
                <w:highlight w:val="none"/>
              </w:rPr>
            </w:pPr>
          </w:p>
        </w:tc>
        <w:tc>
          <w:tcPr>
            <w:tcW w:w="1527" w:type="dxa"/>
            <w:noWrap w:val="0"/>
            <w:vAlign w:val="center"/>
          </w:tcPr>
          <w:p w14:paraId="1C92FB34">
            <w:pPr>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代表签名</w:t>
            </w:r>
          </w:p>
        </w:tc>
        <w:tc>
          <w:tcPr>
            <w:tcW w:w="3288" w:type="dxa"/>
            <w:noWrap w:val="0"/>
            <w:vAlign w:val="center"/>
          </w:tcPr>
          <w:p w14:paraId="16D79FF4">
            <w:pPr>
              <w:spacing w:line="440" w:lineRule="exact"/>
              <w:jc w:val="center"/>
              <w:rPr>
                <w:rFonts w:hint="eastAsia" w:ascii="仿宋" w:hAnsi="仿宋" w:eastAsia="仿宋" w:cs="仿宋"/>
                <w:kern w:val="0"/>
                <w:sz w:val="24"/>
                <w:highlight w:val="none"/>
              </w:rPr>
            </w:pPr>
          </w:p>
        </w:tc>
      </w:tr>
      <w:tr w14:paraId="5FB0A21D">
        <w:tblPrEx>
          <w:tblCellMar>
            <w:top w:w="0" w:type="dxa"/>
            <w:left w:w="108" w:type="dxa"/>
            <w:bottom w:w="0" w:type="dxa"/>
            <w:right w:w="108" w:type="dxa"/>
          </w:tblCellMar>
        </w:tblPrEx>
        <w:trPr>
          <w:cantSplit/>
          <w:trHeight w:val="700" w:hRule="atLeast"/>
        </w:trPr>
        <w:tc>
          <w:tcPr>
            <w:tcW w:w="1540" w:type="dxa"/>
            <w:noWrap w:val="0"/>
            <w:vAlign w:val="center"/>
          </w:tcPr>
          <w:p w14:paraId="05AE2E94">
            <w:pPr>
              <w:spacing w:line="440" w:lineRule="exact"/>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tc>
        <w:tc>
          <w:tcPr>
            <w:tcW w:w="2796" w:type="dxa"/>
            <w:noWrap w:val="0"/>
            <w:vAlign w:val="center"/>
          </w:tcPr>
          <w:p w14:paraId="3039D16C">
            <w:pPr>
              <w:spacing w:line="440" w:lineRule="exact"/>
              <w:jc w:val="center"/>
              <w:rPr>
                <w:rFonts w:hint="eastAsia" w:ascii="仿宋" w:hAnsi="仿宋" w:eastAsia="仿宋" w:cs="仿宋"/>
                <w:kern w:val="0"/>
                <w:sz w:val="24"/>
                <w:highlight w:val="none"/>
              </w:rPr>
            </w:pPr>
          </w:p>
        </w:tc>
        <w:tc>
          <w:tcPr>
            <w:tcW w:w="1527" w:type="dxa"/>
            <w:noWrap w:val="0"/>
            <w:vAlign w:val="center"/>
          </w:tcPr>
          <w:p w14:paraId="6E002260">
            <w:pPr>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tc>
        <w:tc>
          <w:tcPr>
            <w:tcW w:w="3288" w:type="dxa"/>
            <w:noWrap w:val="0"/>
            <w:vAlign w:val="center"/>
          </w:tcPr>
          <w:p w14:paraId="497516F6">
            <w:pPr>
              <w:spacing w:line="440" w:lineRule="exact"/>
              <w:jc w:val="center"/>
              <w:rPr>
                <w:rFonts w:hint="eastAsia" w:ascii="仿宋" w:hAnsi="仿宋" w:eastAsia="仿宋" w:cs="仿宋"/>
                <w:kern w:val="0"/>
                <w:sz w:val="24"/>
                <w:highlight w:val="none"/>
              </w:rPr>
            </w:pPr>
          </w:p>
        </w:tc>
      </w:tr>
      <w:tr w14:paraId="137EC46A">
        <w:tblPrEx>
          <w:tblCellMar>
            <w:top w:w="0" w:type="dxa"/>
            <w:left w:w="108" w:type="dxa"/>
            <w:bottom w:w="0" w:type="dxa"/>
            <w:right w:w="108" w:type="dxa"/>
          </w:tblCellMar>
        </w:tblPrEx>
        <w:trPr>
          <w:cantSplit/>
          <w:trHeight w:val="699" w:hRule="atLeast"/>
        </w:trPr>
        <w:tc>
          <w:tcPr>
            <w:tcW w:w="1540" w:type="dxa"/>
            <w:noWrap w:val="0"/>
            <w:vAlign w:val="center"/>
          </w:tcPr>
          <w:p w14:paraId="480C67C7">
            <w:pPr>
              <w:spacing w:line="440" w:lineRule="exact"/>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tc>
        <w:tc>
          <w:tcPr>
            <w:tcW w:w="2796" w:type="dxa"/>
            <w:noWrap w:val="0"/>
            <w:vAlign w:val="center"/>
          </w:tcPr>
          <w:p w14:paraId="1203DBE9">
            <w:pPr>
              <w:spacing w:line="440" w:lineRule="exact"/>
              <w:jc w:val="center"/>
              <w:rPr>
                <w:rFonts w:hint="eastAsia" w:ascii="仿宋" w:hAnsi="仿宋" w:eastAsia="仿宋" w:cs="仿宋"/>
                <w:kern w:val="0"/>
                <w:sz w:val="24"/>
                <w:highlight w:val="none"/>
              </w:rPr>
            </w:pPr>
          </w:p>
        </w:tc>
        <w:tc>
          <w:tcPr>
            <w:tcW w:w="1527" w:type="dxa"/>
            <w:noWrap w:val="0"/>
            <w:vAlign w:val="center"/>
          </w:tcPr>
          <w:p w14:paraId="41AF212C">
            <w:pPr>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tc>
        <w:tc>
          <w:tcPr>
            <w:tcW w:w="3288" w:type="dxa"/>
            <w:noWrap w:val="0"/>
            <w:vAlign w:val="center"/>
          </w:tcPr>
          <w:p w14:paraId="541831F3">
            <w:pPr>
              <w:spacing w:line="440" w:lineRule="exact"/>
              <w:jc w:val="center"/>
              <w:rPr>
                <w:rFonts w:hint="eastAsia" w:ascii="仿宋" w:hAnsi="仿宋" w:eastAsia="仿宋" w:cs="仿宋"/>
                <w:kern w:val="0"/>
                <w:sz w:val="24"/>
                <w:highlight w:val="none"/>
              </w:rPr>
            </w:pPr>
          </w:p>
        </w:tc>
      </w:tr>
      <w:tr w14:paraId="03F1931B">
        <w:tblPrEx>
          <w:tblCellMar>
            <w:top w:w="0" w:type="dxa"/>
            <w:left w:w="108" w:type="dxa"/>
            <w:bottom w:w="0" w:type="dxa"/>
            <w:right w:w="108" w:type="dxa"/>
          </w:tblCellMar>
        </w:tblPrEx>
        <w:trPr>
          <w:cantSplit/>
          <w:trHeight w:val="714" w:hRule="atLeast"/>
        </w:trPr>
        <w:tc>
          <w:tcPr>
            <w:tcW w:w="1540" w:type="dxa"/>
            <w:noWrap w:val="0"/>
            <w:vAlign w:val="center"/>
          </w:tcPr>
          <w:p w14:paraId="0BEE9E8B">
            <w:pPr>
              <w:spacing w:line="440" w:lineRule="exact"/>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tc>
        <w:tc>
          <w:tcPr>
            <w:tcW w:w="2796" w:type="dxa"/>
            <w:noWrap w:val="0"/>
            <w:vAlign w:val="center"/>
          </w:tcPr>
          <w:p w14:paraId="53404197">
            <w:pPr>
              <w:spacing w:line="440" w:lineRule="exact"/>
              <w:jc w:val="center"/>
              <w:rPr>
                <w:rFonts w:hint="eastAsia" w:ascii="仿宋" w:hAnsi="仿宋" w:eastAsia="仿宋" w:cs="仿宋"/>
                <w:kern w:val="0"/>
                <w:sz w:val="24"/>
                <w:highlight w:val="none"/>
              </w:rPr>
            </w:pPr>
          </w:p>
        </w:tc>
        <w:tc>
          <w:tcPr>
            <w:tcW w:w="1527" w:type="dxa"/>
            <w:noWrap w:val="0"/>
            <w:vAlign w:val="center"/>
          </w:tcPr>
          <w:p w14:paraId="646065FB">
            <w:pPr>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tc>
        <w:tc>
          <w:tcPr>
            <w:tcW w:w="3288" w:type="dxa"/>
            <w:noWrap w:val="0"/>
            <w:vAlign w:val="center"/>
          </w:tcPr>
          <w:p w14:paraId="51C24B63">
            <w:pPr>
              <w:spacing w:line="440" w:lineRule="exact"/>
              <w:jc w:val="center"/>
              <w:rPr>
                <w:rFonts w:hint="eastAsia" w:ascii="仿宋" w:hAnsi="仿宋" w:eastAsia="仿宋" w:cs="仿宋"/>
                <w:kern w:val="0"/>
                <w:sz w:val="24"/>
                <w:highlight w:val="none"/>
              </w:rPr>
            </w:pPr>
          </w:p>
        </w:tc>
      </w:tr>
      <w:tr w14:paraId="6ED9EB28">
        <w:tblPrEx>
          <w:tblCellMar>
            <w:top w:w="0" w:type="dxa"/>
            <w:left w:w="108" w:type="dxa"/>
            <w:bottom w:w="0" w:type="dxa"/>
            <w:right w:w="108" w:type="dxa"/>
          </w:tblCellMar>
        </w:tblPrEx>
        <w:trPr>
          <w:cantSplit/>
          <w:trHeight w:val="653" w:hRule="atLeast"/>
        </w:trPr>
        <w:tc>
          <w:tcPr>
            <w:tcW w:w="1540" w:type="dxa"/>
            <w:noWrap w:val="0"/>
            <w:vAlign w:val="center"/>
          </w:tcPr>
          <w:p w14:paraId="1F9C5646">
            <w:pPr>
              <w:spacing w:line="440" w:lineRule="exact"/>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帐号</w:t>
            </w:r>
          </w:p>
        </w:tc>
        <w:tc>
          <w:tcPr>
            <w:tcW w:w="2796" w:type="dxa"/>
            <w:noWrap w:val="0"/>
            <w:vAlign w:val="center"/>
          </w:tcPr>
          <w:p w14:paraId="5D2A2794">
            <w:pPr>
              <w:spacing w:line="440" w:lineRule="exact"/>
              <w:jc w:val="center"/>
              <w:rPr>
                <w:rFonts w:hint="eastAsia" w:ascii="仿宋" w:hAnsi="仿宋" w:eastAsia="仿宋" w:cs="仿宋"/>
                <w:kern w:val="0"/>
                <w:sz w:val="24"/>
                <w:highlight w:val="none"/>
              </w:rPr>
            </w:pPr>
          </w:p>
        </w:tc>
        <w:tc>
          <w:tcPr>
            <w:tcW w:w="1527" w:type="dxa"/>
            <w:noWrap w:val="0"/>
            <w:vAlign w:val="center"/>
          </w:tcPr>
          <w:p w14:paraId="6BC029B3">
            <w:pPr>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帐号</w:t>
            </w:r>
          </w:p>
        </w:tc>
        <w:tc>
          <w:tcPr>
            <w:tcW w:w="3288" w:type="dxa"/>
            <w:noWrap w:val="0"/>
            <w:vAlign w:val="center"/>
          </w:tcPr>
          <w:p w14:paraId="235F73C3">
            <w:pPr>
              <w:spacing w:line="440" w:lineRule="exact"/>
              <w:jc w:val="center"/>
              <w:rPr>
                <w:rFonts w:hint="eastAsia" w:ascii="仿宋" w:hAnsi="仿宋" w:eastAsia="仿宋" w:cs="仿宋"/>
                <w:kern w:val="0"/>
                <w:sz w:val="24"/>
                <w:highlight w:val="none"/>
              </w:rPr>
            </w:pPr>
          </w:p>
        </w:tc>
      </w:tr>
    </w:tbl>
    <w:p w14:paraId="76F9D100">
      <w:pPr>
        <w:pStyle w:val="74"/>
        <w:rPr>
          <w:rFonts w:hint="eastAsia" w:eastAsia="宋体"/>
          <w:lang w:val="en-US" w:eastAsia="zh-CN"/>
        </w:rPr>
      </w:pPr>
    </w:p>
    <w:p w14:paraId="27C23A0E">
      <w:pPr>
        <w:rPr>
          <w:rFonts w:hint="eastAsia" w:eastAsia="宋体"/>
          <w:lang w:val="en-US" w:eastAsia="zh-CN"/>
        </w:rPr>
      </w:pPr>
    </w:p>
    <w:p w14:paraId="754E3C5D">
      <w:pPr>
        <w:rPr>
          <w:rFonts w:hint="eastAsia" w:eastAsia="宋体"/>
          <w:lang w:val="en-US" w:eastAsia="zh-CN"/>
        </w:rPr>
      </w:pPr>
    </w:p>
    <w:p w14:paraId="4B54ECAB">
      <w:pPr>
        <w:rPr>
          <w:rFonts w:hint="eastAsia" w:eastAsia="宋体"/>
          <w:lang w:val="en-US" w:eastAsia="zh-CN"/>
        </w:rPr>
      </w:pPr>
    </w:p>
    <w:p w14:paraId="6CD429B9">
      <w:pPr>
        <w:rPr>
          <w:rFonts w:hint="eastAsia" w:eastAsia="宋体"/>
          <w:lang w:val="en-US" w:eastAsia="zh-CN"/>
        </w:rPr>
      </w:pPr>
    </w:p>
    <w:p w14:paraId="7D3096C2">
      <w:pPr>
        <w:pStyle w:val="73"/>
        <w:rPr>
          <w:rFonts w:hint="eastAsia"/>
        </w:rPr>
      </w:pPr>
    </w:p>
    <w:p w14:paraId="4944FC5F">
      <w:pPr>
        <w:pStyle w:val="74"/>
        <w:rPr>
          <w:rFonts w:hint="eastAsia"/>
        </w:rPr>
      </w:pPr>
    </w:p>
    <w:p w14:paraId="5EE22D82">
      <w:pPr>
        <w:rPr>
          <w:rFonts w:hint="eastAsia"/>
        </w:rPr>
      </w:pPr>
    </w:p>
    <w:bookmarkEnd w:id="54"/>
    <w:bookmarkEnd w:id="55"/>
    <w:p w14:paraId="619421EA">
      <w:pPr>
        <w:spacing w:line="336" w:lineRule="auto"/>
        <w:jc w:val="center"/>
        <w:outlineLvl w:val="0"/>
        <w:rPr>
          <w:rFonts w:hint="eastAsia" w:ascii="仿宋" w:hAnsi="仿宋" w:eastAsia="仿宋" w:cs="仿宋"/>
          <w:b/>
          <w:color w:val="auto"/>
          <w:sz w:val="36"/>
          <w:szCs w:val="36"/>
        </w:rPr>
      </w:pPr>
      <w:bookmarkStart w:id="91" w:name="第四部分"/>
      <w:r>
        <w:rPr>
          <w:rFonts w:hint="eastAsia" w:ascii="仿宋" w:hAnsi="仿宋" w:eastAsia="仿宋" w:cs="仿宋"/>
          <w:b/>
          <w:color w:val="auto"/>
          <w:sz w:val="36"/>
          <w:szCs w:val="36"/>
        </w:rPr>
        <w:t xml:space="preserve">第六部分 </w:t>
      </w:r>
      <w:r>
        <w:rPr>
          <w:rFonts w:hint="default" w:ascii="仿宋" w:hAnsi="仿宋" w:eastAsia="仿宋" w:cs="仿宋"/>
          <w:b/>
          <w:color w:val="auto"/>
          <w:sz w:val="36"/>
          <w:szCs w:val="36"/>
          <w:lang w:val="en-US"/>
        </w:rPr>
        <w:t>磋商响应文件及其附件格式</w:t>
      </w:r>
    </w:p>
    <w:p w14:paraId="02214A34">
      <w:pPr>
        <w:pStyle w:val="74"/>
        <w:spacing w:line="336" w:lineRule="auto"/>
        <w:ind w:left="0"/>
        <w:rPr>
          <w:rFonts w:ascii="仿宋" w:hAnsi="仿宋" w:eastAsia="仿宋" w:cs="仿宋"/>
          <w:b/>
          <w:sz w:val="24"/>
        </w:rPr>
      </w:pPr>
    </w:p>
    <w:p w14:paraId="4321DF28">
      <w:pPr>
        <w:spacing w:line="336" w:lineRule="auto"/>
        <w:rPr>
          <w:rFonts w:ascii="仿宋" w:hAnsi="仿宋" w:eastAsia="仿宋" w:cs="仿宋"/>
          <w:b/>
          <w:kern w:val="0"/>
          <w:sz w:val="24"/>
        </w:rPr>
      </w:pPr>
    </w:p>
    <w:p w14:paraId="3E079D76">
      <w:pPr>
        <w:pStyle w:val="73"/>
        <w:spacing w:line="336" w:lineRule="auto"/>
        <w:rPr>
          <w:rFonts w:ascii="仿宋" w:hAnsi="仿宋" w:eastAsia="仿宋" w:cs="仿宋"/>
        </w:rPr>
      </w:pPr>
    </w:p>
    <w:bookmarkEnd w:id="91"/>
    <w:p w14:paraId="1F2C4283">
      <w:pPr>
        <w:pStyle w:val="3"/>
        <w:numPr>
          <w:ilvl w:val="0"/>
          <w:numId w:val="0"/>
        </w:numPr>
        <w:tabs>
          <w:tab w:val="left" w:pos="358"/>
        </w:tabs>
        <w:spacing w:line="360" w:lineRule="auto"/>
        <w:ind w:leftChars="0"/>
        <w:jc w:val="center"/>
        <w:rPr>
          <w:rFonts w:hint="eastAsia" w:ascii="仿宋" w:eastAsia="仿宋" w:cs="仿宋"/>
          <w:bCs/>
          <w:kern w:val="21"/>
          <w:sz w:val="32"/>
          <w:szCs w:val="32"/>
          <w:lang w:val="en-US" w:eastAsia="zh-CN"/>
        </w:rPr>
      </w:pPr>
      <w:r>
        <w:rPr>
          <w:rFonts w:hint="eastAsia" w:ascii="仿宋" w:eastAsia="仿宋" w:cs="仿宋"/>
          <w:bCs/>
          <w:kern w:val="21"/>
          <w:sz w:val="32"/>
          <w:szCs w:val="32"/>
          <w:lang w:val="en-US" w:eastAsia="zh-CN"/>
        </w:rPr>
        <w:t>资格文件部分</w:t>
      </w:r>
    </w:p>
    <w:p w14:paraId="1A2E7EFD">
      <w:pPr>
        <w:pStyle w:val="3"/>
        <w:numPr>
          <w:ilvl w:val="0"/>
          <w:numId w:val="0"/>
        </w:numPr>
        <w:tabs>
          <w:tab w:val="left" w:pos="358"/>
        </w:tabs>
        <w:spacing w:line="360" w:lineRule="auto"/>
        <w:ind w:leftChars="0"/>
        <w:jc w:val="center"/>
        <w:rPr>
          <w:rFonts w:hint="eastAsia" w:ascii="仿宋" w:eastAsia="仿宋" w:cs="仿宋"/>
          <w:bCs/>
          <w:kern w:val="21"/>
          <w:sz w:val="32"/>
          <w:szCs w:val="32"/>
          <w:lang w:val="en-US" w:eastAsia="zh-CN"/>
        </w:rPr>
      </w:pPr>
      <w:r>
        <w:rPr>
          <w:rFonts w:hint="eastAsia" w:ascii="仿宋" w:eastAsia="仿宋" w:cs="仿宋"/>
          <w:bCs/>
          <w:kern w:val="21"/>
          <w:sz w:val="32"/>
          <w:szCs w:val="32"/>
          <w:lang w:val="en-US" w:eastAsia="zh-CN"/>
        </w:rPr>
        <w:t>目录</w:t>
      </w:r>
    </w:p>
    <w:p w14:paraId="5070235E">
      <w:pPr>
        <w:bidi w:val="0"/>
      </w:pPr>
    </w:p>
    <w:p w14:paraId="551790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65AFCB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2B434B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139BAA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10AC5F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p>
    <w:p w14:paraId="61985E0D">
      <w:pPr>
        <w:spacing w:line="336" w:lineRule="auto"/>
        <w:rPr>
          <w:rFonts w:ascii="仿宋" w:hAnsi="仿宋" w:eastAsia="仿宋" w:cs="仿宋"/>
          <w:sz w:val="24"/>
        </w:rPr>
      </w:pPr>
      <w:r>
        <w:rPr>
          <w:rFonts w:hint="eastAsia" w:ascii="仿宋" w:hAnsi="仿宋" w:eastAsia="仿宋" w:cs="仿宋"/>
          <w:szCs w:val="36"/>
        </w:rPr>
        <w:br w:type="page"/>
      </w:r>
    </w:p>
    <w:p w14:paraId="6BBA2F53">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4782F66F">
      <w:pPr>
        <w:snapToGrid w:val="0"/>
        <w:spacing w:line="360" w:lineRule="auto"/>
        <w:ind w:right="480"/>
        <w:jc w:val="center"/>
        <w:rPr>
          <w:rFonts w:hint="eastAsia" w:ascii="仿宋" w:hAnsi="仿宋" w:eastAsia="仿宋" w:cs="仿宋"/>
          <w:b/>
          <w:color w:val="auto"/>
          <w:kern w:val="0"/>
          <w:sz w:val="32"/>
          <w:szCs w:val="32"/>
          <w:lang w:val="en-US" w:eastAsia="zh-CN"/>
        </w:rPr>
      </w:pPr>
    </w:p>
    <w:p w14:paraId="33619149">
      <w:pPr>
        <w:snapToGrid w:val="0"/>
        <w:spacing w:line="360" w:lineRule="auto"/>
        <w:ind w:right="480"/>
        <w:jc w:val="center"/>
        <w:rPr>
          <w:rFonts w:hint="eastAsia" w:ascii="仿宋" w:hAnsi="仿宋" w:eastAsia="仿宋" w:cs="仿宋"/>
          <w:b/>
          <w:color w:val="auto"/>
          <w:kern w:val="0"/>
          <w:sz w:val="32"/>
          <w:szCs w:val="32"/>
          <w:lang w:val="en-US" w:eastAsia="zh-CN"/>
        </w:rPr>
      </w:pPr>
    </w:p>
    <w:p w14:paraId="7AD3FA0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04197BA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A4CE32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7BCD26D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7E8F50D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551C802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E9CDB2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749E741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3C1AED7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70DD9BA">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0BE5DFB0">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日期：</w:t>
      </w:r>
      <w:r>
        <w:rPr>
          <w:rFonts w:hint="eastAsia" w:ascii="仿宋" w:hAnsi="仿宋" w:eastAsia="仿宋" w:cs="仿宋"/>
          <w:color w:val="auto"/>
          <w:sz w:val="24"/>
        </w:rPr>
        <w:t>年   月   日</w:t>
      </w:r>
    </w:p>
    <w:p w14:paraId="41117D75">
      <w:pPr>
        <w:snapToGrid w:val="0"/>
        <w:spacing w:line="360" w:lineRule="auto"/>
        <w:ind w:right="480"/>
        <w:jc w:val="center"/>
        <w:rPr>
          <w:rFonts w:hint="eastAsia" w:ascii="仿宋" w:hAnsi="仿宋" w:eastAsia="仿宋" w:cs="仿宋"/>
          <w:b/>
          <w:color w:val="auto"/>
          <w:kern w:val="0"/>
          <w:sz w:val="32"/>
          <w:szCs w:val="32"/>
          <w:lang w:val="en-US" w:eastAsia="zh-CN"/>
        </w:rPr>
      </w:pPr>
    </w:p>
    <w:p w14:paraId="47523746">
      <w:pPr>
        <w:snapToGrid w:val="0"/>
        <w:spacing w:line="360" w:lineRule="auto"/>
        <w:ind w:right="480"/>
        <w:jc w:val="center"/>
        <w:rPr>
          <w:rFonts w:hint="eastAsia" w:ascii="仿宋" w:hAnsi="仿宋" w:eastAsia="仿宋" w:cs="仿宋"/>
          <w:b/>
          <w:color w:val="auto"/>
          <w:kern w:val="0"/>
          <w:sz w:val="32"/>
          <w:szCs w:val="32"/>
          <w:lang w:val="en-US" w:eastAsia="zh-CN"/>
        </w:rPr>
      </w:pPr>
    </w:p>
    <w:p w14:paraId="1B02CBDB">
      <w:pPr>
        <w:snapToGrid w:val="0"/>
        <w:spacing w:line="360" w:lineRule="auto"/>
        <w:ind w:right="480"/>
        <w:jc w:val="center"/>
        <w:rPr>
          <w:rFonts w:hint="eastAsia" w:ascii="仿宋" w:hAnsi="仿宋" w:eastAsia="仿宋" w:cs="仿宋"/>
          <w:b/>
          <w:color w:val="auto"/>
          <w:kern w:val="0"/>
          <w:sz w:val="32"/>
          <w:szCs w:val="32"/>
          <w:lang w:val="en-US" w:eastAsia="zh-CN"/>
        </w:rPr>
      </w:pPr>
    </w:p>
    <w:p w14:paraId="1316923F">
      <w:pPr>
        <w:snapToGrid w:val="0"/>
        <w:spacing w:line="360" w:lineRule="auto"/>
        <w:ind w:right="480"/>
        <w:jc w:val="center"/>
        <w:rPr>
          <w:rFonts w:hint="eastAsia" w:ascii="仿宋" w:hAnsi="仿宋" w:eastAsia="仿宋" w:cs="仿宋"/>
          <w:b/>
          <w:color w:val="auto"/>
          <w:kern w:val="0"/>
          <w:sz w:val="32"/>
          <w:szCs w:val="32"/>
          <w:lang w:val="en-US" w:eastAsia="zh-CN"/>
        </w:rPr>
      </w:pPr>
    </w:p>
    <w:p w14:paraId="03DBB868">
      <w:pPr>
        <w:snapToGrid w:val="0"/>
        <w:spacing w:line="360" w:lineRule="auto"/>
        <w:ind w:right="480"/>
        <w:jc w:val="center"/>
        <w:rPr>
          <w:rFonts w:hint="eastAsia" w:ascii="仿宋" w:hAnsi="仿宋" w:eastAsia="仿宋" w:cs="仿宋"/>
          <w:b/>
          <w:color w:val="auto"/>
          <w:kern w:val="0"/>
          <w:sz w:val="32"/>
          <w:szCs w:val="32"/>
          <w:lang w:val="en-US" w:eastAsia="zh-CN"/>
        </w:rPr>
      </w:pPr>
    </w:p>
    <w:p w14:paraId="4CC3CAC7">
      <w:pPr>
        <w:snapToGrid w:val="0"/>
        <w:spacing w:line="360" w:lineRule="auto"/>
        <w:ind w:right="480"/>
        <w:jc w:val="center"/>
        <w:rPr>
          <w:rFonts w:hint="eastAsia" w:ascii="仿宋" w:hAnsi="仿宋" w:eastAsia="仿宋" w:cs="仿宋"/>
          <w:b/>
          <w:color w:val="auto"/>
          <w:kern w:val="0"/>
          <w:sz w:val="32"/>
          <w:szCs w:val="32"/>
          <w:lang w:val="en-US" w:eastAsia="zh-CN"/>
        </w:rPr>
      </w:pPr>
    </w:p>
    <w:p w14:paraId="3E20C14F">
      <w:pPr>
        <w:snapToGrid w:val="0"/>
        <w:spacing w:line="360" w:lineRule="auto"/>
        <w:ind w:right="480"/>
        <w:jc w:val="center"/>
        <w:rPr>
          <w:rFonts w:hint="eastAsia" w:ascii="仿宋" w:hAnsi="仿宋" w:eastAsia="仿宋" w:cs="仿宋"/>
          <w:b/>
          <w:color w:val="auto"/>
          <w:kern w:val="0"/>
          <w:sz w:val="32"/>
          <w:szCs w:val="32"/>
          <w:lang w:val="en-US" w:eastAsia="zh-CN"/>
        </w:rPr>
      </w:pPr>
    </w:p>
    <w:p w14:paraId="5DC48DF6">
      <w:pPr>
        <w:snapToGrid w:val="0"/>
        <w:spacing w:line="360" w:lineRule="auto"/>
        <w:ind w:right="480"/>
        <w:jc w:val="center"/>
        <w:rPr>
          <w:rFonts w:hint="eastAsia" w:ascii="仿宋" w:hAnsi="仿宋" w:eastAsia="仿宋" w:cs="仿宋"/>
          <w:b/>
          <w:color w:val="auto"/>
          <w:kern w:val="0"/>
          <w:sz w:val="32"/>
          <w:szCs w:val="32"/>
          <w:lang w:val="en-US" w:eastAsia="zh-CN"/>
        </w:rPr>
      </w:pPr>
    </w:p>
    <w:p w14:paraId="67E91599">
      <w:pPr>
        <w:jc w:val="center"/>
        <w:rPr>
          <w:rFonts w:hint="eastAsia" w:ascii="仿宋" w:hAnsi="仿宋" w:eastAsia="仿宋" w:cs="仿宋"/>
          <w:b/>
          <w:color w:val="auto"/>
          <w:kern w:val="0"/>
          <w:sz w:val="32"/>
          <w:szCs w:val="32"/>
          <w:lang w:val="en-US" w:eastAsia="zh-CN"/>
        </w:rPr>
      </w:pPr>
    </w:p>
    <w:p w14:paraId="0B27607B">
      <w:pPr>
        <w:jc w:val="center"/>
        <w:rPr>
          <w:rFonts w:hint="eastAsia" w:ascii="仿宋" w:hAnsi="仿宋" w:eastAsia="仿宋" w:cs="仿宋"/>
          <w:b/>
          <w:color w:val="auto"/>
          <w:kern w:val="0"/>
          <w:sz w:val="32"/>
          <w:szCs w:val="32"/>
          <w:lang w:val="en-US" w:eastAsia="zh-CN"/>
        </w:rPr>
      </w:pPr>
    </w:p>
    <w:p w14:paraId="15A293FF">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三、法定代表人授权委托书及授权代表社保证明（若委托）</w:t>
      </w:r>
    </w:p>
    <w:p w14:paraId="3AAE9776">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448C527">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8A208B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3FB73672">
      <w:pPr>
        <w:snapToGrid w:val="0"/>
        <w:spacing w:line="600" w:lineRule="exact"/>
        <w:jc w:val="left"/>
        <w:rPr>
          <w:rFonts w:hint="eastAsia" w:ascii="仿宋" w:hAnsi="仿宋" w:eastAsia="仿宋" w:cs="仿宋"/>
          <w:color w:val="auto"/>
          <w:sz w:val="24"/>
        </w:rPr>
      </w:pPr>
    </w:p>
    <w:p w14:paraId="5384B46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C0F861">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545E5AD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158749F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21E94E1F">
      <w:pPr>
        <w:keepNext w:val="0"/>
        <w:keepLines w:val="0"/>
        <w:pageBreakBefore w:val="0"/>
        <w:kinsoku/>
        <w:wordWrap/>
        <w:overflowPunct/>
        <w:topLinePunct w:val="0"/>
        <w:autoSpaceDE/>
        <w:autoSpaceDN/>
        <w:bidi w:val="0"/>
        <w:adjustRightInd w:val="0"/>
        <w:spacing w:line="360" w:lineRule="auto"/>
        <w:ind w:firstLine="5760" w:firstLineChars="24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D72F679">
      <w:pPr>
        <w:keepNext w:val="0"/>
        <w:keepLines w:val="0"/>
        <w:pageBreakBefore w:val="0"/>
        <w:kinsoku/>
        <w:wordWrap/>
        <w:overflowPunct/>
        <w:topLinePunct w:val="0"/>
        <w:autoSpaceDE/>
        <w:autoSpaceDN/>
        <w:bidi w:val="0"/>
        <w:adjustRightInd w:val="0"/>
        <w:spacing w:line="360" w:lineRule="auto"/>
        <w:ind w:firstLine="5760" w:firstLineChars="2400"/>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39782B1C">
      <w:pPr>
        <w:snapToGrid w:val="0"/>
        <w:spacing w:line="360" w:lineRule="auto"/>
        <w:ind w:right="480" w:firstLine="5760" w:firstLineChars="2400"/>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6B373908">
      <w:pPr>
        <w:snapToGrid w:val="0"/>
        <w:spacing w:line="360" w:lineRule="auto"/>
        <w:ind w:right="480"/>
        <w:jc w:val="both"/>
        <w:rPr>
          <w:rFonts w:hint="eastAsia" w:ascii="仿宋" w:hAnsi="仿宋" w:eastAsia="仿宋" w:cs="仿宋"/>
          <w:b/>
          <w:color w:val="auto"/>
          <w:kern w:val="0"/>
          <w:sz w:val="32"/>
          <w:szCs w:val="32"/>
          <w:lang w:val="en-US" w:eastAsia="zh-CN"/>
        </w:rPr>
      </w:pPr>
    </w:p>
    <w:p w14:paraId="78532D3C">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2AAD6FB7">
      <w:pPr>
        <w:snapToGrid w:val="0"/>
        <w:spacing w:line="360" w:lineRule="auto"/>
        <w:ind w:right="480"/>
        <w:jc w:val="center"/>
        <w:rPr>
          <w:rFonts w:hint="eastAsia" w:ascii="仿宋" w:hAnsi="仿宋" w:eastAsia="仿宋" w:cs="仿宋"/>
          <w:b/>
          <w:color w:val="auto"/>
          <w:kern w:val="0"/>
          <w:sz w:val="32"/>
          <w:szCs w:val="32"/>
          <w:lang w:val="en-US" w:eastAsia="zh-CN"/>
        </w:rPr>
      </w:pPr>
    </w:p>
    <w:p w14:paraId="3658E098">
      <w:pPr>
        <w:pStyle w:val="73"/>
        <w:rPr>
          <w:rFonts w:hint="eastAsia" w:ascii="仿宋" w:hAnsi="仿宋" w:eastAsia="仿宋" w:cs="仿宋"/>
          <w:b/>
          <w:color w:val="auto"/>
          <w:kern w:val="0"/>
          <w:sz w:val="32"/>
          <w:szCs w:val="32"/>
          <w:lang w:val="en-US" w:eastAsia="zh-CN"/>
        </w:rPr>
      </w:pPr>
    </w:p>
    <w:p w14:paraId="7A169BC6">
      <w:pPr>
        <w:pStyle w:val="74"/>
        <w:rPr>
          <w:rFonts w:hint="eastAsia" w:ascii="仿宋" w:hAnsi="仿宋" w:eastAsia="仿宋" w:cs="仿宋"/>
          <w:b/>
          <w:color w:val="auto"/>
          <w:kern w:val="0"/>
          <w:sz w:val="32"/>
          <w:szCs w:val="32"/>
          <w:lang w:val="en-US" w:eastAsia="zh-CN"/>
        </w:rPr>
      </w:pPr>
    </w:p>
    <w:p w14:paraId="553B26A3">
      <w:pPr>
        <w:rPr>
          <w:rFonts w:hint="eastAsia"/>
          <w:lang w:val="en-US" w:eastAsia="zh-CN"/>
        </w:rPr>
      </w:pPr>
    </w:p>
    <w:p w14:paraId="53AF7B00">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2582D07B">
      <w:pPr>
        <w:snapToGrid w:val="0"/>
        <w:spacing w:line="360" w:lineRule="auto"/>
        <w:rPr>
          <w:rFonts w:hint="eastAsia" w:ascii="仿宋" w:hAnsi="仿宋" w:eastAsia="仿宋" w:cs="仿宋"/>
          <w:color w:val="auto"/>
          <w:sz w:val="24"/>
          <w:lang w:eastAsia="zh-CN"/>
        </w:rPr>
      </w:pPr>
    </w:p>
    <w:p w14:paraId="06A6CAE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嵊州市石璜镇人民政府、绍兴市千目招标代理有限公司</w:t>
      </w:r>
      <w:r>
        <w:rPr>
          <w:rFonts w:hint="eastAsia" w:ascii="仿宋" w:hAnsi="仿宋" w:eastAsia="仿宋" w:cs="仿宋"/>
          <w:color w:val="auto"/>
          <w:sz w:val="24"/>
        </w:rPr>
        <w:t>：</w:t>
      </w:r>
    </w:p>
    <w:p w14:paraId="20AED8C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嵊州市石璜镇2024年4个“百亩方”（寺新村、雅宅村、范油车村、白竹村、溪西村）永久基本农田连片整治工程项目方案编制服务项目</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编号：SXQM-SZ202412-13YNN】政府采购活动，郑重承诺：</w:t>
      </w:r>
    </w:p>
    <w:p w14:paraId="580E610B">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1A801D10">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6FB1D9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7A8D44E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93053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7E4CED2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37ABDE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5322BB8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82B4FD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4A74C03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8A0894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65D15C93">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0EA2062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540C057">
      <w:pPr>
        <w:snapToGrid w:val="0"/>
        <w:spacing w:line="360" w:lineRule="auto"/>
        <w:ind w:right="480"/>
        <w:jc w:val="both"/>
        <w:rPr>
          <w:rFonts w:hint="eastAsia" w:ascii="仿宋" w:hAnsi="仿宋" w:eastAsia="仿宋" w:cs="仿宋"/>
          <w:b/>
          <w:color w:val="auto"/>
          <w:kern w:val="0"/>
          <w:sz w:val="32"/>
          <w:szCs w:val="32"/>
        </w:rPr>
      </w:pPr>
    </w:p>
    <w:p w14:paraId="47D69F94">
      <w:pPr>
        <w:widowControl/>
        <w:spacing w:line="360" w:lineRule="auto"/>
        <w:jc w:val="center"/>
        <w:rPr>
          <w:rFonts w:hint="eastAsia" w:ascii="仿宋" w:hAnsi="仿宋" w:eastAsia="仿宋" w:cs="仿宋"/>
          <w:b/>
          <w:color w:val="auto"/>
          <w:kern w:val="0"/>
          <w:sz w:val="32"/>
          <w:szCs w:val="32"/>
          <w:lang w:val="en-US" w:eastAsia="zh-CN"/>
        </w:rPr>
      </w:pPr>
    </w:p>
    <w:p w14:paraId="5E40A850">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5F9CD332">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p>
    <w:p w14:paraId="2095D668">
      <w:pPr>
        <w:widowControl/>
        <w:spacing w:line="360" w:lineRule="auto"/>
        <w:ind w:firstLine="161" w:firstLineChars="50"/>
        <w:jc w:val="center"/>
        <w:rPr>
          <w:rFonts w:hint="eastAsia" w:ascii="仿宋" w:hAnsi="仿宋" w:eastAsia="仿宋" w:cs="仿宋"/>
          <w:b/>
          <w:color w:val="auto"/>
          <w:sz w:val="32"/>
          <w:szCs w:val="32"/>
          <w:lang w:eastAsia="zh-CN"/>
        </w:rPr>
      </w:pPr>
    </w:p>
    <w:p w14:paraId="3B702670">
      <w:pPr>
        <w:widowControl/>
        <w:spacing w:line="360" w:lineRule="auto"/>
        <w:jc w:val="both"/>
        <w:rPr>
          <w:rFonts w:hint="eastAsia" w:ascii="仿宋" w:hAnsi="仿宋" w:eastAsia="仿宋" w:cs="仿宋"/>
          <w:b/>
          <w:color w:val="auto"/>
          <w:sz w:val="32"/>
          <w:szCs w:val="32"/>
          <w:lang w:eastAsia="zh-CN"/>
        </w:rPr>
      </w:pPr>
    </w:p>
    <w:p w14:paraId="73DC49FD">
      <w:pPr>
        <w:widowControl/>
        <w:spacing w:line="360" w:lineRule="auto"/>
        <w:ind w:firstLine="161" w:firstLineChars="50"/>
        <w:jc w:val="center"/>
        <w:rPr>
          <w:rFonts w:hint="eastAsia" w:ascii="仿宋" w:hAnsi="仿宋" w:eastAsia="仿宋" w:cs="仿宋"/>
          <w:b/>
          <w:color w:val="auto"/>
          <w:sz w:val="32"/>
          <w:szCs w:val="32"/>
          <w:lang w:eastAsia="zh-CN"/>
        </w:rPr>
      </w:pPr>
    </w:p>
    <w:p w14:paraId="2A929B3F">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3D01AD74">
      <w:pPr>
        <w:pStyle w:val="23"/>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1</w:t>
      </w:r>
      <w:r>
        <w:rPr>
          <w:rFonts w:hint="eastAsia" w:ascii="仿宋" w:hAnsi="仿宋" w:eastAsia="仿宋" w:cs="仿宋"/>
          <w:b/>
          <w:color w:val="auto"/>
          <w:sz w:val="24"/>
          <w:lang w:eastAsia="zh-CN"/>
        </w:rPr>
        <w:t>)，否则不需要提供。]</w:t>
      </w:r>
    </w:p>
    <w:p w14:paraId="5FBC1472">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72A70A7A">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D2E1FBB">
      <w:pPr>
        <w:pStyle w:val="118"/>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39465EE">
      <w:pPr>
        <w:pStyle w:val="118"/>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13785683">
      <w:pPr>
        <w:pStyle w:val="23"/>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)，否则不需要提供。]</w:t>
      </w:r>
    </w:p>
    <w:p w14:paraId="6503B278">
      <w:pPr>
        <w:widowControl/>
        <w:spacing w:line="360" w:lineRule="auto"/>
        <w:ind w:left="150"/>
        <w:jc w:val="center"/>
        <w:rPr>
          <w:rFonts w:hint="eastAsia" w:ascii="仿宋" w:hAnsi="仿宋" w:eastAsia="仿宋" w:cs="仿宋"/>
          <w:b/>
          <w:color w:val="auto"/>
          <w:kern w:val="0"/>
          <w:sz w:val="32"/>
          <w:szCs w:val="32"/>
          <w:lang w:eastAsia="zh-CN"/>
        </w:rPr>
      </w:pPr>
    </w:p>
    <w:p w14:paraId="1296693C">
      <w:pPr>
        <w:widowControl/>
        <w:spacing w:line="360" w:lineRule="auto"/>
        <w:ind w:left="150"/>
        <w:jc w:val="center"/>
        <w:rPr>
          <w:rFonts w:hint="eastAsia" w:ascii="仿宋" w:hAnsi="仿宋" w:eastAsia="仿宋" w:cs="仿宋"/>
          <w:b/>
          <w:color w:val="auto"/>
          <w:kern w:val="0"/>
          <w:sz w:val="32"/>
          <w:szCs w:val="32"/>
          <w:lang w:eastAsia="zh-CN"/>
        </w:rPr>
      </w:pPr>
    </w:p>
    <w:p w14:paraId="60775B73">
      <w:pPr>
        <w:widowControl/>
        <w:spacing w:line="360" w:lineRule="auto"/>
        <w:ind w:left="150"/>
        <w:jc w:val="center"/>
        <w:rPr>
          <w:rFonts w:hint="eastAsia" w:ascii="仿宋" w:hAnsi="仿宋" w:eastAsia="仿宋" w:cs="仿宋"/>
          <w:b/>
          <w:color w:val="auto"/>
          <w:kern w:val="0"/>
          <w:sz w:val="32"/>
          <w:szCs w:val="32"/>
          <w:lang w:val="en-US" w:eastAsia="zh-CN"/>
        </w:rPr>
      </w:pPr>
    </w:p>
    <w:p w14:paraId="57BBA1B1">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、本项目的特定资格要求</w:t>
      </w:r>
    </w:p>
    <w:p w14:paraId="6CD0FB3E">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（根据招标公告本项目的特定资格要求提供相应的材料）</w:t>
      </w:r>
    </w:p>
    <w:p w14:paraId="5C66A4FD">
      <w:pPr>
        <w:snapToGrid w:val="0"/>
        <w:spacing w:line="336" w:lineRule="auto"/>
        <w:rPr>
          <w:rFonts w:ascii="仿宋" w:hAnsi="仿宋" w:eastAsia="仿宋" w:cs="仿宋"/>
          <w:kern w:val="0"/>
          <w:sz w:val="24"/>
          <w:lang w:val="zh-CN"/>
        </w:rPr>
      </w:pPr>
    </w:p>
    <w:p w14:paraId="5CBEA475">
      <w:pPr>
        <w:pStyle w:val="3"/>
        <w:numPr>
          <w:ilvl w:val="0"/>
          <w:numId w:val="0"/>
        </w:numPr>
        <w:tabs>
          <w:tab w:val="left" w:pos="358"/>
        </w:tabs>
        <w:spacing w:line="360" w:lineRule="auto"/>
        <w:ind w:leftChars="0"/>
        <w:jc w:val="center"/>
        <w:rPr>
          <w:rFonts w:hint="eastAsia" w:ascii="仿宋" w:eastAsia="仿宋" w:cs="仿宋"/>
          <w:bCs/>
          <w:kern w:val="21"/>
          <w:sz w:val="32"/>
          <w:szCs w:val="32"/>
          <w:lang w:val="en-US" w:eastAsia="zh-CN"/>
        </w:rPr>
      </w:pPr>
      <w:r>
        <w:rPr>
          <w:rFonts w:hint="eastAsia" w:ascii="仿宋" w:eastAsia="仿宋" w:cs="仿宋"/>
          <w:bCs/>
          <w:kern w:val="21"/>
          <w:sz w:val="32"/>
          <w:szCs w:val="32"/>
          <w:lang w:val="en-US" w:eastAsia="zh-CN"/>
        </w:rPr>
        <w:t>商务技术文件部分</w:t>
      </w:r>
    </w:p>
    <w:p w14:paraId="29ABCBD0">
      <w:pPr>
        <w:pStyle w:val="3"/>
        <w:numPr>
          <w:ilvl w:val="0"/>
          <w:numId w:val="0"/>
        </w:numPr>
        <w:tabs>
          <w:tab w:val="left" w:pos="358"/>
        </w:tabs>
        <w:spacing w:line="360" w:lineRule="auto"/>
        <w:ind w:leftChars="0"/>
        <w:jc w:val="center"/>
        <w:rPr>
          <w:rFonts w:hint="eastAsia" w:ascii="仿宋" w:eastAsia="仿宋" w:cs="仿宋"/>
          <w:bCs/>
          <w:kern w:val="21"/>
          <w:sz w:val="32"/>
          <w:szCs w:val="32"/>
          <w:lang w:val="en-US" w:eastAsia="zh-CN"/>
        </w:rPr>
      </w:pPr>
      <w:r>
        <w:rPr>
          <w:rFonts w:hint="eastAsia" w:ascii="仿宋" w:eastAsia="仿宋" w:cs="仿宋"/>
          <w:bCs/>
          <w:kern w:val="21"/>
          <w:sz w:val="32"/>
          <w:szCs w:val="32"/>
          <w:lang w:val="en-US" w:eastAsia="zh-CN"/>
        </w:rPr>
        <w:t>目录</w:t>
      </w:r>
    </w:p>
    <w:p w14:paraId="5B32BAA3">
      <w:pPr>
        <w:pStyle w:val="74"/>
        <w:rPr>
          <w:lang w:val="zh-CN"/>
        </w:rPr>
      </w:pPr>
    </w:p>
    <w:p w14:paraId="0AE08A8F">
      <w:pPr>
        <w:pStyle w:val="187"/>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624E94A5">
      <w:pPr>
        <w:pStyle w:val="187"/>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066F00F7">
      <w:pPr>
        <w:pStyle w:val="187"/>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CE5A1C7">
      <w:pPr>
        <w:pStyle w:val="187"/>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1E70531B">
      <w:pPr>
        <w:pStyle w:val="187"/>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53E96E9A">
      <w:pPr>
        <w:pStyle w:val="187"/>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7D81662E">
      <w:pPr>
        <w:pStyle w:val="187"/>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0F5A34E">
      <w:pPr>
        <w:pStyle w:val="187"/>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311F87B8">
      <w:pPr>
        <w:pStyle w:val="187"/>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1702A762">
      <w:pPr>
        <w:pStyle w:val="187"/>
        <w:numPr>
          <w:ilvl w:val="0"/>
          <w:numId w:val="10"/>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3915AB3E">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4F23ADE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3675342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595621A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7388DDD8">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val="en-US" w:eastAsia="zh-CN"/>
        </w:rPr>
      </w:pPr>
    </w:p>
    <w:p w14:paraId="0BA4B9CE">
      <w:pPr>
        <w:pStyle w:val="23"/>
        <w:rPr>
          <w:rFonts w:hint="eastAsia" w:ascii="仿宋" w:hAnsi="仿宋" w:eastAsia="仿宋" w:cs="仿宋"/>
          <w:b/>
          <w:kern w:val="0"/>
          <w:sz w:val="32"/>
          <w:szCs w:val="32"/>
          <w:lang w:val="en-US" w:eastAsia="zh-CN"/>
        </w:rPr>
      </w:pPr>
    </w:p>
    <w:p w14:paraId="26061336">
      <w:pPr>
        <w:pStyle w:val="24"/>
        <w:rPr>
          <w:rFonts w:hint="eastAsia" w:ascii="仿宋" w:hAnsi="仿宋" w:eastAsia="仿宋" w:cs="仿宋"/>
          <w:b/>
          <w:kern w:val="0"/>
          <w:sz w:val="32"/>
          <w:szCs w:val="32"/>
          <w:lang w:val="en-US" w:eastAsia="zh-CN"/>
        </w:rPr>
      </w:pPr>
    </w:p>
    <w:p w14:paraId="1F9228B6">
      <w:pPr>
        <w:rPr>
          <w:rFonts w:hint="eastAsia" w:ascii="仿宋" w:hAnsi="仿宋" w:eastAsia="仿宋" w:cs="仿宋"/>
          <w:b/>
          <w:kern w:val="0"/>
          <w:sz w:val="32"/>
          <w:szCs w:val="32"/>
          <w:lang w:val="en-US" w:eastAsia="zh-CN"/>
        </w:rPr>
      </w:pPr>
    </w:p>
    <w:p w14:paraId="2668BDDF">
      <w:pPr>
        <w:pStyle w:val="23"/>
        <w:rPr>
          <w:rFonts w:hint="eastAsia" w:ascii="仿宋" w:hAnsi="仿宋" w:eastAsia="仿宋" w:cs="仿宋"/>
          <w:b/>
          <w:kern w:val="0"/>
          <w:sz w:val="32"/>
          <w:szCs w:val="32"/>
          <w:lang w:val="en-US" w:eastAsia="zh-CN"/>
        </w:rPr>
      </w:pPr>
    </w:p>
    <w:p w14:paraId="558DCF7F">
      <w:pPr>
        <w:pStyle w:val="24"/>
        <w:rPr>
          <w:rFonts w:hint="eastAsia" w:ascii="仿宋" w:hAnsi="仿宋" w:eastAsia="仿宋" w:cs="仿宋"/>
          <w:b/>
          <w:kern w:val="0"/>
          <w:sz w:val="32"/>
          <w:szCs w:val="32"/>
          <w:lang w:val="en-US" w:eastAsia="zh-CN"/>
        </w:rPr>
      </w:pPr>
    </w:p>
    <w:p w14:paraId="7544ACEA">
      <w:pPr>
        <w:rPr>
          <w:rFonts w:hint="eastAsia" w:ascii="仿宋" w:hAnsi="仿宋" w:eastAsia="仿宋" w:cs="仿宋"/>
          <w:b/>
          <w:kern w:val="0"/>
          <w:sz w:val="32"/>
          <w:szCs w:val="32"/>
          <w:lang w:val="en-US" w:eastAsia="zh-CN"/>
        </w:rPr>
      </w:pPr>
    </w:p>
    <w:p w14:paraId="3DFD1558">
      <w:pPr>
        <w:pStyle w:val="23"/>
        <w:rPr>
          <w:rFonts w:hint="eastAsia" w:ascii="仿宋" w:hAnsi="仿宋" w:eastAsia="仿宋" w:cs="仿宋"/>
          <w:b/>
          <w:kern w:val="0"/>
          <w:sz w:val="32"/>
          <w:szCs w:val="32"/>
          <w:lang w:val="en-US" w:eastAsia="zh-CN"/>
        </w:rPr>
      </w:pPr>
    </w:p>
    <w:p w14:paraId="58177898">
      <w:pPr>
        <w:pStyle w:val="24"/>
        <w:rPr>
          <w:rFonts w:hint="eastAsia" w:ascii="仿宋" w:hAnsi="仿宋" w:eastAsia="仿宋" w:cs="仿宋"/>
          <w:b/>
          <w:kern w:val="0"/>
          <w:sz w:val="32"/>
          <w:szCs w:val="32"/>
          <w:lang w:val="en-US" w:eastAsia="zh-CN"/>
        </w:rPr>
      </w:pPr>
    </w:p>
    <w:p w14:paraId="73D9FCC4">
      <w:pPr>
        <w:rPr>
          <w:rFonts w:hint="eastAsia" w:ascii="仿宋" w:hAnsi="仿宋" w:eastAsia="仿宋" w:cs="仿宋"/>
          <w:b/>
          <w:kern w:val="0"/>
          <w:sz w:val="32"/>
          <w:szCs w:val="32"/>
          <w:lang w:val="en-US" w:eastAsia="zh-CN"/>
        </w:rPr>
      </w:pPr>
    </w:p>
    <w:p w14:paraId="633010B1">
      <w:pPr>
        <w:pStyle w:val="23"/>
        <w:rPr>
          <w:rFonts w:hint="eastAsia" w:ascii="仿宋" w:hAnsi="仿宋" w:eastAsia="仿宋" w:cs="仿宋"/>
          <w:b/>
          <w:kern w:val="0"/>
          <w:sz w:val="32"/>
          <w:szCs w:val="32"/>
          <w:lang w:val="en-US" w:eastAsia="zh-CN"/>
        </w:rPr>
      </w:pPr>
    </w:p>
    <w:p w14:paraId="14542C27">
      <w:pPr>
        <w:pStyle w:val="24"/>
        <w:rPr>
          <w:rFonts w:hint="eastAsia" w:ascii="仿宋" w:hAnsi="仿宋" w:eastAsia="仿宋" w:cs="仿宋"/>
          <w:b/>
          <w:kern w:val="0"/>
          <w:sz w:val="32"/>
          <w:szCs w:val="32"/>
          <w:lang w:val="en-US" w:eastAsia="zh-CN"/>
        </w:rPr>
      </w:pPr>
    </w:p>
    <w:p w14:paraId="51F1ADDD">
      <w:pPr>
        <w:rPr>
          <w:rFonts w:hint="eastAsia" w:ascii="仿宋" w:hAnsi="仿宋" w:eastAsia="仿宋" w:cs="仿宋"/>
          <w:b/>
          <w:kern w:val="0"/>
          <w:sz w:val="32"/>
          <w:szCs w:val="32"/>
          <w:lang w:val="en-US" w:eastAsia="zh-CN"/>
        </w:rPr>
      </w:pPr>
    </w:p>
    <w:p w14:paraId="038900CF">
      <w:pPr>
        <w:pStyle w:val="23"/>
        <w:rPr>
          <w:rFonts w:hint="eastAsia" w:ascii="仿宋" w:hAnsi="仿宋" w:eastAsia="仿宋" w:cs="仿宋"/>
          <w:b/>
          <w:kern w:val="0"/>
          <w:sz w:val="32"/>
          <w:szCs w:val="32"/>
          <w:lang w:val="en-US" w:eastAsia="zh-CN"/>
        </w:rPr>
      </w:pPr>
    </w:p>
    <w:p w14:paraId="3D799658">
      <w:pPr>
        <w:pStyle w:val="24"/>
        <w:rPr>
          <w:rFonts w:hint="eastAsia" w:ascii="仿宋" w:hAnsi="仿宋" w:eastAsia="仿宋" w:cs="仿宋"/>
          <w:b/>
          <w:kern w:val="0"/>
          <w:sz w:val="32"/>
          <w:szCs w:val="32"/>
          <w:lang w:val="en-US" w:eastAsia="zh-CN"/>
        </w:rPr>
      </w:pPr>
    </w:p>
    <w:p w14:paraId="29551268">
      <w:pPr>
        <w:rPr>
          <w:rFonts w:hint="eastAsia" w:ascii="仿宋" w:hAnsi="仿宋" w:eastAsia="仿宋" w:cs="仿宋"/>
          <w:b/>
          <w:kern w:val="0"/>
          <w:sz w:val="32"/>
          <w:szCs w:val="32"/>
          <w:lang w:val="en-US" w:eastAsia="zh-CN"/>
        </w:rPr>
      </w:pPr>
    </w:p>
    <w:p w14:paraId="53E94A16">
      <w:pPr>
        <w:pStyle w:val="23"/>
        <w:rPr>
          <w:rFonts w:hint="eastAsia" w:ascii="仿宋" w:hAnsi="仿宋" w:eastAsia="仿宋" w:cs="仿宋"/>
          <w:b/>
          <w:kern w:val="0"/>
          <w:sz w:val="32"/>
          <w:szCs w:val="32"/>
          <w:lang w:val="en-US" w:eastAsia="zh-CN"/>
        </w:rPr>
      </w:pPr>
    </w:p>
    <w:p w14:paraId="39A09E59">
      <w:pPr>
        <w:pStyle w:val="24"/>
        <w:rPr>
          <w:rFonts w:hint="eastAsia" w:ascii="仿宋" w:hAnsi="仿宋" w:eastAsia="仿宋" w:cs="仿宋"/>
          <w:b/>
          <w:kern w:val="0"/>
          <w:sz w:val="32"/>
          <w:szCs w:val="32"/>
          <w:lang w:val="en-US" w:eastAsia="zh-CN"/>
        </w:rPr>
      </w:pPr>
    </w:p>
    <w:p w14:paraId="6DAC69C4">
      <w:pPr>
        <w:rPr>
          <w:rFonts w:hint="eastAsia" w:ascii="仿宋" w:hAnsi="仿宋" w:eastAsia="仿宋" w:cs="仿宋"/>
          <w:b/>
          <w:kern w:val="0"/>
          <w:sz w:val="32"/>
          <w:szCs w:val="32"/>
          <w:lang w:val="en-US" w:eastAsia="zh-CN"/>
        </w:rPr>
      </w:pPr>
    </w:p>
    <w:p w14:paraId="2E3514A7">
      <w:pPr>
        <w:pStyle w:val="23"/>
        <w:rPr>
          <w:rFonts w:hint="eastAsia" w:ascii="仿宋" w:hAnsi="仿宋" w:eastAsia="仿宋" w:cs="仿宋"/>
          <w:b/>
          <w:kern w:val="0"/>
          <w:sz w:val="32"/>
          <w:szCs w:val="32"/>
          <w:lang w:val="en-US" w:eastAsia="zh-CN"/>
        </w:rPr>
      </w:pPr>
    </w:p>
    <w:p w14:paraId="773F6B1E">
      <w:pPr>
        <w:pStyle w:val="24"/>
        <w:rPr>
          <w:rFonts w:hint="eastAsia" w:ascii="仿宋" w:hAnsi="仿宋" w:eastAsia="仿宋" w:cs="仿宋"/>
          <w:b/>
          <w:kern w:val="0"/>
          <w:sz w:val="32"/>
          <w:szCs w:val="32"/>
          <w:lang w:val="en-US" w:eastAsia="zh-CN"/>
        </w:rPr>
      </w:pPr>
    </w:p>
    <w:p w14:paraId="6194A03E">
      <w:pPr>
        <w:rPr>
          <w:rFonts w:hint="eastAsia" w:ascii="仿宋" w:hAnsi="仿宋" w:eastAsia="仿宋" w:cs="仿宋"/>
          <w:b/>
          <w:kern w:val="0"/>
          <w:sz w:val="32"/>
          <w:szCs w:val="32"/>
          <w:lang w:val="en-US" w:eastAsia="zh-CN"/>
        </w:rPr>
      </w:pPr>
    </w:p>
    <w:p w14:paraId="46A15D0A">
      <w:pPr>
        <w:pStyle w:val="23"/>
        <w:rPr>
          <w:rFonts w:hint="eastAsia"/>
          <w:lang w:val="en-US" w:eastAsia="zh-CN"/>
        </w:rPr>
      </w:pPr>
    </w:p>
    <w:p w14:paraId="2260491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val="en-US" w:eastAsia="zh-CN"/>
        </w:rPr>
      </w:pPr>
    </w:p>
    <w:p w14:paraId="0D8519E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9A05DC8">
      <w:pPr>
        <w:pStyle w:val="334"/>
        <w:keepNext w:val="0"/>
        <w:keepLines w:val="0"/>
        <w:pageBreakBefore w:val="0"/>
        <w:widowControl/>
        <w:kinsoku/>
        <w:wordWrap/>
        <w:overflowPunct/>
        <w:topLinePunct w:val="0"/>
        <w:autoSpaceDE/>
        <w:autoSpaceDN/>
        <w:bidi w:val="0"/>
        <w:adjustRightInd w:val="0"/>
        <w:snapToGrid w:val="0"/>
        <w:spacing w:before="313" w:beforeLines="100" w:afterLines="0" w:line="336"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lang w:val="en-US" w:eastAsia="zh-CN"/>
        </w:rPr>
        <w:t>嵊州市石璜镇人民政府、绍兴市千目招标代理有限公司</w:t>
      </w:r>
    </w:p>
    <w:p w14:paraId="731EF452">
      <w:pPr>
        <w:pStyle w:val="334"/>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项目编号：SXQM-SZ202412-13YNN</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7795EE30">
      <w:pPr>
        <w:pStyle w:val="334"/>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49FF4F25">
      <w:pPr>
        <w:pStyle w:val="12"/>
        <w:keepNext w:val="0"/>
        <w:keepLines w:val="0"/>
        <w:pageBreakBefore w:val="0"/>
        <w:tabs>
          <w:tab w:val="clear" w:pos="1697"/>
        </w:tabs>
        <w:kinsoku/>
        <w:wordWrap/>
        <w:overflowPunct/>
        <w:topLinePunct w:val="0"/>
        <w:autoSpaceDE/>
        <w:autoSpaceDN/>
        <w:bidi w:val="0"/>
        <w:spacing w:afterLines="0" w:line="336"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C4D441">
      <w:pPr>
        <w:pStyle w:val="334"/>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07E42E15">
      <w:pPr>
        <w:pStyle w:val="334"/>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2A4F2D56">
      <w:pPr>
        <w:pStyle w:val="334"/>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0C99D7E1">
      <w:pPr>
        <w:pStyle w:val="12"/>
        <w:keepNext w:val="0"/>
        <w:keepLines w:val="0"/>
        <w:pageBreakBefore w:val="0"/>
        <w:tabs>
          <w:tab w:val="clear" w:pos="1697"/>
        </w:tabs>
        <w:kinsoku/>
        <w:wordWrap/>
        <w:overflowPunct/>
        <w:topLinePunct w:val="0"/>
        <w:autoSpaceDE/>
        <w:autoSpaceDN/>
        <w:bidi w:val="0"/>
        <w:spacing w:afterLines="0" w:line="336"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2E940D9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CCE0EB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2583CF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1AD98F8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05EA226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77E8DD9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775C2A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44B92EE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38404730">
      <w:pPr>
        <w:pStyle w:val="334"/>
        <w:keepNext w:val="0"/>
        <w:keepLines w:val="0"/>
        <w:pageBreakBefore w:val="0"/>
        <w:kinsoku/>
        <w:wordWrap/>
        <w:overflowPunct/>
        <w:topLinePunct w:val="0"/>
        <w:autoSpaceDE/>
        <w:autoSpaceDN/>
        <w:bidi w:val="0"/>
        <w:spacing w:afterLines="0" w:line="336" w:lineRule="auto"/>
        <w:ind w:firstLine="480"/>
        <w:textAlignment w:val="auto"/>
        <w:rPr>
          <w:rFonts w:hint="eastAsia" w:ascii="仿宋" w:hAnsi="仿宋" w:eastAsia="仿宋" w:cs="仿宋"/>
          <w:sz w:val="24"/>
          <w:szCs w:val="24"/>
        </w:rPr>
      </w:pPr>
    </w:p>
    <w:p w14:paraId="4163A591">
      <w:pPr>
        <w:pStyle w:val="334"/>
        <w:keepNext w:val="0"/>
        <w:keepLines w:val="0"/>
        <w:pageBreakBefore w:val="0"/>
        <w:kinsoku/>
        <w:wordWrap/>
        <w:overflowPunct/>
        <w:topLinePunct w:val="0"/>
        <w:autoSpaceDE/>
        <w:autoSpaceDN/>
        <w:bidi w:val="0"/>
        <w:adjustRightInd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12609A73">
      <w:pPr>
        <w:pStyle w:val="334"/>
        <w:keepNext w:val="0"/>
        <w:keepLines w:val="0"/>
        <w:pageBreakBefore w:val="0"/>
        <w:kinsoku/>
        <w:wordWrap/>
        <w:overflowPunct/>
        <w:topLinePunct w:val="0"/>
        <w:autoSpaceDE/>
        <w:autoSpaceDN/>
        <w:bidi w:val="0"/>
        <w:adjustRightInd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65030A5B">
      <w:pPr>
        <w:pStyle w:val="334"/>
        <w:keepNext w:val="0"/>
        <w:keepLines w:val="0"/>
        <w:pageBreakBefore w:val="0"/>
        <w:kinsoku/>
        <w:wordWrap/>
        <w:overflowPunct/>
        <w:topLinePunct w:val="0"/>
        <w:autoSpaceDE/>
        <w:autoSpaceDN/>
        <w:bidi w:val="0"/>
        <w:adjustRightInd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BCA4170">
      <w:pPr>
        <w:pStyle w:val="334"/>
        <w:keepNext w:val="0"/>
        <w:keepLines w:val="0"/>
        <w:pageBreakBefore w:val="0"/>
        <w:kinsoku/>
        <w:wordWrap/>
        <w:overflowPunct/>
        <w:topLinePunct w:val="0"/>
        <w:autoSpaceDE/>
        <w:autoSpaceDN/>
        <w:bidi w:val="0"/>
        <w:adjustRightInd w:val="0"/>
        <w:spacing w:afterLines="0" w:line="336"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265ADAD8">
      <w:pPr>
        <w:keepNext w:val="0"/>
        <w:keepLines w:val="0"/>
        <w:pageBreakBefore w:val="0"/>
        <w:kinsoku/>
        <w:wordWrap/>
        <w:overflowPunct/>
        <w:topLinePunct w:val="0"/>
        <w:autoSpaceDE/>
        <w:autoSpaceDN/>
        <w:bidi w:val="0"/>
        <w:adjustRightInd w:val="0"/>
        <w:spacing w:line="336"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76974CD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1F81027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06C1A7F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AE446E0">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C8FC09E">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083A1379">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57BD238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5F0F9A5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6682A7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6C9F002D">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4B2F17A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日期：</w:t>
      </w:r>
      <w:r>
        <w:rPr>
          <w:rFonts w:hint="eastAsia" w:ascii="仿宋" w:hAnsi="仿宋" w:eastAsia="仿宋" w:cs="仿宋"/>
          <w:color w:val="auto"/>
          <w:sz w:val="24"/>
        </w:rPr>
        <w:t>年   月   日</w:t>
      </w:r>
    </w:p>
    <w:p w14:paraId="62D440D0">
      <w:pPr>
        <w:snapToGrid w:val="0"/>
        <w:spacing w:line="360" w:lineRule="auto"/>
        <w:ind w:right="480"/>
        <w:jc w:val="center"/>
        <w:rPr>
          <w:rFonts w:hint="eastAsia" w:ascii="仿宋" w:hAnsi="仿宋" w:eastAsia="仿宋" w:cs="仿宋"/>
          <w:b/>
          <w:color w:val="auto"/>
          <w:kern w:val="0"/>
          <w:sz w:val="32"/>
          <w:szCs w:val="32"/>
          <w:lang w:val="en-US" w:eastAsia="zh-CN"/>
        </w:rPr>
      </w:pPr>
    </w:p>
    <w:p w14:paraId="481E9E47">
      <w:pPr>
        <w:snapToGrid w:val="0"/>
        <w:spacing w:line="360" w:lineRule="auto"/>
        <w:ind w:right="480"/>
        <w:jc w:val="center"/>
        <w:rPr>
          <w:rFonts w:hint="eastAsia" w:ascii="仿宋" w:hAnsi="仿宋" w:eastAsia="仿宋" w:cs="仿宋"/>
          <w:b/>
          <w:color w:val="auto"/>
          <w:kern w:val="0"/>
          <w:sz w:val="32"/>
          <w:szCs w:val="32"/>
          <w:lang w:val="en-US" w:eastAsia="zh-CN"/>
        </w:rPr>
      </w:pPr>
    </w:p>
    <w:p w14:paraId="0886CB81">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5F7B752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2A0ACF4F">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7C5FBDF7">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642DE687">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0D910558">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6DBFE638">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0C78F89D">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57891B41">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5FD1CB63">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42A693A8">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08170259">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0980ED32">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lang w:val="en-US" w:eastAsia="zh-CN"/>
        </w:rPr>
      </w:pPr>
    </w:p>
    <w:p w14:paraId="356EB5F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四、法定代表人授权委托书及授权代表社保证明（若委托）</w:t>
      </w:r>
    </w:p>
    <w:p w14:paraId="3C60067B">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45947765">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EDEE4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49B590EA">
      <w:pPr>
        <w:snapToGrid w:val="0"/>
        <w:spacing w:line="600" w:lineRule="exact"/>
        <w:jc w:val="left"/>
        <w:rPr>
          <w:rFonts w:hint="eastAsia" w:ascii="仿宋" w:hAnsi="仿宋" w:eastAsia="仿宋" w:cs="仿宋"/>
          <w:color w:val="auto"/>
          <w:sz w:val="24"/>
        </w:rPr>
      </w:pPr>
    </w:p>
    <w:p w14:paraId="7C22080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2F2C7BA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6886E8C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A092DD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6FF9A597">
      <w:pPr>
        <w:keepNext w:val="0"/>
        <w:keepLines w:val="0"/>
        <w:pageBreakBefore w:val="0"/>
        <w:kinsoku/>
        <w:wordWrap/>
        <w:overflowPunct/>
        <w:topLinePunct w:val="0"/>
        <w:autoSpaceDE/>
        <w:autoSpaceDN/>
        <w:bidi w:val="0"/>
        <w:adjustRightInd w:val="0"/>
        <w:spacing w:line="360" w:lineRule="auto"/>
        <w:ind w:firstLine="5520" w:firstLineChars="23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2CC0E5B6">
      <w:pPr>
        <w:keepNext w:val="0"/>
        <w:keepLines w:val="0"/>
        <w:pageBreakBefore w:val="0"/>
        <w:kinsoku/>
        <w:wordWrap/>
        <w:overflowPunct/>
        <w:topLinePunct w:val="0"/>
        <w:autoSpaceDE/>
        <w:autoSpaceDN/>
        <w:bidi w:val="0"/>
        <w:adjustRightInd w:val="0"/>
        <w:spacing w:line="360" w:lineRule="auto"/>
        <w:ind w:firstLine="5520" w:firstLineChars="2300"/>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5556F106">
      <w:pPr>
        <w:snapToGrid w:val="0"/>
        <w:spacing w:line="360" w:lineRule="auto"/>
        <w:ind w:right="480" w:firstLine="5520" w:firstLineChars="2300"/>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4F1FCFAC">
      <w:pPr>
        <w:snapToGrid w:val="0"/>
        <w:spacing w:line="360" w:lineRule="auto"/>
        <w:ind w:right="480"/>
        <w:jc w:val="both"/>
        <w:rPr>
          <w:rFonts w:hint="eastAsia" w:ascii="仿宋" w:hAnsi="仿宋" w:eastAsia="仿宋" w:cs="仿宋"/>
          <w:b/>
          <w:color w:val="auto"/>
          <w:kern w:val="0"/>
          <w:sz w:val="32"/>
          <w:szCs w:val="32"/>
          <w:lang w:val="en-US" w:eastAsia="zh-CN"/>
        </w:rPr>
      </w:pPr>
    </w:p>
    <w:p w14:paraId="45A0DEC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29048CC9">
      <w:pPr>
        <w:jc w:val="both"/>
        <w:rPr>
          <w:rFonts w:hint="eastAsia" w:ascii="仿宋" w:hAnsi="仿宋" w:eastAsia="仿宋" w:cs="仿宋"/>
          <w:b/>
          <w:color w:val="auto"/>
          <w:kern w:val="0"/>
          <w:sz w:val="32"/>
          <w:szCs w:val="32"/>
        </w:rPr>
      </w:pPr>
    </w:p>
    <w:p w14:paraId="333479EB">
      <w:pPr>
        <w:rPr>
          <w:rFonts w:hint="eastAsia"/>
          <w:lang w:eastAsia="zh-CN"/>
        </w:rPr>
      </w:pPr>
      <w:r>
        <w:rPr>
          <w:rFonts w:hint="eastAsia" w:ascii="仿宋" w:hAnsi="仿宋" w:eastAsia="仿宋" w:cs="仿宋"/>
          <w:b/>
          <w:bCs w:val="0"/>
          <w:color w:val="auto"/>
          <w:kern w:val="0"/>
          <w:sz w:val="32"/>
          <w:szCs w:val="32"/>
          <w:lang w:val="en-US" w:eastAsia="zh-CN"/>
        </w:rPr>
        <w:br w:type="page"/>
      </w:r>
    </w:p>
    <w:p w14:paraId="0A5BDD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五、技术服务</w:t>
      </w:r>
      <w:r>
        <w:rPr>
          <w:rFonts w:hint="eastAsia" w:ascii="仿宋" w:hAnsi="仿宋" w:eastAsia="仿宋" w:cs="仿宋"/>
          <w:b/>
          <w:color w:val="auto"/>
          <w:kern w:val="0"/>
          <w:sz w:val="32"/>
          <w:szCs w:val="32"/>
        </w:rPr>
        <w:t>响应表</w:t>
      </w:r>
    </w:p>
    <w:p w14:paraId="77AA8A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36B7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C268F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2C3BC88A">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5CBEB53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5DCCE257">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441A0B42">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5FA9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71E0BDF">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1FFB66EE">
            <w:pPr>
              <w:adjustRightInd/>
              <w:spacing w:line="380" w:lineRule="exact"/>
              <w:jc w:val="center"/>
              <w:outlineLvl w:val="9"/>
              <w:rPr>
                <w:rFonts w:hint="eastAsia" w:ascii="仿宋" w:hAnsi="仿宋" w:eastAsia="仿宋" w:cs="仿宋"/>
                <w:color w:val="auto"/>
                <w:sz w:val="24"/>
                <w:szCs w:val="24"/>
              </w:rPr>
            </w:pPr>
          </w:p>
        </w:tc>
        <w:tc>
          <w:tcPr>
            <w:tcW w:w="2835" w:type="dxa"/>
          </w:tcPr>
          <w:p w14:paraId="71C3D068">
            <w:pPr>
              <w:adjustRightInd/>
              <w:spacing w:line="380" w:lineRule="exact"/>
              <w:jc w:val="center"/>
              <w:outlineLvl w:val="9"/>
              <w:rPr>
                <w:rFonts w:hint="eastAsia" w:ascii="仿宋" w:hAnsi="仿宋" w:eastAsia="仿宋" w:cs="仿宋"/>
                <w:color w:val="auto"/>
                <w:sz w:val="24"/>
                <w:szCs w:val="24"/>
              </w:rPr>
            </w:pPr>
          </w:p>
        </w:tc>
        <w:tc>
          <w:tcPr>
            <w:tcW w:w="2835" w:type="dxa"/>
          </w:tcPr>
          <w:p w14:paraId="606F8548">
            <w:pPr>
              <w:adjustRightInd/>
              <w:spacing w:line="380" w:lineRule="exact"/>
              <w:jc w:val="center"/>
              <w:outlineLvl w:val="9"/>
              <w:rPr>
                <w:rFonts w:hint="eastAsia" w:ascii="仿宋" w:hAnsi="仿宋" w:eastAsia="仿宋" w:cs="仿宋"/>
                <w:color w:val="auto"/>
                <w:sz w:val="24"/>
                <w:szCs w:val="24"/>
              </w:rPr>
            </w:pPr>
          </w:p>
        </w:tc>
        <w:tc>
          <w:tcPr>
            <w:tcW w:w="1260" w:type="dxa"/>
          </w:tcPr>
          <w:p w14:paraId="3FD998A2">
            <w:pPr>
              <w:adjustRightInd/>
              <w:spacing w:line="380" w:lineRule="exact"/>
              <w:jc w:val="center"/>
              <w:outlineLvl w:val="9"/>
              <w:rPr>
                <w:rFonts w:hint="eastAsia" w:ascii="仿宋" w:hAnsi="仿宋" w:eastAsia="仿宋" w:cs="仿宋"/>
                <w:color w:val="auto"/>
                <w:sz w:val="24"/>
                <w:szCs w:val="24"/>
              </w:rPr>
            </w:pPr>
          </w:p>
        </w:tc>
      </w:tr>
      <w:tr w14:paraId="6E5D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3821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5AB5AD69">
            <w:pPr>
              <w:adjustRightInd/>
              <w:spacing w:line="380" w:lineRule="exact"/>
              <w:jc w:val="center"/>
              <w:outlineLvl w:val="9"/>
              <w:rPr>
                <w:rFonts w:hint="eastAsia" w:ascii="仿宋" w:hAnsi="仿宋" w:eastAsia="仿宋" w:cs="仿宋"/>
                <w:color w:val="auto"/>
                <w:sz w:val="24"/>
                <w:szCs w:val="24"/>
              </w:rPr>
            </w:pPr>
          </w:p>
        </w:tc>
        <w:tc>
          <w:tcPr>
            <w:tcW w:w="2835" w:type="dxa"/>
          </w:tcPr>
          <w:p w14:paraId="13C2E7F3">
            <w:pPr>
              <w:adjustRightInd/>
              <w:spacing w:line="380" w:lineRule="exact"/>
              <w:jc w:val="center"/>
              <w:outlineLvl w:val="9"/>
              <w:rPr>
                <w:rFonts w:hint="eastAsia" w:ascii="仿宋" w:hAnsi="仿宋" w:eastAsia="仿宋" w:cs="仿宋"/>
                <w:color w:val="auto"/>
                <w:sz w:val="24"/>
                <w:szCs w:val="24"/>
              </w:rPr>
            </w:pPr>
          </w:p>
        </w:tc>
        <w:tc>
          <w:tcPr>
            <w:tcW w:w="2835" w:type="dxa"/>
          </w:tcPr>
          <w:p w14:paraId="6C60C781">
            <w:pPr>
              <w:adjustRightInd/>
              <w:spacing w:line="380" w:lineRule="exact"/>
              <w:jc w:val="center"/>
              <w:outlineLvl w:val="9"/>
              <w:rPr>
                <w:rFonts w:hint="eastAsia" w:ascii="仿宋" w:hAnsi="仿宋" w:eastAsia="仿宋" w:cs="仿宋"/>
                <w:color w:val="auto"/>
                <w:sz w:val="24"/>
                <w:szCs w:val="24"/>
              </w:rPr>
            </w:pPr>
          </w:p>
        </w:tc>
        <w:tc>
          <w:tcPr>
            <w:tcW w:w="1260" w:type="dxa"/>
          </w:tcPr>
          <w:p w14:paraId="7CC8FB53">
            <w:pPr>
              <w:adjustRightInd/>
              <w:spacing w:line="380" w:lineRule="exact"/>
              <w:jc w:val="center"/>
              <w:outlineLvl w:val="9"/>
              <w:rPr>
                <w:rFonts w:hint="eastAsia" w:ascii="仿宋" w:hAnsi="仿宋" w:eastAsia="仿宋" w:cs="仿宋"/>
                <w:color w:val="auto"/>
                <w:sz w:val="24"/>
                <w:szCs w:val="24"/>
              </w:rPr>
            </w:pPr>
          </w:p>
        </w:tc>
      </w:tr>
      <w:tr w14:paraId="05C5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B8331A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59E0EEFC">
            <w:pPr>
              <w:adjustRightInd/>
              <w:spacing w:line="380" w:lineRule="exact"/>
              <w:jc w:val="center"/>
              <w:outlineLvl w:val="9"/>
              <w:rPr>
                <w:rFonts w:hint="eastAsia" w:ascii="仿宋" w:hAnsi="仿宋" w:eastAsia="仿宋" w:cs="仿宋"/>
                <w:color w:val="auto"/>
                <w:sz w:val="24"/>
                <w:szCs w:val="24"/>
              </w:rPr>
            </w:pPr>
          </w:p>
        </w:tc>
        <w:tc>
          <w:tcPr>
            <w:tcW w:w="2835" w:type="dxa"/>
          </w:tcPr>
          <w:p w14:paraId="7CD7C6B1">
            <w:pPr>
              <w:adjustRightInd/>
              <w:spacing w:line="380" w:lineRule="exact"/>
              <w:jc w:val="center"/>
              <w:outlineLvl w:val="9"/>
              <w:rPr>
                <w:rFonts w:hint="eastAsia" w:ascii="仿宋" w:hAnsi="仿宋" w:eastAsia="仿宋" w:cs="仿宋"/>
                <w:color w:val="auto"/>
                <w:sz w:val="24"/>
                <w:szCs w:val="24"/>
              </w:rPr>
            </w:pPr>
          </w:p>
        </w:tc>
        <w:tc>
          <w:tcPr>
            <w:tcW w:w="2835" w:type="dxa"/>
          </w:tcPr>
          <w:p w14:paraId="4395FC07">
            <w:pPr>
              <w:adjustRightInd/>
              <w:spacing w:line="380" w:lineRule="exact"/>
              <w:jc w:val="center"/>
              <w:outlineLvl w:val="9"/>
              <w:rPr>
                <w:rFonts w:hint="eastAsia" w:ascii="仿宋" w:hAnsi="仿宋" w:eastAsia="仿宋" w:cs="仿宋"/>
                <w:color w:val="auto"/>
                <w:sz w:val="24"/>
                <w:szCs w:val="24"/>
              </w:rPr>
            </w:pPr>
          </w:p>
        </w:tc>
        <w:tc>
          <w:tcPr>
            <w:tcW w:w="1260" w:type="dxa"/>
          </w:tcPr>
          <w:p w14:paraId="3686B1EC">
            <w:pPr>
              <w:adjustRightInd/>
              <w:spacing w:line="380" w:lineRule="exact"/>
              <w:jc w:val="center"/>
              <w:outlineLvl w:val="9"/>
              <w:rPr>
                <w:rFonts w:hint="eastAsia" w:ascii="仿宋" w:hAnsi="仿宋" w:eastAsia="仿宋" w:cs="仿宋"/>
                <w:color w:val="auto"/>
                <w:sz w:val="24"/>
                <w:szCs w:val="24"/>
              </w:rPr>
            </w:pPr>
          </w:p>
        </w:tc>
      </w:tr>
    </w:tbl>
    <w:p w14:paraId="02FC8D26">
      <w:pPr>
        <w:spacing w:line="360" w:lineRule="auto"/>
        <w:ind w:right="420"/>
        <w:rPr>
          <w:rFonts w:hint="eastAsia" w:ascii="仿宋" w:hAnsi="仿宋" w:eastAsia="仿宋" w:cs="仿宋"/>
          <w:b/>
          <w:bCs/>
          <w:color w:val="auto"/>
          <w:sz w:val="32"/>
          <w:szCs w:val="32"/>
        </w:rPr>
      </w:pPr>
    </w:p>
    <w:p w14:paraId="0479C51A">
      <w:pPr>
        <w:autoSpaceDE w:val="0"/>
        <w:autoSpaceDN w:val="0"/>
        <w:spacing w:line="360" w:lineRule="auto"/>
        <w:ind w:left="2" w:leftChars="1" w:right="1120"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35515E72">
      <w:pPr>
        <w:ind w:firstLine="5040" w:firstLineChars="21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0E0F00E1">
      <w:pPr>
        <w:widowControl/>
        <w:adjustRightInd/>
        <w:jc w:val="center"/>
        <w:rPr>
          <w:rFonts w:hint="eastAsia" w:ascii="仿宋" w:hAnsi="仿宋" w:eastAsia="仿宋" w:cs="仿宋"/>
          <w:b/>
          <w:bCs/>
          <w:color w:val="auto"/>
          <w:sz w:val="32"/>
          <w:szCs w:val="32"/>
          <w:lang w:val="en-US" w:eastAsia="zh-CN"/>
        </w:rPr>
      </w:pPr>
    </w:p>
    <w:p w14:paraId="7F73AD3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76B0F66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24154017">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5297DD70">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4B7ED4E6">
      <w:pPr>
        <w:snapToGrid w:val="0"/>
        <w:spacing w:line="360" w:lineRule="auto"/>
        <w:rPr>
          <w:rFonts w:hint="eastAsia" w:ascii="仿宋" w:hAnsi="仿宋" w:eastAsia="仿宋" w:cs="仿宋"/>
          <w:color w:val="auto"/>
          <w:sz w:val="24"/>
          <w:highlight w:val="none"/>
        </w:rPr>
      </w:pPr>
    </w:p>
    <w:p w14:paraId="3D6BCF9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7E1FA8F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3376A69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3446ABC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4FCD227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68D520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B4AD573">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A513AB6">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59E828F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4AD5752C">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9D4A9D3">
      <w:pPr>
        <w:autoSpaceDE w:val="0"/>
        <w:autoSpaceDN w:val="0"/>
        <w:spacing w:line="360" w:lineRule="auto"/>
        <w:ind w:left="2"/>
        <w:jc w:val="left"/>
        <w:rPr>
          <w:rFonts w:hint="eastAsia" w:ascii="仿宋" w:hAnsi="仿宋" w:eastAsia="仿宋" w:cs="仿宋"/>
          <w:color w:val="auto"/>
          <w:kern w:val="0"/>
          <w:sz w:val="24"/>
          <w:lang w:val="zh-CN"/>
        </w:rPr>
      </w:pPr>
    </w:p>
    <w:p w14:paraId="2315BDAB">
      <w:pPr>
        <w:autoSpaceDE w:val="0"/>
        <w:autoSpaceDN w:val="0"/>
        <w:spacing w:line="360" w:lineRule="auto"/>
        <w:ind w:left="2"/>
        <w:jc w:val="left"/>
        <w:rPr>
          <w:rFonts w:hint="eastAsia" w:ascii="仿宋" w:hAnsi="仿宋" w:eastAsia="仿宋" w:cs="仿宋"/>
          <w:color w:val="auto"/>
          <w:kern w:val="0"/>
          <w:sz w:val="24"/>
          <w:lang w:val="zh-CN"/>
        </w:rPr>
      </w:pPr>
    </w:p>
    <w:p w14:paraId="13855BBA">
      <w:pPr>
        <w:autoSpaceDE w:val="0"/>
        <w:autoSpaceDN w:val="0"/>
        <w:spacing w:line="360" w:lineRule="auto"/>
        <w:ind w:left="2"/>
        <w:jc w:val="left"/>
        <w:rPr>
          <w:rFonts w:hint="eastAsia" w:ascii="仿宋" w:hAnsi="仿宋" w:eastAsia="仿宋" w:cs="仿宋"/>
          <w:color w:val="auto"/>
          <w:kern w:val="0"/>
          <w:sz w:val="24"/>
          <w:lang w:val="zh-CN"/>
        </w:rPr>
      </w:pPr>
    </w:p>
    <w:p w14:paraId="6DE8AEA4">
      <w:pPr>
        <w:autoSpaceDE w:val="0"/>
        <w:autoSpaceDN w:val="0"/>
        <w:spacing w:line="360" w:lineRule="auto"/>
        <w:ind w:left="2" w:leftChars="1" w:right="1120" w:firstLine="4800" w:firstLineChars="20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AAAE182">
      <w:pPr>
        <w:spacing w:line="360" w:lineRule="auto"/>
        <w:ind w:left="4620" w:leftChars="2200" w:firstLine="240" w:firstLineChars="1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852EF4E">
      <w:pPr>
        <w:spacing w:line="360" w:lineRule="auto"/>
        <w:jc w:val="center"/>
        <w:rPr>
          <w:rFonts w:hint="eastAsia" w:ascii="仿宋" w:hAnsi="仿宋" w:eastAsia="仿宋" w:cs="仿宋"/>
          <w:b/>
          <w:bCs/>
          <w:color w:val="auto"/>
          <w:sz w:val="24"/>
        </w:rPr>
      </w:pPr>
    </w:p>
    <w:p w14:paraId="304F907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1CCBACC">
      <w:pPr>
        <w:spacing w:line="360" w:lineRule="auto"/>
        <w:jc w:val="center"/>
        <w:rPr>
          <w:rFonts w:hint="eastAsia" w:ascii="仿宋" w:hAnsi="仿宋" w:eastAsia="仿宋" w:cs="仿宋"/>
          <w:b/>
          <w:bCs/>
          <w:color w:val="auto"/>
          <w:sz w:val="24"/>
        </w:rPr>
      </w:pPr>
    </w:p>
    <w:p w14:paraId="7D660486">
      <w:pPr>
        <w:pStyle w:val="73"/>
        <w:jc w:val="center"/>
        <w:rPr>
          <w:rFonts w:hint="eastAsia" w:ascii="仿宋" w:hAnsi="仿宋" w:eastAsia="仿宋" w:cs="仿宋"/>
          <w:b/>
          <w:bCs/>
          <w:color w:val="auto"/>
          <w:sz w:val="24"/>
        </w:rPr>
      </w:pPr>
    </w:p>
    <w:p w14:paraId="52E36F43">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663224F0">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七</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4CC01C7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（按招标文件第四部分评标办法“投标文件中评标标准相应的商务技术资料目录”提供资料，表格格式根据评分标准自行调整）</w:t>
      </w:r>
    </w:p>
    <w:tbl>
      <w:tblPr>
        <w:tblStyle w:val="62"/>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13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C8C8C18">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1515EC96">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72EA4C08">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28936168">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26AAB08A">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24F0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6F630EE">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0810C452">
            <w:pPr>
              <w:spacing w:line="360" w:lineRule="auto"/>
              <w:jc w:val="center"/>
              <w:outlineLvl w:val="0"/>
              <w:rPr>
                <w:rFonts w:hint="eastAsia" w:ascii="仿宋" w:hAnsi="仿宋" w:eastAsia="仿宋" w:cs="仿宋"/>
                <w:szCs w:val="21"/>
              </w:rPr>
            </w:pPr>
          </w:p>
        </w:tc>
        <w:tc>
          <w:tcPr>
            <w:tcW w:w="5363" w:type="dxa"/>
            <w:vAlign w:val="center"/>
          </w:tcPr>
          <w:p w14:paraId="69DC6667">
            <w:pPr>
              <w:rPr>
                <w:rFonts w:hint="eastAsia" w:ascii="仿宋" w:hAnsi="仿宋" w:eastAsia="仿宋" w:cs="仿宋"/>
                <w:szCs w:val="21"/>
              </w:rPr>
            </w:pPr>
          </w:p>
        </w:tc>
        <w:tc>
          <w:tcPr>
            <w:tcW w:w="835" w:type="dxa"/>
            <w:vAlign w:val="center"/>
          </w:tcPr>
          <w:p w14:paraId="2F723625">
            <w:pPr>
              <w:jc w:val="center"/>
              <w:rPr>
                <w:rFonts w:hint="eastAsia" w:ascii="仿宋" w:hAnsi="仿宋" w:eastAsia="仿宋" w:cs="仿宋"/>
                <w:szCs w:val="21"/>
              </w:rPr>
            </w:pPr>
          </w:p>
        </w:tc>
        <w:tc>
          <w:tcPr>
            <w:tcW w:w="807" w:type="dxa"/>
            <w:vAlign w:val="center"/>
          </w:tcPr>
          <w:p w14:paraId="5CB24F28">
            <w:pPr>
              <w:spacing w:line="360" w:lineRule="auto"/>
              <w:jc w:val="center"/>
              <w:outlineLvl w:val="0"/>
              <w:rPr>
                <w:rFonts w:hint="eastAsia" w:ascii="仿宋" w:hAnsi="仿宋" w:eastAsia="仿宋" w:cs="仿宋"/>
                <w:szCs w:val="21"/>
              </w:rPr>
            </w:pPr>
          </w:p>
        </w:tc>
      </w:tr>
      <w:tr w14:paraId="7D93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3A8501AD">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73DD121A">
            <w:pPr>
              <w:spacing w:line="360" w:lineRule="auto"/>
              <w:jc w:val="center"/>
              <w:outlineLvl w:val="0"/>
              <w:rPr>
                <w:rFonts w:hint="eastAsia" w:ascii="仿宋" w:hAnsi="仿宋" w:eastAsia="仿宋" w:cs="仿宋"/>
                <w:szCs w:val="21"/>
              </w:rPr>
            </w:pPr>
          </w:p>
        </w:tc>
        <w:tc>
          <w:tcPr>
            <w:tcW w:w="5363" w:type="dxa"/>
            <w:vAlign w:val="center"/>
          </w:tcPr>
          <w:p w14:paraId="5B67B1BF">
            <w:pPr>
              <w:pStyle w:val="16"/>
              <w:spacing w:line="240" w:lineRule="auto"/>
              <w:ind w:firstLine="0" w:firstLineChars="0"/>
              <w:rPr>
                <w:rFonts w:hint="eastAsia" w:ascii="仿宋" w:hAnsi="仿宋" w:eastAsia="仿宋" w:cs="仿宋"/>
                <w:sz w:val="21"/>
                <w:szCs w:val="21"/>
              </w:rPr>
            </w:pPr>
          </w:p>
        </w:tc>
        <w:tc>
          <w:tcPr>
            <w:tcW w:w="835" w:type="dxa"/>
            <w:vAlign w:val="center"/>
          </w:tcPr>
          <w:p w14:paraId="7875392F">
            <w:pPr>
              <w:jc w:val="center"/>
              <w:rPr>
                <w:rFonts w:hint="eastAsia" w:ascii="仿宋" w:hAnsi="仿宋" w:eastAsia="仿宋" w:cs="仿宋"/>
                <w:szCs w:val="21"/>
              </w:rPr>
            </w:pPr>
          </w:p>
        </w:tc>
        <w:tc>
          <w:tcPr>
            <w:tcW w:w="807" w:type="dxa"/>
            <w:vAlign w:val="center"/>
          </w:tcPr>
          <w:p w14:paraId="57C19312">
            <w:pPr>
              <w:spacing w:line="360" w:lineRule="auto"/>
              <w:jc w:val="center"/>
              <w:outlineLvl w:val="0"/>
              <w:rPr>
                <w:rFonts w:hint="eastAsia" w:ascii="仿宋" w:hAnsi="仿宋" w:eastAsia="仿宋" w:cs="仿宋"/>
                <w:szCs w:val="21"/>
              </w:rPr>
            </w:pPr>
          </w:p>
        </w:tc>
      </w:tr>
      <w:tr w14:paraId="21A5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C8D15D3">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471D99B">
            <w:pPr>
              <w:spacing w:line="360" w:lineRule="auto"/>
              <w:jc w:val="center"/>
              <w:outlineLvl w:val="0"/>
              <w:rPr>
                <w:rFonts w:hint="eastAsia" w:ascii="仿宋" w:hAnsi="仿宋" w:eastAsia="仿宋" w:cs="仿宋"/>
                <w:szCs w:val="21"/>
              </w:rPr>
            </w:pPr>
          </w:p>
        </w:tc>
        <w:tc>
          <w:tcPr>
            <w:tcW w:w="5363" w:type="dxa"/>
            <w:vAlign w:val="center"/>
          </w:tcPr>
          <w:p w14:paraId="0AA62629">
            <w:pPr>
              <w:adjustRightInd/>
              <w:rPr>
                <w:rFonts w:hint="eastAsia" w:ascii="仿宋" w:hAnsi="仿宋" w:eastAsia="仿宋" w:cs="仿宋"/>
                <w:bCs/>
                <w:iCs/>
                <w:szCs w:val="21"/>
              </w:rPr>
            </w:pPr>
          </w:p>
        </w:tc>
        <w:tc>
          <w:tcPr>
            <w:tcW w:w="835" w:type="dxa"/>
            <w:vAlign w:val="center"/>
          </w:tcPr>
          <w:p w14:paraId="64570946">
            <w:pPr>
              <w:adjustRightInd/>
              <w:spacing w:line="360" w:lineRule="auto"/>
              <w:jc w:val="center"/>
              <w:rPr>
                <w:rFonts w:hint="eastAsia" w:ascii="仿宋" w:hAnsi="仿宋" w:eastAsia="仿宋" w:cs="仿宋"/>
                <w:bCs/>
                <w:iCs/>
                <w:szCs w:val="21"/>
              </w:rPr>
            </w:pPr>
          </w:p>
        </w:tc>
        <w:tc>
          <w:tcPr>
            <w:tcW w:w="807" w:type="dxa"/>
          </w:tcPr>
          <w:p w14:paraId="17B67833">
            <w:pPr>
              <w:spacing w:line="360" w:lineRule="auto"/>
              <w:outlineLvl w:val="0"/>
              <w:rPr>
                <w:rFonts w:hint="eastAsia" w:ascii="仿宋" w:hAnsi="仿宋" w:eastAsia="仿宋" w:cs="仿宋"/>
                <w:szCs w:val="21"/>
              </w:rPr>
            </w:pPr>
          </w:p>
        </w:tc>
      </w:tr>
      <w:tr w14:paraId="32AD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75349B7">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5156270A">
            <w:pPr>
              <w:adjustRightInd/>
              <w:spacing w:line="360" w:lineRule="auto"/>
              <w:jc w:val="center"/>
              <w:rPr>
                <w:rFonts w:hint="eastAsia" w:ascii="仿宋" w:hAnsi="仿宋" w:eastAsia="仿宋" w:cs="仿宋"/>
                <w:szCs w:val="21"/>
              </w:rPr>
            </w:pPr>
          </w:p>
        </w:tc>
        <w:tc>
          <w:tcPr>
            <w:tcW w:w="5363" w:type="dxa"/>
            <w:vAlign w:val="center"/>
          </w:tcPr>
          <w:p w14:paraId="1945BFA3">
            <w:pPr>
              <w:adjustRightInd/>
              <w:rPr>
                <w:rFonts w:hint="eastAsia" w:ascii="仿宋" w:hAnsi="仿宋" w:eastAsia="仿宋" w:cs="仿宋"/>
                <w:szCs w:val="21"/>
              </w:rPr>
            </w:pPr>
          </w:p>
        </w:tc>
        <w:tc>
          <w:tcPr>
            <w:tcW w:w="835" w:type="dxa"/>
            <w:vAlign w:val="center"/>
          </w:tcPr>
          <w:p w14:paraId="056519DF">
            <w:pPr>
              <w:adjustRightInd/>
              <w:spacing w:line="360" w:lineRule="auto"/>
              <w:jc w:val="center"/>
              <w:rPr>
                <w:rFonts w:hint="eastAsia" w:ascii="仿宋" w:hAnsi="仿宋" w:eastAsia="仿宋" w:cs="仿宋"/>
                <w:szCs w:val="21"/>
              </w:rPr>
            </w:pPr>
          </w:p>
        </w:tc>
        <w:tc>
          <w:tcPr>
            <w:tcW w:w="807" w:type="dxa"/>
          </w:tcPr>
          <w:p w14:paraId="60D2FDB2">
            <w:pPr>
              <w:spacing w:line="360" w:lineRule="auto"/>
              <w:outlineLvl w:val="0"/>
              <w:rPr>
                <w:rFonts w:hint="eastAsia" w:ascii="仿宋" w:hAnsi="仿宋" w:eastAsia="仿宋" w:cs="仿宋"/>
                <w:szCs w:val="21"/>
              </w:rPr>
            </w:pPr>
          </w:p>
        </w:tc>
      </w:tr>
      <w:tr w14:paraId="2F98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2BCBB93">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34D9F623">
            <w:pPr>
              <w:adjustRightInd/>
              <w:spacing w:line="360" w:lineRule="auto"/>
              <w:jc w:val="center"/>
              <w:rPr>
                <w:rFonts w:hint="eastAsia" w:ascii="仿宋" w:hAnsi="仿宋" w:eastAsia="仿宋" w:cs="仿宋"/>
                <w:szCs w:val="21"/>
              </w:rPr>
            </w:pPr>
          </w:p>
        </w:tc>
        <w:tc>
          <w:tcPr>
            <w:tcW w:w="5363" w:type="dxa"/>
            <w:vAlign w:val="center"/>
          </w:tcPr>
          <w:p w14:paraId="65917B96">
            <w:pPr>
              <w:adjustRightInd/>
              <w:rPr>
                <w:rFonts w:hint="eastAsia" w:ascii="仿宋" w:hAnsi="仿宋" w:eastAsia="仿宋" w:cs="仿宋"/>
                <w:szCs w:val="21"/>
              </w:rPr>
            </w:pPr>
          </w:p>
        </w:tc>
        <w:tc>
          <w:tcPr>
            <w:tcW w:w="835" w:type="dxa"/>
            <w:vAlign w:val="center"/>
          </w:tcPr>
          <w:p w14:paraId="6ECA5211">
            <w:pPr>
              <w:adjustRightInd/>
              <w:jc w:val="center"/>
              <w:rPr>
                <w:rFonts w:hint="eastAsia" w:ascii="仿宋" w:hAnsi="仿宋" w:eastAsia="仿宋" w:cs="仿宋"/>
                <w:szCs w:val="21"/>
              </w:rPr>
            </w:pPr>
          </w:p>
        </w:tc>
        <w:tc>
          <w:tcPr>
            <w:tcW w:w="807" w:type="dxa"/>
          </w:tcPr>
          <w:p w14:paraId="47C5CCAB">
            <w:pPr>
              <w:adjustRightInd/>
              <w:spacing w:line="360" w:lineRule="auto"/>
              <w:jc w:val="center"/>
              <w:rPr>
                <w:rFonts w:hint="eastAsia" w:ascii="仿宋" w:hAnsi="仿宋" w:eastAsia="仿宋" w:cs="仿宋"/>
                <w:szCs w:val="21"/>
              </w:rPr>
            </w:pPr>
          </w:p>
        </w:tc>
      </w:tr>
      <w:tr w14:paraId="0B92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3A73176D">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553948C4">
            <w:pPr>
              <w:jc w:val="center"/>
              <w:rPr>
                <w:rFonts w:hint="eastAsia" w:ascii="仿宋" w:hAnsi="仿宋" w:eastAsia="仿宋" w:cs="仿宋"/>
                <w:szCs w:val="21"/>
              </w:rPr>
            </w:pPr>
          </w:p>
        </w:tc>
        <w:tc>
          <w:tcPr>
            <w:tcW w:w="5363" w:type="dxa"/>
            <w:vAlign w:val="center"/>
          </w:tcPr>
          <w:p w14:paraId="4E802384">
            <w:pPr>
              <w:adjustRightInd/>
              <w:rPr>
                <w:rFonts w:hint="eastAsia" w:ascii="仿宋" w:hAnsi="仿宋" w:eastAsia="仿宋" w:cs="仿宋"/>
                <w:bCs/>
                <w:iCs/>
                <w:szCs w:val="21"/>
              </w:rPr>
            </w:pPr>
          </w:p>
        </w:tc>
        <w:tc>
          <w:tcPr>
            <w:tcW w:w="835" w:type="dxa"/>
            <w:vAlign w:val="center"/>
          </w:tcPr>
          <w:p w14:paraId="75EF9EE7">
            <w:pPr>
              <w:adjustRightInd/>
              <w:spacing w:line="360" w:lineRule="auto"/>
              <w:jc w:val="center"/>
              <w:rPr>
                <w:rFonts w:hint="eastAsia" w:ascii="仿宋" w:hAnsi="仿宋" w:eastAsia="仿宋" w:cs="仿宋"/>
                <w:bCs/>
                <w:iCs/>
                <w:szCs w:val="21"/>
              </w:rPr>
            </w:pPr>
          </w:p>
        </w:tc>
        <w:tc>
          <w:tcPr>
            <w:tcW w:w="807" w:type="dxa"/>
          </w:tcPr>
          <w:p w14:paraId="3E5C89C2">
            <w:pPr>
              <w:jc w:val="center"/>
              <w:rPr>
                <w:rFonts w:hint="eastAsia" w:ascii="仿宋" w:hAnsi="仿宋" w:eastAsia="仿宋" w:cs="仿宋"/>
                <w:bCs/>
                <w:iCs/>
                <w:szCs w:val="21"/>
              </w:rPr>
            </w:pPr>
          </w:p>
        </w:tc>
      </w:tr>
      <w:tr w14:paraId="03C0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1BB15F6">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3C90BBD3">
            <w:pPr>
              <w:jc w:val="center"/>
              <w:rPr>
                <w:rFonts w:hint="eastAsia" w:ascii="仿宋" w:hAnsi="仿宋" w:eastAsia="仿宋" w:cs="仿宋"/>
                <w:bCs/>
                <w:iCs/>
                <w:szCs w:val="21"/>
              </w:rPr>
            </w:pPr>
          </w:p>
        </w:tc>
        <w:tc>
          <w:tcPr>
            <w:tcW w:w="5363" w:type="dxa"/>
            <w:vAlign w:val="center"/>
          </w:tcPr>
          <w:p w14:paraId="381E1699">
            <w:pPr>
              <w:adjustRightInd/>
              <w:rPr>
                <w:rFonts w:hint="eastAsia" w:ascii="仿宋" w:hAnsi="仿宋" w:eastAsia="仿宋" w:cs="仿宋"/>
                <w:bCs/>
                <w:iCs/>
                <w:szCs w:val="21"/>
              </w:rPr>
            </w:pPr>
          </w:p>
        </w:tc>
        <w:tc>
          <w:tcPr>
            <w:tcW w:w="835" w:type="dxa"/>
            <w:vAlign w:val="center"/>
          </w:tcPr>
          <w:p w14:paraId="298982FA">
            <w:pPr>
              <w:adjustRightInd/>
              <w:spacing w:line="360" w:lineRule="auto"/>
              <w:jc w:val="center"/>
              <w:rPr>
                <w:rFonts w:hint="eastAsia" w:ascii="仿宋" w:hAnsi="仿宋" w:eastAsia="仿宋" w:cs="仿宋"/>
                <w:bCs/>
                <w:iCs/>
                <w:szCs w:val="21"/>
              </w:rPr>
            </w:pPr>
          </w:p>
        </w:tc>
        <w:tc>
          <w:tcPr>
            <w:tcW w:w="807" w:type="dxa"/>
          </w:tcPr>
          <w:p w14:paraId="13A95B25">
            <w:pPr>
              <w:jc w:val="center"/>
              <w:rPr>
                <w:rFonts w:hint="eastAsia" w:ascii="仿宋" w:hAnsi="仿宋" w:eastAsia="仿宋" w:cs="仿宋"/>
                <w:bCs/>
                <w:iCs/>
                <w:szCs w:val="21"/>
              </w:rPr>
            </w:pPr>
          </w:p>
        </w:tc>
      </w:tr>
      <w:tr w14:paraId="4C65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FF6D09E">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658E226A">
            <w:pPr>
              <w:jc w:val="center"/>
              <w:rPr>
                <w:rFonts w:hint="eastAsia" w:ascii="仿宋" w:hAnsi="仿宋" w:eastAsia="仿宋" w:cs="仿宋"/>
                <w:bCs/>
                <w:iCs/>
                <w:szCs w:val="21"/>
              </w:rPr>
            </w:pPr>
          </w:p>
        </w:tc>
        <w:tc>
          <w:tcPr>
            <w:tcW w:w="5363" w:type="dxa"/>
            <w:vAlign w:val="center"/>
          </w:tcPr>
          <w:p w14:paraId="19F91E94">
            <w:pPr>
              <w:adjustRightInd/>
              <w:jc w:val="left"/>
              <w:rPr>
                <w:rFonts w:hint="eastAsia" w:ascii="仿宋" w:hAnsi="仿宋" w:eastAsia="仿宋" w:cs="仿宋"/>
                <w:bCs/>
                <w:iCs/>
                <w:szCs w:val="21"/>
              </w:rPr>
            </w:pPr>
          </w:p>
        </w:tc>
        <w:tc>
          <w:tcPr>
            <w:tcW w:w="835" w:type="dxa"/>
            <w:vAlign w:val="center"/>
          </w:tcPr>
          <w:p w14:paraId="7242F7A9">
            <w:pPr>
              <w:adjustRightInd/>
              <w:spacing w:line="360" w:lineRule="auto"/>
              <w:jc w:val="center"/>
              <w:rPr>
                <w:rFonts w:hint="eastAsia" w:ascii="仿宋" w:hAnsi="仿宋" w:eastAsia="仿宋" w:cs="仿宋"/>
                <w:bCs/>
                <w:iCs/>
                <w:szCs w:val="21"/>
              </w:rPr>
            </w:pPr>
          </w:p>
        </w:tc>
        <w:tc>
          <w:tcPr>
            <w:tcW w:w="807" w:type="dxa"/>
          </w:tcPr>
          <w:p w14:paraId="1F8696F7">
            <w:pPr>
              <w:jc w:val="center"/>
              <w:rPr>
                <w:rFonts w:hint="eastAsia" w:ascii="仿宋" w:hAnsi="仿宋" w:eastAsia="仿宋" w:cs="仿宋"/>
                <w:bCs/>
                <w:iCs/>
                <w:szCs w:val="21"/>
              </w:rPr>
            </w:pPr>
          </w:p>
        </w:tc>
      </w:tr>
      <w:tr w14:paraId="7D00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192D73">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067CC150">
            <w:pPr>
              <w:spacing w:line="360" w:lineRule="auto"/>
              <w:jc w:val="center"/>
              <w:rPr>
                <w:rFonts w:hint="eastAsia" w:ascii="仿宋" w:hAnsi="仿宋" w:eastAsia="仿宋" w:cs="仿宋"/>
                <w:szCs w:val="21"/>
              </w:rPr>
            </w:pPr>
          </w:p>
        </w:tc>
        <w:tc>
          <w:tcPr>
            <w:tcW w:w="5363" w:type="dxa"/>
            <w:vAlign w:val="center"/>
          </w:tcPr>
          <w:p w14:paraId="4A25769B">
            <w:pPr>
              <w:rPr>
                <w:rFonts w:hint="eastAsia" w:ascii="仿宋" w:hAnsi="仿宋" w:eastAsia="仿宋" w:cs="仿宋"/>
                <w:szCs w:val="21"/>
              </w:rPr>
            </w:pPr>
          </w:p>
        </w:tc>
        <w:tc>
          <w:tcPr>
            <w:tcW w:w="835" w:type="dxa"/>
            <w:vAlign w:val="center"/>
          </w:tcPr>
          <w:p w14:paraId="20D78ADB">
            <w:pPr>
              <w:spacing w:line="360" w:lineRule="auto"/>
              <w:jc w:val="center"/>
              <w:rPr>
                <w:rFonts w:hint="eastAsia" w:ascii="仿宋" w:hAnsi="仿宋" w:eastAsia="仿宋" w:cs="仿宋"/>
                <w:szCs w:val="21"/>
              </w:rPr>
            </w:pPr>
          </w:p>
        </w:tc>
        <w:tc>
          <w:tcPr>
            <w:tcW w:w="807" w:type="dxa"/>
          </w:tcPr>
          <w:p w14:paraId="0C09330F">
            <w:pPr>
              <w:rPr>
                <w:rFonts w:hint="eastAsia" w:ascii="仿宋" w:hAnsi="仿宋" w:eastAsia="仿宋" w:cs="仿宋"/>
                <w:szCs w:val="21"/>
              </w:rPr>
            </w:pPr>
          </w:p>
        </w:tc>
      </w:tr>
      <w:tr w14:paraId="518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1794C964">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24610A8C">
            <w:pPr>
              <w:spacing w:line="360" w:lineRule="auto"/>
              <w:jc w:val="center"/>
              <w:rPr>
                <w:rFonts w:hint="eastAsia" w:ascii="仿宋" w:hAnsi="仿宋" w:eastAsia="仿宋" w:cs="仿宋"/>
                <w:szCs w:val="21"/>
              </w:rPr>
            </w:pPr>
          </w:p>
        </w:tc>
        <w:tc>
          <w:tcPr>
            <w:tcW w:w="5363" w:type="dxa"/>
            <w:vAlign w:val="center"/>
          </w:tcPr>
          <w:p w14:paraId="052751B2">
            <w:pPr>
              <w:rPr>
                <w:rFonts w:hint="eastAsia" w:ascii="仿宋" w:hAnsi="仿宋" w:eastAsia="仿宋" w:cs="仿宋"/>
                <w:szCs w:val="21"/>
              </w:rPr>
            </w:pPr>
          </w:p>
        </w:tc>
        <w:tc>
          <w:tcPr>
            <w:tcW w:w="835" w:type="dxa"/>
            <w:vAlign w:val="center"/>
          </w:tcPr>
          <w:p w14:paraId="1A07DF1B">
            <w:pPr>
              <w:spacing w:line="360" w:lineRule="auto"/>
              <w:jc w:val="center"/>
              <w:rPr>
                <w:rFonts w:hint="eastAsia" w:ascii="仿宋" w:hAnsi="仿宋" w:eastAsia="仿宋" w:cs="仿宋"/>
                <w:szCs w:val="21"/>
              </w:rPr>
            </w:pPr>
          </w:p>
        </w:tc>
        <w:tc>
          <w:tcPr>
            <w:tcW w:w="807" w:type="dxa"/>
          </w:tcPr>
          <w:p w14:paraId="01E279DF">
            <w:pPr>
              <w:rPr>
                <w:rFonts w:hint="eastAsia" w:ascii="仿宋" w:hAnsi="仿宋" w:eastAsia="仿宋" w:cs="仿宋"/>
                <w:szCs w:val="21"/>
              </w:rPr>
            </w:pPr>
          </w:p>
        </w:tc>
      </w:tr>
      <w:tr w14:paraId="17E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3F942500">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1AECDF68">
      <w:pPr>
        <w:jc w:val="center"/>
        <w:rPr>
          <w:rFonts w:hint="eastAsia" w:ascii="仿宋" w:hAnsi="仿宋" w:eastAsia="仿宋" w:cs="仿宋"/>
          <w:b/>
          <w:kern w:val="0"/>
          <w:sz w:val="32"/>
          <w:szCs w:val="32"/>
        </w:rPr>
      </w:pPr>
    </w:p>
    <w:p w14:paraId="3183F600">
      <w:pPr>
        <w:jc w:val="center"/>
        <w:rPr>
          <w:rFonts w:hint="eastAsia" w:ascii="仿宋" w:hAnsi="仿宋" w:eastAsia="仿宋" w:cs="仿宋"/>
          <w:b/>
          <w:kern w:val="0"/>
          <w:sz w:val="32"/>
          <w:szCs w:val="32"/>
        </w:rPr>
      </w:pPr>
    </w:p>
    <w:p w14:paraId="359261D6">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E6A88C3">
      <w:pPr>
        <w:keepNext w:val="0"/>
        <w:keepLines w:val="0"/>
        <w:pageBreakBefore w:val="0"/>
        <w:widowControl w:val="0"/>
        <w:kinsoku/>
        <w:wordWrap/>
        <w:overflowPunct/>
        <w:topLinePunct w:val="0"/>
        <w:autoSpaceDE/>
        <w:autoSpaceDN/>
        <w:bidi w:val="0"/>
        <w:adjustRightInd w:val="0"/>
        <w:snapToGrid/>
        <w:spacing w:before="282" w:beforeLines="90" w:line="336" w:lineRule="auto"/>
        <w:textAlignment w:val="auto"/>
        <w:rPr>
          <w:rFonts w:hint="eastAsia" w:ascii="仿宋" w:hAnsi="仿宋" w:eastAsia="仿宋" w:cs="仿宋"/>
          <w:color w:val="auto"/>
          <w:kern w:val="0"/>
          <w:sz w:val="24"/>
          <w:highlight w:val="none"/>
          <w:lang w:val="en-US" w:eastAsia="zh-CN"/>
        </w:rPr>
      </w:pPr>
    </w:p>
    <w:p w14:paraId="21FC8691">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6000" w:firstLineChars="2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0F73546B">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4B965A0D">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42A7AEE">
      <w:pPr>
        <w:pStyle w:val="3"/>
        <w:numPr>
          <w:ilvl w:val="0"/>
          <w:numId w:val="0"/>
        </w:numPr>
        <w:tabs>
          <w:tab w:val="left" w:pos="358"/>
        </w:tabs>
        <w:spacing w:line="360" w:lineRule="auto"/>
        <w:ind w:leftChars="0"/>
        <w:jc w:val="center"/>
        <w:rPr>
          <w:rFonts w:hint="eastAsia" w:ascii="仿宋" w:eastAsia="仿宋" w:cs="仿宋"/>
          <w:bCs/>
          <w:kern w:val="21"/>
          <w:sz w:val="32"/>
          <w:szCs w:val="32"/>
          <w:lang w:val="en-US" w:eastAsia="zh-CN"/>
        </w:rPr>
      </w:pPr>
      <w:r>
        <w:rPr>
          <w:rFonts w:hint="eastAsia" w:ascii="仿宋" w:eastAsia="仿宋" w:cs="仿宋"/>
          <w:bCs/>
          <w:kern w:val="21"/>
          <w:sz w:val="32"/>
          <w:szCs w:val="32"/>
          <w:lang w:val="en-US" w:eastAsia="zh-CN"/>
        </w:rPr>
        <w:t>报价文件部分</w:t>
      </w:r>
    </w:p>
    <w:p w14:paraId="122E0FA7">
      <w:pPr>
        <w:pStyle w:val="3"/>
        <w:numPr>
          <w:ilvl w:val="0"/>
          <w:numId w:val="0"/>
        </w:numPr>
        <w:tabs>
          <w:tab w:val="left" w:pos="358"/>
        </w:tabs>
        <w:spacing w:line="360" w:lineRule="auto"/>
        <w:ind w:leftChars="0"/>
        <w:jc w:val="center"/>
        <w:rPr>
          <w:rFonts w:hint="eastAsia" w:ascii="仿宋" w:eastAsia="仿宋" w:cs="仿宋"/>
          <w:bCs/>
          <w:kern w:val="21"/>
          <w:sz w:val="32"/>
          <w:szCs w:val="32"/>
          <w:lang w:val="en-US" w:eastAsia="zh-CN"/>
        </w:rPr>
      </w:pPr>
      <w:r>
        <w:rPr>
          <w:rFonts w:hint="eastAsia" w:ascii="仿宋" w:eastAsia="仿宋" w:cs="仿宋"/>
          <w:bCs/>
          <w:kern w:val="21"/>
          <w:sz w:val="32"/>
          <w:szCs w:val="32"/>
          <w:lang w:val="en-US" w:eastAsia="zh-CN"/>
        </w:rPr>
        <w:t>目录</w:t>
      </w:r>
    </w:p>
    <w:p w14:paraId="20951D9D">
      <w:pPr>
        <w:bidi w:val="0"/>
      </w:pPr>
    </w:p>
    <w:p w14:paraId="7125D475">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0A96919B">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779090A7">
      <w:pPr>
        <w:numPr>
          <w:ilvl w:val="0"/>
          <w:numId w:val="0"/>
        </w:numPr>
        <w:snapToGrid w:val="0"/>
        <w:spacing w:line="336" w:lineRule="auto"/>
        <w:rPr>
          <w:rFonts w:hint="eastAsia" w:ascii="仿宋" w:hAnsi="仿宋" w:eastAsia="仿宋" w:cs="仿宋"/>
          <w:sz w:val="24"/>
        </w:rPr>
      </w:pPr>
    </w:p>
    <w:p w14:paraId="7365B4EC">
      <w:pPr>
        <w:pStyle w:val="73"/>
        <w:rPr>
          <w:rFonts w:hint="eastAsia" w:eastAsia="仿宋_GB2312"/>
          <w:lang w:eastAsia="zh-CN"/>
        </w:rPr>
      </w:pPr>
    </w:p>
    <w:p w14:paraId="603EA96A">
      <w:pPr>
        <w:snapToGrid w:val="0"/>
        <w:spacing w:line="336" w:lineRule="auto"/>
        <w:jc w:val="center"/>
        <w:rPr>
          <w:rFonts w:ascii="仿宋" w:hAnsi="仿宋" w:eastAsia="仿宋" w:cs="仿宋"/>
          <w:b/>
          <w:kern w:val="0"/>
          <w:sz w:val="32"/>
          <w:szCs w:val="32"/>
        </w:rPr>
      </w:pPr>
    </w:p>
    <w:p w14:paraId="00862588">
      <w:pPr>
        <w:spacing w:line="336" w:lineRule="auto"/>
        <w:jc w:val="center"/>
        <w:rPr>
          <w:rFonts w:ascii="仿宋" w:hAnsi="仿宋" w:eastAsia="仿宋" w:cs="仿宋"/>
          <w:b/>
          <w:bCs/>
          <w:sz w:val="32"/>
          <w:szCs w:val="32"/>
        </w:rPr>
      </w:pPr>
    </w:p>
    <w:p w14:paraId="4E377596">
      <w:pPr>
        <w:widowControl/>
        <w:adjustRightInd/>
        <w:spacing w:line="336" w:lineRule="auto"/>
        <w:jc w:val="left"/>
        <w:rPr>
          <w:rFonts w:ascii="仿宋" w:hAnsi="仿宋" w:eastAsia="仿宋" w:cs="仿宋"/>
          <w:b/>
          <w:bCs/>
          <w:sz w:val="30"/>
          <w:szCs w:val="30"/>
        </w:rPr>
      </w:pPr>
    </w:p>
    <w:p w14:paraId="08B5DBE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70C92A38">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1CA163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1132C3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5F72947B">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2"/>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988"/>
        <w:gridCol w:w="2148"/>
        <w:gridCol w:w="2163"/>
      </w:tblGrid>
      <w:tr w14:paraId="774C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6" w:type="dxa"/>
            <w:vAlign w:val="center"/>
          </w:tcPr>
          <w:p w14:paraId="5B37167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988" w:type="dxa"/>
            <w:vAlign w:val="center"/>
          </w:tcPr>
          <w:p w14:paraId="0636F4D9">
            <w:pPr>
              <w:adjustRightInd/>
              <w:spacing w:line="38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2148" w:type="dxa"/>
            <w:vAlign w:val="center"/>
          </w:tcPr>
          <w:p w14:paraId="2772863A">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总价（元）</w:t>
            </w:r>
          </w:p>
        </w:tc>
        <w:tc>
          <w:tcPr>
            <w:tcW w:w="2163" w:type="dxa"/>
            <w:vAlign w:val="center"/>
          </w:tcPr>
          <w:p w14:paraId="3DCFD99D">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备注</w:t>
            </w:r>
          </w:p>
        </w:tc>
      </w:tr>
      <w:tr w14:paraId="667E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96" w:type="dxa"/>
            <w:vAlign w:val="center"/>
          </w:tcPr>
          <w:p w14:paraId="0ADD2014">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988" w:type="dxa"/>
            <w:vAlign w:val="center"/>
          </w:tcPr>
          <w:p w14:paraId="4F54BC09">
            <w:pPr>
              <w:adjustRightInd/>
              <w:spacing w:line="380" w:lineRule="exac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嵊州市石璜镇2024年4个“百亩方”（寺新村、雅宅村、范油车村、白竹村、溪西村）永久基本农田连片整治工程项目方案编制服务项目</w:t>
            </w:r>
          </w:p>
        </w:tc>
        <w:tc>
          <w:tcPr>
            <w:tcW w:w="2148" w:type="dxa"/>
            <w:vAlign w:val="center"/>
          </w:tcPr>
          <w:p w14:paraId="00FFC12F">
            <w:pPr>
              <w:snapToGrid w:val="0"/>
              <w:spacing w:before="50" w:after="120" w:afterLines="50" w:line="460" w:lineRule="exact"/>
              <w:jc w:val="center"/>
              <w:outlineLvl w:val="9"/>
              <w:rPr>
                <w:rFonts w:hint="default" w:ascii="仿宋" w:hAnsi="仿宋" w:eastAsia="仿宋" w:cs="仿宋"/>
                <w:b/>
                <w:bCs/>
                <w:color w:val="auto"/>
                <w:sz w:val="24"/>
                <w:szCs w:val="24"/>
                <w:highlight w:val="none"/>
                <w:lang w:val="en-US" w:eastAsia="zh-CN"/>
              </w:rPr>
            </w:pPr>
          </w:p>
        </w:tc>
        <w:tc>
          <w:tcPr>
            <w:tcW w:w="2163" w:type="dxa"/>
            <w:vAlign w:val="center"/>
          </w:tcPr>
          <w:p w14:paraId="3BF91357">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p>
        </w:tc>
      </w:tr>
    </w:tbl>
    <w:p w14:paraId="28809EB1">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注：</w:t>
      </w:r>
      <w:r>
        <w:rPr>
          <w:rFonts w:hint="eastAsia" w:ascii="仿宋" w:hAnsi="仿宋" w:eastAsia="仿宋" w:cs="仿宋"/>
          <w:b w:val="0"/>
          <w:bCs w:val="0"/>
          <w:i w:val="0"/>
          <w:iCs w:val="0"/>
          <w:color w:val="auto"/>
          <w:kern w:val="2"/>
          <w:sz w:val="24"/>
          <w:szCs w:val="24"/>
          <w:highlight w:val="none"/>
          <w:vertAlign w:val="baseline"/>
          <w:lang w:val="en-US" w:eastAsia="zh-CN" w:bidi="ar-SA"/>
        </w:rPr>
        <w:t>报价</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提供服务所需的一切人员工资、住宿、门票、餐费、交通、意外险、管理费、税费、利润、完成合同所需的一切本身和不可或缺的所有工作开支、政策性文件规定计合同包含的所有风险、责任等各项全部费用。</w:t>
      </w:r>
    </w:p>
    <w:p w14:paraId="303CE7BE">
      <w:pPr>
        <w:pStyle w:val="63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p>
    <w:p w14:paraId="61E262FF">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31BC3920">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151C1B89">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529A2756">
      <w:pPr>
        <w:snapToGrid w:val="0"/>
        <w:spacing w:line="360" w:lineRule="auto"/>
        <w:ind w:right="480"/>
        <w:jc w:val="center"/>
        <w:rPr>
          <w:rFonts w:hint="eastAsia" w:ascii="仿宋" w:hAnsi="仿宋" w:eastAsia="仿宋" w:cs="仿宋"/>
          <w:b/>
          <w:color w:val="auto"/>
          <w:kern w:val="0"/>
          <w:sz w:val="32"/>
          <w:szCs w:val="32"/>
        </w:rPr>
      </w:pPr>
    </w:p>
    <w:p w14:paraId="7F1C8BB6">
      <w:pPr>
        <w:snapToGrid w:val="0"/>
        <w:spacing w:line="360" w:lineRule="auto"/>
        <w:ind w:right="480"/>
        <w:jc w:val="center"/>
        <w:rPr>
          <w:rFonts w:hint="eastAsia" w:ascii="仿宋" w:hAnsi="仿宋" w:eastAsia="仿宋" w:cs="仿宋"/>
          <w:b/>
          <w:color w:val="auto"/>
          <w:kern w:val="0"/>
          <w:sz w:val="32"/>
          <w:szCs w:val="32"/>
        </w:rPr>
      </w:pPr>
    </w:p>
    <w:p w14:paraId="2C69B2C0">
      <w:pPr>
        <w:snapToGrid w:val="0"/>
        <w:spacing w:line="360" w:lineRule="auto"/>
        <w:ind w:right="480"/>
        <w:jc w:val="center"/>
        <w:rPr>
          <w:rFonts w:hint="eastAsia" w:ascii="仿宋" w:hAnsi="仿宋" w:eastAsia="仿宋" w:cs="仿宋"/>
          <w:b/>
          <w:color w:val="auto"/>
          <w:kern w:val="0"/>
          <w:sz w:val="32"/>
          <w:szCs w:val="32"/>
        </w:rPr>
      </w:pPr>
    </w:p>
    <w:p w14:paraId="73B8B060">
      <w:pPr>
        <w:snapToGrid w:val="0"/>
        <w:spacing w:line="360" w:lineRule="auto"/>
        <w:ind w:right="480"/>
        <w:jc w:val="center"/>
        <w:rPr>
          <w:rFonts w:hint="eastAsia" w:ascii="仿宋" w:hAnsi="仿宋" w:eastAsia="仿宋" w:cs="仿宋"/>
          <w:b/>
          <w:color w:val="auto"/>
          <w:kern w:val="0"/>
          <w:sz w:val="32"/>
          <w:szCs w:val="32"/>
        </w:rPr>
      </w:pPr>
    </w:p>
    <w:p w14:paraId="33AB70E0">
      <w:pPr>
        <w:snapToGrid w:val="0"/>
        <w:spacing w:line="360" w:lineRule="auto"/>
        <w:ind w:right="480"/>
        <w:jc w:val="center"/>
        <w:rPr>
          <w:rFonts w:hint="eastAsia" w:ascii="仿宋" w:hAnsi="仿宋" w:eastAsia="仿宋" w:cs="仿宋"/>
          <w:b/>
          <w:color w:val="auto"/>
          <w:kern w:val="0"/>
          <w:sz w:val="32"/>
          <w:szCs w:val="32"/>
        </w:rPr>
      </w:pPr>
    </w:p>
    <w:p w14:paraId="102EA9B7">
      <w:pPr>
        <w:snapToGrid w:val="0"/>
        <w:spacing w:line="360" w:lineRule="auto"/>
        <w:ind w:right="480"/>
        <w:jc w:val="center"/>
        <w:rPr>
          <w:rFonts w:hint="eastAsia" w:ascii="仿宋" w:hAnsi="仿宋" w:eastAsia="仿宋" w:cs="仿宋"/>
          <w:b/>
          <w:color w:val="auto"/>
          <w:kern w:val="0"/>
          <w:sz w:val="32"/>
          <w:szCs w:val="32"/>
        </w:rPr>
      </w:pPr>
    </w:p>
    <w:p w14:paraId="0CCE506C">
      <w:pPr>
        <w:pStyle w:val="118"/>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1C66BBDF">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4877B81E">
      <w:pPr>
        <w:spacing w:line="336" w:lineRule="auto"/>
        <w:ind w:firstLine="4320" w:firstLineChars="1800"/>
        <w:rPr>
          <w:rFonts w:hint="eastAsia" w:ascii="仿宋" w:hAnsi="仿宋" w:eastAsia="仿宋" w:cs="仿宋"/>
          <w:color w:val="auto"/>
          <w:sz w:val="24"/>
          <w:lang w:val="en-US" w:eastAsia="zh-CN"/>
        </w:rPr>
      </w:pPr>
    </w:p>
    <w:p w14:paraId="73D23AAC">
      <w:pPr>
        <w:spacing w:line="336" w:lineRule="auto"/>
        <w:ind w:firstLine="4320" w:firstLineChars="1800"/>
        <w:rPr>
          <w:rFonts w:hint="eastAsia" w:ascii="仿宋" w:hAnsi="仿宋" w:eastAsia="仿宋" w:cs="仿宋"/>
          <w:color w:val="auto"/>
          <w:kern w:val="0"/>
          <w:sz w:val="24"/>
          <w:lang w:val="en-US" w:eastAsia="zh-CN"/>
        </w:rPr>
      </w:pPr>
    </w:p>
    <w:p w14:paraId="37D6841D">
      <w:pPr>
        <w:spacing w:line="336" w:lineRule="auto"/>
        <w:ind w:firstLine="4320" w:firstLineChars="1800"/>
        <w:rPr>
          <w:rFonts w:hint="eastAsia" w:ascii="仿宋" w:hAnsi="仿宋" w:eastAsia="仿宋" w:cs="仿宋"/>
          <w:color w:val="auto"/>
          <w:kern w:val="0"/>
          <w:sz w:val="24"/>
          <w:lang w:val="en-US" w:eastAsia="zh-CN"/>
        </w:rPr>
      </w:pPr>
    </w:p>
    <w:p w14:paraId="6382B2F6">
      <w:pPr>
        <w:spacing w:line="336" w:lineRule="auto"/>
        <w:ind w:firstLine="4320" w:firstLineChars="1800"/>
        <w:rPr>
          <w:rFonts w:hint="eastAsia" w:ascii="仿宋" w:hAnsi="仿宋" w:eastAsia="仿宋" w:cs="仿宋"/>
          <w:color w:val="auto"/>
          <w:kern w:val="0"/>
          <w:sz w:val="24"/>
          <w:lang w:val="en-US" w:eastAsia="zh-CN"/>
        </w:rPr>
      </w:pPr>
    </w:p>
    <w:p w14:paraId="6FA9B051">
      <w:pPr>
        <w:spacing w:line="336" w:lineRule="auto"/>
        <w:ind w:firstLine="4320" w:firstLineChars="1800"/>
        <w:rPr>
          <w:rFonts w:hint="eastAsia" w:ascii="仿宋" w:hAnsi="仿宋" w:eastAsia="仿宋" w:cs="仿宋"/>
          <w:color w:val="auto"/>
          <w:kern w:val="0"/>
          <w:sz w:val="24"/>
          <w:lang w:val="en-US" w:eastAsia="zh-CN"/>
        </w:rPr>
      </w:pPr>
    </w:p>
    <w:p w14:paraId="393D96C6">
      <w:pPr>
        <w:spacing w:line="336" w:lineRule="auto"/>
        <w:ind w:firstLine="4320" w:firstLineChars="1800"/>
        <w:rPr>
          <w:rFonts w:hint="eastAsia" w:ascii="仿宋" w:hAnsi="仿宋" w:eastAsia="仿宋" w:cs="仿宋"/>
          <w:color w:val="auto"/>
          <w:kern w:val="0"/>
          <w:sz w:val="24"/>
          <w:lang w:val="en-US" w:eastAsia="zh-CN"/>
        </w:rPr>
      </w:pPr>
    </w:p>
    <w:p w14:paraId="2DDC85DF">
      <w:pPr>
        <w:spacing w:line="336" w:lineRule="auto"/>
        <w:ind w:firstLine="4320" w:firstLineChars="1800"/>
        <w:rPr>
          <w:rFonts w:hint="eastAsia" w:ascii="仿宋" w:hAnsi="仿宋" w:eastAsia="仿宋" w:cs="仿宋"/>
          <w:color w:val="auto"/>
          <w:kern w:val="0"/>
          <w:sz w:val="24"/>
          <w:lang w:val="en-US" w:eastAsia="zh-CN"/>
        </w:rPr>
      </w:pPr>
    </w:p>
    <w:p w14:paraId="48AA9A51">
      <w:pPr>
        <w:spacing w:line="336" w:lineRule="auto"/>
        <w:ind w:firstLine="4320" w:firstLineChars="1800"/>
        <w:rPr>
          <w:rFonts w:hint="eastAsia" w:ascii="仿宋" w:hAnsi="仿宋" w:eastAsia="仿宋" w:cs="仿宋"/>
          <w:color w:val="auto"/>
          <w:kern w:val="0"/>
          <w:sz w:val="24"/>
          <w:lang w:val="en-US" w:eastAsia="zh-CN"/>
        </w:rPr>
      </w:pPr>
    </w:p>
    <w:p w14:paraId="53AF7A2D">
      <w:pPr>
        <w:spacing w:line="336" w:lineRule="auto"/>
        <w:ind w:firstLine="4320" w:firstLineChars="1800"/>
        <w:rPr>
          <w:rFonts w:hint="eastAsia" w:ascii="仿宋" w:hAnsi="仿宋" w:eastAsia="仿宋" w:cs="仿宋"/>
          <w:color w:val="auto"/>
          <w:kern w:val="0"/>
          <w:sz w:val="24"/>
          <w:lang w:val="en-US" w:eastAsia="zh-CN"/>
        </w:rPr>
      </w:pPr>
    </w:p>
    <w:p w14:paraId="46F6A10C">
      <w:pPr>
        <w:spacing w:line="336" w:lineRule="auto"/>
        <w:ind w:firstLine="4320" w:firstLineChars="1800"/>
        <w:rPr>
          <w:rFonts w:hint="eastAsia" w:ascii="仿宋" w:hAnsi="仿宋" w:eastAsia="仿宋" w:cs="仿宋"/>
          <w:color w:val="auto"/>
          <w:kern w:val="0"/>
          <w:sz w:val="24"/>
          <w:lang w:val="en-US" w:eastAsia="zh-CN"/>
        </w:rPr>
      </w:pPr>
    </w:p>
    <w:p w14:paraId="2999AF95">
      <w:pPr>
        <w:spacing w:line="336" w:lineRule="auto"/>
        <w:ind w:firstLine="5040" w:firstLineChars="21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3BD124D2">
      <w:pPr>
        <w:spacing w:line="336" w:lineRule="auto"/>
        <w:ind w:firstLine="5040" w:firstLineChars="21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1B5D3FEF">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200D533">
      <w:pPr>
        <w:spacing w:line="336" w:lineRule="auto"/>
        <w:jc w:val="both"/>
        <w:rPr>
          <w:rFonts w:hint="eastAsia" w:ascii="仿宋" w:hAnsi="仿宋" w:eastAsia="仿宋" w:cs="仿宋"/>
          <w:b/>
          <w:spacing w:val="6"/>
          <w:sz w:val="32"/>
          <w:szCs w:val="32"/>
          <w:lang w:val="en-US"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w:t>
      </w:r>
      <w:r>
        <w:rPr>
          <w:rFonts w:hint="eastAsia" w:ascii="仿宋" w:hAnsi="仿宋" w:eastAsia="仿宋" w:cs="仿宋"/>
          <w:b/>
          <w:spacing w:val="6"/>
          <w:sz w:val="32"/>
          <w:szCs w:val="32"/>
          <w:lang w:val="en-US" w:eastAsia="zh-CN"/>
        </w:rPr>
        <w:t xml:space="preserve">    </w:t>
      </w:r>
    </w:p>
    <w:p w14:paraId="51D09BD8">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21EC7505">
      <w:pPr>
        <w:spacing w:line="336" w:lineRule="auto"/>
        <w:rPr>
          <w:rFonts w:ascii="仿宋" w:hAnsi="仿宋" w:eastAsia="仿宋" w:cs="仿宋"/>
          <w:b/>
          <w:spacing w:val="6"/>
          <w:sz w:val="30"/>
          <w:szCs w:val="30"/>
        </w:rPr>
      </w:pPr>
    </w:p>
    <w:p w14:paraId="0EABF490">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w:t>
      </w:r>
      <w:r>
        <w:rPr>
          <w:rFonts w:hint="eastAsia" w:ascii="仿宋" w:hAnsi="仿宋" w:eastAsia="仿宋" w:cs="仿宋"/>
          <w:sz w:val="24"/>
          <w:u w:val="single"/>
          <w:lang w:val="en-US" w:eastAsia="zh-CN"/>
        </w:rPr>
        <w:t>石璜</w:t>
      </w:r>
      <w:r>
        <w:rPr>
          <w:rFonts w:hint="eastAsia" w:ascii="仿宋" w:hAnsi="仿宋" w:eastAsia="仿宋" w:cs="仿宋"/>
          <w:sz w:val="24"/>
          <w:u w:val="single"/>
          <w:lang w:eastAsia="zh-CN"/>
        </w:rPr>
        <w:t>镇人民政府</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嵊州市石璜镇2024年4个“百亩方”（寺新村、雅宅村、范油车村、白竹村、溪西村）永久基本农田连片整治工程项目方案编制服务项</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A4BC8EF">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70E3429">
      <w:pPr>
        <w:spacing w:line="336" w:lineRule="auto"/>
        <w:ind w:firstLine="480" w:firstLineChars="200"/>
        <w:rPr>
          <w:rFonts w:ascii="仿宋" w:hAnsi="仿宋" w:eastAsia="仿宋" w:cs="仿宋"/>
          <w:sz w:val="24"/>
        </w:rPr>
      </w:pPr>
    </w:p>
    <w:p w14:paraId="678071B3">
      <w:pPr>
        <w:autoSpaceDE w:val="0"/>
        <w:autoSpaceDN w:val="0"/>
        <w:ind w:firstLine="5040" w:firstLineChars="2100"/>
        <w:jc w:val="both"/>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73AE8A4E">
      <w:pPr>
        <w:pStyle w:val="74"/>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69D0B5CE">
      <w:pPr>
        <w:spacing w:line="336" w:lineRule="auto"/>
        <w:ind w:firstLine="6240" w:firstLineChars="2600"/>
        <w:jc w:val="both"/>
        <w:rPr>
          <w:rFonts w:ascii="仿宋" w:hAnsi="仿宋" w:eastAsia="仿宋" w:cs="仿宋"/>
          <w:sz w:val="24"/>
        </w:rPr>
      </w:pPr>
    </w:p>
    <w:p w14:paraId="6F0B2299">
      <w:pPr>
        <w:spacing w:line="360" w:lineRule="auto"/>
        <w:jc w:val="both"/>
        <w:rPr>
          <w:rFonts w:hint="eastAsia" w:ascii="仿宋" w:hAnsi="仿宋" w:eastAsia="仿宋" w:cs="仿宋"/>
          <w:b/>
          <w:color w:val="auto"/>
          <w:spacing w:val="6"/>
          <w:sz w:val="32"/>
          <w:szCs w:val="32"/>
          <w:lang w:val="en-US" w:eastAsia="zh-CN"/>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2</w:t>
      </w:r>
      <w:r>
        <w:rPr>
          <w:rFonts w:hint="eastAsia" w:ascii="仿宋" w:hAnsi="仿宋" w:eastAsia="仿宋" w:cs="仿宋"/>
          <w:b/>
          <w:color w:val="auto"/>
          <w:spacing w:val="6"/>
          <w:sz w:val="32"/>
          <w:szCs w:val="32"/>
        </w:rPr>
        <w:t>：</w:t>
      </w:r>
      <w:r>
        <w:rPr>
          <w:rFonts w:hint="eastAsia" w:ascii="仿宋" w:hAnsi="仿宋" w:eastAsia="仿宋" w:cs="仿宋"/>
          <w:b/>
          <w:color w:val="auto"/>
          <w:spacing w:val="6"/>
          <w:sz w:val="32"/>
          <w:szCs w:val="32"/>
          <w:lang w:val="en-US" w:eastAsia="zh-CN"/>
        </w:rPr>
        <w:t xml:space="preserve"> </w:t>
      </w:r>
    </w:p>
    <w:p w14:paraId="616A3974">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监狱企业声明函</w:t>
      </w:r>
    </w:p>
    <w:p w14:paraId="07ACF365">
      <w:pPr>
        <w:autoSpaceDE w:val="0"/>
        <w:autoSpaceDN w:val="0"/>
        <w:jc w:val="center"/>
        <w:rPr>
          <w:rFonts w:hint="eastAsia" w:ascii="仿宋" w:hAnsi="仿宋" w:eastAsia="仿宋" w:cs="仿宋"/>
          <w:b/>
          <w:color w:val="auto"/>
          <w:spacing w:val="6"/>
          <w:sz w:val="32"/>
          <w:szCs w:val="32"/>
        </w:rPr>
      </w:pPr>
    </w:p>
    <w:p w14:paraId="0F84079B">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68BA3FBC">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06234C4E">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755814AC">
      <w:pPr>
        <w:autoSpaceDE w:val="0"/>
        <w:autoSpaceDN w:val="0"/>
        <w:jc w:val="both"/>
        <w:rPr>
          <w:rFonts w:hint="eastAsia" w:ascii="仿宋" w:hAnsi="仿宋" w:eastAsia="仿宋" w:cs="仿宋"/>
          <w:b/>
          <w:color w:val="auto"/>
          <w:spacing w:val="6"/>
          <w:sz w:val="32"/>
          <w:szCs w:val="32"/>
        </w:rPr>
      </w:pPr>
    </w:p>
    <w:p w14:paraId="04A38626">
      <w:pPr>
        <w:tabs>
          <w:tab w:val="left" w:pos="4860"/>
        </w:tabs>
        <w:spacing w:line="360" w:lineRule="auto"/>
        <w:ind w:right="1560" w:firstLine="480" w:firstLineChars="200"/>
        <w:jc w:val="center"/>
        <w:rPr>
          <w:rFonts w:hint="eastAsia" w:ascii="仿宋" w:hAnsi="仿宋" w:eastAsia="仿宋" w:cs="仿宋"/>
          <w:color w:val="auto"/>
          <w:sz w:val="24"/>
        </w:rPr>
      </w:pPr>
    </w:p>
    <w:p w14:paraId="127B9950">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4FDA490B">
      <w:pPr>
        <w:pStyle w:val="74"/>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5270A8E7">
      <w:pPr>
        <w:snapToGrid w:val="0"/>
        <w:spacing w:line="336" w:lineRule="auto"/>
        <w:jc w:val="both"/>
        <w:rPr>
          <w:rFonts w:hint="eastAsia" w:ascii="仿宋" w:hAnsi="仿宋" w:eastAsia="仿宋" w:cs="仿宋"/>
          <w:b/>
          <w:color w:val="auto"/>
          <w:sz w:val="36"/>
          <w:szCs w:val="36"/>
        </w:rPr>
      </w:pPr>
      <w:r>
        <w:rPr>
          <w:rFonts w:hint="eastAsia" w:ascii="仿宋" w:hAnsi="仿宋" w:eastAsia="仿宋" w:cs="仿宋"/>
          <w:b/>
          <w:color w:val="auto"/>
          <w:kern w:val="0"/>
          <w:sz w:val="32"/>
          <w:szCs w:val="32"/>
        </w:rPr>
        <w:t>附件</w:t>
      </w:r>
      <w:r>
        <w:rPr>
          <w:rFonts w:hint="eastAsia" w:ascii="仿宋" w:hAnsi="仿宋" w:eastAsia="仿宋" w:cs="仿宋"/>
          <w:b/>
          <w:color w:val="auto"/>
          <w:kern w:val="0"/>
          <w:sz w:val="32"/>
          <w:szCs w:val="32"/>
          <w:lang w:val="en-US" w:eastAsia="zh-CN"/>
        </w:rPr>
        <w:t>3</w:t>
      </w:r>
      <w:r>
        <w:rPr>
          <w:rFonts w:hint="eastAsia" w:ascii="仿宋" w:hAnsi="仿宋" w:eastAsia="仿宋" w:cs="仿宋"/>
          <w:b/>
          <w:color w:val="auto"/>
          <w:kern w:val="0"/>
          <w:sz w:val="32"/>
          <w:szCs w:val="32"/>
        </w:rPr>
        <w:t>：</w:t>
      </w:r>
    </w:p>
    <w:p w14:paraId="31C48E20">
      <w:pPr>
        <w:snapToGrid w:val="0"/>
        <w:spacing w:line="336"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中小企业声明函（服务）</w:t>
      </w:r>
    </w:p>
    <w:p w14:paraId="3282422B">
      <w:pPr>
        <w:spacing w:line="336" w:lineRule="auto"/>
        <w:jc w:val="center"/>
        <w:rPr>
          <w:rFonts w:ascii="仿宋" w:hAnsi="仿宋" w:eastAsia="仿宋" w:cs="仿宋"/>
          <w:b/>
          <w:sz w:val="32"/>
          <w:szCs w:val="32"/>
        </w:rPr>
      </w:pPr>
    </w:p>
    <w:p w14:paraId="35CB703A">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7C6E9DD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嵊州市石璜镇2024年4个“百亩方”（寺新村、雅宅村、范油车村、白竹村、溪西村）永久基本农田连片整治工程项目方案编制服务项目</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其他未列明行业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AE8365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1B552E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1E631C8">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FDDC860">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8BEB98C">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0D4545C3">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365450B">
      <w:pPr>
        <w:spacing w:line="336" w:lineRule="auto"/>
        <w:rPr>
          <w:rFonts w:ascii="仿宋" w:hAnsi="仿宋" w:eastAsia="仿宋" w:cs="仿宋"/>
          <w:sz w:val="24"/>
        </w:rPr>
      </w:pPr>
    </w:p>
    <w:p w14:paraId="481A013A">
      <w:pPr>
        <w:spacing w:line="336" w:lineRule="auto"/>
        <w:rPr>
          <w:rFonts w:ascii="仿宋" w:hAnsi="仿宋" w:eastAsia="仿宋" w:cs="仿宋"/>
          <w:sz w:val="24"/>
        </w:rPr>
      </w:pPr>
      <w:r>
        <w:rPr>
          <w:rFonts w:hint="eastAsia" w:ascii="仿宋" w:hAnsi="仿宋" w:eastAsia="仿宋" w:cs="仿宋"/>
          <w:sz w:val="24"/>
        </w:rPr>
        <w:t xml:space="preserve">   注：</w:t>
      </w:r>
    </w:p>
    <w:p w14:paraId="2B0141A9">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4350A85">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48B475">
      <w:pPr>
        <w:spacing w:line="336" w:lineRule="auto"/>
        <w:rPr>
          <w:rFonts w:ascii="仿宋" w:hAnsi="仿宋" w:eastAsia="仿宋" w:cs="仿宋"/>
          <w:b/>
          <w:sz w:val="24"/>
        </w:rPr>
      </w:pPr>
    </w:p>
    <w:p w14:paraId="65638D02">
      <w:pPr>
        <w:spacing w:line="336" w:lineRule="auto"/>
        <w:ind w:firstLine="420" w:firstLineChars="200"/>
        <w:rPr>
          <w:rFonts w:ascii="仿宋" w:hAnsi="仿宋" w:eastAsia="仿宋" w:cs="仿宋"/>
        </w:rPr>
      </w:pPr>
    </w:p>
    <w:p w14:paraId="264AFDB3">
      <w:pPr>
        <w:pStyle w:val="42"/>
        <w:rPr>
          <w:rFonts w:ascii="仿宋" w:hAnsi="仿宋" w:eastAsia="仿宋" w:cs="仿宋"/>
        </w:rPr>
      </w:pPr>
    </w:p>
    <w:p w14:paraId="1E85D2E1">
      <w:pPr>
        <w:rPr>
          <w:rFonts w:ascii="仿宋" w:hAnsi="仿宋" w:eastAsia="仿宋" w:cs="仿宋"/>
        </w:rPr>
      </w:pPr>
    </w:p>
    <w:p w14:paraId="563037E0">
      <w:pPr>
        <w:pStyle w:val="42"/>
      </w:pPr>
    </w:p>
    <w:p w14:paraId="0C2DC841">
      <w:pPr>
        <w:spacing w:line="336" w:lineRule="auto"/>
        <w:rPr>
          <w:rFonts w:ascii="仿宋" w:hAnsi="仿宋" w:eastAsia="仿宋" w:cs="仿宋"/>
        </w:rPr>
      </w:pPr>
    </w:p>
    <w:p w14:paraId="42B420A9">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116A43BC">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61E08FB">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EEA88BF">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1FC2E639">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008D28D">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911AF63">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9ECEC57">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7284755">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05613E0">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6EAC4FE">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DFC94F">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985FC00">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6F055BD">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12D16C98">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52707CB">
      <w:pPr>
        <w:pStyle w:val="638"/>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8"/>
          <w:szCs w:val="28"/>
        </w:rPr>
      </w:pPr>
    </w:p>
    <w:p w14:paraId="6322BBEA">
      <w:pPr>
        <w:pStyle w:val="638"/>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29130FDE">
      <w:pPr>
        <w:pStyle w:val="638"/>
        <w:keepNext w:val="0"/>
        <w:keepLines w:val="0"/>
        <w:pageBreakBefore w:val="0"/>
        <w:widowControl w:val="0"/>
        <w:kinsoku/>
        <w:overflowPunct/>
        <w:topLinePunct w:val="0"/>
        <w:autoSpaceDE/>
        <w:autoSpaceDN/>
        <w:bidi w:val="0"/>
        <w:adjustRightInd w:val="0"/>
        <w:snapToGrid w:val="0"/>
        <w:spacing w:line="500" w:lineRule="exact"/>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lang w:val="en-US" w:eastAsia="zh-CN"/>
        </w:rPr>
        <w:t>绍兴市千目招标代理有限公司</w:t>
      </w:r>
      <w:r>
        <w:rPr>
          <w:rFonts w:hint="eastAsia" w:ascii="仿宋" w:hAnsi="仿宋" w:eastAsia="仿宋" w:cs="仿宋"/>
          <w:color w:val="auto"/>
          <w:kern w:val="0"/>
          <w:sz w:val="24"/>
          <w:szCs w:val="24"/>
        </w:rPr>
        <w:t>（采购组织机构名称）：</w:t>
      </w:r>
    </w:p>
    <w:p w14:paraId="62A661BE">
      <w:pPr>
        <w:pStyle w:val="638"/>
        <w:keepNext w:val="0"/>
        <w:keepLines w:val="0"/>
        <w:pageBreakBefore w:val="0"/>
        <w:kinsoku/>
        <w:wordWrap w:val="0"/>
        <w:overflowPunct/>
        <w:topLinePunct w:val="0"/>
        <w:autoSpaceDE/>
        <w:autoSpaceDN/>
        <w:bidi w:val="0"/>
        <w:adjustRightInd w:val="0"/>
        <w:spacing w:line="500" w:lineRule="exact"/>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066C78BE">
      <w:pPr>
        <w:pStyle w:val="639"/>
        <w:keepNext w:val="0"/>
        <w:keepLines w:val="0"/>
        <w:pageBreakBefore w:val="0"/>
        <w:widowControl/>
        <w:kinsoku/>
        <w:overflowPunct/>
        <w:topLinePunct w:val="0"/>
        <w:autoSpaceDE/>
        <w:autoSpaceDN/>
        <w:bidi w:val="0"/>
        <w:adjustRightInd w:val="0"/>
        <w:snapToGrid w:val="0"/>
        <w:spacing w:line="500" w:lineRule="exac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51C62C3">
      <w:pPr>
        <w:pStyle w:val="639"/>
        <w:keepNext w:val="0"/>
        <w:keepLines w:val="0"/>
        <w:pageBreakBefore w:val="0"/>
        <w:widowControl/>
        <w:kinsoku/>
        <w:overflowPunct/>
        <w:topLinePunct w:val="0"/>
        <w:autoSpaceDE/>
        <w:autoSpaceDN/>
        <w:bidi w:val="0"/>
        <w:adjustRightInd w:val="0"/>
        <w:snapToGrid w:val="0"/>
        <w:spacing w:line="500" w:lineRule="exac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782B9F8B">
      <w:pPr>
        <w:pStyle w:val="639"/>
        <w:keepNext w:val="0"/>
        <w:keepLines w:val="0"/>
        <w:pageBreakBefore w:val="0"/>
        <w:widowControl/>
        <w:kinsoku/>
        <w:overflowPunct/>
        <w:topLinePunct w:val="0"/>
        <w:autoSpaceDE/>
        <w:autoSpaceDN/>
        <w:bidi w:val="0"/>
        <w:adjustRightInd w:val="0"/>
        <w:snapToGrid w:val="0"/>
        <w:spacing w:line="500" w:lineRule="exact"/>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7FB6FCBA">
      <w:pPr>
        <w:pStyle w:val="639"/>
        <w:keepNext w:val="0"/>
        <w:keepLines w:val="0"/>
        <w:pageBreakBefore w:val="0"/>
        <w:widowControl/>
        <w:kinsoku/>
        <w:overflowPunct/>
        <w:topLinePunct w:val="0"/>
        <w:autoSpaceDE/>
        <w:autoSpaceDN/>
        <w:bidi w:val="0"/>
        <w:adjustRightInd w:val="0"/>
        <w:snapToGrid w:val="0"/>
        <w:spacing w:line="500" w:lineRule="exact"/>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909D054">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0F8AAD02">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176F3923">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59B4907C">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641FD91B">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31861356">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37DFA057">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92" w:name="_Toc28271"/>
      <w:r>
        <w:rPr>
          <w:rFonts w:hint="eastAsia" w:ascii="仿宋" w:hAnsi="仿宋" w:eastAsia="仿宋" w:cs="仿宋"/>
          <w:color w:val="auto"/>
          <w:kern w:val="0"/>
          <w:sz w:val="24"/>
          <w:szCs w:val="24"/>
        </w:rPr>
        <w:t>G.存在共同直接或间接投资设立子公司、联营企业和合营企业情况</w:t>
      </w:r>
      <w:bookmarkEnd w:id="92"/>
    </w:p>
    <w:p w14:paraId="317C7DC7">
      <w:pPr>
        <w:pStyle w:val="638"/>
        <w:keepNext w:val="0"/>
        <w:keepLines w:val="0"/>
        <w:pageBreakBefore w:val="0"/>
        <w:widowControl w:val="0"/>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5A248D60">
      <w:pPr>
        <w:pStyle w:val="638"/>
        <w:keepNext w:val="0"/>
        <w:keepLines w:val="0"/>
        <w:pageBreakBefore w:val="0"/>
        <w:widowControl w:val="0"/>
        <w:tabs>
          <w:tab w:val="left" w:pos="426"/>
        </w:tabs>
        <w:kinsoku/>
        <w:overflowPunct/>
        <w:topLinePunct w:val="0"/>
        <w:autoSpaceDE/>
        <w:autoSpaceDN/>
        <w:bidi w:val="0"/>
        <w:adjustRightInd w:val="0"/>
        <w:snapToGrid w:val="0"/>
        <w:spacing w:line="500" w:lineRule="exact"/>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3D06D783">
      <w:pPr>
        <w:pStyle w:val="639"/>
        <w:keepNext w:val="0"/>
        <w:keepLines w:val="0"/>
        <w:pageBreakBefore w:val="0"/>
        <w:widowControl/>
        <w:numPr>
          <w:ilvl w:val="0"/>
          <w:numId w:val="11"/>
        </w:numPr>
        <w:kinsoku/>
        <w:overflowPunct/>
        <w:topLinePunct w:val="0"/>
        <w:autoSpaceDE/>
        <w:autoSpaceDN/>
        <w:bidi w:val="0"/>
        <w:adjustRightInd w:val="0"/>
        <w:snapToGrid w:val="0"/>
        <w:spacing w:line="500" w:lineRule="exac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4C930967">
      <w:pPr>
        <w:pStyle w:val="639"/>
        <w:keepNext w:val="0"/>
        <w:keepLines w:val="0"/>
        <w:pageBreakBefore w:val="0"/>
        <w:widowControl/>
        <w:numPr>
          <w:ilvl w:val="0"/>
          <w:numId w:val="11"/>
        </w:numPr>
        <w:kinsoku/>
        <w:overflowPunct/>
        <w:topLinePunct w:val="0"/>
        <w:autoSpaceDE/>
        <w:autoSpaceDN/>
        <w:bidi w:val="0"/>
        <w:adjustRightInd w:val="0"/>
        <w:snapToGrid w:val="0"/>
        <w:spacing w:line="5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4FA8979">
      <w:pPr>
        <w:pStyle w:val="638"/>
        <w:keepNext w:val="0"/>
        <w:keepLines w:val="0"/>
        <w:pageBreakBefore w:val="0"/>
        <w:widowControl w:val="0"/>
        <w:kinsoku/>
        <w:overflowPunct/>
        <w:topLinePunct w:val="0"/>
        <w:autoSpaceDE/>
        <w:autoSpaceDN/>
        <w:bidi w:val="0"/>
        <w:adjustRightInd w:val="0"/>
        <w:snapToGrid w:val="0"/>
        <w:spacing w:line="500" w:lineRule="exact"/>
        <w:ind w:firstLine="6720" w:firstLineChars="28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（供应商代表签名）</w:t>
      </w:r>
    </w:p>
    <w:p w14:paraId="69AE1B19">
      <w:pPr>
        <w:pStyle w:val="638"/>
        <w:keepNext w:val="0"/>
        <w:keepLines w:val="0"/>
        <w:pageBreakBefore w:val="0"/>
        <w:widowControl w:val="0"/>
        <w:kinsoku/>
        <w:overflowPunct/>
        <w:topLinePunct w:val="0"/>
        <w:autoSpaceDE/>
        <w:autoSpaceDN/>
        <w:bidi w:val="0"/>
        <w:adjustRightInd w:val="0"/>
        <w:snapToGrid w:val="0"/>
        <w:spacing w:line="500" w:lineRule="exact"/>
        <w:jc w:val="both"/>
        <w:textAlignment w:val="auto"/>
        <w:rPr>
          <w:color w:val="auto"/>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2024</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DC33">
    <w:pPr>
      <w:pStyle w:val="38"/>
      <w:framePr w:wrap="around" w:vAnchor="text" w:hAnchor="margin" w:xAlign="right" w:y="1"/>
      <w:rPr>
        <w:rStyle w:val="66"/>
      </w:rPr>
    </w:pPr>
    <w:r>
      <w:fldChar w:fldCharType="begin"/>
    </w:r>
    <w:r>
      <w:rPr>
        <w:rStyle w:val="66"/>
      </w:rPr>
      <w:instrText xml:space="preserve">PAGE  </w:instrText>
    </w:r>
    <w:r>
      <w:fldChar w:fldCharType="end"/>
    </w:r>
  </w:p>
  <w:p w14:paraId="543822F4">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FDD5">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79A4">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E1B55A">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62E1B55A">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9149">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195B3">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08E195B3">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BD88">
    <w:pPr>
      <w:pStyle w:val="38"/>
      <w:framePr w:wrap="around" w:vAnchor="text" w:hAnchor="margin" w:xAlign="right" w:y="1"/>
      <w:rPr>
        <w:rStyle w:val="66"/>
      </w:rPr>
    </w:pPr>
    <w:r>
      <w:fldChar w:fldCharType="begin"/>
    </w:r>
    <w:r>
      <w:rPr>
        <w:rStyle w:val="66"/>
      </w:rPr>
      <w:instrText xml:space="preserve">PAGE  </w:instrText>
    </w:r>
    <w:r>
      <w:fldChar w:fldCharType="end"/>
    </w:r>
  </w:p>
  <w:p w14:paraId="59CB67A1">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B706">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C37BDB">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1AC37BDB">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CB19">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D870">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0982">
    <w:pPr>
      <w:pStyle w:val="40"/>
      <w:tabs>
        <w:tab w:val="center" w:pos="0"/>
      </w:tabs>
      <w:jc w:val="left"/>
      <w:rPr>
        <w:rFonts w:eastAsia="仿宋_GB2312"/>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eastAsia="zh-CN"/>
      </w:rPr>
      <w:t>磋商文件编号:JQ-SZ20241004</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AA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16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8318"/>
    <w:multiLevelType w:val="singleLevel"/>
    <w:tmpl w:val="BDA68318"/>
    <w:lvl w:ilvl="0" w:tentative="0">
      <w:start w:val="1"/>
      <w:numFmt w:val="decimal"/>
      <w:lvlText w:val="(%1)"/>
      <w:lvlJc w:val="left"/>
      <w:pPr>
        <w:tabs>
          <w:tab w:val="left" w:pos="312"/>
        </w:tabs>
      </w:pPr>
    </w:lvl>
  </w:abstractNum>
  <w:abstractNum w:abstractNumId="1">
    <w:nsid w:val="E0487331"/>
    <w:multiLevelType w:val="singleLevel"/>
    <w:tmpl w:val="E0487331"/>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2"/>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2D426135"/>
    <w:multiLevelType w:val="singleLevel"/>
    <w:tmpl w:val="2D426135"/>
    <w:lvl w:ilvl="0" w:tentative="0">
      <w:start w:val="2"/>
      <w:numFmt w:val="chineseCounting"/>
      <w:suff w:val="nothing"/>
      <w:lvlText w:val="%1、"/>
      <w:lvlJc w:val="left"/>
      <w:rPr>
        <w:rFonts w:hint="eastAsia"/>
        <w:b/>
        <w:bCs/>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0"/>
  </w:num>
  <w:num w:numId="8">
    <w:abstractNumId w:val="1"/>
  </w:num>
  <w:num w:numId="9">
    <w:abstractNumId w:val="10"/>
  </w:num>
  <w:num w:numId="10">
    <w:abstractNumId w:val="2"/>
  </w:num>
  <w:num w:numId="11">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7cef1281-40f3-42bd-ba83-58094d3d28bb"/>
  </w:docVars>
  <w:rsids>
    <w:rsidRoot w:val="00172A27"/>
    <w:rsid w:val="00176E94"/>
    <w:rsid w:val="002C61F7"/>
    <w:rsid w:val="002E2712"/>
    <w:rsid w:val="00335425"/>
    <w:rsid w:val="0066678C"/>
    <w:rsid w:val="00761FC8"/>
    <w:rsid w:val="008855BA"/>
    <w:rsid w:val="009F4C1B"/>
    <w:rsid w:val="00A81D22"/>
    <w:rsid w:val="00BC57CD"/>
    <w:rsid w:val="00C6664C"/>
    <w:rsid w:val="00ED6E0D"/>
    <w:rsid w:val="01176EA7"/>
    <w:rsid w:val="01194F6B"/>
    <w:rsid w:val="012E31AD"/>
    <w:rsid w:val="0147153B"/>
    <w:rsid w:val="0152227D"/>
    <w:rsid w:val="016320EC"/>
    <w:rsid w:val="01C0309B"/>
    <w:rsid w:val="01E86FEB"/>
    <w:rsid w:val="0224187C"/>
    <w:rsid w:val="022655F4"/>
    <w:rsid w:val="02315CA0"/>
    <w:rsid w:val="028816DF"/>
    <w:rsid w:val="02B20C36"/>
    <w:rsid w:val="02CF447B"/>
    <w:rsid w:val="02FF5E45"/>
    <w:rsid w:val="033E696D"/>
    <w:rsid w:val="034649C6"/>
    <w:rsid w:val="03497D83"/>
    <w:rsid w:val="035933FA"/>
    <w:rsid w:val="03DB24BF"/>
    <w:rsid w:val="04091561"/>
    <w:rsid w:val="04294B38"/>
    <w:rsid w:val="04372FD3"/>
    <w:rsid w:val="04561CA4"/>
    <w:rsid w:val="049727D9"/>
    <w:rsid w:val="049B5F57"/>
    <w:rsid w:val="04CC21BB"/>
    <w:rsid w:val="04E5637F"/>
    <w:rsid w:val="052772B8"/>
    <w:rsid w:val="055A508B"/>
    <w:rsid w:val="05793C8D"/>
    <w:rsid w:val="05CC64B2"/>
    <w:rsid w:val="05FD31E4"/>
    <w:rsid w:val="060379FA"/>
    <w:rsid w:val="061615CD"/>
    <w:rsid w:val="064016C0"/>
    <w:rsid w:val="065E2E82"/>
    <w:rsid w:val="065F10D4"/>
    <w:rsid w:val="06D0599C"/>
    <w:rsid w:val="06E45A7E"/>
    <w:rsid w:val="075F4A30"/>
    <w:rsid w:val="079E4577"/>
    <w:rsid w:val="07A90360"/>
    <w:rsid w:val="07C02047"/>
    <w:rsid w:val="07D159C5"/>
    <w:rsid w:val="07D826C8"/>
    <w:rsid w:val="08193505"/>
    <w:rsid w:val="08320BD9"/>
    <w:rsid w:val="0869448C"/>
    <w:rsid w:val="08C00ADD"/>
    <w:rsid w:val="092149A6"/>
    <w:rsid w:val="092E2FE0"/>
    <w:rsid w:val="093F2ABC"/>
    <w:rsid w:val="098F7951"/>
    <w:rsid w:val="09A60DC8"/>
    <w:rsid w:val="09D82B26"/>
    <w:rsid w:val="0A2C751F"/>
    <w:rsid w:val="0A346258"/>
    <w:rsid w:val="0A545FC1"/>
    <w:rsid w:val="0A86042B"/>
    <w:rsid w:val="0A943317"/>
    <w:rsid w:val="0A951A03"/>
    <w:rsid w:val="0B534F80"/>
    <w:rsid w:val="0B574A70"/>
    <w:rsid w:val="0B745622"/>
    <w:rsid w:val="0B7C0033"/>
    <w:rsid w:val="0B931032"/>
    <w:rsid w:val="0BB00DB1"/>
    <w:rsid w:val="0BDE2820"/>
    <w:rsid w:val="0BDE2A9B"/>
    <w:rsid w:val="0BF70001"/>
    <w:rsid w:val="0C000C64"/>
    <w:rsid w:val="0C0149DC"/>
    <w:rsid w:val="0C414F19"/>
    <w:rsid w:val="0CA2703D"/>
    <w:rsid w:val="0CC2522B"/>
    <w:rsid w:val="0CCE1629"/>
    <w:rsid w:val="0CDD530C"/>
    <w:rsid w:val="0CDD7393"/>
    <w:rsid w:val="0D2C3CDA"/>
    <w:rsid w:val="0D397A5A"/>
    <w:rsid w:val="0D832644"/>
    <w:rsid w:val="0D9024E9"/>
    <w:rsid w:val="0D972629"/>
    <w:rsid w:val="0DA11FD2"/>
    <w:rsid w:val="0DB3597E"/>
    <w:rsid w:val="0DF66459"/>
    <w:rsid w:val="0DF90060"/>
    <w:rsid w:val="0E7B261C"/>
    <w:rsid w:val="0E9C4E0F"/>
    <w:rsid w:val="0EC55518"/>
    <w:rsid w:val="0ED662BA"/>
    <w:rsid w:val="0F5C264B"/>
    <w:rsid w:val="0F706100"/>
    <w:rsid w:val="0FB26719"/>
    <w:rsid w:val="0FDC19E8"/>
    <w:rsid w:val="0FDC5544"/>
    <w:rsid w:val="0FDD12BC"/>
    <w:rsid w:val="0FDF5034"/>
    <w:rsid w:val="10277FF9"/>
    <w:rsid w:val="108C51BC"/>
    <w:rsid w:val="10AF4A06"/>
    <w:rsid w:val="10F33F89"/>
    <w:rsid w:val="111266FA"/>
    <w:rsid w:val="111D4066"/>
    <w:rsid w:val="11524F91"/>
    <w:rsid w:val="12506B92"/>
    <w:rsid w:val="126637EB"/>
    <w:rsid w:val="127E5878"/>
    <w:rsid w:val="12CF75E2"/>
    <w:rsid w:val="13385187"/>
    <w:rsid w:val="134578A4"/>
    <w:rsid w:val="136A013D"/>
    <w:rsid w:val="136E4430"/>
    <w:rsid w:val="136F66CF"/>
    <w:rsid w:val="13765CAF"/>
    <w:rsid w:val="13BB14CF"/>
    <w:rsid w:val="13EF52EB"/>
    <w:rsid w:val="13F866C4"/>
    <w:rsid w:val="13FA068E"/>
    <w:rsid w:val="140211C2"/>
    <w:rsid w:val="14172444"/>
    <w:rsid w:val="141B040C"/>
    <w:rsid w:val="14680169"/>
    <w:rsid w:val="14A16D5C"/>
    <w:rsid w:val="14D64C58"/>
    <w:rsid w:val="152E5EA7"/>
    <w:rsid w:val="156A35F2"/>
    <w:rsid w:val="158E5532"/>
    <w:rsid w:val="15CF16A7"/>
    <w:rsid w:val="15E862C7"/>
    <w:rsid w:val="15F335E7"/>
    <w:rsid w:val="165C1CE6"/>
    <w:rsid w:val="16786F80"/>
    <w:rsid w:val="169D1818"/>
    <w:rsid w:val="16A00796"/>
    <w:rsid w:val="16AC06BC"/>
    <w:rsid w:val="16AD19E8"/>
    <w:rsid w:val="16CA58C7"/>
    <w:rsid w:val="17852965"/>
    <w:rsid w:val="17C0574B"/>
    <w:rsid w:val="180A6D34"/>
    <w:rsid w:val="18137F71"/>
    <w:rsid w:val="181D494B"/>
    <w:rsid w:val="18673E19"/>
    <w:rsid w:val="18BC543B"/>
    <w:rsid w:val="192341E3"/>
    <w:rsid w:val="192B3098"/>
    <w:rsid w:val="198C1D89"/>
    <w:rsid w:val="19E35BE4"/>
    <w:rsid w:val="19EC6CCB"/>
    <w:rsid w:val="1A0538E9"/>
    <w:rsid w:val="1A302810"/>
    <w:rsid w:val="1A3A7A37"/>
    <w:rsid w:val="1A894935"/>
    <w:rsid w:val="1AAD645B"/>
    <w:rsid w:val="1ABA2925"/>
    <w:rsid w:val="1AD734D7"/>
    <w:rsid w:val="1B09565B"/>
    <w:rsid w:val="1B722ECF"/>
    <w:rsid w:val="1B7449F1"/>
    <w:rsid w:val="1B8C2514"/>
    <w:rsid w:val="1BF304AD"/>
    <w:rsid w:val="1C3404B6"/>
    <w:rsid w:val="1C5C75D3"/>
    <w:rsid w:val="1C625023"/>
    <w:rsid w:val="1C8F0E89"/>
    <w:rsid w:val="1C95439B"/>
    <w:rsid w:val="1CD97F5F"/>
    <w:rsid w:val="1CE57D5A"/>
    <w:rsid w:val="1D2759D6"/>
    <w:rsid w:val="1D282F2D"/>
    <w:rsid w:val="1D440BA4"/>
    <w:rsid w:val="1D497F91"/>
    <w:rsid w:val="1D551B4C"/>
    <w:rsid w:val="1D5E42F1"/>
    <w:rsid w:val="1DAB29F9"/>
    <w:rsid w:val="1DF63C75"/>
    <w:rsid w:val="1E2B689A"/>
    <w:rsid w:val="1E3E5BD7"/>
    <w:rsid w:val="1E700165"/>
    <w:rsid w:val="1E845724"/>
    <w:rsid w:val="1E912BAE"/>
    <w:rsid w:val="1EB12291"/>
    <w:rsid w:val="1ECE4BF1"/>
    <w:rsid w:val="1ED1023E"/>
    <w:rsid w:val="1ED33159"/>
    <w:rsid w:val="1F1C10F7"/>
    <w:rsid w:val="1F372530"/>
    <w:rsid w:val="1F4B7FF0"/>
    <w:rsid w:val="1F5F7696"/>
    <w:rsid w:val="1FE81CE3"/>
    <w:rsid w:val="1FFF6B11"/>
    <w:rsid w:val="200F0F3C"/>
    <w:rsid w:val="203B62B7"/>
    <w:rsid w:val="20484366"/>
    <w:rsid w:val="205564EA"/>
    <w:rsid w:val="20800028"/>
    <w:rsid w:val="20D66B76"/>
    <w:rsid w:val="210F0EE3"/>
    <w:rsid w:val="21E64000"/>
    <w:rsid w:val="21FA5CFD"/>
    <w:rsid w:val="21FD345C"/>
    <w:rsid w:val="22444A58"/>
    <w:rsid w:val="225673D8"/>
    <w:rsid w:val="22625D7D"/>
    <w:rsid w:val="2274785E"/>
    <w:rsid w:val="229816E8"/>
    <w:rsid w:val="22D36E1E"/>
    <w:rsid w:val="22EE67BE"/>
    <w:rsid w:val="23376A8B"/>
    <w:rsid w:val="237158B1"/>
    <w:rsid w:val="23925E75"/>
    <w:rsid w:val="24052C42"/>
    <w:rsid w:val="24431BDE"/>
    <w:rsid w:val="247E3149"/>
    <w:rsid w:val="24A26904"/>
    <w:rsid w:val="24A61BB0"/>
    <w:rsid w:val="24A65CC9"/>
    <w:rsid w:val="24E94533"/>
    <w:rsid w:val="250C4542"/>
    <w:rsid w:val="251D756A"/>
    <w:rsid w:val="25205A7B"/>
    <w:rsid w:val="2522733F"/>
    <w:rsid w:val="25296CD0"/>
    <w:rsid w:val="26062EC3"/>
    <w:rsid w:val="27075144"/>
    <w:rsid w:val="270858F0"/>
    <w:rsid w:val="270E4E27"/>
    <w:rsid w:val="276C3EAC"/>
    <w:rsid w:val="27CB7F20"/>
    <w:rsid w:val="28043472"/>
    <w:rsid w:val="28724840"/>
    <w:rsid w:val="287A36F4"/>
    <w:rsid w:val="28A15125"/>
    <w:rsid w:val="28D80D91"/>
    <w:rsid w:val="28EA6ACC"/>
    <w:rsid w:val="29114058"/>
    <w:rsid w:val="292900F3"/>
    <w:rsid w:val="29542197"/>
    <w:rsid w:val="296E14AB"/>
    <w:rsid w:val="297A1827"/>
    <w:rsid w:val="298567F4"/>
    <w:rsid w:val="29986528"/>
    <w:rsid w:val="299B5324"/>
    <w:rsid w:val="299D75CC"/>
    <w:rsid w:val="29A22F02"/>
    <w:rsid w:val="29AC1FD3"/>
    <w:rsid w:val="29F00112"/>
    <w:rsid w:val="29F55728"/>
    <w:rsid w:val="2A1D4C7F"/>
    <w:rsid w:val="2A391AB9"/>
    <w:rsid w:val="2A4915D0"/>
    <w:rsid w:val="2A517BC2"/>
    <w:rsid w:val="2A66642C"/>
    <w:rsid w:val="2ACE2FF1"/>
    <w:rsid w:val="2AF91248"/>
    <w:rsid w:val="2B1716CE"/>
    <w:rsid w:val="2BBB2606"/>
    <w:rsid w:val="2BC929C8"/>
    <w:rsid w:val="2BCE7BAF"/>
    <w:rsid w:val="2C002131"/>
    <w:rsid w:val="2C0116E5"/>
    <w:rsid w:val="2C536736"/>
    <w:rsid w:val="2CE74D6E"/>
    <w:rsid w:val="2CF55A3F"/>
    <w:rsid w:val="2D197980"/>
    <w:rsid w:val="2D66371B"/>
    <w:rsid w:val="2D9B0395"/>
    <w:rsid w:val="2E177A29"/>
    <w:rsid w:val="2E3B3926"/>
    <w:rsid w:val="2E4B1814"/>
    <w:rsid w:val="2EA414CB"/>
    <w:rsid w:val="2EAB3FA9"/>
    <w:rsid w:val="2EC333C5"/>
    <w:rsid w:val="2EDA4EED"/>
    <w:rsid w:val="2F511653"/>
    <w:rsid w:val="2F8135BA"/>
    <w:rsid w:val="2FAB0996"/>
    <w:rsid w:val="2FC31E25"/>
    <w:rsid w:val="2FC7123A"/>
    <w:rsid w:val="2FCF07C9"/>
    <w:rsid w:val="2FE10559"/>
    <w:rsid w:val="30073135"/>
    <w:rsid w:val="306B25EB"/>
    <w:rsid w:val="306C6018"/>
    <w:rsid w:val="308B46F0"/>
    <w:rsid w:val="30AC28B9"/>
    <w:rsid w:val="30B73737"/>
    <w:rsid w:val="30B9255C"/>
    <w:rsid w:val="30CA72A9"/>
    <w:rsid w:val="3112096E"/>
    <w:rsid w:val="312406A1"/>
    <w:rsid w:val="319E0453"/>
    <w:rsid w:val="31B23A98"/>
    <w:rsid w:val="31CF03E9"/>
    <w:rsid w:val="31FFAE5E"/>
    <w:rsid w:val="32127889"/>
    <w:rsid w:val="32430FFB"/>
    <w:rsid w:val="324E3C27"/>
    <w:rsid w:val="32990C1B"/>
    <w:rsid w:val="331704BD"/>
    <w:rsid w:val="336B6F92"/>
    <w:rsid w:val="33751688"/>
    <w:rsid w:val="33762312"/>
    <w:rsid w:val="3387567A"/>
    <w:rsid w:val="33F64577"/>
    <w:rsid w:val="340956AF"/>
    <w:rsid w:val="34390907"/>
    <w:rsid w:val="343C0D0E"/>
    <w:rsid w:val="34433534"/>
    <w:rsid w:val="3481782D"/>
    <w:rsid w:val="35042CC3"/>
    <w:rsid w:val="351D3D85"/>
    <w:rsid w:val="35366BF5"/>
    <w:rsid w:val="35633E8E"/>
    <w:rsid w:val="3632560E"/>
    <w:rsid w:val="36637EBD"/>
    <w:rsid w:val="36B67FED"/>
    <w:rsid w:val="36B77CDE"/>
    <w:rsid w:val="36BB3856"/>
    <w:rsid w:val="3719197E"/>
    <w:rsid w:val="37376230"/>
    <w:rsid w:val="37396706"/>
    <w:rsid w:val="373F4487"/>
    <w:rsid w:val="374970B3"/>
    <w:rsid w:val="37B908A3"/>
    <w:rsid w:val="37E1109A"/>
    <w:rsid w:val="37EDB609"/>
    <w:rsid w:val="38172D0E"/>
    <w:rsid w:val="38433B03"/>
    <w:rsid w:val="38482EC7"/>
    <w:rsid w:val="38C033A5"/>
    <w:rsid w:val="38F66DC7"/>
    <w:rsid w:val="391B4A7F"/>
    <w:rsid w:val="392B413E"/>
    <w:rsid w:val="39317DFF"/>
    <w:rsid w:val="395C1320"/>
    <w:rsid w:val="39841613"/>
    <w:rsid w:val="39A57F58"/>
    <w:rsid w:val="39A62333"/>
    <w:rsid w:val="39BE3DBC"/>
    <w:rsid w:val="3A092B2A"/>
    <w:rsid w:val="3A4D20AB"/>
    <w:rsid w:val="3A4F49E1"/>
    <w:rsid w:val="3AA810DF"/>
    <w:rsid w:val="3B16673B"/>
    <w:rsid w:val="3B1D063B"/>
    <w:rsid w:val="3B64626A"/>
    <w:rsid w:val="3B950658"/>
    <w:rsid w:val="3BC85AB4"/>
    <w:rsid w:val="3BD12312"/>
    <w:rsid w:val="3C261771"/>
    <w:rsid w:val="3C26621D"/>
    <w:rsid w:val="3C5067EE"/>
    <w:rsid w:val="3C597D99"/>
    <w:rsid w:val="3C7050E2"/>
    <w:rsid w:val="3C8F2BF2"/>
    <w:rsid w:val="3C973823"/>
    <w:rsid w:val="3CDC2F7E"/>
    <w:rsid w:val="3CF63839"/>
    <w:rsid w:val="3D0A53B7"/>
    <w:rsid w:val="3D1574E2"/>
    <w:rsid w:val="3D3E0D3C"/>
    <w:rsid w:val="3D977D6F"/>
    <w:rsid w:val="3D9D3CB5"/>
    <w:rsid w:val="3DA22AF2"/>
    <w:rsid w:val="3DFA4C63"/>
    <w:rsid w:val="3E8310FD"/>
    <w:rsid w:val="3E9E7CE5"/>
    <w:rsid w:val="3EA94414"/>
    <w:rsid w:val="3EBC27C4"/>
    <w:rsid w:val="3ED92B93"/>
    <w:rsid w:val="3F007C46"/>
    <w:rsid w:val="3F7942AE"/>
    <w:rsid w:val="3F892743"/>
    <w:rsid w:val="3F933288"/>
    <w:rsid w:val="3FDF4064"/>
    <w:rsid w:val="40055B41"/>
    <w:rsid w:val="40086230"/>
    <w:rsid w:val="40316936"/>
    <w:rsid w:val="40574C5C"/>
    <w:rsid w:val="40596A0B"/>
    <w:rsid w:val="4095129A"/>
    <w:rsid w:val="40F77B80"/>
    <w:rsid w:val="41207887"/>
    <w:rsid w:val="414F22B6"/>
    <w:rsid w:val="41B4781F"/>
    <w:rsid w:val="41C07CCA"/>
    <w:rsid w:val="41EF2605"/>
    <w:rsid w:val="425C3B7A"/>
    <w:rsid w:val="425F4A8D"/>
    <w:rsid w:val="4269685C"/>
    <w:rsid w:val="42862F6A"/>
    <w:rsid w:val="42A34147"/>
    <w:rsid w:val="42AD499A"/>
    <w:rsid w:val="42C121F4"/>
    <w:rsid w:val="43151407"/>
    <w:rsid w:val="434C128E"/>
    <w:rsid w:val="435A582F"/>
    <w:rsid w:val="43686B13"/>
    <w:rsid w:val="436D4129"/>
    <w:rsid w:val="43770B04"/>
    <w:rsid w:val="439369B8"/>
    <w:rsid w:val="43B27D8E"/>
    <w:rsid w:val="43B35FE0"/>
    <w:rsid w:val="43D42766"/>
    <w:rsid w:val="43D57920"/>
    <w:rsid w:val="44150A49"/>
    <w:rsid w:val="44240C8C"/>
    <w:rsid w:val="4464552C"/>
    <w:rsid w:val="4475773A"/>
    <w:rsid w:val="44C45FCB"/>
    <w:rsid w:val="44FA7C3F"/>
    <w:rsid w:val="450D7972"/>
    <w:rsid w:val="4527617E"/>
    <w:rsid w:val="452E0290"/>
    <w:rsid w:val="454809AA"/>
    <w:rsid w:val="458A0BEF"/>
    <w:rsid w:val="45B147A1"/>
    <w:rsid w:val="45D24718"/>
    <w:rsid w:val="45D3104E"/>
    <w:rsid w:val="462A6302"/>
    <w:rsid w:val="46842723"/>
    <w:rsid w:val="46871D95"/>
    <w:rsid w:val="4690085B"/>
    <w:rsid w:val="46C2478C"/>
    <w:rsid w:val="47236529"/>
    <w:rsid w:val="47254D8E"/>
    <w:rsid w:val="47666BD1"/>
    <w:rsid w:val="47743CD8"/>
    <w:rsid w:val="47ED3A8B"/>
    <w:rsid w:val="47F16ACD"/>
    <w:rsid w:val="47F46BC7"/>
    <w:rsid w:val="48050DD4"/>
    <w:rsid w:val="48A44149"/>
    <w:rsid w:val="49746212"/>
    <w:rsid w:val="497A75A0"/>
    <w:rsid w:val="499917D4"/>
    <w:rsid w:val="49BD3217"/>
    <w:rsid w:val="4A09670E"/>
    <w:rsid w:val="4A1B668D"/>
    <w:rsid w:val="4A1E1CDA"/>
    <w:rsid w:val="4A3634C7"/>
    <w:rsid w:val="4A6E2C61"/>
    <w:rsid w:val="4A9C5EAC"/>
    <w:rsid w:val="4AA70EB5"/>
    <w:rsid w:val="4B125CE2"/>
    <w:rsid w:val="4B647BC0"/>
    <w:rsid w:val="4B773D97"/>
    <w:rsid w:val="4BA80A71"/>
    <w:rsid w:val="4BAF1783"/>
    <w:rsid w:val="4BB9615E"/>
    <w:rsid w:val="4BE204FB"/>
    <w:rsid w:val="4BE40D01"/>
    <w:rsid w:val="4C76404F"/>
    <w:rsid w:val="4CE820DB"/>
    <w:rsid w:val="4D3E6CF9"/>
    <w:rsid w:val="4DBB4D94"/>
    <w:rsid w:val="4DFA828C"/>
    <w:rsid w:val="4E2F0959"/>
    <w:rsid w:val="4E4875AB"/>
    <w:rsid w:val="4EAC2B6A"/>
    <w:rsid w:val="4EAF2C80"/>
    <w:rsid w:val="4EE07EA5"/>
    <w:rsid w:val="4F4425D1"/>
    <w:rsid w:val="4FDC2DDB"/>
    <w:rsid w:val="4FDF86E0"/>
    <w:rsid w:val="50840DB2"/>
    <w:rsid w:val="50D2381E"/>
    <w:rsid w:val="50E2057A"/>
    <w:rsid w:val="50E7551B"/>
    <w:rsid w:val="50F73284"/>
    <w:rsid w:val="51043EAF"/>
    <w:rsid w:val="51112598"/>
    <w:rsid w:val="511B51C5"/>
    <w:rsid w:val="519A0805"/>
    <w:rsid w:val="51C969CF"/>
    <w:rsid w:val="51D3784E"/>
    <w:rsid w:val="523601F3"/>
    <w:rsid w:val="52410C5B"/>
    <w:rsid w:val="52497B10"/>
    <w:rsid w:val="525A7F6F"/>
    <w:rsid w:val="52773A4D"/>
    <w:rsid w:val="528D42BC"/>
    <w:rsid w:val="52990A97"/>
    <w:rsid w:val="529E7E5B"/>
    <w:rsid w:val="529F2FAA"/>
    <w:rsid w:val="52CC09AB"/>
    <w:rsid w:val="53446C55"/>
    <w:rsid w:val="53590226"/>
    <w:rsid w:val="537A3091"/>
    <w:rsid w:val="538F59F6"/>
    <w:rsid w:val="5449029B"/>
    <w:rsid w:val="54523CE0"/>
    <w:rsid w:val="54B0031A"/>
    <w:rsid w:val="54B03E76"/>
    <w:rsid w:val="54B90F7D"/>
    <w:rsid w:val="54F5115A"/>
    <w:rsid w:val="54F75F49"/>
    <w:rsid w:val="555A4967"/>
    <w:rsid w:val="55F61D5C"/>
    <w:rsid w:val="560C1580"/>
    <w:rsid w:val="57064221"/>
    <w:rsid w:val="573F2A49"/>
    <w:rsid w:val="5752361C"/>
    <w:rsid w:val="57A11AFD"/>
    <w:rsid w:val="57B26260"/>
    <w:rsid w:val="57F64296"/>
    <w:rsid w:val="580057A0"/>
    <w:rsid w:val="58331A2B"/>
    <w:rsid w:val="584C6310"/>
    <w:rsid w:val="58511D61"/>
    <w:rsid w:val="58773629"/>
    <w:rsid w:val="588B2C30"/>
    <w:rsid w:val="58A43CF2"/>
    <w:rsid w:val="58BE189A"/>
    <w:rsid w:val="58C64E94"/>
    <w:rsid w:val="58CD0666"/>
    <w:rsid w:val="58CF2542"/>
    <w:rsid w:val="59103135"/>
    <w:rsid w:val="591470C9"/>
    <w:rsid w:val="598A113A"/>
    <w:rsid w:val="59CDA4DC"/>
    <w:rsid w:val="5A364E1D"/>
    <w:rsid w:val="5A7A11AE"/>
    <w:rsid w:val="5A820063"/>
    <w:rsid w:val="5A852103"/>
    <w:rsid w:val="5AA23A59"/>
    <w:rsid w:val="5AD85ED5"/>
    <w:rsid w:val="5AD90B13"/>
    <w:rsid w:val="5B7359C9"/>
    <w:rsid w:val="5BD26DC8"/>
    <w:rsid w:val="5BEC651D"/>
    <w:rsid w:val="5BEF797A"/>
    <w:rsid w:val="5BF907F8"/>
    <w:rsid w:val="5C135D05"/>
    <w:rsid w:val="5C384E7D"/>
    <w:rsid w:val="5C45759A"/>
    <w:rsid w:val="5C4E46A0"/>
    <w:rsid w:val="5C630938"/>
    <w:rsid w:val="5C7B745F"/>
    <w:rsid w:val="5C8616C7"/>
    <w:rsid w:val="5CAB1AF3"/>
    <w:rsid w:val="5CB35CC1"/>
    <w:rsid w:val="5CDC1CAC"/>
    <w:rsid w:val="5CF35248"/>
    <w:rsid w:val="5D7F6C67"/>
    <w:rsid w:val="5DBB608D"/>
    <w:rsid w:val="5DC70516"/>
    <w:rsid w:val="5DD21B0F"/>
    <w:rsid w:val="5DD230AF"/>
    <w:rsid w:val="5DD543AA"/>
    <w:rsid w:val="5DF162A8"/>
    <w:rsid w:val="5E021BE6"/>
    <w:rsid w:val="5E1D2D7B"/>
    <w:rsid w:val="5E736640"/>
    <w:rsid w:val="5EB72A3D"/>
    <w:rsid w:val="5EE96902"/>
    <w:rsid w:val="5F245B8C"/>
    <w:rsid w:val="5F378D9C"/>
    <w:rsid w:val="5F545483"/>
    <w:rsid w:val="5F5F0972"/>
    <w:rsid w:val="5F624DFA"/>
    <w:rsid w:val="5F7C7657"/>
    <w:rsid w:val="5F84662B"/>
    <w:rsid w:val="5F9A6B41"/>
    <w:rsid w:val="5FAE0228"/>
    <w:rsid w:val="5FCC6AA8"/>
    <w:rsid w:val="5FD989FB"/>
    <w:rsid w:val="5FDA449D"/>
    <w:rsid w:val="5FF27A39"/>
    <w:rsid w:val="5FF7E781"/>
    <w:rsid w:val="5FFA48E5"/>
    <w:rsid w:val="602120CC"/>
    <w:rsid w:val="602776E2"/>
    <w:rsid w:val="605E50CE"/>
    <w:rsid w:val="6064547E"/>
    <w:rsid w:val="60883EF9"/>
    <w:rsid w:val="608E7761"/>
    <w:rsid w:val="60C75979"/>
    <w:rsid w:val="60D2371A"/>
    <w:rsid w:val="60E42BC1"/>
    <w:rsid w:val="61286A51"/>
    <w:rsid w:val="61811074"/>
    <w:rsid w:val="62570027"/>
    <w:rsid w:val="6260512D"/>
    <w:rsid w:val="62761D88"/>
    <w:rsid w:val="6282499E"/>
    <w:rsid w:val="633B16F7"/>
    <w:rsid w:val="63C85E96"/>
    <w:rsid w:val="64395C36"/>
    <w:rsid w:val="64654C7D"/>
    <w:rsid w:val="64A82F69"/>
    <w:rsid w:val="64EA6F30"/>
    <w:rsid w:val="64EB6838"/>
    <w:rsid w:val="651421FF"/>
    <w:rsid w:val="652361D8"/>
    <w:rsid w:val="654E5711"/>
    <w:rsid w:val="657244F7"/>
    <w:rsid w:val="658421A7"/>
    <w:rsid w:val="65864EAB"/>
    <w:rsid w:val="65921AA2"/>
    <w:rsid w:val="65D04378"/>
    <w:rsid w:val="65D8322D"/>
    <w:rsid w:val="65F34E42"/>
    <w:rsid w:val="65F904D8"/>
    <w:rsid w:val="66100C18"/>
    <w:rsid w:val="66140709"/>
    <w:rsid w:val="66245681"/>
    <w:rsid w:val="66C07AEC"/>
    <w:rsid w:val="66DD4F9F"/>
    <w:rsid w:val="66EA7B14"/>
    <w:rsid w:val="66FB5425"/>
    <w:rsid w:val="67177D85"/>
    <w:rsid w:val="672506F4"/>
    <w:rsid w:val="67281E5E"/>
    <w:rsid w:val="675114E9"/>
    <w:rsid w:val="675637A1"/>
    <w:rsid w:val="67566AFF"/>
    <w:rsid w:val="67674B6A"/>
    <w:rsid w:val="676FCA63"/>
    <w:rsid w:val="678216A2"/>
    <w:rsid w:val="67A9434F"/>
    <w:rsid w:val="67BB4BB4"/>
    <w:rsid w:val="67E97973"/>
    <w:rsid w:val="67FA392E"/>
    <w:rsid w:val="68135F00"/>
    <w:rsid w:val="68411D00"/>
    <w:rsid w:val="6885769C"/>
    <w:rsid w:val="68FA3E26"/>
    <w:rsid w:val="69163EF1"/>
    <w:rsid w:val="696B139F"/>
    <w:rsid w:val="699F653B"/>
    <w:rsid w:val="69B00415"/>
    <w:rsid w:val="69F824C7"/>
    <w:rsid w:val="6A220F1A"/>
    <w:rsid w:val="6A723C50"/>
    <w:rsid w:val="6A7A6FA8"/>
    <w:rsid w:val="6A960CBF"/>
    <w:rsid w:val="6AB9362D"/>
    <w:rsid w:val="6AE54422"/>
    <w:rsid w:val="6B405AFC"/>
    <w:rsid w:val="6B6F1F3D"/>
    <w:rsid w:val="6BFD4436"/>
    <w:rsid w:val="6C0C7883"/>
    <w:rsid w:val="6C5B01B9"/>
    <w:rsid w:val="6C8E2897"/>
    <w:rsid w:val="6CC548B1"/>
    <w:rsid w:val="6CDC1854"/>
    <w:rsid w:val="6CED1CB3"/>
    <w:rsid w:val="6D047526"/>
    <w:rsid w:val="6D4318D3"/>
    <w:rsid w:val="6D631F76"/>
    <w:rsid w:val="6DAF6F69"/>
    <w:rsid w:val="6DC11232"/>
    <w:rsid w:val="6DE5F147"/>
    <w:rsid w:val="6DFFCE94"/>
    <w:rsid w:val="6E0E213F"/>
    <w:rsid w:val="6E185DF8"/>
    <w:rsid w:val="6E330C7F"/>
    <w:rsid w:val="6E837251"/>
    <w:rsid w:val="6EB16F39"/>
    <w:rsid w:val="6EB802EE"/>
    <w:rsid w:val="6ED70525"/>
    <w:rsid w:val="6EEE1947"/>
    <w:rsid w:val="6F382521"/>
    <w:rsid w:val="6F40431D"/>
    <w:rsid w:val="6F643647"/>
    <w:rsid w:val="6F7A4A2A"/>
    <w:rsid w:val="6FD607DD"/>
    <w:rsid w:val="6FED6577"/>
    <w:rsid w:val="6FEE3C43"/>
    <w:rsid w:val="701E1440"/>
    <w:rsid w:val="70566CF5"/>
    <w:rsid w:val="70776C66"/>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2E23B62"/>
    <w:rsid w:val="731E2BC7"/>
    <w:rsid w:val="732D72A1"/>
    <w:rsid w:val="73312DE3"/>
    <w:rsid w:val="73974727"/>
    <w:rsid w:val="73B057E9"/>
    <w:rsid w:val="73BB0416"/>
    <w:rsid w:val="73D6524F"/>
    <w:rsid w:val="73DB1CB9"/>
    <w:rsid w:val="73ED4B31"/>
    <w:rsid w:val="74583EB6"/>
    <w:rsid w:val="74714F78"/>
    <w:rsid w:val="74980757"/>
    <w:rsid w:val="74B11819"/>
    <w:rsid w:val="74CE6EC4"/>
    <w:rsid w:val="74D55507"/>
    <w:rsid w:val="74DD6508"/>
    <w:rsid w:val="74E92D60"/>
    <w:rsid w:val="74FF3DED"/>
    <w:rsid w:val="75462BEC"/>
    <w:rsid w:val="75A53E8F"/>
    <w:rsid w:val="75B92677"/>
    <w:rsid w:val="75BD1968"/>
    <w:rsid w:val="75F220E9"/>
    <w:rsid w:val="764D5571"/>
    <w:rsid w:val="767FFC86"/>
    <w:rsid w:val="768C6099"/>
    <w:rsid w:val="769D3E02"/>
    <w:rsid w:val="76A94EFA"/>
    <w:rsid w:val="7757591A"/>
    <w:rsid w:val="777D850A"/>
    <w:rsid w:val="77925931"/>
    <w:rsid w:val="77B452E7"/>
    <w:rsid w:val="77BF424C"/>
    <w:rsid w:val="77FDAF17"/>
    <w:rsid w:val="78061E7B"/>
    <w:rsid w:val="786170B2"/>
    <w:rsid w:val="786C6182"/>
    <w:rsid w:val="789456D9"/>
    <w:rsid w:val="79006A46"/>
    <w:rsid w:val="79031B5E"/>
    <w:rsid w:val="791D747D"/>
    <w:rsid w:val="79D7762B"/>
    <w:rsid w:val="7A0A19CE"/>
    <w:rsid w:val="7A4D1FE3"/>
    <w:rsid w:val="7A517153"/>
    <w:rsid w:val="7A6A8AE2"/>
    <w:rsid w:val="7A894D21"/>
    <w:rsid w:val="7AA60A50"/>
    <w:rsid w:val="7AB756AF"/>
    <w:rsid w:val="7AF51A17"/>
    <w:rsid w:val="7AF67F85"/>
    <w:rsid w:val="7B3F8B2D"/>
    <w:rsid w:val="7B599EFA"/>
    <w:rsid w:val="7B672C31"/>
    <w:rsid w:val="7B68255B"/>
    <w:rsid w:val="7B8A691F"/>
    <w:rsid w:val="7BBE7F23"/>
    <w:rsid w:val="7BCB7956"/>
    <w:rsid w:val="7C435FEF"/>
    <w:rsid w:val="7C466CEA"/>
    <w:rsid w:val="7C594C70"/>
    <w:rsid w:val="7CE02C9B"/>
    <w:rsid w:val="7CE7B94C"/>
    <w:rsid w:val="7D3C1CFD"/>
    <w:rsid w:val="7DD47241"/>
    <w:rsid w:val="7DF0589A"/>
    <w:rsid w:val="7DFD53BB"/>
    <w:rsid w:val="7E2C377E"/>
    <w:rsid w:val="7E2F69CB"/>
    <w:rsid w:val="7E3FB6A0"/>
    <w:rsid w:val="7ED06D3F"/>
    <w:rsid w:val="7EDF8DB8"/>
    <w:rsid w:val="7EFB3DBC"/>
    <w:rsid w:val="7F572FBC"/>
    <w:rsid w:val="7F5FFBE0"/>
    <w:rsid w:val="7F6000C3"/>
    <w:rsid w:val="7F737DF6"/>
    <w:rsid w:val="7F7E679B"/>
    <w:rsid w:val="7F8E2E82"/>
    <w:rsid w:val="7FA01DE9"/>
    <w:rsid w:val="7FBB6A6A"/>
    <w:rsid w:val="7FDEB18A"/>
    <w:rsid w:val="7FE9630A"/>
    <w:rsid w:val="7FFDEA52"/>
    <w:rsid w:val="7FFDFA77"/>
    <w:rsid w:val="7FFF33AB"/>
    <w:rsid w:val="93B71E4D"/>
    <w:rsid w:val="9ADAABA8"/>
    <w:rsid w:val="9D73B56C"/>
    <w:rsid w:val="9FBFDF61"/>
    <w:rsid w:val="ABEDF032"/>
    <w:rsid w:val="B1E794FC"/>
    <w:rsid w:val="B7FB99C9"/>
    <w:rsid w:val="B95FAC3F"/>
    <w:rsid w:val="BB2B0695"/>
    <w:rsid w:val="BE5D4E9C"/>
    <w:rsid w:val="BED7753D"/>
    <w:rsid w:val="BF6FDB4B"/>
    <w:rsid w:val="BF7B2058"/>
    <w:rsid w:val="BF9FC897"/>
    <w:rsid w:val="BFDE8D9C"/>
    <w:rsid w:val="BFDF323A"/>
    <w:rsid w:val="BFFFE2C1"/>
    <w:rsid w:val="C7BC0E3B"/>
    <w:rsid w:val="D6FF9A1B"/>
    <w:rsid w:val="DAFD9D84"/>
    <w:rsid w:val="DBDF3DFD"/>
    <w:rsid w:val="DBF1C086"/>
    <w:rsid w:val="DBFE74B1"/>
    <w:rsid w:val="DDE3C7AC"/>
    <w:rsid w:val="DEDEE8C1"/>
    <w:rsid w:val="DF37B5AF"/>
    <w:rsid w:val="DFEA9CB2"/>
    <w:rsid w:val="DFFB738F"/>
    <w:rsid w:val="DFFF59B2"/>
    <w:rsid w:val="E3BA51F4"/>
    <w:rsid w:val="E5EF8E83"/>
    <w:rsid w:val="E7750240"/>
    <w:rsid w:val="EB6FAB69"/>
    <w:rsid w:val="EDAEDFA1"/>
    <w:rsid w:val="EE4F4FBA"/>
    <w:rsid w:val="EF13C279"/>
    <w:rsid w:val="EFBCD58B"/>
    <w:rsid w:val="EFECFCAC"/>
    <w:rsid w:val="EFFCCE80"/>
    <w:rsid w:val="F37BECE9"/>
    <w:rsid w:val="F5D9C1F4"/>
    <w:rsid w:val="F5F7D7B9"/>
    <w:rsid w:val="F7FEFFA9"/>
    <w:rsid w:val="F8174FCA"/>
    <w:rsid w:val="FAAF7777"/>
    <w:rsid w:val="FBBB7013"/>
    <w:rsid w:val="FBBF66A0"/>
    <w:rsid w:val="FBEAB8F8"/>
    <w:rsid w:val="FBFCC817"/>
    <w:rsid w:val="FCCE0213"/>
    <w:rsid w:val="FE7E0278"/>
    <w:rsid w:val="FEF9E10A"/>
    <w:rsid w:val="FF8E7BAF"/>
    <w:rsid w:val="FFEBF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477"/>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616"/>
    <w:qFormat/>
    <w:uiPriority w:val="99"/>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24"/>
    <w:link w:val="514"/>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7"/>
    <w:qFormat/>
    <w:uiPriority w:val="0"/>
    <w:pPr>
      <w:ind w:firstLine="420"/>
    </w:pPr>
    <w:rPr>
      <w:szCs w:val="20"/>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7"/>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envelope return"/>
    <w:basedOn w:val="1"/>
    <w:qFormat/>
    <w:uiPriority w:val="99"/>
    <w:pPr>
      <w:snapToGrid w:val="0"/>
    </w:pPr>
    <w:rPr>
      <w:rFonts w:ascii="Arial" w:hAnsi="Arial"/>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0"/>
    <w:qFormat/>
    <w:uiPriority w:val="0"/>
    <w:pPr>
      <w:spacing w:line="360" w:lineRule="auto"/>
      <w:ind w:firstLine="420"/>
    </w:pPr>
    <w:rPr>
      <w:sz w:val="24"/>
      <w:szCs w:val="20"/>
    </w:rPr>
  </w:style>
  <w:style w:type="paragraph" w:styleId="53">
    <w:name w:val="index 7"/>
    <w:basedOn w:val="1"/>
    <w:next w:val="1"/>
    <w:unhideWhenUsed/>
    <w:qFormat/>
    <w:uiPriority w:val="99"/>
    <w:pPr>
      <w:ind w:left="1200" w:leftChars="1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2"/>
    <w:basedOn w:val="16"/>
    <w:link w:val="504"/>
    <w:qFormat/>
    <w:uiPriority w:val="0"/>
    <w:pPr>
      <w:adjustRightInd/>
      <w:spacing w:after="120" w:line="240" w:lineRule="auto"/>
      <w:ind w:left="420" w:leftChars="200" w:firstLine="210"/>
    </w:pPr>
    <w:rPr>
      <w:sz w:val="21"/>
    </w:rPr>
  </w:style>
  <w:style w:type="table" w:styleId="63">
    <w:name w:val="Table Grid"/>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3"/>
    <w:next w:val="73"/>
    <w:qFormat/>
    <w:uiPriority w:val="0"/>
    <w:pPr>
      <w:spacing w:after="68"/>
    </w:pPr>
    <w:rPr>
      <w:rFonts w:ascii="FHLHE E+ Futura Bk" w:eastAsia="FHLHE E+ Futura Bk" w:cs="Times New Roman"/>
      <w:color w:val="auto"/>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clear" w:pos="1260"/>
      </w:tabs>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ilvl w:val="0"/>
        <w:numId w:val="5"/>
      </w:numPr>
      <w:tabs>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3"/>
    <w:next w:val="7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customStyle="1"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ilvl w:val="0"/>
        <w:numId w:val="0"/>
      </w:numPr>
      <w:tabs>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ilvl w:val="0"/>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ilvl w:val="0"/>
        <w:numId w:val="4"/>
      </w:numPr>
      <w:tabs>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9"/>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next w:val="53"/>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Id w:val="0"/>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ilvl w:val="0"/>
        <w:numId w:val="5"/>
      </w:numPr>
      <w:tabs>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ilvl w:val="0"/>
        <w:numId w:val="4"/>
      </w:numPr>
      <w:tabs>
        <w:tab w:val="clear" w:pos="1008"/>
      </w:tabs>
      <w:adjustRightInd/>
    </w:pPr>
  </w:style>
  <w:style w:type="paragraph" w:customStyle="1" w:styleId="413">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ilvl w:val="0"/>
        <w:numId w:val="5"/>
      </w:numPr>
      <w:tabs>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ilvl w:val="0"/>
        <w:numId w:val="0"/>
      </w:numPr>
      <w:tabs>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qFormat/>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qFormat/>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16"/>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_7802c35d-a7d5-483c-ad67-f53103fdfb58"/>
    <w:qFormat/>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1"/>
    <w:qFormat/>
    <w:uiPriority w:val="0"/>
    <w:rPr>
      <w:rFonts w:ascii="宋体" w:hAnsi="宋体"/>
      <w:kern w:val="2"/>
      <w:sz w:val="21"/>
      <w:szCs w:val="24"/>
    </w:rPr>
  </w:style>
  <w:style w:type="character" w:customStyle="1" w:styleId="505">
    <w:name w:val="正文文本缩进 2 Char"/>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7"/>
    <w:qFormat/>
    <w:uiPriority w:val="0"/>
    <w:rPr>
      <w:rFonts w:ascii="黑体" w:hAnsi="Courier New" w:eastAsia="黑体"/>
    </w:rPr>
  </w:style>
  <w:style w:type="character" w:customStyle="1" w:styleId="546">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7">
    <w:name w:val="正文首行缩进 Char"/>
    <w:link w:val="24"/>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uiPriority w:val="0"/>
    <w:rPr>
      <w:rFonts w:ascii="宋体" w:hAnsi="宋体" w:eastAsia="宋体"/>
      <w:b/>
      <w:kern w:val="2"/>
      <w:sz w:val="24"/>
      <w:szCs w:val="24"/>
      <w:lang w:val="en-US" w:eastAsia="zh-CN" w:bidi="ar-SA"/>
    </w:rPr>
  </w:style>
  <w:style w:type="character" w:customStyle="1" w:styleId="564">
    <w:name w:val="Document Map Char"/>
    <w:qFormat/>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2"/>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5"/>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qFormat/>
    <w:uiPriority w:val="0"/>
    <w:rPr>
      <w:rFonts w:ascii="Times New Roman" w:hAnsi="Times New Roman" w:eastAsia="宋体" w:cs="Times New Roman"/>
      <w:sz w:val="20"/>
      <w:szCs w:val="20"/>
    </w:rPr>
  </w:style>
  <w:style w:type="character" w:customStyle="1" w:styleId="606">
    <w:name w:val="Char Char31"/>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b/>
      <w:bCs/>
      <w:kern w:val="2"/>
      <w:sz w:val="24"/>
      <w:szCs w:val="24"/>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20"/>
    <w:qFormat/>
    <w:uiPriority w:val="99"/>
    <w:rPr>
      <w:kern w:val="2"/>
      <w:sz w:val="21"/>
      <w:szCs w:val="24"/>
    </w:rPr>
  </w:style>
  <w:style w:type="character" w:customStyle="1" w:styleId="617">
    <w:name w:val="批注框文本 Char"/>
    <w:link w:val="37"/>
    <w:qFormat/>
    <w:uiPriority w:val="0"/>
    <w:rPr>
      <w:kern w:val="2"/>
      <w:sz w:val="18"/>
      <w:szCs w:val="18"/>
    </w:rPr>
  </w:style>
  <w:style w:type="character" w:customStyle="1" w:styleId="618">
    <w:name w:val="Footer Char_297ca3bb-e6f6-4cc1-9b27-66816fa3cad9"/>
    <w:qFormat/>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样式 列表编号 + 段后: 0.5 行"/>
    <w:basedOn w:val="14"/>
    <w:qFormat/>
    <w:uiPriority w:val="2"/>
    <w:pPr>
      <w:spacing w:after="0"/>
      <w:ind w:left="840" w:hanging="420"/>
      <w:contextualSpacing/>
    </w:pPr>
    <w:rPr>
      <w:rFonts w:cs="宋体"/>
    </w:rPr>
  </w:style>
  <w:style w:type="paragraph" w:customStyle="1" w:styleId="635">
    <w:name w:val="BodyText"/>
    <w:basedOn w:val="1"/>
    <w:next w:val="636"/>
    <w:qFormat/>
    <w:uiPriority w:val="0"/>
    <w:pPr>
      <w:jc w:val="both"/>
      <w:textAlignment w:val="baseline"/>
    </w:pPr>
    <w:rPr>
      <w:rFonts w:ascii="Arial" w:hAnsi="Arial" w:cs="Times New Roman"/>
      <w:kern w:val="2"/>
      <w:sz w:val="24"/>
      <w:szCs w:val="24"/>
      <w:lang w:val="en-US" w:eastAsia="zh-CN" w:bidi="ar-SA"/>
    </w:rPr>
  </w:style>
  <w:style w:type="paragraph" w:customStyle="1" w:styleId="636">
    <w:name w:val="BodyText1I"/>
    <w:basedOn w:val="635"/>
    <w:next w:val="637"/>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7">
    <w:name w:val="TOC6"/>
    <w:basedOn w:val="1"/>
    <w:next w:val="1"/>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38">
    <w:name w:val="Plain Text2"/>
    <w:basedOn w:val="639"/>
    <w:qFormat/>
    <w:uiPriority w:val="99"/>
    <w:pPr>
      <w:widowControl/>
      <w:jc w:val="left"/>
    </w:pPr>
    <w:rPr>
      <w:rFonts w:ascii="Times New Roman" w:hAnsi="Courier New" w:cs="Times New Roman"/>
    </w:rPr>
  </w:style>
  <w:style w:type="paragraph" w:customStyle="1" w:styleId="639">
    <w:name w:val="Normal1"/>
    <w:basedOn w:val="1"/>
    <w:qFormat/>
    <w:uiPriority w:val="99"/>
    <w:rPr>
      <w:rFonts w:ascii="宋体" w:hAnsi="宋体" w:cs="宋体"/>
      <w:szCs w:val="21"/>
    </w:rPr>
  </w:style>
  <w:style w:type="table" w:customStyle="1" w:styleId="640">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4214</Words>
  <Characters>4603</Characters>
  <Paragraphs>1856</Paragraphs>
  <TotalTime>32</TotalTime>
  <ScaleCrop>false</ScaleCrop>
  <LinksUpToDate>false</LinksUpToDate>
  <CharactersWithSpaces>4829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2023-03-26T10:29:00Z</dcterms:created>
  <dc:creator>玥</dc:creator>
  <cp:lastModifiedBy>sissy</cp:lastModifiedBy>
  <cp:lastPrinted>2024-03-14T02:43:00Z</cp:lastPrinted>
  <dcterms:modified xsi:type="dcterms:W3CDTF">2024-12-20T01:45:59Z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84A9E164D5254B2C90935FBF7B19D666_13</vt:lpwstr>
  </property>
</Properties>
</file>