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sz w:val="48"/>
          <w:szCs w:val="48"/>
        </w:rPr>
      </w:pPr>
    </w:p>
    <w:p>
      <w:pPr>
        <w:keepNext w:val="0"/>
        <w:keepLines w:val="0"/>
        <w:pageBreakBefore w:val="0"/>
        <w:widowControl w:val="0"/>
        <w:kinsoku/>
        <w:wordWrap/>
        <w:overflowPunct/>
        <w:topLinePunct w:val="0"/>
        <w:autoSpaceDE/>
        <w:autoSpaceDN/>
        <w:bidi w:val="0"/>
        <w:adjustRightInd w:val="0"/>
        <w:snapToGrid/>
        <w:spacing w:before="157" w:beforeLines="50" w:line="700" w:lineRule="exact"/>
        <w:jc w:val="center"/>
        <w:textAlignment w:val="auto"/>
        <w:rPr>
          <w:rStyle w:val="79"/>
          <w:rFonts w:hint="eastAsia" w:ascii="宋体" w:hAnsi="宋体" w:eastAsia="宋体" w:cs="宋体"/>
          <w:b/>
          <w:bCs/>
          <w:i w:val="0"/>
          <w:iCs w:val="0"/>
          <w:caps w:val="0"/>
          <w:color w:val="auto"/>
          <w:spacing w:val="0"/>
          <w:sz w:val="36"/>
          <w:szCs w:val="36"/>
          <w:highlight w:val="none"/>
          <w:shd w:val="clear" w:fill="FFFFFF"/>
        </w:rPr>
      </w:pPr>
      <w:r>
        <w:rPr>
          <w:rStyle w:val="79"/>
          <w:rFonts w:hint="eastAsia" w:ascii="宋体" w:hAnsi="宋体" w:eastAsia="宋体" w:cs="宋体"/>
          <w:b/>
          <w:bCs/>
          <w:i w:val="0"/>
          <w:iCs w:val="0"/>
          <w:caps w:val="0"/>
          <w:color w:val="auto"/>
          <w:spacing w:val="0"/>
          <w:sz w:val="36"/>
          <w:szCs w:val="36"/>
          <w:highlight w:val="none"/>
          <w:shd w:val="clear" w:fill="FFFFFF"/>
          <w:lang w:val="en-US" w:eastAsia="zh-CN"/>
        </w:rPr>
        <w:t>嵊州市</w:t>
      </w:r>
      <w:r>
        <w:rPr>
          <w:rStyle w:val="79"/>
          <w:rFonts w:hint="eastAsia" w:ascii="宋体" w:hAnsi="宋体" w:eastAsia="宋体" w:cs="宋体"/>
          <w:b/>
          <w:bCs/>
          <w:i w:val="0"/>
          <w:iCs w:val="0"/>
          <w:caps w:val="0"/>
          <w:color w:val="auto"/>
          <w:spacing w:val="0"/>
          <w:sz w:val="36"/>
          <w:szCs w:val="36"/>
          <w:highlight w:val="none"/>
          <w:shd w:val="clear" w:fill="FFFFFF"/>
        </w:rPr>
        <w:t>人民医院医共体崇仁分院</w:t>
      </w:r>
      <w:r>
        <w:rPr>
          <w:rStyle w:val="79"/>
          <w:rFonts w:hint="eastAsia" w:ascii="宋体" w:hAnsi="宋体" w:eastAsia="宋体" w:cs="宋体"/>
          <w:b/>
          <w:bCs/>
          <w:i w:val="0"/>
          <w:iCs w:val="0"/>
          <w:caps w:val="0"/>
          <w:color w:val="auto"/>
          <w:spacing w:val="0"/>
          <w:sz w:val="36"/>
          <w:szCs w:val="36"/>
          <w:highlight w:val="none"/>
          <w:shd w:val="clear" w:fill="FFFFFF"/>
          <w:lang w:val="en-US" w:eastAsia="zh-CN"/>
        </w:rPr>
        <w:t>保安服务采购项目</w:t>
      </w:r>
    </w:p>
    <w:p>
      <w:pPr>
        <w:jc w:val="center"/>
        <w:rPr>
          <w:rFonts w:hint="eastAsia" w:ascii="仿宋" w:hAnsi="仿宋" w:eastAsia="仿宋" w:cs="仿宋"/>
          <w:b/>
          <w:color w:val="auto"/>
          <w:sz w:val="28"/>
          <w:szCs w:val="28"/>
          <w:highlight w:val="none"/>
        </w:rPr>
      </w:pPr>
    </w:p>
    <w:p>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政府采购</w:t>
      </w:r>
      <w:r>
        <w:rPr>
          <w:rFonts w:hint="eastAsia" w:ascii="仿宋" w:hAnsi="仿宋" w:eastAsia="仿宋" w:cs="仿宋"/>
          <w:b/>
          <w:color w:val="auto"/>
          <w:sz w:val="28"/>
          <w:szCs w:val="28"/>
          <w:highlight w:val="none"/>
          <w:lang w:val="en-US" w:eastAsia="zh-CN"/>
        </w:rPr>
        <w:t>2025-04</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Style w:val="79"/>
                <w:rFonts w:hint="eastAsia" w:ascii="宋体" w:hAnsi="宋体" w:eastAsia="宋体" w:cs="宋体"/>
                <w:i w:val="0"/>
                <w:iCs w:val="0"/>
                <w:caps w:val="0"/>
                <w:color w:val="auto"/>
                <w:spacing w:val="0"/>
                <w:sz w:val="28"/>
                <w:szCs w:val="28"/>
                <w:highlight w:val="none"/>
                <w:shd w:val="clear" w:fill="FFFFFF"/>
                <w:lang w:val="en-US" w:eastAsia="zh-CN"/>
              </w:rPr>
              <w:t>嵊州市</w:t>
            </w:r>
            <w:r>
              <w:rPr>
                <w:rStyle w:val="79"/>
                <w:rFonts w:hint="eastAsia" w:ascii="宋体" w:hAnsi="宋体" w:eastAsia="宋体" w:cs="宋体"/>
                <w:i w:val="0"/>
                <w:iCs w:val="0"/>
                <w:caps w:val="0"/>
                <w:color w:val="auto"/>
                <w:spacing w:val="0"/>
                <w:sz w:val="28"/>
                <w:szCs w:val="28"/>
                <w:highlight w:val="none"/>
                <w:shd w:val="clear" w:fill="FFFFFF"/>
              </w:rPr>
              <w:t>人民医院医共体崇仁分院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Style w:val="79"/>
                <w:rFonts w:hint="eastAsia" w:ascii="宋体" w:hAnsi="宋体" w:eastAsia="宋体" w:cs="宋体"/>
                <w:i w:val="0"/>
                <w:iCs w:val="0"/>
                <w:caps w:val="0"/>
                <w:color w:val="auto"/>
                <w:spacing w:val="0"/>
                <w:sz w:val="28"/>
                <w:szCs w:val="28"/>
                <w:highlight w:val="none"/>
                <w:shd w:val="clear" w:fill="FFFFFF"/>
              </w:rPr>
              <w:t>嵊州市公共资源交易中心</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Style w:val="79"/>
                <w:rFonts w:hint="eastAsia" w:ascii="宋体" w:hAnsi="宋体" w:eastAsia="宋体" w:cs="宋体"/>
                <w:i w:val="0"/>
                <w:iCs w:val="0"/>
                <w:caps w:val="0"/>
                <w:color w:val="auto"/>
                <w:spacing w:val="0"/>
                <w:sz w:val="28"/>
                <w:szCs w:val="28"/>
                <w:highlight w:val="none"/>
                <w:shd w:val="clear" w:fill="FFFFFF"/>
                <w:lang w:val="en-US" w:eastAsia="zh-CN"/>
              </w:rPr>
              <w:t>嵊州市采购监管</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月</w:t>
            </w:r>
          </w:p>
        </w:tc>
      </w:tr>
    </w:tbl>
    <w:p>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4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2"/>
          <w:szCs w:val="22"/>
          <w:highlight w:val="none"/>
          <w:u w:val="single"/>
          <w:lang w:eastAsia="zh-CN"/>
        </w:rPr>
        <w:t>嵊州市</w:t>
      </w:r>
      <w:r>
        <w:rPr>
          <w:rStyle w:val="79"/>
          <w:rFonts w:hint="eastAsia" w:ascii="仿宋" w:hAnsi="仿宋" w:eastAsia="仿宋" w:cs="仿宋"/>
          <w:i w:val="0"/>
          <w:iCs w:val="0"/>
          <w:caps w:val="0"/>
          <w:color w:val="auto"/>
          <w:spacing w:val="0"/>
          <w:sz w:val="22"/>
          <w:szCs w:val="22"/>
          <w:highlight w:val="none"/>
          <w:u w:val="single"/>
          <w:shd w:val="clear" w:fill="FFFFFF"/>
        </w:rPr>
        <w:t>人民医院医共体崇仁分院</w:t>
      </w:r>
      <w:r>
        <w:rPr>
          <w:rFonts w:hint="eastAsia" w:ascii="仿宋" w:hAnsi="仿宋" w:eastAsia="仿宋" w:cs="仿宋"/>
          <w:color w:val="auto"/>
          <w:sz w:val="22"/>
          <w:szCs w:val="22"/>
          <w:highlight w:val="none"/>
          <w:u w:val="single"/>
          <w:lang w:eastAsia="zh-CN"/>
        </w:rPr>
        <w:t>保安服务采购项目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3</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27</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政府采购</w:t>
      </w:r>
      <w:r>
        <w:rPr>
          <w:rFonts w:hint="eastAsia" w:ascii="仿宋" w:hAnsi="仿宋" w:eastAsia="仿宋" w:cs="仿宋"/>
          <w:color w:val="auto"/>
          <w:sz w:val="24"/>
          <w:highlight w:val="none"/>
          <w:lang w:val="en-US" w:eastAsia="zh-CN"/>
        </w:rPr>
        <w:t>2025-04</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Style w:val="76"/>
          <w:rFonts w:hint="eastAsia" w:ascii="仿宋" w:hAnsi="仿宋" w:eastAsia="仿宋" w:cs="仿宋"/>
          <w:snapToGrid/>
          <w:color w:val="auto"/>
          <w:kern w:val="2"/>
          <w:sz w:val="24"/>
          <w:szCs w:val="24"/>
          <w:highlight w:val="none"/>
          <w:lang w:eastAsia="zh-CN"/>
        </w:rPr>
        <w:t>嵊州市</w:t>
      </w:r>
      <w:r>
        <w:rPr>
          <w:rStyle w:val="76"/>
          <w:rFonts w:hint="eastAsia" w:ascii="仿宋" w:hAnsi="仿宋" w:eastAsia="仿宋" w:cs="仿宋"/>
          <w:snapToGrid/>
          <w:color w:val="auto"/>
          <w:kern w:val="2"/>
          <w:sz w:val="24"/>
          <w:szCs w:val="24"/>
          <w:highlight w:val="none"/>
        </w:rPr>
        <w:t>人民医院医共体崇仁分院</w:t>
      </w:r>
      <w:r>
        <w:rPr>
          <w:rStyle w:val="76"/>
          <w:rFonts w:hint="eastAsia" w:ascii="仿宋" w:hAnsi="仿宋" w:eastAsia="仿宋" w:cs="仿宋"/>
          <w:snapToGrid/>
          <w:color w:val="auto"/>
          <w:kern w:val="2"/>
          <w:sz w:val="24"/>
          <w:szCs w:val="24"/>
          <w:highlight w:val="none"/>
          <w:lang w:eastAsia="zh-CN"/>
        </w:rPr>
        <w:t>保安服务采购项目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470000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470000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Style w:val="76"/>
          <w:rFonts w:hint="eastAsia" w:ascii="仿宋" w:hAnsi="仿宋" w:eastAsia="仿宋" w:cs="仿宋"/>
          <w:snapToGrid/>
          <w:color w:val="auto"/>
          <w:kern w:val="2"/>
          <w:sz w:val="24"/>
          <w:szCs w:val="24"/>
          <w:highlight w:val="none"/>
          <w:lang w:eastAsia="zh-CN"/>
        </w:rPr>
        <w:t>嵊州市</w:t>
      </w:r>
      <w:r>
        <w:rPr>
          <w:rStyle w:val="76"/>
          <w:rFonts w:hint="eastAsia" w:ascii="仿宋" w:hAnsi="仿宋" w:eastAsia="仿宋" w:cs="仿宋"/>
          <w:snapToGrid/>
          <w:color w:val="auto"/>
          <w:kern w:val="2"/>
          <w:sz w:val="24"/>
          <w:szCs w:val="24"/>
          <w:highlight w:val="none"/>
        </w:rPr>
        <w:t>人民医院医共体崇仁分院</w:t>
      </w:r>
      <w:r>
        <w:rPr>
          <w:rStyle w:val="76"/>
          <w:rFonts w:hint="eastAsia" w:ascii="仿宋" w:hAnsi="仿宋" w:eastAsia="仿宋" w:cs="仿宋"/>
          <w:snapToGrid/>
          <w:color w:val="auto"/>
          <w:kern w:val="2"/>
          <w:sz w:val="24"/>
          <w:szCs w:val="24"/>
          <w:highlight w:val="none"/>
          <w:lang w:eastAsia="zh-CN"/>
        </w:rPr>
        <w:t>保安服务采购项目</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color w:val="auto"/>
          <w:sz w:val="24"/>
          <w:highlight w:val="none"/>
          <w:lang w:val="en-US" w:eastAsia="zh-CN"/>
        </w:rPr>
        <w:t>470000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snapToGrid/>
          <w:color w:val="auto"/>
          <w:kern w:val="2"/>
          <w:sz w:val="22"/>
          <w:szCs w:val="22"/>
          <w:highlight w:val="none"/>
          <w:lang w:val="en-US" w:eastAsia="zh-CN" w:bidi="ar-SA"/>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snapToGrid/>
          <w:color w:val="auto"/>
          <w:kern w:val="2"/>
          <w:sz w:val="22"/>
          <w:szCs w:val="22"/>
          <w:highlight w:val="none"/>
          <w:lang w:val="en-US" w:eastAsia="zh-CN" w:bidi="ar-SA"/>
        </w:rPr>
        <w:t>合同签订之日起1年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2"/>
          <w:szCs w:val="22"/>
          <w:highlight w:val="none"/>
          <w:lang w:eastAsia="zh-CN"/>
        </w:rPr>
        <w:t>☑</w:t>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4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kern w:val="0"/>
          <w:sz w:val="22"/>
          <w:szCs w:val="22"/>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883" w:firstLineChars="400"/>
        <w:textAlignment w:val="auto"/>
        <w:rPr>
          <w:rFonts w:hint="eastAsia" w:ascii="仿宋" w:hAnsi="仿宋" w:eastAsia="仿宋" w:cs="仿宋"/>
          <w:color w:val="auto"/>
          <w:sz w:val="24"/>
          <w:highlight w:val="none"/>
        </w:rPr>
      </w:pPr>
      <w:r>
        <w:rPr>
          <w:rFonts w:hint="eastAsia" w:ascii="仿宋" w:hAnsi="仿宋" w:eastAsia="仿宋" w:cs="仿宋"/>
          <w:b/>
          <w:bCs/>
          <w:color w:val="auto"/>
          <w:kern w:val="0"/>
          <w:sz w:val="22"/>
          <w:szCs w:val="22"/>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883" w:firstLineChars="400"/>
        <w:textAlignment w:val="auto"/>
        <w:rPr>
          <w:rFonts w:hint="eastAsia" w:ascii="仿宋" w:hAnsi="仿宋" w:eastAsia="仿宋" w:cs="仿宋"/>
          <w:color w:val="auto"/>
          <w:highlight w:val="none"/>
        </w:rPr>
      </w:pPr>
      <w:r>
        <w:rPr>
          <w:rFonts w:hint="eastAsia" w:ascii="仿宋" w:hAnsi="仿宋" w:eastAsia="仿宋" w:cs="仿宋"/>
          <w:b/>
          <w:bCs/>
          <w:color w:val="auto"/>
          <w:kern w:val="0"/>
          <w:sz w:val="22"/>
          <w:szCs w:val="22"/>
          <w:highlight w:val="none"/>
          <w:lang w:eastAsia="zh-CN"/>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pacing w:val="8"/>
          <w:kern w:val="0"/>
          <w:sz w:val="22"/>
          <w:szCs w:val="22"/>
          <w:highlight w:val="none"/>
          <w:lang w:eastAsia="zh-CN"/>
        </w:rPr>
        <w:t>投标人须</w:t>
      </w:r>
      <w:r>
        <w:rPr>
          <w:rFonts w:hint="eastAsia" w:ascii="仿宋" w:hAnsi="仿宋" w:eastAsia="仿宋" w:cs="仿宋"/>
          <w:b/>
          <w:bCs/>
          <w:color w:val="auto"/>
          <w:spacing w:val="8"/>
          <w:kern w:val="0"/>
          <w:sz w:val="22"/>
          <w:szCs w:val="22"/>
          <w:highlight w:val="none"/>
        </w:rPr>
        <w:t>具有公安部门颁发的保安服务许可证</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637"/>
      <w:bookmarkStart w:id="7" w:name="_Toc28359096"/>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s="仿宋"/>
          <w:b w:val="0"/>
          <w:bCs/>
          <w:snapToGrid/>
          <w:color w:val="auto"/>
          <w:kern w:val="2"/>
          <w:sz w:val="22"/>
          <w:szCs w:val="22"/>
          <w:highlight w:val="none"/>
          <w:lang w:val="en-US" w:eastAsia="zh-CN" w:bidi="ar-SA"/>
        </w:rPr>
        <w:t>嵊州市</w:t>
      </w:r>
      <w:r>
        <w:rPr>
          <w:rStyle w:val="79"/>
          <w:rFonts w:hint="eastAsia" w:ascii="仿宋" w:hAnsi="仿宋" w:eastAsia="仿宋" w:cs="仿宋"/>
          <w:i w:val="0"/>
          <w:iCs w:val="0"/>
          <w:caps w:val="0"/>
          <w:color w:val="auto"/>
          <w:spacing w:val="0"/>
          <w:sz w:val="22"/>
          <w:szCs w:val="22"/>
          <w:highlight w:val="none"/>
          <w:shd w:val="clear" w:fill="FFFFFF"/>
        </w:rPr>
        <w:t>人民医院医共体崇仁分院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r>
        <w:rPr>
          <w:rFonts w:hint="eastAsia" w:ascii="仿宋" w:hAnsi="仿宋" w:eastAsia="仿宋" w:cs="仿宋"/>
          <w:color w:val="auto"/>
          <w:sz w:val="22"/>
          <w:szCs w:val="22"/>
          <w:highlight w:val="none"/>
          <w:lang w:val="en-US" w:eastAsia="zh-CN"/>
        </w:rPr>
        <w:t>嵊州市崇仁镇环镇东路9号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2"/>
          <w:szCs w:val="22"/>
          <w:highlight w:val="none"/>
          <w:lang w:val="en-US" w:eastAsia="zh-CN"/>
        </w:rPr>
        <w:t>吴赛仕</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2"/>
          <w:szCs w:val="22"/>
          <w:highlight w:val="none"/>
          <w:lang w:val="en-US" w:eastAsia="zh-CN"/>
        </w:rPr>
        <w:t>0575-81382528</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2"/>
          <w:szCs w:val="22"/>
          <w:highlight w:val="none"/>
          <w:lang w:val="en-US" w:eastAsia="zh-CN"/>
        </w:rPr>
        <w:t>傅红斌</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2"/>
          <w:szCs w:val="22"/>
          <w:highlight w:val="none"/>
          <w:lang w:val="en-US" w:eastAsia="zh-CN"/>
        </w:rPr>
        <w:t>13857513866</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9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kern w:val="0"/>
          <w:sz w:val="22"/>
          <w:szCs w:val="22"/>
          <w:highlight w:val="none"/>
        </w:rPr>
        <w:t>嵊州市公共资源交易中心</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2"/>
          <w:szCs w:val="22"/>
          <w:highlight w:val="none"/>
        </w:rPr>
        <w:t>嵊州市官河南路699号国际会展中心北楼三楼</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潘老师</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0575-83360392</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倪老师</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0575-83360392</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2"/>
          <w:szCs w:val="22"/>
          <w:highlight w:val="none"/>
          <w:lang w:val="en-US" w:eastAsia="zh-CN"/>
        </w:rPr>
        <w:t>嵊州市采购监管</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址：浙江省绍兴市嵊州市三江街道国资综合大楼1004室</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：郑老师</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lang w:val="en-US" w:eastAsia="zh-CN"/>
              </w:rPr>
              <w:t>2025年3月27日前自行前往</w:t>
            </w:r>
            <w:r>
              <w:rPr>
                <w:rFonts w:hint="eastAsia" w:ascii="仿宋" w:hAnsi="仿宋" w:eastAsia="仿宋" w:cs="仿宋"/>
                <w:color w:val="auto"/>
                <w:sz w:val="24"/>
                <w:highlight w:val="none"/>
              </w:rPr>
              <w:t>,地点：</w:t>
            </w:r>
            <w:r>
              <w:rPr>
                <w:rStyle w:val="76"/>
                <w:rFonts w:hint="eastAsia" w:ascii="仿宋" w:hAnsi="仿宋" w:eastAsia="仿宋" w:cs="仿宋"/>
                <w:snapToGrid/>
                <w:color w:val="auto"/>
                <w:kern w:val="2"/>
                <w:sz w:val="24"/>
                <w:szCs w:val="24"/>
                <w:highlight w:val="none"/>
                <w:u w:val="single"/>
                <w:lang w:eastAsia="zh-CN"/>
              </w:rPr>
              <w:t>嵊州市</w:t>
            </w:r>
            <w:r>
              <w:rPr>
                <w:rStyle w:val="76"/>
                <w:rFonts w:hint="eastAsia" w:ascii="仿宋" w:hAnsi="仿宋" w:eastAsia="仿宋" w:cs="仿宋"/>
                <w:snapToGrid/>
                <w:color w:val="auto"/>
                <w:kern w:val="2"/>
                <w:sz w:val="24"/>
                <w:szCs w:val="24"/>
                <w:highlight w:val="none"/>
                <w:u w:val="single"/>
              </w:rPr>
              <w:t>人民医院医共体崇仁分院</w:t>
            </w:r>
            <w:r>
              <w:rPr>
                <w:rFonts w:hint="eastAsia" w:ascii="仿宋" w:hAnsi="仿宋" w:eastAsia="仿宋" w:cs="仿宋"/>
                <w:color w:val="auto"/>
                <w:sz w:val="24"/>
                <w:highlight w:val="none"/>
              </w:rPr>
              <w:t>，联系人：</w:t>
            </w:r>
            <w:r>
              <w:rPr>
                <w:rFonts w:hint="eastAsia" w:ascii="仿宋" w:hAnsi="仿宋" w:eastAsia="仿宋" w:cs="仿宋"/>
                <w:color w:val="auto"/>
                <w:sz w:val="22"/>
                <w:szCs w:val="22"/>
                <w:highlight w:val="none"/>
                <w:u w:val="single"/>
                <w:lang w:val="en-US" w:eastAsia="zh-CN"/>
              </w:rPr>
              <w:t>吴赛仕</w:t>
            </w:r>
            <w:r>
              <w:rPr>
                <w:rFonts w:hint="eastAsia" w:ascii="仿宋" w:hAnsi="仿宋" w:eastAsia="仿宋" w:cs="仿宋"/>
                <w:color w:val="auto"/>
                <w:sz w:val="24"/>
                <w:highlight w:val="none"/>
              </w:rPr>
              <w:t>，联系方式：</w:t>
            </w:r>
            <w:r>
              <w:rPr>
                <w:rFonts w:hint="eastAsia" w:ascii="仿宋" w:hAnsi="仿宋" w:eastAsia="仿宋" w:cs="仿宋"/>
                <w:color w:val="auto"/>
                <w:sz w:val="22"/>
                <w:szCs w:val="22"/>
                <w:highlight w:val="none"/>
                <w:u w:val="single"/>
                <w:lang w:val="en-US" w:eastAsia="zh-CN"/>
              </w:rPr>
              <w:t>0575-81382528</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r>
              <w:rPr>
                <w:rFonts w:hint="eastAsia" w:ascii="仿宋" w:hAnsi="仿宋" w:eastAsia="仿宋" w:cs="仿宋"/>
                <w:color w:val="auto"/>
                <w:kern w:val="0"/>
                <w:sz w:val="24"/>
                <w:highlight w:val="none"/>
                <w:lang w:val="en-US" w:eastAsia="zh-CN"/>
              </w:rPr>
              <w:t xml:space="preserve"> </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szCs w:val="24"/>
                <w:lang w:eastAsia="zh-CN"/>
              </w:rPr>
            </w:pPr>
            <w:r>
              <w:rPr>
                <w:rFonts w:hint="eastAsia" w:ascii="仿宋" w:hAnsi="仿宋" w:eastAsia="仿宋" w:cs="仿宋"/>
                <w:sz w:val="24"/>
                <w:szCs w:val="24"/>
              </w:rPr>
              <w:t>根据《工业和信息化部、国家统计局、国家发展和改革委员会、财政部关于印发中小企业划型标准规定的通知》（工信部联企业[2011]300号）规定</w:t>
            </w:r>
            <w:r>
              <w:rPr>
                <w:rFonts w:hint="eastAsia" w:ascii="仿宋" w:hAnsi="仿宋" w:eastAsia="仿宋" w:cs="仿宋"/>
                <w:sz w:val="24"/>
                <w:szCs w:val="24"/>
                <w:lang w:eastAsia="zh-CN"/>
              </w:rPr>
              <w:t>（有最新</w:t>
            </w:r>
            <w:r>
              <w:rPr>
                <w:rFonts w:hint="eastAsia" w:ascii="仿宋" w:hAnsi="仿宋" w:eastAsia="仿宋" w:cs="仿宋"/>
                <w:sz w:val="24"/>
                <w:szCs w:val="24"/>
              </w:rPr>
              <w:t>中小企业划型标准</w:t>
            </w:r>
            <w:r>
              <w:rPr>
                <w:rFonts w:hint="eastAsia" w:ascii="仿宋" w:hAnsi="仿宋" w:eastAsia="仿宋" w:cs="仿宋"/>
                <w:sz w:val="24"/>
                <w:szCs w:val="24"/>
                <w:lang w:eastAsia="zh-CN"/>
              </w:rPr>
              <w:t>的以更新后的为准）：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szCs w:val="24"/>
                <w:u w:val="single"/>
                <w:lang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标的：</w:t>
            </w:r>
            <w:r>
              <w:rPr>
                <w:rStyle w:val="76"/>
                <w:rFonts w:hint="eastAsia" w:ascii="仿宋" w:hAnsi="仿宋" w:eastAsia="仿宋" w:cs="仿宋"/>
                <w:snapToGrid/>
                <w:color w:val="auto"/>
                <w:kern w:val="2"/>
                <w:sz w:val="24"/>
                <w:szCs w:val="24"/>
                <w:highlight w:val="none"/>
                <w:u w:val="single"/>
                <w:lang w:eastAsia="zh-CN"/>
              </w:rPr>
              <w:t>嵊州市</w:t>
            </w:r>
            <w:r>
              <w:rPr>
                <w:rStyle w:val="76"/>
                <w:rFonts w:hint="eastAsia" w:ascii="仿宋" w:hAnsi="仿宋" w:eastAsia="仿宋" w:cs="仿宋"/>
                <w:snapToGrid/>
                <w:color w:val="auto"/>
                <w:kern w:val="2"/>
                <w:sz w:val="24"/>
                <w:szCs w:val="24"/>
                <w:highlight w:val="none"/>
                <w:u w:val="single"/>
              </w:rPr>
              <w:t>人民医院医共体崇仁分院</w:t>
            </w:r>
            <w:r>
              <w:rPr>
                <w:rStyle w:val="76"/>
                <w:rFonts w:hint="eastAsia" w:ascii="仿宋" w:hAnsi="仿宋" w:eastAsia="仿宋" w:cs="仿宋"/>
                <w:snapToGrid/>
                <w:color w:val="auto"/>
                <w:kern w:val="2"/>
                <w:sz w:val="24"/>
                <w:szCs w:val="24"/>
                <w:highlight w:val="none"/>
                <w:u w:val="single"/>
                <w:lang w:eastAsia="zh-CN"/>
              </w:rPr>
              <w:t>保安服务采购项目</w:t>
            </w:r>
            <w:r>
              <w:rPr>
                <w:rFonts w:hint="eastAsia" w:ascii="仿宋" w:hAnsi="仿宋" w:eastAsia="仿宋" w:cs="仿宋"/>
                <w:sz w:val="24"/>
                <w:szCs w:val="24"/>
                <w:u w:val="single"/>
                <w:lang w:eastAsia="zh-CN"/>
              </w:rPr>
              <w:t>，属于 物业管理</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sz w:val="24"/>
                <w:szCs w:val="24"/>
                <w:u w:val="none"/>
                <w:lang w:val="en-US" w:eastAsia="zh-CN"/>
              </w:rPr>
              <w:t>说明：声明函中所列行业与采购文件所明确的</w:t>
            </w:r>
            <w:r>
              <w:rPr>
                <w:rFonts w:hint="eastAsia" w:ascii="仿宋" w:hAnsi="仿宋" w:eastAsia="仿宋" w:cs="仿宋"/>
                <w:sz w:val="24"/>
                <w:szCs w:val="24"/>
                <w:lang w:val="en-US" w:eastAsia="zh-CN"/>
              </w:rPr>
              <w:t>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w:t>
            </w:r>
            <w:r>
              <w:rPr>
                <w:rFonts w:hint="eastAsia" w:ascii="仿宋_GB2312" w:hAnsi="宋体" w:eastAsia="仿宋_GB2312"/>
                <w:color w:val="auto"/>
                <w:sz w:val="24"/>
                <w:highlight w:val="none"/>
              </w:rPr>
              <w:t>采购人和本中心</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同时出现两种以上不一致的，按照前款规定的顺序修正。修正后的报价按照财政部公布第87号令 《政府采购货物和服务招标投标管理办法》第五十一条第二款的规定经投标人确认后产生约束力，投标人不确认的，其投标无效。  </w:t>
      </w:r>
    </w:p>
    <w:p>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68072990"/>
      <w:bookmarkEnd w:id="21"/>
      <w:bookmarkStart w:id="22" w:name="_Hlt68403820"/>
      <w:bookmarkEnd w:id="22"/>
      <w:bookmarkStart w:id="23" w:name="_Hlt68073093"/>
      <w:bookmarkEnd w:id="23"/>
      <w:bookmarkStart w:id="24" w:name="_Hlt74729768"/>
      <w:bookmarkEnd w:id="24"/>
      <w:bookmarkStart w:id="25" w:name="_Hlt68057669"/>
      <w:bookmarkEnd w:id="25"/>
      <w:bookmarkStart w:id="26" w:name="_Hlt74714665"/>
      <w:bookmarkEnd w:id="26"/>
      <w:bookmarkStart w:id="27" w:name="_Hlt74730295"/>
      <w:bookmarkEnd w:id="27"/>
      <w:bookmarkStart w:id="28" w:name="_Hlt75236011"/>
      <w:bookmarkEnd w:id="28"/>
      <w:bookmarkStart w:id="29" w:name="_Hlt74707468"/>
      <w:bookmarkEnd w:id="29"/>
      <w:bookmarkStart w:id="30" w:name="_Hlt68072998"/>
      <w:bookmarkEnd w:id="30"/>
      <w:bookmarkStart w:id="31" w:name="_Hlt75236101"/>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pStyle w:val="3"/>
        <w:numPr>
          <w:ilvl w:val="0"/>
          <w:numId w:val="0"/>
        </w:numPr>
        <w:tabs>
          <w:tab w:val="left" w:pos="1145"/>
          <w:tab w:val="clear" w:pos="432"/>
        </w:tabs>
        <w:spacing w:before="0" w:after="0" w:line="360" w:lineRule="auto"/>
        <w:rPr>
          <w:rFonts w:hint="eastAsia" w:ascii="仿宋" w:hAnsi="仿宋" w:eastAsia="仿宋" w:cs="仿宋"/>
          <w:b/>
          <w:bCs/>
          <w:color w:val="auto"/>
          <w:sz w:val="22"/>
          <w:szCs w:val="22"/>
          <w:highlight w:val="none"/>
          <w:lang w:val="en-US" w:eastAsia="zh-CN"/>
        </w:rPr>
      </w:pPr>
      <w:bookmarkStart w:id="36" w:name="_Toc106005056"/>
      <w:bookmarkStart w:id="37" w:name="OLE_LINK1"/>
      <w:bookmarkStart w:id="38" w:name="OLE_LINK3"/>
      <w:bookmarkStart w:id="39" w:name="第五部分"/>
      <w:bookmarkStart w:id="40" w:name="_Toc86217003"/>
      <w:r>
        <w:rPr>
          <w:rFonts w:hint="eastAsia" w:ascii="仿宋" w:hAnsi="仿宋" w:eastAsia="仿宋" w:cs="仿宋"/>
          <w:b/>
          <w:bCs/>
          <w:color w:val="auto"/>
          <w:sz w:val="22"/>
          <w:szCs w:val="22"/>
          <w:highlight w:val="none"/>
        </w:rPr>
        <w:t>一、</w:t>
      </w:r>
      <w:bookmarkEnd w:id="36"/>
      <w:r>
        <w:rPr>
          <w:rFonts w:hint="eastAsia" w:ascii="仿宋" w:hAnsi="仿宋" w:eastAsia="仿宋" w:cs="仿宋"/>
          <w:b/>
          <w:bCs/>
          <w:color w:val="auto"/>
          <w:sz w:val="22"/>
          <w:szCs w:val="22"/>
          <w:highlight w:val="none"/>
          <w:lang w:val="en-US" w:eastAsia="zh-CN"/>
        </w:rPr>
        <w:t>项目简介</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为进一步提升嵊州市人民医院医共体崇仁分院服务水平，优化服务质量，现决定对嵊州市人民医院医共体崇仁分院保安服务项目进行公开招标。本项目要求：中标单位须在中标签订合同后规定时间内派驻管理团队全面开展保安管理服务工作。具体以现场实际情况为准，请投标人自行联系采购人踏勘现场。</w:t>
      </w:r>
    </w:p>
    <w:p>
      <w:pPr>
        <w:tabs>
          <w:tab w:val="left" w:pos="540"/>
        </w:tabs>
        <w:adjustRightInd w:val="0"/>
        <w:snapToGrid w:val="0"/>
        <w:spacing w:line="360" w:lineRule="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二、招标范围</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1、为打造安全、清洁、有序的办公、就诊环境，应对医院突发事件的处置，保证嵊州市</w:t>
      </w:r>
      <w:bookmarkStart w:id="41" w:name="OLE_LINK7"/>
      <w:r>
        <w:rPr>
          <w:rFonts w:hint="eastAsia" w:ascii="仿宋" w:hAnsi="仿宋" w:eastAsia="仿宋" w:cs="仿宋"/>
          <w:b w:val="0"/>
          <w:bCs w:val="0"/>
          <w:color w:val="auto"/>
          <w:sz w:val="22"/>
          <w:szCs w:val="22"/>
          <w:highlight w:val="none"/>
          <w:lang w:val="en-US" w:eastAsia="zh-CN"/>
        </w:rPr>
        <w:t>人民医院医共体崇仁分院</w:t>
      </w:r>
      <w:bookmarkEnd w:id="41"/>
      <w:r>
        <w:rPr>
          <w:rFonts w:hint="eastAsia" w:ascii="仿宋" w:hAnsi="仿宋" w:eastAsia="仿宋" w:cs="仿宋"/>
          <w:b w:val="0"/>
          <w:bCs w:val="0"/>
          <w:color w:val="auto"/>
          <w:sz w:val="22"/>
          <w:szCs w:val="22"/>
          <w:highlight w:val="none"/>
          <w:lang w:val="en-US" w:eastAsia="zh-CN"/>
        </w:rPr>
        <w:t>各项配套设施能正常的运行，需配备一定的保安力量维护秩序。本次招标的范围为嵊州市人民医院医共体崇仁分院的保安服务项目，须承担本院为期一年的保安服务职能。</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2、岗位需求：保安员、消控员。</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★注：</w:t>
      </w:r>
      <w:r>
        <w:rPr>
          <w:rFonts w:hint="eastAsia" w:ascii="仿宋" w:hAnsi="仿宋" w:eastAsia="仿宋" w:cs="仿宋"/>
          <w:b w:val="0"/>
          <w:bCs w:val="0"/>
          <w:color w:val="auto"/>
          <w:sz w:val="22"/>
          <w:szCs w:val="22"/>
          <w:highlight w:val="none"/>
          <w:u w:val="single"/>
          <w:lang w:val="en-US" w:eastAsia="zh-CN"/>
        </w:rPr>
        <w:t>投标人根据所列部门及实际现场踏勘后，为本项目服务区域内服务工作自行编制方案配备足够人员，但投入的服务人员不得少于9人，其中：保安7名，消防设施操作员证2名，女性人数小于等于总人数的40%，否则投标无效。</w:t>
      </w:r>
    </w:p>
    <w:bookmarkEnd w:id="37"/>
    <w:p>
      <w:pPr>
        <w:tabs>
          <w:tab w:val="left" w:pos="540"/>
        </w:tabs>
        <w:adjustRightInd w:val="0"/>
        <w:snapToGrid w:val="0"/>
        <w:spacing w:line="360" w:lineRule="auto"/>
        <w:rPr>
          <w:rFonts w:hint="eastAsia" w:ascii="仿宋" w:hAnsi="仿宋" w:eastAsia="仿宋" w:cs="仿宋"/>
          <w:b/>
          <w:bCs/>
          <w:color w:val="auto"/>
          <w:sz w:val="22"/>
          <w:szCs w:val="22"/>
          <w:highlight w:val="none"/>
          <w:lang w:val="en-US" w:eastAsia="zh-CN"/>
        </w:rPr>
      </w:pPr>
      <w:bookmarkStart w:id="42" w:name="_Toc369095830"/>
      <w:bookmarkStart w:id="43" w:name="OLE_LINK2"/>
      <w:r>
        <w:rPr>
          <w:rFonts w:hint="eastAsia" w:ascii="仿宋" w:hAnsi="仿宋" w:eastAsia="仿宋" w:cs="仿宋"/>
          <w:b/>
          <w:bCs/>
          <w:color w:val="auto"/>
          <w:sz w:val="22"/>
          <w:szCs w:val="22"/>
          <w:highlight w:val="none"/>
          <w:lang w:val="en-US" w:eastAsia="zh-CN"/>
        </w:rPr>
        <w:t>三、服务</w:t>
      </w:r>
      <w:bookmarkEnd w:id="42"/>
      <w:r>
        <w:rPr>
          <w:rFonts w:hint="eastAsia" w:ascii="仿宋" w:hAnsi="仿宋" w:eastAsia="仿宋" w:cs="仿宋"/>
          <w:b/>
          <w:bCs/>
          <w:color w:val="auto"/>
          <w:sz w:val="22"/>
          <w:szCs w:val="22"/>
          <w:highlight w:val="none"/>
          <w:lang w:val="en-US" w:eastAsia="zh-CN"/>
        </w:rPr>
        <w:t>内容及要求</w:t>
      </w:r>
    </w:p>
    <w:bookmarkEnd w:id="43"/>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1、主要工作内容：</w:t>
      </w:r>
    </w:p>
    <w:p>
      <w:pPr>
        <w:keepNext w:val="0"/>
        <w:keepLines w:val="0"/>
        <w:pageBreakBefore w:val="0"/>
        <w:widowControl w:val="0"/>
        <w:kinsoku/>
        <w:wordWrap/>
        <w:overflowPunct/>
        <w:topLinePunct w:val="0"/>
        <w:bidi w:val="0"/>
        <w:snapToGrid/>
        <w:spacing w:line="44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管理服务区域内治安秩序；</w:t>
      </w:r>
      <w:r>
        <w:rPr>
          <w:rFonts w:hint="eastAsia" w:ascii="仿宋" w:hAnsi="仿宋" w:eastAsia="仿宋" w:cs="仿宋"/>
          <w:color w:val="auto"/>
          <w:sz w:val="22"/>
          <w:szCs w:val="22"/>
          <w:highlight w:val="none"/>
          <w:lang w:val="zh-CN"/>
        </w:rPr>
        <w:t>以及巡逻、疫情防控等，</w:t>
      </w:r>
      <w:r>
        <w:rPr>
          <w:rFonts w:hint="eastAsia" w:ascii="仿宋" w:hAnsi="仿宋" w:eastAsia="仿宋" w:cs="仿宋"/>
          <w:color w:val="auto"/>
          <w:sz w:val="22"/>
          <w:szCs w:val="22"/>
          <w:highlight w:val="none"/>
        </w:rPr>
        <w:t>并做好防火、防盗、防抢劫、防破坏、防自然灾害、门前五包、车辆管理、疫情防控等安全守护工作，及时发现各类突发安全事故，减少治安事件的发生；维护服务区域内所有人员人身财产的安全，确保经营活动正常运行。为招标人提供良好的工作、休息环境，确保目标区域 24 小时的财产和人身安全。</w:t>
      </w:r>
    </w:p>
    <w:p>
      <w:pPr>
        <w:keepNext w:val="0"/>
        <w:keepLines w:val="0"/>
        <w:pageBreakBefore w:val="0"/>
        <w:widowControl w:val="0"/>
        <w:kinsoku/>
        <w:wordWrap/>
        <w:overflowPunct/>
        <w:topLinePunct w:val="0"/>
        <w:bidi w:val="0"/>
        <w:snapToGrid/>
        <w:spacing w:line="4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zh-CN"/>
        </w:rPr>
        <w:t>　　</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lang w:val="zh-CN"/>
        </w:rPr>
        <w:t>、</w:t>
      </w:r>
      <w:r>
        <w:rPr>
          <w:rFonts w:hint="eastAsia" w:ascii="仿宋" w:hAnsi="仿宋" w:eastAsia="仿宋" w:cs="仿宋"/>
          <w:color w:val="auto"/>
          <w:sz w:val="22"/>
          <w:szCs w:val="22"/>
          <w:highlight w:val="none"/>
        </w:rPr>
        <w:t>在甲方管理部门的指导下，负责管理区域内的消防、安防安全管理工作；</w:t>
      </w:r>
    </w:p>
    <w:p>
      <w:pPr>
        <w:keepNext w:val="0"/>
        <w:keepLines w:val="0"/>
        <w:pageBreakBefore w:val="0"/>
        <w:widowControl w:val="0"/>
        <w:kinsoku/>
        <w:wordWrap/>
        <w:overflowPunct/>
        <w:topLinePunct w:val="0"/>
        <w:bidi w:val="0"/>
        <w:snapToGrid/>
        <w:spacing w:line="4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包括消防、安防设备设施使用及值班范围内日常巡查检查。</w:t>
      </w:r>
    </w:p>
    <w:p>
      <w:pPr>
        <w:keepNext w:val="0"/>
        <w:keepLines w:val="0"/>
        <w:pageBreakBefore w:val="0"/>
        <w:widowControl w:val="0"/>
        <w:kinsoku/>
        <w:wordWrap/>
        <w:overflowPunct/>
        <w:topLinePunct w:val="0"/>
        <w:bidi w:val="0"/>
        <w:snapToGrid/>
        <w:spacing w:line="44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负责管理区域外围交通疏导工作；指挥车辆按规定进出管理区域；指导车辆按规定停放在停车场；对运送货物车辆的停放、装卸货物等实施管理；对非机动车辆停放负责管理。</w:t>
      </w:r>
    </w:p>
    <w:p>
      <w:pPr>
        <w:keepNext w:val="0"/>
        <w:keepLines w:val="0"/>
        <w:pageBreakBefore w:val="0"/>
        <w:widowControl w:val="0"/>
        <w:kinsoku/>
        <w:wordWrap/>
        <w:overflowPunct/>
        <w:topLinePunct w:val="0"/>
        <w:bidi w:val="0"/>
        <w:snapToGrid/>
        <w:spacing w:line="44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根据</w:t>
      </w:r>
      <w:r>
        <w:rPr>
          <w:rFonts w:hint="eastAsia" w:ascii="仿宋" w:hAnsi="仿宋" w:eastAsia="仿宋" w:cs="仿宋"/>
          <w:b w:val="0"/>
          <w:bCs/>
          <w:snapToGrid/>
          <w:color w:val="auto"/>
          <w:kern w:val="2"/>
          <w:sz w:val="22"/>
          <w:szCs w:val="22"/>
          <w:highlight w:val="none"/>
          <w:lang w:val="en-US" w:eastAsia="zh-CN" w:bidi="ar-SA"/>
        </w:rPr>
        <w:t>嵊州市</w:t>
      </w:r>
      <w:r>
        <w:rPr>
          <w:rStyle w:val="79"/>
          <w:rFonts w:hint="eastAsia" w:ascii="仿宋" w:hAnsi="仿宋" w:eastAsia="仿宋" w:cs="仿宋"/>
          <w:i w:val="0"/>
          <w:iCs w:val="0"/>
          <w:caps w:val="0"/>
          <w:color w:val="auto"/>
          <w:spacing w:val="0"/>
          <w:sz w:val="22"/>
          <w:szCs w:val="22"/>
          <w:highlight w:val="none"/>
          <w:shd w:val="clear" w:fill="FFFFFF"/>
        </w:rPr>
        <w:t>人民医院医共体崇仁分院</w:t>
      </w:r>
      <w:r>
        <w:rPr>
          <w:rFonts w:hint="eastAsia" w:ascii="仿宋" w:hAnsi="仿宋" w:eastAsia="仿宋" w:cs="仿宋"/>
          <w:b w:val="0"/>
          <w:bCs/>
          <w:snapToGrid/>
          <w:color w:val="auto"/>
          <w:kern w:val="2"/>
          <w:sz w:val="22"/>
          <w:szCs w:val="22"/>
          <w:highlight w:val="none"/>
          <w:lang w:val="en-US" w:eastAsia="zh-CN" w:bidi="ar-SA"/>
        </w:rPr>
        <w:t>保安服务</w:t>
      </w:r>
      <w:r>
        <w:rPr>
          <w:rFonts w:hint="eastAsia" w:ascii="仿宋" w:hAnsi="仿宋" w:eastAsia="仿宋" w:cs="仿宋"/>
          <w:color w:val="auto"/>
          <w:sz w:val="22"/>
          <w:szCs w:val="22"/>
          <w:highlight w:val="none"/>
        </w:rPr>
        <w:t>管理规定与服务要求，制订切实可行的安保服务整体方案和应急预案，突发事件反应迅速，预案处置有力。</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依法办事，文明值勤，严格管理，保障招标人及其停车场的财产安全。</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2、人员素质要求：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（1）品行端正，无任何不良社会记录，热爱保安工作;有保安证；</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（2）身体健康，五官端正，无纹身，无染发，裸眼视力在1.0以上;(市级以上医院出具的健康体检报告）；</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（3）年龄：男性18—60周岁，女性18—50周岁（消防设施操作员可适当放宽）；</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（4）反应灵敏，具有一定的应变和说服能力，会讲普通话；</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（5）初中以上文化程度；</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（6）党员、退伍军人、武校毕业人员、有保安工作经验者和有技术专长者优先；</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（7）招收的队员须先经保安公司岗前培训合格，必须具备急救、抢救、院感等基本知识。再经医院保卫科面试、审查通过。</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3、保安装备配备要求：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服务期内的保安装备由院方提供，物权归属院方，中标人使用期间应妥善保管，装备具体数量按照人员数量配备，使用管理要到位，减少损耗，如有损坏或更换提前2天与院方申请。保安队员统一着装，服装由投标人提供，样式经过院方审查后方可使用。</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备注：以上装备具体数量按照人员数量配备，更换要及时，使用管理要到位。</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4、其他要求：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（1）对于保安的节假日加班费、高温补贴等，应按照政府相关规定予以保障，费用由中标单位负责；</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（2）中标单位应设立保安岗前培训考核制度，培训合格后再交院方审核；</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 xml:space="preserve">（3）对于保安的工作质量考核，奖勤罚懒，具体考核细则由院方与本项目中标单位共同制定，每月由医院保卫科考核打分 </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（4）保安必须保持24小时通讯畅通，遇到应急事件，无论值班、休息，保安必须无条件在15分钟内赶赴事发地。</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（5）在服务期内，采购人如需增加服务人员的，费用由乙方结算。</w:t>
      </w:r>
    </w:p>
    <w:p>
      <w:pPr>
        <w:pStyle w:val="2"/>
        <w:ind w:left="426" w:leftChars="199" w:hanging="8" w:hangingChars="4"/>
        <w:rPr>
          <w:rFonts w:hint="default"/>
          <w:color w:val="auto"/>
          <w:highlight w:val="none"/>
          <w:lang w:val="en-US" w:eastAsia="zh-CN"/>
        </w:rPr>
      </w:pPr>
      <w:r>
        <w:rPr>
          <w:rFonts w:hint="eastAsia" w:ascii="仿宋" w:hAnsi="仿宋" w:eastAsia="仿宋" w:cs="仿宋"/>
          <w:b w:val="0"/>
          <w:bCs w:val="0"/>
          <w:color w:val="auto"/>
          <w:sz w:val="22"/>
          <w:szCs w:val="22"/>
          <w:highlight w:val="none"/>
          <w:lang w:val="en-US" w:eastAsia="zh-CN"/>
        </w:rPr>
        <w:t>（6）在合同期内，上班人员午饭及晚饭费用由乙方结算，费用参照我院在职职工标准每人每餐约为12元。</w:t>
      </w:r>
    </w:p>
    <w:p>
      <w:pPr>
        <w:tabs>
          <w:tab w:val="left" w:pos="540"/>
        </w:tabs>
        <w:adjustRightInd w:val="0"/>
        <w:snapToGrid w:val="0"/>
        <w:spacing w:line="360" w:lineRule="auto"/>
        <w:rPr>
          <w:rFonts w:hint="eastAsia" w:ascii="仿宋" w:hAnsi="仿宋" w:eastAsia="仿宋" w:cs="仿宋"/>
          <w:b/>
          <w:bCs/>
          <w:color w:val="auto"/>
          <w:sz w:val="22"/>
          <w:szCs w:val="22"/>
          <w:highlight w:val="none"/>
          <w:lang w:val="en-US" w:eastAsia="zh-CN"/>
        </w:rPr>
      </w:pPr>
      <w:bookmarkStart w:id="44" w:name="_Toc369095831"/>
      <w:bookmarkStart w:id="45" w:name="OLE_LINK4"/>
      <w:r>
        <w:rPr>
          <w:rFonts w:hint="eastAsia" w:ascii="仿宋" w:hAnsi="仿宋" w:eastAsia="仿宋" w:cs="仿宋"/>
          <w:b/>
          <w:bCs/>
          <w:color w:val="auto"/>
          <w:sz w:val="22"/>
          <w:szCs w:val="22"/>
          <w:highlight w:val="none"/>
          <w:lang w:val="en-US" w:eastAsia="zh-CN"/>
        </w:rPr>
        <w:t>四、具体服务要求</w:t>
      </w:r>
      <w:bookmarkEnd w:id="44"/>
    </w:p>
    <w:bookmarkEnd w:id="45"/>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（一）总体要求：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1、严格按照相关岗位职责及操作规范执行；</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2、各岗位人员均应经过专业培训，熟练掌握消防、治安专业知识，树立防盗、防火、防破坏、防灾害事故意识，热爱本职工作；</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3、按标准着装、佩证上岗，配备相应保安器材，做到言行有礼，文明执勤；</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4、坚守工作岗位，保持值勤岗位整洁，维护好医院正常治安秩序；</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5、严格执行24小时值班巡逻制度，对巡逻中发现的不安全因素和隐患，应及时向保卫科汇报；若遇突发性案件、事故，应立即报告相关部门，并协助处理；每季度组织一次应对突发事件处置的预演和消防演练；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6、严格保密制度，严禁向外人泄露医院内部机密，不得擅自把亲友带到值勤点留宿；</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7、不得擅自挪动和私自使用存放在保安责任范围内的车辆、设备、产品、原材料、生活用品和报刊信件等；</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8、认真做好交接班工作，写好值勤记录和台帐，严格请假销假制度；</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9、自觉遵守医院规章制度，维护保养好仪器设备，爱护公共财务，维护保安人员的良好形象。</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（二）具体要求：</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A、门诊巡逻保安工作要求：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1、全天24小时值勤，负责对门诊楼的安全巡查，特别是在挂号收费处、抽血化验、输液处、放射候诊处等重点区域要加强巡查、维护秩序，提醒就诊患者保管好随身物品，保证门诊楼治安安全；</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2、对医托、号贩子、散发广告者、推销产品者及其他闲散人员要加强管理，予以警告、拦截、驱逐，维护好就诊区域良好的治安环境；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3、医务人员下班后，负责检查各诊室门窗关闭情况，发现问题及时纠正。负责门诊楼电视、路灯开关，注意节约用电用水。</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B、巡逻保安工作要求：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1、全天24小时值勤，对负责区域的安全巡查，特别是在输液处、候诊处、抢救室、观察室等重点区域要加强巡查、维护秩序，提醒就诊患者保管好随身物品，保证门诊楼治安安全；</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2、加强通道管理，保证通道畅通；</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3、对散发广告者、推销产品者及其他闲散人员要加强管理，予以警告、拦截、驱逐，维护好就诊区域良好的治安环境；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4、负责巡逻区域内电视、路灯开关，注意节约用电用水。</w:t>
      </w:r>
    </w:p>
    <w:p>
      <w:pPr>
        <w:tabs>
          <w:tab w:val="left" w:pos="540"/>
        </w:tabs>
        <w:adjustRightInd w:val="0"/>
        <w:snapToGrid w:val="0"/>
        <w:spacing w:line="360" w:lineRule="auto"/>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C、住院部保安、巡逻工作要求：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1、全天24小时值勤，按照医院的规定，负责对住院部进行有效管理、安全巡查，维护好各病房秩序；</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2、发现可疑人员，及时予以盘问；对推销产品、发放广告等人员要进行拦截，并予以警告；</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3、加强对病房勤务人员、陪护人员的安全管理，严格执行凭证出入制度，定时进行安全检查；</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4、保证住院处门口通道畅通，管理好门口停放车辆；</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5、协助病房处理好突发事件，完成上级赋予的临时任务；</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6、负责住院楼电视、路灯开关，注意节约用电用水。</w:t>
      </w:r>
    </w:p>
    <w:p>
      <w:pPr>
        <w:tabs>
          <w:tab w:val="left" w:pos="540"/>
        </w:tabs>
        <w:adjustRightInd w:val="0"/>
        <w:snapToGrid w:val="0"/>
        <w:spacing w:line="360" w:lineRule="auto"/>
        <w:ind w:firstLine="442"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D、院区、停车场保安巡逻工作要求：</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1、24小时值勤，负责对院建筑物外区域、停车场进行定时巡查，及时处理各类治安消防事件；</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2、随时查看出入口交通情况，管理好120处的车辆停放，保证急救通道及主干通道畅通；</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3、加强巡查，对在院内违规停放的车辆进行劝说、整理，保证院内道路畅通无阻；完成保卫科赋予的临时任务。</w:t>
      </w:r>
    </w:p>
    <w:p>
      <w:pPr>
        <w:tabs>
          <w:tab w:val="left" w:pos="540"/>
        </w:tabs>
        <w:adjustRightInd w:val="0"/>
        <w:snapToGrid w:val="0"/>
        <w:spacing w:line="360" w:lineRule="auto"/>
        <w:rPr>
          <w:rFonts w:hint="eastAsia" w:ascii="仿宋" w:hAnsi="仿宋" w:eastAsia="仿宋" w:cs="仿宋"/>
          <w:b/>
          <w:bCs/>
          <w:color w:val="auto"/>
          <w:sz w:val="22"/>
          <w:szCs w:val="22"/>
          <w:highlight w:val="none"/>
          <w:lang w:val="en-US" w:eastAsia="zh-CN"/>
        </w:rPr>
      </w:pPr>
      <w:bookmarkStart w:id="46" w:name="_Toc369095832"/>
      <w:bookmarkStart w:id="47" w:name="OLE_LINK5"/>
      <w:r>
        <w:rPr>
          <w:rFonts w:hint="eastAsia" w:ascii="仿宋" w:hAnsi="仿宋" w:eastAsia="仿宋" w:cs="仿宋"/>
          <w:b/>
          <w:bCs/>
          <w:color w:val="auto"/>
          <w:sz w:val="22"/>
          <w:szCs w:val="22"/>
          <w:highlight w:val="none"/>
          <w:lang w:val="en-US" w:eastAsia="zh-CN"/>
        </w:rPr>
        <w:t>五、服务质量要求</w:t>
      </w:r>
      <w:bookmarkEnd w:id="46"/>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1、各投标人需本着对企业品牌的延伸，以社会化效益为重的原则进行投标；</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2、各投标人须在对采购人工作目标要求、现场、周边环境全面了解的情况下编制科学合理、切实可行的组织实施计划以及具体的保障措施、工作程序；</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3、投标人应制订具体的质量保证措施及质量保证和相关服务承诺，如因质量未达到目标，中标人应因此承担责任和经济赔偿；</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4、中标人人须按现代企业制度运行，发挥自身优势，以热心、爱心、专心、贴心的服务，为医院提供全方位、一体化的专业保安服务保障，确保医院正常运转；</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5、采购人有权在需要时对相关人员做集中调配并以调休、补休等方式进行补偿，此方式供投标人必须认可；</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6、中标人达不到采购人要求及中标人各项服务承诺，采购人有权要求其整改，扣款直至终止合同；</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7、中标人所有的工作除应按中标人的内部流程实施外还应接受采购人或第三方的检查；</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8、中标人需制定各岗位工作流程及消防、抗台、安全等紧急预案，并切实地培训到每个岗位人员；</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9、中标人应制定详细培训计划，对员工进行岗位培训、日常培训和文明礼仪培训。</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10、社会保险：（除必须的各种社保外，还应包括第三者责任保险和员工人身意外保险，每位员工保额额度不低于20万元）</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10.1第三者责任保险：中标供应商应为工作人员投保，以保证在服务期间人员和财产以外遭受损失时得到补偿。</w:t>
      </w:r>
    </w:p>
    <w:p>
      <w:pPr>
        <w:tabs>
          <w:tab w:val="left" w:pos="540"/>
        </w:tabs>
        <w:adjustRightInd w:val="0"/>
        <w:snapToGrid w:val="0"/>
        <w:spacing w:line="360" w:lineRule="auto"/>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10.2员工人身意外保险：在安保服务期内，中标供应商应为其员工投保人身意外险，以保证业主在成交供应商工作人员索偿时不受任何责任的约束。</w:t>
      </w:r>
      <w:bookmarkEnd w:id="38"/>
      <w:bookmarkEnd w:id="47"/>
    </w:p>
    <w:p>
      <w:pPr>
        <w:keepNext w:val="0"/>
        <w:keepLines w:val="0"/>
        <w:pageBreakBefore w:val="0"/>
        <w:widowControl w:val="0"/>
        <w:tabs>
          <w:tab w:val="left" w:pos="540"/>
        </w:tabs>
        <w:kinsoku/>
        <w:wordWrap/>
        <w:overflowPunct/>
        <w:topLinePunct w:val="0"/>
        <w:autoSpaceDE/>
        <w:autoSpaceDN/>
        <w:bidi w:val="0"/>
        <w:adjustRightInd w:val="0"/>
        <w:snapToGrid w:val="0"/>
        <w:spacing w:before="144" w:beforeLines="50" w:line="360" w:lineRule="auto"/>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六、商务资信要求</w:t>
      </w:r>
    </w:p>
    <w:tbl>
      <w:tblPr>
        <w:tblStyle w:val="62"/>
        <w:tblW w:w="9015"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1470"/>
        <w:gridCol w:w="7545"/>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70"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服务时间</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合同签订之日起1年。</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8"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服务地点</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采购人指定地点。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62"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履约保证金</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8"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验收</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采购人组织相关专业人员进行验收。</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7" w:hRule="atLeast"/>
          <w:jc w:val="center"/>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付款方式</w:t>
            </w:r>
          </w:p>
        </w:tc>
        <w:tc>
          <w:tcPr>
            <w:tcW w:w="7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（1）中标人进场服务并通过采购人考核后，采购人凭中标人开具的正规发票和采购人认可的各项记录复印件，每半年支付保安服务费。</w:t>
            </w:r>
          </w:p>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（2）采购人因应急工作的需要，需中标人临时增派遣保安员加班，中标人必须无条件配合，相关费用由乙方结算。</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53" w:hRule="atLeast"/>
          <w:jc w:val="center"/>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安全责任</w:t>
            </w:r>
          </w:p>
        </w:tc>
        <w:tc>
          <w:tcPr>
            <w:tcW w:w="7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both"/>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 xml:space="preserve">在服务期内发生任何意外或发生人员伤亡，其责任由中标人承担，采购人不承担任何责任。 </w:t>
            </w:r>
          </w:p>
        </w:tc>
      </w:tr>
    </w:tbl>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8" w:name="_Toc15367"/>
      <w:bookmarkStart w:id="49" w:name="_Toc28855"/>
      <w:bookmarkStart w:id="50" w:name="_Toc19273"/>
      <w:bookmarkStart w:id="51" w:name="_Toc22967"/>
      <w:bookmarkStart w:id="52" w:name="_Toc20421"/>
      <w:r>
        <w:rPr>
          <w:rFonts w:hint="eastAsia" w:ascii="仿宋" w:hAnsi="仿宋" w:eastAsia="仿宋" w:cs="仿宋"/>
          <w:b/>
          <w:color w:val="auto"/>
          <w:sz w:val="24"/>
          <w:highlight w:val="none"/>
        </w:rPr>
        <w:t>1.1 合同组成部分</w:t>
      </w:r>
      <w:bookmarkEnd w:id="48"/>
      <w:bookmarkEnd w:id="49"/>
      <w:bookmarkEnd w:id="50"/>
      <w:bookmarkEnd w:id="51"/>
      <w:bookmarkEnd w:id="5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2918"/>
      <w:bookmarkStart w:id="54" w:name="_Toc18585"/>
      <w:bookmarkStart w:id="55" w:name="_Toc6773"/>
      <w:bookmarkStart w:id="56" w:name="_Toc6311"/>
      <w:bookmarkStart w:id="57" w:name="_Toc22185"/>
      <w:r>
        <w:rPr>
          <w:rFonts w:hint="eastAsia" w:ascii="仿宋" w:hAnsi="仿宋" w:eastAsia="仿宋" w:cs="仿宋"/>
          <w:b/>
          <w:color w:val="auto"/>
          <w:sz w:val="24"/>
          <w:highlight w:val="none"/>
        </w:rPr>
        <w:t>1.2 标的</w:t>
      </w:r>
      <w:bookmarkEnd w:id="53"/>
      <w:bookmarkEnd w:id="54"/>
      <w:bookmarkEnd w:id="55"/>
      <w:bookmarkEnd w:id="56"/>
      <w:bookmarkEnd w:id="5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8" w:name="_Toc13918"/>
      <w:bookmarkStart w:id="59" w:name="_Toc21124"/>
      <w:bookmarkStart w:id="60" w:name="_Toc1386"/>
      <w:bookmarkStart w:id="61" w:name="_Toc4929"/>
      <w:bookmarkStart w:id="6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8"/>
      <w:bookmarkEnd w:id="59"/>
      <w:bookmarkEnd w:id="60"/>
      <w:bookmarkEnd w:id="61"/>
      <w:bookmarkEnd w:id="6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3" w:name="_Toc14993"/>
      <w:bookmarkStart w:id="64" w:name="_Toc30158"/>
      <w:bookmarkStart w:id="65" w:name="_Toc3654"/>
      <w:bookmarkStart w:id="66" w:name="_Toc26916"/>
      <w:bookmarkStart w:id="67"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3"/>
    <w:bookmarkEnd w:id="64"/>
    <w:bookmarkEnd w:id="65"/>
    <w:bookmarkEnd w:id="66"/>
    <w:bookmarkEnd w:id="67"/>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8" w:name="_Toc10340"/>
      <w:bookmarkStart w:id="69" w:name="_Toc1814"/>
      <w:bookmarkStart w:id="70" w:name="_Toc22618"/>
      <w:bookmarkStart w:id="71" w:name="_Toc3625"/>
      <w:bookmarkStart w:id="72" w:name="_Toc11108"/>
      <w:bookmarkStart w:id="73" w:name="_Toc8772"/>
      <w:bookmarkStart w:id="74" w:name="_Toc4760"/>
      <w:bookmarkStart w:id="75" w:name="_Toc31421"/>
      <w:r>
        <w:rPr>
          <w:rFonts w:hint="eastAsia" w:ascii="仿宋" w:hAnsi="仿宋" w:eastAsia="仿宋" w:cs="仿宋"/>
          <w:b/>
          <w:color w:val="auto"/>
          <w:highlight w:val="none"/>
        </w:rPr>
        <w:t>1.4履约保证金</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default" w:ascii="仿宋" w:hAnsi="仿宋" w:eastAsia="仿宋" w:cs="仿宋"/>
          <w:color w:val="auto"/>
          <w:highlight w:val="none"/>
          <w:u w:val="single"/>
        </w:rPr>
        <w:t>否</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8"/>
      <w:bookmarkEnd w:id="69"/>
      <w:bookmarkEnd w:id="70"/>
      <w:r>
        <w:rPr>
          <w:rFonts w:hint="eastAsia" w:ascii="仿宋" w:hAnsi="仿宋" w:eastAsia="仿宋" w:cs="仿宋"/>
          <w:b/>
          <w:color w:val="auto"/>
          <w:sz w:val="24"/>
          <w:highlight w:val="none"/>
        </w:rPr>
        <w:t>预付款</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否</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w:t>
      </w:r>
      <w:r>
        <w:rPr>
          <w:rFonts w:hint="eastAsia" w:ascii="仿宋" w:hAnsi="仿宋" w:eastAsia="仿宋" w:cs="仿宋"/>
          <w:color w:val="auto"/>
          <w:sz w:val="24"/>
          <w:highlight w:val="none"/>
          <w:u w:val="single"/>
          <w:lang w:val="en-US" w:eastAsia="zh-CN"/>
        </w:rPr>
        <w:t>每半年验收合格支付一次</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1"/>
      <w:bookmarkEnd w:id="72"/>
      <w:bookmarkEnd w:id="73"/>
      <w:bookmarkEnd w:id="74"/>
      <w:bookmarkEnd w:id="7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color w:val="auto"/>
          <w:sz w:val="24"/>
          <w:highlight w:val="none"/>
          <w:u w:val="single"/>
          <w:lang w:val="en-US" w:eastAsia="zh-CN"/>
        </w:rPr>
        <w:t>合同签订起满一年</w:t>
      </w:r>
      <w:r>
        <w:rPr>
          <w:rFonts w:hint="eastAsia" w:ascii="仿宋" w:hAnsi="仿宋" w:eastAsia="仿宋" w:cs="仿宋"/>
          <w:color w:val="auto"/>
          <w:sz w:val="24"/>
          <w:highlight w:val="none"/>
          <w:u w:val="singl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color w:val="auto"/>
          <w:sz w:val="24"/>
          <w:highlight w:val="none"/>
          <w:u w:val="single"/>
          <w:lang w:val="en-US" w:eastAsia="zh-CN"/>
        </w:rPr>
        <w:t>院内</w:t>
      </w:r>
      <w:r>
        <w:rPr>
          <w:rFonts w:hint="eastAsia" w:ascii="仿宋" w:hAnsi="仿宋" w:eastAsia="仿宋" w:cs="仿宋"/>
          <w:color w:val="auto"/>
          <w:sz w:val="24"/>
          <w:highlight w:val="none"/>
          <w:u w:val="singl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color w:val="auto"/>
          <w:sz w:val="24"/>
          <w:highlight w:val="none"/>
          <w:u w:val="single"/>
          <w:lang w:val="en-US" w:eastAsia="zh-CN"/>
        </w:rPr>
        <w:t>直接交付</w:t>
      </w:r>
      <w:r>
        <w:rPr>
          <w:rFonts w:hint="eastAsia" w:ascii="仿宋" w:hAnsi="仿宋" w:eastAsia="仿宋" w:cs="仿宋"/>
          <w:color w:val="auto"/>
          <w:sz w:val="24"/>
          <w:highlight w:val="none"/>
          <w:u w:val="singl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6" w:name="_Toc2375"/>
      <w:bookmarkStart w:id="77" w:name="_Toc8586"/>
      <w:bookmarkStart w:id="78" w:name="_Toc5698"/>
      <w:bookmarkStart w:id="79" w:name="_Toc3079"/>
      <w:bookmarkStart w:id="80" w:name="_Toc24662"/>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lang w:val="en-US" w:eastAsia="zh-CN"/>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lang w:val="en-US" w:eastAsia="zh-CN"/>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lang w:val="en-US" w:eastAsia="zh-CN"/>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6"/>
      <w:bookmarkEnd w:id="77"/>
      <w:bookmarkEnd w:id="78"/>
      <w:bookmarkEnd w:id="79"/>
      <w:bookmarkEnd w:id="8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1" w:name="_Toc30329"/>
      <w:bookmarkStart w:id="82" w:name="_Toc26807"/>
      <w:bookmarkStart w:id="83" w:name="_Toc32454"/>
      <w:bookmarkStart w:id="84" w:name="_Toc9497"/>
      <w:bookmarkStart w:id="8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color w:val="auto"/>
          <w:sz w:val="24"/>
          <w:highlight w:val="none"/>
          <w:lang w:val="en-US" w:eastAsia="zh-CN"/>
        </w:rPr>
        <w:t>如果</w:t>
      </w:r>
      <w:r>
        <w:rPr>
          <w:rFonts w:hint="eastAsia" w:ascii="仿宋" w:hAnsi="仿宋" w:eastAsia="仿宋" w:cs="仿宋"/>
          <w:color w:val="auto"/>
          <w:sz w:val="24"/>
          <w:highlight w:val="none"/>
        </w:rPr>
        <w:t>另有约定的，从其约定。</w:t>
      </w:r>
    </w:p>
    <w:bookmarkEnd w:id="81"/>
    <w:bookmarkEnd w:id="82"/>
    <w:bookmarkEnd w:id="83"/>
    <w:bookmarkEnd w:id="84"/>
    <w:bookmarkEnd w:id="85"/>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6" w:name="_Toc15583"/>
      <w:bookmarkStart w:id="87" w:name="_Toc16021"/>
      <w:bookmarkStart w:id="88" w:name="_Toc28375"/>
      <w:r>
        <w:rPr>
          <w:rFonts w:hint="eastAsia" w:ascii="仿宋" w:hAnsi="仿宋" w:eastAsia="仿宋" w:cs="仿宋"/>
          <w:b/>
          <w:color w:val="auto"/>
          <w:sz w:val="24"/>
          <w:highlight w:val="none"/>
        </w:rPr>
        <w:t>1.9合同争议的解决</w:t>
      </w:r>
      <w:bookmarkEnd w:id="86"/>
      <w:bookmarkEnd w:id="87"/>
      <w:bookmarkEnd w:id="8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9" w:name="_Toc11173"/>
      <w:bookmarkStart w:id="90" w:name="_Toc15322"/>
      <w:bookmarkStart w:id="91" w:name="_Toc7245"/>
      <w:r>
        <w:rPr>
          <w:rFonts w:hint="eastAsia" w:ascii="仿宋" w:hAnsi="仿宋" w:eastAsia="仿宋" w:cs="仿宋"/>
          <w:b/>
          <w:color w:val="auto"/>
          <w:sz w:val="24"/>
          <w:highlight w:val="none"/>
        </w:rPr>
        <w:t>2.0 合同生效</w:t>
      </w:r>
      <w:bookmarkEnd w:id="89"/>
      <w:bookmarkEnd w:id="90"/>
      <w:bookmarkEnd w:id="9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92" w:name="_Toc5228"/>
      <w:bookmarkStart w:id="93" w:name="_Toc25079"/>
      <w:bookmarkStart w:id="94" w:name="_Toc31297"/>
      <w:bookmarkStart w:id="95" w:name="_Toc19680"/>
      <w:bookmarkStart w:id="96" w:name="_Toc14021"/>
      <w:r>
        <w:rPr>
          <w:rFonts w:hint="eastAsia" w:ascii="仿宋" w:hAnsi="仿宋" w:eastAsia="仿宋" w:cs="仿宋"/>
          <w:b/>
          <w:color w:val="auto"/>
          <w:sz w:val="24"/>
          <w:highlight w:val="none"/>
        </w:rPr>
        <w:t>2.1 定义</w:t>
      </w:r>
      <w:bookmarkEnd w:id="92"/>
      <w:bookmarkEnd w:id="93"/>
      <w:bookmarkEnd w:id="94"/>
      <w:bookmarkEnd w:id="95"/>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97" w:name="_Toc23289"/>
      <w:bookmarkStart w:id="98" w:name="_Toc31402"/>
      <w:bookmarkStart w:id="99" w:name="_Toc16752"/>
      <w:bookmarkStart w:id="100" w:name="_Toc3769"/>
      <w:bookmarkStart w:id="101" w:name="_Toc19539"/>
      <w:r>
        <w:rPr>
          <w:rFonts w:hint="eastAsia" w:ascii="仿宋" w:hAnsi="仿宋" w:eastAsia="仿宋" w:cs="仿宋"/>
          <w:b/>
          <w:color w:val="auto"/>
          <w:sz w:val="24"/>
          <w:highlight w:val="none"/>
        </w:rPr>
        <w:t>2.2 技术规范</w:t>
      </w:r>
      <w:bookmarkEnd w:id="97"/>
      <w:bookmarkEnd w:id="98"/>
      <w:bookmarkEnd w:id="99"/>
      <w:bookmarkEnd w:id="100"/>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102" w:name="_Toc13673"/>
      <w:bookmarkStart w:id="103" w:name="_Toc9161"/>
      <w:bookmarkStart w:id="104" w:name="_Toc27945"/>
      <w:bookmarkStart w:id="105" w:name="_Toc12412"/>
      <w:bookmarkStart w:id="106" w:name="_Toc4133"/>
      <w:r>
        <w:rPr>
          <w:rFonts w:hint="eastAsia" w:ascii="仿宋" w:hAnsi="仿宋" w:eastAsia="仿宋" w:cs="仿宋"/>
          <w:b/>
          <w:color w:val="auto"/>
          <w:sz w:val="24"/>
          <w:highlight w:val="none"/>
        </w:rPr>
        <w:t>2.3 知识产权</w:t>
      </w:r>
      <w:bookmarkEnd w:id="102"/>
      <w:bookmarkEnd w:id="103"/>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color w:val="auto"/>
          <w:sz w:val="24"/>
          <w:highlight w:val="none"/>
          <w:lang w:val="en-US" w:eastAsia="zh-CN"/>
        </w:rPr>
        <w:t xml:space="preserve">   </w:t>
      </w:r>
      <w:r>
        <w:rPr>
          <w:rFonts w:hint="eastAsia" w:ascii="仿宋" w:hAnsi="仿宋" w:eastAsia="仿宋" w:cs="仿宋"/>
          <w:b/>
          <w:i/>
          <w:color w:val="auto"/>
          <w:sz w:val="24"/>
          <w:highlight w:val="none"/>
          <w:u w:val="single"/>
          <w:lang w:val="en-US" w:eastAsia="zh-CN"/>
        </w:rPr>
        <w:t xml:space="preserve">无   </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107" w:name="_Toc26555"/>
      <w:bookmarkStart w:id="108" w:name="_Toc31233"/>
      <w:bookmarkStart w:id="109" w:name="_Toc22011"/>
      <w:bookmarkStart w:id="110" w:name="_Toc32670"/>
      <w:bookmarkStart w:id="111" w:name="_Toc15447"/>
      <w:r>
        <w:rPr>
          <w:rFonts w:hint="eastAsia" w:ascii="仿宋" w:hAnsi="仿宋" w:eastAsia="仿宋" w:cs="仿宋"/>
          <w:b/>
          <w:color w:val="auto"/>
          <w:sz w:val="24"/>
          <w:highlight w:val="none"/>
        </w:rPr>
        <w:t>2.5 结算方式和付款条件</w:t>
      </w:r>
      <w:bookmarkEnd w:id="107"/>
      <w:bookmarkEnd w:id="108"/>
      <w:bookmarkEnd w:id="109"/>
      <w:bookmarkEnd w:id="110"/>
      <w:bookmarkEnd w:id="111"/>
    </w:p>
    <w:p>
      <w:pPr>
        <w:spacing w:line="560" w:lineRule="exact"/>
        <w:ind w:firstLine="482" w:firstLineChars="200"/>
        <w:outlineLvl w:val="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lang w:val="en-US" w:eastAsia="zh-CN"/>
        </w:rPr>
        <w:t>每半年验收合格支付一次</w:t>
      </w:r>
      <w:r>
        <w:rPr>
          <w:rFonts w:hint="eastAsia" w:ascii="仿宋" w:hAnsi="仿宋" w:eastAsia="仿宋" w:cs="仿宋"/>
          <w:b/>
          <w:color w:val="auto"/>
          <w:sz w:val="24"/>
          <w:highlight w:val="none"/>
          <w:u w:val="single"/>
        </w:rPr>
        <w:t>。</w:t>
      </w:r>
    </w:p>
    <w:p>
      <w:pPr>
        <w:spacing w:line="560" w:lineRule="exact"/>
        <w:ind w:firstLine="482" w:firstLineChars="200"/>
        <w:outlineLvl w:val="0"/>
        <w:rPr>
          <w:rFonts w:hint="eastAsia" w:ascii="仿宋" w:hAnsi="仿宋" w:eastAsia="仿宋" w:cs="仿宋"/>
          <w:b/>
          <w:color w:val="auto"/>
          <w:sz w:val="24"/>
          <w:highlight w:val="none"/>
        </w:rPr>
      </w:pPr>
      <w:bookmarkStart w:id="112" w:name="_Toc13154"/>
      <w:bookmarkStart w:id="113" w:name="_Toc18990"/>
      <w:bookmarkStart w:id="114" w:name="_Toc30507"/>
      <w:bookmarkStart w:id="115" w:name="_Toc13467"/>
      <w:bookmarkStart w:id="116" w:name="_Toc16163"/>
      <w:r>
        <w:rPr>
          <w:rFonts w:hint="eastAsia" w:ascii="仿宋" w:hAnsi="仿宋" w:eastAsia="仿宋" w:cs="仿宋"/>
          <w:b/>
          <w:color w:val="auto"/>
          <w:sz w:val="24"/>
          <w:highlight w:val="none"/>
        </w:rPr>
        <w:t>2.6 技术资料和保密义务</w:t>
      </w:r>
      <w:bookmarkEnd w:id="112"/>
      <w:bookmarkEnd w:id="113"/>
      <w:bookmarkEnd w:id="114"/>
      <w:bookmarkEnd w:id="115"/>
      <w:bookmarkEnd w:id="11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17" w:name="_Toc19069"/>
      <w:r>
        <w:rPr>
          <w:rFonts w:hint="eastAsia" w:ascii="仿宋" w:hAnsi="仿宋" w:eastAsia="仿宋" w:cs="仿宋"/>
          <w:b/>
          <w:color w:val="auto"/>
          <w:sz w:val="24"/>
          <w:highlight w:val="none"/>
        </w:rPr>
        <w:t>2.7 质量保证</w:t>
      </w:r>
      <w:bookmarkEnd w:id="11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18" w:name="_Toc22267"/>
      <w:r>
        <w:rPr>
          <w:rFonts w:hint="eastAsia" w:ascii="仿宋" w:hAnsi="仿宋" w:eastAsia="仿宋" w:cs="仿宋"/>
          <w:b/>
          <w:color w:val="auto"/>
          <w:sz w:val="24"/>
          <w:highlight w:val="none"/>
        </w:rPr>
        <w:t>2.8 延迟履行</w:t>
      </w:r>
      <w:bookmarkEnd w:id="1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19" w:name="_Toc10611"/>
      <w:r>
        <w:rPr>
          <w:rFonts w:hint="eastAsia" w:ascii="仿宋" w:hAnsi="仿宋" w:eastAsia="仿宋" w:cs="仿宋"/>
          <w:b/>
          <w:color w:val="auto"/>
          <w:sz w:val="24"/>
          <w:highlight w:val="none"/>
        </w:rPr>
        <w:t>2.9 合同变更</w:t>
      </w:r>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20" w:name="_Toc42"/>
      <w:bookmarkStart w:id="121" w:name="_Toc23368"/>
      <w:bookmarkStart w:id="122" w:name="_Toc21830"/>
      <w:bookmarkStart w:id="123" w:name="_Toc10663"/>
      <w:bookmarkStart w:id="124" w:name="_Toc26689"/>
      <w:r>
        <w:rPr>
          <w:rFonts w:hint="eastAsia" w:ascii="仿宋" w:hAnsi="仿宋" w:eastAsia="仿宋" w:cs="仿宋"/>
          <w:b/>
          <w:color w:val="auto"/>
          <w:sz w:val="24"/>
          <w:highlight w:val="none"/>
        </w:rPr>
        <w:t>2.10 合同转让和分包</w:t>
      </w:r>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25" w:name="_Toc4720"/>
      <w:bookmarkStart w:id="126" w:name="_Toc25571"/>
      <w:bookmarkStart w:id="127" w:name="_Toc14371"/>
      <w:bookmarkStart w:id="128" w:name="_Toc26633"/>
      <w:bookmarkStart w:id="129" w:name="_Toc32494"/>
      <w:r>
        <w:rPr>
          <w:rFonts w:hint="eastAsia" w:ascii="仿宋" w:hAnsi="仿宋" w:eastAsia="仿宋" w:cs="仿宋"/>
          <w:b/>
          <w:color w:val="auto"/>
          <w:sz w:val="24"/>
          <w:highlight w:val="none"/>
        </w:rPr>
        <w:t>2.11 不可抗力</w:t>
      </w:r>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color w:val="auto"/>
          <w:sz w:val="24"/>
          <w:highlight w:val="none"/>
          <w:u w:val="single"/>
          <w:lang w:val="en-US" w:eastAsia="zh-CN"/>
        </w:rPr>
        <w:t>10个工作日</w:t>
      </w:r>
      <w:r>
        <w:rPr>
          <w:rFonts w:hint="eastAsia" w:ascii="仿宋" w:hAnsi="仿宋" w:eastAsia="仿宋" w:cs="仿宋"/>
          <w:color w:val="auto"/>
          <w:sz w:val="24"/>
          <w:highlight w:val="none"/>
          <w:u w:val="single"/>
        </w:rPr>
        <w:t>内</w:t>
      </w:r>
      <w:r>
        <w:rPr>
          <w:rFonts w:hint="eastAsia" w:ascii="仿宋" w:hAnsi="仿宋" w:eastAsia="仿宋" w:cs="仿宋"/>
          <w:color w:val="auto"/>
          <w:sz w:val="24"/>
          <w:highlight w:val="none"/>
        </w:rPr>
        <w:t>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color w:val="auto"/>
          <w:sz w:val="24"/>
          <w:highlight w:val="none"/>
          <w:u w:val="single"/>
          <w:lang w:val="en-US" w:eastAsia="zh-CN"/>
        </w:rPr>
        <w:t>10个工作日</w:t>
      </w:r>
      <w:r>
        <w:rPr>
          <w:rFonts w:hint="eastAsia" w:ascii="仿宋" w:hAnsi="仿宋" w:eastAsia="仿宋" w:cs="仿宋"/>
          <w:color w:val="auto"/>
          <w:sz w:val="24"/>
          <w:highlight w:val="none"/>
          <w:u w:val="single"/>
        </w:rPr>
        <w:t>内</w:t>
      </w:r>
      <w:r>
        <w:rPr>
          <w:rFonts w:hint="eastAsia" w:ascii="仿宋" w:hAnsi="仿宋" w:eastAsia="仿宋" w:cs="仿宋"/>
          <w:color w:val="auto"/>
          <w:sz w:val="24"/>
          <w:highlight w:val="none"/>
        </w:rPr>
        <w:t>以书面形式通知对方当事人，并在</w:t>
      </w:r>
      <w:r>
        <w:rPr>
          <w:rFonts w:hint="eastAsia" w:ascii="仿宋" w:hAnsi="仿宋" w:eastAsia="仿宋" w:cs="仿宋"/>
          <w:color w:val="auto"/>
          <w:sz w:val="24"/>
          <w:highlight w:val="none"/>
          <w:u w:val="single"/>
          <w:lang w:val="en-US" w:eastAsia="zh-CN"/>
        </w:rPr>
        <w:t>5个工作日</w:t>
      </w:r>
      <w:r>
        <w:rPr>
          <w:rFonts w:hint="eastAsia" w:ascii="仿宋" w:hAnsi="仿宋" w:eastAsia="仿宋" w:cs="仿宋"/>
          <w:color w:val="auto"/>
          <w:sz w:val="24"/>
          <w:highlight w:val="none"/>
        </w:rPr>
        <w:t>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30" w:name="_Toc14115"/>
      <w:bookmarkStart w:id="131" w:name="_Toc25783"/>
      <w:bookmarkStart w:id="132" w:name="_Toc3638"/>
      <w:bookmarkStart w:id="133" w:name="_Toc23854"/>
      <w:bookmarkStart w:id="134" w:name="_Toc24465"/>
      <w:r>
        <w:rPr>
          <w:rFonts w:hint="eastAsia" w:ascii="仿宋" w:hAnsi="仿宋" w:eastAsia="仿宋" w:cs="仿宋"/>
          <w:b/>
          <w:color w:val="auto"/>
          <w:sz w:val="24"/>
          <w:highlight w:val="none"/>
        </w:rPr>
        <w:t>2.12 税费</w:t>
      </w:r>
      <w:bookmarkEnd w:id="130"/>
      <w:bookmarkEnd w:id="131"/>
      <w:bookmarkEnd w:id="132"/>
      <w:bookmarkEnd w:id="133"/>
      <w:bookmarkEnd w:id="13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35" w:name="_Toc7315"/>
      <w:bookmarkStart w:id="136" w:name="_Toc14814"/>
      <w:bookmarkStart w:id="137" w:name="_Toc30105"/>
      <w:bookmarkStart w:id="138" w:name="_Toc26883"/>
      <w:bookmarkStart w:id="139" w:name="_Toc25525"/>
      <w:r>
        <w:rPr>
          <w:rFonts w:hint="eastAsia" w:ascii="仿宋" w:hAnsi="仿宋" w:eastAsia="仿宋" w:cs="仿宋"/>
          <w:b/>
          <w:color w:val="auto"/>
          <w:sz w:val="24"/>
          <w:highlight w:val="none"/>
        </w:rPr>
        <w:t>2.13 乙方破产</w:t>
      </w:r>
      <w:bookmarkEnd w:id="135"/>
      <w:bookmarkEnd w:id="136"/>
      <w:bookmarkEnd w:id="137"/>
      <w:bookmarkEnd w:id="138"/>
      <w:bookmarkEnd w:id="13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40" w:name="_Toc1123"/>
      <w:bookmarkStart w:id="141" w:name="_Toc23323"/>
      <w:bookmarkStart w:id="142" w:name="_Toc2016"/>
      <w:r>
        <w:rPr>
          <w:rFonts w:hint="eastAsia" w:ascii="仿宋" w:hAnsi="仿宋" w:eastAsia="仿宋" w:cs="仿宋"/>
          <w:b/>
          <w:color w:val="auto"/>
          <w:sz w:val="24"/>
          <w:highlight w:val="none"/>
        </w:rPr>
        <w:t>2.14 合同中止、终止</w:t>
      </w:r>
      <w:bookmarkEnd w:id="140"/>
      <w:bookmarkEnd w:id="141"/>
      <w:bookmarkEnd w:id="14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43" w:name="_Toc1969"/>
      <w:bookmarkStart w:id="144" w:name="_Toc17363"/>
      <w:bookmarkStart w:id="145" w:name="_Toc14525"/>
      <w:r>
        <w:rPr>
          <w:rFonts w:hint="eastAsia" w:ascii="仿宋" w:hAnsi="仿宋" w:eastAsia="仿宋" w:cs="仿宋"/>
          <w:b/>
          <w:color w:val="auto"/>
          <w:sz w:val="24"/>
          <w:highlight w:val="none"/>
        </w:rPr>
        <w:t>2.15 检验和验收</w:t>
      </w:r>
      <w:bookmarkEnd w:id="143"/>
      <w:bookmarkEnd w:id="144"/>
      <w:bookmarkEnd w:id="14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乙方按照合同的约定，定期提交服务报告，甲方按照合同的约定进行定期验收；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检验和验收标准、程序等具体内容以及前述验收书的效力详见合同。</w:t>
      </w:r>
    </w:p>
    <w:p>
      <w:pPr>
        <w:spacing w:line="560" w:lineRule="exact"/>
        <w:ind w:firstLine="482" w:firstLineChars="200"/>
        <w:outlineLvl w:val="0"/>
        <w:rPr>
          <w:rFonts w:hint="eastAsia" w:ascii="仿宋" w:hAnsi="仿宋" w:eastAsia="仿宋" w:cs="仿宋"/>
          <w:b/>
          <w:color w:val="auto"/>
          <w:sz w:val="24"/>
          <w:highlight w:val="none"/>
        </w:rPr>
      </w:pPr>
      <w:bookmarkStart w:id="146" w:name="_Toc25198"/>
      <w:bookmarkStart w:id="147" w:name="_Toc31892"/>
      <w:bookmarkStart w:id="148" w:name="_Toc2308"/>
      <w:bookmarkStart w:id="149" w:name="_Toc12666"/>
      <w:bookmarkStart w:id="150" w:name="_Toc9808"/>
      <w:r>
        <w:rPr>
          <w:rFonts w:hint="eastAsia" w:ascii="仿宋" w:hAnsi="仿宋" w:eastAsia="仿宋" w:cs="仿宋"/>
          <w:b/>
          <w:color w:val="auto"/>
          <w:sz w:val="24"/>
          <w:highlight w:val="none"/>
        </w:rPr>
        <w:t>2.16 通知和送达</w:t>
      </w:r>
      <w:bookmarkEnd w:id="146"/>
      <w:bookmarkEnd w:id="147"/>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bookmarkStart w:id="151" w:name="_Toc27674"/>
      <w:bookmarkStart w:id="15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hint="eastAsia" w:ascii="仿宋" w:hAnsi="仿宋" w:eastAsia="仿宋" w:cs="仿宋"/>
          <w:b/>
          <w:color w:val="auto"/>
          <w:sz w:val="24"/>
          <w:highlight w:val="none"/>
        </w:rPr>
      </w:pPr>
      <w:bookmarkStart w:id="153" w:name="_Toc28906"/>
      <w:bookmarkStart w:id="154" w:name="_Toc27644"/>
      <w:bookmarkStart w:id="155" w:name="_Toc5063"/>
      <w:bookmarkStart w:id="156" w:name="_Toc12254"/>
      <w:bookmarkStart w:id="157" w:name="_Toc20808"/>
      <w:r>
        <w:rPr>
          <w:rFonts w:hint="eastAsia" w:ascii="仿宋" w:hAnsi="仿宋" w:eastAsia="仿宋" w:cs="仿宋"/>
          <w:b/>
          <w:color w:val="auto"/>
          <w:sz w:val="24"/>
          <w:highlight w:val="none"/>
        </w:rPr>
        <w:t>2.17 合同使用的文字和适用的法律</w:t>
      </w:r>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8" w:name="_Toc30599"/>
      <w:bookmarkStart w:id="159" w:name="_Toc18540"/>
      <w:bookmarkStart w:id="160" w:name="_Toc4355"/>
      <w:r>
        <w:rPr>
          <w:rFonts w:hint="eastAsia" w:ascii="仿宋" w:hAnsi="仿宋" w:eastAsia="仿宋" w:cs="仿宋"/>
          <w:b/>
          <w:color w:val="auto"/>
          <w:sz w:val="24"/>
          <w:highlight w:val="none"/>
        </w:rPr>
        <w:t>2.18 计量单位</w:t>
      </w:r>
      <w:bookmarkEnd w:id="158"/>
      <w:bookmarkEnd w:id="159"/>
      <w:bookmarkEnd w:id="1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61" w:name="_Toc487900373"/>
      <w:bookmarkStart w:id="162" w:name="_Toc12773"/>
      <w:bookmarkStart w:id="163" w:name="_Toc279701263"/>
      <w:bookmarkStart w:id="164" w:name="_Toc259093692"/>
      <w:bookmarkStart w:id="165" w:name="_Toc18567"/>
      <w:bookmarkStart w:id="166" w:name="_Toc10330"/>
      <w:r>
        <w:rPr>
          <w:rFonts w:hint="eastAsia" w:ascii="仿宋" w:hAnsi="仿宋" w:eastAsia="仿宋" w:cs="仿宋"/>
          <w:b/>
          <w:color w:val="auto"/>
          <w:sz w:val="24"/>
          <w:highlight w:val="none"/>
        </w:rPr>
        <w:t>2.19 合同使用的文字和适用的法律</w:t>
      </w:r>
      <w:bookmarkEnd w:id="161"/>
      <w:bookmarkEnd w:id="162"/>
      <w:bookmarkEnd w:id="163"/>
      <w:bookmarkEnd w:id="164"/>
      <w:bookmarkEnd w:id="165"/>
      <w:bookmarkEnd w:id="1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w:t>
      </w:r>
      <w:r>
        <w:rPr>
          <w:rFonts w:hint="eastAsia" w:ascii="仿宋" w:hAnsi="仿宋" w:eastAsia="仿宋" w:cs="仿宋"/>
          <w:color w:val="auto"/>
          <w:sz w:val="24"/>
          <w:highlight w:val="none"/>
          <w:lang w:val="en-US" w:eastAsia="zh-CN"/>
        </w:rPr>
        <w:t>甲、乙双方各执2份</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嵊州市公共资源交易中心备案</w:t>
      </w:r>
      <w:r>
        <w:rPr>
          <w:rFonts w:hint="eastAsia" w:ascii="仿宋" w:hAnsi="仿宋" w:eastAsia="仿宋" w:cs="仿宋"/>
          <w:color w:val="auto"/>
          <w:sz w:val="24"/>
          <w:highlight w:val="none"/>
          <w:lang w:val="en-US" w:eastAsia="zh-CN"/>
        </w:rPr>
        <w:t>1份，</w:t>
      </w:r>
      <w:r>
        <w:rPr>
          <w:rFonts w:hint="eastAsia" w:ascii="仿宋" w:hAnsi="仿宋" w:eastAsia="仿宋" w:cs="仿宋"/>
          <w:color w:val="auto"/>
          <w:sz w:val="24"/>
          <w:highlight w:val="none"/>
        </w:rPr>
        <w:t>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7" w:name="_Toc331685784"/>
      <w:r>
        <w:rPr>
          <w:rFonts w:hint="eastAsia" w:ascii="仿宋" w:hAnsi="仿宋" w:eastAsia="仿宋" w:cs="仿宋"/>
          <w:b/>
          <w:color w:val="auto"/>
          <w:sz w:val="24"/>
          <w:highlight w:val="none"/>
        </w:rPr>
        <w:t xml:space="preserve"> </w:t>
      </w:r>
      <w:bookmarkEnd w:id="16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90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90</w:t>
      </w:r>
      <w:r>
        <w:rPr>
          <w:rFonts w:hint="eastAsia" w:ascii="仿宋" w:hAnsi="仿宋" w:eastAsia="仿宋" w:cs="仿宋"/>
          <w:b/>
          <w:bCs/>
          <w:iCs/>
          <w:color w:val="auto"/>
          <w:sz w:val="24"/>
          <w:highlight w:val="none"/>
        </w:rPr>
        <w:t>分）</w:t>
      </w:r>
    </w:p>
    <w:tbl>
      <w:tblPr>
        <w:tblStyle w:val="62"/>
        <w:tblW w:w="9561"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0"/>
        <w:gridCol w:w="1363"/>
        <w:gridCol w:w="6636"/>
        <w:gridCol w:w="7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800"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2"/>
                <w:szCs w:val="22"/>
                <w:highlight w:val="none"/>
              </w:rPr>
            </w:pPr>
            <w:r>
              <w:rPr>
                <w:rFonts w:hint="eastAsia" w:ascii="仿宋" w:hAnsi="仿宋" w:eastAsia="仿宋" w:cs="仿宋"/>
                <w:b/>
                <w:bCs/>
                <w:color w:val="auto"/>
                <w:kern w:val="0"/>
                <w:sz w:val="22"/>
                <w:szCs w:val="22"/>
                <w:highlight w:val="none"/>
                <w:lang w:eastAsia="zh-CN"/>
              </w:rPr>
              <w:t>序号</w:t>
            </w:r>
          </w:p>
        </w:tc>
        <w:tc>
          <w:tcPr>
            <w:tcW w:w="1363"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b/>
                <w:bCs/>
                <w:color w:val="auto"/>
                <w:kern w:val="0"/>
                <w:sz w:val="22"/>
                <w:szCs w:val="22"/>
                <w:highlight w:val="none"/>
                <w:lang w:eastAsia="zh-CN"/>
              </w:rPr>
              <w:t>评分项</w:t>
            </w:r>
          </w:p>
        </w:tc>
        <w:tc>
          <w:tcPr>
            <w:tcW w:w="663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b/>
                <w:bCs/>
                <w:color w:val="auto"/>
                <w:kern w:val="0"/>
                <w:sz w:val="22"/>
                <w:szCs w:val="22"/>
                <w:highlight w:val="none"/>
                <w:lang w:eastAsia="zh-CN"/>
              </w:rPr>
              <w:t>评审依据及标准</w:t>
            </w:r>
          </w:p>
        </w:tc>
        <w:tc>
          <w:tcPr>
            <w:tcW w:w="762"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b/>
                <w:bCs/>
                <w:color w:val="auto"/>
                <w:kern w:val="0"/>
                <w:sz w:val="22"/>
                <w:szCs w:val="22"/>
                <w:highlight w:val="none"/>
                <w:lang w:eastAsia="zh-CN"/>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46"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w:t>
            </w:r>
          </w:p>
        </w:tc>
        <w:tc>
          <w:tcPr>
            <w:tcW w:w="13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综合实力</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w:t>
            </w:r>
            <w:r>
              <w:rPr>
                <w:rFonts w:hint="eastAsia" w:ascii="仿宋" w:hAnsi="仿宋" w:eastAsia="仿宋" w:cs="仿宋"/>
                <w:color w:val="auto"/>
                <w:kern w:val="0"/>
                <w:sz w:val="22"/>
                <w:szCs w:val="22"/>
                <w:highlight w:val="none"/>
                <w:lang w:val="zh-CN" w:eastAsia="zh-CN"/>
              </w:rPr>
              <w:t>1</w:t>
            </w:r>
            <w:r>
              <w:rPr>
                <w:rFonts w:hint="eastAsia" w:ascii="仿宋" w:hAnsi="仿宋" w:eastAsia="仿宋" w:cs="仿宋"/>
                <w:color w:val="auto"/>
                <w:kern w:val="0"/>
                <w:sz w:val="22"/>
                <w:szCs w:val="22"/>
                <w:highlight w:val="none"/>
                <w:lang w:val="zh-CN"/>
              </w:rPr>
              <w:t>）投标人具有质量管理体系认证证书的得</w:t>
            </w:r>
            <w:r>
              <w:rPr>
                <w:rFonts w:hint="eastAsia" w:ascii="仿宋" w:hAnsi="仿宋" w:eastAsia="仿宋" w:cs="仿宋"/>
                <w:color w:val="auto"/>
                <w:kern w:val="0"/>
                <w:sz w:val="22"/>
                <w:szCs w:val="22"/>
                <w:highlight w:val="none"/>
                <w:lang w:val="zh-CN" w:eastAsia="zh-CN"/>
              </w:rPr>
              <w:t>1分</w:t>
            </w:r>
            <w:r>
              <w:rPr>
                <w:rFonts w:hint="eastAsia" w:ascii="仿宋" w:hAnsi="仿宋" w:eastAsia="仿宋" w:cs="仿宋"/>
                <w:color w:val="auto"/>
                <w:kern w:val="0"/>
                <w:sz w:val="22"/>
                <w:szCs w:val="22"/>
                <w:highlight w:val="none"/>
                <w:lang w:val="zh-CN"/>
              </w:rPr>
              <w:t>；</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w:t>
            </w:r>
            <w:r>
              <w:rPr>
                <w:rFonts w:hint="eastAsia" w:ascii="仿宋" w:hAnsi="仿宋" w:eastAsia="仿宋" w:cs="仿宋"/>
                <w:color w:val="auto"/>
                <w:kern w:val="0"/>
                <w:sz w:val="22"/>
                <w:szCs w:val="22"/>
                <w:highlight w:val="none"/>
                <w:lang w:val="zh-CN" w:eastAsia="zh-CN"/>
              </w:rPr>
              <w:t>2</w:t>
            </w:r>
            <w:r>
              <w:rPr>
                <w:rFonts w:hint="eastAsia" w:ascii="仿宋" w:hAnsi="仿宋" w:eastAsia="仿宋" w:cs="仿宋"/>
                <w:color w:val="auto"/>
                <w:kern w:val="0"/>
                <w:sz w:val="22"/>
                <w:szCs w:val="22"/>
                <w:highlight w:val="none"/>
                <w:lang w:val="zh-CN"/>
              </w:rPr>
              <w:t>）投标人具有环境管理体系认证证书的得</w:t>
            </w:r>
            <w:r>
              <w:rPr>
                <w:rFonts w:hint="eastAsia" w:ascii="仿宋" w:hAnsi="仿宋" w:eastAsia="仿宋" w:cs="仿宋"/>
                <w:color w:val="auto"/>
                <w:kern w:val="0"/>
                <w:sz w:val="22"/>
                <w:szCs w:val="22"/>
                <w:highlight w:val="none"/>
                <w:lang w:val="zh-CN" w:eastAsia="zh-CN"/>
              </w:rPr>
              <w:t>1分</w:t>
            </w:r>
            <w:r>
              <w:rPr>
                <w:rFonts w:hint="eastAsia" w:ascii="仿宋" w:hAnsi="仿宋" w:eastAsia="仿宋" w:cs="仿宋"/>
                <w:color w:val="auto"/>
                <w:kern w:val="0"/>
                <w:sz w:val="22"/>
                <w:szCs w:val="22"/>
                <w:highlight w:val="none"/>
                <w:lang w:val="zh-CN"/>
              </w:rPr>
              <w:t>；</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w:t>
            </w:r>
            <w:r>
              <w:rPr>
                <w:rFonts w:hint="eastAsia" w:ascii="仿宋" w:hAnsi="仿宋" w:eastAsia="仿宋" w:cs="仿宋"/>
                <w:color w:val="auto"/>
                <w:kern w:val="0"/>
                <w:sz w:val="22"/>
                <w:szCs w:val="22"/>
                <w:highlight w:val="none"/>
                <w:lang w:val="zh-CN" w:eastAsia="zh-CN"/>
              </w:rPr>
              <w:t>3</w:t>
            </w:r>
            <w:r>
              <w:rPr>
                <w:rFonts w:hint="eastAsia" w:ascii="仿宋" w:hAnsi="仿宋" w:eastAsia="仿宋" w:cs="仿宋"/>
                <w:color w:val="auto"/>
                <w:kern w:val="0"/>
                <w:sz w:val="22"/>
                <w:szCs w:val="22"/>
                <w:highlight w:val="none"/>
                <w:lang w:val="zh-CN"/>
              </w:rPr>
              <w:t>）投标人具有职业健康安全管理体系认证证书的得</w:t>
            </w:r>
            <w:r>
              <w:rPr>
                <w:rFonts w:hint="eastAsia" w:ascii="仿宋" w:hAnsi="仿宋" w:eastAsia="仿宋" w:cs="仿宋"/>
                <w:color w:val="auto"/>
                <w:kern w:val="0"/>
                <w:sz w:val="22"/>
                <w:szCs w:val="22"/>
                <w:highlight w:val="none"/>
                <w:lang w:val="zh-CN" w:eastAsia="zh-CN"/>
              </w:rPr>
              <w:t>1分。</w:t>
            </w:r>
          </w:p>
          <w:p>
            <w:pPr>
              <w:widowControl/>
              <w:spacing w:line="400" w:lineRule="exact"/>
              <w:jc w:val="left"/>
              <w:textAlignment w:val="baseline"/>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）投标人自202</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年以来连续三年被市（县）级人力资源和社会保障局评定为劳动保障诚信示范企业的得3分，连续二年的得2分，一年的得1分</w:t>
            </w:r>
            <w:r>
              <w:rPr>
                <w:rFonts w:hint="eastAsia" w:ascii="仿宋" w:hAnsi="仿宋" w:eastAsia="仿宋" w:cs="仿宋"/>
                <w:color w:val="auto"/>
                <w:sz w:val="22"/>
                <w:szCs w:val="22"/>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bCs/>
                <w:color w:val="auto"/>
                <w:kern w:val="0"/>
                <w:sz w:val="22"/>
                <w:szCs w:val="22"/>
                <w:highlight w:val="none"/>
                <w:lang w:bidi="ar"/>
              </w:rPr>
              <w:t>（提供有效期内的证书扫描件</w:t>
            </w:r>
            <w:r>
              <w:rPr>
                <w:rFonts w:hint="eastAsia" w:ascii="仿宋" w:hAnsi="仿宋" w:eastAsia="仿宋" w:cs="仿宋"/>
                <w:bCs/>
                <w:color w:val="auto"/>
                <w:kern w:val="0"/>
                <w:sz w:val="22"/>
                <w:szCs w:val="22"/>
                <w:highlight w:val="none"/>
                <w:lang w:eastAsia="zh-CN" w:bidi="ar"/>
              </w:rPr>
              <w:t>、</w:t>
            </w:r>
            <w:r>
              <w:rPr>
                <w:rFonts w:hint="eastAsia" w:ascii="仿宋" w:hAnsi="仿宋" w:eastAsia="仿宋" w:cs="仿宋"/>
                <w:color w:val="auto"/>
                <w:kern w:val="2"/>
                <w:sz w:val="22"/>
                <w:szCs w:val="22"/>
                <w:highlight w:val="none"/>
                <w:lang w:val="en-US" w:eastAsia="zh-CN" w:bidi="ar-SA"/>
              </w:rPr>
              <w:t>国家市场监督管理总局创立的全国认证认可信息公共服务平台的网页截图（http://cx.cnca.cn/CertECloud/index/index/page）</w:t>
            </w:r>
            <w:r>
              <w:rPr>
                <w:rFonts w:hint="eastAsia" w:ascii="仿宋" w:hAnsi="仿宋" w:eastAsia="仿宋" w:cs="仿宋"/>
                <w:bCs/>
                <w:color w:val="auto"/>
                <w:kern w:val="0"/>
                <w:sz w:val="22"/>
                <w:szCs w:val="22"/>
                <w:highlight w:val="none"/>
                <w:lang w:eastAsia="zh-CN" w:bidi="ar"/>
              </w:rPr>
              <w:t>并加盖</w:t>
            </w:r>
            <w:r>
              <w:rPr>
                <w:rFonts w:hint="eastAsia" w:ascii="仿宋" w:hAnsi="仿宋" w:eastAsia="仿宋" w:cs="仿宋"/>
                <w:bCs/>
                <w:color w:val="auto"/>
                <w:kern w:val="0"/>
                <w:sz w:val="22"/>
                <w:szCs w:val="22"/>
                <w:highlight w:val="none"/>
                <w:lang w:val="en-US" w:eastAsia="zh-CN" w:bidi="ar"/>
              </w:rPr>
              <w:t>CA签章</w:t>
            </w:r>
            <w:r>
              <w:rPr>
                <w:rFonts w:hint="eastAsia" w:ascii="仿宋" w:hAnsi="仿宋" w:eastAsia="仿宋" w:cs="仿宋"/>
                <w:bCs/>
                <w:color w:val="auto"/>
                <w:kern w:val="0"/>
                <w:sz w:val="22"/>
                <w:szCs w:val="22"/>
                <w:highlight w:val="none"/>
                <w:lang w:bidi="ar"/>
              </w:rPr>
              <w:t>，不提供不得分）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13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项目业绩</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投标人202</w:t>
            </w:r>
            <w:r>
              <w:rPr>
                <w:rFonts w:hint="eastAsia" w:ascii="仿宋" w:hAnsi="仿宋" w:eastAsia="仿宋" w:cs="仿宋"/>
                <w:color w:val="auto"/>
                <w:kern w:val="0"/>
                <w:sz w:val="22"/>
                <w:szCs w:val="22"/>
                <w:highlight w:val="none"/>
                <w:lang w:val="en-US" w:eastAsia="zh-CN"/>
              </w:rPr>
              <w:t>1</w:t>
            </w:r>
            <w:r>
              <w:rPr>
                <w:rFonts w:hint="eastAsia" w:ascii="仿宋" w:hAnsi="仿宋" w:eastAsia="仿宋" w:cs="仿宋"/>
                <w:color w:val="auto"/>
                <w:kern w:val="0"/>
                <w:sz w:val="22"/>
                <w:szCs w:val="22"/>
                <w:highlight w:val="none"/>
                <w:lang w:val="zh-CN"/>
              </w:rPr>
              <w:t>年</w:t>
            </w:r>
            <w:r>
              <w:rPr>
                <w:rFonts w:hint="eastAsia" w:ascii="仿宋" w:hAnsi="仿宋" w:eastAsia="仿宋" w:cs="仿宋"/>
                <w:color w:val="auto"/>
                <w:kern w:val="0"/>
                <w:sz w:val="22"/>
                <w:szCs w:val="22"/>
                <w:highlight w:val="none"/>
                <w:lang w:val="en-US" w:eastAsia="zh-CN"/>
              </w:rPr>
              <w:t>1</w:t>
            </w:r>
            <w:r>
              <w:rPr>
                <w:rFonts w:hint="eastAsia" w:ascii="仿宋" w:hAnsi="仿宋" w:eastAsia="仿宋" w:cs="仿宋"/>
                <w:color w:val="auto"/>
                <w:kern w:val="0"/>
                <w:sz w:val="22"/>
                <w:szCs w:val="22"/>
                <w:highlight w:val="none"/>
                <w:lang w:val="zh-CN"/>
              </w:rPr>
              <w:t>月1日至今（以合同签订时间为准），承接</w:t>
            </w:r>
            <w:r>
              <w:rPr>
                <w:rFonts w:hint="eastAsia" w:ascii="仿宋" w:hAnsi="仿宋" w:eastAsia="仿宋" w:cs="仿宋"/>
                <w:color w:val="auto"/>
                <w:kern w:val="0"/>
                <w:sz w:val="22"/>
                <w:szCs w:val="22"/>
                <w:highlight w:val="none"/>
                <w:lang w:val="zh-CN" w:eastAsia="zh-CN"/>
              </w:rPr>
              <w:t>医院保安服务项目成功业绩，每提供1个得1分，最高得</w:t>
            </w:r>
            <w:r>
              <w:rPr>
                <w:rFonts w:hint="eastAsia" w:ascii="仿宋" w:hAnsi="仿宋" w:eastAsia="仿宋" w:cs="仿宋"/>
                <w:color w:val="auto"/>
                <w:kern w:val="0"/>
                <w:sz w:val="22"/>
                <w:szCs w:val="22"/>
                <w:highlight w:val="none"/>
                <w:lang w:val="en-US" w:eastAsia="zh-CN"/>
              </w:rPr>
              <w:t>1</w:t>
            </w:r>
            <w:r>
              <w:rPr>
                <w:rFonts w:hint="eastAsia" w:ascii="仿宋" w:hAnsi="仿宋" w:eastAsia="仿宋" w:cs="仿宋"/>
                <w:color w:val="auto"/>
                <w:kern w:val="0"/>
                <w:sz w:val="22"/>
                <w:szCs w:val="22"/>
                <w:highlight w:val="none"/>
                <w:lang w:val="zh-CN" w:eastAsia="zh-CN"/>
              </w:rPr>
              <w:t>分。</w:t>
            </w:r>
            <w:r>
              <w:rPr>
                <w:rFonts w:hint="eastAsia" w:ascii="仿宋" w:hAnsi="仿宋" w:eastAsia="仿宋" w:cs="仿宋"/>
                <w:color w:val="auto"/>
                <w:kern w:val="0"/>
                <w:sz w:val="22"/>
                <w:szCs w:val="22"/>
                <w:highlight w:val="none"/>
                <w:lang w:val="zh-CN"/>
              </w:rPr>
              <w:t>（提供合同扫描件并加盖CA签章）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41"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136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拟投入本项目人员配置14分</w:t>
            </w: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lang w:val="zh-CN" w:eastAsia="zh-CN"/>
              </w:rPr>
              <w:t>投标人拟派项目负责人：具有人社部门颁发的保安员一级证书的得 3 分，具有人社部门颁发的保安员二级证书的得 2分；具有人社部门颁发的保安员三级证书的得1分。</w:t>
            </w:r>
          </w:p>
          <w:p>
            <w:pPr>
              <w:spacing w:line="344"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lang w:eastAsia="zh-CN"/>
              </w:rPr>
              <w:t>拟派项目组成员</w:t>
            </w:r>
            <w:r>
              <w:rPr>
                <w:rFonts w:hint="eastAsia" w:ascii="仿宋" w:hAnsi="仿宋" w:eastAsia="仿宋" w:cs="仿宋"/>
                <w:color w:val="auto"/>
                <w:sz w:val="22"/>
                <w:szCs w:val="22"/>
                <w:highlight w:val="none"/>
              </w:rPr>
              <w:t>每</w:t>
            </w:r>
            <w:r>
              <w:rPr>
                <w:rFonts w:hint="eastAsia" w:ascii="仿宋" w:hAnsi="仿宋" w:eastAsia="仿宋" w:cs="仿宋"/>
                <w:color w:val="auto"/>
                <w:sz w:val="22"/>
                <w:szCs w:val="22"/>
                <w:highlight w:val="none"/>
                <w:lang w:eastAsia="zh-CN"/>
              </w:rPr>
              <w:t>持有</w:t>
            </w:r>
            <w:r>
              <w:rPr>
                <w:rFonts w:hint="eastAsia" w:ascii="仿宋" w:hAnsi="仿宋" w:eastAsia="仿宋" w:cs="仿宋"/>
                <w:color w:val="auto"/>
                <w:sz w:val="22"/>
                <w:szCs w:val="22"/>
                <w:highlight w:val="none"/>
              </w:rPr>
              <w:t>1本建（构）筑物消防员证或消防设施操作员证（持证人员须同时具有保安证）加</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分，最高得</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rPr>
              <w:t>注：</w:t>
            </w:r>
            <w:r>
              <w:rPr>
                <w:rFonts w:hint="eastAsia" w:ascii="仿宋" w:hAnsi="仿宋" w:eastAsia="仿宋" w:cs="仿宋"/>
                <w:color w:val="auto"/>
                <w:sz w:val="22"/>
                <w:szCs w:val="22"/>
                <w:highlight w:val="none"/>
                <w:lang w:val="zh-CN" w:eastAsia="zh-CN"/>
              </w:rPr>
              <w:t>(提供相关证书、近六个月任意一个月本单位在职社保缴纳证明并加盖CA签章)。</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lang w:eastAsia="zh-CN"/>
              </w:rPr>
              <w:t>拟派项目组成员具</w:t>
            </w:r>
            <w:r>
              <w:rPr>
                <w:rFonts w:hint="eastAsia" w:ascii="仿宋" w:hAnsi="仿宋" w:eastAsia="仿宋" w:cs="仿宋"/>
                <w:color w:val="auto"/>
                <w:sz w:val="22"/>
                <w:szCs w:val="22"/>
                <w:highlight w:val="none"/>
              </w:rPr>
              <w:t>有人社部门颁发劳动关系协调员证书一个得</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分，最高得</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分。(提供相关证书、近六个月在本单位社保缴纳证明并加盖CA签章)。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41"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w:t>
            </w:r>
          </w:p>
        </w:tc>
        <w:tc>
          <w:tcPr>
            <w:tcW w:w="13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2"/>
                <w:szCs w:val="22"/>
                <w:highlight w:val="none"/>
                <w:lang w:val="en-US" w:eastAsia="zh-CN"/>
              </w:rPr>
            </w:pPr>
          </w:p>
        </w:tc>
        <w:tc>
          <w:tcPr>
            <w:tcW w:w="663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根据投标人拟派的专业人员概况，年龄和专业素质，各岗位人员配置的满足性、合理性等情况打分：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（1）人员年龄合适、专业性强、岗位配置合理的得4-6分；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（2）人员年龄比较合适、专业性较强、岗位配置比较合理的得2-4分；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（3）人员年龄不合适、专业性不强、岗位配置不合理的得0-2分。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（提供人员名单及</w:t>
            </w:r>
            <w:r>
              <w:rPr>
                <w:rFonts w:hint="eastAsia" w:ascii="仿宋" w:hAnsi="仿宋" w:eastAsia="仿宋" w:cs="仿宋"/>
                <w:color w:val="auto"/>
                <w:sz w:val="22"/>
                <w:szCs w:val="22"/>
                <w:highlight w:val="none"/>
                <w:lang w:val="zh-CN" w:eastAsia="zh-CN"/>
              </w:rPr>
              <w:t>近三个月本单位在职社保缴纳证明并加盖CA签章</w:t>
            </w:r>
            <w:r>
              <w:rPr>
                <w:rFonts w:hint="eastAsia" w:ascii="仿宋" w:hAnsi="仿宋" w:eastAsia="仿宋" w:cs="仿宋"/>
                <w:color w:val="auto"/>
                <w:sz w:val="22"/>
                <w:szCs w:val="22"/>
                <w:highlight w:val="none"/>
                <w:lang w:val="en-US" w:eastAsia="zh-CN"/>
              </w:rPr>
              <w:t>）。</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41"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w:t>
            </w:r>
          </w:p>
        </w:tc>
        <w:tc>
          <w:tcPr>
            <w:tcW w:w="1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zh-CN" w:eastAsia="zh-CN"/>
              </w:rPr>
              <w:t>对本项目重点、难点分析及解决措施</w:t>
            </w:r>
            <w:r>
              <w:rPr>
                <w:rFonts w:hint="eastAsia" w:ascii="仿宋" w:hAnsi="仿宋" w:eastAsia="仿宋" w:cs="仿宋"/>
                <w:color w:val="auto"/>
                <w:kern w:val="0"/>
                <w:sz w:val="22"/>
                <w:szCs w:val="22"/>
                <w:highlight w:val="none"/>
                <w:lang w:val="en-US" w:eastAsia="zh-CN"/>
              </w:rPr>
              <w:t>6分</w:t>
            </w:r>
          </w:p>
        </w:tc>
        <w:tc>
          <w:tcPr>
            <w:tcW w:w="663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根据投标人对本项目采购需求分析、</w:t>
            </w:r>
            <w:r>
              <w:rPr>
                <w:rFonts w:hint="eastAsia" w:ascii="仿宋" w:hAnsi="仿宋" w:eastAsia="仿宋" w:cs="仿宋"/>
                <w:color w:val="auto"/>
                <w:sz w:val="22"/>
                <w:szCs w:val="22"/>
                <w:highlight w:val="none"/>
              </w:rPr>
              <w:t>现状的了解</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对</w:t>
            </w:r>
            <w:r>
              <w:rPr>
                <w:rFonts w:hint="eastAsia" w:ascii="仿宋" w:hAnsi="仿宋" w:eastAsia="仿宋" w:cs="仿宋"/>
                <w:color w:val="auto"/>
                <w:sz w:val="22"/>
                <w:szCs w:val="22"/>
                <w:highlight w:val="none"/>
                <w:lang w:eastAsia="zh-CN"/>
              </w:rPr>
              <w:t>医院</w:t>
            </w:r>
            <w:r>
              <w:rPr>
                <w:rFonts w:hint="eastAsia" w:ascii="仿宋" w:hAnsi="仿宋" w:eastAsia="仿宋" w:cs="仿宋"/>
                <w:color w:val="auto"/>
                <w:sz w:val="22"/>
                <w:szCs w:val="22"/>
                <w:highlight w:val="none"/>
              </w:rPr>
              <w:t>保安服务的难点、要点等问题</w:t>
            </w:r>
            <w:r>
              <w:rPr>
                <w:rFonts w:hint="eastAsia" w:ascii="仿宋" w:hAnsi="仿宋" w:eastAsia="仿宋" w:cs="仿宋"/>
                <w:color w:val="auto"/>
                <w:sz w:val="22"/>
                <w:szCs w:val="22"/>
                <w:highlight w:val="none"/>
                <w:lang w:val="en-US" w:eastAsia="zh-CN"/>
              </w:rPr>
              <w:t>进行</w:t>
            </w:r>
            <w:r>
              <w:rPr>
                <w:rFonts w:hint="eastAsia" w:ascii="仿宋" w:hAnsi="仿宋" w:eastAsia="仿宋" w:cs="仿宋"/>
                <w:color w:val="auto"/>
                <w:sz w:val="22"/>
                <w:szCs w:val="22"/>
                <w:highlight w:val="none"/>
              </w:rPr>
              <w:t>调查剖析，提出克服难点和要点的措施和方案</w:t>
            </w:r>
            <w:r>
              <w:rPr>
                <w:rFonts w:hint="eastAsia" w:ascii="仿宋" w:hAnsi="仿宋" w:eastAsia="仿宋" w:cs="仿宋"/>
                <w:color w:val="auto"/>
                <w:sz w:val="22"/>
                <w:szCs w:val="22"/>
                <w:highlight w:val="none"/>
                <w:lang w:eastAsia="zh-CN"/>
              </w:rPr>
              <w:t>的</w:t>
            </w:r>
            <w:r>
              <w:rPr>
                <w:rFonts w:hint="eastAsia" w:ascii="仿宋" w:hAnsi="仿宋" w:eastAsia="仿宋" w:cs="仿宋"/>
                <w:color w:val="auto"/>
                <w:sz w:val="22"/>
                <w:szCs w:val="22"/>
                <w:highlight w:val="none"/>
                <w:lang w:val="en-US" w:eastAsia="zh-CN"/>
              </w:rPr>
              <w:t>科学性、全面性、可行性等进行打分：</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（1）对项目现状了解准确，对重点、难点分析透彻，应对措施科学、合理的得4-6分；</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（2）对项目现状了解比较准确，重点、难点分析比较透彻，应对措施比较科学、合理的得2-4分；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en-US" w:eastAsia="zh-CN"/>
              </w:rPr>
              <w:t>（3）对项目现状了解不够准确，重点、难点分析不够透彻，工作应对措施不够科学、合理的得0-2分。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4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w:t>
            </w:r>
          </w:p>
        </w:tc>
        <w:tc>
          <w:tcPr>
            <w:tcW w:w="1363" w:type="dxa"/>
            <w:vMerge w:val="restart"/>
            <w:tcBorders>
              <w:tl2br w:val="nil"/>
              <w:tr2bl w:val="nil"/>
            </w:tcBorders>
            <w:noWrap w:val="0"/>
            <w:vAlign w:val="center"/>
          </w:tcPr>
          <w:p>
            <w:pPr>
              <w:keepNext w:val="0"/>
              <w:keepLines w:val="0"/>
              <w:pageBreakBefore w:val="0"/>
              <w:tabs>
                <w:tab w:val="left" w:pos="426"/>
              </w:tabs>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项目整体服务方案</w:t>
            </w:r>
          </w:p>
          <w:p>
            <w:pPr>
              <w:keepNext w:val="0"/>
              <w:keepLines w:val="0"/>
              <w:pageBreakBefore w:val="0"/>
              <w:tabs>
                <w:tab w:val="left" w:pos="426"/>
              </w:tabs>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22分</w:t>
            </w: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根据投标人提供针对本项目完整的整体服务方案、人员调度计划、值班轮休计划、与服务单位的协调、配合等具体措施进行打分：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1）</w:t>
            </w:r>
            <w:r>
              <w:rPr>
                <w:rFonts w:hint="eastAsia" w:ascii="仿宋" w:hAnsi="仿宋" w:eastAsia="仿宋" w:cs="仿宋"/>
                <w:color w:val="auto"/>
                <w:kern w:val="0"/>
                <w:sz w:val="22"/>
                <w:szCs w:val="22"/>
                <w:highlight w:val="none"/>
                <w:lang w:val="zh-CN" w:eastAsia="zh-CN"/>
              </w:rPr>
              <w:t>整体服务方案（0-</w:t>
            </w:r>
            <w:r>
              <w:rPr>
                <w:rFonts w:hint="eastAsia" w:ascii="仿宋" w:hAnsi="仿宋" w:eastAsia="仿宋" w:cs="仿宋"/>
                <w:color w:val="auto"/>
                <w:kern w:val="0"/>
                <w:sz w:val="22"/>
                <w:szCs w:val="22"/>
                <w:highlight w:val="none"/>
                <w:lang w:val="en-US" w:eastAsia="zh-CN"/>
              </w:rPr>
              <w:t>3</w:t>
            </w:r>
            <w:r>
              <w:rPr>
                <w:rFonts w:hint="eastAsia" w:ascii="仿宋" w:hAnsi="仿宋" w:eastAsia="仿宋" w:cs="仿宋"/>
                <w:color w:val="auto"/>
                <w:kern w:val="0"/>
                <w:sz w:val="22"/>
                <w:szCs w:val="22"/>
                <w:highlight w:val="none"/>
                <w:lang w:val="zh-CN" w:eastAsia="zh-CN"/>
              </w:rPr>
              <w:t>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2）</w:t>
            </w:r>
            <w:r>
              <w:rPr>
                <w:rFonts w:hint="eastAsia" w:ascii="仿宋" w:hAnsi="仿宋" w:eastAsia="仿宋" w:cs="仿宋"/>
                <w:color w:val="auto"/>
                <w:kern w:val="0"/>
                <w:sz w:val="22"/>
                <w:szCs w:val="22"/>
                <w:highlight w:val="none"/>
                <w:lang w:val="zh-CN" w:eastAsia="zh-CN"/>
              </w:rPr>
              <w:t>人员调度计划（0-2分）；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3）</w:t>
            </w:r>
            <w:r>
              <w:rPr>
                <w:rFonts w:hint="eastAsia" w:ascii="仿宋" w:hAnsi="仿宋" w:eastAsia="仿宋" w:cs="仿宋"/>
                <w:color w:val="auto"/>
                <w:kern w:val="0"/>
                <w:sz w:val="22"/>
                <w:szCs w:val="22"/>
                <w:highlight w:val="none"/>
                <w:lang w:val="zh-CN" w:eastAsia="zh-CN"/>
              </w:rPr>
              <w:t>值班轮休计划（0-2分）；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4）</w:t>
            </w:r>
            <w:r>
              <w:rPr>
                <w:rFonts w:hint="eastAsia" w:ascii="仿宋" w:hAnsi="仿宋" w:eastAsia="仿宋" w:cs="仿宋"/>
                <w:color w:val="auto"/>
                <w:kern w:val="0"/>
                <w:sz w:val="22"/>
                <w:szCs w:val="22"/>
                <w:highlight w:val="none"/>
                <w:lang w:val="zh-CN" w:eastAsia="zh-CN"/>
              </w:rPr>
              <w:t>与服务单位的协调、配合情况（0-</w:t>
            </w:r>
            <w:r>
              <w:rPr>
                <w:rFonts w:hint="eastAsia" w:ascii="仿宋" w:hAnsi="仿宋" w:eastAsia="仿宋" w:cs="仿宋"/>
                <w:color w:val="auto"/>
                <w:kern w:val="0"/>
                <w:sz w:val="22"/>
                <w:szCs w:val="22"/>
                <w:highlight w:val="none"/>
                <w:lang w:val="en-US" w:eastAsia="zh-CN"/>
              </w:rPr>
              <w:t>3</w:t>
            </w:r>
            <w:r>
              <w:rPr>
                <w:rFonts w:hint="eastAsia" w:ascii="仿宋" w:hAnsi="仿宋" w:eastAsia="仿宋" w:cs="仿宋"/>
                <w:color w:val="auto"/>
                <w:kern w:val="0"/>
                <w:sz w:val="22"/>
                <w:szCs w:val="22"/>
                <w:highlight w:val="none"/>
                <w:lang w:val="zh-CN" w:eastAsia="zh-CN"/>
              </w:rPr>
              <w:t>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0"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w:t>
            </w:r>
          </w:p>
        </w:tc>
        <w:tc>
          <w:tcPr>
            <w:tcW w:w="1363" w:type="dxa"/>
            <w:vMerge w:val="continue"/>
            <w:tcBorders>
              <w:tl2br w:val="nil"/>
              <w:tr2bl w:val="nil"/>
            </w:tcBorders>
            <w:noWrap w:val="0"/>
            <w:vAlign w:val="center"/>
          </w:tcPr>
          <w:p>
            <w:pPr>
              <w:keepNext w:val="0"/>
              <w:keepLines w:val="0"/>
              <w:pageBreakBefore w:val="0"/>
              <w:tabs>
                <w:tab w:val="left" w:pos="426"/>
              </w:tabs>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根</w:t>
            </w:r>
            <w:r>
              <w:rPr>
                <w:rFonts w:hint="eastAsia" w:ascii="仿宋" w:hAnsi="仿宋" w:eastAsia="仿宋" w:cs="仿宋"/>
                <w:color w:val="auto"/>
                <w:sz w:val="22"/>
                <w:szCs w:val="22"/>
                <w:highlight w:val="none"/>
              </w:rPr>
              <w:t>据投标人提供的保安服务方案（包括但不限于岗位服务内容、保安服务标准化方案，以及操作规程、演练、演习等内容）</w:t>
            </w:r>
            <w:r>
              <w:rPr>
                <w:rFonts w:hint="eastAsia" w:ascii="仿宋" w:hAnsi="仿宋" w:eastAsia="仿宋" w:cs="仿宋"/>
                <w:color w:val="auto"/>
                <w:sz w:val="22"/>
                <w:szCs w:val="22"/>
                <w:highlight w:val="none"/>
                <w:lang w:val="en-US" w:eastAsia="zh-CN"/>
              </w:rPr>
              <w:t>进行</w:t>
            </w:r>
            <w:r>
              <w:rPr>
                <w:rFonts w:hint="eastAsia" w:ascii="仿宋" w:hAnsi="仿宋" w:eastAsia="仿宋" w:cs="仿宋"/>
                <w:color w:val="auto"/>
                <w:sz w:val="22"/>
                <w:szCs w:val="22"/>
                <w:highlight w:val="none"/>
              </w:rPr>
              <w:t>综合打分</w:t>
            </w:r>
            <w:r>
              <w:rPr>
                <w:rFonts w:hint="eastAsia" w:ascii="仿宋" w:hAnsi="仿宋" w:eastAsia="仿宋" w:cs="仿宋"/>
                <w:color w:val="auto"/>
                <w:sz w:val="22"/>
                <w:szCs w:val="22"/>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（1）保安岗位服务内容（0-2分）；</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（2）保安服务标准化方案（0-2分）；</w:t>
            </w:r>
          </w:p>
          <w:p>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sz w:val="22"/>
                <w:szCs w:val="22"/>
                <w:highlight w:val="none"/>
                <w:lang w:val="en-US" w:eastAsia="zh-CN"/>
              </w:rPr>
              <w:t>（3）保安操作规程、演练、演习（0-2分）。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910"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w:t>
            </w:r>
          </w:p>
        </w:tc>
        <w:tc>
          <w:tcPr>
            <w:tcW w:w="13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根据投标人提供的稳定员工队伍措施，人员流失控制及时补充方案的科学性、合理性进行打分：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（1）稳定员工队伍措施方案（0-3分）；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（2）人员流失控制及时补充方案（0-3分）。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99"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9</w:t>
            </w:r>
          </w:p>
        </w:tc>
        <w:tc>
          <w:tcPr>
            <w:tcW w:w="1363" w:type="dxa"/>
            <w:tcBorders>
              <w:tl2br w:val="nil"/>
              <w:tr2bl w:val="nil"/>
            </w:tcBorders>
            <w:noWrap w:val="0"/>
            <w:vAlign w:val="center"/>
          </w:tcPr>
          <w:p>
            <w:pPr>
              <w:keepNext w:val="0"/>
              <w:keepLines w:val="0"/>
              <w:pageBreakBefore w:val="0"/>
              <w:tabs>
                <w:tab w:val="left" w:pos="426"/>
              </w:tabs>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内部管理制度12分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根据投标人的各项内部管理制度（包括人员的招聘、员工岗位责任制；劳动纪律；各级各类人员奖惩制度；各项目检查、各类人员规范制度等）进行打分：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（1）人员招聘（0-2分）；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（2）员工岗位责任制（0-2分）；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（3）劳动纪律（0-2分）；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（4）各级各类人员奖惩制度（0-2分）；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（5）检查、考核制度（0-2分）；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en-US" w:eastAsia="zh-CN"/>
              </w:rPr>
              <w:t>（6）各类人员规范制度（0-2分）。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90"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10</w:t>
            </w:r>
          </w:p>
        </w:tc>
        <w:tc>
          <w:tcPr>
            <w:tcW w:w="1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kern w:val="0"/>
                <w:sz w:val="22"/>
                <w:szCs w:val="22"/>
                <w:highlight w:val="none"/>
                <w:lang w:val="en-US" w:eastAsia="zh-CN"/>
              </w:rPr>
              <w:t>服务质量保障及安全作业措施6分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根据投标人提供的服务质量保障及安全作业措施等进行打分: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（1）服务质量保障及安全作业措施科学、合理、全面，完全满足采购人需求的得4-6分；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（2）服务质量保障及安全作业措施比较科学、合理、全面，基本能够满足采购人需求的得2-4分；</w:t>
            </w:r>
          </w:p>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（3）服务质量保障及安全作业措施不够科学、合理、全面，只能部分满足采购人需求的得0-2分。</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6分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76"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11</w:t>
            </w:r>
          </w:p>
        </w:tc>
        <w:tc>
          <w:tcPr>
            <w:tcW w:w="1363"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培训方案</w:t>
            </w:r>
          </w:p>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7分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投标人的培训负责人具有企业人力资源管理师（一级）证书的得3分，（二级）证书的得2分，（三级）证书的得1分。（</w:t>
            </w:r>
            <w:r>
              <w:rPr>
                <w:rFonts w:hint="eastAsia" w:ascii="仿宋" w:hAnsi="仿宋" w:eastAsia="仿宋" w:cs="仿宋"/>
                <w:color w:val="auto"/>
                <w:sz w:val="22"/>
                <w:szCs w:val="22"/>
                <w:highlight w:val="none"/>
                <w:lang w:val="zh-CN" w:eastAsia="zh-CN"/>
              </w:rPr>
              <w:t>提供相关证书、近六个月本单位在职社保缴纳证明并加盖CA签章</w:t>
            </w:r>
            <w:r>
              <w:rPr>
                <w:rFonts w:hint="eastAsia" w:ascii="仿宋" w:hAnsi="仿宋" w:eastAsia="仿宋" w:cs="仿宋"/>
                <w:color w:val="auto"/>
                <w:kern w:val="0"/>
                <w:sz w:val="22"/>
                <w:szCs w:val="22"/>
                <w:highlight w:val="none"/>
                <w:lang w:val="en-US" w:eastAsia="zh-CN"/>
              </w:rPr>
              <w:t>）</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25"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12</w:t>
            </w:r>
          </w:p>
        </w:tc>
        <w:tc>
          <w:tcPr>
            <w:tcW w:w="13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根据投标人提供的员工培训方案及措施的科学性、合理性、全面性等进行打分。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13</w:t>
            </w:r>
          </w:p>
        </w:tc>
        <w:tc>
          <w:tcPr>
            <w:tcW w:w="1363"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default" w:ascii="仿宋" w:hAnsi="仿宋" w:eastAsia="仿宋" w:cs="仿宋"/>
                <w:b w:val="0"/>
                <w:bCs/>
                <w:color w:val="auto"/>
                <w:sz w:val="22"/>
                <w:szCs w:val="22"/>
                <w:highlight w:val="none"/>
                <w:lang w:val="en-US" w:eastAsia="zh-CN"/>
              </w:rPr>
            </w:pPr>
            <w:r>
              <w:rPr>
                <w:rFonts w:hint="eastAsia" w:ascii="仿宋" w:hAnsi="仿宋" w:eastAsia="仿宋" w:cs="仿宋"/>
                <w:b w:val="0"/>
                <w:bCs/>
                <w:color w:val="auto"/>
                <w:sz w:val="22"/>
                <w:szCs w:val="22"/>
                <w:highlight w:val="none"/>
                <w:lang w:val="en-US" w:eastAsia="zh-CN"/>
              </w:rPr>
              <w:t>突发情况应急预案及措施12分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突发事件（包括台风、暴雨、地震等灾害性天气导致的各类突发事件）时的应急预案及相应的措施。</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9"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14</w:t>
            </w:r>
          </w:p>
        </w:tc>
        <w:tc>
          <w:tcPr>
            <w:tcW w:w="136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针对防盗、防火的安全防范巡查措施。 </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42"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15</w:t>
            </w:r>
          </w:p>
        </w:tc>
        <w:tc>
          <w:tcPr>
            <w:tcW w:w="136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应对危及人员安全的突发事件的应急预案。</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9"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16</w:t>
            </w:r>
          </w:p>
        </w:tc>
        <w:tc>
          <w:tcPr>
            <w:tcW w:w="1363" w:type="dxa"/>
            <w:vMerge w:val="continue"/>
            <w:tcBorders>
              <w:tl2br w:val="nil"/>
              <w:tr2bl w:val="nil"/>
            </w:tcBorders>
            <w:noWrap w:val="0"/>
            <w:vAlign w:val="center"/>
          </w:tcPr>
          <w:p>
            <w:pPr>
              <w:jc w:val="center"/>
              <w:rPr>
                <w:rFonts w:hint="eastAsia" w:ascii="仿宋" w:hAnsi="仿宋" w:eastAsia="仿宋" w:cs="仿宋"/>
                <w:color w:val="auto"/>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应对突发性公共卫生事件的应急预案。</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17</w:t>
            </w:r>
          </w:p>
        </w:tc>
        <w:tc>
          <w:tcPr>
            <w:tcW w:w="136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应对社会纠纷、暴恐事件等类型的应急预案。</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18</w:t>
            </w:r>
          </w:p>
        </w:tc>
        <w:tc>
          <w:tcPr>
            <w:tcW w:w="1363"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sz w:val="22"/>
                <w:szCs w:val="22"/>
                <w:highlight w:val="none"/>
                <w:lang w:val="en-US" w:eastAsia="zh-CN"/>
              </w:rPr>
            </w:pP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在不影响本项目正常服务的情况下，根据投标人额外组建应急处理人员情况、装备情况及响应时间（到达现场时间）等情况进行综合打分。</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19</w:t>
            </w:r>
          </w:p>
        </w:tc>
        <w:tc>
          <w:tcPr>
            <w:tcW w:w="1363"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保险4分</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eastAsia" w:ascii="仿宋" w:hAnsi="仿宋" w:eastAsia="仿宋" w:cs="仿宋"/>
                <w:color w:val="auto"/>
                <w:kern w:val="0"/>
                <w:sz w:val="22"/>
                <w:szCs w:val="22"/>
                <w:highlight w:val="none"/>
                <w:lang w:val="en-US" w:eastAsia="zh-CN"/>
              </w:rPr>
            </w:pPr>
            <w:bookmarkStart w:id="177" w:name="_GoBack"/>
            <w:r>
              <w:rPr>
                <w:rFonts w:hint="eastAsia" w:ascii="仿宋" w:hAnsi="仿宋" w:eastAsia="仿宋" w:cs="仿宋"/>
                <w:color w:val="auto"/>
                <w:kern w:val="0"/>
                <w:sz w:val="22"/>
                <w:szCs w:val="22"/>
                <w:highlight w:val="none"/>
                <w:lang w:val="en-US" w:eastAsia="zh-CN"/>
              </w:rPr>
              <w:t>投标人承诺拟派员工人身意外保险、第三方责任保险额度满足20万元的得1分，每增加5万元得2分，最高得4分。（提供承诺书并加盖CA签章。）</w:t>
            </w:r>
            <w:bookmarkEnd w:id="177"/>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10 </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10 </w:t>
      </w:r>
    </w:p>
    <w:p>
      <w:pPr>
        <w:pStyle w:val="25"/>
        <w:snapToGrid w:val="0"/>
        <w:spacing w:line="360" w:lineRule="auto"/>
        <w:ind w:firstLine="0" w:firstLineChars="0"/>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p>
    <w:p>
      <w:pPr>
        <w:pStyle w:val="23"/>
        <w:rPr>
          <w:rFonts w:hint="eastAsia" w:ascii="仿宋" w:hAnsi="仿宋" w:eastAsia="仿宋" w:cs="仿宋"/>
          <w:b/>
          <w:color w:val="auto"/>
          <w:sz w:val="36"/>
          <w:szCs w:val="20"/>
          <w:highlight w:val="none"/>
        </w:rPr>
      </w:pPr>
    </w:p>
    <w:p>
      <w:pPr>
        <w:pStyle w:val="24"/>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3"/>
        <w:rPr>
          <w:rFonts w:hint="eastAsia" w:ascii="仿宋" w:hAnsi="仿宋" w:eastAsia="仿宋" w:cs="仿宋"/>
          <w:b/>
          <w:color w:val="auto"/>
          <w:sz w:val="36"/>
          <w:szCs w:val="20"/>
          <w:highlight w:val="none"/>
        </w:rPr>
      </w:pPr>
    </w:p>
    <w:p>
      <w:pPr>
        <w:pStyle w:val="24"/>
        <w:rPr>
          <w:rFonts w:hint="eastAsia" w:ascii="仿宋" w:hAnsi="仿宋" w:eastAsia="仿宋" w:cs="仿宋"/>
          <w:b/>
          <w:color w:val="auto"/>
          <w:sz w:val="36"/>
          <w:szCs w:val="20"/>
          <w:highlight w:val="none"/>
        </w:rPr>
      </w:pPr>
    </w:p>
    <w:p>
      <w:pPr>
        <w:pStyle w:val="24"/>
        <w:ind w:left="0" w:leftChars="0" w:firstLine="0" w:firstLineChars="0"/>
        <w:rPr>
          <w:rFonts w:hint="eastAsia" w:ascii="仿宋" w:hAnsi="仿宋" w:eastAsia="仿宋" w:cs="仿宋"/>
          <w:b/>
          <w:color w:val="auto"/>
          <w:sz w:val="36"/>
          <w:szCs w:val="20"/>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
      <w:r>
        <w:rPr>
          <w:rFonts w:hint="eastAsia" w:ascii="仿宋" w:hAnsi="仿宋" w:eastAsia="仿宋" w:cs="仿宋"/>
          <w:b/>
          <w:color w:val="auto"/>
          <w:sz w:val="36"/>
          <w:szCs w:val="20"/>
          <w:highlight w:val="none"/>
        </w:rPr>
        <w:t xml:space="preserve"> </w:t>
      </w:r>
      <w:bookmarkEnd w:id="40"/>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w:t>
      </w:r>
      <w:r>
        <w:rPr>
          <w:rFonts w:hint="eastAsia" w:ascii="仿宋" w:eastAsia="仿宋" w:cs="仿宋"/>
          <w:color w:val="auto"/>
          <w:highlight w:val="none"/>
          <w:lang w:eastAsia="zh-CN"/>
        </w:rPr>
        <w:t>资信</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eastAsia="仿宋" w:cs="仿宋"/>
          <w:color w:val="auto"/>
          <w:highlight w:val="none"/>
          <w:lang w:eastAsia="zh-CN"/>
        </w:rPr>
        <w:t>（服务）</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ind w:firstLine="3855" w:firstLineChars="1200"/>
        <w:rPr>
          <w:rFonts w:hint="eastAsia" w:ascii="仿宋" w:hAnsi="仿宋" w:eastAsia="仿宋" w:cs="仿宋"/>
          <w:b/>
          <w:bCs/>
          <w:color w:val="auto"/>
          <w:sz w:val="30"/>
          <w:szCs w:val="30"/>
          <w:lang w:val="zh-CN"/>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bCs/>
          <w:color w:val="auto"/>
          <w:sz w:val="30"/>
          <w:szCs w:val="30"/>
          <w:lang w:val="zh-CN"/>
        </w:rPr>
        <w:t>商务资信偏离表</w:t>
      </w:r>
    </w:p>
    <w:p>
      <w:pPr>
        <w:spacing w:line="360"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_GB2312" w:hAnsi="仿宋_GB2312" w:eastAsia="仿宋_GB2312" w:cs="仿宋_GB2312"/>
          <w:sz w:val="24"/>
        </w:rPr>
        <w:t>由投标人根据采购需求及招标文件要求编制</w:t>
      </w:r>
      <w:r>
        <w:rPr>
          <w:rFonts w:hint="eastAsia" w:ascii="仿宋" w:hAnsi="仿宋" w:eastAsia="仿宋" w:cs="仿宋"/>
          <w:color w:val="auto"/>
          <w:sz w:val="24"/>
          <w:szCs w:val="24"/>
        </w:rPr>
        <w:t>）</w:t>
      </w:r>
    </w:p>
    <w:tbl>
      <w:tblPr>
        <w:tblStyle w:val="62"/>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bidi="ar"/>
              </w:rPr>
              <w:t>供应商</w:t>
            </w:r>
            <w:r>
              <w:rPr>
                <w:rFonts w:hint="eastAsia" w:ascii="仿宋" w:hAnsi="仿宋" w:eastAsia="仿宋" w:cs="仿宋"/>
                <w:b/>
                <w:bCs/>
                <w:color w:val="auto"/>
                <w:sz w:val="24"/>
                <w:szCs w:val="24"/>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bl>
    <w:p>
      <w:pPr>
        <w:snapToGrid w:val="0"/>
        <w:spacing w:before="50" w:after="50" w:line="600" w:lineRule="exact"/>
        <w:rPr>
          <w:rFonts w:hint="eastAsia" w:ascii="仿宋" w:hAnsi="仿宋" w:eastAsia="仿宋" w:cs="仿宋"/>
          <w:color w:val="auto"/>
          <w:kern w:val="0"/>
          <w:sz w:val="24"/>
          <w:szCs w:val="24"/>
        </w:rPr>
      </w:pPr>
      <w:r>
        <w:rPr>
          <w:rFonts w:hint="eastAsia" w:ascii="仿宋" w:hAnsi="仿宋" w:eastAsia="仿宋" w:cs="仿宋"/>
          <w:color w:val="auto"/>
          <w:sz w:val="24"/>
          <w:szCs w:val="24"/>
          <w:lang w:bidi="ar"/>
        </w:rPr>
        <w:t xml:space="preserve">  </w:t>
      </w:r>
      <w:r>
        <w:rPr>
          <w:rFonts w:hint="eastAsia" w:ascii="仿宋" w:hAnsi="仿宋" w:eastAsia="仿宋" w:cs="仿宋"/>
          <w:color w:val="auto"/>
          <w:sz w:val="24"/>
          <w:szCs w:val="24"/>
          <w:lang w:val="en-US" w:eastAsia="zh-CN" w:bidi="ar"/>
        </w:rPr>
        <w:t xml:space="preserve">                        </w:t>
      </w:r>
      <w:r>
        <w:rPr>
          <w:rFonts w:hint="eastAsia" w:ascii="仿宋" w:hAnsi="仿宋" w:eastAsia="仿宋" w:cs="仿宋"/>
          <w:color w:val="auto"/>
          <w:kern w:val="0"/>
          <w:sz w:val="24"/>
          <w:szCs w:val="24"/>
        </w:rPr>
        <w:t xml:space="preserve">           </w:t>
      </w: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供应商名称（</w:t>
      </w:r>
      <w:r>
        <w:rPr>
          <w:rFonts w:hint="eastAsia" w:ascii="仿宋" w:hAnsi="仿宋" w:eastAsia="仿宋" w:cs="仿宋"/>
          <w:color w:val="auto"/>
          <w:kern w:val="0"/>
          <w:sz w:val="24"/>
          <w:szCs w:val="24"/>
          <w:lang w:val="zh-CN"/>
        </w:rPr>
        <w:t>电子签名</w:t>
      </w:r>
      <w:r>
        <w:rPr>
          <w:rFonts w:hint="eastAsia" w:ascii="仿宋" w:hAnsi="仿宋" w:eastAsia="仿宋" w:cs="仿宋"/>
          <w:color w:val="auto"/>
          <w:kern w:val="0"/>
          <w:sz w:val="24"/>
          <w:szCs w:val="24"/>
        </w:rPr>
        <w:t xml:space="preserve">）：                       </w:t>
      </w:r>
    </w:p>
    <w:p>
      <w:pPr>
        <w:spacing w:line="360" w:lineRule="auto"/>
        <w:rPr>
          <w:rFonts w:hint="eastAsia" w:ascii="仿宋" w:hAnsi="仿宋" w:eastAsia="仿宋" w:cs="仿宋"/>
          <w:b/>
          <w:bCs/>
          <w:color w:val="auto"/>
          <w:sz w:val="24"/>
          <w:szCs w:val="24"/>
        </w:rPr>
      </w:pP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日期：  年  月   日</w:t>
      </w:r>
    </w:p>
    <w:p>
      <w:pPr>
        <w:spacing w:line="360" w:lineRule="auto"/>
        <w:ind w:right="420"/>
        <w:rPr>
          <w:rFonts w:hint="eastAsia" w:ascii="仿宋" w:hAnsi="仿宋" w:eastAsia="仿宋" w:cs="仿宋"/>
          <w:b/>
          <w:bCs/>
          <w:color w:val="auto"/>
          <w:sz w:val="32"/>
          <w:szCs w:val="32"/>
          <w:highlight w:val="none"/>
        </w:rPr>
      </w:pPr>
    </w:p>
    <w:p>
      <w:pPr>
        <w:jc w:val="center"/>
        <w:rPr>
          <w:rFonts w:hint="eastAsia" w:ascii="仿宋" w:hAnsi="仿宋" w:eastAsia="仿宋" w:cs="仿宋"/>
          <w:b/>
          <w:color w:val="auto"/>
          <w:kern w:val="0"/>
          <w:sz w:val="32"/>
          <w:szCs w:val="32"/>
          <w:highlight w:val="none"/>
          <w:lang w:eastAsia="zh-CN"/>
        </w:rPr>
      </w:pPr>
    </w:p>
    <w:p>
      <w:pPr>
        <w:numPr>
          <w:ilvl w:val="0"/>
          <w:numId w:val="0"/>
        </w:numPr>
        <w:ind w:firstLine="2891" w:firstLineChars="900"/>
        <w:jc w:val="both"/>
        <w:rPr>
          <w:rFonts w:hint="eastAsia"/>
        </w:rPr>
      </w:pPr>
      <w:r>
        <w:rPr>
          <w:rFonts w:hint="eastAsia" w:ascii="仿宋" w:hAnsi="仿宋" w:eastAsia="仿宋" w:cs="仿宋"/>
          <w:b/>
          <w:color w:val="auto"/>
          <w:kern w:val="0"/>
          <w:sz w:val="32"/>
          <w:szCs w:val="32"/>
          <w:highlight w:val="none"/>
          <w:lang w:eastAsia="zh-CN"/>
        </w:rPr>
        <w:t>七、</w:t>
      </w:r>
      <w:r>
        <w:rPr>
          <w:rFonts w:hint="eastAsia" w:ascii="仿宋" w:hAnsi="仿宋" w:eastAsia="仿宋" w:cs="仿宋"/>
          <w:b/>
          <w:color w:val="auto"/>
          <w:kern w:val="0"/>
          <w:sz w:val="32"/>
          <w:szCs w:val="32"/>
          <w:highlight w:val="none"/>
        </w:rPr>
        <w:t>商务技术</w:t>
      </w:r>
      <w:r>
        <w:rPr>
          <w:rFonts w:hint="eastAsia" w:ascii="仿宋" w:hAnsi="仿宋" w:eastAsia="仿宋" w:cs="仿宋"/>
          <w:b/>
          <w:color w:val="auto"/>
          <w:kern w:val="0"/>
          <w:sz w:val="32"/>
          <w:szCs w:val="32"/>
          <w:highlight w:val="none"/>
          <w:lang w:eastAsia="zh-CN"/>
        </w:rPr>
        <w:t>（服务）</w:t>
      </w:r>
      <w:r>
        <w:rPr>
          <w:rFonts w:hint="eastAsia" w:ascii="仿宋" w:hAnsi="仿宋" w:eastAsia="仿宋" w:cs="仿宋"/>
          <w:b/>
          <w:color w:val="auto"/>
          <w:kern w:val="0"/>
          <w:sz w:val="32"/>
          <w:szCs w:val="32"/>
          <w:highlight w:val="none"/>
        </w:rPr>
        <w:t>偏离表</w:t>
      </w:r>
    </w:p>
    <w:tbl>
      <w:tblPr>
        <w:tblStyle w:val="63"/>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720"/>
        <w:gridCol w:w="3582"/>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68"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720"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82"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88"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68"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720" w:type="dxa"/>
          </w:tcPr>
          <w:p>
            <w:pPr>
              <w:jc w:val="center"/>
              <w:rPr>
                <w:rFonts w:hint="eastAsia" w:ascii="仿宋" w:hAnsi="仿宋" w:eastAsia="仿宋" w:cs="仿宋"/>
                <w:b/>
                <w:color w:val="auto"/>
                <w:kern w:val="0"/>
                <w:sz w:val="32"/>
                <w:szCs w:val="32"/>
                <w:highlight w:val="none"/>
              </w:rPr>
            </w:pPr>
          </w:p>
        </w:tc>
        <w:tc>
          <w:tcPr>
            <w:tcW w:w="3582" w:type="dxa"/>
          </w:tcPr>
          <w:p>
            <w:pPr>
              <w:jc w:val="center"/>
              <w:rPr>
                <w:rFonts w:hint="eastAsia" w:ascii="仿宋" w:hAnsi="仿宋" w:eastAsia="仿宋" w:cs="仿宋"/>
                <w:b/>
                <w:color w:val="auto"/>
                <w:kern w:val="0"/>
                <w:sz w:val="32"/>
                <w:szCs w:val="32"/>
                <w:highlight w:val="none"/>
              </w:rPr>
            </w:pPr>
          </w:p>
        </w:tc>
        <w:tc>
          <w:tcPr>
            <w:tcW w:w="1288"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68"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720" w:type="dxa"/>
          </w:tcPr>
          <w:p>
            <w:pPr>
              <w:jc w:val="center"/>
              <w:rPr>
                <w:rFonts w:hint="eastAsia" w:ascii="仿宋" w:hAnsi="仿宋" w:eastAsia="仿宋" w:cs="仿宋"/>
                <w:b/>
                <w:color w:val="auto"/>
                <w:kern w:val="0"/>
                <w:sz w:val="32"/>
                <w:szCs w:val="32"/>
                <w:highlight w:val="none"/>
              </w:rPr>
            </w:pPr>
          </w:p>
        </w:tc>
        <w:tc>
          <w:tcPr>
            <w:tcW w:w="3582" w:type="dxa"/>
          </w:tcPr>
          <w:p>
            <w:pPr>
              <w:jc w:val="center"/>
              <w:rPr>
                <w:rFonts w:hint="eastAsia" w:ascii="仿宋" w:hAnsi="仿宋" w:eastAsia="仿宋" w:cs="仿宋"/>
                <w:b/>
                <w:color w:val="auto"/>
                <w:kern w:val="0"/>
                <w:sz w:val="32"/>
                <w:szCs w:val="32"/>
                <w:highlight w:val="none"/>
              </w:rPr>
            </w:pPr>
          </w:p>
        </w:tc>
        <w:tc>
          <w:tcPr>
            <w:tcW w:w="1288"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68"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720" w:type="dxa"/>
          </w:tcPr>
          <w:p>
            <w:pPr>
              <w:jc w:val="center"/>
              <w:rPr>
                <w:rFonts w:hint="eastAsia" w:ascii="仿宋" w:hAnsi="仿宋" w:eastAsia="仿宋" w:cs="仿宋"/>
                <w:b/>
                <w:color w:val="auto"/>
                <w:kern w:val="0"/>
                <w:sz w:val="32"/>
                <w:szCs w:val="32"/>
                <w:highlight w:val="none"/>
              </w:rPr>
            </w:pPr>
          </w:p>
        </w:tc>
        <w:tc>
          <w:tcPr>
            <w:tcW w:w="3582" w:type="dxa"/>
          </w:tcPr>
          <w:p>
            <w:pPr>
              <w:jc w:val="center"/>
              <w:rPr>
                <w:rFonts w:hint="eastAsia" w:ascii="仿宋" w:hAnsi="仿宋" w:eastAsia="仿宋" w:cs="仿宋"/>
                <w:b/>
                <w:color w:val="auto"/>
                <w:kern w:val="0"/>
                <w:sz w:val="32"/>
                <w:szCs w:val="32"/>
                <w:highlight w:val="none"/>
              </w:rPr>
            </w:pPr>
          </w:p>
        </w:tc>
        <w:tc>
          <w:tcPr>
            <w:tcW w:w="1288"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80"/>
        <w:jc w:val="center"/>
        <w:rPr>
          <w:rFonts w:hint="eastAsia" w:ascii="仿宋" w:hAnsi="仿宋" w:eastAsia="仿宋" w:cs="仿宋"/>
          <w:b/>
          <w:bCs/>
          <w:color w:val="auto"/>
          <w:sz w:val="24"/>
          <w:highlight w:val="none"/>
        </w:rPr>
      </w:pPr>
    </w:p>
    <w:p>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九</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十一</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1787"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2031" w:type="dxa"/>
            <w:vAlign w:val="center"/>
          </w:tcPr>
          <w:p>
            <w:pPr>
              <w:snapToGrid w:val="0"/>
              <w:spacing w:line="360" w:lineRule="auto"/>
              <w:jc w:val="center"/>
              <w:rPr>
                <w:rFonts w:hint="eastAsia" w:ascii="仿宋" w:hAnsi="仿宋" w:eastAsia="仿宋" w:cs="仿宋"/>
                <w:color w:val="auto"/>
                <w:sz w:val="24"/>
                <w:highlight w:val="none"/>
              </w:rPr>
            </w:pP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c>
          <w:tcPr>
            <w:tcW w:w="1790" w:type="dxa"/>
          </w:tcPr>
          <w:p>
            <w:pPr>
              <w:spacing w:line="360" w:lineRule="auto"/>
              <w:jc w:val="center"/>
              <w:rPr>
                <w:rFonts w:hint="eastAsia" w:ascii="仿宋" w:hAnsi="仿宋" w:eastAsia="仿宋" w:cs="仿宋"/>
                <w:color w:val="auto"/>
                <w:sz w:val="24"/>
                <w:highlight w:val="none"/>
              </w:rPr>
            </w:pPr>
          </w:p>
        </w:tc>
        <w:tc>
          <w:tcPr>
            <w:tcW w:w="1790" w:type="dxa"/>
            <w:vAlign w:val="center"/>
          </w:tcPr>
          <w:p>
            <w:pPr>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2031" w:type="dxa"/>
            <w:vAlign w:val="center"/>
          </w:tcPr>
          <w:p>
            <w:pPr>
              <w:snapToGrid w:val="0"/>
              <w:spacing w:line="360" w:lineRule="auto"/>
              <w:jc w:val="center"/>
              <w:rPr>
                <w:rFonts w:hint="eastAsia" w:ascii="仿宋" w:hAnsi="仿宋" w:eastAsia="仿宋" w:cs="仿宋"/>
                <w:color w:val="auto"/>
                <w:sz w:val="24"/>
                <w:highlight w:val="none"/>
              </w:rPr>
            </w:pP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c>
          <w:tcPr>
            <w:tcW w:w="1790" w:type="dxa"/>
          </w:tcPr>
          <w:p>
            <w:pPr>
              <w:spacing w:line="360" w:lineRule="auto"/>
              <w:jc w:val="center"/>
              <w:rPr>
                <w:rFonts w:hint="eastAsia" w:ascii="仿宋" w:hAnsi="仿宋" w:eastAsia="仿宋" w:cs="仿宋"/>
                <w:color w:val="auto"/>
                <w:sz w:val="24"/>
                <w:highlight w:val="none"/>
              </w:rPr>
            </w:pPr>
          </w:p>
        </w:tc>
        <w:tc>
          <w:tcPr>
            <w:tcW w:w="1790" w:type="dxa"/>
            <w:vAlign w:val="center"/>
          </w:tcPr>
          <w:p>
            <w:pPr>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pPr>
              <w:snapToGrid w:val="0"/>
              <w:spacing w:line="360" w:lineRule="auto"/>
              <w:jc w:val="center"/>
              <w:rPr>
                <w:rFonts w:hint="eastAsia" w:ascii="仿宋" w:hAnsi="仿宋" w:eastAsia="仿宋" w:cs="仿宋"/>
                <w:color w:val="auto"/>
                <w:sz w:val="24"/>
                <w:highlight w:val="none"/>
              </w:rPr>
            </w:pP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2031" w:type="dxa"/>
            <w:vAlign w:val="center"/>
          </w:tcPr>
          <w:p>
            <w:pPr>
              <w:snapToGrid w:val="0"/>
              <w:spacing w:line="360" w:lineRule="auto"/>
              <w:jc w:val="center"/>
              <w:rPr>
                <w:rFonts w:hint="eastAsia" w:ascii="仿宋" w:hAnsi="仿宋" w:eastAsia="仿宋" w:cs="仿宋"/>
                <w:color w:val="auto"/>
                <w:sz w:val="24"/>
                <w:highlight w:val="none"/>
              </w:rPr>
            </w:pP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c>
          <w:tcPr>
            <w:tcW w:w="1790" w:type="dxa"/>
          </w:tcPr>
          <w:p>
            <w:pPr>
              <w:spacing w:line="360" w:lineRule="auto"/>
              <w:jc w:val="center"/>
              <w:rPr>
                <w:rFonts w:hint="eastAsia" w:ascii="仿宋" w:hAnsi="仿宋" w:eastAsia="仿宋" w:cs="仿宋"/>
                <w:color w:val="auto"/>
                <w:sz w:val="24"/>
                <w:highlight w:val="none"/>
              </w:rPr>
            </w:pPr>
          </w:p>
        </w:tc>
        <w:tc>
          <w:tcPr>
            <w:tcW w:w="1790" w:type="dxa"/>
            <w:vAlign w:val="center"/>
          </w:tcPr>
          <w:p>
            <w:pPr>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hint="eastAsia" w:ascii="仿宋" w:hAnsi="仿宋" w:eastAsia="仿宋" w:cs="仿宋"/>
                <w:color w:val="auto"/>
                <w:sz w:val="24"/>
                <w:highlight w:val="none"/>
              </w:rPr>
            </w:pPr>
          </w:p>
        </w:tc>
        <w:tc>
          <w:tcPr>
            <w:tcW w:w="834" w:type="dxa"/>
            <w:vAlign w:val="center"/>
          </w:tcPr>
          <w:p>
            <w:pPr>
              <w:snapToGrid w:val="0"/>
              <w:spacing w:line="360" w:lineRule="auto"/>
              <w:jc w:val="center"/>
              <w:rPr>
                <w:rFonts w:hint="eastAsia" w:ascii="仿宋" w:hAnsi="仿宋" w:eastAsia="仿宋" w:cs="仿宋"/>
                <w:color w:val="auto"/>
                <w:sz w:val="24"/>
                <w:highlight w:val="none"/>
              </w:rPr>
            </w:pP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2031" w:type="dxa"/>
            <w:vAlign w:val="center"/>
          </w:tcPr>
          <w:p>
            <w:pPr>
              <w:snapToGrid w:val="0"/>
              <w:spacing w:line="360" w:lineRule="auto"/>
              <w:jc w:val="center"/>
              <w:rPr>
                <w:rFonts w:hint="eastAsia" w:ascii="仿宋" w:hAnsi="仿宋" w:eastAsia="仿宋" w:cs="仿宋"/>
                <w:color w:val="auto"/>
                <w:sz w:val="24"/>
                <w:highlight w:val="none"/>
              </w:rPr>
            </w:pP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c>
          <w:tcPr>
            <w:tcW w:w="1790" w:type="dxa"/>
          </w:tcPr>
          <w:p>
            <w:pPr>
              <w:spacing w:line="360" w:lineRule="auto"/>
              <w:jc w:val="center"/>
              <w:rPr>
                <w:rFonts w:hint="eastAsia" w:ascii="仿宋" w:hAnsi="仿宋" w:eastAsia="仿宋" w:cs="仿宋"/>
                <w:color w:val="auto"/>
                <w:sz w:val="24"/>
                <w:highlight w:val="none"/>
              </w:rPr>
            </w:pPr>
          </w:p>
        </w:tc>
        <w:tc>
          <w:tcPr>
            <w:tcW w:w="1790" w:type="dxa"/>
            <w:vAlign w:val="center"/>
          </w:tcPr>
          <w:p>
            <w:pPr>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hint="eastAsia" w:ascii="仿宋" w:hAnsi="仿宋" w:eastAsia="仿宋" w:cs="仿宋"/>
                <w:color w:val="auto"/>
                <w:sz w:val="24"/>
                <w:highlight w:val="none"/>
              </w:rPr>
            </w:pPr>
          </w:p>
        </w:tc>
        <w:tc>
          <w:tcPr>
            <w:tcW w:w="834" w:type="dxa"/>
            <w:vAlign w:val="center"/>
          </w:tcPr>
          <w:p>
            <w:pPr>
              <w:snapToGrid w:val="0"/>
              <w:spacing w:line="360" w:lineRule="auto"/>
              <w:jc w:val="center"/>
              <w:rPr>
                <w:rFonts w:hint="eastAsia" w:ascii="仿宋" w:hAnsi="仿宋" w:eastAsia="仿宋" w:cs="仿宋"/>
                <w:color w:val="auto"/>
                <w:sz w:val="24"/>
                <w:highlight w:val="none"/>
              </w:rPr>
            </w:pP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2031" w:type="dxa"/>
            <w:vAlign w:val="center"/>
          </w:tcPr>
          <w:p>
            <w:pPr>
              <w:snapToGrid w:val="0"/>
              <w:spacing w:line="360" w:lineRule="auto"/>
              <w:jc w:val="center"/>
              <w:rPr>
                <w:rFonts w:hint="eastAsia" w:ascii="仿宋" w:hAnsi="仿宋" w:eastAsia="仿宋" w:cs="仿宋"/>
                <w:color w:val="auto"/>
                <w:sz w:val="24"/>
                <w:highlight w:val="none"/>
              </w:rPr>
            </w:pPr>
          </w:p>
        </w:tc>
        <w:tc>
          <w:tcPr>
            <w:tcW w:w="1909" w:type="dxa"/>
            <w:vAlign w:val="center"/>
          </w:tcPr>
          <w:p>
            <w:pPr>
              <w:snapToGrid w:val="0"/>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c>
          <w:tcPr>
            <w:tcW w:w="1790" w:type="dxa"/>
          </w:tcPr>
          <w:p>
            <w:pPr>
              <w:spacing w:line="360" w:lineRule="auto"/>
              <w:jc w:val="center"/>
              <w:rPr>
                <w:rFonts w:hint="eastAsia" w:ascii="仿宋" w:hAnsi="仿宋" w:eastAsia="仿宋" w:cs="仿宋"/>
                <w:color w:val="auto"/>
                <w:sz w:val="24"/>
                <w:highlight w:val="none"/>
              </w:rPr>
            </w:pPr>
          </w:p>
        </w:tc>
        <w:tc>
          <w:tcPr>
            <w:tcW w:w="1790" w:type="dxa"/>
            <w:vAlign w:val="center"/>
          </w:tcPr>
          <w:p>
            <w:pPr>
              <w:spacing w:line="360" w:lineRule="auto"/>
              <w:jc w:val="center"/>
              <w:rPr>
                <w:rFonts w:hint="eastAsia" w:ascii="仿宋" w:hAnsi="仿宋" w:eastAsia="仿宋" w:cs="仿宋"/>
                <w:color w:val="auto"/>
                <w:sz w:val="24"/>
                <w:highlight w:val="none"/>
              </w:rPr>
            </w:pPr>
          </w:p>
        </w:tc>
        <w:tc>
          <w:tcPr>
            <w:tcW w:w="1787"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pPr>
              <w:spacing w:line="360" w:lineRule="auto"/>
              <w:jc w:val="center"/>
              <w:rPr>
                <w:rFonts w:hint="eastAsia" w:ascii="仿宋" w:hAnsi="仿宋" w:eastAsia="仿宋" w:cs="仿宋"/>
                <w:color w:val="auto"/>
                <w:sz w:val="24"/>
                <w:highlight w:val="none"/>
              </w:rPr>
            </w:pPr>
          </w:p>
        </w:tc>
        <w:tc>
          <w:tcPr>
            <w:tcW w:w="1787" w:type="dxa"/>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pPr>
              <w:spacing w:line="360" w:lineRule="auto"/>
              <w:jc w:val="center"/>
              <w:rPr>
                <w:rFonts w:hint="eastAsia" w:ascii="仿宋" w:hAnsi="仿宋" w:eastAsia="仿宋" w:cs="仿宋"/>
                <w:color w:val="auto"/>
                <w:sz w:val="24"/>
                <w:highlight w:val="none"/>
              </w:rPr>
            </w:pPr>
          </w:p>
        </w:tc>
        <w:tc>
          <w:tcPr>
            <w:tcW w:w="1787" w:type="dxa"/>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8" w:name="_Hlk101131882"/>
      <w:r>
        <w:rPr>
          <w:rFonts w:hint="eastAsia" w:ascii="仿宋" w:hAnsi="仿宋" w:eastAsia="仿宋" w:cs="仿宋"/>
          <w:color w:val="auto"/>
          <w:kern w:val="0"/>
          <w:sz w:val="24"/>
          <w:highlight w:val="none"/>
          <w:u w:val="single"/>
        </w:rPr>
        <w:t>联合体成员X,……</w:t>
      </w:r>
      <w:bookmarkEnd w:id="16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1" w:name="OLE_LINK13"/>
      <w:bookmarkStart w:id="172" w:name="OLE_LINK14"/>
      <w:r>
        <w:rPr>
          <w:rFonts w:hint="eastAsia" w:ascii="仿宋" w:hAnsi="仿宋" w:eastAsia="仿宋" w:cs="仿宋"/>
          <w:b/>
          <w:color w:val="auto"/>
          <w:spacing w:val="6"/>
          <w:sz w:val="32"/>
          <w:szCs w:val="32"/>
          <w:highlight w:val="none"/>
        </w:rPr>
        <w:t>残疾人福利性单位声明函</w:t>
      </w:r>
    </w:p>
    <w:bookmarkEnd w:id="171"/>
    <w:bookmarkEnd w:id="172"/>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bookmarkStart w:id="173" w:name="_Toc91899912"/>
                          <w:bookmarkStart w:id="174" w:name="_Toc164085800"/>
                          <w:bookmarkStart w:id="175" w:name="_Toc131845147"/>
                          <w:bookmarkStart w:id="176" w:name="_Toc36110187"/>
                          <w:r>
                            <w:rPr>
                              <w:rFonts w:hint="eastAsia" w:ascii="仿宋_GB2312" w:eastAsia="仿宋_GB2312"/>
                              <w:kern w:val="0"/>
                              <w:szCs w:val="21"/>
                              <w:lang w:val="en-US" w:eastAsia="zh-CN"/>
                            </w:rPr>
                            <w:t>85</w:t>
                          </w:r>
                          <w:r>
                            <w:rPr>
                              <w:rFonts w:hint="eastAsia" w:ascii="仿宋_GB2312" w:eastAsia="仿宋_GB2312"/>
                              <w:kern w:val="0"/>
                              <w:szCs w:val="21"/>
                            </w:rPr>
                            <w:t xml:space="preserve"> 页</w:t>
                          </w:r>
                          <w:bookmarkEnd w:id="173"/>
                          <w:bookmarkEnd w:id="174"/>
                          <w:bookmarkEnd w:id="175"/>
                          <w:bookmarkEnd w:id="17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bookmarkStart w:id="173" w:name="_Toc91899912"/>
                    <w:bookmarkStart w:id="174" w:name="_Toc164085800"/>
                    <w:bookmarkStart w:id="175" w:name="_Toc131845147"/>
                    <w:bookmarkStart w:id="176" w:name="_Toc36110187"/>
                    <w:r>
                      <w:rPr>
                        <w:rFonts w:hint="eastAsia" w:ascii="仿宋_GB2312" w:eastAsia="仿宋_GB2312"/>
                        <w:kern w:val="0"/>
                        <w:szCs w:val="21"/>
                        <w:lang w:val="en-US" w:eastAsia="zh-CN"/>
                      </w:rPr>
                      <w:t>85</w:t>
                    </w:r>
                    <w:r>
                      <w:rPr>
                        <w:rFonts w:hint="eastAsia" w:ascii="仿宋_GB2312" w:eastAsia="仿宋_GB2312"/>
                        <w:kern w:val="0"/>
                        <w:szCs w:val="21"/>
                      </w:rPr>
                      <w:t xml:space="preserve"> 页</w:t>
                    </w:r>
                    <w:bookmarkEnd w:id="173"/>
                    <w:bookmarkEnd w:id="174"/>
                    <w:bookmarkEnd w:id="175"/>
                    <w:bookmarkEnd w:id="17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85</w:t>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85</w:t>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85</w:t>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85</w:t>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85</w:t>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85</w:t>
                    </w:r>
                    <w:r>
                      <w:rPr>
                        <w:rFonts w:hint="eastAsia" w:ascii="仿宋_GB2312" w:eastAsia="仿宋_GB2312"/>
                        <w:kern w:val="0"/>
                      </w:rPr>
                      <w:t>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lang w:val="en-US" w:eastAsia="zh-CN"/>
                            </w:rPr>
                            <w:t>85</w:t>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lang w:val="en-US" w:eastAsia="zh-CN"/>
                      </w:rPr>
                      <w:t>85</w:t>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rFonts w:ascii="仿宋_GB2312" w:eastAsia="仿宋_GB2312"/>
        <w:b w:val="0"/>
        <w:i/>
        <w:sz w:val="18"/>
        <w:u w:val="single"/>
        <w:lang w:val="en-US"/>
      </w:rPr>
    </w:pPr>
    <w:r>
      <w:t></w:t>
    </w:r>
    <w:r>
      <w:rPr>
        <w:rFonts w:hint="eastAsia" w:ascii="仿宋" w:hAnsi="仿宋" w:eastAsia="仿宋" w:cs="仿宋"/>
        <w:lang w:val="en-US" w:eastAsia="zh-CN"/>
      </w:rPr>
      <w:t xml:space="preserve"> </w:t>
    </w:r>
  </w:p>
  <w:p>
    <w:pPr>
      <w:pStyle w:val="41"/>
      <w:pBdr>
        <w:bottom w:val="none" w:color="auto" w:sz="0" w:space="0"/>
      </w:pBdr>
      <w:tabs>
        <w:tab w:val="clear" w:pos="4153"/>
        <w:tab w:val="clear" w:pos="8306"/>
      </w:tabs>
      <w:jc w:val="both"/>
    </w:pP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rFonts w:ascii="仿宋_GB2312" w:eastAsia="仿宋_GB2312"/>
        <w:b w:val="0"/>
        <w:i/>
        <w:sz w:val="18"/>
        <w:u w:val="single"/>
        <w:lang w:val="en-US"/>
      </w:rPr>
    </w:pPr>
    <w:r>
      <w:t></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rFonts w:ascii="仿宋_GB2312" w:eastAsia="仿宋_GB2312"/>
        <w:b w:val="0"/>
        <w:i/>
        <w:sz w:val="18"/>
        <w:u w:val="single"/>
        <w:lang w:val="en-US"/>
      </w:rPr>
    </w:pPr>
    <w:r>
      <w:t></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default" w:ascii="仿宋_GB2312" w:eastAsia="仿宋_GB2312"/>
        <w:b/>
        <w:i/>
        <w:u w:val="single"/>
        <w:lang w:val="en-US"/>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政府采购2025-04</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default" w:ascii="仿宋_GB2312" w:eastAsia="仿宋"/>
        <w:b w:val="0"/>
        <w:i/>
        <w:sz w:val="18"/>
        <w:u w:val="single"/>
        <w:lang w:val="en-US" w:eastAsia="zh-CN"/>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政府采购2025-04</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default"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政府采购2025-04</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政府采购</w:t>
    </w:r>
    <w:r>
      <w:rPr>
        <w:rFonts w:hint="eastAsia" w:ascii="仿宋" w:hAnsi="仿宋" w:eastAsia="仿宋" w:cs="仿宋"/>
        <w:lang w:val="en-US" w:eastAsia="zh-CN"/>
      </w:rPr>
      <w:t>2025-04</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622B00"/>
    <w:rsid w:val="035BEF8B"/>
    <w:rsid w:val="041A1360"/>
    <w:rsid w:val="0CF777DA"/>
    <w:rsid w:val="0F096B8F"/>
    <w:rsid w:val="0F63063F"/>
    <w:rsid w:val="1636031F"/>
    <w:rsid w:val="18D539AF"/>
    <w:rsid w:val="18E60774"/>
    <w:rsid w:val="1C07135A"/>
    <w:rsid w:val="1D2F1C3B"/>
    <w:rsid w:val="1FBFFEB0"/>
    <w:rsid w:val="21EA7341"/>
    <w:rsid w:val="220B243C"/>
    <w:rsid w:val="245B090D"/>
    <w:rsid w:val="26EF01C1"/>
    <w:rsid w:val="275DFFED"/>
    <w:rsid w:val="279A679A"/>
    <w:rsid w:val="2EBE20F6"/>
    <w:rsid w:val="2F0C0A43"/>
    <w:rsid w:val="30CD01D9"/>
    <w:rsid w:val="31D43038"/>
    <w:rsid w:val="326F4556"/>
    <w:rsid w:val="3346486F"/>
    <w:rsid w:val="382F0A82"/>
    <w:rsid w:val="3E6DF6DC"/>
    <w:rsid w:val="3FCFDA4A"/>
    <w:rsid w:val="40D61CCD"/>
    <w:rsid w:val="427E60E8"/>
    <w:rsid w:val="42A6287B"/>
    <w:rsid w:val="4D132412"/>
    <w:rsid w:val="4F4B3D85"/>
    <w:rsid w:val="4F7B5E9F"/>
    <w:rsid w:val="4F8841AA"/>
    <w:rsid w:val="512704DA"/>
    <w:rsid w:val="51BC0EF5"/>
    <w:rsid w:val="59B6307B"/>
    <w:rsid w:val="5B73EE39"/>
    <w:rsid w:val="5CFAC9C4"/>
    <w:rsid w:val="5F561B6F"/>
    <w:rsid w:val="5F57E5CA"/>
    <w:rsid w:val="64AFCBD0"/>
    <w:rsid w:val="669C35D3"/>
    <w:rsid w:val="6AFF2A6C"/>
    <w:rsid w:val="6EBAEEF7"/>
    <w:rsid w:val="6FC37AD4"/>
    <w:rsid w:val="778CFDC4"/>
    <w:rsid w:val="77EDE09C"/>
    <w:rsid w:val="78AD1F79"/>
    <w:rsid w:val="7BC17845"/>
    <w:rsid w:val="7DC84F16"/>
    <w:rsid w:val="7DFF3A1B"/>
    <w:rsid w:val="7F2A5316"/>
    <w:rsid w:val="7F7B1BF9"/>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87</Pages>
  <Words>21333</Words>
  <Characters>22556</Characters>
  <Paragraphs>1943</Paragraphs>
  <TotalTime>26</TotalTime>
  <ScaleCrop>false</ScaleCrop>
  <LinksUpToDate>false</LinksUpToDate>
  <CharactersWithSpaces>24212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Administrator</cp:lastModifiedBy>
  <cp:lastPrinted>2022-01-01T03:06:00Z</cp:lastPrinted>
  <dcterms:modified xsi:type="dcterms:W3CDTF">2025-03-07T02:49:14Z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3FB7002BD9FE4B259EA520CD0EACCAD8_13</vt:lpwstr>
  </property>
  <property fmtid="{D5CDD505-2E9C-101B-9397-08002B2CF9AE}" pid="5" name="KSOTemplateDocerSaveRecord">
    <vt:lpwstr>eyJoZGlkIjoiYjQ5OWFkMmFlOTE5NDUzYzgwZWNhOWI3OTNjZDBlOTgiLCJ1c2VySWQiOiI0NTU3Njg5NjgifQ==</vt:lpwstr>
  </property>
</Properties>
</file>