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D71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color w:val="auto"/>
          <w:sz w:val="52"/>
          <w:szCs w:val="52"/>
          <w:lang w:eastAsia="zh-CN"/>
        </w:rPr>
        <w:t>全市义务教育学校提升工程-城北小学改建工程环境提升校园文化建设</w:t>
      </w:r>
    </w:p>
    <w:p w14:paraId="6ECB4D55">
      <w:pPr>
        <w:keepNext w:val="0"/>
        <w:keepLines w:val="0"/>
        <w:pageBreakBefore w:val="0"/>
        <w:widowControl w:val="0"/>
        <w:kinsoku/>
        <w:wordWrap/>
        <w:overflowPunct/>
        <w:topLinePunct w:val="0"/>
        <w:autoSpaceDE/>
        <w:autoSpaceDN/>
        <w:bidi w:val="0"/>
        <w:adjustRightInd w:val="0"/>
        <w:snapToGrid/>
        <w:spacing w:before="313" w:beforeLines="100" w:line="360" w:lineRule="auto"/>
        <w:jc w:val="center"/>
        <w:textAlignment w:val="auto"/>
        <w:outlineLvl w:val="0"/>
        <w:rPr>
          <w:rFonts w:hint="eastAsia" w:ascii="仿宋" w:hAnsi="仿宋" w:eastAsia="仿宋" w:cs="仿宋"/>
          <w:b/>
          <w:color w:val="auto"/>
          <w:sz w:val="72"/>
          <w:szCs w:val="72"/>
          <w:lang w:eastAsia="zh-CN"/>
        </w:rPr>
      </w:pPr>
      <w:r>
        <w:rPr>
          <w:rFonts w:hint="eastAsia" w:ascii="仿宋" w:hAnsi="仿宋" w:eastAsia="仿宋" w:cs="仿宋"/>
          <w:b/>
          <w:bCs/>
          <w:color w:val="auto"/>
          <w:sz w:val="32"/>
          <w:szCs w:val="32"/>
          <w:lang w:val="en-US" w:eastAsia="zh-CN"/>
        </w:rPr>
        <w:t>项目</w:t>
      </w:r>
      <w:r>
        <w:rPr>
          <w:rFonts w:hint="eastAsia" w:ascii="仿宋" w:hAnsi="仿宋" w:eastAsia="仿宋" w:cs="仿宋"/>
          <w:b/>
          <w:bCs/>
          <w:color w:val="auto"/>
          <w:sz w:val="32"/>
          <w:szCs w:val="32"/>
        </w:rPr>
        <w:t>编号：</w:t>
      </w:r>
      <w:r>
        <w:rPr>
          <w:rFonts w:hint="eastAsia" w:ascii="仿宋" w:hAnsi="仿宋" w:eastAsia="仿宋" w:cs="仿宋"/>
          <w:b/>
          <w:bCs/>
          <w:color w:val="auto"/>
          <w:sz w:val="32"/>
          <w:szCs w:val="32"/>
          <w:lang w:eastAsia="zh-CN"/>
        </w:rPr>
        <w:t>SXPZ-F20240724CKY</w:t>
      </w:r>
    </w:p>
    <w:p w14:paraId="095C5E70">
      <w:pPr>
        <w:keepNext w:val="0"/>
        <w:keepLines w:val="0"/>
        <w:pageBreakBefore w:val="0"/>
        <w:widowControl w:val="0"/>
        <w:kinsoku/>
        <w:wordWrap/>
        <w:overflowPunct/>
        <w:topLinePunct w:val="0"/>
        <w:autoSpaceDE/>
        <w:autoSpaceDN/>
        <w:bidi w:val="0"/>
        <w:adjustRightInd w:val="0"/>
        <w:snapToGrid/>
        <w:spacing w:before="625" w:beforeLines="200" w:line="240" w:lineRule="auto"/>
        <w:jc w:val="center"/>
        <w:textAlignment w:val="auto"/>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竞</w:t>
      </w:r>
    </w:p>
    <w:p w14:paraId="22CB02B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争</w:t>
      </w:r>
    </w:p>
    <w:p w14:paraId="4A22805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性</w:t>
      </w:r>
    </w:p>
    <w:p w14:paraId="75BD612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磋</w:t>
      </w:r>
    </w:p>
    <w:p w14:paraId="4576126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商</w:t>
      </w:r>
    </w:p>
    <w:p w14:paraId="797BD7F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文</w:t>
      </w:r>
    </w:p>
    <w:p w14:paraId="3347343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件</w:t>
      </w:r>
    </w:p>
    <w:p w14:paraId="02443449">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（电子交易）</w:t>
      </w:r>
    </w:p>
    <w:p w14:paraId="023FA6F9">
      <w:pPr>
        <w:pStyle w:val="16"/>
        <w:rPr>
          <w:rFonts w:hint="eastAsia" w:ascii="仿宋" w:hAnsi="仿宋" w:eastAsia="仿宋" w:cs="仿宋"/>
          <w:color w:val="auto"/>
        </w:rPr>
      </w:pPr>
    </w:p>
    <w:tbl>
      <w:tblPr>
        <w:tblStyle w:val="62"/>
        <w:tblW w:w="7801" w:type="dxa"/>
        <w:jc w:val="center"/>
        <w:tblLayout w:type="fixed"/>
        <w:tblCellMar>
          <w:top w:w="0" w:type="dxa"/>
          <w:left w:w="108" w:type="dxa"/>
          <w:bottom w:w="0" w:type="dxa"/>
          <w:right w:w="108" w:type="dxa"/>
        </w:tblCellMar>
      </w:tblPr>
      <w:tblGrid>
        <w:gridCol w:w="2356"/>
        <w:gridCol w:w="5445"/>
      </w:tblGrid>
      <w:tr w14:paraId="68B2744D">
        <w:tblPrEx>
          <w:tblCellMar>
            <w:top w:w="0" w:type="dxa"/>
            <w:left w:w="108" w:type="dxa"/>
            <w:bottom w:w="0" w:type="dxa"/>
            <w:right w:w="108" w:type="dxa"/>
          </w:tblCellMar>
        </w:tblPrEx>
        <w:trPr>
          <w:trHeight w:val="454" w:hRule="atLeast"/>
          <w:jc w:val="center"/>
        </w:trPr>
        <w:tc>
          <w:tcPr>
            <w:tcW w:w="2356" w:type="dxa"/>
            <w:vAlign w:val="center"/>
          </w:tcPr>
          <w:p w14:paraId="136B3E09">
            <w:pPr>
              <w:spacing w:after="100" w:afterAutospacing="1" w:line="360" w:lineRule="auto"/>
              <w:jc w:val="left"/>
              <w:rPr>
                <w:rFonts w:hint="eastAsia" w:ascii="仿宋" w:hAnsi="仿宋" w:eastAsia="仿宋" w:cs="仿宋"/>
                <w:color w:val="auto"/>
                <w:sz w:val="28"/>
                <w:szCs w:val="28"/>
              </w:rPr>
            </w:pPr>
            <w:r>
              <w:rPr>
                <w:rFonts w:hint="eastAsia" w:ascii="仿宋" w:hAnsi="仿宋" w:eastAsia="仿宋" w:cs="仿宋"/>
                <w:color w:val="auto"/>
                <w:spacing w:val="105"/>
                <w:kern w:val="0"/>
                <w:sz w:val="28"/>
                <w:szCs w:val="28"/>
                <w:fitText w:val="2240" w:id="827001518"/>
              </w:rPr>
              <w:t>采购单位</w:t>
            </w:r>
            <w:r>
              <w:rPr>
                <w:rFonts w:hint="eastAsia" w:ascii="仿宋" w:hAnsi="仿宋" w:eastAsia="仿宋" w:cs="仿宋"/>
                <w:color w:val="auto"/>
                <w:spacing w:val="0"/>
                <w:kern w:val="0"/>
                <w:sz w:val="28"/>
                <w:szCs w:val="28"/>
                <w:fitText w:val="2240" w:id="827001518"/>
              </w:rPr>
              <w:t>：</w:t>
            </w:r>
          </w:p>
        </w:tc>
        <w:tc>
          <w:tcPr>
            <w:tcW w:w="5445" w:type="dxa"/>
            <w:vAlign w:val="center"/>
          </w:tcPr>
          <w:p w14:paraId="0FE70FB7">
            <w:pPr>
              <w:spacing w:line="360" w:lineRule="auto"/>
              <w:outlineLvl w:val="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嵊州市城北小学</w:t>
            </w:r>
          </w:p>
        </w:tc>
      </w:tr>
      <w:tr w14:paraId="19B03229">
        <w:tblPrEx>
          <w:tblCellMar>
            <w:top w:w="0" w:type="dxa"/>
            <w:left w:w="108" w:type="dxa"/>
            <w:bottom w:w="0" w:type="dxa"/>
            <w:right w:w="108" w:type="dxa"/>
          </w:tblCellMar>
        </w:tblPrEx>
        <w:trPr>
          <w:trHeight w:val="454" w:hRule="atLeast"/>
          <w:jc w:val="center"/>
        </w:trPr>
        <w:tc>
          <w:tcPr>
            <w:tcW w:w="2356" w:type="dxa"/>
            <w:vAlign w:val="center"/>
          </w:tcPr>
          <w:p w14:paraId="2B840290">
            <w:pPr>
              <w:spacing w:after="100" w:afterAutospacing="1" w:line="360" w:lineRule="auto"/>
              <w:jc w:val="left"/>
              <w:rPr>
                <w:rFonts w:hint="eastAsia" w:ascii="仿宋" w:hAnsi="仿宋" w:eastAsia="仿宋" w:cs="仿宋"/>
                <w:color w:val="auto"/>
                <w:sz w:val="28"/>
                <w:szCs w:val="28"/>
              </w:rPr>
            </w:pPr>
            <w:r>
              <w:rPr>
                <w:rFonts w:hint="eastAsia" w:ascii="仿宋" w:hAnsi="仿宋" w:eastAsia="仿宋" w:cs="仿宋"/>
                <w:color w:val="auto"/>
                <w:kern w:val="0"/>
                <w:sz w:val="28"/>
                <w:szCs w:val="28"/>
              </w:rPr>
              <w:t>采购代理机构</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sz w:val="28"/>
                <w:szCs w:val="28"/>
              </w:rPr>
              <w:t>：</w:t>
            </w:r>
          </w:p>
        </w:tc>
        <w:tc>
          <w:tcPr>
            <w:tcW w:w="5445" w:type="dxa"/>
            <w:vAlign w:val="center"/>
          </w:tcPr>
          <w:p w14:paraId="1EE44DEB">
            <w:pPr>
              <w:spacing w:after="100" w:afterAutospacing="1"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绍兴平准招标代理有限公司</w:t>
            </w:r>
          </w:p>
        </w:tc>
      </w:tr>
      <w:tr w14:paraId="61AA5BFE">
        <w:tblPrEx>
          <w:tblCellMar>
            <w:top w:w="0" w:type="dxa"/>
            <w:left w:w="108" w:type="dxa"/>
            <w:bottom w:w="0" w:type="dxa"/>
            <w:right w:w="108" w:type="dxa"/>
          </w:tblCellMar>
        </w:tblPrEx>
        <w:trPr>
          <w:trHeight w:val="454" w:hRule="atLeast"/>
          <w:jc w:val="center"/>
        </w:trPr>
        <w:tc>
          <w:tcPr>
            <w:tcW w:w="7801" w:type="dxa"/>
            <w:gridSpan w:val="2"/>
            <w:vAlign w:val="center"/>
          </w:tcPr>
          <w:p w14:paraId="46DE735E">
            <w:pPr>
              <w:spacing w:after="100" w:afterAutospacing="1"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二〇二</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八</w:t>
            </w:r>
            <w:r>
              <w:rPr>
                <w:rFonts w:hint="eastAsia" w:ascii="仿宋" w:hAnsi="仿宋" w:eastAsia="仿宋" w:cs="仿宋"/>
                <w:color w:val="auto"/>
                <w:sz w:val="28"/>
                <w:szCs w:val="28"/>
              </w:rPr>
              <w:t>月</w:t>
            </w:r>
          </w:p>
        </w:tc>
      </w:tr>
    </w:tbl>
    <w:p w14:paraId="27D48CF4">
      <w:pPr>
        <w:tabs>
          <w:tab w:val="left" w:pos="2268"/>
        </w:tabs>
        <w:spacing w:line="360" w:lineRule="auto"/>
        <w:jc w:val="center"/>
        <w:rPr>
          <w:rFonts w:hint="eastAsia" w:ascii="仿宋" w:hAnsi="仿宋" w:eastAsia="仿宋" w:cs="仿宋"/>
          <w:color w:val="auto"/>
          <w:sz w:val="24"/>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docGrid w:linePitch="312" w:charSpace="0"/>
        </w:sectPr>
      </w:pPr>
    </w:p>
    <w:p w14:paraId="429706AE">
      <w:pPr>
        <w:spacing w:line="360" w:lineRule="auto"/>
        <w:jc w:val="center"/>
        <w:rPr>
          <w:rFonts w:hint="eastAsia" w:ascii="仿宋" w:hAnsi="仿宋" w:eastAsia="仿宋" w:cs="仿宋"/>
          <w:color w:val="auto"/>
          <w:sz w:val="32"/>
          <w:szCs w:val="32"/>
        </w:rPr>
      </w:pPr>
      <w:r>
        <w:rPr>
          <w:rFonts w:hint="eastAsia" w:ascii="仿宋" w:hAnsi="仿宋" w:eastAsia="仿宋" w:cs="仿宋"/>
          <w:b/>
          <w:color w:val="auto"/>
          <w:sz w:val="48"/>
          <w:szCs w:val="48"/>
        </w:rPr>
        <w:t>目  录</w:t>
      </w:r>
    </w:p>
    <w:p w14:paraId="2857719E">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1807" w:firstLineChars="500"/>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第一部分     磋商公告</w:t>
      </w:r>
    </w:p>
    <w:p w14:paraId="2FC5185B">
      <w:pPr>
        <w:spacing w:line="360" w:lineRule="auto"/>
        <w:ind w:firstLine="1807" w:firstLineChars="500"/>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第二部分     供应商须知</w:t>
      </w:r>
    </w:p>
    <w:p w14:paraId="14739CD4">
      <w:pPr>
        <w:spacing w:line="360" w:lineRule="auto"/>
        <w:ind w:firstLine="1807" w:firstLineChars="500"/>
        <w:rPr>
          <w:rFonts w:hint="eastAsia" w:ascii="仿宋" w:hAnsi="仿宋" w:eastAsia="仿宋" w:cs="仿宋"/>
          <w:b/>
          <w:bCs/>
          <w:color w:val="auto"/>
          <w:sz w:val="36"/>
          <w:szCs w:val="36"/>
        </w:rPr>
      </w:pPr>
      <w:r>
        <w:rPr>
          <w:rFonts w:hint="eastAsia" w:ascii="仿宋" w:hAnsi="仿宋" w:eastAsia="仿宋" w:cs="仿宋"/>
          <w:b/>
          <w:bCs/>
          <w:color w:val="auto"/>
          <w:sz w:val="36"/>
          <w:szCs w:val="36"/>
        </w:rPr>
        <w:t>第三部分     采购需求</w:t>
      </w:r>
    </w:p>
    <w:p w14:paraId="30D6DDD7">
      <w:pPr>
        <w:spacing w:line="360" w:lineRule="auto"/>
        <w:ind w:firstLine="1807" w:firstLineChars="500"/>
        <w:rPr>
          <w:rFonts w:hint="eastAsia" w:ascii="仿宋" w:hAnsi="仿宋" w:eastAsia="仿宋" w:cs="仿宋"/>
          <w:b/>
          <w:bCs/>
          <w:color w:val="auto"/>
          <w:sz w:val="36"/>
          <w:szCs w:val="36"/>
        </w:rPr>
      </w:pPr>
      <w:r>
        <w:rPr>
          <w:rFonts w:hint="eastAsia" w:ascii="仿宋" w:hAnsi="仿宋" w:eastAsia="仿宋" w:cs="仿宋"/>
          <w:b/>
          <w:bCs/>
          <w:color w:val="auto"/>
          <w:sz w:val="36"/>
          <w:szCs w:val="36"/>
        </w:rPr>
        <w:t>第四部分     评审方法及标准</w:t>
      </w:r>
    </w:p>
    <w:p w14:paraId="07D71393">
      <w:pPr>
        <w:spacing w:line="360" w:lineRule="auto"/>
        <w:ind w:firstLine="1807" w:firstLineChars="500"/>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第五部分     拟签订的合同文本</w:t>
      </w:r>
    </w:p>
    <w:p w14:paraId="5AC09EC8">
      <w:pPr>
        <w:spacing w:line="360" w:lineRule="auto"/>
        <w:ind w:firstLine="1807" w:firstLineChars="500"/>
        <w:rPr>
          <w:rFonts w:hint="eastAsia" w:ascii="仿宋" w:hAnsi="仿宋" w:eastAsia="仿宋" w:cs="仿宋"/>
          <w:b/>
          <w:bCs/>
          <w:color w:val="auto"/>
          <w:sz w:val="36"/>
          <w:szCs w:val="36"/>
        </w:rPr>
      </w:pPr>
      <w:r>
        <w:rPr>
          <w:rFonts w:hint="eastAsia" w:ascii="仿宋" w:hAnsi="仿宋" w:eastAsia="仿宋" w:cs="仿宋"/>
          <w:b/>
          <w:bCs/>
          <w:color w:val="auto"/>
          <w:sz w:val="36"/>
          <w:szCs w:val="36"/>
        </w:rPr>
        <w:t>第六部分     磋商响应文件及其附件格式</w:t>
      </w:r>
    </w:p>
    <w:p w14:paraId="480E6A8F">
      <w:pPr>
        <w:spacing w:line="360" w:lineRule="auto"/>
        <w:ind w:firstLine="549" w:firstLineChars="229"/>
        <w:rPr>
          <w:rFonts w:hint="eastAsia" w:ascii="仿宋" w:hAnsi="仿宋" w:eastAsia="仿宋" w:cs="仿宋"/>
          <w:color w:val="auto"/>
          <w:sz w:val="24"/>
        </w:rPr>
      </w:pPr>
      <w:bookmarkStart w:id="0" w:name="_Hlt91233176"/>
      <w:bookmarkEnd w:id="0"/>
      <w:bookmarkStart w:id="1" w:name="_Toc91899869"/>
    </w:p>
    <w:p w14:paraId="5F9E3389">
      <w:pPr>
        <w:spacing w:line="360" w:lineRule="auto"/>
        <w:ind w:firstLine="549" w:firstLineChars="229"/>
        <w:rPr>
          <w:rFonts w:hint="eastAsia" w:ascii="仿宋" w:hAnsi="仿宋" w:eastAsia="仿宋" w:cs="仿宋"/>
          <w:color w:val="auto"/>
          <w:sz w:val="24"/>
        </w:rPr>
      </w:pPr>
    </w:p>
    <w:p w14:paraId="25176F70">
      <w:pPr>
        <w:spacing w:line="360" w:lineRule="auto"/>
        <w:ind w:firstLine="549" w:firstLineChars="229"/>
        <w:rPr>
          <w:rFonts w:hint="eastAsia" w:ascii="仿宋" w:hAnsi="仿宋" w:eastAsia="仿宋" w:cs="仿宋"/>
          <w:color w:val="auto"/>
          <w:sz w:val="24"/>
        </w:rPr>
      </w:pPr>
    </w:p>
    <w:p w14:paraId="5890E220">
      <w:pPr>
        <w:spacing w:line="360" w:lineRule="auto"/>
        <w:ind w:firstLine="549" w:firstLineChars="229"/>
        <w:rPr>
          <w:rFonts w:hint="eastAsia" w:ascii="仿宋" w:hAnsi="仿宋" w:eastAsia="仿宋" w:cs="仿宋"/>
          <w:color w:val="auto"/>
          <w:sz w:val="24"/>
        </w:rPr>
      </w:pPr>
    </w:p>
    <w:p w14:paraId="261EB142">
      <w:pPr>
        <w:spacing w:line="360" w:lineRule="auto"/>
        <w:ind w:firstLine="549" w:firstLineChars="229"/>
        <w:rPr>
          <w:rFonts w:hint="eastAsia" w:ascii="仿宋" w:hAnsi="仿宋" w:eastAsia="仿宋" w:cs="仿宋"/>
          <w:color w:val="auto"/>
          <w:sz w:val="24"/>
        </w:rPr>
      </w:pPr>
    </w:p>
    <w:p w14:paraId="498CCA84">
      <w:pPr>
        <w:spacing w:line="360" w:lineRule="auto"/>
        <w:ind w:firstLine="549" w:firstLineChars="229"/>
        <w:rPr>
          <w:rFonts w:hint="eastAsia" w:ascii="仿宋" w:hAnsi="仿宋" w:eastAsia="仿宋" w:cs="仿宋"/>
          <w:color w:val="auto"/>
          <w:sz w:val="24"/>
        </w:rPr>
      </w:pPr>
    </w:p>
    <w:p w14:paraId="4FF8DB08">
      <w:pPr>
        <w:spacing w:line="360" w:lineRule="auto"/>
        <w:ind w:firstLine="549" w:firstLineChars="229"/>
        <w:rPr>
          <w:rFonts w:hint="eastAsia" w:ascii="仿宋" w:hAnsi="仿宋" w:eastAsia="仿宋" w:cs="仿宋"/>
          <w:color w:val="auto"/>
          <w:sz w:val="24"/>
        </w:rPr>
      </w:pPr>
    </w:p>
    <w:p w14:paraId="63BF0BE1">
      <w:pPr>
        <w:spacing w:line="360" w:lineRule="auto"/>
        <w:ind w:firstLine="549" w:firstLineChars="229"/>
        <w:rPr>
          <w:rFonts w:hint="eastAsia" w:ascii="仿宋" w:hAnsi="仿宋" w:eastAsia="仿宋" w:cs="仿宋"/>
          <w:color w:val="auto"/>
          <w:sz w:val="24"/>
        </w:rPr>
      </w:pPr>
    </w:p>
    <w:p w14:paraId="379942B1">
      <w:pPr>
        <w:spacing w:line="360" w:lineRule="auto"/>
        <w:ind w:firstLine="549" w:firstLineChars="229"/>
        <w:rPr>
          <w:rFonts w:hint="eastAsia" w:ascii="仿宋" w:hAnsi="仿宋" w:eastAsia="仿宋" w:cs="仿宋"/>
          <w:color w:val="auto"/>
          <w:sz w:val="24"/>
        </w:rPr>
      </w:pPr>
    </w:p>
    <w:p w14:paraId="3D237219">
      <w:pPr>
        <w:spacing w:line="360" w:lineRule="auto"/>
        <w:ind w:firstLine="549" w:firstLineChars="229"/>
        <w:rPr>
          <w:rFonts w:hint="eastAsia" w:ascii="仿宋" w:hAnsi="仿宋" w:eastAsia="仿宋" w:cs="仿宋"/>
          <w:color w:val="auto"/>
          <w:sz w:val="24"/>
        </w:rPr>
      </w:pPr>
    </w:p>
    <w:p w14:paraId="778B908D">
      <w:pPr>
        <w:spacing w:line="360" w:lineRule="auto"/>
        <w:ind w:firstLine="549" w:firstLineChars="229"/>
        <w:rPr>
          <w:rFonts w:hint="eastAsia" w:ascii="仿宋" w:hAnsi="仿宋" w:eastAsia="仿宋" w:cs="仿宋"/>
          <w:color w:val="auto"/>
          <w:sz w:val="24"/>
        </w:rPr>
      </w:pPr>
    </w:p>
    <w:bookmarkEnd w:id="1"/>
    <w:p w14:paraId="291041AC">
      <w:pPr>
        <w:adjustRightInd/>
        <w:spacing w:line="360" w:lineRule="auto"/>
        <w:jc w:val="center"/>
        <w:outlineLvl w:val="0"/>
        <w:rPr>
          <w:rFonts w:hint="eastAsia" w:ascii="仿宋" w:hAnsi="仿宋" w:eastAsia="仿宋" w:cs="仿宋"/>
          <w:b/>
          <w:color w:val="auto"/>
          <w:sz w:val="36"/>
          <w:szCs w:val="20"/>
        </w:rPr>
        <w:sectPr>
          <w:footerReference r:id="rId7" w:type="default"/>
          <w:pgSz w:w="11906" w:h="16838"/>
          <w:pgMar w:top="1814" w:right="1474" w:bottom="1814" w:left="1474" w:header="851" w:footer="992" w:gutter="0"/>
          <w:pgNumType w:start="1"/>
          <w:cols w:space="720" w:num="1"/>
          <w:docGrid w:linePitch="312" w:charSpace="0"/>
        </w:sectPr>
      </w:pPr>
      <w:bookmarkStart w:id="2" w:name="_Hlt74707423"/>
      <w:bookmarkEnd w:id="2"/>
      <w:bookmarkStart w:id="3" w:name="_Hlt74729822"/>
      <w:bookmarkEnd w:id="3"/>
      <w:bookmarkStart w:id="4" w:name="_Hlt74728647"/>
      <w:bookmarkEnd w:id="4"/>
      <w:bookmarkStart w:id="5" w:name="_Hlt74649545"/>
      <w:bookmarkEnd w:id="5"/>
      <w:bookmarkStart w:id="6" w:name="第二部分"/>
      <w:bookmarkStart w:id="7" w:name="_Toc91899870"/>
      <w:bookmarkStart w:id="8" w:name="_Toc91899871"/>
    </w:p>
    <w:p w14:paraId="2BE287B7">
      <w:pPr>
        <w:adjustRightInd/>
        <w:spacing w:line="336" w:lineRule="auto"/>
        <w:jc w:val="center"/>
        <w:outlineLvl w:val="0"/>
        <w:rPr>
          <w:rFonts w:hint="eastAsia" w:ascii="仿宋" w:hAnsi="仿宋" w:eastAsia="仿宋" w:cs="仿宋"/>
          <w:color w:val="auto"/>
          <w:sz w:val="24"/>
        </w:rPr>
      </w:pPr>
      <w:r>
        <w:rPr>
          <w:rFonts w:hint="eastAsia" w:ascii="仿宋" w:hAnsi="仿宋" w:eastAsia="仿宋" w:cs="仿宋"/>
          <w:b/>
          <w:color w:val="auto"/>
          <w:sz w:val="36"/>
          <w:szCs w:val="20"/>
        </w:rPr>
        <w:t>第一部分  磋商公告</w:t>
      </w:r>
    </w:p>
    <w:p w14:paraId="00C93E35">
      <w:pPr>
        <w:pBdr>
          <w:top w:val="single" w:color="auto" w:sz="4" w:space="1"/>
          <w:left w:val="single" w:color="auto" w:sz="4" w:space="4"/>
          <w:bottom w:val="single" w:color="auto" w:sz="4" w:space="1"/>
          <w:right w:val="single" w:color="auto" w:sz="4" w:space="4"/>
        </w:pBd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06CE1916">
      <w:pPr>
        <w:pBdr>
          <w:top w:val="single" w:color="auto" w:sz="4" w:space="1"/>
          <w:left w:val="single" w:color="auto" w:sz="4" w:space="4"/>
          <w:bottom w:val="single" w:color="auto" w:sz="4" w:space="1"/>
          <w:right w:val="single" w:color="auto" w:sz="4" w:space="4"/>
        </w:pBdr>
        <w:spacing w:line="336"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全市义务教育学校提升工程-城北小学改建工程环境提升校园文化建设</w:t>
      </w:r>
      <w:r>
        <w:rPr>
          <w:rFonts w:hint="eastAsia" w:ascii="仿宋" w:hAnsi="仿宋" w:eastAsia="仿宋" w:cs="仿宋"/>
          <w:color w:val="auto"/>
          <w:sz w:val="24"/>
        </w:rPr>
        <w:t>的潜在供应商应在</w:t>
      </w:r>
      <w:r>
        <w:rPr>
          <w:rFonts w:hint="eastAsia" w:ascii="仿宋" w:hAnsi="仿宋" w:eastAsia="仿宋" w:cs="仿宋"/>
          <w:color w:val="auto"/>
          <w:sz w:val="24"/>
          <w:u w:val="single"/>
        </w:rPr>
        <w:t>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Style w:val="70"/>
          <w:rFonts w:hint="eastAsia" w:ascii="仿宋" w:hAnsi="仿宋" w:eastAsia="仿宋" w:cs="仿宋"/>
          <w:color w:val="auto"/>
          <w:sz w:val="24"/>
          <w:u w:val="single"/>
        </w:rPr>
        <w:t>https://www.zcygov.cn/</w:t>
      </w:r>
      <w:r>
        <w:rPr>
          <w:rStyle w:val="70"/>
          <w:rFonts w:hint="eastAsia" w:ascii="仿宋" w:hAnsi="仿宋" w:eastAsia="仿宋" w:cs="仿宋"/>
          <w:color w:val="auto"/>
          <w:sz w:val="24"/>
          <w:u w:val="single"/>
        </w:rPr>
        <w:fldChar w:fldCharType="end"/>
      </w:r>
      <w:r>
        <w:rPr>
          <w:rFonts w:hint="eastAsia" w:ascii="仿宋" w:hAnsi="仿宋" w:eastAsia="仿宋" w:cs="仿宋"/>
          <w:color w:val="auto"/>
          <w:sz w:val="24"/>
          <w:u w:val="single"/>
        </w:rPr>
        <w:t>）</w:t>
      </w:r>
      <w:r>
        <w:rPr>
          <w:rFonts w:hint="eastAsia" w:ascii="仿宋" w:hAnsi="仿宋" w:eastAsia="仿宋" w:cs="仿宋"/>
          <w:color w:val="auto"/>
          <w:sz w:val="24"/>
        </w:rPr>
        <w:t>获取采购文件，并于</w:t>
      </w:r>
      <w:r>
        <w:rPr>
          <w:rFonts w:hint="eastAsia" w:ascii="仿宋" w:hAnsi="仿宋" w:eastAsia="仿宋" w:cs="仿宋"/>
          <w:color w:val="auto"/>
          <w:sz w:val="24"/>
          <w:u w:val="single"/>
          <w:lang w:eastAsia="zh-CN"/>
        </w:rPr>
        <w:t>2024年8月12日09点00分00秒</w:t>
      </w:r>
      <w:r>
        <w:rPr>
          <w:rFonts w:hint="eastAsia" w:ascii="仿宋" w:hAnsi="仿宋" w:eastAsia="仿宋" w:cs="仿宋"/>
          <w:bCs/>
          <w:color w:val="auto"/>
          <w:sz w:val="24"/>
        </w:rPr>
        <w:t>（北京时间）前提交响应文件</w:t>
      </w:r>
      <w:r>
        <w:rPr>
          <w:rFonts w:hint="eastAsia" w:ascii="仿宋" w:hAnsi="仿宋" w:eastAsia="仿宋" w:cs="仿宋"/>
          <w:color w:val="auto"/>
          <w:sz w:val="24"/>
        </w:rPr>
        <w:t>。</w:t>
      </w:r>
    </w:p>
    <w:p w14:paraId="1DB13AD5">
      <w:pPr>
        <w:pStyle w:val="4"/>
        <w:pageBreakBefore w:val="0"/>
        <w:widowControl w:val="0"/>
        <w:numPr>
          <w:ilvl w:val="0"/>
          <w:numId w:val="0"/>
        </w:numPr>
        <w:kinsoku/>
        <w:wordWrap/>
        <w:overflowPunct/>
        <w:topLinePunct w:val="0"/>
        <w:autoSpaceDE/>
        <w:autoSpaceDN/>
        <w:bidi w:val="0"/>
        <w:spacing w:line="360" w:lineRule="auto"/>
        <w:textAlignment w:val="auto"/>
        <w:rPr>
          <w:rFonts w:hint="eastAsia" w:ascii="仿宋" w:hAnsi="仿宋" w:eastAsia="仿宋" w:cs="仿宋"/>
          <w:color w:val="auto"/>
          <w:sz w:val="24"/>
          <w:szCs w:val="24"/>
        </w:rPr>
      </w:pPr>
      <w:bookmarkStart w:id="9" w:name="_Toc35393798"/>
      <w:bookmarkStart w:id="10" w:name="_Toc28359089"/>
      <w:bookmarkStart w:id="11" w:name="_Toc35393629"/>
      <w:bookmarkStart w:id="12" w:name="_Toc28359012"/>
      <w:r>
        <w:rPr>
          <w:rFonts w:hint="eastAsia" w:ascii="仿宋" w:hAnsi="仿宋" w:eastAsia="仿宋" w:cs="仿宋"/>
          <w:color w:val="auto"/>
          <w:sz w:val="24"/>
          <w:szCs w:val="24"/>
        </w:rPr>
        <w:t>一、项目基本情况</w:t>
      </w:r>
      <w:bookmarkEnd w:id="9"/>
      <w:bookmarkEnd w:id="10"/>
      <w:bookmarkEnd w:id="11"/>
      <w:bookmarkEnd w:id="12"/>
    </w:p>
    <w:p w14:paraId="7C96587D">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项目编号：</w:t>
      </w:r>
      <w:r>
        <w:rPr>
          <w:rFonts w:hint="eastAsia" w:ascii="仿宋" w:hAnsi="仿宋" w:eastAsia="仿宋" w:cs="仿宋"/>
          <w:b w:val="0"/>
          <w:bCs/>
          <w:color w:val="auto"/>
          <w:sz w:val="24"/>
          <w:lang w:eastAsia="zh-CN"/>
        </w:rPr>
        <w:t>SXPZ-F20240724CKY</w:t>
      </w:r>
    </w:p>
    <w:p w14:paraId="20B8B985">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u w:val="single"/>
          <w:lang w:eastAsia="zh-CN"/>
        </w:rPr>
      </w:pPr>
      <w:r>
        <w:rPr>
          <w:rFonts w:hint="eastAsia" w:ascii="仿宋" w:hAnsi="仿宋" w:eastAsia="仿宋" w:cs="仿宋"/>
          <w:b w:val="0"/>
          <w:bCs/>
          <w:color w:val="auto"/>
          <w:sz w:val="24"/>
        </w:rPr>
        <w:t>项目名称：</w:t>
      </w:r>
      <w:r>
        <w:rPr>
          <w:rFonts w:hint="eastAsia" w:ascii="仿宋" w:hAnsi="仿宋" w:eastAsia="仿宋" w:cs="仿宋"/>
          <w:b w:val="0"/>
          <w:bCs/>
          <w:color w:val="auto"/>
          <w:sz w:val="24"/>
          <w:lang w:eastAsia="zh-CN"/>
        </w:rPr>
        <w:t>全市义务教育学校提升工程-城北小学改建工程环境提升校园文化建设</w:t>
      </w:r>
    </w:p>
    <w:p w14:paraId="7B6030F3">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采购方式：竞争性磋商</w:t>
      </w:r>
    </w:p>
    <w:p w14:paraId="5332ECE4">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预算金额（元）：</w:t>
      </w:r>
      <w:r>
        <w:rPr>
          <w:rFonts w:hint="eastAsia" w:ascii="仿宋" w:hAnsi="仿宋" w:eastAsia="仿宋" w:cs="仿宋"/>
          <w:b w:val="0"/>
          <w:bCs/>
          <w:color w:val="auto"/>
          <w:sz w:val="24"/>
          <w:lang w:val="en-US" w:eastAsia="zh-CN"/>
        </w:rPr>
        <w:t>816135.00</w:t>
      </w:r>
    </w:p>
    <w:p w14:paraId="71C0D183">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最高限价（元）：</w:t>
      </w:r>
      <w:r>
        <w:rPr>
          <w:rFonts w:hint="eastAsia" w:ascii="仿宋" w:hAnsi="仿宋" w:eastAsia="仿宋" w:cs="仿宋"/>
          <w:b w:val="0"/>
          <w:bCs/>
          <w:color w:val="auto"/>
          <w:sz w:val="24"/>
          <w:lang w:val="en-US" w:eastAsia="zh-CN"/>
        </w:rPr>
        <w:t>816135.00</w:t>
      </w:r>
    </w:p>
    <w:p w14:paraId="193BBF29">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 w:val="0"/>
          <w:bCs/>
          <w:color w:val="auto"/>
          <w:sz w:val="24"/>
        </w:rPr>
        <w:t>采购需求：</w:t>
      </w:r>
    </w:p>
    <w:p w14:paraId="16A31475">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rPr>
      </w:pPr>
    </w:p>
    <w:p w14:paraId="10F19F9A">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标项名称：</w:t>
      </w:r>
      <w:r>
        <w:rPr>
          <w:rFonts w:hint="eastAsia" w:ascii="仿宋" w:hAnsi="仿宋" w:eastAsia="仿宋" w:cs="仿宋"/>
          <w:bCs/>
          <w:color w:val="auto"/>
          <w:sz w:val="24"/>
          <w:lang w:eastAsia="zh-CN"/>
        </w:rPr>
        <w:t>全市义务教育学校提升工程-城北小学改建工程环境提升校园文化建设</w:t>
      </w:r>
    </w:p>
    <w:p w14:paraId="51675548">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rPr>
        <w:t>数量：</w:t>
      </w:r>
      <w:r>
        <w:rPr>
          <w:rFonts w:hint="eastAsia" w:ascii="仿宋" w:hAnsi="仿宋" w:eastAsia="仿宋" w:cs="仿宋"/>
          <w:bCs/>
          <w:color w:val="auto"/>
          <w:sz w:val="24"/>
          <w:lang w:val="en-US" w:eastAsia="zh-CN"/>
        </w:rPr>
        <w:t>1</w:t>
      </w:r>
    </w:p>
    <w:p w14:paraId="32B1126A">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rPr>
        <w:t>预算金额</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元</w:t>
      </w:r>
      <w:r>
        <w:rPr>
          <w:rFonts w:hint="eastAsia" w:ascii="仿宋" w:hAnsi="仿宋" w:eastAsia="仿宋" w:cs="仿宋"/>
          <w:bCs/>
          <w:color w:val="auto"/>
          <w:sz w:val="24"/>
          <w:lang w:eastAsia="zh-CN"/>
        </w:rPr>
        <w:t>）</w:t>
      </w:r>
      <w:r>
        <w:rPr>
          <w:rFonts w:hint="eastAsia" w:ascii="仿宋" w:hAnsi="仿宋" w:eastAsia="仿宋" w:cs="仿宋"/>
          <w:bCs/>
          <w:color w:val="auto"/>
          <w:sz w:val="24"/>
        </w:rPr>
        <w:t>：</w:t>
      </w:r>
      <w:r>
        <w:rPr>
          <w:rFonts w:hint="eastAsia" w:ascii="仿宋" w:hAnsi="仿宋" w:eastAsia="仿宋" w:cs="仿宋"/>
          <w:b w:val="0"/>
          <w:bCs/>
          <w:color w:val="auto"/>
          <w:sz w:val="24"/>
          <w:lang w:val="en-US" w:eastAsia="zh-CN"/>
        </w:rPr>
        <w:t>816135.00</w:t>
      </w:r>
    </w:p>
    <w:p w14:paraId="5BF9EE8C">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rPr>
      </w:pPr>
      <w:r>
        <w:rPr>
          <w:rFonts w:hint="eastAsia" w:ascii="仿宋" w:hAnsi="仿宋" w:eastAsia="仿宋" w:cs="仿宋"/>
          <w:bCs/>
          <w:color w:val="auto"/>
          <w:sz w:val="24"/>
        </w:rPr>
        <w:t>简要规格描述：</w:t>
      </w:r>
      <w:r>
        <w:rPr>
          <w:rFonts w:hint="eastAsia" w:ascii="仿宋" w:hAnsi="仿宋" w:eastAsia="仿宋" w:cs="仿宋"/>
          <w:b w:val="0"/>
          <w:bCs/>
          <w:color w:val="auto"/>
          <w:sz w:val="24"/>
        </w:rPr>
        <w:t>详见磋商文件。</w:t>
      </w:r>
    </w:p>
    <w:p w14:paraId="37B1A095">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备注：</w:t>
      </w:r>
    </w:p>
    <w:p w14:paraId="25D5AC2A">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rPr>
      </w:pPr>
    </w:p>
    <w:p w14:paraId="4CF6A04A">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u w:val="single"/>
        </w:rPr>
      </w:pPr>
      <w:r>
        <w:rPr>
          <w:rFonts w:hint="eastAsia" w:ascii="仿宋" w:hAnsi="仿宋" w:eastAsia="仿宋" w:cs="仿宋"/>
          <w:b w:val="0"/>
          <w:bCs/>
          <w:color w:val="auto"/>
          <w:sz w:val="24"/>
        </w:rPr>
        <w:t>合同履行期限：详见磋商文件</w:t>
      </w:r>
    </w:p>
    <w:p w14:paraId="43437566">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rPr>
      </w:pPr>
      <w:r>
        <w:rPr>
          <w:rFonts w:hint="eastAsia" w:ascii="仿宋" w:hAnsi="仿宋" w:eastAsia="仿宋" w:cs="仿宋"/>
          <w:b w:val="0"/>
          <w:bCs/>
          <w:color w:val="auto"/>
          <w:sz w:val="24"/>
        </w:rPr>
        <w:t>本项目接受联合体磋商：</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是，</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否</w:t>
      </w:r>
      <w:r>
        <w:rPr>
          <w:rFonts w:hint="eastAsia" w:ascii="仿宋" w:hAnsi="仿宋" w:eastAsia="仿宋" w:cs="仿宋"/>
          <w:b w:val="0"/>
          <w:bCs/>
          <w:color w:val="auto"/>
          <w:sz w:val="24"/>
        </w:rPr>
        <w:t>。</w:t>
      </w:r>
    </w:p>
    <w:p w14:paraId="1FE4051C">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color w:val="auto"/>
          <w:sz w:val="24"/>
        </w:rPr>
      </w:pPr>
      <w:bookmarkStart w:id="13" w:name="_Toc35393799"/>
      <w:bookmarkStart w:id="14" w:name="_Toc28359013"/>
      <w:bookmarkStart w:id="15" w:name="_Toc35393630"/>
      <w:bookmarkStart w:id="16" w:name="_Toc28359090"/>
      <w:r>
        <w:rPr>
          <w:rFonts w:hint="eastAsia" w:ascii="仿宋" w:hAnsi="仿宋" w:eastAsia="仿宋" w:cs="仿宋"/>
          <w:b/>
          <w:bCs/>
          <w:color w:val="auto"/>
          <w:sz w:val="24"/>
        </w:rPr>
        <w:t>二、申请人的资格要求：</w:t>
      </w:r>
      <w:bookmarkEnd w:id="13"/>
      <w:bookmarkEnd w:id="14"/>
      <w:bookmarkEnd w:id="15"/>
      <w:bookmarkEnd w:id="16"/>
    </w:p>
    <w:p w14:paraId="2F1D5FEE">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A4876EA">
      <w:pPr>
        <w:pageBreakBefore w:val="0"/>
        <w:widowControl w:val="0"/>
        <w:kinsoku/>
        <w:wordWrap/>
        <w:overflowPunct/>
        <w:topLinePunct w:val="0"/>
        <w:autoSpaceDE/>
        <w:autoSpaceDN/>
        <w:bidi w:val="0"/>
        <w:spacing w:line="360" w:lineRule="auto"/>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2.以联合体形式响应的，提供联合协议(本项目不接受联合体响应或者供应商不以联合体形式响应的，则不需要提供) ；</w:t>
      </w:r>
    </w:p>
    <w:p w14:paraId="52F7BCBF">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49752168">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bCs/>
          <w:color w:val="auto"/>
          <w:sz w:val="24"/>
          <w:lang w:eastAsia="zh-CN"/>
        </w:rPr>
        <w:t>□</w:t>
      </w:r>
      <w:r>
        <w:rPr>
          <w:rFonts w:hint="eastAsia" w:ascii="仿宋" w:hAnsi="仿宋" w:eastAsia="仿宋" w:cs="仿宋"/>
          <w:color w:val="auto"/>
          <w:sz w:val="24"/>
        </w:rPr>
        <w:t>无；</w:t>
      </w:r>
    </w:p>
    <w:p w14:paraId="4D455C1B">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bCs/>
          <w:color w:val="auto"/>
          <w:sz w:val="24"/>
          <w:lang w:eastAsia="zh-CN"/>
        </w:rPr>
        <w:t>☑</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19855BD3">
      <w:pPr>
        <w:pageBreakBefore w:val="0"/>
        <w:widowControl w:val="0"/>
        <w:kinsoku/>
        <w:wordWrap/>
        <w:overflowPunct/>
        <w:topLinePunct w:val="0"/>
        <w:autoSpaceDE/>
        <w:autoSpaceDN/>
        <w:bidi w:val="0"/>
        <w:spacing w:line="360" w:lineRule="auto"/>
        <w:ind w:firstLine="897" w:firstLineChars="374"/>
        <w:textAlignment w:val="auto"/>
        <w:rPr>
          <w:rFonts w:hint="eastAsia" w:ascii="仿宋" w:hAnsi="仿宋" w:eastAsia="仿宋" w:cs="仿宋"/>
          <w:color w:val="auto"/>
          <w:sz w:val="24"/>
        </w:rPr>
      </w:pPr>
      <w:r>
        <w:rPr>
          <w:rFonts w:hint="eastAsia" w:ascii="仿宋" w:hAnsi="仿宋" w:eastAsia="仿宋" w:cs="仿宋"/>
          <w:bCs/>
          <w:color w:val="auto"/>
          <w:sz w:val="24"/>
          <w:lang w:eastAsia="zh-CN"/>
        </w:rPr>
        <w:t>☑</w:t>
      </w:r>
      <w:r>
        <w:rPr>
          <w:rFonts w:hint="eastAsia" w:ascii="仿宋" w:hAnsi="仿宋" w:eastAsia="仿宋" w:cs="仿宋"/>
          <w:color w:val="auto"/>
          <w:sz w:val="24"/>
        </w:rPr>
        <w:t>服务全部由符合政策要求的中小企业承接，提供中小企业声明函；</w:t>
      </w:r>
    </w:p>
    <w:p w14:paraId="6F4CD066">
      <w:pPr>
        <w:pageBreakBefore w:val="0"/>
        <w:widowControl w:val="0"/>
        <w:kinsoku/>
        <w:wordWrap/>
        <w:overflowPunct/>
        <w:topLinePunct w:val="0"/>
        <w:autoSpaceDE/>
        <w:autoSpaceDN/>
        <w:bidi w:val="0"/>
        <w:spacing w:line="360" w:lineRule="auto"/>
        <w:ind w:firstLine="897" w:firstLineChars="374"/>
        <w:textAlignment w:val="auto"/>
        <w:rPr>
          <w:rFonts w:hint="eastAsia" w:ascii="仿宋" w:hAnsi="仿宋" w:eastAsia="仿宋" w:cs="仿宋"/>
          <w:color w:val="auto"/>
          <w:sz w:val="24"/>
        </w:rPr>
      </w:pPr>
      <w:r>
        <w:rPr>
          <w:rFonts w:hint="eastAsia" w:ascii="仿宋" w:hAnsi="仿宋" w:eastAsia="仿宋" w:cs="仿宋"/>
          <w:bCs/>
          <w:color w:val="auto"/>
          <w:sz w:val="24"/>
          <w:lang w:eastAsia="zh-CN"/>
        </w:rPr>
        <w:t>☑</w:t>
      </w:r>
      <w:r>
        <w:rPr>
          <w:rFonts w:hint="eastAsia" w:ascii="仿宋" w:hAnsi="仿宋" w:eastAsia="仿宋" w:cs="仿宋"/>
          <w:color w:val="auto"/>
          <w:sz w:val="24"/>
        </w:rPr>
        <w:t>服务全部由符合政策要求的小微企业承接，提供中小企业声明函；</w:t>
      </w:r>
    </w:p>
    <w:p w14:paraId="2D988DDC">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4.本项目的特定资格要求：</w:t>
      </w:r>
      <w:r>
        <w:rPr>
          <w:rFonts w:hint="eastAsia" w:ascii="仿宋" w:hAnsi="仿宋" w:eastAsia="仿宋" w:cs="仿宋"/>
          <w:b w:val="0"/>
          <w:bCs w:val="0"/>
          <w:color w:val="auto"/>
          <w:sz w:val="24"/>
          <w:highlight w:val="none"/>
          <w:u w:val="none"/>
          <w:lang w:val="en-US" w:eastAsia="zh-CN"/>
        </w:rPr>
        <w:t>无</w:t>
      </w:r>
      <w:r>
        <w:rPr>
          <w:rFonts w:hint="eastAsia" w:ascii="仿宋" w:hAnsi="仿宋" w:eastAsia="仿宋" w:cs="仿宋"/>
          <w:color w:val="auto"/>
          <w:sz w:val="24"/>
          <w:highlight w:val="none"/>
        </w:rPr>
        <w:t>；</w:t>
      </w:r>
    </w:p>
    <w:p w14:paraId="101EBD15">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19A4153">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color w:val="auto"/>
          <w:sz w:val="24"/>
        </w:rPr>
      </w:pPr>
      <w:bookmarkStart w:id="17" w:name="_Toc28359091"/>
      <w:bookmarkStart w:id="18" w:name="_Toc35393800"/>
      <w:bookmarkStart w:id="19" w:name="_Toc35393631"/>
      <w:bookmarkStart w:id="20" w:name="_Toc28359014"/>
      <w:r>
        <w:rPr>
          <w:rFonts w:hint="eastAsia" w:ascii="仿宋" w:hAnsi="仿宋" w:eastAsia="仿宋" w:cs="仿宋"/>
          <w:b/>
          <w:bCs/>
          <w:color w:val="auto"/>
          <w:sz w:val="24"/>
        </w:rPr>
        <w:t>三、获取（下载）采购文件</w:t>
      </w:r>
      <w:bookmarkEnd w:id="17"/>
      <w:bookmarkEnd w:id="18"/>
      <w:bookmarkEnd w:id="19"/>
      <w:bookmarkEnd w:id="20"/>
    </w:p>
    <w:p w14:paraId="777382B9">
      <w:pPr>
        <w:pageBreakBefore w:val="0"/>
        <w:widowControl w:val="0"/>
        <w:kinsoku/>
        <w:wordWrap/>
        <w:overflowPunct/>
        <w:topLinePunct w:val="0"/>
        <w:autoSpaceDE/>
        <w:autoSpaceDN/>
        <w:bidi w:val="0"/>
        <w:spacing w:line="360" w:lineRule="auto"/>
        <w:ind w:firstLine="540"/>
        <w:textAlignment w:val="auto"/>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7"/>
          <w:szCs w:val="27"/>
        </w:rPr>
        <w:t>/</w:t>
      </w:r>
      <w:r>
        <w:rPr>
          <w:rFonts w:hint="eastAsia" w:ascii="仿宋" w:hAnsi="仿宋" w:eastAsia="仿宋" w:cs="仿宋"/>
          <w:color w:val="auto"/>
          <w:sz w:val="24"/>
        </w:rPr>
        <w:t>至</w:t>
      </w:r>
      <w:r>
        <w:rPr>
          <w:rFonts w:hint="eastAsia" w:ascii="仿宋" w:hAnsi="仿宋" w:eastAsia="仿宋" w:cs="仿宋"/>
          <w:color w:val="auto"/>
          <w:sz w:val="24"/>
          <w:lang w:eastAsia="zh-CN"/>
        </w:rPr>
        <w:t>2024年</w:t>
      </w:r>
      <w:r>
        <w:rPr>
          <w:rFonts w:hint="eastAsia" w:ascii="仿宋" w:hAnsi="仿宋" w:eastAsia="仿宋" w:cs="仿宋"/>
          <w:color w:val="auto"/>
          <w:sz w:val="24"/>
          <w:lang w:val="en-US" w:eastAsia="zh-CN"/>
        </w:rPr>
        <w:t>8</w:t>
      </w:r>
      <w:r>
        <w:rPr>
          <w:rFonts w:hint="eastAsia" w:ascii="仿宋" w:hAnsi="仿宋" w:eastAsia="仿宋" w:cs="仿宋"/>
          <w:color w:val="auto"/>
          <w:sz w:val="24"/>
          <w:lang w:eastAsia="zh-CN"/>
        </w:rPr>
        <w:t>月</w:t>
      </w:r>
      <w:r>
        <w:rPr>
          <w:rFonts w:hint="eastAsia" w:ascii="仿宋" w:hAnsi="仿宋" w:eastAsia="仿宋" w:cs="仿宋"/>
          <w:color w:val="auto"/>
          <w:sz w:val="24"/>
          <w:lang w:val="en-US" w:eastAsia="zh-CN"/>
        </w:rPr>
        <w:t>12</w:t>
      </w:r>
      <w:r>
        <w:rPr>
          <w:rFonts w:hint="eastAsia" w:ascii="仿宋" w:hAnsi="仿宋" w:eastAsia="仿宋" w:cs="仿宋"/>
          <w:color w:val="auto"/>
          <w:sz w:val="24"/>
          <w:lang w:eastAsia="zh-CN"/>
        </w:rPr>
        <w:t>日</w:t>
      </w:r>
      <w:r>
        <w:rPr>
          <w:rFonts w:hint="eastAsia" w:ascii="仿宋" w:hAnsi="仿宋" w:eastAsia="仿宋" w:cs="仿宋"/>
          <w:color w:val="auto"/>
          <w:sz w:val="24"/>
        </w:rPr>
        <w:t>，每天上午00:00至12:00 ，下午12:00至23:59（北京时间，线上获取法定节假日均可，线下获取文件法定节假日除外）；</w:t>
      </w:r>
    </w:p>
    <w:p w14:paraId="16FE5142">
      <w:pPr>
        <w:pageBreakBefore w:val="0"/>
        <w:widowControl w:val="0"/>
        <w:kinsoku/>
        <w:wordWrap/>
        <w:overflowPunct/>
        <w:topLinePunct w:val="0"/>
        <w:autoSpaceDE/>
        <w:autoSpaceDN/>
        <w:bidi w:val="0"/>
        <w:spacing w:line="360" w:lineRule="auto"/>
        <w:ind w:firstLine="540"/>
        <w:textAlignment w:val="auto"/>
        <w:rPr>
          <w:rFonts w:hint="eastAsia" w:ascii="仿宋" w:hAnsi="仿宋" w:eastAsia="仿宋" w:cs="仿宋"/>
          <w:b w:val="0"/>
          <w:bCs/>
          <w:color w:val="auto"/>
          <w:sz w:val="28"/>
          <w:szCs w:val="28"/>
          <w:u w:val="single"/>
        </w:rPr>
      </w:pPr>
      <w:r>
        <w:rPr>
          <w:rFonts w:hint="eastAsia" w:ascii="仿宋" w:hAnsi="仿宋" w:eastAsia="仿宋" w:cs="仿宋"/>
          <w:b/>
          <w:color w:val="auto"/>
          <w:sz w:val="24"/>
        </w:rPr>
        <w:t>地点（网址）：</w:t>
      </w:r>
      <w:r>
        <w:rPr>
          <w:rFonts w:hint="eastAsia" w:ascii="仿宋" w:hAnsi="仿宋" w:eastAsia="仿宋" w:cs="仿宋"/>
          <w:b w:val="0"/>
          <w:bCs/>
          <w:color w:val="auto"/>
          <w:sz w:val="24"/>
        </w:rPr>
        <w:t>政采云平台（</w:t>
      </w:r>
      <w:r>
        <w:rPr>
          <w:rFonts w:hint="eastAsia" w:ascii="仿宋" w:hAnsi="仿宋" w:eastAsia="仿宋" w:cs="仿宋"/>
          <w:b w:val="0"/>
          <w:bCs/>
          <w:color w:val="auto"/>
        </w:rPr>
        <w:fldChar w:fldCharType="begin"/>
      </w:r>
      <w:r>
        <w:rPr>
          <w:rFonts w:hint="eastAsia" w:ascii="仿宋" w:hAnsi="仿宋" w:eastAsia="仿宋" w:cs="仿宋"/>
          <w:b w:val="0"/>
          <w:bCs/>
          <w:color w:val="auto"/>
        </w:rPr>
        <w:instrText xml:space="preserve"> HYPERLINK "https://www.zcygov.cn/" </w:instrText>
      </w:r>
      <w:r>
        <w:rPr>
          <w:rFonts w:hint="eastAsia" w:ascii="仿宋" w:hAnsi="仿宋" w:eastAsia="仿宋" w:cs="仿宋"/>
          <w:b w:val="0"/>
          <w:bCs/>
          <w:color w:val="auto"/>
        </w:rPr>
        <w:fldChar w:fldCharType="separate"/>
      </w:r>
      <w:r>
        <w:rPr>
          <w:rStyle w:val="70"/>
          <w:rFonts w:hint="eastAsia" w:ascii="仿宋" w:hAnsi="仿宋" w:eastAsia="仿宋" w:cs="仿宋"/>
          <w:b w:val="0"/>
          <w:bCs/>
          <w:color w:val="auto"/>
          <w:sz w:val="24"/>
        </w:rPr>
        <w:t>https://www.zcygov.cn/</w:t>
      </w:r>
      <w:r>
        <w:rPr>
          <w:rStyle w:val="70"/>
          <w:rFonts w:hint="eastAsia" w:ascii="仿宋" w:hAnsi="仿宋" w:eastAsia="仿宋" w:cs="仿宋"/>
          <w:b w:val="0"/>
          <w:bCs/>
          <w:color w:val="auto"/>
          <w:sz w:val="24"/>
        </w:rPr>
        <w:fldChar w:fldCharType="end"/>
      </w:r>
      <w:r>
        <w:rPr>
          <w:rFonts w:hint="eastAsia" w:ascii="仿宋" w:hAnsi="仿宋" w:eastAsia="仿宋" w:cs="仿宋"/>
          <w:b w:val="0"/>
          <w:bCs/>
          <w:color w:val="auto"/>
          <w:sz w:val="24"/>
        </w:rPr>
        <w:t>）</w:t>
      </w:r>
    </w:p>
    <w:p w14:paraId="1DB27105">
      <w:pPr>
        <w:pageBreakBefore w:val="0"/>
        <w:widowControl w:val="0"/>
        <w:kinsoku/>
        <w:wordWrap/>
        <w:overflowPunct/>
        <w:topLinePunct w:val="0"/>
        <w:autoSpaceDE/>
        <w:autoSpaceDN/>
        <w:bidi w:val="0"/>
        <w:spacing w:line="360" w:lineRule="auto"/>
        <w:ind w:firstLine="540"/>
        <w:textAlignment w:val="auto"/>
        <w:rPr>
          <w:rFonts w:hint="eastAsia" w:ascii="仿宋" w:hAnsi="仿宋" w:eastAsia="仿宋" w:cs="仿宋"/>
          <w:color w:val="auto"/>
          <w:sz w:val="24"/>
          <w:u w:val="single"/>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供应商登录政采云平台https://www.zcygov.cn/在线申请获取采购文件（进入“项目采购”应用，在获取采购文件菜单中选择项目，申请获取采购文件）。</w:t>
      </w:r>
    </w:p>
    <w:p w14:paraId="4884D09F">
      <w:pPr>
        <w:pageBreakBefore w:val="0"/>
        <w:widowControl w:val="0"/>
        <w:kinsoku/>
        <w:wordWrap/>
        <w:overflowPunct/>
        <w:topLinePunct w:val="0"/>
        <w:autoSpaceDE/>
        <w:autoSpaceDN/>
        <w:bidi w:val="0"/>
        <w:spacing w:line="360" w:lineRule="auto"/>
        <w:ind w:firstLine="540"/>
        <w:textAlignment w:val="auto"/>
        <w:rPr>
          <w:rFonts w:hint="eastAsia" w:ascii="仿宋" w:hAnsi="仿宋" w:eastAsia="仿宋" w:cs="仿宋"/>
          <w:color w:val="auto"/>
          <w:sz w:val="28"/>
          <w:szCs w:val="28"/>
        </w:rPr>
      </w:pPr>
      <w:r>
        <w:rPr>
          <w:rFonts w:hint="eastAsia" w:ascii="仿宋" w:hAnsi="仿宋" w:eastAsia="仿宋" w:cs="仿宋"/>
          <w:b/>
          <w:color w:val="auto"/>
          <w:sz w:val="24"/>
        </w:rPr>
        <w:t>售价：</w:t>
      </w:r>
      <w:r>
        <w:rPr>
          <w:rFonts w:hint="eastAsia" w:ascii="仿宋" w:hAnsi="仿宋" w:eastAsia="仿宋" w:cs="仿宋"/>
          <w:color w:val="auto"/>
          <w:sz w:val="24"/>
        </w:rPr>
        <w:t>免费。</w:t>
      </w:r>
    </w:p>
    <w:p w14:paraId="3A9C5C56">
      <w:pPr>
        <w:pStyle w:val="4"/>
        <w:pageBreakBefore w:val="0"/>
        <w:widowControl w:val="0"/>
        <w:numPr>
          <w:ilvl w:val="0"/>
          <w:numId w:val="0"/>
        </w:numPr>
        <w:kinsoku/>
        <w:wordWrap/>
        <w:overflowPunct/>
        <w:topLinePunct w:val="0"/>
        <w:autoSpaceDE/>
        <w:autoSpaceDN/>
        <w:bidi w:val="0"/>
        <w:spacing w:line="360" w:lineRule="auto"/>
        <w:textAlignment w:val="auto"/>
        <w:rPr>
          <w:rFonts w:hint="eastAsia" w:ascii="仿宋" w:hAnsi="仿宋" w:eastAsia="仿宋" w:cs="仿宋"/>
          <w:color w:val="auto"/>
          <w:sz w:val="24"/>
          <w:szCs w:val="24"/>
        </w:rPr>
      </w:pPr>
      <w:bookmarkStart w:id="21" w:name="_Toc35393801"/>
      <w:bookmarkStart w:id="22" w:name="_Toc28359015"/>
      <w:bookmarkStart w:id="23" w:name="_Toc28359092"/>
      <w:bookmarkStart w:id="24" w:name="_Toc35393632"/>
      <w:r>
        <w:rPr>
          <w:rFonts w:hint="eastAsia" w:ascii="仿宋" w:hAnsi="仿宋" w:eastAsia="仿宋" w:cs="仿宋"/>
          <w:color w:val="auto"/>
          <w:sz w:val="24"/>
          <w:szCs w:val="24"/>
        </w:rPr>
        <w:t>四、响应文件提交</w:t>
      </w:r>
      <w:bookmarkEnd w:id="21"/>
      <w:bookmarkEnd w:id="22"/>
      <w:bookmarkEnd w:id="23"/>
      <w:bookmarkEnd w:id="24"/>
      <w:r>
        <w:rPr>
          <w:rFonts w:hint="eastAsia" w:ascii="仿宋" w:hAnsi="仿宋" w:eastAsia="仿宋" w:cs="仿宋"/>
          <w:color w:val="auto"/>
          <w:sz w:val="24"/>
          <w:szCs w:val="24"/>
        </w:rPr>
        <w:t>（上传）</w:t>
      </w:r>
    </w:p>
    <w:p w14:paraId="015A9543">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u w:val="single"/>
        </w:rPr>
      </w:pPr>
      <w:r>
        <w:rPr>
          <w:rFonts w:hint="eastAsia" w:ascii="仿宋" w:hAnsi="仿宋" w:eastAsia="仿宋" w:cs="仿宋"/>
          <w:color w:val="auto"/>
          <w:sz w:val="24"/>
        </w:rPr>
        <w:t>截止时间：</w:t>
      </w:r>
      <w:r>
        <w:rPr>
          <w:rFonts w:hint="eastAsia" w:ascii="仿宋" w:hAnsi="仿宋" w:eastAsia="仿宋" w:cs="仿宋"/>
          <w:color w:val="auto"/>
          <w:sz w:val="24"/>
          <w:u w:val="single"/>
          <w:lang w:eastAsia="zh-CN"/>
        </w:rPr>
        <w:t>2024年8月12日09点00分00秒</w:t>
      </w:r>
      <w:r>
        <w:rPr>
          <w:rFonts w:hint="eastAsia" w:ascii="仿宋" w:hAnsi="仿宋" w:eastAsia="仿宋" w:cs="仿宋"/>
          <w:bCs/>
          <w:color w:val="auto"/>
          <w:sz w:val="24"/>
        </w:rPr>
        <w:t>（北京时间）</w:t>
      </w:r>
    </w:p>
    <w:p w14:paraId="4C118875">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u w:val="single"/>
        </w:rPr>
      </w:pPr>
      <w:r>
        <w:rPr>
          <w:rFonts w:hint="eastAsia" w:ascii="仿宋" w:hAnsi="仿宋" w:eastAsia="仿宋" w:cs="仿宋"/>
          <w:color w:val="auto"/>
          <w:sz w:val="24"/>
        </w:rPr>
        <w:t>地点：</w:t>
      </w:r>
      <w:r>
        <w:rPr>
          <w:rFonts w:hint="eastAsia" w:ascii="仿宋" w:hAnsi="仿宋" w:eastAsia="仿宋" w:cs="仿宋"/>
          <w:b w:val="0"/>
          <w:bCs/>
          <w:color w:val="auto"/>
          <w:sz w:val="24"/>
        </w:rPr>
        <w:t>政采云平台（</w:t>
      </w:r>
      <w:r>
        <w:rPr>
          <w:rFonts w:hint="eastAsia" w:ascii="仿宋" w:hAnsi="仿宋" w:eastAsia="仿宋" w:cs="仿宋"/>
          <w:b w:val="0"/>
          <w:bCs/>
          <w:color w:val="auto"/>
        </w:rPr>
        <w:fldChar w:fldCharType="begin"/>
      </w:r>
      <w:r>
        <w:rPr>
          <w:rFonts w:hint="eastAsia" w:ascii="仿宋" w:hAnsi="仿宋" w:eastAsia="仿宋" w:cs="仿宋"/>
          <w:b w:val="0"/>
          <w:bCs/>
          <w:color w:val="auto"/>
        </w:rPr>
        <w:instrText xml:space="preserve"> HYPERLINK "https://www.zcygov.cn/" </w:instrText>
      </w:r>
      <w:r>
        <w:rPr>
          <w:rFonts w:hint="eastAsia" w:ascii="仿宋" w:hAnsi="仿宋" w:eastAsia="仿宋" w:cs="仿宋"/>
          <w:b w:val="0"/>
          <w:bCs/>
          <w:color w:val="auto"/>
        </w:rPr>
        <w:fldChar w:fldCharType="separate"/>
      </w:r>
      <w:r>
        <w:rPr>
          <w:rStyle w:val="70"/>
          <w:rFonts w:hint="eastAsia" w:ascii="仿宋" w:hAnsi="仿宋" w:eastAsia="仿宋" w:cs="仿宋"/>
          <w:b w:val="0"/>
          <w:bCs/>
          <w:color w:val="auto"/>
          <w:kern w:val="2"/>
          <w:sz w:val="24"/>
          <w:szCs w:val="24"/>
        </w:rPr>
        <w:t>https://www.zcygov.cn/</w:t>
      </w:r>
      <w:r>
        <w:rPr>
          <w:rStyle w:val="70"/>
          <w:rFonts w:hint="eastAsia" w:ascii="仿宋" w:hAnsi="仿宋" w:eastAsia="仿宋" w:cs="仿宋"/>
          <w:b w:val="0"/>
          <w:bCs/>
          <w:color w:val="auto"/>
          <w:kern w:val="2"/>
          <w:sz w:val="24"/>
          <w:szCs w:val="24"/>
        </w:rPr>
        <w:fldChar w:fldCharType="end"/>
      </w:r>
      <w:r>
        <w:rPr>
          <w:rFonts w:hint="eastAsia" w:ascii="仿宋" w:hAnsi="仿宋" w:eastAsia="仿宋" w:cs="仿宋"/>
          <w:b w:val="0"/>
          <w:bCs/>
          <w:color w:val="auto"/>
          <w:sz w:val="24"/>
        </w:rPr>
        <w:t>）。</w:t>
      </w:r>
    </w:p>
    <w:p w14:paraId="31FEFE3D">
      <w:pPr>
        <w:pStyle w:val="4"/>
        <w:pageBreakBefore w:val="0"/>
        <w:widowControl w:val="0"/>
        <w:numPr>
          <w:ilvl w:val="0"/>
          <w:numId w:val="0"/>
        </w:numPr>
        <w:kinsoku/>
        <w:wordWrap/>
        <w:overflowPunct/>
        <w:topLinePunct w:val="0"/>
        <w:autoSpaceDE/>
        <w:autoSpaceDN/>
        <w:bidi w:val="0"/>
        <w:spacing w:line="360" w:lineRule="auto"/>
        <w:textAlignment w:val="auto"/>
        <w:rPr>
          <w:rFonts w:hint="eastAsia" w:ascii="仿宋" w:hAnsi="仿宋" w:eastAsia="仿宋" w:cs="仿宋"/>
          <w:color w:val="auto"/>
          <w:sz w:val="24"/>
          <w:szCs w:val="24"/>
        </w:rPr>
      </w:pPr>
      <w:bookmarkStart w:id="25" w:name="_Toc28359016"/>
      <w:bookmarkStart w:id="26" w:name="_Toc28359093"/>
      <w:bookmarkStart w:id="27" w:name="_Toc35393802"/>
      <w:bookmarkStart w:id="28" w:name="_Toc35393633"/>
      <w:r>
        <w:rPr>
          <w:rFonts w:hint="eastAsia" w:ascii="仿宋" w:hAnsi="仿宋" w:eastAsia="仿宋" w:cs="仿宋"/>
          <w:color w:val="auto"/>
          <w:sz w:val="24"/>
          <w:szCs w:val="24"/>
        </w:rPr>
        <w:t>五、响应文件开启</w:t>
      </w:r>
      <w:bookmarkEnd w:id="25"/>
      <w:bookmarkEnd w:id="26"/>
      <w:bookmarkEnd w:id="27"/>
      <w:bookmarkEnd w:id="28"/>
    </w:p>
    <w:p w14:paraId="3FA7D4C0">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u w:val="single"/>
        </w:rPr>
      </w:pPr>
      <w:r>
        <w:rPr>
          <w:rFonts w:hint="eastAsia" w:ascii="仿宋" w:hAnsi="仿宋" w:eastAsia="仿宋" w:cs="仿宋"/>
          <w:color w:val="auto"/>
          <w:sz w:val="24"/>
        </w:rPr>
        <w:t>时间：</w:t>
      </w:r>
      <w:r>
        <w:rPr>
          <w:rFonts w:hint="eastAsia" w:ascii="仿宋" w:hAnsi="仿宋" w:eastAsia="仿宋" w:cs="仿宋"/>
          <w:color w:val="auto"/>
          <w:sz w:val="24"/>
          <w:u w:val="single"/>
          <w:lang w:eastAsia="zh-CN"/>
        </w:rPr>
        <w:t>2024年8月12日09点00分00秒</w:t>
      </w:r>
      <w:r>
        <w:rPr>
          <w:rFonts w:hint="eastAsia" w:ascii="仿宋" w:hAnsi="仿宋" w:eastAsia="仿宋" w:cs="仿宋"/>
          <w:bCs/>
          <w:color w:val="auto"/>
          <w:sz w:val="24"/>
        </w:rPr>
        <w:t>（北京时间）</w:t>
      </w:r>
    </w:p>
    <w:p w14:paraId="4523179D">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u w:val="single"/>
        </w:rPr>
      </w:pPr>
      <w:r>
        <w:rPr>
          <w:rFonts w:hint="eastAsia" w:ascii="仿宋" w:hAnsi="仿宋" w:eastAsia="仿宋" w:cs="仿宋"/>
          <w:color w:val="auto"/>
          <w:sz w:val="24"/>
        </w:rPr>
        <w:t>地点（网址）：政采云平台（https://www.zcygov.cn/）。</w:t>
      </w:r>
    </w:p>
    <w:p w14:paraId="548B2545">
      <w:pPr>
        <w:pStyle w:val="4"/>
        <w:pageBreakBefore w:val="0"/>
        <w:widowControl w:val="0"/>
        <w:numPr>
          <w:ilvl w:val="0"/>
          <w:numId w:val="0"/>
        </w:numPr>
        <w:kinsoku/>
        <w:wordWrap/>
        <w:overflowPunct/>
        <w:topLinePunct w:val="0"/>
        <w:autoSpaceDE/>
        <w:autoSpaceDN/>
        <w:bidi w:val="0"/>
        <w:spacing w:line="360" w:lineRule="auto"/>
        <w:textAlignment w:val="auto"/>
        <w:rPr>
          <w:rFonts w:hint="eastAsia" w:ascii="仿宋" w:hAnsi="仿宋" w:eastAsia="仿宋" w:cs="仿宋"/>
          <w:color w:val="auto"/>
          <w:sz w:val="24"/>
          <w:szCs w:val="24"/>
        </w:rPr>
      </w:pPr>
      <w:bookmarkStart w:id="29" w:name="_Toc35393803"/>
      <w:bookmarkStart w:id="30" w:name="_Toc35393634"/>
      <w:bookmarkStart w:id="31" w:name="_Toc28359017"/>
      <w:bookmarkStart w:id="32" w:name="_Toc28359094"/>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、公告期限</w:t>
      </w:r>
      <w:bookmarkEnd w:id="29"/>
      <w:bookmarkEnd w:id="30"/>
      <w:bookmarkEnd w:id="31"/>
      <w:bookmarkEnd w:id="32"/>
    </w:p>
    <w:p w14:paraId="7341AC38">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自本公告发布之日起3个工作日。</w:t>
      </w:r>
    </w:p>
    <w:p w14:paraId="05B81AC1">
      <w:pPr>
        <w:pStyle w:val="4"/>
        <w:pageBreakBefore w:val="0"/>
        <w:widowControl w:val="0"/>
        <w:numPr>
          <w:ilvl w:val="0"/>
          <w:numId w:val="0"/>
        </w:numPr>
        <w:kinsoku/>
        <w:wordWrap/>
        <w:overflowPunct/>
        <w:topLinePunct w:val="0"/>
        <w:autoSpaceDE/>
        <w:autoSpaceDN/>
        <w:bidi w:val="0"/>
        <w:spacing w:line="360" w:lineRule="auto"/>
        <w:textAlignment w:val="auto"/>
        <w:rPr>
          <w:rFonts w:hint="eastAsia" w:ascii="仿宋" w:hAnsi="仿宋" w:eastAsia="仿宋" w:cs="仿宋"/>
          <w:color w:val="auto"/>
          <w:sz w:val="24"/>
          <w:szCs w:val="24"/>
        </w:rPr>
      </w:pPr>
      <w:bookmarkStart w:id="33" w:name="_Toc35393804"/>
      <w:bookmarkStart w:id="34" w:name="_Toc35393635"/>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、其他补充事宜</w:t>
      </w:r>
      <w:bookmarkEnd w:id="33"/>
      <w:bookmarkEnd w:id="34"/>
    </w:p>
    <w:p w14:paraId="2C6A516C">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w:t>
      </w:r>
      <w:r>
        <w:rPr>
          <w:rFonts w:hint="eastAsia" w:ascii="仿宋" w:hAnsi="仿宋" w:eastAsia="仿宋" w:cs="仿宋"/>
          <w:color w:val="auto"/>
          <w:sz w:val="24"/>
          <w:highlight w:val="none"/>
        </w:rPr>
        <w:t>有关规定与上述文件内容不一致的，按上述文件要求执行。</w:t>
      </w:r>
    </w:p>
    <w:p w14:paraId="5173AB2F">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015357">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CB35E5">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b w:val="0"/>
          <w:bCs/>
          <w:color w:val="auto"/>
          <w:kern w:val="0"/>
          <w:sz w:val="24"/>
          <w:lang w:val="en-US" w:eastAsia="zh-CN"/>
        </w:rPr>
        <w:t>4.</w:t>
      </w:r>
      <w:r>
        <w:rPr>
          <w:rFonts w:hint="eastAsia" w:ascii="仿宋" w:hAnsi="仿宋" w:eastAsia="仿宋" w:cs="仿宋"/>
          <w:b w:val="0"/>
          <w:bCs/>
          <w:color w:val="auto"/>
          <w:kern w:val="0"/>
          <w:sz w:val="24"/>
        </w:rPr>
        <w:t>其他事项：（1）需要落实的政府采购政策：包括节约资源、保护环境、</w:t>
      </w:r>
      <w:r>
        <w:rPr>
          <w:rFonts w:hint="eastAsia" w:ascii="仿宋" w:hAnsi="仿宋" w:eastAsia="仿宋" w:cs="仿宋"/>
          <w:b w:val="0"/>
          <w:bCs/>
          <w:color w:val="auto"/>
          <w:sz w:val="24"/>
        </w:rPr>
        <w:t>支持创新、</w:t>
      </w:r>
      <w:r>
        <w:rPr>
          <w:rFonts w:hint="eastAsia" w:ascii="仿宋" w:hAnsi="仿宋" w:eastAsia="仿宋" w:cs="仿宋"/>
          <w:b w:val="0"/>
          <w:bCs/>
          <w:color w:val="auto"/>
          <w:kern w:val="0"/>
          <w:sz w:val="24"/>
        </w:rPr>
        <w:t>促进中小企业发展等，详见磋商文件。</w:t>
      </w:r>
      <w:r>
        <w:rPr>
          <w:rFonts w:hint="eastAsia" w:ascii="仿宋" w:hAnsi="仿宋" w:eastAsia="仿宋" w:cs="仿宋"/>
          <w:b w:val="0"/>
          <w:bCs/>
          <w:color w:val="auto"/>
          <w:kern w:val="0"/>
          <w:sz w:val="24"/>
          <w:szCs w:val="20"/>
        </w:rPr>
        <w:t>（2）</w:t>
      </w:r>
      <w:r>
        <w:rPr>
          <w:rFonts w:hint="eastAsia" w:ascii="仿宋" w:hAnsi="仿宋" w:eastAsia="仿宋" w:cs="仿宋"/>
          <w:b w:val="0"/>
          <w:bCs/>
          <w:color w:val="auto"/>
          <w:sz w:val="24"/>
        </w:rPr>
        <w:t>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w:t>
      </w:r>
      <w:r>
        <w:rPr>
          <w:rFonts w:hint="eastAsia" w:ascii="仿宋" w:hAnsi="仿宋" w:eastAsia="仿宋" w:cs="仿宋"/>
          <w:b w:val="0"/>
          <w:bCs/>
          <w:color w:val="auto"/>
          <w:sz w:val="24"/>
          <w:highlight w:val="none"/>
        </w:rPr>
        <w:t>8）响应文件的传输提交：供应商在提交响应文件的截止时间前将加密的响应文件上传至政府采购云平台</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9</w:t>
      </w:r>
      <w:r>
        <w:rPr>
          <w:rFonts w:hint="eastAsia" w:ascii="仿宋" w:hAnsi="仿宋" w:eastAsia="仿宋" w:cs="仿宋"/>
          <w:b w:val="0"/>
          <w:bCs/>
          <w:color w:val="auto"/>
          <w:sz w:val="24"/>
        </w:rPr>
        <w:t>）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3</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磋商文件公告期限与磋商公告的公告期限一致。</w:t>
      </w:r>
    </w:p>
    <w:p w14:paraId="29C72405">
      <w:pPr>
        <w:pStyle w:val="4"/>
        <w:pageBreakBefore w:val="0"/>
        <w:widowControl w:val="0"/>
        <w:numPr>
          <w:ilvl w:val="0"/>
          <w:numId w:val="0"/>
        </w:numPr>
        <w:kinsoku/>
        <w:wordWrap/>
        <w:overflowPunct/>
        <w:topLinePunct w:val="0"/>
        <w:autoSpaceDE/>
        <w:autoSpaceDN/>
        <w:bidi w:val="0"/>
        <w:spacing w:line="360" w:lineRule="auto"/>
        <w:textAlignment w:val="auto"/>
        <w:rPr>
          <w:rFonts w:hint="eastAsia" w:ascii="仿宋" w:hAnsi="仿宋" w:eastAsia="仿宋" w:cs="仿宋"/>
          <w:color w:val="auto"/>
          <w:sz w:val="24"/>
          <w:szCs w:val="24"/>
        </w:rPr>
      </w:pPr>
      <w:bookmarkStart w:id="35" w:name="_Toc35393805"/>
      <w:bookmarkStart w:id="36" w:name="_Toc28359095"/>
      <w:bookmarkStart w:id="37" w:name="_Toc35393636"/>
      <w:bookmarkStart w:id="38" w:name="_Toc28359018"/>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、凡对本次采购提出询问</w:t>
      </w:r>
      <w:r>
        <w:rPr>
          <w:rFonts w:hint="eastAsia" w:ascii="仿宋" w:hAnsi="仿宋" w:eastAsia="仿宋" w:cs="仿宋"/>
          <w:bCs w:val="0"/>
          <w:color w:val="auto"/>
          <w:sz w:val="24"/>
          <w:szCs w:val="24"/>
        </w:rPr>
        <w:t>、质疑、投诉</w:t>
      </w:r>
      <w:r>
        <w:rPr>
          <w:rFonts w:hint="eastAsia" w:ascii="仿宋" w:hAnsi="仿宋" w:eastAsia="仿宋" w:cs="仿宋"/>
          <w:color w:val="auto"/>
          <w:sz w:val="24"/>
          <w:szCs w:val="24"/>
        </w:rPr>
        <w:t>，请按以下方式联系</w:t>
      </w:r>
      <w:bookmarkEnd w:id="35"/>
      <w:bookmarkEnd w:id="36"/>
      <w:bookmarkEnd w:id="37"/>
      <w:bookmarkEnd w:id="38"/>
    </w:p>
    <w:p w14:paraId="3D69B2CD">
      <w:pPr>
        <w:pStyle w:val="4"/>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szCs w:val="24"/>
        </w:rPr>
      </w:pPr>
      <w:bookmarkStart w:id="39" w:name="_Toc35393637"/>
      <w:bookmarkStart w:id="40" w:name="_Toc28359019"/>
      <w:bookmarkStart w:id="41" w:name="_Toc35393806"/>
      <w:bookmarkStart w:id="42" w:name="_Toc28359096"/>
      <w:r>
        <w:rPr>
          <w:rFonts w:hint="eastAsia" w:ascii="仿宋" w:hAnsi="仿宋" w:eastAsia="仿宋" w:cs="仿宋"/>
          <w:color w:val="auto"/>
          <w:sz w:val="24"/>
          <w:szCs w:val="24"/>
        </w:rPr>
        <w:t>1.采购人信息</w:t>
      </w:r>
      <w:bookmarkEnd w:id="39"/>
      <w:bookmarkEnd w:id="40"/>
      <w:bookmarkEnd w:id="41"/>
      <w:bookmarkEnd w:id="42"/>
    </w:p>
    <w:p w14:paraId="25657283">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嵊州市城北小学</w:t>
      </w:r>
    </w:p>
    <w:p w14:paraId="03EB68A5">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lang w:eastAsia="zh-CN"/>
        </w:rPr>
        <w:t>嵊州市安平西路66号</w:t>
      </w:r>
      <w:r>
        <w:rPr>
          <w:rFonts w:hint="eastAsia" w:ascii="仿宋" w:hAnsi="仿宋" w:eastAsia="仿宋" w:cs="仿宋"/>
          <w:color w:val="auto"/>
          <w:sz w:val="24"/>
        </w:rPr>
        <w:t xml:space="preserve"> </w:t>
      </w:r>
    </w:p>
    <w:p w14:paraId="7CBE47DE">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项目联系人（询问）：蒋老师</w:t>
      </w:r>
    </w:p>
    <w:p w14:paraId="2DEFCA6A">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项目联系方式（询问）：0575-83113477</w:t>
      </w:r>
    </w:p>
    <w:p w14:paraId="0691573E">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质疑联系人：刘士苗</w:t>
      </w:r>
    </w:p>
    <w:p w14:paraId="2D6D802E">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质疑联系方式：13567506272</w:t>
      </w:r>
    </w:p>
    <w:p w14:paraId="5BE6508A">
      <w:pPr>
        <w:pStyle w:val="4"/>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rPr>
      </w:pPr>
      <w:bookmarkStart w:id="43" w:name="_Toc28359097"/>
      <w:bookmarkStart w:id="44" w:name="_Toc35393638"/>
      <w:bookmarkStart w:id="45" w:name="_Toc35393807"/>
      <w:bookmarkStart w:id="46" w:name="_Toc28359020"/>
      <w:r>
        <w:rPr>
          <w:rFonts w:hint="eastAsia" w:ascii="仿宋" w:hAnsi="仿宋" w:eastAsia="仿宋" w:cs="仿宋"/>
          <w:color w:val="auto"/>
          <w:sz w:val="24"/>
          <w:szCs w:val="24"/>
        </w:rPr>
        <w:t>2.采购代理机构信息</w:t>
      </w:r>
      <w:bookmarkEnd w:id="43"/>
      <w:bookmarkEnd w:id="44"/>
      <w:bookmarkEnd w:id="45"/>
      <w:bookmarkEnd w:id="46"/>
    </w:p>
    <w:p w14:paraId="667E1EAE">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名    称：绍兴平准招标代理有限公司           </w:t>
      </w:r>
    </w:p>
    <w:p w14:paraId="5B5BCBC9">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lang w:eastAsia="zh-CN"/>
        </w:rPr>
        <w:t>嵊州市三江街道官河南路333号商会大厦十四层1407室</w:t>
      </w:r>
      <w:r>
        <w:rPr>
          <w:rFonts w:hint="eastAsia" w:ascii="仿宋" w:hAnsi="仿宋" w:eastAsia="仿宋" w:cs="仿宋"/>
          <w:color w:val="auto"/>
          <w:sz w:val="24"/>
        </w:rPr>
        <w:t xml:space="preserve">        </w:t>
      </w:r>
    </w:p>
    <w:p w14:paraId="271DED7D">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lang w:val="en-US" w:eastAsia="zh-CN"/>
        </w:rPr>
        <w:t>陈</w:t>
      </w:r>
      <w:r>
        <w:rPr>
          <w:rFonts w:hint="eastAsia" w:ascii="仿宋" w:hAnsi="仿宋" w:eastAsia="仿宋" w:cs="仿宋"/>
          <w:color w:val="auto"/>
          <w:sz w:val="24"/>
        </w:rPr>
        <w:t>女士</w:t>
      </w:r>
    </w:p>
    <w:p w14:paraId="015970AD">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项目联系方式（询问）：0575-83176688</w:t>
      </w:r>
    </w:p>
    <w:p w14:paraId="2F20D917">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val="en-US" w:eastAsia="zh-CN"/>
        </w:rPr>
        <w:t>竺女士</w:t>
      </w:r>
    </w:p>
    <w:p w14:paraId="1D59F224">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rPr>
      </w:pPr>
      <w:r>
        <w:rPr>
          <w:rFonts w:hint="eastAsia" w:ascii="仿宋" w:hAnsi="仿宋" w:eastAsia="仿宋" w:cs="仿宋"/>
          <w:color w:val="auto"/>
          <w:sz w:val="24"/>
        </w:rPr>
        <w:t>质疑联系方式：</w:t>
      </w:r>
      <w:bookmarkStart w:id="47" w:name="_Toc35393639"/>
      <w:bookmarkStart w:id="48" w:name="_Toc28359021"/>
      <w:bookmarkStart w:id="49" w:name="_Toc28359098"/>
      <w:bookmarkStart w:id="50" w:name="_Toc35393808"/>
      <w:r>
        <w:rPr>
          <w:rFonts w:hint="eastAsia" w:ascii="仿宋" w:hAnsi="仿宋" w:eastAsia="仿宋" w:cs="仿宋"/>
          <w:color w:val="auto"/>
          <w:sz w:val="24"/>
        </w:rPr>
        <w:t>0575-83176688</w:t>
      </w:r>
    </w:p>
    <w:p w14:paraId="70E37D33">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b/>
          <w:color w:val="auto"/>
          <w:sz w:val="24"/>
        </w:rPr>
      </w:pPr>
      <w:r>
        <w:rPr>
          <w:rFonts w:hint="eastAsia" w:ascii="仿宋" w:hAnsi="仿宋" w:eastAsia="仿宋" w:cs="仿宋"/>
          <w:b/>
          <w:bCs/>
          <w:color w:val="auto"/>
          <w:sz w:val="24"/>
        </w:rPr>
        <w:t>3.</w:t>
      </w:r>
      <w:r>
        <w:rPr>
          <w:rFonts w:hint="eastAsia" w:ascii="仿宋" w:hAnsi="仿宋" w:eastAsia="仿宋" w:cs="仿宋"/>
          <w:b/>
          <w:color w:val="auto"/>
          <w:sz w:val="24"/>
        </w:rPr>
        <w:t xml:space="preserve"> 同级政府采购监督管理部门</w:t>
      </w:r>
    </w:p>
    <w:bookmarkEnd w:id="47"/>
    <w:bookmarkEnd w:id="48"/>
    <w:bookmarkEnd w:id="49"/>
    <w:bookmarkEnd w:id="50"/>
    <w:p w14:paraId="655100ED">
      <w:pPr>
        <w:keepNext w:val="0"/>
        <w:keepLines w:val="0"/>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仿宋" w:hAnsi="仿宋" w:eastAsia="仿宋" w:cs="仿宋"/>
          <w:color w:val="auto"/>
          <w:sz w:val="24"/>
          <w:highlight w:val="none"/>
          <w:lang w:eastAsia="zh-CN"/>
        </w:rPr>
      </w:pPr>
      <w:bookmarkStart w:id="51" w:name="_Toc1949"/>
      <w:r>
        <w:rPr>
          <w:rFonts w:hint="eastAsia" w:ascii="仿宋" w:hAnsi="仿宋" w:eastAsia="仿宋" w:cs="仿宋"/>
          <w:color w:val="auto"/>
          <w:sz w:val="24"/>
          <w:highlight w:val="none"/>
        </w:rPr>
        <w:t>名    称：</w:t>
      </w:r>
      <w:bookmarkEnd w:id="51"/>
      <w:r>
        <w:rPr>
          <w:rFonts w:hint="eastAsia" w:ascii="仿宋" w:hAnsi="仿宋" w:eastAsia="仿宋" w:cs="仿宋"/>
          <w:color w:val="auto"/>
          <w:sz w:val="24"/>
          <w:highlight w:val="none"/>
        </w:rPr>
        <w:t>嵊州市采购监管</w:t>
      </w:r>
    </w:p>
    <w:p w14:paraId="61FEAF58">
      <w:pPr>
        <w:keepNext w:val="0"/>
        <w:keepLines w:val="0"/>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仿宋" w:hAnsi="仿宋" w:eastAsia="仿宋" w:cs="仿宋"/>
          <w:color w:val="auto"/>
          <w:sz w:val="24"/>
          <w:highlight w:val="none"/>
        </w:rPr>
      </w:pPr>
      <w:bookmarkStart w:id="52" w:name="_Toc532321422"/>
      <w:bookmarkStart w:id="53" w:name="_Toc24900"/>
      <w:r>
        <w:rPr>
          <w:rFonts w:hint="eastAsia" w:ascii="仿宋" w:hAnsi="仿宋" w:eastAsia="仿宋" w:cs="仿宋"/>
          <w:color w:val="auto"/>
          <w:sz w:val="24"/>
          <w:highlight w:val="none"/>
        </w:rPr>
        <w:t>地    址：</w:t>
      </w:r>
      <w:bookmarkEnd w:id="52"/>
      <w:bookmarkEnd w:id="53"/>
      <w:r>
        <w:rPr>
          <w:rFonts w:hint="eastAsia" w:ascii="仿宋" w:hAnsi="仿宋" w:eastAsia="仿宋" w:cs="仿宋"/>
          <w:color w:val="auto"/>
          <w:sz w:val="24"/>
          <w:highlight w:val="none"/>
        </w:rPr>
        <w:t>浙江省绍兴市嵊州市三江街道国资综合大楼1004室</w:t>
      </w:r>
    </w:p>
    <w:p w14:paraId="7B025CA6">
      <w:pPr>
        <w:keepNext w:val="0"/>
        <w:keepLines w:val="0"/>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仿宋" w:hAnsi="仿宋" w:eastAsia="仿宋" w:cs="仿宋"/>
          <w:color w:val="auto"/>
          <w:sz w:val="24"/>
          <w:highlight w:val="none"/>
          <w:lang w:val="en-US" w:eastAsia="zh-CN"/>
        </w:rPr>
      </w:pPr>
      <w:bookmarkStart w:id="54" w:name="_Toc532321423"/>
      <w:bookmarkStart w:id="55" w:name="_Toc28058"/>
      <w:r>
        <w:rPr>
          <w:rFonts w:hint="eastAsia" w:ascii="仿宋" w:hAnsi="仿宋" w:eastAsia="仿宋" w:cs="仿宋"/>
          <w:color w:val="auto"/>
          <w:sz w:val="24"/>
          <w:highlight w:val="none"/>
        </w:rPr>
        <w:t>联</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人：</w:t>
      </w:r>
      <w:bookmarkEnd w:id="54"/>
      <w:bookmarkEnd w:id="55"/>
      <w:r>
        <w:rPr>
          <w:rFonts w:hint="eastAsia" w:ascii="仿宋" w:hAnsi="仿宋" w:eastAsia="仿宋" w:cs="仿宋"/>
          <w:color w:val="auto"/>
          <w:sz w:val="24"/>
          <w:highlight w:val="none"/>
        </w:rPr>
        <w:t>郑老师</w:t>
      </w:r>
    </w:p>
    <w:p w14:paraId="259C2C06">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rPr>
      </w:pPr>
      <w:bookmarkStart w:id="56" w:name="_Toc15403"/>
      <w:r>
        <w:rPr>
          <w:rFonts w:hint="eastAsia" w:ascii="仿宋" w:hAnsi="仿宋" w:eastAsia="仿宋" w:cs="仿宋"/>
          <w:color w:val="auto"/>
          <w:sz w:val="24"/>
          <w:highlight w:val="none"/>
        </w:rPr>
        <w:t>监督投诉电话：</w:t>
      </w:r>
      <w:bookmarkEnd w:id="56"/>
      <w:r>
        <w:rPr>
          <w:rFonts w:hint="eastAsia" w:ascii="仿宋" w:hAnsi="仿宋" w:eastAsia="仿宋" w:cs="仿宋"/>
          <w:color w:val="auto"/>
          <w:sz w:val="24"/>
          <w:highlight w:val="none"/>
        </w:rPr>
        <w:t>0575-83032507</w:t>
      </w:r>
    </w:p>
    <w:p w14:paraId="123574CE">
      <w:pPr>
        <w:spacing w:line="336" w:lineRule="auto"/>
        <w:ind w:firstLine="480" w:firstLineChars="200"/>
        <w:rPr>
          <w:rFonts w:hint="eastAsia" w:ascii="仿宋" w:hAnsi="仿宋" w:eastAsia="仿宋" w:cs="仿宋"/>
          <w:color w:val="auto"/>
          <w:sz w:val="24"/>
        </w:rPr>
      </w:pPr>
    </w:p>
    <w:p w14:paraId="29ED9AD3">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        </w:t>
      </w:r>
    </w:p>
    <w:p w14:paraId="45668ACD">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2574D6AC">
      <w:pPr>
        <w:pStyle w:val="33"/>
        <w:spacing w:line="336" w:lineRule="auto"/>
        <w:ind w:firstLine="480" w:firstLineChars="200"/>
        <w:jc w:val="right"/>
        <w:rPr>
          <w:rFonts w:hint="eastAsia" w:ascii="仿宋" w:hAnsi="仿宋" w:eastAsia="仿宋" w:cs="仿宋"/>
          <w:color w:val="auto"/>
          <w:sz w:val="24"/>
          <w:szCs w:val="24"/>
        </w:rPr>
      </w:pPr>
    </w:p>
    <w:p w14:paraId="3245733D">
      <w:pPr>
        <w:pStyle w:val="33"/>
        <w:spacing w:line="336" w:lineRule="auto"/>
        <w:ind w:firstLine="480" w:firstLineChars="200"/>
        <w:rPr>
          <w:rFonts w:hint="eastAsia" w:ascii="仿宋" w:hAnsi="仿宋" w:eastAsia="仿宋" w:cs="仿宋"/>
          <w:color w:val="auto"/>
          <w:sz w:val="24"/>
          <w:szCs w:val="24"/>
        </w:rPr>
      </w:pPr>
    </w:p>
    <w:p w14:paraId="7458AA3D">
      <w:pPr>
        <w:adjustRightInd/>
        <w:spacing w:line="336"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14AEF2F0">
      <w:pPr>
        <w:adjustRightInd/>
        <w:spacing w:line="336"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6"/>
      <w:r>
        <w:rPr>
          <w:rFonts w:hint="eastAsia" w:ascii="仿宋" w:hAnsi="仿宋" w:eastAsia="仿宋" w:cs="仿宋"/>
          <w:b/>
          <w:color w:val="auto"/>
          <w:sz w:val="36"/>
          <w:szCs w:val="20"/>
        </w:rPr>
        <w:t xml:space="preserve">  供应商须知</w:t>
      </w:r>
      <w:bookmarkEnd w:id="7"/>
    </w:p>
    <w:p w14:paraId="1D8E8C9E">
      <w:pPr>
        <w:adjustRightInd/>
        <w:spacing w:line="336"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68"/>
        <w:gridCol w:w="7103"/>
      </w:tblGrid>
      <w:tr w14:paraId="51F0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3FA5E280">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序号</w:t>
            </w:r>
          </w:p>
        </w:tc>
        <w:tc>
          <w:tcPr>
            <w:tcW w:w="8371" w:type="dxa"/>
            <w:gridSpan w:val="2"/>
            <w:vAlign w:val="center"/>
          </w:tcPr>
          <w:p w14:paraId="51E9E51B">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内　　　　容</w:t>
            </w:r>
          </w:p>
        </w:tc>
      </w:tr>
      <w:tr w14:paraId="3147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096B33B2">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8371" w:type="dxa"/>
            <w:gridSpan w:val="2"/>
            <w:vAlign w:val="center"/>
          </w:tcPr>
          <w:p w14:paraId="061B9641">
            <w:pPr>
              <w:snapToGrid w:val="0"/>
              <w:spacing w:line="336" w:lineRule="auto"/>
              <w:rPr>
                <w:rFonts w:hint="eastAsia" w:ascii="仿宋" w:hAnsi="仿宋" w:eastAsia="仿宋" w:cs="仿宋"/>
                <w:color w:val="auto"/>
                <w:sz w:val="24"/>
              </w:rPr>
            </w:pPr>
            <w:r>
              <w:rPr>
                <w:rFonts w:hint="eastAsia" w:ascii="仿宋" w:hAnsi="仿宋" w:eastAsia="仿宋" w:cs="仿宋"/>
                <w:b/>
                <w:color w:val="auto"/>
                <w:sz w:val="24"/>
              </w:rPr>
              <w:t>磋商响应人应当提交的资格、资信证明文件（如果有）</w:t>
            </w:r>
            <w:r>
              <w:rPr>
                <w:rFonts w:hint="eastAsia" w:ascii="仿宋" w:hAnsi="仿宋" w:eastAsia="仿宋" w:cs="仿宋"/>
                <w:color w:val="auto"/>
                <w:sz w:val="24"/>
              </w:rPr>
              <w:t>：</w:t>
            </w:r>
          </w:p>
          <w:p w14:paraId="2F791BEA">
            <w:pPr>
              <w:spacing w:line="336"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35BA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1DC45509">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c>
          <w:tcPr>
            <w:tcW w:w="8371" w:type="dxa"/>
            <w:gridSpan w:val="2"/>
            <w:vAlign w:val="center"/>
          </w:tcPr>
          <w:p w14:paraId="373BB779">
            <w:pPr>
              <w:snapToGrid w:val="0"/>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3F3DB645">
            <w:pPr>
              <w:snapToGrid w:val="0"/>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3CFBF644">
            <w:pPr>
              <w:snapToGrid w:val="0"/>
              <w:spacing w:line="336" w:lineRule="auto"/>
              <w:rPr>
                <w:rFonts w:hint="eastAsia" w:ascii="仿宋" w:hAnsi="仿宋" w:eastAsia="仿宋" w:cs="仿宋"/>
                <w:b/>
                <w:color w:val="auto"/>
                <w:sz w:val="24"/>
                <w:highlight w:val="yellow"/>
              </w:rPr>
            </w:pPr>
            <w:r>
              <w:rPr>
                <w:rFonts w:hint="eastAsia" w:ascii="仿宋" w:hAnsi="仿宋" w:eastAsia="仿宋" w:cs="仿宋"/>
                <w:b/>
                <w:color w:val="auto"/>
                <w:sz w:val="24"/>
                <w:highlight w:val="none"/>
              </w:rPr>
              <w:t>2.法定代表人的被授权委托人必须是供应商单位职工。需在</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响应文件提供由社保机构出具的该授权代表的社保证明（1.如该授权代表为离退休返聘人员的，需提供退休证明及单位聘用证明;2.如由第三方代理社保事项的，则需提供加盖</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公章的委托代理协议复印件）。</w:t>
            </w:r>
          </w:p>
        </w:tc>
      </w:tr>
      <w:tr w14:paraId="3F51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60C5E154">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8371" w:type="dxa"/>
            <w:gridSpan w:val="2"/>
            <w:vAlign w:val="center"/>
          </w:tcPr>
          <w:p w14:paraId="0E719BF2">
            <w:pPr>
              <w:autoSpaceDE w:val="0"/>
              <w:autoSpaceDN w:val="0"/>
              <w:spacing w:line="336" w:lineRule="auto"/>
              <w:textAlignment w:val="bottom"/>
              <w:rPr>
                <w:rFonts w:hint="eastAsia" w:ascii="仿宋" w:hAnsi="仿宋" w:eastAsia="仿宋" w:cs="仿宋"/>
                <w:color w:val="auto"/>
                <w:sz w:val="24"/>
                <w:highlight w:val="yellow"/>
              </w:rPr>
            </w:pPr>
            <w:r>
              <w:rPr>
                <w:rFonts w:hint="eastAsia" w:ascii="仿宋" w:hAnsi="仿宋" w:eastAsia="仿宋" w:cs="仿宋"/>
                <w:b/>
                <w:color w:val="auto"/>
                <w:sz w:val="24"/>
                <w:highlight w:val="none"/>
              </w:rPr>
              <w:t>磋商有效期：</w:t>
            </w:r>
            <w:r>
              <w:rPr>
                <w:rFonts w:hint="eastAsia" w:ascii="仿宋" w:hAnsi="仿宋" w:eastAsia="仿宋" w:cs="仿宋"/>
                <w:color w:val="auto"/>
                <w:sz w:val="24"/>
                <w:highlight w:val="none"/>
              </w:rPr>
              <w:t>有效期为从提交磋商响应文件的截止之日起90天。</w:t>
            </w:r>
            <w:r>
              <w:rPr>
                <w:rFonts w:hint="eastAsia" w:ascii="仿宋" w:hAnsi="仿宋" w:eastAsia="仿宋" w:cs="仿宋"/>
                <w:b w:val="0"/>
                <w:bCs/>
                <w:color w:val="auto"/>
                <w:sz w:val="24"/>
                <w:highlight w:val="none"/>
              </w:rPr>
              <w:t>磋商响应人的磋商文件中承</w:t>
            </w:r>
            <w:r>
              <w:rPr>
                <w:rFonts w:hint="eastAsia" w:ascii="仿宋" w:hAnsi="仿宋" w:eastAsia="仿宋" w:cs="仿宋"/>
                <w:b w:val="0"/>
                <w:bCs/>
                <w:color w:val="auto"/>
                <w:sz w:val="24"/>
                <w:szCs w:val="21"/>
                <w:highlight w:val="none"/>
              </w:rPr>
              <w:t>诺的磋商有效期少于磋商文件中载明的磋商有效期的，磋商无效。</w:t>
            </w:r>
          </w:p>
        </w:tc>
      </w:tr>
      <w:tr w14:paraId="58C4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09C613F7">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8371" w:type="dxa"/>
            <w:gridSpan w:val="2"/>
            <w:vAlign w:val="center"/>
          </w:tcPr>
          <w:p w14:paraId="3FB4DCF3">
            <w:pPr>
              <w:spacing w:line="336" w:lineRule="auto"/>
              <w:rPr>
                <w:rFonts w:hint="eastAsia"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14:paraId="44A1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7C0C16C4">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8371" w:type="dxa"/>
            <w:gridSpan w:val="2"/>
            <w:vAlign w:val="center"/>
          </w:tcPr>
          <w:p w14:paraId="788722C4">
            <w:pPr>
              <w:spacing w:line="336" w:lineRule="auto"/>
              <w:rPr>
                <w:rFonts w:hint="eastAsia"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14:paraId="610B0CAF">
            <w:pPr>
              <w:spacing w:line="336" w:lineRule="auto"/>
              <w:ind w:firstLine="720" w:firstLineChars="300"/>
              <w:rPr>
                <w:rFonts w:hint="eastAsia"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6FED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1A4E929E">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8371" w:type="dxa"/>
            <w:gridSpan w:val="2"/>
            <w:vAlign w:val="center"/>
          </w:tcPr>
          <w:p w14:paraId="3BFB8389">
            <w:pPr>
              <w:spacing w:line="336" w:lineRule="auto"/>
              <w:rPr>
                <w:rFonts w:hint="eastAsia" w:ascii="仿宋" w:hAnsi="仿宋" w:eastAsia="仿宋" w:cs="仿宋"/>
                <w:color w:val="auto"/>
                <w:sz w:val="24"/>
              </w:rPr>
            </w:pPr>
            <w:r>
              <w:rPr>
                <w:rFonts w:hint="eastAsia" w:ascii="仿宋" w:hAnsi="仿宋" w:eastAsia="仿宋" w:cs="仿宋"/>
                <w:b/>
                <w:color w:val="auto"/>
                <w:sz w:val="24"/>
              </w:rPr>
              <w:t>磋商响应文件份数：</w:t>
            </w:r>
            <w:r>
              <w:rPr>
                <w:rFonts w:hint="eastAsia" w:ascii="仿宋" w:hAnsi="仿宋" w:eastAsia="仿宋" w:cs="仿宋"/>
                <w:color w:val="auto"/>
                <w:sz w:val="24"/>
              </w:rPr>
              <w:t>本项目实行网上磋商，供应商于“政采云”上提供电子磋商响应文件。</w:t>
            </w:r>
          </w:p>
        </w:tc>
      </w:tr>
      <w:tr w14:paraId="59A0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1D67FB05">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w:t>
            </w:r>
          </w:p>
        </w:tc>
        <w:tc>
          <w:tcPr>
            <w:tcW w:w="8371" w:type="dxa"/>
            <w:gridSpan w:val="2"/>
            <w:vAlign w:val="center"/>
          </w:tcPr>
          <w:p w14:paraId="72B75937">
            <w:pPr>
              <w:autoSpaceDE w:val="0"/>
              <w:autoSpaceDN w:val="0"/>
              <w:spacing w:line="336" w:lineRule="auto"/>
              <w:textAlignment w:val="bottom"/>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开标前现场踏勘：</w:t>
            </w:r>
          </w:p>
          <w:p w14:paraId="538B5CC1">
            <w:pPr>
              <w:autoSpaceDE w:val="0"/>
              <w:autoSpaceDN w:val="0"/>
              <w:spacing w:line="336" w:lineRule="auto"/>
              <w:textAlignment w:val="bottom"/>
              <w:rPr>
                <w:rFonts w:hint="default" w:ascii="仿宋" w:hAnsi="仿宋" w:eastAsia="仿宋" w:cs="仿宋"/>
                <w:b/>
                <w:color w:val="auto"/>
                <w:kern w:val="0"/>
                <w:sz w:val="24"/>
                <w:lang w:val="en-US" w:eastAsia="zh-CN"/>
              </w:rPr>
            </w:pPr>
            <w:r>
              <w:rPr>
                <w:rFonts w:hint="eastAsia" w:ascii="仿宋" w:hAnsi="仿宋" w:eastAsia="仿宋" w:cs="仿宋"/>
                <w:b w:val="0"/>
                <w:bCs/>
                <w:color w:val="auto"/>
                <w:kern w:val="0"/>
                <w:sz w:val="24"/>
                <w:lang w:val="zh-CN"/>
              </w:rPr>
              <w:t>不集中组织。投标人自行前往现场踏勘，因自身原因未进行实地踏勘的，成交后签订合同时和履约过程中，不得以不完全了解现场情况为由，提出任何形式的增加合同外造价或索赔的要求。踏勘期间发生的费用或意外导致伤亡等一切责任和损失均由供应商自负。</w:t>
            </w:r>
            <w:r>
              <w:rPr>
                <w:rFonts w:hint="eastAsia" w:ascii="仿宋" w:hAnsi="仿宋" w:eastAsia="仿宋" w:cs="仿宋"/>
                <w:b w:val="0"/>
                <w:bCs/>
                <w:color w:val="auto"/>
                <w:kern w:val="0"/>
                <w:sz w:val="24"/>
                <w:lang w:val="en-US" w:eastAsia="zh-CN"/>
              </w:rPr>
              <w:t>采购人：</w:t>
            </w:r>
            <w:r>
              <w:rPr>
                <w:rFonts w:hint="eastAsia" w:ascii="仿宋" w:hAnsi="仿宋" w:eastAsia="仿宋" w:cs="仿宋"/>
                <w:color w:val="auto"/>
                <w:sz w:val="24"/>
              </w:rPr>
              <w:t>蒋老师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联系方式：0575-83113477。</w:t>
            </w:r>
          </w:p>
        </w:tc>
      </w:tr>
      <w:tr w14:paraId="0626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04909B6A">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p>
        </w:tc>
        <w:tc>
          <w:tcPr>
            <w:tcW w:w="8371" w:type="dxa"/>
            <w:gridSpan w:val="2"/>
            <w:vAlign w:val="center"/>
          </w:tcPr>
          <w:p w14:paraId="3033D5BC">
            <w:pPr>
              <w:spacing w:line="336" w:lineRule="auto"/>
              <w:rPr>
                <w:rFonts w:hint="eastAsia" w:ascii="仿宋" w:hAnsi="仿宋" w:eastAsia="仿宋" w:cs="仿宋"/>
                <w:b/>
                <w:color w:val="auto"/>
                <w:sz w:val="24"/>
              </w:rPr>
            </w:pPr>
            <w:r>
              <w:rPr>
                <w:rFonts w:hint="eastAsia" w:ascii="仿宋" w:hAnsi="仿宋" w:eastAsia="仿宋" w:cs="仿宋"/>
                <w:b/>
                <w:color w:val="auto"/>
                <w:sz w:val="24"/>
              </w:rPr>
              <w:t>样品提供：</w:t>
            </w:r>
          </w:p>
          <w:p w14:paraId="689EF99C">
            <w:pPr>
              <w:spacing w:line="336" w:lineRule="auto"/>
              <w:rPr>
                <w:rFonts w:hint="eastAsia"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不要求提供。</w:t>
            </w:r>
          </w:p>
          <w:p w14:paraId="319B8F77">
            <w:pPr>
              <w:spacing w:line="336" w:lineRule="auto"/>
              <w:rPr>
                <w:rFonts w:hint="eastAsia" w:ascii="仿宋" w:hAnsi="仿宋" w:eastAsia="仿宋" w:cs="仿宋"/>
                <w:color w:val="auto"/>
                <w:kern w:val="0"/>
                <w:sz w:val="24"/>
              </w:rPr>
            </w:pPr>
            <w:r>
              <w:rPr>
                <w:rFonts w:hint="eastAsia" w:ascii="仿宋" w:hAnsi="仿宋" w:eastAsia="仿宋" w:cs="仿宋"/>
                <w:color w:val="auto"/>
                <w:kern w:val="0"/>
                <w:sz w:val="24"/>
              </w:rPr>
              <w:t>□B要求提供，</w:t>
            </w:r>
          </w:p>
          <w:p w14:paraId="2BC6D21A">
            <w:pPr>
              <w:spacing w:line="336" w:lineRule="auto"/>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3C5FFD8C">
            <w:pPr>
              <w:spacing w:line="336" w:lineRule="auto"/>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60AA0799">
            <w:pPr>
              <w:spacing w:line="336" w:lineRule="auto"/>
              <w:rPr>
                <w:rFonts w:hint="eastAsia"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14:paraId="65534C47">
            <w:pPr>
              <w:spacing w:line="336" w:lineRule="auto"/>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67E577D0">
            <w:pPr>
              <w:spacing w:line="336" w:lineRule="auto"/>
              <w:rPr>
                <w:rFonts w:hint="eastAsia"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。请供应商在上述时间内提供样品并按规定位置安装完毕。超过截止时间的，采购人或采购代理机构将不予接收，并将清场并封闭样品现场。</w:t>
            </w:r>
          </w:p>
          <w:p w14:paraId="1B653C2F">
            <w:pPr>
              <w:spacing w:line="336" w:lineRule="auto"/>
              <w:rPr>
                <w:rFonts w:hint="eastAsia" w:ascii="仿宋" w:hAnsi="仿宋" w:eastAsia="仿宋" w:cs="仿宋"/>
                <w:color w:val="auto"/>
                <w:sz w:val="24"/>
              </w:rPr>
            </w:pPr>
            <w:r>
              <w:rPr>
                <w:rFonts w:hint="eastAsia" w:ascii="仿宋" w:hAnsi="仿宋" w:eastAsia="仿宋" w:cs="仿宋"/>
                <w:color w:val="auto"/>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42A604D0">
            <w:pPr>
              <w:autoSpaceDE w:val="0"/>
              <w:autoSpaceDN w:val="0"/>
              <w:spacing w:line="336" w:lineRule="auto"/>
              <w:jc w:val="left"/>
              <w:rPr>
                <w:rFonts w:hint="eastAsia" w:ascii="仿宋" w:hAnsi="仿宋" w:eastAsia="仿宋" w:cs="仿宋"/>
                <w:b/>
                <w:color w:val="auto"/>
                <w:sz w:val="24"/>
              </w:rPr>
            </w:pPr>
            <w:r>
              <w:rPr>
                <w:rFonts w:hint="eastAsia" w:ascii="仿宋" w:hAnsi="仿宋" w:eastAsia="仿宋" w:cs="仿宋"/>
                <w:color w:val="auto"/>
                <w:sz w:val="24"/>
              </w:rPr>
              <w:t>（7）制作、运输、安装和保管样品所发生的一切费用由供应商自理。</w:t>
            </w:r>
          </w:p>
        </w:tc>
      </w:tr>
      <w:tr w14:paraId="671B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1E61613E">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w:t>
            </w:r>
          </w:p>
        </w:tc>
        <w:tc>
          <w:tcPr>
            <w:tcW w:w="8371" w:type="dxa"/>
            <w:gridSpan w:val="2"/>
            <w:vAlign w:val="center"/>
          </w:tcPr>
          <w:p w14:paraId="1548AC72">
            <w:pPr>
              <w:spacing w:beforeLines="0" w:afterLines="0" w:line="44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方案讲解演示：</w:t>
            </w:r>
          </w:p>
          <w:p w14:paraId="3A991458">
            <w:pPr>
              <w:spacing w:beforeLines="0" w:afterLines="0"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A无方案讲解演示。</w:t>
            </w:r>
          </w:p>
          <w:p w14:paraId="2941C83B">
            <w:pPr>
              <w:spacing w:beforeLines="0" w:afterLines="0" w:line="440" w:lineRule="exact"/>
              <w:rPr>
                <w:rFonts w:hint="eastAsia" w:ascii="仿宋" w:hAnsi="仿宋" w:eastAsia="仿宋" w:cs="仿宋"/>
                <w:b/>
                <w:color w:val="auto"/>
                <w:sz w:val="24"/>
                <w:szCs w:val="24"/>
              </w:rPr>
            </w:pPr>
            <w:r>
              <w:rPr>
                <w:rFonts w:hint="eastAsia" w:ascii="仿宋" w:hAnsi="仿宋" w:eastAsia="仿宋" w:cs="仿宋"/>
                <w:color w:val="auto"/>
                <w:sz w:val="24"/>
                <w:szCs w:val="24"/>
              </w:rPr>
              <w:t>□B有方案讲解演示：</w:t>
            </w:r>
          </w:p>
          <w:p w14:paraId="39A59AA5">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（1）在评标时安排每个供应商进行方案讲解演示。每个供应商时间不超过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zh-CN"/>
              </w:rPr>
              <w:t>分钟（编制时可根据项目情况进行调整），讲解次序以磋商响应文件解密时间先后次序为准。讲解演示结束后按要求解答评标委员会提问。</w:t>
            </w:r>
          </w:p>
          <w:p w14:paraId="4B362963">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（2）方案讲解演示可选择以下其中一种方式：</w:t>
            </w:r>
          </w:p>
          <w:p w14:paraId="49E8FB1E">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方式一：政采云平台在线讲解演示。政采云平台在线讲解需供应商根据政采云平台操作要求做好准备工作，提前完善软硬件配置环境。</w:t>
            </w:r>
          </w:p>
          <w:p w14:paraId="55B1BC5C">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方式二：现场讲解演示。现场讲解地点为</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人（编制时可根据项目情况进行调整）。</w:t>
            </w:r>
            <w:r>
              <w:rPr>
                <w:rFonts w:hint="eastAsia" w:ascii="仿宋" w:hAnsi="仿宋" w:eastAsia="仿宋" w:cs="仿宋"/>
                <w:color w:val="auto"/>
                <w:sz w:val="24"/>
                <w:szCs w:val="24"/>
                <w:lang w:val="zh-CN"/>
              </w:rPr>
              <w:t>讲解演示所用电脑等设备由供应商自备。现场讲解演示人员进场时提供讲解人员名单（加盖公章或授权代表签名）及身份证明，否则不得讲解演示。</w:t>
            </w:r>
          </w:p>
          <w:p w14:paraId="69D7728E">
            <w:pPr>
              <w:spacing w:line="336" w:lineRule="auto"/>
              <w:rPr>
                <w:rFonts w:hint="eastAsia" w:ascii="仿宋" w:hAnsi="仿宋" w:eastAsia="仿宋" w:cs="仿宋"/>
                <w:color w:val="auto"/>
                <w:sz w:val="24"/>
              </w:rPr>
            </w:pPr>
            <w:r>
              <w:rPr>
                <w:rFonts w:hint="eastAsia" w:ascii="仿宋" w:hAnsi="仿宋" w:eastAsia="仿宋" w:cs="仿宋"/>
                <w:color w:val="auto"/>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6E1E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3974B394">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w:t>
            </w:r>
          </w:p>
        </w:tc>
        <w:tc>
          <w:tcPr>
            <w:tcW w:w="1268" w:type="dxa"/>
            <w:vAlign w:val="center"/>
          </w:tcPr>
          <w:p w14:paraId="1BD5CD6C">
            <w:pPr>
              <w:snapToGrid w:val="0"/>
              <w:spacing w:line="336"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进口产品</w:t>
            </w:r>
          </w:p>
        </w:tc>
        <w:tc>
          <w:tcPr>
            <w:tcW w:w="7103" w:type="dxa"/>
            <w:vAlign w:val="center"/>
          </w:tcPr>
          <w:p w14:paraId="5C5532E0">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本项目不允许采购进口产品。</w:t>
            </w:r>
          </w:p>
          <w:p w14:paraId="6FB3A9C2">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653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3547DE7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w:t>
            </w:r>
          </w:p>
        </w:tc>
        <w:tc>
          <w:tcPr>
            <w:tcW w:w="1268" w:type="dxa"/>
            <w:vAlign w:val="center"/>
          </w:tcPr>
          <w:p w14:paraId="14AF5CBB">
            <w:pPr>
              <w:snapToGrid w:val="0"/>
              <w:spacing w:line="336" w:lineRule="auto"/>
              <w:ind w:left="14" w:hanging="14" w:hangingChars="7"/>
              <w:jc w:val="center"/>
              <w:rPr>
                <w:rFonts w:hint="eastAsia" w:ascii="仿宋" w:hAnsi="仿宋" w:eastAsia="仿宋" w:cs="仿宋"/>
                <w:b/>
                <w:color w:val="auto"/>
                <w:spacing w:val="-20"/>
                <w:sz w:val="24"/>
              </w:rPr>
            </w:pPr>
            <w:r>
              <w:rPr>
                <w:rFonts w:hint="eastAsia" w:ascii="仿宋" w:hAnsi="仿宋" w:eastAsia="仿宋" w:cs="仿宋"/>
                <w:b/>
                <w:color w:val="auto"/>
                <w:spacing w:val="-20"/>
                <w:sz w:val="24"/>
              </w:rPr>
              <w:t>项目属性与核心产品</w:t>
            </w:r>
          </w:p>
        </w:tc>
        <w:tc>
          <w:tcPr>
            <w:tcW w:w="7103" w:type="dxa"/>
            <w:vAlign w:val="center"/>
          </w:tcPr>
          <w:p w14:paraId="7B38211E">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A货物类，单一产品或核心产品为：</w:t>
            </w:r>
            <w:r>
              <w:rPr>
                <w:rFonts w:hint="eastAsia" w:ascii="仿宋" w:hAnsi="仿宋" w:eastAsia="仿宋" w:cs="仿宋"/>
                <w:color w:val="auto"/>
                <w:kern w:val="2"/>
                <w:sz w:val="24"/>
                <w:szCs w:val="24"/>
                <w:u w:val="single"/>
                <w:lang w:val="en-US" w:eastAsia="zh-CN" w:bidi="ar-SA"/>
              </w:rPr>
              <w:t xml:space="preserve">  /  </w:t>
            </w:r>
            <w:r>
              <w:rPr>
                <w:rFonts w:hint="eastAsia" w:ascii="仿宋" w:hAnsi="仿宋" w:eastAsia="仿宋" w:cs="仿宋"/>
                <w:color w:val="auto"/>
                <w:kern w:val="2"/>
                <w:sz w:val="24"/>
                <w:szCs w:val="24"/>
                <w:lang w:val="en-US" w:eastAsia="zh-CN" w:bidi="ar-SA"/>
              </w:rPr>
              <w:t>。</w:t>
            </w:r>
          </w:p>
          <w:p w14:paraId="1D752E18">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B服务类。</w:t>
            </w:r>
          </w:p>
        </w:tc>
      </w:tr>
      <w:tr w14:paraId="5EE9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869" w:type="dxa"/>
            <w:vAlign w:val="center"/>
          </w:tcPr>
          <w:p w14:paraId="200B0351">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w:t>
            </w:r>
          </w:p>
        </w:tc>
        <w:tc>
          <w:tcPr>
            <w:tcW w:w="1268" w:type="dxa"/>
            <w:vAlign w:val="center"/>
          </w:tcPr>
          <w:p w14:paraId="4B8486C6">
            <w:pPr>
              <w:snapToGrid w:val="0"/>
              <w:spacing w:line="336" w:lineRule="auto"/>
              <w:ind w:hanging="1"/>
              <w:jc w:val="center"/>
              <w:rPr>
                <w:rFonts w:hint="eastAsia" w:ascii="仿宋" w:hAnsi="仿宋" w:eastAsia="仿宋" w:cs="仿宋"/>
                <w:b/>
                <w:color w:val="auto"/>
                <w:spacing w:val="-20"/>
                <w:sz w:val="24"/>
              </w:rPr>
            </w:pPr>
            <w:r>
              <w:rPr>
                <w:rFonts w:hint="eastAsia" w:ascii="仿宋" w:hAnsi="仿宋" w:eastAsia="仿宋" w:cs="仿宋"/>
                <w:b/>
                <w:color w:val="auto"/>
                <w:spacing w:val="-20"/>
                <w:sz w:val="24"/>
              </w:rPr>
              <w:t>采购标的对应的中小企业划分标准所属行业</w:t>
            </w:r>
          </w:p>
        </w:tc>
        <w:tc>
          <w:tcPr>
            <w:tcW w:w="7103" w:type="dxa"/>
            <w:vAlign w:val="center"/>
          </w:tcPr>
          <w:p w14:paraId="6BDA5F9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lang w:eastAsia="zh-CN"/>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根据《工业和信息化部、国家统计局、国家发展和改革委员会、财政部关于印发中小企业划型标准规定的通知》（工信部联企业[2011]300号）规定（有最新中小企业划型标准的以更新后的为准）</w:t>
            </w:r>
            <w:r>
              <w:rPr>
                <w:rFonts w:hint="eastAsia" w:ascii="仿宋" w:hAnsi="仿宋" w:eastAsia="仿宋" w:cs="仿宋"/>
                <w:color w:val="auto"/>
                <w:sz w:val="24"/>
                <w:lang w:eastAsia="zh-CN"/>
              </w:rPr>
              <w:t>：</w:t>
            </w:r>
          </w:p>
          <w:p w14:paraId="0E5EE49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lang w:eastAsia="zh-CN"/>
              </w:rPr>
            </w:pPr>
            <w:r>
              <w:rPr>
                <w:rFonts w:hint="eastAsia" w:ascii="仿宋" w:hAnsi="仿宋" w:eastAsia="仿宋" w:cs="仿宋"/>
                <w:color w:val="auto"/>
                <w:sz w:val="24"/>
              </w:rPr>
              <w:t>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lang w:eastAsia="zh-CN"/>
              </w:rPr>
              <w:t>全市义务教育学校提升工程-城北小学改建工程环境提升校园文化建设</w:t>
            </w:r>
            <w:r>
              <w:rPr>
                <w:rFonts w:hint="eastAsia" w:ascii="仿宋" w:hAnsi="仿宋" w:eastAsia="仿宋" w:cs="仿宋"/>
                <w:color w:val="auto"/>
                <w:sz w:val="24"/>
                <w:u w:val="single"/>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b w:val="0"/>
                <w:bCs w:val="0"/>
                <w:color w:val="auto"/>
                <w:sz w:val="24"/>
                <w:highlight w:val="none"/>
                <w:u w:val="single"/>
                <w:lang w:val="en-US" w:eastAsia="zh-CN"/>
              </w:rPr>
              <w:t>其他未列明行业</w:t>
            </w:r>
            <w:r>
              <w:rPr>
                <w:rFonts w:hint="eastAsia" w:ascii="仿宋" w:hAnsi="仿宋" w:eastAsia="仿宋" w:cs="仿宋"/>
                <w:color w:val="auto"/>
                <w:sz w:val="24"/>
                <w:u w:val="single"/>
              </w:rPr>
              <w:t xml:space="preserve"> </w:t>
            </w:r>
            <w:r>
              <w:rPr>
                <w:rFonts w:hint="eastAsia" w:ascii="仿宋" w:hAnsi="仿宋" w:eastAsia="仿宋" w:cs="仿宋"/>
                <w:color w:val="auto"/>
                <w:sz w:val="24"/>
                <w:lang w:eastAsia="zh-CN"/>
              </w:rPr>
              <w:t>。</w:t>
            </w:r>
          </w:p>
          <w:p w14:paraId="3F6140C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从业</w:t>
            </w:r>
            <w:r>
              <w:rPr>
                <w:rFonts w:hint="eastAsia" w:ascii="仿宋" w:hAnsi="仿宋" w:eastAsia="仿宋" w:cs="仿宋"/>
                <w:color w:val="auto"/>
                <w:sz w:val="24"/>
                <w:lang w:eastAsia="zh-CN"/>
              </w:rPr>
              <w:t>人员</w:t>
            </w:r>
            <w:r>
              <w:rPr>
                <w:rFonts w:hint="eastAsia" w:ascii="仿宋" w:hAnsi="仿宋" w:eastAsia="仿宋" w:cs="仿宋"/>
                <w:color w:val="auto"/>
                <w:sz w:val="24"/>
                <w:highlight w:val="none"/>
                <w:lang w:eastAsia="zh-CN"/>
              </w:rPr>
              <w:t>300人以下的为中小微型企业。其中，从业人员100人及以上的为中型企业；从业人员10人及以上的为小型企业；从业人员10人以下的为微型企业。</w:t>
            </w:r>
          </w:p>
          <w:p w14:paraId="1577FB2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rPr>
            </w:pPr>
            <w:r>
              <w:rPr>
                <w:rFonts w:hint="eastAsia" w:ascii="仿宋" w:hAnsi="仿宋" w:eastAsia="仿宋" w:cs="仿宋"/>
                <w:color w:val="auto"/>
                <w:sz w:val="24"/>
                <w:highlight w:val="none"/>
              </w:rPr>
              <w:t>说明：声明函中所列行业与采购文件所明确的行业不一致但不改变划型结果情形的，不影响声明有效性，也不作为虚假资料情形认定。</w:t>
            </w:r>
          </w:p>
        </w:tc>
      </w:tr>
      <w:tr w14:paraId="2475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1C969491">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w:t>
            </w:r>
          </w:p>
        </w:tc>
        <w:tc>
          <w:tcPr>
            <w:tcW w:w="1268" w:type="dxa"/>
            <w:vAlign w:val="center"/>
          </w:tcPr>
          <w:p w14:paraId="6291814B">
            <w:pPr>
              <w:keepNext w:val="0"/>
              <w:keepLines w:val="0"/>
              <w:pageBreakBefore w:val="0"/>
              <w:widowControl w:val="0"/>
              <w:kinsoku/>
              <w:wordWrap/>
              <w:overflowPunct/>
              <w:topLinePunct w:val="0"/>
              <w:bidi w:val="0"/>
              <w:adjustRightInd w:val="0"/>
              <w:snapToGrid w:val="0"/>
              <w:spacing w:line="440" w:lineRule="exact"/>
              <w:ind w:left="0" w:leftChars="0" w:right="0" w:rightChars="0" w:hanging="1" w:firstLineChars="0"/>
              <w:jc w:val="center"/>
              <w:rPr>
                <w:rFonts w:hint="eastAsia" w:ascii="仿宋" w:hAnsi="仿宋" w:eastAsia="仿宋" w:cs="仿宋"/>
                <w:b/>
                <w:color w:val="auto"/>
                <w:spacing w:val="-20"/>
                <w:kern w:val="2"/>
                <w:sz w:val="24"/>
                <w:szCs w:val="24"/>
                <w:lang w:val="en-US" w:eastAsia="zh-CN" w:bidi="ar-SA"/>
              </w:rPr>
            </w:pPr>
            <w:r>
              <w:rPr>
                <w:rFonts w:hint="eastAsia" w:ascii="仿宋" w:hAnsi="仿宋" w:eastAsia="仿宋" w:cs="仿宋"/>
                <w:b/>
                <w:color w:val="auto"/>
                <w:spacing w:val="-20"/>
                <w:sz w:val="24"/>
              </w:rPr>
              <w:t>采购项目需要落实的政府采购政策</w:t>
            </w:r>
          </w:p>
        </w:tc>
        <w:tc>
          <w:tcPr>
            <w:tcW w:w="7103" w:type="dxa"/>
            <w:vAlign w:val="center"/>
          </w:tcPr>
          <w:p w14:paraId="7E72203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专门面向中小微企业采购项目。小微企业报价不再享受价格折扣。</w:t>
            </w:r>
          </w:p>
          <w:p w14:paraId="2CD97F5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w:t>
            </w:r>
            <w:r>
              <w:rPr>
                <w:rFonts w:hint="eastAsia" w:ascii="仿宋" w:hAnsi="仿宋" w:eastAsia="仿宋" w:cs="仿宋"/>
                <w:color w:val="auto"/>
                <w:sz w:val="24"/>
              </w:rPr>
              <w:t>非专门面向中小企业采购项目。对小型和微型企业报价根据《政府采购促进中小企业发展管理办法》（财库〔2020〕46号）、《财政部关于进一步加大政府采购支持中小企业力度的通知》（财库〔2022〕19号）</w:t>
            </w:r>
            <w:r>
              <w:rPr>
                <w:rFonts w:hint="eastAsia" w:ascii="仿宋" w:hAnsi="仿宋" w:eastAsia="仿宋" w:cs="仿宋"/>
                <w:color w:val="auto"/>
                <w:sz w:val="24"/>
                <w:lang w:val="en-US" w:eastAsia="zh-CN"/>
              </w:rPr>
              <w:t>文件</w:t>
            </w:r>
            <w:r>
              <w:rPr>
                <w:rFonts w:hint="eastAsia" w:ascii="仿宋" w:hAnsi="仿宋" w:eastAsia="仿宋" w:cs="仿宋"/>
                <w:color w:val="auto"/>
                <w:sz w:val="24"/>
              </w:rPr>
              <w:t>规定，用扣除后的价格参与评审。扣除比例为：小型、微型企业均扣除10%，监狱企业、残疾人福利性单位视同小型、微型企业，享受价格扣除。</w:t>
            </w:r>
          </w:p>
        </w:tc>
      </w:tr>
      <w:tr w14:paraId="7CCA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69" w:type="dxa"/>
            <w:vMerge w:val="restart"/>
            <w:vAlign w:val="center"/>
          </w:tcPr>
          <w:p w14:paraId="6623ABDB">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p>
          <w:p w14:paraId="4C2C9B31">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14</w:t>
            </w:r>
          </w:p>
        </w:tc>
        <w:tc>
          <w:tcPr>
            <w:tcW w:w="1268" w:type="dxa"/>
            <w:vMerge w:val="restart"/>
            <w:vAlign w:val="center"/>
          </w:tcPr>
          <w:p w14:paraId="7CF95381">
            <w:pPr>
              <w:snapToGrid w:val="0"/>
              <w:spacing w:line="336" w:lineRule="auto"/>
              <w:jc w:val="center"/>
              <w:rPr>
                <w:rFonts w:hint="eastAsia" w:ascii="仿宋" w:hAnsi="仿宋" w:eastAsia="仿宋" w:cs="仿宋"/>
                <w:b/>
                <w:color w:val="auto"/>
                <w:sz w:val="24"/>
              </w:rPr>
            </w:pPr>
            <w:r>
              <w:rPr>
                <w:rFonts w:hint="eastAsia" w:ascii="仿宋" w:hAnsi="仿宋" w:eastAsia="仿宋" w:cs="仿宋"/>
                <w:b/>
                <w:color w:val="auto"/>
                <w:sz w:val="24"/>
              </w:rPr>
              <w:t>供应商信用信息事项</w:t>
            </w:r>
          </w:p>
        </w:tc>
        <w:tc>
          <w:tcPr>
            <w:tcW w:w="7103" w:type="dxa"/>
            <w:vAlign w:val="center"/>
          </w:tcPr>
          <w:p w14:paraId="24BAAC0B">
            <w:pPr>
              <w:snapToGrid w:val="0"/>
              <w:spacing w:line="336" w:lineRule="auto"/>
              <w:rPr>
                <w:rFonts w:hint="eastAsia" w:ascii="仿宋" w:hAnsi="仿宋" w:eastAsia="仿宋" w:cs="仿宋"/>
                <w:b/>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采购人或采购人委托的磋商小组或采购代理机构将通过“信用中国”网站(www.creditchina.gov.cn)、中国政府采购网(www.ccgp.gov.cn)渠道查询</w:t>
            </w:r>
            <w:r>
              <w:rPr>
                <w:rFonts w:hint="eastAsia" w:ascii="仿宋" w:hAnsi="仿宋" w:eastAsia="仿宋" w:cs="仿宋"/>
                <w:b/>
                <w:color w:val="auto"/>
                <w:sz w:val="24"/>
              </w:rPr>
              <w:t>磋商当天</w:t>
            </w:r>
            <w:r>
              <w:rPr>
                <w:rFonts w:hint="eastAsia" w:ascii="仿宋" w:hAnsi="仿宋" w:eastAsia="仿宋" w:cs="仿宋"/>
                <w:color w:val="auto"/>
                <w:sz w:val="24"/>
              </w:rPr>
              <w:t>的信用记录。</w:t>
            </w:r>
          </w:p>
        </w:tc>
      </w:tr>
      <w:tr w14:paraId="7C09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7FB12B6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p>
        </w:tc>
        <w:tc>
          <w:tcPr>
            <w:tcW w:w="1268" w:type="dxa"/>
            <w:vMerge w:val="continue"/>
            <w:vAlign w:val="center"/>
          </w:tcPr>
          <w:p w14:paraId="1E1FF9D2">
            <w:pPr>
              <w:snapToGrid w:val="0"/>
              <w:spacing w:line="336" w:lineRule="auto"/>
              <w:rPr>
                <w:rFonts w:hint="eastAsia" w:ascii="仿宋" w:hAnsi="仿宋" w:eastAsia="仿宋" w:cs="仿宋"/>
                <w:b/>
                <w:color w:val="auto"/>
                <w:sz w:val="24"/>
              </w:rPr>
            </w:pPr>
          </w:p>
        </w:tc>
        <w:tc>
          <w:tcPr>
            <w:tcW w:w="7103" w:type="dxa"/>
            <w:vAlign w:val="center"/>
          </w:tcPr>
          <w:p w14:paraId="38AB5BBE">
            <w:pPr>
              <w:snapToGrid w:val="0"/>
              <w:spacing w:line="336" w:lineRule="auto"/>
              <w:rPr>
                <w:rFonts w:hint="eastAsia"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采购人或采购人委托的磋商小组或采购代理机构现场查询供应商的信用记录，查询结果经确认后与磋商响应文件一起存档。</w:t>
            </w:r>
          </w:p>
        </w:tc>
      </w:tr>
      <w:tr w14:paraId="7D35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1AC7E54F">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p>
        </w:tc>
        <w:tc>
          <w:tcPr>
            <w:tcW w:w="1268" w:type="dxa"/>
            <w:vMerge w:val="continue"/>
            <w:vAlign w:val="center"/>
          </w:tcPr>
          <w:p w14:paraId="0E807CB2">
            <w:pPr>
              <w:snapToGrid w:val="0"/>
              <w:spacing w:line="336" w:lineRule="auto"/>
              <w:rPr>
                <w:rFonts w:hint="eastAsia" w:ascii="仿宋" w:hAnsi="仿宋" w:eastAsia="仿宋" w:cs="仿宋"/>
                <w:b/>
                <w:color w:val="auto"/>
                <w:sz w:val="24"/>
              </w:rPr>
            </w:pPr>
          </w:p>
        </w:tc>
        <w:tc>
          <w:tcPr>
            <w:tcW w:w="7103" w:type="dxa"/>
            <w:vAlign w:val="center"/>
          </w:tcPr>
          <w:p w14:paraId="10E26D95">
            <w:pPr>
              <w:snapToGrid w:val="0"/>
              <w:spacing w:line="336" w:lineRule="auto"/>
              <w:rPr>
                <w:rFonts w:hint="eastAsia" w:ascii="仿宋" w:hAnsi="仿宋" w:eastAsia="仿宋" w:cs="仿宋"/>
                <w:color w:val="auto"/>
                <w:sz w:val="24"/>
              </w:rPr>
            </w:pP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经查询列入失信被执行人名单、重大税收违法案件当事人名单、政府采购严重违法失信行为记录名单的供应商将被拒绝参与政府采购活动。</w:t>
            </w:r>
          </w:p>
          <w:p w14:paraId="31FC0EBB">
            <w:pPr>
              <w:snapToGrid w:val="0"/>
              <w:spacing w:line="336" w:lineRule="auto"/>
              <w:rPr>
                <w:rFonts w:hint="eastAsia" w:ascii="仿宋" w:hAnsi="仿宋" w:eastAsia="仿宋" w:cs="仿宋"/>
                <w:b/>
                <w:color w:val="auto"/>
                <w:sz w:val="24"/>
              </w:rPr>
            </w:pPr>
            <w:r>
              <w:rPr>
                <w:rFonts w:hint="eastAsia" w:ascii="仿宋" w:hAnsi="仿宋" w:eastAsia="仿宋" w:cs="仿宋"/>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BE0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75BF2AE2">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w:t>
            </w:r>
          </w:p>
        </w:tc>
        <w:tc>
          <w:tcPr>
            <w:tcW w:w="8371" w:type="dxa"/>
            <w:gridSpan w:val="2"/>
            <w:vAlign w:val="center"/>
          </w:tcPr>
          <w:p w14:paraId="442A9246">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需要落实的政府采购政策：包括保护环境、节约能源、促进中小企业发展等。详见磋商文件第二部分总则。</w:t>
            </w:r>
          </w:p>
        </w:tc>
      </w:tr>
      <w:tr w14:paraId="5A95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9D02753">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16</w:t>
            </w:r>
          </w:p>
        </w:tc>
        <w:tc>
          <w:tcPr>
            <w:tcW w:w="8371" w:type="dxa"/>
            <w:gridSpan w:val="2"/>
            <w:vAlign w:val="center"/>
          </w:tcPr>
          <w:p w14:paraId="3FAA8873">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更正补充公告请自行登录浙江政府采购网查看下载。</w:t>
            </w:r>
          </w:p>
        </w:tc>
      </w:tr>
      <w:tr w14:paraId="287C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26D48E16">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17</w:t>
            </w:r>
          </w:p>
        </w:tc>
        <w:tc>
          <w:tcPr>
            <w:tcW w:w="8371" w:type="dxa"/>
            <w:gridSpan w:val="2"/>
            <w:vAlign w:val="center"/>
          </w:tcPr>
          <w:p w14:paraId="0BAD1B95">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磋商注意事项：</w:t>
            </w:r>
          </w:p>
          <w:p w14:paraId="49054D9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1.本项目实行网上磋商，采用电子磋商响应文件。若供应商参与磋商，自行承担磋商一切费用。</w:t>
            </w:r>
          </w:p>
          <w:p w14:paraId="5FAD1747">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1D722428">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注：供应商CA相关操作可参考政采云平台https://www.zcygov.cn/《CA申领操作指南》和《CA管理操作指南》。完成CA数字证书办理在资料齐全的情况下预计7个工作日左右，建议供应商获取磋商文件后立即办理。</w:t>
            </w:r>
          </w:p>
          <w:p w14:paraId="7517B268">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3.磋商响应文件制作、递交、解密：</w:t>
            </w:r>
          </w:p>
          <w:p w14:paraId="728FDCFF">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3.1应按照本项目磋商文件和政采云平台的要求编制、加密传输磋商响应文件。供应商在使用系统进行磋商响应的过程中遇到涉及平台使用的任何问题，可致电政采云平台技术支持热线咨询，联系方式：95763。</w:t>
            </w:r>
          </w:p>
          <w:p w14:paraId="5B97C764">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3.2供应商通过“政采云”平台制作电子磋商响应文件，磋商响应文件制作详见“供应商-政府采购项目电子交易操作指南”。</w:t>
            </w:r>
          </w:p>
          <w:p w14:paraId="35826B88">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3.3响应文件开启后30分钟内供应商可以登录“政采云”平台，用“项目采购-开标评标”功能进行解密磋商响应文件。</w:t>
            </w:r>
            <w:r>
              <w:rPr>
                <w:rFonts w:hint="eastAsia" w:ascii="仿宋" w:hAnsi="仿宋" w:eastAsia="仿宋" w:cs="仿宋"/>
                <w:b/>
                <w:bCs/>
                <w:color w:val="auto"/>
                <w:kern w:val="2"/>
                <w:sz w:val="24"/>
                <w:szCs w:val="24"/>
                <w:u w:val="single"/>
                <w:lang w:val="en-US" w:eastAsia="zh-CN" w:bidi="ar-SA"/>
              </w:rPr>
              <w:t>若供应商未按时解密的，视为磋商响应文件撤回。</w:t>
            </w:r>
          </w:p>
        </w:tc>
      </w:tr>
      <w:tr w14:paraId="60CC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7B18F1F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18                                                                                                                                                                                                                                                                                                                                                                                                                                                                                                                                                                                                                                                                                                                                                                                                                                                                                                                                                                                                                                                                                                                                                                                                                                                                                                                                       </w:t>
            </w:r>
          </w:p>
        </w:tc>
        <w:tc>
          <w:tcPr>
            <w:tcW w:w="8371" w:type="dxa"/>
            <w:gridSpan w:val="2"/>
            <w:vAlign w:val="center"/>
          </w:tcPr>
          <w:p w14:paraId="1D7CB33E">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备份响应文件:</w:t>
            </w:r>
          </w:p>
          <w:p w14:paraId="128B2888">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供应商在“政府采购云平台”完成电子加密“磋商响应文件”的在线传输递交后，还可以在响应截止时间前通过EMS、顺丰邮寄等形式送达以介质存储的数据电文形式的“备份响应文件”。“备份响应文件”由供应商自愿提交，采购文件不作强制性要求，但供应商仅递交了“备份响应文件”的，响应无效。</w:t>
            </w:r>
          </w:p>
          <w:p w14:paraId="3EAD81ED">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备份响应文件:密封包装后（建议以EMS、顺丰邮寄等形式）响应截止时间前（送达时间以采购组织机构实际签收时间为准）送达（一份）（邮寄地址：嵊州市三江街道官河南路333号商会大厦十四层1407室，竺小霞收）。</w:t>
            </w:r>
          </w:p>
          <w:p w14:paraId="672F9A86">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(3)“备份响应文件”应当密封包装，并在包装上加盖公章并注明响应项目名称，供应商名称(若联合体响应的，包装物封面需注明联合体响应，并注明联合体成员各方的名称和联合协议中约定的牵头人的名称)。没有密封包装或标识或盖章或逾期送达至响应地点的“备份响应文件”视为未递交。</w:t>
            </w:r>
          </w:p>
        </w:tc>
      </w:tr>
      <w:tr w14:paraId="1A14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869" w:type="dxa"/>
            <w:vAlign w:val="center"/>
          </w:tcPr>
          <w:p w14:paraId="1953B206">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19</w:t>
            </w:r>
          </w:p>
        </w:tc>
        <w:tc>
          <w:tcPr>
            <w:tcW w:w="8371" w:type="dxa"/>
            <w:gridSpan w:val="2"/>
            <w:vAlign w:val="center"/>
          </w:tcPr>
          <w:p w14:paraId="7EFBBC4E">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金融支持：</w:t>
            </w:r>
          </w:p>
          <w:p w14:paraId="2CFA4751">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为支持和促进中小企业发展，进一步发挥政府采购政策功能，浙江省财政厅出台浙财采监【2022】3号文件，企业若有融资意向，可登陆政采云平台融资服务（</w:t>
            </w:r>
            <w:r>
              <w:rPr>
                <w:rFonts w:hint="eastAsia" w:ascii="仿宋" w:hAnsi="仿宋" w:eastAsia="仿宋" w:cs="仿宋"/>
                <w:color w:val="auto"/>
                <w:kern w:val="2"/>
                <w:sz w:val="24"/>
                <w:szCs w:val="24"/>
                <w:lang w:val="en-US" w:eastAsia="zh-CN" w:bidi="ar-SA"/>
              </w:rPr>
              <w:fldChar w:fldCharType="begin"/>
            </w:r>
            <w:r>
              <w:rPr>
                <w:rFonts w:hint="eastAsia" w:ascii="仿宋" w:hAnsi="仿宋" w:eastAsia="仿宋" w:cs="仿宋"/>
                <w:color w:val="auto"/>
                <w:kern w:val="2"/>
                <w:sz w:val="24"/>
                <w:szCs w:val="24"/>
                <w:lang w:val="en-US" w:eastAsia="zh-CN" w:bidi="ar-SA"/>
              </w:rPr>
              <w:instrText xml:space="preserve">HYPERLINK "https://jinrong.zcygov.en/finance-service/%23/home"</w:instrText>
            </w:r>
            <w:r>
              <w:rPr>
                <w:rFonts w:hint="eastAsia" w:ascii="仿宋" w:hAnsi="仿宋" w:eastAsia="仿宋" w:cs="仿宋"/>
                <w:color w:val="auto"/>
                <w:kern w:val="2"/>
                <w:sz w:val="24"/>
                <w:szCs w:val="24"/>
                <w:lang w:val="en-US" w:eastAsia="zh-CN" w:bidi="ar-SA"/>
              </w:rPr>
              <w:fldChar w:fldCharType="separate"/>
            </w:r>
            <w:r>
              <w:rPr>
                <w:rFonts w:hint="eastAsia" w:ascii="仿宋" w:hAnsi="仿宋" w:eastAsia="仿宋" w:cs="仿宋"/>
                <w:color w:val="auto"/>
                <w:kern w:val="2"/>
                <w:sz w:val="24"/>
                <w:szCs w:val="24"/>
                <w:lang w:val="en-US" w:eastAsia="zh-CN" w:bidi="ar-SA"/>
              </w:rPr>
              <w:t>https://jinrong.zcygov.en/finance-service/#/home</w:t>
            </w:r>
            <w:r>
              <w:rPr>
                <w:rFonts w:hint="eastAsia" w:ascii="仿宋" w:hAnsi="仿宋" w:eastAsia="仿宋" w:cs="仿宋"/>
                <w:color w:val="auto"/>
                <w:kern w:val="2"/>
                <w:sz w:val="24"/>
                <w:szCs w:val="24"/>
                <w:lang w:val="en-US" w:eastAsia="zh-CN" w:bidi="ar-SA"/>
              </w:rPr>
              <w:fldChar w:fldCharType="end"/>
            </w:r>
            <w:r>
              <w:rPr>
                <w:rFonts w:hint="eastAsia" w:ascii="仿宋" w:hAnsi="仿宋" w:eastAsia="仿宋" w:cs="仿宋"/>
                <w:color w:val="auto"/>
                <w:kern w:val="2"/>
                <w:sz w:val="24"/>
                <w:szCs w:val="24"/>
                <w:lang w:val="en-US" w:eastAsia="zh-CN" w:bidi="ar-SA"/>
              </w:rPr>
              <w:t>），查看相应融资政策文件及各相关银行服务方案。</w:t>
            </w:r>
          </w:p>
        </w:tc>
      </w:tr>
      <w:tr w14:paraId="0C8F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vAlign w:val="center"/>
          </w:tcPr>
          <w:p w14:paraId="3CE596E3">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w:t>
            </w:r>
          </w:p>
        </w:tc>
        <w:tc>
          <w:tcPr>
            <w:tcW w:w="8371" w:type="dxa"/>
            <w:gridSpan w:val="2"/>
            <w:vAlign w:val="center"/>
          </w:tcPr>
          <w:p w14:paraId="68D4CB7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采购代理服务费：</w:t>
            </w:r>
          </w:p>
          <w:p w14:paraId="081DDC0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中标单位须向招标代理机构按如下标准和规定交纳中标服务费，请在投标报价中自行考虑：</w:t>
            </w:r>
          </w:p>
          <w:p w14:paraId="6F90869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①</w:t>
            </w:r>
            <w:r>
              <w:rPr>
                <w:rFonts w:hint="eastAsia" w:ascii="仿宋" w:hAnsi="仿宋" w:eastAsia="仿宋" w:cs="仿宋"/>
                <w:snapToGrid w:val="0"/>
                <w:color w:val="auto"/>
                <w:kern w:val="28"/>
                <w:sz w:val="24"/>
                <w:szCs w:val="24"/>
                <w:lang w:val="en-US" w:eastAsia="zh-CN" w:bidi="ar-SA"/>
              </w:rPr>
              <w:t>本项目代理服务费按照以下标准收取（按差额定率累进法计算），在采购成功后向成交供应商收取</w:t>
            </w:r>
            <w:r>
              <w:rPr>
                <w:rFonts w:hint="eastAsia" w:ascii="仿宋" w:hAnsi="仿宋" w:eastAsia="仿宋" w:cs="仿宋"/>
                <w:snapToGrid w:val="0"/>
                <w:color w:val="auto"/>
                <w:kern w:val="28"/>
                <w:sz w:val="24"/>
                <w:highlight w:val="none"/>
              </w:rPr>
              <w:t>。</w:t>
            </w:r>
          </w:p>
          <w:tbl>
            <w:tblPr>
              <w:tblStyle w:val="62"/>
              <w:tblW w:w="5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2611"/>
            </w:tblGrid>
            <w:tr w14:paraId="4FC94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1D7A34BB">
                  <w:pPr>
                    <w:keepNext w:val="0"/>
                    <w:keepLines w:val="0"/>
                    <w:widowControl/>
                    <w:suppressLineNumbers w:val="0"/>
                    <w:spacing w:line="44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3B69FE5F">
                  <w:pPr>
                    <w:keepNext w:val="0"/>
                    <w:keepLines w:val="0"/>
                    <w:widowControl/>
                    <w:suppressLineNumbers w:val="0"/>
                    <w:spacing w:line="44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金额（万元）        </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06B2190E">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1779D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107BA772">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7AE2172A">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2113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084B0AE8">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4E82A6A6">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r w14:paraId="04DD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28C215B3">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500-1000</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70570D12">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0.45%</w:t>
                  </w:r>
                </w:p>
              </w:tc>
            </w:tr>
          </w:tbl>
          <w:p w14:paraId="3A7345F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②用银行支票、电汇、现金等付款方式直接交纳代理服务费。</w:t>
            </w:r>
          </w:p>
          <w:p w14:paraId="2E46B0A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公司名称: 绍兴平准招标代理有限公司</w:t>
            </w:r>
          </w:p>
          <w:p w14:paraId="102E491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开户银行：建设银行嵊州新城支行</w:t>
            </w:r>
          </w:p>
          <w:p w14:paraId="086305E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snapToGrid w:val="0"/>
                <w:color w:val="auto"/>
                <w:kern w:val="28"/>
                <w:sz w:val="24"/>
                <w:highlight w:val="none"/>
              </w:rPr>
              <w:t>银行账号：33050165655009888888</w:t>
            </w:r>
          </w:p>
        </w:tc>
      </w:tr>
      <w:tr w14:paraId="7EE4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8D8E96D">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21</w:t>
            </w:r>
          </w:p>
        </w:tc>
        <w:tc>
          <w:tcPr>
            <w:tcW w:w="8371" w:type="dxa"/>
            <w:gridSpan w:val="2"/>
            <w:vAlign w:val="center"/>
          </w:tcPr>
          <w:p w14:paraId="6C66AD32">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b w:val="0"/>
                <w:bCs w:val="0"/>
                <w:color w:val="auto"/>
                <w:sz w:val="24"/>
                <w:lang w:val="en-US" w:eastAsia="zh-CN"/>
              </w:rPr>
            </w:pPr>
            <w:r>
              <w:rPr>
                <w:rFonts w:hint="eastAsia" w:ascii="仿宋" w:hAnsi="仿宋" w:eastAsia="仿宋" w:cs="仿宋"/>
                <w:b/>
                <w:bCs/>
                <w:color w:val="auto"/>
                <w:kern w:val="2"/>
                <w:sz w:val="24"/>
                <w:szCs w:val="24"/>
                <w:lang w:val="en-US" w:eastAsia="zh-CN" w:bidi="ar-SA"/>
              </w:rPr>
              <w:t>推荐成交候选人数量：</w:t>
            </w:r>
            <w:r>
              <w:rPr>
                <w:rFonts w:hint="eastAsia" w:ascii="仿宋" w:hAnsi="仿宋" w:eastAsia="仿宋" w:cs="仿宋"/>
                <w:color w:val="auto"/>
                <w:kern w:val="2"/>
                <w:sz w:val="24"/>
                <w:szCs w:val="24"/>
                <w:lang w:val="en-US" w:eastAsia="zh-CN" w:bidi="ar-SA"/>
              </w:rPr>
              <w:t>1名</w:t>
            </w:r>
          </w:p>
        </w:tc>
      </w:tr>
      <w:tr w14:paraId="688F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BBE582E">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22</w:t>
            </w:r>
          </w:p>
        </w:tc>
        <w:tc>
          <w:tcPr>
            <w:tcW w:w="8371" w:type="dxa"/>
            <w:gridSpan w:val="2"/>
            <w:vAlign w:val="center"/>
          </w:tcPr>
          <w:p w14:paraId="5621ADCF">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b/>
                <w:color w:val="auto"/>
                <w:sz w:val="24"/>
                <w:highlight w:val="yellow"/>
                <w:u w:val="single"/>
              </w:rPr>
            </w:pPr>
            <w:r>
              <w:rPr>
                <w:rFonts w:hint="eastAsia" w:ascii="仿宋" w:hAnsi="仿宋" w:eastAsia="仿宋" w:cs="仿宋"/>
                <w:b/>
                <w:bCs/>
                <w:color w:val="auto"/>
                <w:kern w:val="2"/>
                <w:sz w:val="24"/>
                <w:szCs w:val="24"/>
                <w:lang w:val="en-US" w:eastAsia="zh-CN" w:bidi="ar-SA"/>
              </w:rPr>
              <w:t>其他：在领取成交通知书时成交供应商需根据采购人要求提供纸质磋商响应文件（与电子响应文件一致）至少三份，递交至代理机构，如与电子响应文件不符将影响成交供应商领取成交通知书。</w:t>
            </w:r>
          </w:p>
        </w:tc>
      </w:tr>
      <w:tr w14:paraId="5099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8C0139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解释：凡涉及本磋商文件的解释权属于采购人和采购代理机构。</w:t>
            </w:r>
          </w:p>
        </w:tc>
      </w:tr>
      <w:tr w14:paraId="445A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40" w:type="dxa"/>
            <w:gridSpan w:val="3"/>
            <w:vAlign w:val="center"/>
          </w:tcPr>
          <w:p w14:paraId="563CFC7E">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注：成交候选供应商</w:t>
            </w:r>
            <w:r>
              <w:rPr>
                <w:rFonts w:hint="eastAsia" w:ascii="仿宋" w:hAnsi="仿宋" w:eastAsia="仿宋" w:cs="仿宋"/>
                <w:color w:val="auto"/>
                <w:sz w:val="24"/>
                <w:szCs w:val="24"/>
              </w:rPr>
              <w:t>放弃</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资格或因质疑、投诉被取消成交资格或不能履行合同的，本项目应重新开展采购活动</w:t>
            </w:r>
            <w:r>
              <w:rPr>
                <w:rFonts w:hint="eastAsia" w:ascii="仿宋" w:hAnsi="仿宋" w:eastAsia="仿宋" w:cs="仿宋"/>
                <w:color w:val="auto"/>
                <w:kern w:val="2"/>
                <w:sz w:val="24"/>
                <w:szCs w:val="24"/>
                <w:lang w:val="en-US" w:eastAsia="zh-CN" w:bidi="ar-SA"/>
              </w:rPr>
              <w:t>。</w:t>
            </w:r>
          </w:p>
        </w:tc>
      </w:tr>
    </w:tbl>
    <w:p w14:paraId="24E3E969">
      <w:pPr>
        <w:snapToGrid w:val="0"/>
        <w:spacing w:line="336" w:lineRule="auto"/>
        <w:jc w:val="center"/>
        <w:rPr>
          <w:rFonts w:hint="eastAsia" w:ascii="仿宋" w:hAnsi="仿宋" w:eastAsia="仿宋" w:cs="仿宋"/>
          <w:b/>
          <w:color w:val="auto"/>
          <w:sz w:val="32"/>
          <w:szCs w:val="20"/>
        </w:rPr>
      </w:pPr>
    </w:p>
    <w:p w14:paraId="75112CC1">
      <w:pPr>
        <w:adjustRightInd/>
        <w:spacing w:line="336"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14:paraId="13A2F9B1">
      <w:pPr>
        <w:keepNext w:val="0"/>
        <w:keepLines w:val="0"/>
        <w:pageBreakBefore w:val="0"/>
        <w:widowControl w:val="0"/>
        <w:kinsoku/>
        <w:wordWrap/>
        <w:overflowPunct/>
        <w:topLinePunct w:val="0"/>
        <w:autoSpaceDE/>
        <w:autoSpaceDN/>
        <w:bidi w:val="0"/>
        <w:snapToGrid w:val="0"/>
        <w:spacing w:line="360" w:lineRule="auto"/>
        <w:jc w:val="left"/>
        <w:textAlignment w:val="auto"/>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1.适用范围</w:t>
      </w:r>
    </w:p>
    <w:p w14:paraId="143E9572">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本磋商文件适用于该项目的邀请、响应、开启响应文件、信用信息查询、资格性审查、评审、成交、合同、验收等行为（法律、法规另有规定的，从其规定）。</w:t>
      </w:r>
    </w:p>
    <w:p w14:paraId="59AE75DF">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2.定义</w:t>
      </w:r>
    </w:p>
    <w:p w14:paraId="7D696F7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2.1“采购人”系指磋商邀请公告中载明的本项目的采购人。</w:t>
      </w:r>
    </w:p>
    <w:p w14:paraId="373E857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2.2“采购代理机构”系指磋商邀请公告中载明的本项目的采购代理机构。</w:t>
      </w:r>
    </w:p>
    <w:p w14:paraId="40935BF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w:t>
      </w:r>
      <w:r>
        <w:rPr>
          <w:rFonts w:hint="eastAsia" w:ascii="仿宋" w:hAnsi="仿宋" w:eastAsia="仿宋" w:cs="仿宋"/>
          <w:color w:val="auto"/>
          <w:sz w:val="24"/>
          <w:szCs w:val="24"/>
          <w:highlight w:val="none"/>
        </w:rPr>
        <w:t>“供应商”系</w:t>
      </w:r>
      <w:r>
        <w:rPr>
          <w:rFonts w:hint="eastAsia" w:ascii="仿宋" w:hAnsi="仿宋" w:eastAsia="仿宋" w:cs="仿宋"/>
          <w:color w:val="auto"/>
          <w:sz w:val="24"/>
          <w:szCs w:val="24"/>
        </w:rPr>
        <w:t>指响应磋商、参加本次竞争的法人、其他组织或自然人。</w:t>
      </w:r>
    </w:p>
    <w:p w14:paraId="28D05B6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2.4“监督单位”系指政府采购监督管理部门</w:t>
      </w:r>
      <w:r>
        <w:rPr>
          <w:rFonts w:hint="eastAsia" w:ascii="仿宋" w:hAnsi="仿宋" w:eastAsia="仿宋" w:cs="仿宋"/>
          <w:color w:val="auto"/>
          <w:sz w:val="24"/>
          <w:szCs w:val="24"/>
          <w:lang w:eastAsia="zh-CN"/>
        </w:rPr>
        <w:t>。</w:t>
      </w:r>
    </w:p>
    <w:p w14:paraId="09000A6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2.5“负责人”系指法人企业的法定负责人，或其他组织为法律、行政法规规定代表单位行使职权的主要负责人，或自然人本人。</w:t>
      </w:r>
    </w:p>
    <w:p w14:paraId="4E43EC5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仿宋" w:hAnsi="仿宋" w:eastAsia="仿宋" w:cs="仿宋"/>
          <w:color w:val="auto"/>
          <w:sz w:val="24"/>
          <w:szCs w:val="24"/>
          <w:lang w:val="en-US" w:eastAsia="zh-CN"/>
        </w:rPr>
        <w:t xml:space="preserve">  </w:t>
      </w:r>
    </w:p>
    <w:p w14:paraId="797E00E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“电子交易平台”系指本项目政府采购活动所依托的政府采购云平台（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 </w:instrText>
      </w:r>
      <w:r>
        <w:rPr>
          <w:rFonts w:hint="eastAsia" w:ascii="仿宋" w:hAnsi="仿宋" w:eastAsia="仿宋" w:cs="仿宋"/>
          <w:color w:val="auto"/>
          <w:sz w:val="24"/>
          <w:szCs w:val="24"/>
        </w:rPr>
        <w:fldChar w:fldCharType="separate"/>
      </w:r>
      <w:r>
        <w:rPr>
          <w:rStyle w:val="70"/>
          <w:rFonts w:hint="eastAsia" w:ascii="仿宋" w:hAnsi="仿宋" w:eastAsia="仿宋" w:cs="仿宋"/>
          <w:snapToGrid/>
          <w:color w:val="auto"/>
          <w:kern w:val="2"/>
          <w:sz w:val="24"/>
          <w:szCs w:val="24"/>
        </w:rPr>
        <w:t>https://www.zcygov.cn/</w:t>
      </w:r>
      <w:r>
        <w:rPr>
          <w:rStyle w:val="70"/>
          <w:rFonts w:hint="eastAsia" w:ascii="仿宋" w:hAnsi="仿宋" w:eastAsia="仿宋" w:cs="仿宋"/>
          <w:snapToGrid/>
          <w:color w:val="auto"/>
          <w:kern w:val="2"/>
          <w:sz w:val="24"/>
          <w:szCs w:val="24"/>
        </w:rPr>
        <w:fldChar w:fldCharType="end"/>
      </w:r>
      <w:r>
        <w:rPr>
          <w:rFonts w:hint="eastAsia" w:ascii="仿宋" w:hAnsi="仿宋" w:eastAsia="仿宋" w:cs="仿宋"/>
          <w:color w:val="auto"/>
          <w:sz w:val="24"/>
          <w:szCs w:val="24"/>
        </w:rPr>
        <w:t>）</w:t>
      </w:r>
    </w:p>
    <w:p w14:paraId="1DE759D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 </w:t>
      </w:r>
      <w:r>
        <w:rPr>
          <w:rFonts w:hint="eastAsia" w:ascii="仿宋" w:hAnsi="仿宋" w:eastAsia="仿宋" w:cs="仿宋"/>
          <w:color w:val="auto"/>
          <w:sz w:val="24"/>
          <w:szCs w:val="24"/>
        </w:rPr>
        <w:t>”系指适用本项目的要求，“☐”系指不适用本项目的要求。</w:t>
      </w:r>
    </w:p>
    <w:p w14:paraId="1450AF70">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2.9其他定义</w:t>
      </w:r>
    </w:p>
    <w:p w14:paraId="6EEE2F7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highlight w:val="none"/>
          <w:lang w:val="en-US" w:eastAsia="zh-CN"/>
        </w:rPr>
        <w:t>“书面形式”是合同书、信件、电报、电传、传真等可以有形地表现所载内容的形式。以电子数据交换、电子邮件等方式能够有形地表现所载内容，并可以随时调取查用的数据电文，视为书面形式。</w:t>
      </w:r>
    </w:p>
    <w:p w14:paraId="746AC448">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3.采购项目需要落实的政府采购政策</w:t>
      </w:r>
    </w:p>
    <w:p w14:paraId="69E7546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E22CA6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3.2支持绿色发展</w:t>
      </w:r>
    </w:p>
    <w:p w14:paraId="72022C6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639900E0">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★3.2.2采</w:t>
      </w:r>
      <w:r>
        <w:rPr>
          <w:rFonts w:hint="eastAsia" w:ascii="仿宋" w:hAnsi="仿宋" w:eastAsia="仿宋" w:cs="仿宋"/>
          <w:b/>
          <w:color w:val="auto"/>
          <w:sz w:val="24"/>
          <w:szCs w:val="24"/>
        </w:rPr>
        <w:t>购人拟采购的产品属于政府强制采购的节能产品品目清单范围的，磋商响应人未按磋商文件要求提供国家确定的认证机构出具的、处于有效期之内的节能产品认证证书，磋商无效。</w:t>
      </w:r>
    </w:p>
    <w:p w14:paraId="0430664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3.2.3纳入政府采购管理的修缮、装修类项目采购建材的，采购单位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将绿色建材性能、指标等作为实质性条件纳入采购文件和合同，具体性能指标要求</w:t>
      </w:r>
      <w:r>
        <w:rPr>
          <w:rFonts w:hint="eastAsia" w:ascii="仿宋" w:hAnsi="仿宋" w:eastAsia="仿宋" w:cs="仿宋"/>
          <w:color w:val="auto"/>
          <w:sz w:val="24"/>
          <w:szCs w:val="24"/>
          <w:highlight w:val="none"/>
          <w:lang w:eastAsia="zh-CN"/>
        </w:rPr>
        <w:t>按照</w:t>
      </w:r>
      <w:r>
        <w:rPr>
          <w:rFonts w:hint="eastAsia" w:ascii="仿宋" w:hAnsi="仿宋" w:eastAsia="仿宋" w:cs="仿宋"/>
          <w:color w:val="auto"/>
          <w:sz w:val="24"/>
          <w:szCs w:val="24"/>
          <w:highlight w:val="none"/>
        </w:rPr>
        <w:t>相关绿色建材政府采购需求标准</w:t>
      </w:r>
      <w:r>
        <w:rPr>
          <w:rFonts w:hint="eastAsia" w:ascii="仿宋" w:hAnsi="仿宋" w:eastAsia="仿宋" w:cs="仿宋"/>
          <w:color w:val="auto"/>
          <w:sz w:val="24"/>
          <w:szCs w:val="24"/>
          <w:highlight w:val="none"/>
          <w:lang w:eastAsia="zh-CN"/>
        </w:rPr>
        <w:t>执行</w:t>
      </w:r>
      <w:r>
        <w:rPr>
          <w:rFonts w:hint="eastAsia" w:ascii="仿宋" w:hAnsi="仿宋" w:eastAsia="仿宋" w:cs="仿宋"/>
          <w:color w:val="auto"/>
          <w:sz w:val="24"/>
          <w:szCs w:val="24"/>
          <w:highlight w:val="none"/>
        </w:rPr>
        <w:t>。</w:t>
      </w:r>
    </w:p>
    <w:p w14:paraId="251424E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0DB78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3.2.5</w:t>
      </w:r>
      <w:r>
        <w:rPr>
          <w:rFonts w:hint="eastAsia" w:ascii="仿宋" w:hAnsi="仿宋" w:eastAsia="仿宋" w:cs="仿宋"/>
          <w:color w:val="auto"/>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登记报备绿色编码，未申领绿色编码的柴油动力移动源不得进入作业现场施工。</w:t>
      </w:r>
    </w:p>
    <w:p w14:paraId="47140EF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w:t>
      </w:r>
      <w:r>
        <w:rPr>
          <w:rFonts w:hint="eastAsia" w:ascii="仿宋" w:hAnsi="仿宋" w:eastAsia="仿宋" w:cs="仿宋"/>
          <w:bCs/>
          <w:color w:val="auto"/>
          <w:sz w:val="24"/>
          <w:szCs w:val="24"/>
        </w:rPr>
        <w:t>小微</w:t>
      </w:r>
      <w:r>
        <w:rPr>
          <w:rFonts w:hint="eastAsia" w:ascii="仿宋" w:hAnsi="仿宋" w:eastAsia="仿宋" w:cs="仿宋"/>
          <w:color w:val="auto"/>
          <w:sz w:val="24"/>
          <w:szCs w:val="24"/>
        </w:rPr>
        <w:t>企业价格扣除</w:t>
      </w:r>
    </w:p>
    <w:p w14:paraId="257947F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3.3.1小微企业是指</w:t>
      </w:r>
      <w:r>
        <w:rPr>
          <w:rFonts w:hint="eastAsia" w:ascii="仿宋" w:hAnsi="仿宋" w:eastAsia="仿宋" w:cs="仿宋"/>
          <w:bCs/>
          <w:color w:val="auto"/>
          <w:sz w:val="24"/>
          <w:szCs w:val="24"/>
        </w:rPr>
        <w:t>在中华人民共和国境内依法设立，依据国务院批准的中小企业划分标准确定的小型企业和微型企业，但与大企业的负责人为同一人，或者与大企业存在直接控股、管理关系的除外。</w:t>
      </w:r>
    </w:p>
    <w:p w14:paraId="12D317E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符合中小企业划分标准的个体工商户，在政府采购活动中视同中小企业。</w:t>
      </w:r>
    </w:p>
    <w:p w14:paraId="5020C96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Cs/>
          <w:color w:val="auto"/>
          <w:sz w:val="24"/>
          <w:szCs w:val="24"/>
        </w:rPr>
        <w:t>3.3.2在货物采购项目中</w:t>
      </w:r>
      <w:r>
        <w:rPr>
          <w:rFonts w:hint="eastAsia" w:ascii="仿宋" w:hAnsi="仿宋" w:eastAsia="仿宋" w:cs="仿宋"/>
          <w:b w:val="0"/>
          <w:bCs/>
          <w:color w:val="auto"/>
          <w:sz w:val="24"/>
          <w:szCs w:val="24"/>
        </w:rPr>
        <w:t>，货物由小微企业制造，即货物由小微企业生产且使用该小微企业商号或者注册商标。供应商提供的货物既有中小企业制造货物，也有大型企业制造货物的，不享受中小企业扶持政策。</w:t>
      </w:r>
    </w:p>
    <w:p w14:paraId="12C3748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3.3.3在服务采购项目中，服务由小微企业承接，即提供服务的人员为小微企业依照《中华人民共和国劳动合同法》订立劳动合同的从业人员。</w:t>
      </w:r>
    </w:p>
    <w:p w14:paraId="1FBB9CA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3.3.4小微企业应按照磋商文件格式要求提供《中小企业声明函》。</w:t>
      </w:r>
    </w:p>
    <w:p w14:paraId="25D8400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rPr>
        <w:t>的扣除，用扣除后的价格参加评审。</w:t>
      </w:r>
    </w:p>
    <w:p w14:paraId="021F7E2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rPr>
        <w:t>扣除，用扣除后的价格参加评审。组成联合体或者接受分包的小微企业与联合体内其他企业、分包企业之间存在直接控股、管理关系的，不享受价格扣除优惠政策。</w:t>
      </w:r>
    </w:p>
    <w:p w14:paraId="3607508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以联合体形式参加政府采购活动， 联合体各方均为中小企业的，联合体视同中小企业。其中，联合体各方均为小微企业的，联合体视同小微企业。</w:t>
      </w:r>
    </w:p>
    <w:p w14:paraId="258F2EB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3.3.7符合《关于促进残疾人就业政府采购政策的通知》（财库〔2017〕141号）规定的条件并提供《残疾人福利性单位声明函》的残疾人福利性单位视同小微企业；</w:t>
      </w:r>
    </w:p>
    <w:p w14:paraId="4D3E22F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32B4F43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w:t>
      </w:r>
      <w:r>
        <w:rPr>
          <w:rFonts w:hint="eastAsia" w:ascii="仿宋" w:hAnsi="仿宋" w:eastAsia="仿宋" w:cs="仿宋"/>
          <w:bCs/>
          <w:color w:val="auto"/>
          <w:sz w:val="24"/>
          <w:szCs w:val="24"/>
        </w:rPr>
        <w:t>支持创新发展</w:t>
      </w:r>
    </w:p>
    <w:p w14:paraId="19A9BFA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3.4.1 采购人优先采购被认定为首台套产品和“制造精品”的自主创新产品。</w:t>
      </w:r>
    </w:p>
    <w:p w14:paraId="3F806F4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2997A1C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240E685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p>
    <w:p w14:paraId="71F4A368">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★4.特别说明：</w:t>
      </w:r>
    </w:p>
    <w:p w14:paraId="75B2304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4.1供应商应仔细阅读磋商文件的所有内容，按照磋商文件的要求提交磋商响应文件，并对所提供的全部资料的真实性承担法律责任。</w:t>
      </w:r>
    </w:p>
    <w:p w14:paraId="083CCF9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1817A38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4.3</w:t>
      </w:r>
      <w:r>
        <w:rPr>
          <w:rFonts w:hint="eastAsia" w:ascii="仿宋" w:hAnsi="仿宋" w:eastAsia="仿宋" w:cs="仿宋"/>
          <w:color w:val="auto"/>
          <w:sz w:val="24"/>
          <w:szCs w:val="24"/>
        </w:rPr>
        <w:t>供应商</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所使用的资格、信誉、荣誉、业绩与企业认证必须为本法人（含其不具有独立法人资格的分公司）所拥有。供应商响应所使用的项目实施人员必须为本法人（含其不具有独立法人资格的分公司）员工。在组织资格性审查、商务或技术评审时，属于投标人母公司（总机构）或者同一母公司下属的其他子公司（同一总机构下属的其他分支机构）的人员、业绩、荣誉、知识产权、项目案例等，不得作为该</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的资信文件予以确认或审查通过。</w:t>
      </w:r>
    </w:p>
    <w:p w14:paraId="2B204CE5">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特殊</w:t>
      </w:r>
      <w:r>
        <w:rPr>
          <w:rFonts w:hint="eastAsia" w:ascii="仿宋" w:hAnsi="仿宋" w:eastAsia="仿宋" w:cs="仿宋"/>
          <w:b/>
          <w:bCs/>
          <w:color w:val="auto"/>
          <w:sz w:val="24"/>
          <w:szCs w:val="24"/>
          <w:lang w:val="en-US" w:eastAsia="zh-CN"/>
        </w:rPr>
        <w:t>供应商响应</w:t>
      </w:r>
      <w:r>
        <w:rPr>
          <w:rFonts w:hint="eastAsia" w:ascii="仿宋" w:hAnsi="仿宋" w:eastAsia="仿宋" w:cs="仿宋"/>
          <w:b/>
          <w:bCs/>
          <w:color w:val="auto"/>
          <w:sz w:val="24"/>
          <w:szCs w:val="24"/>
        </w:rPr>
        <w:t>规定</w:t>
      </w:r>
    </w:p>
    <w:p w14:paraId="219E335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24"/>
          <w:szCs w:val="24"/>
        </w:rPr>
        <w:t>根据相关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535FF169">
      <w:pPr>
        <w:adjustRightInd/>
        <w:spacing w:line="336" w:lineRule="auto"/>
        <w:jc w:val="center"/>
        <w:outlineLvl w:val="0"/>
        <w:rPr>
          <w:rFonts w:hint="eastAsia" w:ascii="仿宋" w:hAnsi="仿宋" w:eastAsia="仿宋" w:cs="仿宋"/>
          <w:b/>
          <w:color w:val="auto"/>
          <w:sz w:val="32"/>
          <w:szCs w:val="20"/>
        </w:rPr>
      </w:pPr>
    </w:p>
    <w:p w14:paraId="2C08949E">
      <w:pPr>
        <w:adjustRightInd/>
        <w:spacing w:line="336"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二、磋商文件</w:t>
      </w:r>
    </w:p>
    <w:p w14:paraId="37CAED3F">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政府采购方式</w:t>
      </w:r>
    </w:p>
    <w:p w14:paraId="6D89541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1.1 本项目采用</w:t>
      </w:r>
      <w:r>
        <w:rPr>
          <w:rFonts w:hint="eastAsia" w:ascii="仿宋" w:hAnsi="仿宋" w:eastAsia="仿宋" w:cs="仿宋"/>
          <w:b w:val="0"/>
          <w:bCs/>
          <w:color w:val="auto"/>
          <w:kern w:val="0"/>
          <w:sz w:val="24"/>
          <w:szCs w:val="24"/>
        </w:rPr>
        <w:t>竞争性磋商</w:t>
      </w:r>
      <w:r>
        <w:rPr>
          <w:rFonts w:hint="eastAsia" w:ascii="仿宋" w:hAnsi="仿宋" w:eastAsia="仿宋" w:cs="仿宋"/>
          <w:color w:val="auto"/>
          <w:sz w:val="24"/>
          <w:szCs w:val="24"/>
        </w:rPr>
        <w:t>方式进行。</w:t>
      </w:r>
    </w:p>
    <w:p w14:paraId="2D9A7716">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1.2 如某一标项实质性响应磋商文件的供应商不足三家时，由采购人重新组织开展采购活动或按有关规定实施。</w:t>
      </w:r>
    </w:p>
    <w:p w14:paraId="4C295220">
      <w:pPr>
        <w:keepNext w:val="0"/>
        <w:keepLines w:val="0"/>
        <w:pageBreakBefore w:val="0"/>
        <w:kinsoku/>
        <w:wordWrap/>
        <w:overflowPunct/>
        <w:topLinePunct w:val="0"/>
        <w:autoSpaceDE/>
        <w:autoSpaceDN/>
        <w:bidi w:val="0"/>
        <w:snapToGrid w:val="0"/>
        <w:spacing w:line="360" w:lineRule="auto"/>
        <w:ind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 本次竞争性磋商设定上限价，上限价即谈判公告中公布的各分标项预算金额。（各分标项之间的预算金额不能互相调整）</w:t>
      </w:r>
    </w:p>
    <w:p w14:paraId="7091CDBB">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磋商委托</w:t>
      </w:r>
    </w:p>
    <w:p w14:paraId="17D4EB2B">
      <w:pPr>
        <w:pStyle w:val="15"/>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本项目为电子磋商项目，供应商的法定代表人或其授权代表或个体工商户不需要参加现场磋商和开标。</w:t>
      </w:r>
    </w:p>
    <w:p w14:paraId="2FDEC35A">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磋商费用</w:t>
      </w:r>
    </w:p>
    <w:p w14:paraId="42561B99">
      <w:pPr>
        <w:pStyle w:val="15"/>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供应商应自行承担编制磋商响应文件及参加本次磋商所涉及的一切费用。不管磋商结果如何，采购人对上述费用不负任何责任。</w:t>
      </w:r>
    </w:p>
    <w:p w14:paraId="3B94BE4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磋商文件</w:t>
      </w:r>
    </w:p>
    <w:p w14:paraId="30194DF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4.1 </w:t>
      </w:r>
      <w:r>
        <w:rPr>
          <w:rFonts w:hint="eastAsia" w:ascii="仿宋" w:hAnsi="仿宋" w:eastAsia="仿宋" w:cs="仿宋"/>
          <w:bCs/>
          <w:color w:val="auto"/>
          <w:sz w:val="24"/>
          <w:szCs w:val="24"/>
        </w:rPr>
        <w:t>磋商文件包括本磋商文件及所有的磋商答疑记录（澄清、修改）和发出的补充通知</w:t>
      </w:r>
      <w:r>
        <w:rPr>
          <w:rFonts w:hint="eastAsia" w:ascii="仿宋" w:hAnsi="仿宋" w:eastAsia="仿宋" w:cs="仿宋"/>
          <w:color w:val="auto"/>
          <w:sz w:val="24"/>
          <w:szCs w:val="24"/>
        </w:rPr>
        <w:t>。</w:t>
      </w:r>
    </w:p>
    <w:p w14:paraId="03BD798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4.2磋商文件的澄清 </w:t>
      </w:r>
    </w:p>
    <w:p w14:paraId="78AD03FD">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对磋商文件如有疑点要求澄清，可用书面形式（包括并不仅限于纸质、信件和数据电文（包括电报、电传、传真、电子数据交换和电子邮件）)等通知采购人，但通知不得迟于磋商截止前7日使采购人收到，采购人将用书面形式予以答复。如有必要，可将不说明来源的答复发给所有供应商。</w:t>
      </w:r>
    </w:p>
    <w:p w14:paraId="5AF2F44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4.3磋商文件的修改</w:t>
      </w:r>
    </w:p>
    <w:p w14:paraId="1CB693A9">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4.3.1在磋商截止时间前，采购人有权修改磋商文件，以</w:t>
      </w:r>
      <w:r>
        <w:rPr>
          <w:rFonts w:hint="eastAsia" w:ascii="仿宋" w:hAnsi="仿宋" w:eastAsia="仿宋" w:cs="仿宋"/>
          <w:color w:val="auto"/>
          <w:sz w:val="24"/>
          <w:highlight w:val="none"/>
          <w:lang w:val="en-US" w:eastAsia="zh-CN"/>
        </w:rPr>
        <w:t>公告</w:t>
      </w:r>
      <w:r>
        <w:rPr>
          <w:rFonts w:hint="eastAsia" w:ascii="仿宋" w:hAnsi="仿宋" w:eastAsia="仿宋" w:cs="仿宋"/>
          <w:color w:val="auto"/>
          <w:sz w:val="24"/>
          <w:szCs w:val="24"/>
        </w:rPr>
        <w:t>形式通知所有供应商，通知中没有注明更改磋商截止时间的视为截止时间不变。修改的文件作为磋商文件的补充和组成部分，对所有供应商均有约束力。供应商</w:t>
      </w:r>
      <w:r>
        <w:rPr>
          <w:rFonts w:hint="eastAsia" w:ascii="仿宋" w:hAnsi="仿宋" w:eastAsia="仿宋" w:cs="仿宋"/>
          <w:color w:val="auto"/>
          <w:sz w:val="24"/>
          <w:highlight w:val="none"/>
          <w:lang w:val="en-US" w:eastAsia="zh-CN"/>
        </w:rPr>
        <w:t>可</w:t>
      </w:r>
      <w:r>
        <w:rPr>
          <w:rFonts w:hint="eastAsia" w:ascii="仿宋" w:hAnsi="仿宋" w:eastAsia="仿宋" w:cs="仿宋"/>
          <w:color w:val="auto"/>
          <w:sz w:val="24"/>
          <w:highlight w:val="none"/>
        </w:rPr>
        <w:t>自行登录浙江政府采购网查看下载</w:t>
      </w:r>
      <w:r>
        <w:rPr>
          <w:rFonts w:hint="eastAsia" w:ascii="仿宋" w:hAnsi="仿宋" w:eastAsia="仿宋" w:cs="仿宋"/>
          <w:color w:val="auto"/>
          <w:sz w:val="24"/>
          <w:szCs w:val="24"/>
        </w:rPr>
        <w:t>。</w:t>
      </w:r>
    </w:p>
    <w:p w14:paraId="756E5D1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18"/>
          <w:szCs w:val="18"/>
          <w:lang w:val="en-US"/>
        </w:rPr>
      </w:pPr>
      <w:r>
        <w:rPr>
          <w:rFonts w:hint="eastAsia" w:ascii="仿宋" w:hAnsi="仿宋" w:eastAsia="仿宋" w:cs="仿宋"/>
          <w:color w:val="auto"/>
          <w:sz w:val="24"/>
          <w:szCs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r>
        <w:rPr>
          <w:rFonts w:hint="eastAsia" w:ascii="仿宋" w:hAnsi="仿宋" w:eastAsia="仿宋" w:cs="仿宋"/>
          <w:color w:val="auto"/>
          <w:szCs w:val="24"/>
          <w:lang w:val="en-US"/>
        </w:rPr>
        <w:t xml:space="preserve">    </w:t>
      </w:r>
    </w:p>
    <w:p w14:paraId="0C56C8E2">
      <w:pPr>
        <w:adjustRightInd/>
        <w:spacing w:line="336" w:lineRule="auto"/>
        <w:jc w:val="center"/>
        <w:outlineLvl w:val="0"/>
        <w:rPr>
          <w:rFonts w:hint="eastAsia" w:ascii="仿宋" w:hAnsi="仿宋" w:eastAsia="仿宋" w:cs="仿宋"/>
          <w:b/>
          <w:color w:val="auto"/>
          <w:sz w:val="32"/>
          <w:szCs w:val="20"/>
        </w:rPr>
      </w:pPr>
    </w:p>
    <w:p w14:paraId="4883A41C">
      <w:pPr>
        <w:adjustRightInd/>
        <w:spacing w:line="336"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三、响应文件</w:t>
      </w:r>
    </w:p>
    <w:p w14:paraId="364A9900">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1.响应文件的语言及计量单位</w:t>
      </w:r>
    </w:p>
    <w:p w14:paraId="14CF1FC7">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1.1供应商应仔细阅读磋商文件中的所有内容，按照磋商文件要求，详细编制响应文件，并保证响应文件的正确性和真实性。</w:t>
      </w:r>
    </w:p>
    <w:p w14:paraId="7A6BD9A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1.2响应文件以及供应商与采购人、采购代理机构就有关磋商事宜的所有来往函电，均应以中文书写（技术术语除外）。</w:t>
      </w:r>
    </w:p>
    <w:p w14:paraId="211EE82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1.3磋商计量单位，除磋商文件中有特殊要求外，应采用中华人民共和国法定计量单位，货币单位：人民币元。</w:t>
      </w:r>
    </w:p>
    <w:p w14:paraId="733E9EAD">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1.4不按磋商文件的要求提供的响应文件可能导致被拒绝。</w:t>
      </w:r>
    </w:p>
    <w:p w14:paraId="05B4F21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1.5响应文件的形式和效力</w:t>
      </w:r>
    </w:p>
    <w:p w14:paraId="6DF46E13">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1.5.1磋商响应文件为电子响应文件，电子响应文件按“政采云供应商项目采购-电子招投标操作指南”及本磋商文件要求制作、加密传输。</w:t>
      </w:r>
    </w:p>
    <w:p w14:paraId="3666BD3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u w:val="single"/>
        </w:rPr>
      </w:pPr>
      <w:r>
        <w:rPr>
          <w:rFonts w:hint="eastAsia" w:ascii="仿宋" w:hAnsi="仿宋" w:eastAsia="仿宋" w:cs="仿宋"/>
          <w:b w:val="0"/>
          <w:bCs/>
          <w:color w:val="auto"/>
          <w:sz w:val="24"/>
          <w:szCs w:val="24"/>
          <w:u w:val="single"/>
        </w:rPr>
        <w:t>1.5.2响应文件的效力：</w:t>
      </w:r>
    </w:p>
    <w:p w14:paraId="3E68D5C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color w:val="auto"/>
          <w:sz w:val="24"/>
          <w:szCs w:val="24"/>
          <w:u w:val="single"/>
        </w:rPr>
      </w:pPr>
      <w:r>
        <w:rPr>
          <w:rFonts w:hint="eastAsia" w:ascii="仿宋" w:hAnsi="仿宋" w:eastAsia="仿宋" w:cs="仿宋"/>
          <w:b w:val="0"/>
          <w:bCs/>
          <w:color w:val="auto"/>
          <w:sz w:val="24"/>
          <w:szCs w:val="24"/>
          <w:u w:val="single"/>
        </w:rPr>
        <w:t>磋商响应文件未在磋商截止时间前完成传输的，视为磋商响应文件撤回；磋商响应文件未按时解密，亦视为响应文件撤回。</w:t>
      </w:r>
    </w:p>
    <w:p w14:paraId="5A7B4979">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响应文件的组成</w:t>
      </w:r>
    </w:p>
    <w:p w14:paraId="09440764">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磋商</w:t>
      </w: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rPr>
        <w:t>文件由“</w:t>
      </w:r>
      <w:r>
        <w:rPr>
          <w:rFonts w:hint="eastAsia" w:ascii="仿宋" w:hAnsi="仿宋" w:eastAsia="仿宋" w:cs="仿宋"/>
          <w:b/>
          <w:bCs/>
          <w:color w:val="auto"/>
          <w:sz w:val="24"/>
          <w:szCs w:val="24"/>
          <w:highlight w:val="none"/>
          <w:lang w:val="zh-CN"/>
        </w:rPr>
        <w:t>资格文件”、</w:t>
      </w:r>
      <w:r>
        <w:rPr>
          <w:rFonts w:hint="eastAsia" w:ascii="仿宋" w:hAnsi="仿宋" w:eastAsia="仿宋" w:cs="仿宋"/>
          <w:b/>
          <w:bCs/>
          <w:color w:val="auto"/>
          <w:sz w:val="24"/>
          <w:szCs w:val="24"/>
          <w:highlight w:val="none"/>
        </w:rPr>
        <w:t>“商务技术文件”、“报价文件”三部分组成，其中电子磋商响应文件中所须加盖公章部分均应采用电子签章。</w:t>
      </w:r>
    </w:p>
    <w:p w14:paraId="09512D51">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zh-CN"/>
        </w:rPr>
        <w:t>.1资格文件：</w:t>
      </w:r>
    </w:p>
    <w:p w14:paraId="4FE6256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w:t>
      </w:r>
      <w:r>
        <w:rPr>
          <w:rFonts w:hint="eastAsia" w:ascii="仿宋" w:hAnsi="仿宋" w:eastAsia="仿宋" w:cs="仿宋"/>
          <w:color w:val="auto"/>
          <w:sz w:val="24"/>
          <w:szCs w:val="24"/>
          <w:lang w:eastAsia="zh-CN"/>
        </w:rPr>
        <w:t>营业执照扫描件；</w:t>
      </w:r>
    </w:p>
    <w:p w14:paraId="3F76C597">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2.1.2</w:t>
      </w:r>
      <w:r>
        <w:rPr>
          <w:rFonts w:hint="eastAsia" w:ascii="仿宋" w:hAnsi="仿宋" w:eastAsia="仿宋" w:cs="仿宋"/>
          <w:color w:val="auto"/>
          <w:sz w:val="24"/>
          <w:szCs w:val="24"/>
          <w:highlight w:val="none"/>
        </w:rPr>
        <w:t>法定代表人身份证明书；</w:t>
      </w:r>
    </w:p>
    <w:p w14:paraId="791EB355">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授权代表社保证明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33CE6077">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符合参加政府采购活动应当具备的一般条件的承诺函；</w:t>
      </w:r>
    </w:p>
    <w:p w14:paraId="12EC0F03">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2.1.5中小企业声明函（或监狱企业声明函及其相关的充分的证明材料或残疾人福利性单位声明函）；</w:t>
      </w:r>
    </w:p>
    <w:p w14:paraId="217F01E4">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2.1.6</w:t>
      </w:r>
      <w:r>
        <w:rPr>
          <w:rFonts w:hint="eastAsia" w:ascii="仿宋" w:hAnsi="仿宋" w:eastAsia="仿宋" w:cs="仿宋"/>
          <w:color w:val="auto"/>
          <w:sz w:val="24"/>
          <w:szCs w:val="24"/>
          <w:highlight w:val="none"/>
          <w:lang w:eastAsia="zh-CN"/>
        </w:rPr>
        <w:t>单位负责人为同一人或者存在直接控股、管理关系的不同供应商，不得参加同一合同项下的政府采购活动（开标后提供《政府采购活动现场确认声明书》（PDF格式），发送至邮箱554318517@qq.com）；</w:t>
      </w:r>
    </w:p>
    <w:p w14:paraId="7AFDF80D">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2.1.7</w:t>
      </w:r>
      <w:r>
        <w:rPr>
          <w:rFonts w:hint="eastAsia" w:ascii="仿宋" w:hAnsi="仿宋" w:eastAsia="仿宋" w:cs="仿宋"/>
          <w:color w:val="auto"/>
          <w:sz w:val="24"/>
          <w:szCs w:val="24"/>
          <w:highlight w:val="none"/>
          <w:lang w:eastAsia="zh-CN"/>
        </w:rPr>
        <w:t>本项目的特定资格要求（</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p>
    <w:p w14:paraId="0B8937BC">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2商务技术</w:t>
      </w:r>
      <w:r>
        <w:rPr>
          <w:rFonts w:hint="eastAsia" w:ascii="仿宋" w:hAnsi="仿宋" w:eastAsia="仿宋" w:cs="仿宋"/>
          <w:b/>
          <w:color w:val="auto"/>
          <w:sz w:val="24"/>
          <w:szCs w:val="24"/>
          <w:highlight w:val="none"/>
          <w:lang w:val="zh-CN"/>
        </w:rPr>
        <w:t>文件：</w:t>
      </w:r>
    </w:p>
    <w:p w14:paraId="3557A74A">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2.2.1营业执照扫描件；</w:t>
      </w:r>
    </w:p>
    <w:p w14:paraId="4247911C">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 xml:space="preserve">2.2.2投标函； </w:t>
      </w:r>
    </w:p>
    <w:p w14:paraId="3FBEFF98">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2.2.3法定代表人身份证明书；</w:t>
      </w:r>
    </w:p>
    <w:p w14:paraId="2361A52C">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2.2.4法定代表人授权委托书及授权代表社保证明（若委托）；</w:t>
      </w:r>
    </w:p>
    <w:p w14:paraId="2887A1A9">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2.2.5评分索引表；</w:t>
      </w:r>
    </w:p>
    <w:p w14:paraId="696F123F">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2.2.6政府采购供应商廉洁自律承诺书；</w:t>
      </w:r>
    </w:p>
    <w:p w14:paraId="06CD15FB">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2.2.7资信及商务响应表；</w:t>
      </w:r>
    </w:p>
    <w:p w14:paraId="7CE03615">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2.2.8技术响应表；</w:t>
      </w:r>
    </w:p>
    <w:p w14:paraId="46080B70">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2.2.9同类业绩；</w:t>
      </w:r>
    </w:p>
    <w:p w14:paraId="0DC7DC9C">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2.2.10项目人员配备；</w:t>
      </w:r>
    </w:p>
    <w:p w14:paraId="1D0D3DE7">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2.2.11项目了解及分析；</w:t>
      </w:r>
    </w:p>
    <w:p w14:paraId="62B4203E">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2.2.12项目设计方案；</w:t>
      </w:r>
    </w:p>
    <w:p w14:paraId="74C6A13B">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2.2.13项目实施方案；</w:t>
      </w:r>
    </w:p>
    <w:p w14:paraId="0E72BC92">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2.2.14质量保证措施；</w:t>
      </w:r>
    </w:p>
    <w:p w14:paraId="23472C05">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2.2.15设施设备配置；</w:t>
      </w:r>
    </w:p>
    <w:p w14:paraId="18C25EE7">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2.2.16突发情况应急预案；</w:t>
      </w:r>
    </w:p>
    <w:p w14:paraId="2EFEE8A6">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2.2.17售后服务；</w:t>
      </w:r>
    </w:p>
    <w:p w14:paraId="3B1A5510">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2.2.18投标人需要说明的其他文件和说明（若有）。</w:t>
      </w:r>
    </w:p>
    <w:p w14:paraId="767C1F4B">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zh-CN" w:eastAsia="zh-CN" w:bidi="ar-SA"/>
        </w:rPr>
        <w:t xml:space="preserve">2.3报价文件： </w:t>
      </w:r>
    </w:p>
    <w:p w14:paraId="6CD44C6F">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2.3.1磋商一览表；</w:t>
      </w:r>
    </w:p>
    <w:p w14:paraId="5240D94C">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2.3.2</w:t>
      </w:r>
      <w:r>
        <w:rPr>
          <w:rFonts w:hint="eastAsia" w:ascii="仿宋" w:hAnsi="仿宋" w:eastAsia="仿宋" w:cs="仿宋"/>
          <w:color w:val="auto"/>
          <w:sz w:val="24"/>
          <w:szCs w:val="24"/>
          <w:highlight w:val="none"/>
          <w:lang w:val="en-US" w:eastAsia="zh-CN"/>
        </w:rPr>
        <w:t>报价明细表</w:t>
      </w:r>
      <w:r>
        <w:rPr>
          <w:rFonts w:hint="eastAsia" w:ascii="仿宋" w:hAnsi="仿宋" w:eastAsia="仿宋" w:cs="仿宋"/>
          <w:b w:val="0"/>
          <w:bCs w:val="0"/>
          <w:i w:val="0"/>
          <w:iCs w:val="0"/>
          <w:color w:val="auto"/>
          <w:kern w:val="2"/>
          <w:sz w:val="24"/>
          <w:szCs w:val="24"/>
          <w:highlight w:val="none"/>
          <w:vertAlign w:val="baseline"/>
          <w:lang w:val="en-US" w:eastAsia="zh-CN" w:bidi="ar-SA"/>
        </w:rPr>
        <w:t>；</w:t>
      </w:r>
    </w:p>
    <w:p w14:paraId="15782367">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sz w:val="24"/>
          <w:szCs w:val="24"/>
          <w:highlight w:val="none"/>
          <w:vertAlign w:val="baseline"/>
          <w:lang w:val="en-US" w:eastAsia="zh-CN" w:bidi="ar-SA"/>
        </w:rPr>
        <w:t xml:space="preserve">      </w:t>
      </w:r>
      <w:r>
        <w:rPr>
          <w:rFonts w:hint="eastAsia" w:ascii="仿宋" w:hAnsi="仿宋" w:eastAsia="仿宋" w:cs="仿宋"/>
          <w:color w:val="auto"/>
          <w:sz w:val="24"/>
          <w:szCs w:val="24"/>
          <w:highlight w:val="none"/>
          <w:lang w:val="en-US" w:eastAsia="zh-CN"/>
        </w:rPr>
        <w:t>2.3.3供应商</w:t>
      </w:r>
      <w:r>
        <w:rPr>
          <w:rFonts w:hint="eastAsia" w:ascii="仿宋" w:hAnsi="仿宋" w:eastAsia="仿宋" w:cs="仿宋"/>
          <w:color w:val="auto"/>
          <w:sz w:val="24"/>
          <w:szCs w:val="24"/>
          <w:highlight w:val="none"/>
          <w:lang w:eastAsia="zh-CN"/>
        </w:rPr>
        <w:t>针对报价需要说明的其他文件和说明（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i w:val="0"/>
          <w:iCs w:val="0"/>
          <w:color w:val="auto"/>
          <w:sz w:val="24"/>
          <w:szCs w:val="24"/>
          <w:highlight w:val="none"/>
          <w:vertAlign w:val="baseline"/>
          <w:lang w:val="en-US" w:eastAsia="zh-CN" w:bidi="ar-SA"/>
        </w:rPr>
        <w:t>。</w:t>
      </w:r>
    </w:p>
    <w:p w14:paraId="6383963F">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en-US" w:eastAsia="zh-CN" w:bidi="ar-SA"/>
        </w:rPr>
        <w:t>3.</w:t>
      </w:r>
      <w:r>
        <w:rPr>
          <w:rFonts w:hint="eastAsia" w:ascii="仿宋" w:hAnsi="仿宋" w:eastAsia="仿宋" w:cs="仿宋"/>
          <w:b/>
          <w:bCs/>
          <w:i w:val="0"/>
          <w:iCs w:val="0"/>
          <w:color w:val="auto"/>
          <w:kern w:val="2"/>
          <w:sz w:val="24"/>
          <w:szCs w:val="24"/>
          <w:highlight w:val="none"/>
          <w:vertAlign w:val="baseline"/>
          <w:lang w:val="zh-CN" w:eastAsia="zh-CN" w:bidi="ar-SA"/>
        </w:rPr>
        <w:t>磋商报价</w:t>
      </w:r>
    </w:p>
    <w:p w14:paraId="2925BFBA">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3.1磋商响应</w:t>
      </w:r>
      <w:r>
        <w:rPr>
          <w:rFonts w:hint="eastAsia" w:ascii="仿宋" w:hAnsi="仿宋" w:eastAsia="仿宋" w:cs="仿宋"/>
          <w:color w:val="auto"/>
          <w:sz w:val="24"/>
          <w:szCs w:val="24"/>
          <w:highlight w:val="none"/>
          <w:lang w:val="en-US" w:eastAsia="zh-CN"/>
        </w:rPr>
        <w:t>报价是完成本招标文件所述的项目内容所需的全部费用，包括但不限于设备费、附加费（人工费、设计、排版、材料价、制作、安装、税金、运输、保险、包装、服务、维护、代理服务费）等一切完成合同所需的一切本身和不可或缺的所有工作开支、政策性文件规定计合同包含的所有风险、责任等各项全部费用</w:t>
      </w:r>
      <w:r>
        <w:rPr>
          <w:rFonts w:hint="eastAsia" w:ascii="仿宋" w:hAnsi="仿宋" w:eastAsia="仿宋" w:cs="仿宋"/>
          <w:b w:val="0"/>
          <w:bCs w:val="0"/>
          <w:i w:val="0"/>
          <w:iCs w:val="0"/>
          <w:color w:val="auto"/>
          <w:kern w:val="2"/>
          <w:sz w:val="24"/>
          <w:szCs w:val="24"/>
          <w:highlight w:val="none"/>
          <w:vertAlign w:val="baseline"/>
          <w:lang w:val="en-US" w:eastAsia="zh-CN" w:bidi="ar-SA"/>
        </w:rPr>
        <w:t>。</w:t>
      </w:r>
    </w:p>
    <w:p w14:paraId="3A189568">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3.2磋商文件未列明，而供应商认为必需的费用也需列入报价。</w:t>
      </w:r>
    </w:p>
    <w:p w14:paraId="536520F8">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3.2磋商报价只允许有一个报价，有选择的报价将不予接受（除指定外）。</w:t>
      </w:r>
    </w:p>
    <w:p w14:paraId="74DC8E50">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3.3供应商提供虚假材料磋商的，磋商无效。</w:t>
      </w:r>
    </w:p>
    <w:p w14:paraId="21809B94">
      <w:pPr>
        <w:pStyle w:val="33"/>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rPr>
        <w:t>4.</w:t>
      </w:r>
      <w:r>
        <w:rPr>
          <w:rFonts w:hint="eastAsia" w:ascii="仿宋" w:hAnsi="仿宋" w:eastAsia="仿宋" w:cs="仿宋"/>
          <w:b/>
          <w:color w:val="auto"/>
          <w:sz w:val="24"/>
          <w:szCs w:val="24"/>
        </w:rPr>
        <w:t>响应文件的编制和签署</w:t>
      </w:r>
    </w:p>
    <w:p w14:paraId="089B9D14">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kern w:val="0"/>
          <w:sz w:val="24"/>
          <w:szCs w:val="24"/>
          <w:lang w:val="en-US"/>
        </w:rPr>
        <w:t>4</w:t>
      </w:r>
      <w:r>
        <w:rPr>
          <w:rFonts w:hint="eastAsia" w:ascii="仿宋" w:hAnsi="仿宋" w:eastAsia="仿宋" w:cs="仿宋"/>
          <w:color w:val="auto"/>
          <w:kern w:val="0"/>
          <w:sz w:val="24"/>
          <w:szCs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45FD46F8">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rPr>
        <w:t>4</w:t>
      </w:r>
      <w:r>
        <w:rPr>
          <w:rFonts w:hint="eastAsia" w:ascii="仿宋" w:hAnsi="仿宋" w:eastAsia="仿宋" w:cs="仿宋"/>
          <w:color w:val="auto"/>
          <w:kern w:val="0"/>
          <w:sz w:val="24"/>
          <w:szCs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16A0EA90">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rPr>
        <w:t>4</w:t>
      </w:r>
      <w:r>
        <w:rPr>
          <w:rFonts w:hint="eastAsia" w:ascii="仿宋" w:hAnsi="仿宋" w:eastAsia="仿宋" w:cs="仿宋"/>
          <w:color w:val="auto"/>
          <w:kern w:val="0"/>
          <w:sz w:val="24"/>
          <w:szCs w:val="24"/>
          <w:lang w:val="zh-CN"/>
        </w:rPr>
        <w:t>.3使用“政采云电子交易客户端”需要提前申领CA数字证书，申领流程请自行前往“浙江政府采购网-下载专区-电子交易客户端-CA驱动和申领流程”进行查阅。</w:t>
      </w:r>
    </w:p>
    <w:p w14:paraId="07517D01">
      <w:pPr>
        <w:pStyle w:val="396"/>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.4响应文件按照磋商文件第六部分格式要求进行签署、盖章。</w:t>
      </w:r>
      <w:r>
        <w:rPr>
          <w:rFonts w:hint="eastAsia" w:ascii="仿宋" w:hAnsi="仿宋" w:eastAsia="仿宋" w:cs="仿宋"/>
          <w:b/>
          <w:color w:val="auto"/>
          <w:sz w:val="24"/>
          <w:szCs w:val="24"/>
        </w:rPr>
        <w:t>供应商的响应文件未按照磋商文件要求签署、盖章的，其响应无效</w:t>
      </w:r>
      <w:r>
        <w:rPr>
          <w:rFonts w:hint="eastAsia" w:ascii="仿宋" w:hAnsi="仿宋" w:eastAsia="仿宋" w:cs="仿宋"/>
          <w:color w:val="auto"/>
          <w:sz w:val="24"/>
          <w:szCs w:val="24"/>
        </w:rPr>
        <w:t>。</w:t>
      </w:r>
    </w:p>
    <w:p w14:paraId="1BC478AF">
      <w:pPr>
        <w:pStyle w:val="396"/>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.5为确保网上操作合法、有效和安全，供应商应当在响应截止时间前完成在“政府采购云平台”的身份认证，确保在电子交易过程中能够对相关数据电文进行加密和使用电子签名。</w:t>
      </w:r>
    </w:p>
    <w:p w14:paraId="14314BEF">
      <w:pPr>
        <w:pStyle w:val="396"/>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6磋商文件对响应文件签署、盖章的要求适用于电子签名。</w:t>
      </w:r>
    </w:p>
    <w:p w14:paraId="54B60261">
      <w:pPr>
        <w:pStyle w:val="396"/>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rPr>
        <w:t>5</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磋商响应文件的提交、补充、修改、撤回</w:t>
      </w:r>
    </w:p>
    <w:p w14:paraId="793A6FC8">
      <w:pPr>
        <w:pStyle w:val="396"/>
        <w:keepNext w:val="0"/>
        <w:keepLines w:val="0"/>
        <w:pageBreakBefore w:val="0"/>
        <w:widowControl w:val="0"/>
        <w:kinsoku/>
        <w:wordWrap/>
        <w:overflowPunct/>
        <w:topLinePunct w:val="0"/>
        <w:bidi w:val="0"/>
        <w:adjustRightInd w:val="0"/>
        <w:spacing w:before="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DE52D40">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.2在响应截止时间以后，不能补充、修改响应文件。</w:t>
      </w:r>
    </w:p>
    <w:p w14:paraId="213308D2">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3在提交“最后报价”后，供应商不能退出磋商。</w:t>
      </w:r>
    </w:p>
    <w:p w14:paraId="5B936E0B">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.4电子交易平台收到响应文件，将妥善保存并即时向供应商发出确认回执通知。在响应截止时间前，除供应商补充、修改或者撤回响应文件外，任何单位和个人不得解密或提取响应文件。</w:t>
      </w:r>
    </w:p>
    <w:p w14:paraId="56C0482C">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.5采购代理机构可以视情况延长提交响应文件的截止时间。在上述情况下，采购代理机构与供应商以前在响应截止期方面的全部权利、责任和义务，将适用于延长至新的响应截止期。</w:t>
      </w:r>
    </w:p>
    <w:p w14:paraId="7EFC743E">
      <w:pPr>
        <w:pStyle w:val="396"/>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5.6备份响应文件</w:t>
      </w:r>
    </w:p>
    <w:p w14:paraId="7786CD87">
      <w:pPr>
        <w:pStyle w:val="396"/>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5.6.1</w:t>
      </w:r>
      <w:r>
        <w:rPr>
          <w:rFonts w:hint="eastAsia" w:ascii="仿宋" w:hAnsi="仿宋" w:eastAsia="仿宋" w:cs="仿宋"/>
          <w:color w:val="auto"/>
          <w:sz w:val="24"/>
          <w:szCs w:val="24"/>
          <w:lang w:val="en-US" w:eastAsia="zh-CN"/>
        </w:rPr>
        <w:t>供应商在电子交易平台传输递交响应文件后，还可以在响应截止时间前以EMS、顺丰邮寄等形式递交备份响应文件1份，</w:t>
      </w:r>
      <w:r>
        <w:rPr>
          <w:rFonts w:hint="eastAsia" w:ascii="仿宋" w:hAnsi="仿宋" w:eastAsia="仿宋" w:cs="仿宋"/>
          <w:b/>
          <w:color w:val="auto"/>
          <w:sz w:val="24"/>
          <w:szCs w:val="24"/>
        </w:rPr>
        <w:t>但采购人、采购机构不强制或变相强制</w:t>
      </w:r>
      <w:r>
        <w:rPr>
          <w:rFonts w:hint="eastAsia" w:ascii="仿宋" w:hAnsi="仿宋" w:eastAsia="仿宋" w:cs="仿宋"/>
          <w:b/>
          <w:color w:val="auto"/>
          <w:sz w:val="24"/>
          <w:szCs w:val="24"/>
          <w:lang w:val="en-US" w:eastAsia="zh-CN"/>
        </w:rPr>
        <w:t>供应商</w:t>
      </w:r>
      <w:r>
        <w:rPr>
          <w:rFonts w:hint="eastAsia" w:ascii="仿宋" w:hAnsi="仿宋" w:eastAsia="仿宋" w:cs="仿宋"/>
          <w:b/>
          <w:color w:val="auto"/>
          <w:sz w:val="24"/>
          <w:szCs w:val="24"/>
        </w:rPr>
        <w:t>提交备份</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w:t>
      </w:r>
      <w:r>
        <w:rPr>
          <w:rFonts w:hint="eastAsia" w:ascii="仿宋" w:hAnsi="仿宋" w:eastAsia="仿宋" w:cs="仿宋"/>
          <w:b/>
          <w:color w:val="auto"/>
          <w:sz w:val="24"/>
          <w:szCs w:val="24"/>
          <w:lang w:eastAsia="zh-CN"/>
        </w:rPr>
        <w:t>。</w:t>
      </w:r>
    </w:p>
    <w:p w14:paraId="1EBCA04B">
      <w:pPr>
        <w:pStyle w:val="396"/>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5.6.2</w:t>
      </w:r>
      <w:r>
        <w:rPr>
          <w:rFonts w:hint="eastAsia" w:ascii="仿宋" w:hAnsi="仿宋" w:eastAsia="仿宋" w:cs="仿宋"/>
          <w:color w:val="auto"/>
          <w:sz w:val="24"/>
          <w:szCs w:val="24"/>
        </w:rPr>
        <w:t>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文件须在“政采云投标客户端”制作生成，并储存在</w:t>
      </w:r>
      <w:r>
        <w:rPr>
          <w:rFonts w:hint="eastAsia" w:ascii="仿宋" w:hAnsi="仿宋" w:eastAsia="仿宋" w:cs="仿宋"/>
          <w:color w:val="auto"/>
          <w:sz w:val="24"/>
          <w:szCs w:val="24"/>
          <w:lang w:val="en-US" w:eastAsia="zh-CN"/>
        </w:rPr>
        <w:t>U</w:t>
      </w:r>
      <w:r>
        <w:rPr>
          <w:rFonts w:hint="eastAsia" w:ascii="仿宋" w:hAnsi="仿宋" w:eastAsia="仿宋" w:cs="仿宋"/>
          <w:color w:val="auto"/>
          <w:sz w:val="24"/>
          <w:szCs w:val="24"/>
        </w:rPr>
        <w:t>盘中。备份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文件应当密封包装并在包装上加盖公章并注明</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项目名称，</w:t>
      </w:r>
      <w:r>
        <w:rPr>
          <w:rFonts w:hint="eastAsia" w:ascii="仿宋" w:hAnsi="仿宋" w:eastAsia="仿宋" w:cs="仿宋"/>
          <w:snapToGrid w:val="0"/>
          <w:color w:val="auto"/>
          <w:kern w:val="28"/>
          <w:sz w:val="24"/>
          <w:szCs w:val="24"/>
          <w:lang w:val="en-US" w:eastAsia="zh-CN" w:bidi="ar-SA"/>
        </w:rPr>
        <w:t>供应商名称(若联合体响应的，包装物封面需注明联合体响应，并注明联合体成员各方的名称和联合协议中约定的牵头人的名称)</w:t>
      </w:r>
      <w:r>
        <w:rPr>
          <w:rFonts w:hint="eastAsia" w:ascii="仿宋" w:hAnsi="仿宋" w:eastAsia="仿宋" w:cs="仿宋"/>
          <w:color w:val="auto"/>
          <w:sz w:val="24"/>
          <w:szCs w:val="24"/>
        </w:rPr>
        <w:t>。</w:t>
      </w:r>
      <w:r>
        <w:rPr>
          <w:rFonts w:hint="eastAsia" w:ascii="仿宋" w:hAnsi="仿宋" w:eastAsia="仿宋" w:cs="仿宋"/>
          <w:b/>
          <w:color w:val="auto"/>
          <w:sz w:val="24"/>
          <w:szCs w:val="24"/>
        </w:rPr>
        <w:t>不符合上述制作、存储、密封规定的备份</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文件将被视为无效或者被拒绝接收。</w:t>
      </w:r>
    </w:p>
    <w:p w14:paraId="78CD10EF">
      <w:pPr>
        <w:pStyle w:val="396"/>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5.6.3</w:t>
      </w:r>
      <w:r>
        <w:rPr>
          <w:rFonts w:hint="eastAsia" w:ascii="仿宋" w:hAnsi="仿宋" w:eastAsia="仿宋" w:cs="仿宋"/>
          <w:color w:val="auto"/>
          <w:sz w:val="24"/>
          <w:szCs w:val="24"/>
        </w:rPr>
        <w:t>直接提交备份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应于</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截止时间前在</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公告中载明的</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地点将备份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文件提交给采购机构，采购机构将拒绝接受逾期送达的备份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w:t>
      </w:r>
    </w:p>
    <w:p w14:paraId="34C56A76">
      <w:pPr>
        <w:pStyle w:val="396"/>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5.6.4</w:t>
      </w:r>
      <w:r>
        <w:rPr>
          <w:rFonts w:hint="eastAsia" w:ascii="仿宋" w:hAnsi="仿宋" w:eastAsia="仿宋" w:cs="仿宋"/>
          <w:color w:val="auto"/>
          <w:sz w:val="24"/>
          <w:szCs w:val="24"/>
        </w:rPr>
        <w:t>以快递方式递交备份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应先将备份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文件按要求密封和标记，再进行快递包装后邮寄。备份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文件须在</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截止时间之前送达</w:t>
      </w:r>
      <w:r>
        <w:rPr>
          <w:rFonts w:hint="eastAsia" w:ascii="仿宋" w:hAnsi="仿宋" w:eastAsia="仿宋" w:cs="仿宋"/>
          <w:snapToGrid/>
          <w:color w:val="auto"/>
          <w:sz w:val="24"/>
          <w:szCs w:val="24"/>
          <w:lang w:val="en-US" w:eastAsia="zh-CN"/>
        </w:rPr>
        <w:t>磋商</w:t>
      </w:r>
      <w:r>
        <w:rPr>
          <w:rFonts w:hint="eastAsia" w:ascii="仿宋" w:hAnsi="仿宋" w:eastAsia="仿宋" w:cs="仿宋"/>
          <w:snapToGrid/>
          <w:color w:val="auto"/>
          <w:sz w:val="24"/>
          <w:szCs w:val="24"/>
        </w:rPr>
        <w:t>文件第二部分</w:t>
      </w:r>
      <w:r>
        <w:rPr>
          <w:rFonts w:hint="eastAsia" w:ascii="仿宋" w:hAnsi="仿宋" w:eastAsia="仿宋" w:cs="仿宋"/>
          <w:snapToGrid/>
          <w:color w:val="auto"/>
          <w:sz w:val="24"/>
          <w:szCs w:val="24"/>
          <w:lang w:val="en-US" w:eastAsia="zh-CN"/>
        </w:rPr>
        <w:t>供应商</w:t>
      </w:r>
      <w:r>
        <w:rPr>
          <w:rFonts w:hint="eastAsia" w:ascii="仿宋" w:hAnsi="仿宋" w:eastAsia="仿宋" w:cs="仿宋"/>
          <w:snapToGrid/>
          <w:color w:val="auto"/>
          <w:sz w:val="24"/>
          <w:szCs w:val="24"/>
        </w:rPr>
        <w:t>须知前附表规定的备份</w:t>
      </w:r>
      <w:r>
        <w:rPr>
          <w:rFonts w:hint="eastAsia" w:ascii="仿宋" w:hAnsi="仿宋" w:eastAsia="仿宋" w:cs="仿宋"/>
          <w:snapToGrid/>
          <w:color w:val="auto"/>
          <w:sz w:val="24"/>
          <w:szCs w:val="24"/>
          <w:lang w:val="en-US" w:eastAsia="zh-CN"/>
        </w:rPr>
        <w:t>响应</w:t>
      </w:r>
      <w:r>
        <w:rPr>
          <w:rFonts w:hint="eastAsia" w:ascii="仿宋" w:hAnsi="仿宋" w:eastAsia="仿宋" w:cs="仿宋"/>
          <w:snapToGrid/>
          <w:color w:val="auto"/>
          <w:sz w:val="24"/>
          <w:szCs w:val="24"/>
        </w:rPr>
        <w:t>文件送达地点；</w:t>
      </w:r>
      <w:r>
        <w:rPr>
          <w:rFonts w:hint="eastAsia" w:ascii="仿宋" w:hAnsi="仿宋" w:eastAsia="仿宋" w:cs="仿宋"/>
          <w:color w:val="auto"/>
          <w:sz w:val="24"/>
          <w:szCs w:val="24"/>
        </w:rPr>
        <w:t>送达时间以签收人签收时间为准。采购机构将拒绝接受逾期送达的备份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文件。邮寄过程中，电子备份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文件发生泄露、遗失、损坏或延期送达等情况的，由</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自行负责。</w:t>
      </w:r>
    </w:p>
    <w:p w14:paraId="02D9711D">
      <w:pPr>
        <w:pStyle w:val="396"/>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5.6.5供应商仅提交备份响应文件，没有在电子交易平台传输递交响应文件的，响应无效。</w:t>
      </w:r>
    </w:p>
    <w:p w14:paraId="2D5F81DB">
      <w:pPr>
        <w:pStyle w:val="396"/>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磋商响应有效期</w:t>
      </w:r>
    </w:p>
    <w:p w14:paraId="761FC47D">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1磋商响应有效期为从提交磋商响应文件的截止之日起90天。供应商的磋商响应文件中承诺的磋商响应有效期少于磋商文件中载明的磋商有效期的，磋商无效。</w:t>
      </w:r>
    </w:p>
    <w:p w14:paraId="527835A8">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2磋商响应文件合格投递后，自磋商截止日期起，在磋商有效期内有效。</w:t>
      </w:r>
    </w:p>
    <w:p w14:paraId="2467FCC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3在原定磋商有效期满之前，如果出现特殊情况，采购代理机构可以以书面形式通知供应商延长磋商有效期。供应商同意延长的，不得要求或被允许修改其磋商响应文件，供应商拒绝延长的，其磋商无效。</w:t>
      </w:r>
    </w:p>
    <w:p w14:paraId="6EB4C484">
      <w:pPr>
        <w:adjustRightInd/>
        <w:spacing w:line="336" w:lineRule="auto"/>
        <w:outlineLvl w:val="0"/>
        <w:rPr>
          <w:rFonts w:hint="eastAsia" w:ascii="仿宋" w:hAnsi="仿宋" w:eastAsia="仿宋" w:cs="仿宋"/>
          <w:b/>
          <w:color w:val="auto"/>
          <w:sz w:val="32"/>
          <w:szCs w:val="20"/>
        </w:rPr>
      </w:pPr>
    </w:p>
    <w:p w14:paraId="14F2CC31">
      <w:pPr>
        <w:adjustRightInd/>
        <w:spacing w:line="336" w:lineRule="auto"/>
        <w:jc w:val="center"/>
        <w:outlineLvl w:val="0"/>
        <w:rPr>
          <w:rFonts w:hint="eastAsia" w:ascii="仿宋" w:hAnsi="仿宋" w:eastAsia="仿宋" w:cs="仿宋"/>
          <w:b/>
          <w:color w:val="auto"/>
          <w:sz w:val="32"/>
        </w:rPr>
      </w:pPr>
      <w:r>
        <w:rPr>
          <w:rFonts w:hint="eastAsia" w:ascii="仿宋" w:hAnsi="仿宋" w:eastAsia="仿宋" w:cs="仿宋"/>
          <w:b/>
          <w:color w:val="auto"/>
          <w:sz w:val="32"/>
          <w:szCs w:val="20"/>
        </w:rPr>
        <w:t>四、</w:t>
      </w:r>
      <w:r>
        <w:rPr>
          <w:rFonts w:hint="eastAsia" w:ascii="仿宋" w:hAnsi="仿宋" w:eastAsia="仿宋" w:cs="仿宋"/>
          <w:b/>
          <w:color w:val="auto"/>
          <w:sz w:val="32"/>
          <w:szCs w:val="32"/>
        </w:rPr>
        <w:t>磋商和评审</w:t>
      </w:r>
    </w:p>
    <w:p w14:paraId="26B32046">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磋商程序</w:t>
      </w:r>
    </w:p>
    <w:p w14:paraId="6012E1B4">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1.1响应截止时间后，主持人宣布磋商开始。</w:t>
      </w:r>
    </w:p>
    <w:p w14:paraId="2F17DF74">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1.2供应商登录政采云平台，用“项目采购-开标评标”功能对电子磋商响应文件进行在线解密。在线解密电子磋商响应文件时间为磋商截止时间起30分钟内。</w:t>
      </w:r>
    </w:p>
    <w:p w14:paraId="5E29047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1.3确定各供应商磋商、演示顺序（如有要求）。</w:t>
      </w:r>
    </w:p>
    <w:p w14:paraId="62B2639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1.4磋商小组对磋商响应文件进行评估和比较。</w:t>
      </w:r>
    </w:p>
    <w:p w14:paraId="7A2FEA5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1.5磋商小组与单一供应商分别进行磋商。</w:t>
      </w:r>
    </w:p>
    <w:p w14:paraId="7E49C54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1.6</w:t>
      </w:r>
      <w:r>
        <w:rPr>
          <w:rFonts w:hint="eastAsia" w:ascii="仿宋" w:hAnsi="仿宋" w:eastAsia="仿宋" w:cs="仿宋"/>
          <w:b w:val="0"/>
          <w:bCs w:val="0"/>
          <w:color w:val="auto"/>
          <w:sz w:val="24"/>
          <w:szCs w:val="24"/>
        </w:rPr>
        <w:t>磋商小组要求所有实质性响应的供应商在规定时间内提交最后报价。</w:t>
      </w:r>
    </w:p>
    <w:p w14:paraId="0C523F9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1.7由磋商小组采用综合评分法对提交最后报价的供应商的磋商响应文件和最后报价进行综合评审，在符合采购需求、质量和服务要求的前提下，按评审得分从高到低顺序推荐确定成交候选供应商。</w:t>
      </w:r>
    </w:p>
    <w:p w14:paraId="492A8A7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1.8主持人公布磋商结果。</w:t>
      </w:r>
    </w:p>
    <w:p w14:paraId="36725B99">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特别说明：政采云公司如对电子化磋商程序有调整的，按调整后的程序操作。</w:t>
      </w:r>
    </w:p>
    <w:p w14:paraId="760F3099">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2.采购过程中出现以下情形，导致电子交易平台无法正常运行，或者无法保证电子交易的公平、公正和安全时，采购组织机构可中止电子交易活动：</w:t>
      </w:r>
    </w:p>
    <w:p w14:paraId="5C1F63E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2.1电子交易平台发生故障而无法登录访问的； </w:t>
      </w:r>
    </w:p>
    <w:p w14:paraId="737B0BD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2.2电子交易平台应用或数据库出现错误，不能进行正常操作的；</w:t>
      </w:r>
    </w:p>
    <w:p w14:paraId="23BFF7A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2.3电子交易平台发现严重安全漏洞，有潜在泄密危险的；</w:t>
      </w:r>
    </w:p>
    <w:p w14:paraId="53548CD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2.4病毒发作导致不能进行正常操作的； </w:t>
      </w:r>
    </w:p>
    <w:p w14:paraId="5A5E26A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2.5其他无法保证电子交易的公平、公正和安全的情况。</w:t>
      </w:r>
    </w:p>
    <w:p w14:paraId="358E0E9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14:paraId="1F87563D">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磋商内容</w:t>
      </w:r>
    </w:p>
    <w:p w14:paraId="5771ABF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本次磋商内容为在磋商文件范围内就供应商的磋商响应文件，磋商小组与供应商在技术、价格、服务、合同等问题进行磋商，最终确定成交与否。</w:t>
      </w:r>
    </w:p>
    <w:p w14:paraId="4CB3D30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3.2磋商应作书面记录，供应商并就磋商内容作出书面承诺，并由供应商法定代表人或其授权委托人签字后生效，作为磋商响应文件的一部分。</w:t>
      </w:r>
    </w:p>
    <w:p w14:paraId="23E9A69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3.3磋商文件有实质性变动的，磋商小组以书面形式通知所有参加磋商的供应商。</w:t>
      </w:r>
    </w:p>
    <w:p w14:paraId="443D0E7C">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w:t>
      </w:r>
    </w:p>
    <w:p w14:paraId="74A3132F">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4.1磋商小组由采购人依法组建，负责评审活动。磋商小组遵循公开、公平、公正、科学合理、竞争择优的原则。</w:t>
      </w:r>
    </w:p>
    <w:p w14:paraId="40DFECB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4.2磋商小组由采购人代表和有关方面的专家组成，成员人数为3人以上单数。</w:t>
      </w:r>
    </w:p>
    <w:p w14:paraId="1F730AFD">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4.3磋商小组负责对供应商资格的最终审定。</w:t>
      </w:r>
    </w:p>
    <w:p w14:paraId="4F80427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4.4磋商小组可以要求供应商对其磋商响应文件中含义不明确的内容作必要的澄清或者说明，但澄清或者说明不得超过磋商响应文件的范围或者改变磋商响应文件的实质性内容。</w:t>
      </w:r>
    </w:p>
    <w:p w14:paraId="619D6F1D">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43CDF63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供应商通过政采云平台交换的数据电文必须进行电子签章。</w:t>
      </w:r>
    </w:p>
    <w:p w14:paraId="2B078AA2">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CA39F40">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4.6</w:t>
      </w:r>
      <w:r>
        <w:rPr>
          <w:rFonts w:hint="eastAsia" w:ascii="仿宋" w:hAnsi="仿宋" w:eastAsia="仿宋" w:cs="仿宋"/>
          <w:color w:val="auto"/>
          <w:sz w:val="24"/>
          <w:szCs w:val="24"/>
        </w:rPr>
        <w:t>磋商小组</w:t>
      </w:r>
      <w:r>
        <w:rPr>
          <w:rFonts w:hint="eastAsia" w:ascii="仿宋" w:hAnsi="仿宋" w:eastAsia="仿宋" w:cs="仿宋"/>
          <w:color w:val="auto"/>
          <w:kern w:val="0"/>
          <w:sz w:val="24"/>
          <w:szCs w:val="24"/>
        </w:rPr>
        <w:t>对磋商响应文件的判定，只依据磋商响应文件和磋商文件内容本身，不依据任何外来证明。</w:t>
      </w:r>
    </w:p>
    <w:p w14:paraId="41342D82">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4.7磋商小组不向落标方解释落标的原因，不退还磋商响应文件。</w:t>
      </w:r>
    </w:p>
    <w:p w14:paraId="11AA5A79">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5</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磋商响应文件的初审鉴定</w:t>
      </w:r>
    </w:p>
    <w:p w14:paraId="0FDBBB0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5.1资格性审查</w:t>
      </w:r>
    </w:p>
    <w:p w14:paraId="6464496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5.1.1依据法律、法规和磋商文件规定，对磋商响应文件中对资格证明进行审查，以确定供应商是否具备磋商资格。</w:t>
      </w:r>
    </w:p>
    <w:p w14:paraId="0D837832">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5.1.2供应商未按照磋商文件要求提供与基本资格条件、特定资格条件相应的有效资格证明材料的，视为供应商不具备磋商文件中规定的资格要求，其响应无效。</w:t>
      </w:r>
    </w:p>
    <w:p w14:paraId="5665B172">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5.2符合性审查</w:t>
      </w:r>
    </w:p>
    <w:p w14:paraId="7464796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0085230E">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5.3如果磋商响应文件实质不响应磋商文件的各项要求，磋商小组将予以拒绝，并且不允许供应商通过修改或撤销其不符合要求的差异或保留，使之成为具有响应性的磋商。</w:t>
      </w:r>
    </w:p>
    <w:p w14:paraId="4D2FEF2F">
      <w:pPr>
        <w:keepNext w:val="0"/>
        <w:keepLines w:val="0"/>
        <w:pageBreakBefore w:val="0"/>
        <w:widowControl/>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对明显的文字和计算错误的修正原则</w:t>
      </w:r>
    </w:p>
    <w:p w14:paraId="5921C2A0">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6.1磋商响应文件中报价一览表（报价表）内容与磋商响应文件中相应内容不一致的，以报价一览表（报价表）为准；</w:t>
      </w:r>
    </w:p>
    <w:p w14:paraId="32E16A0E">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6.2大写金额和小写金额不一致的，以大写金额为准；</w:t>
      </w:r>
    </w:p>
    <w:p w14:paraId="694ED79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6.3单价金额小数点或者百分比有明显错位的，以报价一览表的总价为准，并修改单价；</w:t>
      </w:r>
    </w:p>
    <w:p w14:paraId="15E6251F">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6.4总价金额与按单价汇总金额不一致的，以单价金额计算结果为准。</w:t>
      </w:r>
    </w:p>
    <w:p w14:paraId="3B7C91F4">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同时出现两种以上不一致的，按照前款规定的顺序修正。</w:t>
      </w:r>
      <w:r>
        <w:rPr>
          <w:rFonts w:hint="eastAsia" w:ascii="仿宋" w:hAnsi="仿宋" w:eastAsia="仿宋" w:cs="仿宋"/>
          <w:bCs/>
          <w:color w:val="auto"/>
          <w:sz w:val="24"/>
          <w:szCs w:val="24"/>
        </w:rPr>
        <w:t>修正后的报价按照财政部公布第87号令《政府采购货物和服务招标投标管理办法》</w:t>
      </w:r>
      <w:r>
        <w:rPr>
          <w:rFonts w:hint="eastAsia" w:ascii="仿宋" w:hAnsi="仿宋" w:eastAsia="仿宋" w:cs="仿宋"/>
          <w:color w:val="auto"/>
          <w:sz w:val="24"/>
          <w:szCs w:val="24"/>
        </w:rPr>
        <w:t>第五十一条第二款的规定经磋商响应人确认后产生约束力，磋商响应人不确认的，其磋商无效。</w:t>
      </w:r>
    </w:p>
    <w:p w14:paraId="1F6B1DA8">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7.磋商响应文件的评审、比较和否决</w:t>
      </w:r>
    </w:p>
    <w:p w14:paraId="2FC10060">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7.1磋商小组将对在实质上响应磋商文件要求的磋商响应文件进行评估和比较。</w:t>
      </w:r>
    </w:p>
    <w:p w14:paraId="04E2D83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7.2磋商小组可以书面形式要求供应商就磋商响应文件含义不明确的内容进行书面说明并提供相关材料。</w:t>
      </w:r>
    </w:p>
    <w:p w14:paraId="190A8FA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7.3如发现与磋商文件要求相偏离的，磋商小组应对其偏离情形进行必要的书面核实。</w:t>
      </w:r>
    </w:p>
    <w:p w14:paraId="64D7B624">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7.4如属于实质性偏离或符合无效响应条件的，磋商小组应当询问相关供应商，并允许其进行陈述申辩，但不允许对偏离条款撤回。</w:t>
      </w:r>
    </w:p>
    <w:p w14:paraId="74C11C5E">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7.5比较与评价。磋商小组依据磋商文件规定的评审标准和方法，对磋商响应文件进行商务和技术评估，综合比较与评价。。</w:t>
      </w:r>
    </w:p>
    <w:p w14:paraId="5FF9768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7.6汇总（商务技术得分情况）。磋商小组各成员应当独立对每个供应商的磋商响应文件进行评价，并汇总商务技术得分情况。</w:t>
      </w:r>
    </w:p>
    <w:p w14:paraId="57BABA4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 报价审核。对符合采购需求且通过商务技术（资信）评审的供应商的报价的合理性、准确性等进行审查核实。</w:t>
      </w:r>
    </w:p>
    <w:p w14:paraId="4D35C63D">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7.7.1磋商小组认为供应商的报价明显低于其他通过符合性审查供应商的报价，有可能影响产品质量或者不能诚信履约的，应当要求其在磋商现场合理的时间内提供书面说明，必要时提交相关证明材料。</w:t>
      </w:r>
    </w:p>
    <w:p w14:paraId="15FD769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7.7.2根据财政部发布的《政府采购促进中小企业发展暂行办法》规定，对于非专门面向中小企业的项目，对小型和微型企业产品的价格给予一定的扣除，用扣除后的价格参与评审。</w:t>
      </w:r>
    </w:p>
    <w:p w14:paraId="2DF9A67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7.7.3如需磋商价格修正，按财政部第87号令第五十九条的规定对磋商价格进行修正。</w:t>
      </w:r>
    </w:p>
    <w:p w14:paraId="7CD0D78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7.8磋商小组依据磋商文件规定的评标标准和方法，对磋商响应文件进行评审和比较后，向</w:t>
      </w:r>
      <w:r>
        <w:rPr>
          <w:rFonts w:hint="eastAsia" w:ascii="仿宋" w:hAnsi="仿宋" w:eastAsia="仿宋" w:cs="仿宋"/>
          <w:color w:val="auto"/>
          <w:sz w:val="24"/>
          <w:szCs w:val="24"/>
          <w:highlight w:val="none"/>
          <w:lang w:eastAsia="zh-CN"/>
        </w:rPr>
        <w:t>采购人或其委托的采购代理机构</w:t>
      </w:r>
      <w:r>
        <w:rPr>
          <w:rFonts w:hint="eastAsia" w:ascii="仿宋" w:hAnsi="仿宋" w:eastAsia="仿宋" w:cs="仿宋"/>
          <w:color w:val="auto"/>
          <w:sz w:val="24"/>
          <w:szCs w:val="24"/>
        </w:rPr>
        <w:t>提供书面磋商报告，并按得分高低排序推荐中标候选供应商。</w:t>
      </w:r>
    </w:p>
    <w:p w14:paraId="0C74FC33">
      <w:pPr>
        <w:pStyle w:val="15"/>
        <w:keepNext w:val="0"/>
        <w:keepLines w:val="0"/>
        <w:pageBreakBefore w:val="0"/>
        <w:tabs>
          <w:tab w:val="clear" w:pos="390"/>
        </w:tabs>
        <w:kinsoku/>
        <w:wordWrap/>
        <w:overflowPunct/>
        <w:topLinePunct w:val="0"/>
        <w:autoSpaceDE/>
        <w:autoSpaceDN/>
        <w:bidi w:val="0"/>
        <w:spacing w:afterLines="0" w:line="360" w:lineRule="auto"/>
        <w:ind w:left="0" w:firstLine="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8.磋商响应文件的澄清</w:t>
      </w:r>
    </w:p>
    <w:p w14:paraId="6102BA3C">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6616745F">
      <w:pPr>
        <w:pStyle w:val="33"/>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9．无效磋商的情形</w:t>
      </w:r>
    </w:p>
    <w:p w14:paraId="6D305D54">
      <w:pPr>
        <w:keepNext w:val="0"/>
        <w:keepLines w:val="0"/>
        <w:pageBreakBefore w:val="0"/>
        <w:tabs>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磋商响应文件有下列情形之一的作无效磋商响应处理：</w:t>
      </w:r>
    </w:p>
    <w:p w14:paraId="031DB32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9.1磋商响应文件未按照磋商文件规定要求电子签章、签字或盖章的；</w:t>
      </w:r>
    </w:p>
    <w:p w14:paraId="58D9E8C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9.2单位负责人为同一人或者存在直接控股、管理关系的不同供应商参加同一合同项下的政府采购活动的（均无效）； </w:t>
      </w:r>
    </w:p>
    <w:p w14:paraId="681C61A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9.4供应商不具备磋商文件中规定的资格要求的（供应商未提供有效的资格证明文件的，视为其不具备磋商文件中规定的资格要求）；</w:t>
      </w:r>
    </w:p>
    <w:p w14:paraId="6058454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9.5</w:t>
      </w:r>
      <w:r>
        <w:rPr>
          <w:rFonts w:hint="eastAsia" w:ascii="仿宋" w:hAnsi="仿宋" w:eastAsia="仿宋" w:cs="仿宋"/>
          <w:b w:val="0"/>
          <w:bCs/>
          <w:color w:val="auto"/>
          <w:kern w:val="0"/>
          <w:sz w:val="24"/>
          <w:szCs w:val="24"/>
        </w:rPr>
        <w:t>《法定代表人身份证明书》与提供的身份证复印件信息不符的；《法定代表人授权委托书》与提供的身份证复印件信息不符的；</w:t>
      </w:r>
    </w:p>
    <w:p w14:paraId="225943AD">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9.6《法定代表人授权委托书》或《法定代表人身份证明书》填写不全、错误、或授权代表未经有效授权的；</w:t>
      </w:r>
    </w:p>
    <w:p w14:paraId="5998CB66">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9.7授权代表非磋商响应单位正式职工（以社保证明为准，如授权代表为离退休返聘人员的，需提供退休证明及单位聘用证明</w:t>
      </w:r>
      <w:r>
        <w:rPr>
          <w:rFonts w:hint="eastAsia" w:ascii="仿宋" w:hAnsi="仿宋" w:eastAsia="仿宋" w:cs="仿宋"/>
          <w:b w:val="0"/>
          <w:bCs/>
          <w:color w:val="auto"/>
          <w:sz w:val="24"/>
          <w:szCs w:val="24"/>
        </w:rPr>
        <w:t>)，</w:t>
      </w:r>
      <w:r>
        <w:rPr>
          <w:rFonts w:hint="eastAsia" w:ascii="仿宋" w:hAnsi="仿宋" w:eastAsia="仿宋" w:cs="仿宋"/>
          <w:b w:val="0"/>
          <w:bCs/>
          <w:color w:val="auto"/>
          <w:kern w:val="0"/>
          <w:sz w:val="24"/>
          <w:szCs w:val="24"/>
        </w:rPr>
        <w:t>法定代表人及个体工商户除外；</w:t>
      </w:r>
    </w:p>
    <w:p w14:paraId="2AE71B9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highlight w:val="yellow"/>
        </w:rPr>
      </w:pPr>
      <w:r>
        <w:rPr>
          <w:rFonts w:hint="eastAsia" w:ascii="仿宋" w:hAnsi="仿宋" w:eastAsia="仿宋" w:cs="仿宋"/>
          <w:b w:val="0"/>
          <w:bCs w:val="0"/>
          <w:color w:val="auto"/>
          <w:sz w:val="24"/>
          <w:highlight w:val="none"/>
          <w:lang w:val="en-US" w:eastAsia="zh-CN"/>
        </w:rPr>
        <w:t>9.8磋商响应文件</w:t>
      </w:r>
      <w:r>
        <w:rPr>
          <w:rFonts w:hint="eastAsia" w:ascii="仿宋" w:hAnsi="仿宋" w:eastAsia="仿宋" w:cs="仿宋"/>
          <w:b w:val="0"/>
          <w:bCs w:val="0"/>
          <w:color w:val="auto"/>
          <w:sz w:val="24"/>
          <w:highlight w:val="none"/>
        </w:rPr>
        <w:t>中承诺的</w:t>
      </w:r>
      <w:r>
        <w:rPr>
          <w:rFonts w:hint="eastAsia" w:ascii="仿宋" w:hAnsi="仿宋" w:eastAsia="仿宋" w:cs="仿宋"/>
          <w:b w:val="0"/>
          <w:bCs w:val="0"/>
          <w:color w:val="auto"/>
          <w:sz w:val="24"/>
          <w:highlight w:val="none"/>
          <w:lang w:val="en-US" w:eastAsia="zh-CN"/>
        </w:rPr>
        <w:t>磋商</w:t>
      </w:r>
      <w:r>
        <w:rPr>
          <w:rFonts w:hint="eastAsia" w:ascii="仿宋" w:hAnsi="仿宋" w:eastAsia="仿宋" w:cs="仿宋"/>
          <w:b w:val="0"/>
          <w:bCs w:val="0"/>
          <w:color w:val="auto"/>
          <w:sz w:val="24"/>
          <w:highlight w:val="none"/>
        </w:rPr>
        <w:t>有效期少于</w:t>
      </w:r>
      <w:r>
        <w:rPr>
          <w:rFonts w:hint="eastAsia" w:ascii="仿宋" w:hAnsi="仿宋" w:eastAsia="仿宋" w:cs="仿宋"/>
          <w:b w:val="0"/>
          <w:bCs w:val="0"/>
          <w:color w:val="auto"/>
          <w:sz w:val="24"/>
          <w:highlight w:val="none"/>
          <w:lang w:val="en-US" w:eastAsia="zh-CN"/>
        </w:rPr>
        <w:t>磋商</w:t>
      </w:r>
      <w:r>
        <w:rPr>
          <w:rFonts w:hint="eastAsia" w:ascii="仿宋" w:hAnsi="仿宋" w:eastAsia="仿宋" w:cs="仿宋"/>
          <w:b w:val="0"/>
          <w:bCs w:val="0"/>
          <w:color w:val="auto"/>
          <w:sz w:val="24"/>
          <w:highlight w:val="none"/>
        </w:rPr>
        <w:t>文件中载明的</w:t>
      </w:r>
      <w:r>
        <w:rPr>
          <w:rFonts w:hint="eastAsia" w:ascii="仿宋" w:hAnsi="仿宋" w:eastAsia="仿宋" w:cs="仿宋"/>
          <w:b w:val="0"/>
          <w:bCs w:val="0"/>
          <w:color w:val="auto"/>
          <w:sz w:val="24"/>
          <w:highlight w:val="none"/>
          <w:lang w:val="en-US" w:eastAsia="zh-CN"/>
        </w:rPr>
        <w:t>磋商</w:t>
      </w:r>
      <w:r>
        <w:rPr>
          <w:rFonts w:hint="eastAsia" w:ascii="仿宋" w:hAnsi="仿宋" w:eastAsia="仿宋" w:cs="仿宋"/>
          <w:b w:val="0"/>
          <w:bCs w:val="0"/>
          <w:color w:val="auto"/>
          <w:sz w:val="24"/>
          <w:highlight w:val="none"/>
        </w:rPr>
        <w:t>有效期的；</w:t>
      </w:r>
    </w:p>
    <w:p w14:paraId="4E2F3930">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9.9</w:t>
      </w:r>
      <w:r>
        <w:rPr>
          <w:rFonts w:hint="eastAsia" w:ascii="仿宋" w:hAnsi="仿宋" w:eastAsia="仿宋" w:cs="仿宋"/>
          <w:b w:val="0"/>
          <w:bCs/>
          <w:color w:val="auto"/>
          <w:sz w:val="24"/>
          <w:szCs w:val="24"/>
          <w:highlight w:val="none"/>
        </w:rPr>
        <w:t>供应商递交两份或两份以上内容不同的磋商响应文件，且未声明哪一份有效的；</w:t>
      </w:r>
    </w:p>
    <w:p w14:paraId="520D6C90">
      <w:pPr>
        <w:pStyle w:val="33"/>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9.10报价一经涂改，涂改处无磋商响应单位电子签章或者未经法定代表人或授权代表签字或盖章的；</w:t>
      </w:r>
    </w:p>
    <w:p w14:paraId="043F2B4B">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9.11</w:t>
      </w:r>
      <w:r>
        <w:rPr>
          <w:rFonts w:hint="eastAsia" w:ascii="仿宋" w:hAnsi="仿宋" w:eastAsia="仿宋" w:cs="仿宋"/>
          <w:b w:val="0"/>
          <w:bCs/>
          <w:color w:val="auto"/>
          <w:sz w:val="24"/>
          <w:szCs w:val="24"/>
        </w:rPr>
        <w:t>磋商响应文件中未按磋商文件规定的格式填写，或未详细应答磋商服务（或技术或产品等要求），经磋商后仍无法详细应答或应答不完整有缺失，致使磋商小组无法评审的；</w:t>
      </w:r>
    </w:p>
    <w:p w14:paraId="3A19C4EF">
      <w:pPr>
        <w:pStyle w:val="33"/>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9.12出现同一标的物或本次磋商产品(服务)内的主要产品(重要组成部分)出现商务技术（资信）文件资料、报价文件资料描述不一致或前后描述不一致，经磋商小组认定后为无法评审的；</w:t>
      </w:r>
    </w:p>
    <w:p w14:paraId="3BD9F4EA">
      <w:pPr>
        <w:pStyle w:val="33"/>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9.13</w:t>
      </w:r>
      <w:r>
        <w:rPr>
          <w:rFonts w:hint="eastAsia" w:ascii="仿宋" w:hAnsi="仿宋" w:eastAsia="仿宋" w:cs="仿宋"/>
          <w:b w:val="0"/>
          <w:bCs/>
          <w:color w:val="auto"/>
          <w:kern w:val="0"/>
          <w:sz w:val="24"/>
          <w:szCs w:val="24"/>
          <w:lang w:val="en-US" w:eastAsia="zh-CN"/>
        </w:rPr>
        <w:t>磋商</w:t>
      </w:r>
      <w:r>
        <w:rPr>
          <w:rFonts w:hint="eastAsia" w:ascii="仿宋" w:hAnsi="仿宋" w:eastAsia="仿宋" w:cs="仿宋"/>
          <w:b w:val="0"/>
          <w:bCs/>
          <w:color w:val="auto"/>
          <w:kern w:val="0"/>
          <w:sz w:val="24"/>
          <w:szCs w:val="24"/>
        </w:rPr>
        <w:t>有效期、交货期（服务期）、付款方式等商务条款不能满足</w:t>
      </w:r>
      <w:r>
        <w:rPr>
          <w:rFonts w:hint="eastAsia" w:ascii="仿宋" w:hAnsi="仿宋" w:eastAsia="仿宋" w:cs="仿宋"/>
          <w:b w:val="0"/>
          <w:bCs/>
          <w:color w:val="auto"/>
          <w:kern w:val="0"/>
          <w:sz w:val="24"/>
          <w:szCs w:val="24"/>
          <w:lang w:val="en-US" w:eastAsia="zh-CN"/>
        </w:rPr>
        <w:t>磋商文件</w:t>
      </w:r>
      <w:r>
        <w:rPr>
          <w:rFonts w:hint="eastAsia" w:ascii="仿宋" w:hAnsi="仿宋" w:eastAsia="仿宋" w:cs="仿宋"/>
          <w:b w:val="0"/>
          <w:bCs/>
          <w:color w:val="auto"/>
          <w:kern w:val="0"/>
          <w:sz w:val="24"/>
          <w:szCs w:val="24"/>
        </w:rPr>
        <w:t>要求的</w:t>
      </w:r>
      <w:r>
        <w:rPr>
          <w:rFonts w:hint="eastAsia" w:ascii="仿宋" w:hAnsi="仿宋" w:eastAsia="仿宋" w:cs="仿宋"/>
          <w:b w:val="0"/>
          <w:bCs/>
          <w:color w:val="auto"/>
          <w:sz w:val="24"/>
          <w:szCs w:val="24"/>
        </w:rPr>
        <w:t>；</w:t>
      </w:r>
    </w:p>
    <w:p w14:paraId="729EF1FB">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9.14</w:t>
      </w:r>
      <w:r>
        <w:rPr>
          <w:rFonts w:hint="eastAsia" w:ascii="仿宋" w:hAnsi="仿宋" w:eastAsia="仿宋" w:cs="仿宋"/>
          <w:b w:val="0"/>
          <w:bCs/>
          <w:color w:val="auto"/>
          <w:kern w:val="0"/>
          <w:sz w:val="24"/>
          <w:szCs w:val="24"/>
        </w:rPr>
        <w:t>磋商响应文件有采购人不能接受的条件；</w:t>
      </w:r>
    </w:p>
    <w:p w14:paraId="74AEEA0A">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9.15</w:t>
      </w:r>
      <w:r>
        <w:rPr>
          <w:rFonts w:hint="eastAsia" w:ascii="仿宋" w:hAnsi="仿宋" w:eastAsia="仿宋" w:cs="仿宋"/>
          <w:b w:val="0"/>
          <w:bCs/>
          <w:color w:val="auto"/>
          <w:sz w:val="24"/>
          <w:szCs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1E0437D6">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9.16最后报价超过预算金额或最高限价</w:t>
      </w:r>
      <w:r>
        <w:rPr>
          <w:rFonts w:hint="eastAsia" w:ascii="仿宋" w:hAnsi="仿宋" w:eastAsia="仿宋" w:cs="仿宋"/>
          <w:b w:val="0"/>
          <w:bCs/>
          <w:color w:val="auto"/>
          <w:sz w:val="24"/>
          <w:szCs w:val="24"/>
          <w:lang w:val="en-US" w:eastAsia="zh-CN"/>
        </w:rPr>
        <w:t>的</w:t>
      </w:r>
      <w:r>
        <w:rPr>
          <w:rFonts w:hint="eastAsia" w:ascii="仿宋" w:hAnsi="仿宋" w:eastAsia="仿宋" w:cs="仿宋"/>
          <w:b w:val="0"/>
          <w:bCs/>
          <w:color w:val="auto"/>
          <w:sz w:val="24"/>
          <w:szCs w:val="24"/>
        </w:rPr>
        <w:t>；</w:t>
      </w:r>
    </w:p>
    <w:p w14:paraId="4278B275">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9.17</w:t>
      </w:r>
      <w:r>
        <w:rPr>
          <w:rFonts w:hint="eastAsia" w:ascii="仿宋" w:hAnsi="仿宋" w:eastAsia="仿宋" w:cs="仿宋"/>
          <w:b w:val="0"/>
          <w:bCs w:val="0"/>
          <w:color w:val="auto"/>
          <w:sz w:val="24"/>
          <w:highlight w:val="none"/>
          <w:lang w:val="en-US" w:eastAsia="zh-CN"/>
        </w:rPr>
        <w:t>磋商响应文件</w:t>
      </w:r>
      <w:r>
        <w:rPr>
          <w:rFonts w:hint="eastAsia" w:ascii="仿宋" w:hAnsi="仿宋" w:eastAsia="仿宋" w:cs="仿宋"/>
          <w:b w:val="0"/>
          <w:bCs w:val="0"/>
          <w:color w:val="auto"/>
          <w:sz w:val="24"/>
          <w:highlight w:val="none"/>
        </w:rPr>
        <w:t>“商务技术（资信）文件资料”部分中出现《</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一览表</w:t>
      </w:r>
      <w:r>
        <w:rPr>
          <w:rFonts w:hint="eastAsia" w:ascii="仿宋" w:hAnsi="仿宋" w:eastAsia="仿宋" w:cs="仿宋"/>
          <w:b w:val="0"/>
          <w:bCs w:val="0"/>
          <w:color w:val="auto"/>
          <w:sz w:val="24"/>
          <w:highlight w:val="none"/>
        </w:rPr>
        <w:t>》相关内容的</w:t>
      </w:r>
      <w:r>
        <w:rPr>
          <w:rFonts w:hint="eastAsia" w:ascii="仿宋" w:hAnsi="仿宋" w:eastAsia="仿宋" w:cs="仿宋"/>
          <w:b w:val="0"/>
          <w:bCs w:val="0"/>
          <w:color w:val="auto"/>
          <w:sz w:val="24"/>
          <w:highlight w:val="none"/>
          <w:lang w:eastAsia="zh-CN"/>
        </w:rPr>
        <w:t>；</w:t>
      </w:r>
    </w:p>
    <w:p w14:paraId="112E4E28">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9.18</w:t>
      </w:r>
      <w:r>
        <w:rPr>
          <w:rFonts w:hint="eastAsia" w:ascii="仿宋" w:hAnsi="仿宋" w:eastAsia="仿宋" w:cs="仿宋"/>
          <w:b w:val="0"/>
          <w:bCs/>
          <w:color w:val="auto"/>
          <w:sz w:val="24"/>
          <w:szCs w:val="24"/>
        </w:rPr>
        <w:t>磋商小组认定有重大偏差或</w:t>
      </w:r>
      <w:r>
        <w:rPr>
          <w:rFonts w:hint="eastAsia" w:ascii="仿宋" w:hAnsi="仿宋" w:eastAsia="仿宋" w:cs="仿宋"/>
          <w:color w:val="auto"/>
          <w:sz w:val="24"/>
          <w:szCs w:val="24"/>
          <w:highlight w:val="none"/>
          <w:lang w:val="en-US" w:eastAsia="zh-CN"/>
        </w:rPr>
        <w:t>标“</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auto"/>
          <w:sz w:val="24"/>
          <w:szCs w:val="24"/>
        </w:rPr>
        <w:t>实质性不响应磋商文件要求的；</w:t>
      </w:r>
    </w:p>
    <w:p w14:paraId="5A536698">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w:t>
      </w:r>
      <w:r>
        <w:rPr>
          <w:rFonts w:hint="eastAsia" w:ascii="仿宋" w:hAnsi="仿宋" w:eastAsia="仿宋" w:cs="仿宋"/>
          <w:b w:val="0"/>
          <w:bCs/>
          <w:color w:val="auto"/>
          <w:sz w:val="24"/>
          <w:szCs w:val="24"/>
          <w:lang w:val="en-US" w:eastAsia="zh-CN"/>
        </w:rPr>
        <w:t>9</w:t>
      </w:r>
      <w:r>
        <w:rPr>
          <w:rFonts w:hint="eastAsia" w:ascii="仿宋" w:hAnsi="仿宋" w:eastAsia="仿宋" w:cs="仿宋"/>
          <w:b w:val="0"/>
          <w:bCs/>
          <w:color w:val="auto"/>
          <w:sz w:val="24"/>
          <w:szCs w:val="24"/>
        </w:rPr>
        <w:t>采购人拟采购的产品属于政府强制采购的节能产品品目清单范围的，供应商未按磋商文件要求提供国家确定的认证机构出具的、处于有效期之内的节能产品认证证书的；</w:t>
      </w:r>
    </w:p>
    <w:p w14:paraId="03AE3E5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w:t>
      </w:r>
      <w:r>
        <w:rPr>
          <w:rFonts w:hint="eastAsia" w:ascii="仿宋" w:hAnsi="仿宋" w:eastAsia="仿宋" w:cs="仿宋"/>
          <w:b w:val="0"/>
          <w:bCs/>
          <w:color w:val="auto"/>
          <w:sz w:val="24"/>
          <w:szCs w:val="24"/>
          <w:lang w:val="en-US" w:eastAsia="zh-CN"/>
        </w:rPr>
        <w:t>20</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一览表》填写不完整或字迹不能辨认或有漏项的</w:t>
      </w:r>
      <w:r>
        <w:rPr>
          <w:rFonts w:hint="eastAsia" w:ascii="仿宋" w:hAnsi="仿宋" w:eastAsia="仿宋" w:cs="仿宋"/>
          <w:b w:val="0"/>
          <w:bCs/>
          <w:color w:val="auto"/>
          <w:sz w:val="24"/>
          <w:szCs w:val="24"/>
          <w:lang w:eastAsia="zh-CN"/>
        </w:rPr>
        <w:t>，经</w:t>
      </w:r>
      <w:r>
        <w:rPr>
          <w:rFonts w:hint="eastAsia" w:ascii="仿宋" w:hAnsi="仿宋" w:eastAsia="仿宋" w:cs="仿宋"/>
          <w:b w:val="0"/>
          <w:bCs/>
          <w:color w:val="auto"/>
          <w:sz w:val="24"/>
          <w:szCs w:val="24"/>
          <w:lang w:val="en-US" w:eastAsia="zh-CN"/>
        </w:rPr>
        <w:t>磋商小组</w:t>
      </w:r>
      <w:r>
        <w:rPr>
          <w:rFonts w:hint="eastAsia" w:ascii="仿宋" w:hAnsi="仿宋" w:eastAsia="仿宋" w:cs="仿宋"/>
          <w:b w:val="0"/>
          <w:bCs/>
          <w:color w:val="auto"/>
          <w:sz w:val="24"/>
          <w:szCs w:val="24"/>
          <w:lang w:eastAsia="zh-CN"/>
        </w:rPr>
        <w:t>认定属于重大偏差的；</w:t>
      </w:r>
    </w:p>
    <w:p w14:paraId="77472247">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供应商对根据修正原则修正后的报价不确认的；</w:t>
      </w:r>
    </w:p>
    <w:p w14:paraId="5BD19653">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供应商提供虚假材料磋商的（包括但不限于以下情节）；</w:t>
      </w:r>
    </w:p>
    <w:p w14:paraId="760043A0">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.1使用伪造、变造的许可证件；</w:t>
      </w:r>
    </w:p>
    <w:p w14:paraId="049BAEF1">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.2提供虚假的财务状况或者业绩；</w:t>
      </w:r>
    </w:p>
    <w:p w14:paraId="7568450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.3提供虚假的项目负责人或者主要技术人员简历、劳动关系证明；</w:t>
      </w:r>
    </w:p>
    <w:p w14:paraId="7C62F181">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.4提供虚假的信用状况；</w:t>
      </w:r>
    </w:p>
    <w:p w14:paraId="49A623B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.5其他弄虚作假的行为。</w:t>
      </w:r>
    </w:p>
    <w:p w14:paraId="3C812991">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有下列情形之一的，视为供应商串通磋商，其磋商无效：</w:t>
      </w:r>
    </w:p>
    <w:p w14:paraId="2B753473">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.1不同供应商的磋商响应文件由同一单位或者个人编制；</w:t>
      </w:r>
    </w:p>
    <w:p w14:paraId="1127256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.2不同供应商委托同一单位或者个人办理磋商事宜；</w:t>
      </w:r>
    </w:p>
    <w:p w14:paraId="514DCE0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.3不同供应商的磋商响应文件载明的项目管理成员或者联系人员为同一人；</w:t>
      </w:r>
    </w:p>
    <w:p w14:paraId="614E8E18">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.4不同供应商的磋商响应文件异常一致或者磋商报价呈规律性差异；</w:t>
      </w:r>
    </w:p>
    <w:p w14:paraId="486D99F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.5不同供应商的磋商响应文件相互混装；</w:t>
      </w:r>
    </w:p>
    <w:p w14:paraId="5FF2D33B">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.6有二份及二份以上磋商响应文件的相互之间有特别相同或相似之处，且经询标澄清供应商无令人信服的理由和可靠证据证明其合理性的，经磋商小组半数以上成员确认有串通磋商嫌疑的；</w:t>
      </w:r>
    </w:p>
    <w:p w14:paraId="6892D04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w:t>
      </w: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有下列情形之一的，属于恶意串通，其磋商无效：</w:t>
      </w:r>
    </w:p>
    <w:p w14:paraId="1C8147E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.1供应商直接或者间接从采购人或者采购机构处获得其他供应商的相关情况并修改其磋商响应文件；</w:t>
      </w:r>
    </w:p>
    <w:p w14:paraId="4402286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.2供应商按照采购人或者采购机构的授意撤换、修改磋商响应文件；</w:t>
      </w:r>
    </w:p>
    <w:p w14:paraId="2C05D83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.3供应商之间协商报价、技术方案等磋商响应文件的实质性内容；</w:t>
      </w:r>
    </w:p>
    <w:p w14:paraId="3CDE0A4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.4属于同一集团、协会、商会等组织成员的供应商按照该组织要求协同参加政府采购活动；</w:t>
      </w:r>
    </w:p>
    <w:p w14:paraId="68A21F7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.5供应商之间事先约定由某一特定供应商中标、成交；</w:t>
      </w:r>
    </w:p>
    <w:p w14:paraId="4A0B2F3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.6供应商之间商定部分供应商放弃参加政府采购活动或者放弃中标、成交；</w:t>
      </w:r>
    </w:p>
    <w:p w14:paraId="15CCB005">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.7供应商与采购人或者采购机构之间、供应商相互之间，为谋求特定供应商中标、成交或者排斥其他供应商的其他串通行为。</w:t>
      </w:r>
    </w:p>
    <w:p w14:paraId="0D79B405">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磋商响应文件出现不是唯一的、有选择性报价的；</w:t>
      </w:r>
    </w:p>
    <w:p w14:paraId="08D01B1B">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rPr>
        <w:t>其他违反法律、法规的情形。</w:t>
      </w:r>
    </w:p>
    <w:p w14:paraId="0EC4445E">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10.废标的情形</w:t>
      </w:r>
    </w:p>
    <w:p w14:paraId="00718398">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在采购中，出现下列情形之一的，应予废标：</w:t>
      </w:r>
    </w:p>
    <w:p w14:paraId="651A6DC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10.1符合专业条件的供应商或者对磋商文件作实质性响应的供应商不足三家的；</w:t>
      </w:r>
    </w:p>
    <w:p w14:paraId="708BE04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10.2出现影响采购公正的违法、违规行为的；</w:t>
      </w:r>
    </w:p>
    <w:p w14:paraId="5670B17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10.3供应商的报价均超过了采购预算，采购人不能支付的；</w:t>
      </w:r>
    </w:p>
    <w:p w14:paraId="11414D6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color w:val="auto"/>
          <w:kern w:val="0"/>
          <w:sz w:val="24"/>
          <w:szCs w:val="24"/>
          <w:lang w:val="en-US" w:eastAsia="zh-CN"/>
        </w:rPr>
      </w:pPr>
      <w:r>
        <w:rPr>
          <w:rFonts w:hint="eastAsia" w:ascii="仿宋" w:hAnsi="仿宋" w:eastAsia="仿宋" w:cs="仿宋"/>
          <w:b w:val="0"/>
          <w:bCs/>
          <w:color w:val="auto"/>
          <w:kern w:val="0"/>
          <w:sz w:val="24"/>
          <w:szCs w:val="24"/>
          <w:lang w:val="en-US" w:eastAsia="zh-CN"/>
        </w:rPr>
        <w:t>10.4因重大变故，采购任务取消的。</w:t>
      </w:r>
    </w:p>
    <w:p w14:paraId="122EF271">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en-US" w:eastAsia="zh-CN"/>
        </w:rPr>
        <w:t>11.</w:t>
      </w:r>
      <w:r>
        <w:rPr>
          <w:rFonts w:hint="eastAsia" w:ascii="仿宋" w:hAnsi="仿宋" w:eastAsia="仿宋" w:cs="仿宋"/>
          <w:b/>
          <w:color w:val="auto"/>
          <w:kern w:val="0"/>
          <w:sz w:val="24"/>
          <w:szCs w:val="24"/>
        </w:rPr>
        <w:t>磋商过程保密</w:t>
      </w:r>
    </w:p>
    <w:p w14:paraId="6C97AC6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sz w:val="24"/>
          <w:szCs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0C352F7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szCs w:val="24"/>
        </w:rPr>
        <w:t>10.2在磋商期间，供应商企图影响采购人、采购代理机构或</w:t>
      </w:r>
      <w:r>
        <w:rPr>
          <w:rFonts w:hint="eastAsia" w:ascii="仿宋" w:hAnsi="仿宋" w:eastAsia="仿宋" w:cs="仿宋"/>
          <w:color w:val="auto"/>
          <w:sz w:val="24"/>
          <w:szCs w:val="24"/>
        </w:rPr>
        <w:t>磋商小组</w:t>
      </w:r>
      <w:r>
        <w:rPr>
          <w:rFonts w:hint="eastAsia" w:ascii="仿宋" w:hAnsi="仿宋" w:eastAsia="仿宋" w:cs="仿宋"/>
          <w:color w:val="auto"/>
          <w:kern w:val="0"/>
          <w:sz w:val="24"/>
          <w:szCs w:val="24"/>
        </w:rPr>
        <w:t>的任何活动，都将导致磋商被拒绝，并由其承担相应的法律责任。</w:t>
      </w:r>
    </w:p>
    <w:p w14:paraId="0B999BB9">
      <w:pPr>
        <w:adjustRightInd/>
        <w:spacing w:line="336" w:lineRule="auto"/>
        <w:jc w:val="center"/>
        <w:outlineLvl w:val="0"/>
        <w:rPr>
          <w:rFonts w:hint="eastAsia" w:ascii="仿宋" w:hAnsi="仿宋" w:eastAsia="仿宋" w:cs="仿宋"/>
          <w:color w:val="auto"/>
          <w:sz w:val="32"/>
          <w:szCs w:val="32"/>
        </w:rPr>
      </w:pPr>
    </w:p>
    <w:p w14:paraId="3F7D179C">
      <w:pPr>
        <w:adjustRightInd/>
        <w:spacing w:line="336"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lang w:eastAsia="zh-CN"/>
        </w:rPr>
        <w:t>五</w:t>
      </w:r>
      <w:r>
        <w:rPr>
          <w:rFonts w:hint="eastAsia" w:ascii="仿宋" w:hAnsi="仿宋" w:eastAsia="仿宋" w:cs="仿宋"/>
          <w:b/>
          <w:color w:val="auto"/>
          <w:sz w:val="32"/>
          <w:szCs w:val="20"/>
        </w:rPr>
        <w:t>、</w:t>
      </w:r>
      <w:r>
        <w:rPr>
          <w:rFonts w:hint="eastAsia" w:ascii="仿宋" w:hAnsi="仿宋" w:eastAsia="仿宋" w:cs="仿宋"/>
          <w:b/>
          <w:color w:val="auto"/>
          <w:sz w:val="32"/>
          <w:szCs w:val="32"/>
        </w:rPr>
        <w:t>成交</w:t>
      </w:r>
    </w:p>
    <w:p w14:paraId="13E07CD5">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w:t>
      </w:r>
      <w:bookmarkStart w:id="57" w:name="_Toc84325929"/>
      <w:bookmarkStart w:id="58" w:name="_Toc81372953"/>
      <w:bookmarkStart w:id="59" w:name="_Toc81372776"/>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成交条件</w:t>
      </w:r>
    </w:p>
    <w:p w14:paraId="4177E9B5">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磋商响应文件基本符合磋商文件要求；</w:t>
      </w:r>
    </w:p>
    <w:p w14:paraId="7940D4E1">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1.2供应商有很好的执行合同的能力；</w:t>
      </w:r>
    </w:p>
    <w:p w14:paraId="2AAB4F09">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1.3实施方案最合理并对采购人最为有利，最大限度满足磋商文件的要求；</w:t>
      </w:r>
    </w:p>
    <w:p w14:paraId="1284413A">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1.4供应商能够提供质量技术、商务经济占综合优势的系统及服务。</w:t>
      </w:r>
    </w:p>
    <w:p w14:paraId="371F25CF">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2.成交确认</w:t>
      </w:r>
    </w:p>
    <w:p w14:paraId="4D791723">
      <w:pPr>
        <w:keepNext w:val="0"/>
        <w:keepLines w:val="0"/>
        <w:pageBreakBefore w:val="0"/>
        <w:kinsoku/>
        <w:wordWrap/>
        <w:overflowPunct/>
        <w:topLinePunct w:val="0"/>
        <w:autoSpaceDE/>
        <w:autoSpaceDN/>
        <w:bidi w:val="0"/>
        <w:spacing w:line="360" w:lineRule="auto"/>
        <w:ind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2.1采购人应当在收到评审报告之日起５个工作日内，在评审报告提出的成交候选供应商单中确定成交供应商。</w:t>
      </w:r>
    </w:p>
    <w:p w14:paraId="6527AF2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2.2采购人逾期未确定成交供应商的，视为确定评审报告提出的成交候选供应商为成交供应商。</w:t>
      </w:r>
    </w:p>
    <w:p w14:paraId="26C3964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2.3采购人应在确认成交供应商前再次对资格条件和相关证件材料进一步查验核实。</w:t>
      </w:r>
    </w:p>
    <w:p w14:paraId="5E1479DD">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成交通知</w:t>
      </w:r>
    </w:p>
    <w:bookmarkEnd w:id="57"/>
    <w:bookmarkEnd w:id="58"/>
    <w:bookmarkEnd w:id="59"/>
    <w:p w14:paraId="423F9C04">
      <w:pPr>
        <w:pStyle w:val="396"/>
        <w:keepNext w:val="0"/>
        <w:keepLines w:val="0"/>
        <w:pageBreakBefore w:val="0"/>
        <w:tabs>
          <w:tab w:val="left" w:pos="0"/>
        </w:tabs>
        <w:kinsoku/>
        <w:wordWrap/>
        <w:overflowPunct/>
        <w:topLinePunct w:val="0"/>
        <w:autoSpaceDE/>
        <w:autoSpaceDN/>
        <w:bidi w:val="0"/>
        <w:spacing w:before="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.1</w:t>
      </w:r>
      <w:r>
        <w:rPr>
          <w:rFonts w:hint="eastAsia" w:ascii="仿宋" w:hAnsi="仿宋" w:eastAsia="仿宋" w:cs="仿宋"/>
          <w:color w:val="auto"/>
          <w:kern w:val="0"/>
          <w:sz w:val="24"/>
          <w:szCs w:val="24"/>
        </w:rPr>
        <w:t>采购代理机构</w:t>
      </w:r>
      <w:r>
        <w:rPr>
          <w:rFonts w:hint="eastAsia" w:ascii="仿宋" w:hAnsi="仿宋" w:eastAsia="仿宋" w:cs="仿宋"/>
          <w:color w:val="auto"/>
          <w:sz w:val="24"/>
          <w:szCs w:val="24"/>
        </w:rPr>
        <w:t>对成交结果在指定媒体</w:t>
      </w:r>
      <w:r>
        <w:rPr>
          <w:rFonts w:hint="eastAsia" w:ascii="仿宋" w:hAnsi="仿宋" w:eastAsia="仿宋" w:cs="仿宋"/>
          <w:color w:val="auto"/>
          <w:kern w:val="0"/>
          <w:sz w:val="24"/>
          <w:szCs w:val="24"/>
        </w:rPr>
        <w:t>（浙江政府采购网http://zfcg.czt.zj.gov.cn/）发布成交公告，成交公告期限为1个工作日。</w:t>
      </w:r>
    </w:p>
    <w:p w14:paraId="71EF8E6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rPr>
        <w:t>3.2采购机构通过政采云平台向成交供应商签发成交通知书。在采购代理机构发出成交通知书前，成交供应商如有违反有关法律法规和本项目要求行为的，则取消该成交供应商的成交资格</w:t>
      </w:r>
      <w:r>
        <w:rPr>
          <w:rFonts w:hint="eastAsia" w:ascii="仿宋" w:hAnsi="仿宋" w:eastAsia="仿宋" w:cs="仿宋"/>
          <w:color w:val="auto"/>
          <w:kern w:val="0"/>
          <w:sz w:val="24"/>
          <w:szCs w:val="24"/>
          <w:lang w:val="zh-CN"/>
        </w:rPr>
        <w:t>。</w:t>
      </w:r>
    </w:p>
    <w:p w14:paraId="58EB17A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3.3采购人、</w:t>
      </w:r>
      <w:r>
        <w:rPr>
          <w:rFonts w:hint="eastAsia" w:ascii="仿宋" w:hAnsi="仿宋" w:eastAsia="仿宋" w:cs="仿宋"/>
          <w:color w:val="auto"/>
          <w:kern w:val="0"/>
          <w:sz w:val="24"/>
          <w:szCs w:val="24"/>
        </w:rPr>
        <w:t>采购代理机构</w:t>
      </w:r>
      <w:r>
        <w:rPr>
          <w:rFonts w:hint="eastAsia" w:ascii="仿宋" w:hAnsi="仿宋" w:eastAsia="仿宋" w:cs="仿宋"/>
          <w:color w:val="auto"/>
          <w:sz w:val="24"/>
          <w:szCs w:val="24"/>
        </w:rPr>
        <w:t>对成交结果不作任何说明和解释，也不回答任何提问。</w:t>
      </w:r>
    </w:p>
    <w:p w14:paraId="49CD14DB">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履约保证金</w:t>
      </w:r>
    </w:p>
    <w:p w14:paraId="14728F2D">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w:t>
      </w:r>
      <w:r>
        <w:rPr>
          <w:rFonts w:hint="eastAsia" w:ascii="仿宋" w:hAnsi="仿宋" w:eastAsia="仿宋" w:cs="仿宋"/>
          <w:color w:val="auto"/>
          <w:sz w:val="24"/>
          <w:szCs w:val="24"/>
          <w:lang w:val="en-US" w:eastAsia="zh-CN"/>
        </w:rPr>
        <w:t>成交供应商</w:t>
      </w:r>
      <w:r>
        <w:rPr>
          <w:rFonts w:hint="eastAsia" w:ascii="仿宋" w:hAnsi="仿宋" w:eastAsia="仿宋" w:cs="仿宋"/>
          <w:color w:val="auto"/>
          <w:sz w:val="24"/>
          <w:szCs w:val="24"/>
        </w:rPr>
        <w:t>按照采购文件规定递交履约保证金。</w:t>
      </w:r>
    </w:p>
    <w:p w14:paraId="02AEB042">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w:t>
      </w:r>
      <w:r>
        <w:rPr>
          <w:rFonts w:hint="eastAsia" w:ascii="仿宋" w:hAnsi="仿宋" w:eastAsia="仿宋" w:cs="仿宋"/>
          <w:color w:val="auto"/>
          <w:sz w:val="24"/>
          <w:szCs w:val="24"/>
          <w:lang w:val="en-US" w:eastAsia="zh-CN"/>
        </w:rPr>
        <w:t>签订合同后，如成交供应商不按双方合同约定履约，则没收其全部履约保证金，履约保证金不足以赔偿损失的，按实际损失赔偿。</w:t>
      </w:r>
    </w:p>
    <w:p w14:paraId="650B59A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4.3成交供应商如未按时交纳履约保证金，采购人有权撤销其成交资格，并根据磋商小组确定的成交候选人名单与下一顺序单位商谈合同，或报请批准后另行采购。</w:t>
      </w:r>
    </w:p>
    <w:p w14:paraId="3F406545">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5.预付款</w:t>
      </w:r>
    </w:p>
    <w:p w14:paraId="488BD770">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w:t>
      </w:r>
    </w:p>
    <w:p w14:paraId="6F8D39EE">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合同签订及备案</w:t>
      </w:r>
    </w:p>
    <w:p w14:paraId="5CC709F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.1成交人应当在成交通知书发出之日起30天内与采购人签订合同。</w:t>
      </w:r>
    </w:p>
    <w:p w14:paraId="5BD5A12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.2如成交人为联合体的，由联合体成员各方法定代表人或其授权代表与采购人代表签订合同。</w:t>
      </w:r>
    </w:p>
    <w:p w14:paraId="04A35B75">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7</w:t>
      </w:r>
      <w:r>
        <w:rPr>
          <w:rFonts w:hint="eastAsia" w:ascii="仿宋" w:hAnsi="仿宋" w:eastAsia="仿宋" w:cs="仿宋"/>
          <w:b/>
          <w:color w:val="auto"/>
          <w:sz w:val="24"/>
          <w:szCs w:val="24"/>
        </w:rPr>
        <w:t>.验收</w:t>
      </w:r>
    </w:p>
    <w:p w14:paraId="609CF0C1">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val="en-US"/>
        </w:rPr>
        <w:t>.</w:t>
      </w:r>
      <w:r>
        <w:rPr>
          <w:rFonts w:hint="eastAsia" w:ascii="仿宋" w:hAnsi="仿宋" w:eastAsia="仿宋" w:cs="仿宋"/>
          <w:color w:val="auto"/>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87347EB">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val="en-US"/>
        </w:rPr>
        <w:t>.</w:t>
      </w:r>
      <w:r>
        <w:rPr>
          <w:rFonts w:hint="eastAsia" w:ascii="仿宋" w:hAnsi="仿宋" w:eastAsia="仿宋" w:cs="仿宋"/>
          <w:color w:val="auto"/>
          <w:sz w:val="24"/>
          <w:szCs w:val="24"/>
        </w:rPr>
        <w:t>2采购人可以邀请参加本项目的其他供应商或者第三方机构参与验收。参与验收的供应商或者第三方机构的意见作为验收书的参考资料一并存档。</w:t>
      </w:r>
    </w:p>
    <w:p w14:paraId="37768FC2">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val="en-US"/>
        </w:rPr>
        <w:t>.</w:t>
      </w:r>
      <w:r>
        <w:rPr>
          <w:rFonts w:hint="eastAsia" w:ascii="仿宋" w:hAnsi="仿宋" w:eastAsia="仿宋" w:cs="仿宋"/>
          <w:color w:val="auto"/>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34E0D1">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val="en-US"/>
        </w:rPr>
        <w:t>.</w:t>
      </w:r>
      <w:r>
        <w:rPr>
          <w:rFonts w:hint="eastAsia" w:ascii="仿宋" w:hAnsi="仿宋" w:eastAsia="仿宋" w:cs="仿宋"/>
          <w:color w:val="auto"/>
          <w:sz w:val="24"/>
          <w:szCs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1B12A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color w:val="auto"/>
          <w:sz w:val="24"/>
          <w:lang w:val="en-US" w:eastAsia="zh-CN"/>
        </w:rPr>
      </w:pPr>
      <w:r>
        <w:rPr>
          <w:rFonts w:hint="eastAsia" w:ascii="仿宋" w:hAnsi="仿宋" w:eastAsia="仿宋" w:cs="仿宋"/>
          <w:color w:val="auto"/>
          <w:sz w:val="24"/>
          <w:szCs w:val="24"/>
          <w:lang w:val="en-US" w:eastAsia="zh-CN"/>
        </w:rPr>
        <w:t>7.5采购人负责加强对供应商的履约管理，并按照采购合同约定，及时向供应商支付采购资金。对于供应商违反采购合同约定的行为，采购人应当及时处理，依法追究其违约责任。</w:t>
      </w:r>
    </w:p>
    <w:p w14:paraId="5DC92F49">
      <w:pPr>
        <w:spacing w:line="336" w:lineRule="auto"/>
        <w:ind w:firstLine="640" w:firstLineChars="200"/>
        <w:rPr>
          <w:rFonts w:hint="eastAsia" w:ascii="仿宋" w:hAnsi="仿宋" w:eastAsia="仿宋" w:cs="仿宋"/>
          <w:color w:val="auto"/>
          <w:sz w:val="32"/>
          <w:szCs w:val="32"/>
        </w:rPr>
      </w:pPr>
    </w:p>
    <w:p w14:paraId="55E7D33A">
      <w:pPr>
        <w:adjustRightInd/>
        <w:spacing w:line="336"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lang w:eastAsia="zh-CN"/>
        </w:rPr>
        <w:t>六</w:t>
      </w:r>
      <w:r>
        <w:rPr>
          <w:rFonts w:hint="eastAsia" w:ascii="仿宋" w:hAnsi="仿宋" w:eastAsia="仿宋" w:cs="仿宋"/>
          <w:b/>
          <w:color w:val="auto"/>
          <w:sz w:val="32"/>
          <w:szCs w:val="20"/>
        </w:rPr>
        <w:t>、询问、质疑与投诉</w:t>
      </w:r>
    </w:p>
    <w:p w14:paraId="0D53E027">
      <w:pPr>
        <w:pStyle w:val="33"/>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1.在线询问、质疑、投诉</w:t>
      </w:r>
    </w:p>
    <w:p w14:paraId="488289A4">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B6B47B">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 供应商询问</w:t>
      </w:r>
    </w:p>
    <w:p w14:paraId="4FED15E6">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0BBC618">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 供应商质疑</w:t>
      </w:r>
    </w:p>
    <w:p w14:paraId="515A9A5C">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kern w:val="0"/>
          <w:sz w:val="24"/>
          <w:szCs w:val="24"/>
          <w:lang w:val="zh-CN"/>
        </w:rPr>
        <w:t>3</w:t>
      </w:r>
      <w:r>
        <w:rPr>
          <w:rFonts w:hint="eastAsia" w:ascii="仿宋" w:hAnsi="仿宋" w:eastAsia="仿宋" w:cs="仿宋"/>
          <w:b/>
          <w:color w:val="auto"/>
          <w:sz w:val="24"/>
          <w:szCs w:val="24"/>
        </w:rPr>
        <w:t>.1质疑提出时效</w:t>
      </w:r>
    </w:p>
    <w:p w14:paraId="0CEECA13">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3.1.1提出质疑的供应商应当是参与所质疑项目采购活动的供应商。潜在供应商已依法获取其可质疑的采购文件的，可以对该文件提出质疑。</w:t>
      </w:r>
    </w:p>
    <w:p w14:paraId="486F3852">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3</w:t>
      </w:r>
      <w:r>
        <w:rPr>
          <w:rFonts w:hint="eastAsia" w:ascii="仿宋" w:hAnsi="仿宋" w:eastAsia="仿宋" w:cs="仿宋"/>
          <w:color w:val="auto"/>
          <w:sz w:val="24"/>
          <w:szCs w:val="24"/>
        </w:rPr>
        <w:t>.1.2供应商认为采购文件、采购过程和成交结果使自己的权益受到损害的，可以在知道或者应知其权益受到损害之日起七个工作日内，以书面形式向采购人或者采购代理机构</w:t>
      </w:r>
      <w:r>
        <w:rPr>
          <w:rFonts w:hint="eastAsia" w:ascii="仿宋" w:hAnsi="仿宋" w:eastAsia="仿宋" w:cs="仿宋"/>
          <w:color w:val="auto"/>
          <w:sz w:val="24"/>
          <w:szCs w:val="24"/>
          <w:lang w:val="en-US" w:eastAsia="zh-CN"/>
        </w:rPr>
        <w:t>一次性</w:t>
      </w:r>
      <w:r>
        <w:rPr>
          <w:rFonts w:hint="eastAsia" w:ascii="仿宋" w:hAnsi="仿宋" w:eastAsia="仿宋" w:cs="仿宋"/>
          <w:color w:val="auto"/>
          <w:sz w:val="24"/>
          <w:szCs w:val="24"/>
        </w:rPr>
        <w:t>提出质疑，否则，采购人或者采购代理机构不予受理：</w:t>
      </w:r>
    </w:p>
    <w:p w14:paraId="38BA590D">
      <w:pPr>
        <w:pStyle w:val="16"/>
        <w:keepNext w:val="0"/>
        <w:keepLines w:val="0"/>
        <w:pageBreakBefore w:val="0"/>
        <w:kinsoku/>
        <w:wordWrap/>
        <w:overflowPunct/>
        <w:topLinePunct w:val="0"/>
        <w:bidi w:val="0"/>
        <w:adjustRightInd w:val="0"/>
        <w:spacing w:line="360" w:lineRule="auto"/>
        <w:ind w:firstLine="434" w:firstLineChars="181"/>
        <w:textAlignment w:val="auto"/>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3.1.2.1对采购文件提出质疑的，质疑期限为供应商获得采购文件之日或者采购文件公告期限届满之日起计算，采购文件在获取截止之日后获得的，应当自采购文件公告期限届满之日起计算。</w:t>
      </w:r>
    </w:p>
    <w:p w14:paraId="0C3C6A88">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3.1.2.2对采购过程提出质疑的，质疑期限为各采购程序环节结束之日起计算。</w:t>
      </w:r>
    </w:p>
    <w:p w14:paraId="7FAE1B58">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3.1.2.3对采购结果提出质疑的，质疑期限自采购结果公告期限届满之日起计算。</w:t>
      </w:r>
    </w:p>
    <w:p w14:paraId="31687150">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3.1.2.4</w:t>
      </w:r>
      <w:r>
        <w:rPr>
          <w:rFonts w:hint="eastAsia" w:ascii="仿宋" w:hAnsi="仿宋" w:eastAsia="仿宋" w:cs="仿宋"/>
          <w:b/>
          <w:bCs/>
          <w:i w:val="0"/>
          <w:iCs w:val="0"/>
          <w:color w:val="auto"/>
          <w:kern w:val="2"/>
          <w:sz w:val="24"/>
          <w:szCs w:val="20"/>
          <w:highlight w:val="none"/>
          <w:vertAlign w:val="baseline"/>
          <w:lang w:val="en-US" w:eastAsia="zh-CN" w:bidi="ar-SA"/>
        </w:rPr>
        <w:t>对同一采购程序环节的质疑，供应商须一次性提出</w:t>
      </w:r>
      <w:r>
        <w:rPr>
          <w:rFonts w:hint="eastAsia" w:ascii="仿宋" w:hAnsi="仿宋" w:eastAsia="仿宋" w:cs="仿宋"/>
          <w:b/>
          <w:color w:val="auto"/>
          <w:kern w:val="0"/>
          <w:sz w:val="24"/>
          <w:szCs w:val="24"/>
          <w:highlight w:val="none"/>
          <w:lang w:val="en-US" w:eastAsia="zh-CN" w:bidi="ar-SA"/>
        </w:rPr>
        <w:t>（即针对同一采购程序环节的质疑采购人或采购代理机构仅受理一次），逾期提出或针对同一采购程序环节多次提出的质疑将不予受理、答复</w:t>
      </w:r>
      <w:r>
        <w:rPr>
          <w:rFonts w:hint="eastAsia" w:ascii="仿宋" w:hAnsi="仿宋" w:eastAsia="仿宋" w:cs="仿宋"/>
          <w:b/>
          <w:bCs/>
          <w:color w:val="auto"/>
          <w:sz w:val="24"/>
          <w:szCs w:val="24"/>
        </w:rPr>
        <w:t>。</w:t>
      </w:r>
    </w:p>
    <w:p w14:paraId="3F06E464">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3.</w:t>
      </w:r>
      <w:r>
        <w:rPr>
          <w:rFonts w:hint="eastAsia" w:ascii="仿宋" w:hAnsi="仿宋" w:eastAsia="仿宋" w:cs="仿宋"/>
          <w:b/>
          <w:color w:val="auto"/>
          <w:kern w:val="0"/>
          <w:sz w:val="24"/>
          <w:szCs w:val="24"/>
          <w:lang w:val="en-US"/>
        </w:rPr>
        <w:t>2</w:t>
      </w:r>
      <w:r>
        <w:rPr>
          <w:rFonts w:hint="eastAsia" w:ascii="仿宋" w:hAnsi="仿宋" w:eastAsia="仿宋" w:cs="仿宋"/>
          <w:b/>
          <w:color w:val="auto"/>
          <w:kern w:val="0"/>
          <w:sz w:val="24"/>
          <w:szCs w:val="24"/>
          <w:lang w:val="zh-CN"/>
        </w:rPr>
        <w:t>质疑函</w:t>
      </w:r>
    </w:p>
    <w:p w14:paraId="3CE9D880">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.1供应商提出质疑应当提交质疑函和必要的证明材料。质疑函应当包括下列内容：</w:t>
      </w:r>
    </w:p>
    <w:p w14:paraId="23B0B898">
      <w:pPr>
        <w:pStyle w:val="33"/>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供应商的姓名或者名称、地址、邮编、联系人及联系电话；</w:t>
      </w:r>
    </w:p>
    <w:p w14:paraId="49318CB3">
      <w:pPr>
        <w:pStyle w:val="33"/>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质疑项目的名称、编号；</w:t>
      </w:r>
    </w:p>
    <w:p w14:paraId="4D287877">
      <w:pPr>
        <w:pStyle w:val="33"/>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具体、明确的质疑事项和与质疑事项相关的请求；</w:t>
      </w:r>
    </w:p>
    <w:p w14:paraId="69F687A5">
      <w:pPr>
        <w:pStyle w:val="33"/>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事实依据；</w:t>
      </w:r>
    </w:p>
    <w:p w14:paraId="37B0B00E">
      <w:pPr>
        <w:pStyle w:val="33"/>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必要的法律依据；</w:t>
      </w:r>
    </w:p>
    <w:p w14:paraId="045124C7">
      <w:pPr>
        <w:pStyle w:val="33"/>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提出质疑的日期。</w:t>
      </w:r>
    </w:p>
    <w:p w14:paraId="10DAF677">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质疑函不符合相关规定的，应在规定期限内补齐的，招标方自收到补齐材料之日起受理；逾期未补齐的，按自动撤回质疑处理。</w:t>
      </w:r>
    </w:p>
    <w:p w14:paraId="72A8FF62">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14:paraId="0708F8C8">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质疑函范本及制作说明详见附件1。</w:t>
      </w:r>
    </w:p>
    <w:p w14:paraId="58D43CEA">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4.供应商投诉</w:t>
      </w:r>
    </w:p>
    <w:p w14:paraId="6844B378">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4.1质疑供应商对采购人</w:t>
      </w:r>
      <w:r>
        <w:rPr>
          <w:rFonts w:hint="eastAsia" w:ascii="仿宋" w:hAnsi="仿宋" w:eastAsia="仿宋" w:cs="仿宋"/>
          <w:color w:val="auto"/>
          <w:sz w:val="24"/>
          <w:szCs w:val="24"/>
          <w:lang w:eastAsia="zh-CN"/>
        </w:rPr>
        <w:t>或</w:t>
      </w:r>
      <w:r>
        <w:rPr>
          <w:rFonts w:hint="eastAsia" w:ascii="仿宋" w:hAnsi="仿宋" w:eastAsia="仿宋" w:cs="仿宋"/>
          <w:color w:val="auto"/>
          <w:sz w:val="24"/>
          <w:szCs w:val="24"/>
        </w:rPr>
        <w:t>采购代理机构的答复不满意或者采购人、采购代理机构未在规定的时间内作出答复的，可以在答复期满后十五个工作日内向同级政府采购监督管理部门提出投诉。</w:t>
      </w:r>
    </w:p>
    <w:p w14:paraId="37578203">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4.2供应商投诉的事项不得超出已质疑事项的范围，基于质疑答复内容提出的投诉事项除外。</w:t>
      </w:r>
    </w:p>
    <w:p w14:paraId="2536DC29">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4.3供应商投诉应当有明确的请求和必要的证明材料。</w:t>
      </w:r>
    </w:p>
    <w:p w14:paraId="5BC31EA3">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4.4以联合体形式参加政府采购活动的，其投诉应当由组成联合体的所有供应商共同提出。</w:t>
      </w:r>
    </w:p>
    <w:p w14:paraId="19F77803">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rPr>
      </w:pPr>
      <w:r>
        <w:rPr>
          <w:rFonts w:hint="eastAsia" w:ascii="仿宋" w:hAnsi="仿宋" w:eastAsia="仿宋" w:cs="仿宋"/>
          <w:b w:val="0"/>
          <w:bCs/>
          <w:color w:val="auto"/>
          <w:sz w:val="24"/>
          <w:szCs w:val="24"/>
        </w:rPr>
        <w:t>投诉书范本及制作说明详见附件2。</w:t>
      </w:r>
    </w:p>
    <w:p w14:paraId="130C5764">
      <w:pPr>
        <w:spacing w:line="336" w:lineRule="auto"/>
        <w:ind w:firstLine="480" w:firstLineChars="200"/>
        <w:rPr>
          <w:rFonts w:hint="eastAsia" w:ascii="仿宋" w:hAnsi="仿宋" w:eastAsia="仿宋" w:cs="仿宋"/>
          <w:color w:val="auto"/>
          <w:sz w:val="24"/>
          <w:szCs w:val="20"/>
        </w:rPr>
      </w:pPr>
    </w:p>
    <w:p w14:paraId="7245414C">
      <w:pPr>
        <w:pStyle w:val="33"/>
        <w:spacing w:line="336" w:lineRule="auto"/>
        <w:ind w:firstLine="480" w:firstLineChars="200"/>
        <w:rPr>
          <w:rFonts w:hint="eastAsia" w:ascii="仿宋" w:hAnsi="仿宋" w:eastAsia="仿宋" w:cs="仿宋"/>
          <w:color w:val="auto"/>
          <w:sz w:val="24"/>
        </w:rPr>
      </w:pPr>
    </w:p>
    <w:p w14:paraId="3E6D04F5">
      <w:pPr>
        <w:tabs>
          <w:tab w:val="left" w:pos="0"/>
        </w:tabs>
        <w:spacing w:line="336" w:lineRule="auto"/>
        <w:rPr>
          <w:rFonts w:hint="eastAsia" w:ascii="仿宋" w:hAnsi="仿宋" w:eastAsia="仿宋" w:cs="仿宋"/>
          <w:b/>
          <w:color w:val="auto"/>
          <w:sz w:val="32"/>
          <w:szCs w:val="20"/>
        </w:rPr>
      </w:pPr>
      <w:bookmarkStart w:id="60" w:name="_Hlt68072990"/>
      <w:bookmarkEnd w:id="60"/>
      <w:bookmarkStart w:id="61" w:name="_Hlt75236011"/>
      <w:bookmarkEnd w:id="61"/>
      <w:bookmarkStart w:id="62" w:name="_Hlt75236290"/>
      <w:bookmarkEnd w:id="62"/>
      <w:bookmarkStart w:id="63" w:name="_Hlt74714665"/>
      <w:bookmarkEnd w:id="63"/>
      <w:bookmarkStart w:id="64" w:name="_Hlt74730295"/>
      <w:bookmarkEnd w:id="64"/>
      <w:bookmarkStart w:id="65" w:name="_Hlt68057669"/>
      <w:bookmarkEnd w:id="65"/>
      <w:bookmarkStart w:id="66" w:name="_Hlt75236101"/>
      <w:bookmarkEnd w:id="66"/>
      <w:bookmarkStart w:id="67" w:name="_Hlt74729768"/>
      <w:bookmarkEnd w:id="67"/>
      <w:bookmarkStart w:id="68" w:name="_Hlt74707468"/>
      <w:bookmarkEnd w:id="68"/>
      <w:r>
        <w:rPr>
          <w:rFonts w:hint="eastAsia" w:ascii="仿宋" w:hAnsi="仿宋" w:eastAsia="仿宋" w:cs="仿宋"/>
          <w:b/>
          <w:color w:val="auto"/>
          <w:sz w:val="36"/>
          <w:szCs w:val="36"/>
        </w:rPr>
        <w:br w:type="page"/>
      </w:r>
    </w:p>
    <w:bookmarkEnd w:id="8"/>
    <w:p w14:paraId="5145AFE4">
      <w:pPr>
        <w:adjustRightInd/>
        <w:spacing w:line="336" w:lineRule="auto"/>
        <w:jc w:val="center"/>
        <w:outlineLvl w:val="0"/>
        <w:rPr>
          <w:rFonts w:hint="eastAsia" w:ascii="仿宋" w:hAnsi="仿宋" w:eastAsia="仿宋" w:cs="仿宋"/>
          <w:b/>
          <w:color w:val="auto"/>
          <w:sz w:val="36"/>
          <w:szCs w:val="36"/>
        </w:rPr>
      </w:pPr>
      <w:bookmarkStart w:id="69" w:name="第三部分"/>
      <w:bookmarkStart w:id="70" w:name="_Toc164416483"/>
      <w:r>
        <w:rPr>
          <w:rFonts w:hint="eastAsia" w:ascii="仿宋" w:hAnsi="仿宋" w:eastAsia="仿宋" w:cs="仿宋"/>
          <w:b/>
          <w:color w:val="auto"/>
          <w:sz w:val="36"/>
          <w:szCs w:val="36"/>
        </w:rPr>
        <w:t>第三部分  采购需求</w:t>
      </w:r>
    </w:p>
    <w:p w14:paraId="4457431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color w:val="auto"/>
          <w:sz w:val="24"/>
          <w:lang w:eastAsia="zh-CN"/>
        </w:rPr>
        <w:t>一、</w:t>
      </w:r>
      <w:r>
        <w:rPr>
          <w:rFonts w:hint="eastAsia" w:ascii="仿宋" w:hAnsi="仿宋" w:eastAsia="仿宋" w:cs="仿宋"/>
          <w:b/>
          <w:bCs/>
          <w:color w:val="auto"/>
          <w:sz w:val="24"/>
          <w:szCs w:val="24"/>
          <w:lang w:eastAsia="zh-CN"/>
        </w:rPr>
        <w:t>项目概况</w:t>
      </w:r>
    </w:p>
    <w:p w14:paraId="112CB072">
      <w:pPr>
        <w:pageBreakBefore w:val="0"/>
        <w:widowControl w:val="0"/>
        <w:kinsoku/>
        <w:wordWrap/>
        <w:overflowPunct/>
        <w:topLinePunct w:val="0"/>
        <w:autoSpaceDE/>
        <w:autoSpaceDN/>
        <w:bidi w:val="0"/>
        <w:snapToGrid/>
        <w:spacing w:line="360" w:lineRule="auto"/>
        <w:ind w:firstLine="480" w:firstLineChars="200"/>
        <w:textAlignment w:val="auto"/>
        <w:rPr>
          <w:rStyle w:val="638"/>
          <w:rFonts w:hint="eastAsia" w:ascii="仿宋" w:hAnsi="仿宋" w:eastAsia="仿宋" w:cs="仿宋"/>
          <w:b w:val="0"/>
          <w:bCs/>
          <w:color w:val="auto"/>
          <w:sz w:val="24"/>
          <w:szCs w:val="24"/>
          <w:lang w:val="en-US" w:eastAsia="zh-CN"/>
        </w:rPr>
      </w:pPr>
      <w:r>
        <w:rPr>
          <w:rFonts w:hint="eastAsia" w:ascii="仿宋" w:hAnsi="仿宋" w:eastAsia="仿宋" w:cs="仿宋"/>
          <w:color w:val="auto"/>
          <w:sz w:val="24"/>
          <w:szCs w:val="24"/>
        </w:rPr>
        <w:t>本次采购项目为</w:t>
      </w:r>
      <w:r>
        <w:rPr>
          <w:rFonts w:hint="eastAsia" w:ascii="仿宋" w:hAnsi="仿宋" w:eastAsia="仿宋" w:cs="仿宋"/>
          <w:color w:val="auto"/>
          <w:sz w:val="24"/>
          <w:szCs w:val="24"/>
          <w:lang w:val="en-US" w:eastAsia="zh-CN"/>
        </w:rPr>
        <w:t>嵊州市</w:t>
      </w:r>
      <w:r>
        <w:rPr>
          <w:rStyle w:val="638"/>
          <w:rFonts w:hint="eastAsia" w:ascii="仿宋" w:hAnsi="仿宋" w:eastAsia="仿宋" w:cs="仿宋"/>
          <w:b w:val="0"/>
          <w:bCs/>
          <w:color w:val="auto"/>
          <w:sz w:val="24"/>
          <w:szCs w:val="24"/>
          <w:lang w:val="en-US" w:eastAsia="zh-CN"/>
        </w:rPr>
        <w:t>城北小学改建工程环境提升校园文化建设</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响应方</w:t>
      </w:r>
      <w:r>
        <w:rPr>
          <w:rFonts w:hint="eastAsia" w:ascii="仿宋" w:hAnsi="仿宋" w:eastAsia="仿宋" w:cs="仿宋"/>
          <w:color w:val="auto"/>
          <w:sz w:val="24"/>
          <w:szCs w:val="24"/>
        </w:rPr>
        <w:t>应根据</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文件所提出的采购需求和服务要求，综合考虑，选择具有最佳性能价格比的货物前来投标。希望投标人以精良的货物、优良的服务和优惠的价格，充分显示你们的竞争实力</w:t>
      </w:r>
    </w:p>
    <w:p w14:paraId="6D02135F">
      <w:pPr>
        <w:pStyle w:val="4"/>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采购目标</w:t>
      </w:r>
    </w:p>
    <w:p w14:paraId="7F6F3E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嵊州市城北小学改建工程环境提升校园文化建设在弘扬社会主义核心价值观的基础要求上，坚持以人为本和勤俭办学的思想，设</w:t>
      </w:r>
      <w:r>
        <w:rPr>
          <w:rFonts w:hint="eastAsia" w:ascii="仿宋" w:hAnsi="仿宋" w:eastAsia="仿宋" w:cs="仿宋"/>
          <w:b w:val="0"/>
          <w:bCs/>
          <w:color w:val="auto"/>
          <w:sz w:val="24"/>
          <w:szCs w:val="24"/>
        </w:rPr>
        <w:t>计并实施符合学校教育实际和教育规律、具有</w:t>
      </w:r>
      <w:r>
        <w:rPr>
          <w:rFonts w:hint="eastAsia" w:ascii="仿宋" w:hAnsi="仿宋" w:eastAsia="仿宋" w:cs="仿宋"/>
          <w:b w:val="0"/>
          <w:bCs/>
          <w:color w:val="auto"/>
          <w:sz w:val="24"/>
          <w:szCs w:val="24"/>
          <w:lang w:val="en-US" w:eastAsia="zh-CN"/>
        </w:rPr>
        <w:t>嵊州市城北小学</w:t>
      </w:r>
      <w:r>
        <w:rPr>
          <w:rFonts w:hint="eastAsia" w:ascii="仿宋" w:hAnsi="仿宋" w:eastAsia="仿宋" w:cs="仿宋"/>
          <w:b w:val="0"/>
          <w:bCs/>
          <w:color w:val="auto"/>
          <w:sz w:val="24"/>
          <w:szCs w:val="24"/>
        </w:rPr>
        <w:t>的校园文化。</w:t>
      </w:r>
    </w:p>
    <w:p w14:paraId="3A1A3CC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三、设计总体要求</w:t>
      </w:r>
    </w:p>
    <w:p w14:paraId="1D8DBBC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1.合理规划、整体设计。设计要紧紧围绕校园环境、工作环境、学习环境、生活环境、教学环境、活动环境等方面进行整体设计，要充分体现学校办学的个性化、现代化的标准。</w:t>
      </w:r>
    </w:p>
    <w:p w14:paraId="0D1B77F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2.要求构思新颖，具有动感；展示重点突出，创造亮点空间；风格简洁；材料环保、安全。</w:t>
      </w:r>
    </w:p>
    <w:p w14:paraId="1B61D14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3.流线顺畅，考虑人性化设计。保证其设计深化施工图纸，符合国家的规范和标准。</w:t>
      </w:r>
    </w:p>
    <w:p w14:paraId="77B51EC3">
      <w:pPr>
        <w:keepNext w:val="0"/>
        <w:keepLines w:val="0"/>
        <w:pageBreakBefore w:val="0"/>
        <w:widowControl w:val="0"/>
        <w:numPr>
          <w:ilvl w:val="0"/>
          <w:numId w:val="0"/>
        </w:numPr>
        <w:kinsoku/>
        <w:wordWrap/>
        <w:overflowPunct/>
        <w:topLinePunct w:val="0"/>
        <w:autoSpaceDE/>
        <w:autoSpaceDN/>
        <w:bidi w:val="0"/>
        <w:adjustRightInd w:val="0"/>
        <w:snapToGrid/>
        <w:spacing w:line="320" w:lineRule="exact"/>
        <w:ind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kern w:val="2"/>
          <w:sz w:val="24"/>
          <w:szCs w:val="24"/>
          <w:lang w:val="en-US" w:eastAsia="zh-CN" w:bidi="ar-SA"/>
        </w:rPr>
        <w:t>四、</w:t>
      </w:r>
      <w:r>
        <w:rPr>
          <w:rFonts w:hint="eastAsia" w:ascii="仿宋" w:hAnsi="仿宋" w:eastAsia="仿宋" w:cs="仿宋"/>
          <w:b/>
          <w:bCs w:val="0"/>
          <w:color w:val="auto"/>
          <w:sz w:val="24"/>
          <w:szCs w:val="24"/>
          <w:lang w:val="en-US" w:eastAsia="zh-CN"/>
        </w:rPr>
        <w:t>清单一览表</w:t>
      </w:r>
    </w:p>
    <w:tbl>
      <w:tblPr>
        <w:tblStyle w:val="62"/>
        <w:tblW w:w="5015" w:type="pct"/>
        <w:tblInd w:w="0" w:type="dxa"/>
        <w:tblLayout w:type="fixed"/>
        <w:tblCellMar>
          <w:top w:w="0" w:type="dxa"/>
          <w:left w:w="108" w:type="dxa"/>
          <w:bottom w:w="0" w:type="dxa"/>
          <w:right w:w="108" w:type="dxa"/>
        </w:tblCellMar>
      </w:tblPr>
      <w:tblGrid>
        <w:gridCol w:w="720"/>
        <w:gridCol w:w="2117"/>
        <w:gridCol w:w="3633"/>
        <w:gridCol w:w="897"/>
        <w:gridCol w:w="950"/>
        <w:gridCol w:w="886"/>
      </w:tblGrid>
      <w:tr w14:paraId="291ADBBA">
        <w:tblPrEx>
          <w:tblCellMar>
            <w:top w:w="0" w:type="dxa"/>
            <w:left w:w="108" w:type="dxa"/>
            <w:bottom w:w="0" w:type="dxa"/>
            <w:right w:w="108" w:type="dxa"/>
          </w:tblCellMar>
        </w:tblPrEx>
        <w:trPr>
          <w:trHeight w:val="60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B2F8">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E172">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项目名称</w:t>
            </w: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CEAC7">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项目特征描述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1CCEF">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计量单位</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D14B">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rPr>
              <w:t>数</w:t>
            </w:r>
            <w:r>
              <w:rPr>
                <w:rFonts w:hint="eastAsia" w:ascii="仿宋" w:hAnsi="仿宋" w:eastAsia="仿宋" w:cs="仿宋"/>
                <w:b/>
                <w:bCs/>
                <w:color w:val="auto"/>
                <w:kern w:val="0"/>
                <w:sz w:val="24"/>
                <w:szCs w:val="24"/>
              </w:rPr>
              <w:t>量</w:t>
            </w:r>
          </w:p>
        </w:tc>
        <w:tc>
          <w:tcPr>
            <w:tcW w:w="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185C0">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备注</w:t>
            </w:r>
          </w:p>
        </w:tc>
      </w:tr>
      <w:tr w14:paraId="473C9CCD">
        <w:tblPrEx>
          <w:tblCellMar>
            <w:top w:w="0" w:type="dxa"/>
            <w:left w:w="108" w:type="dxa"/>
            <w:bottom w:w="0" w:type="dxa"/>
            <w:right w:w="108" w:type="dxa"/>
          </w:tblCellMar>
        </w:tblPrEx>
        <w:trPr>
          <w:trHeight w:val="880"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01897066">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150" w:type="pct"/>
            <w:vMerge w:val="restart"/>
            <w:tcBorders>
              <w:top w:val="single" w:color="000000" w:sz="4" w:space="0"/>
              <w:left w:val="single" w:color="000000" w:sz="4" w:space="0"/>
              <w:bottom w:val="single" w:color="000000" w:sz="4" w:space="0"/>
              <w:right w:val="single" w:color="000000" w:sz="4" w:space="0"/>
            </w:tcBorders>
            <w:vAlign w:val="center"/>
          </w:tcPr>
          <w:p w14:paraId="4849496D">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教室文化</w:t>
            </w:r>
          </w:p>
          <w:p w14:paraId="501BE594">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b/>
                <w:color w:val="auto"/>
                <w:sz w:val="24"/>
                <w:szCs w:val="24"/>
                <w:lang w:eastAsia="zh-CN"/>
              </w:rPr>
            </w:pPr>
            <w:r>
              <w:rPr>
                <w:rFonts w:hint="eastAsia" w:ascii="仿宋" w:hAnsi="仿宋" w:eastAsia="仿宋" w:cs="仿宋"/>
                <w:b w:val="0"/>
                <w:bCs/>
                <w:color w:val="auto"/>
                <w:kern w:val="0"/>
                <w:sz w:val="24"/>
                <w:szCs w:val="24"/>
                <w:lang w:eastAsia="zh-CN"/>
              </w:rPr>
              <w:t>（</w:t>
            </w:r>
            <w:r>
              <w:rPr>
                <w:rFonts w:hint="eastAsia" w:ascii="仿宋" w:hAnsi="仿宋" w:eastAsia="仿宋" w:cs="仿宋"/>
                <w:b w:val="0"/>
                <w:bCs/>
                <w:color w:val="auto"/>
                <w:kern w:val="0"/>
                <w:sz w:val="24"/>
                <w:szCs w:val="24"/>
                <w:lang w:val="en-US" w:eastAsia="zh-CN"/>
              </w:rPr>
              <w:t>36个班级</w:t>
            </w:r>
            <w:r>
              <w:rPr>
                <w:rFonts w:hint="eastAsia" w:ascii="仿宋" w:hAnsi="仿宋" w:eastAsia="仿宋" w:cs="仿宋"/>
                <w:b w:val="0"/>
                <w:bCs/>
                <w:color w:val="auto"/>
                <w:kern w:val="0"/>
                <w:sz w:val="24"/>
                <w:szCs w:val="24"/>
                <w:lang w:eastAsia="zh-CN"/>
              </w:rPr>
              <w:t>）</w:t>
            </w:r>
          </w:p>
        </w:tc>
        <w:tc>
          <w:tcPr>
            <w:tcW w:w="1973" w:type="pct"/>
            <w:tcBorders>
              <w:top w:val="single" w:color="000000" w:sz="4" w:space="0"/>
              <w:left w:val="single" w:color="000000" w:sz="4" w:space="0"/>
              <w:bottom w:val="single" w:color="000000" w:sz="4" w:space="0"/>
              <w:right w:val="single" w:color="000000" w:sz="4" w:space="0"/>
            </w:tcBorders>
            <w:vAlign w:val="center"/>
          </w:tcPr>
          <w:p w14:paraId="514A268B">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pacing w:val="20"/>
                <w:sz w:val="24"/>
                <w:szCs w:val="24"/>
              </w:rPr>
              <w:t xml:space="preserve">队角、布告栏、小学生日常守则、社会主义核心价值观、国旗、磁性板 </w:t>
            </w:r>
            <w:r>
              <w:rPr>
                <w:rFonts w:hint="eastAsia" w:ascii="仿宋" w:hAnsi="仿宋" w:eastAsia="仿宋" w:cs="仿宋"/>
                <w:color w:val="auto"/>
                <w:kern w:val="0"/>
                <w:sz w:val="24"/>
                <w:szCs w:val="24"/>
              </w:rPr>
              <w:t>1.5cm高密度雪弗板/3mm亚克力UV喷印雕刻</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6581D1F6">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项</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7A19C777">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36</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020443DF">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p>
        </w:tc>
      </w:tr>
      <w:tr w14:paraId="75277411">
        <w:tblPrEx>
          <w:tblCellMar>
            <w:top w:w="0" w:type="dxa"/>
            <w:left w:w="108" w:type="dxa"/>
            <w:bottom w:w="0" w:type="dxa"/>
            <w:right w:w="108" w:type="dxa"/>
          </w:tblCellMar>
        </w:tblPrEx>
        <w:trPr>
          <w:trHeight w:val="90"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01B0AFE9">
            <w:pPr>
              <w:keepNext w:val="0"/>
              <w:keepLines w:val="0"/>
              <w:pageBreakBefore w:val="0"/>
              <w:kinsoku/>
              <w:wordWrap/>
              <w:overflowPunct/>
              <w:topLinePunct w:val="0"/>
              <w:autoSpaceDE/>
              <w:autoSpaceDN/>
              <w:bidi w:val="0"/>
              <w:adjustRightInd w:val="0"/>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50" w:type="pct"/>
            <w:vMerge w:val="continue"/>
            <w:tcBorders>
              <w:top w:val="single" w:color="000000" w:sz="4" w:space="0"/>
              <w:left w:val="single" w:color="000000" w:sz="4" w:space="0"/>
              <w:bottom w:val="single" w:color="000000" w:sz="4" w:space="0"/>
              <w:right w:val="single" w:color="000000" w:sz="4" w:space="0"/>
            </w:tcBorders>
            <w:vAlign w:val="center"/>
          </w:tcPr>
          <w:p w14:paraId="11B7C966">
            <w:pPr>
              <w:keepNext w:val="0"/>
              <w:keepLines w:val="0"/>
              <w:pageBreakBefore w:val="0"/>
              <w:kinsoku/>
              <w:wordWrap/>
              <w:overflowPunct/>
              <w:topLinePunct w:val="0"/>
              <w:autoSpaceDE/>
              <w:autoSpaceDN/>
              <w:bidi w:val="0"/>
              <w:adjustRightInd w:val="0"/>
              <w:spacing w:line="320" w:lineRule="exact"/>
              <w:jc w:val="center"/>
              <w:rPr>
                <w:rFonts w:hint="eastAsia" w:ascii="仿宋" w:hAnsi="仿宋" w:eastAsia="仿宋" w:cs="仿宋"/>
                <w:color w:val="auto"/>
                <w:sz w:val="24"/>
                <w:szCs w:val="24"/>
              </w:rPr>
            </w:pPr>
          </w:p>
        </w:tc>
        <w:tc>
          <w:tcPr>
            <w:tcW w:w="1973" w:type="pct"/>
            <w:tcBorders>
              <w:top w:val="single" w:color="000000" w:sz="4" w:space="0"/>
              <w:left w:val="single" w:color="000000" w:sz="4" w:space="0"/>
              <w:bottom w:val="single" w:color="000000" w:sz="4" w:space="0"/>
              <w:right w:val="single" w:color="000000" w:sz="4" w:space="0"/>
            </w:tcBorders>
            <w:vAlign w:val="center"/>
          </w:tcPr>
          <w:p w14:paraId="7FB42510">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pacing w:val="20"/>
                <w:sz w:val="24"/>
                <w:szCs w:val="24"/>
              </w:rPr>
              <w:t>班牌1.2</w:t>
            </w:r>
            <w:r>
              <w:rPr>
                <w:rFonts w:hint="eastAsia" w:ascii="仿宋" w:hAnsi="仿宋" w:eastAsia="仿宋" w:cs="仿宋"/>
                <w:color w:val="auto"/>
                <w:spacing w:val="20"/>
                <w:sz w:val="24"/>
                <w:szCs w:val="24"/>
                <w:lang w:val="en-US" w:eastAsia="zh-CN"/>
              </w:rPr>
              <w:t>cm</w:t>
            </w:r>
            <w:r>
              <w:rPr>
                <w:rFonts w:hint="eastAsia" w:ascii="仿宋" w:hAnsi="仿宋" w:eastAsia="仿宋" w:cs="仿宋"/>
                <w:color w:val="auto"/>
                <w:spacing w:val="20"/>
                <w:sz w:val="24"/>
                <w:szCs w:val="24"/>
              </w:rPr>
              <w:t>实木+0.8</w:t>
            </w:r>
            <w:r>
              <w:rPr>
                <w:rFonts w:hint="eastAsia" w:ascii="仿宋" w:hAnsi="仿宋" w:eastAsia="仿宋" w:cs="仿宋"/>
                <w:color w:val="auto"/>
                <w:spacing w:val="20"/>
                <w:sz w:val="24"/>
                <w:szCs w:val="24"/>
                <w:lang w:val="en-US" w:eastAsia="zh-CN"/>
              </w:rPr>
              <w:t>cm</w:t>
            </w:r>
            <w:r>
              <w:rPr>
                <w:rFonts w:hint="eastAsia" w:ascii="仿宋" w:hAnsi="仿宋" w:eastAsia="仿宋" w:cs="仿宋"/>
                <w:color w:val="auto"/>
                <w:spacing w:val="20"/>
                <w:sz w:val="24"/>
                <w:szCs w:val="24"/>
              </w:rPr>
              <w:t>PVC板UV</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2464EFB3">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项</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5EAE7845">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36</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0A1E3EF7">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p>
        </w:tc>
      </w:tr>
      <w:tr w14:paraId="1549E433">
        <w:tblPrEx>
          <w:tblCellMar>
            <w:top w:w="0" w:type="dxa"/>
            <w:left w:w="108" w:type="dxa"/>
            <w:bottom w:w="0" w:type="dxa"/>
            <w:right w:w="108" w:type="dxa"/>
          </w:tblCellMar>
        </w:tblPrEx>
        <w:trPr>
          <w:trHeight w:val="496"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3DCEDB7F">
            <w:pPr>
              <w:keepNext w:val="0"/>
              <w:keepLines w:val="0"/>
              <w:pageBreakBefore w:val="0"/>
              <w:kinsoku/>
              <w:wordWrap/>
              <w:overflowPunct/>
              <w:topLinePunct w:val="0"/>
              <w:autoSpaceDE/>
              <w:autoSpaceDN/>
              <w:bidi w:val="0"/>
              <w:adjustRightInd w:val="0"/>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150" w:type="pct"/>
            <w:vMerge w:val="continue"/>
            <w:tcBorders>
              <w:top w:val="single" w:color="000000" w:sz="4" w:space="0"/>
              <w:left w:val="single" w:color="000000" w:sz="4" w:space="0"/>
              <w:bottom w:val="single" w:color="000000" w:sz="4" w:space="0"/>
              <w:right w:val="single" w:color="000000" w:sz="4" w:space="0"/>
            </w:tcBorders>
            <w:vAlign w:val="center"/>
          </w:tcPr>
          <w:p w14:paraId="185FC95E">
            <w:pPr>
              <w:keepNext w:val="0"/>
              <w:keepLines w:val="0"/>
              <w:pageBreakBefore w:val="0"/>
              <w:kinsoku/>
              <w:wordWrap/>
              <w:overflowPunct/>
              <w:topLinePunct w:val="0"/>
              <w:autoSpaceDE/>
              <w:autoSpaceDN/>
              <w:bidi w:val="0"/>
              <w:adjustRightInd w:val="0"/>
              <w:spacing w:line="320" w:lineRule="exact"/>
              <w:jc w:val="center"/>
              <w:rPr>
                <w:rFonts w:hint="eastAsia" w:ascii="仿宋" w:hAnsi="仿宋" w:eastAsia="仿宋" w:cs="仿宋"/>
                <w:color w:val="auto"/>
                <w:sz w:val="24"/>
                <w:szCs w:val="24"/>
              </w:rPr>
            </w:pPr>
          </w:p>
        </w:tc>
        <w:tc>
          <w:tcPr>
            <w:tcW w:w="1973" w:type="pct"/>
            <w:tcBorders>
              <w:top w:val="single" w:color="000000" w:sz="4" w:space="0"/>
              <w:left w:val="single" w:color="000000" w:sz="4" w:space="0"/>
              <w:bottom w:val="single" w:color="000000" w:sz="4" w:space="0"/>
              <w:right w:val="single" w:color="000000" w:sz="4" w:space="0"/>
            </w:tcBorders>
            <w:vAlign w:val="center"/>
          </w:tcPr>
          <w:p w14:paraId="799A0585">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pacing w:val="20"/>
                <w:sz w:val="24"/>
                <w:szCs w:val="24"/>
              </w:rPr>
            </w:pPr>
            <w:r>
              <w:rPr>
                <w:rFonts w:hint="eastAsia" w:ascii="仿宋" w:hAnsi="仿宋" w:eastAsia="仿宋" w:cs="仿宋"/>
                <w:color w:val="auto"/>
                <w:spacing w:val="20"/>
                <w:sz w:val="24"/>
                <w:szCs w:val="24"/>
              </w:rPr>
              <w:t>软黑板实木吸音板</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022C9027">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6575549B">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b/>
                <w:color w:val="auto"/>
                <w:sz w:val="24"/>
                <w:szCs w:val="24"/>
              </w:rPr>
            </w:pPr>
            <w:r>
              <w:rPr>
                <w:rFonts w:hint="eastAsia" w:ascii="仿宋" w:hAnsi="仿宋" w:eastAsia="仿宋" w:cs="仿宋"/>
                <w:color w:val="auto"/>
                <w:sz w:val="24"/>
                <w:szCs w:val="24"/>
              </w:rPr>
              <w:t>480</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3953D9FC">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p>
        </w:tc>
      </w:tr>
      <w:tr w14:paraId="126BAC17">
        <w:tblPrEx>
          <w:tblCellMar>
            <w:top w:w="0" w:type="dxa"/>
            <w:left w:w="108" w:type="dxa"/>
            <w:bottom w:w="0" w:type="dxa"/>
            <w:right w:w="108" w:type="dxa"/>
          </w:tblCellMar>
        </w:tblPrEx>
        <w:trPr>
          <w:trHeight w:val="597"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40C2D217">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1150" w:type="pct"/>
            <w:vMerge w:val="restart"/>
            <w:tcBorders>
              <w:top w:val="single" w:color="000000" w:sz="4" w:space="0"/>
              <w:left w:val="single" w:color="000000" w:sz="4" w:space="0"/>
              <w:bottom w:val="single" w:color="000000" w:sz="4" w:space="0"/>
              <w:right w:val="single" w:color="000000" w:sz="4" w:space="0"/>
            </w:tcBorders>
            <w:vAlign w:val="center"/>
          </w:tcPr>
          <w:p w14:paraId="6EA5244D">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b/>
                <w:color w:val="auto"/>
                <w:sz w:val="24"/>
                <w:szCs w:val="24"/>
              </w:rPr>
              <w:t>教室</w:t>
            </w:r>
            <w:r>
              <w:rPr>
                <w:rFonts w:hint="eastAsia" w:ascii="仿宋" w:hAnsi="仿宋" w:eastAsia="仿宋" w:cs="仿宋"/>
                <w:b w:val="0"/>
                <w:bCs/>
                <w:color w:val="auto"/>
                <w:sz w:val="24"/>
                <w:szCs w:val="24"/>
              </w:rPr>
              <w:t>（5</w:t>
            </w:r>
            <w:r>
              <w:rPr>
                <w:rFonts w:hint="eastAsia" w:ascii="仿宋" w:hAnsi="仿宋" w:eastAsia="仿宋" w:cs="仿宋"/>
                <w:color w:val="auto"/>
                <w:sz w:val="24"/>
                <w:szCs w:val="24"/>
              </w:rPr>
              <w:t>个音乐室、2个科学教室、1个劳技教室、2个国际象棋室、2个计算机教室、2个心里辅导室）</w:t>
            </w:r>
          </w:p>
        </w:tc>
        <w:tc>
          <w:tcPr>
            <w:tcW w:w="1973" w:type="pct"/>
            <w:tcBorders>
              <w:top w:val="single" w:color="000000" w:sz="4" w:space="0"/>
              <w:left w:val="single" w:color="000000" w:sz="4" w:space="0"/>
              <w:bottom w:val="single" w:color="000000" w:sz="4" w:space="0"/>
              <w:right w:val="single" w:color="000000" w:sz="4" w:space="0"/>
            </w:tcBorders>
            <w:vAlign w:val="center"/>
          </w:tcPr>
          <w:p w14:paraId="73262051">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科室牌</w:t>
            </w:r>
            <w:r>
              <w:rPr>
                <w:rFonts w:hint="eastAsia" w:ascii="仿宋" w:hAnsi="仿宋" w:eastAsia="仿宋" w:cs="仿宋"/>
                <w:color w:val="auto"/>
                <w:spacing w:val="20"/>
                <w:sz w:val="24"/>
                <w:szCs w:val="24"/>
              </w:rPr>
              <w:t>1.2</w:t>
            </w:r>
            <w:r>
              <w:rPr>
                <w:rFonts w:hint="eastAsia" w:ascii="仿宋" w:hAnsi="仿宋" w:eastAsia="仿宋" w:cs="仿宋"/>
                <w:color w:val="auto"/>
                <w:spacing w:val="20"/>
                <w:sz w:val="24"/>
                <w:szCs w:val="24"/>
                <w:lang w:val="en-US" w:eastAsia="zh-CN"/>
              </w:rPr>
              <w:t>cm</w:t>
            </w:r>
            <w:r>
              <w:rPr>
                <w:rFonts w:hint="eastAsia" w:ascii="仿宋" w:hAnsi="仿宋" w:eastAsia="仿宋" w:cs="仿宋"/>
                <w:color w:val="auto"/>
                <w:spacing w:val="20"/>
                <w:sz w:val="24"/>
                <w:szCs w:val="24"/>
              </w:rPr>
              <w:t>实木+0.8</w:t>
            </w:r>
            <w:r>
              <w:rPr>
                <w:rFonts w:hint="eastAsia" w:ascii="仿宋" w:hAnsi="仿宋" w:eastAsia="仿宋" w:cs="仿宋"/>
                <w:color w:val="auto"/>
                <w:spacing w:val="20"/>
                <w:sz w:val="24"/>
                <w:szCs w:val="24"/>
                <w:lang w:val="en-US" w:eastAsia="zh-CN"/>
              </w:rPr>
              <w:t>cm</w:t>
            </w:r>
            <w:r>
              <w:rPr>
                <w:rFonts w:hint="eastAsia" w:ascii="仿宋" w:hAnsi="仿宋" w:eastAsia="仿宋" w:cs="仿宋"/>
                <w:color w:val="auto"/>
                <w:spacing w:val="20"/>
                <w:sz w:val="24"/>
                <w:szCs w:val="24"/>
              </w:rPr>
              <w:t>PVC板UV</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17EC3C32">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项</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2E8E5AB6">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14</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002B28CC">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p>
        </w:tc>
      </w:tr>
      <w:tr w14:paraId="590B9FD5">
        <w:tblPrEx>
          <w:tblCellMar>
            <w:top w:w="0" w:type="dxa"/>
            <w:left w:w="108" w:type="dxa"/>
            <w:bottom w:w="0" w:type="dxa"/>
            <w:right w:w="108" w:type="dxa"/>
          </w:tblCellMar>
        </w:tblPrEx>
        <w:trPr>
          <w:trHeight w:val="846"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6CCE5430">
            <w:pPr>
              <w:keepNext w:val="0"/>
              <w:keepLines w:val="0"/>
              <w:pageBreakBefore w:val="0"/>
              <w:kinsoku/>
              <w:wordWrap/>
              <w:overflowPunct/>
              <w:topLinePunct w:val="0"/>
              <w:autoSpaceDE/>
              <w:autoSpaceDN/>
              <w:bidi w:val="0"/>
              <w:adjustRightInd w:val="0"/>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150" w:type="pct"/>
            <w:vMerge w:val="continue"/>
            <w:tcBorders>
              <w:top w:val="single" w:color="000000" w:sz="4" w:space="0"/>
              <w:left w:val="single" w:color="000000" w:sz="4" w:space="0"/>
              <w:bottom w:val="single" w:color="000000" w:sz="4" w:space="0"/>
              <w:right w:val="single" w:color="000000" w:sz="4" w:space="0"/>
            </w:tcBorders>
            <w:vAlign w:val="center"/>
          </w:tcPr>
          <w:p w14:paraId="0F7BBA0A">
            <w:pPr>
              <w:keepNext w:val="0"/>
              <w:keepLines w:val="0"/>
              <w:pageBreakBefore w:val="0"/>
              <w:kinsoku/>
              <w:wordWrap/>
              <w:overflowPunct/>
              <w:topLinePunct w:val="0"/>
              <w:autoSpaceDE/>
              <w:autoSpaceDN/>
              <w:bidi w:val="0"/>
              <w:adjustRightInd w:val="0"/>
              <w:spacing w:line="320" w:lineRule="exact"/>
              <w:jc w:val="center"/>
              <w:rPr>
                <w:rFonts w:hint="eastAsia" w:ascii="仿宋" w:hAnsi="仿宋" w:eastAsia="仿宋" w:cs="仿宋"/>
                <w:color w:val="auto"/>
                <w:sz w:val="24"/>
                <w:szCs w:val="24"/>
              </w:rPr>
            </w:pPr>
          </w:p>
        </w:tc>
        <w:tc>
          <w:tcPr>
            <w:tcW w:w="1973" w:type="pct"/>
            <w:tcBorders>
              <w:top w:val="single" w:color="000000" w:sz="4" w:space="0"/>
              <w:left w:val="single" w:color="000000" w:sz="4" w:space="0"/>
              <w:bottom w:val="single" w:color="000000" w:sz="4" w:space="0"/>
              <w:right w:val="single" w:color="000000" w:sz="4" w:space="0"/>
            </w:tcBorders>
            <w:vAlign w:val="center"/>
          </w:tcPr>
          <w:p w14:paraId="2883A00B">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pacing w:val="20"/>
                <w:sz w:val="24"/>
                <w:szCs w:val="24"/>
              </w:rPr>
              <w:t>文化布置</w:t>
            </w:r>
            <w:r>
              <w:rPr>
                <w:rFonts w:hint="eastAsia" w:ascii="仿宋" w:hAnsi="仿宋" w:eastAsia="仿宋" w:cs="仿宋"/>
                <w:color w:val="auto"/>
                <w:kern w:val="0"/>
                <w:sz w:val="24"/>
                <w:szCs w:val="24"/>
              </w:rPr>
              <w:t>立体叠加图文、</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1.5cm高密度雪弗板/3mm亚克力UV喷印雕刻</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1DD8C45B">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6243EE92">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pacing w:val="20"/>
                <w:sz w:val="24"/>
                <w:szCs w:val="24"/>
              </w:rPr>
              <w:t>420</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6E74D691">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p>
        </w:tc>
      </w:tr>
      <w:tr w14:paraId="4202597F">
        <w:tblPrEx>
          <w:tblCellMar>
            <w:top w:w="0" w:type="dxa"/>
            <w:left w:w="108" w:type="dxa"/>
            <w:bottom w:w="0" w:type="dxa"/>
            <w:right w:w="108" w:type="dxa"/>
          </w:tblCellMar>
        </w:tblPrEx>
        <w:trPr>
          <w:trHeight w:val="496"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00E9A754">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1150" w:type="pct"/>
            <w:vMerge w:val="restart"/>
            <w:tcBorders>
              <w:top w:val="single" w:color="000000" w:sz="4" w:space="0"/>
              <w:left w:val="single" w:color="000000" w:sz="4" w:space="0"/>
              <w:bottom w:val="single" w:color="000000" w:sz="4" w:space="0"/>
              <w:right w:val="single" w:color="000000" w:sz="4" w:space="0"/>
            </w:tcBorders>
            <w:vAlign w:val="center"/>
          </w:tcPr>
          <w:p w14:paraId="73589C09">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b/>
                <w:color w:val="auto"/>
                <w:sz w:val="24"/>
                <w:szCs w:val="24"/>
              </w:rPr>
              <w:t>办公室文化</w:t>
            </w:r>
            <w:r>
              <w:rPr>
                <w:rFonts w:hint="eastAsia" w:ascii="仿宋" w:hAnsi="仿宋" w:eastAsia="仿宋" w:cs="仿宋"/>
                <w:b/>
                <w:color w:val="auto"/>
                <w:sz w:val="24"/>
                <w:szCs w:val="24"/>
              </w:rPr>
              <w:br w:type="textWrapping"/>
            </w:r>
            <w:r>
              <w:rPr>
                <w:rFonts w:hint="eastAsia" w:ascii="仿宋" w:hAnsi="仿宋" w:eastAsia="仿宋" w:cs="仿宋"/>
                <w:b w:val="0"/>
                <w:bCs/>
                <w:color w:val="auto"/>
                <w:kern w:val="0"/>
                <w:sz w:val="24"/>
                <w:szCs w:val="24"/>
                <w:lang w:eastAsia="zh-CN"/>
              </w:rPr>
              <w:t>（</w:t>
            </w:r>
            <w:r>
              <w:rPr>
                <w:rFonts w:hint="eastAsia" w:ascii="仿宋" w:hAnsi="仿宋" w:eastAsia="仿宋" w:cs="仿宋"/>
                <w:b w:val="0"/>
                <w:bCs/>
                <w:color w:val="auto"/>
                <w:kern w:val="0"/>
                <w:sz w:val="24"/>
                <w:szCs w:val="24"/>
                <w:lang w:val="en-US" w:eastAsia="zh-CN"/>
              </w:rPr>
              <w:t>36个办公室</w:t>
            </w:r>
            <w:r>
              <w:rPr>
                <w:rFonts w:hint="eastAsia" w:ascii="仿宋" w:hAnsi="仿宋" w:eastAsia="仿宋" w:cs="仿宋"/>
                <w:b w:val="0"/>
                <w:bCs/>
                <w:color w:val="auto"/>
                <w:kern w:val="0"/>
                <w:sz w:val="24"/>
                <w:szCs w:val="24"/>
                <w:lang w:eastAsia="zh-CN"/>
              </w:rPr>
              <w:t>）</w:t>
            </w:r>
          </w:p>
        </w:tc>
        <w:tc>
          <w:tcPr>
            <w:tcW w:w="1973" w:type="pct"/>
            <w:tcBorders>
              <w:top w:val="single" w:color="000000" w:sz="4" w:space="0"/>
              <w:left w:val="single" w:color="000000" w:sz="4" w:space="0"/>
              <w:bottom w:val="single" w:color="000000" w:sz="4" w:space="0"/>
              <w:right w:val="single" w:color="000000" w:sz="4" w:space="0"/>
            </w:tcBorders>
            <w:vAlign w:val="center"/>
          </w:tcPr>
          <w:p w14:paraId="4B37763E">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科室牌</w:t>
            </w:r>
            <w:r>
              <w:rPr>
                <w:rFonts w:hint="eastAsia" w:ascii="仿宋" w:hAnsi="仿宋" w:eastAsia="仿宋" w:cs="仿宋"/>
                <w:color w:val="auto"/>
                <w:spacing w:val="20"/>
                <w:sz w:val="24"/>
                <w:szCs w:val="24"/>
              </w:rPr>
              <w:t>1.2</w:t>
            </w:r>
            <w:r>
              <w:rPr>
                <w:rFonts w:hint="eastAsia" w:ascii="仿宋" w:hAnsi="仿宋" w:eastAsia="仿宋" w:cs="仿宋"/>
                <w:color w:val="auto"/>
                <w:spacing w:val="20"/>
                <w:sz w:val="24"/>
                <w:szCs w:val="24"/>
                <w:lang w:val="en-US" w:eastAsia="zh-CN"/>
              </w:rPr>
              <w:t>cm</w:t>
            </w:r>
            <w:r>
              <w:rPr>
                <w:rFonts w:hint="eastAsia" w:ascii="仿宋" w:hAnsi="仿宋" w:eastAsia="仿宋" w:cs="仿宋"/>
                <w:color w:val="auto"/>
                <w:spacing w:val="20"/>
                <w:sz w:val="24"/>
                <w:szCs w:val="24"/>
              </w:rPr>
              <w:t>实木+0.8</w:t>
            </w:r>
            <w:r>
              <w:rPr>
                <w:rFonts w:hint="eastAsia" w:ascii="仿宋" w:hAnsi="仿宋" w:eastAsia="仿宋" w:cs="仿宋"/>
                <w:color w:val="auto"/>
                <w:spacing w:val="20"/>
                <w:sz w:val="24"/>
                <w:szCs w:val="24"/>
                <w:lang w:val="en-US" w:eastAsia="zh-CN"/>
              </w:rPr>
              <w:t>cm</w:t>
            </w:r>
            <w:r>
              <w:rPr>
                <w:rFonts w:hint="eastAsia" w:ascii="仿宋" w:hAnsi="仿宋" w:eastAsia="仿宋" w:cs="仿宋"/>
                <w:color w:val="auto"/>
                <w:spacing w:val="20"/>
                <w:sz w:val="24"/>
                <w:szCs w:val="24"/>
              </w:rPr>
              <w:t>PVC板UV</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0F0EE1FB">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项</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002D5C56">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36</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126449B4">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p>
        </w:tc>
      </w:tr>
      <w:tr w14:paraId="730574BA">
        <w:tblPrEx>
          <w:tblCellMar>
            <w:top w:w="0" w:type="dxa"/>
            <w:left w:w="108" w:type="dxa"/>
            <w:bottom w:w="0" w:type="dxa"/>
            <w:right w:w="108" w:type="dxa"/>
          </w:tblCellMar>
        </w:tblPrEx>
        <w:trPr>
          <w:trHeight w:val="900"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657F314C">
            <w:pPr>
              <w:keepNext w:val="0"/>
              <w:keepLines w:val="0"/>
              <w:pageBreakBefore w:val="0"/>
              <w:kinsoku/>
              <w:wordWrap/>
              <w:overflowPunct/>
              <w:topLinePunct w:val="0"/>
              <w:autoSpaceDE/>
              <w:autoSpaceDN/>
              <w:bidi w:val="0"/>
              <w:adjustRightInd w:val="0"/>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150" w:type="pct"/>
            <w:vMerge w:val="continue"/>
            <w:tcBorders>
              <w:top w:val="single" w:color="000000" w:sz="4" w:space="0"/>
              <w:left w:val="single" w:color="000000" w:sz="4" w:space="0"/>
              <w:bottom w:val="single" w:color="000000" w:sz="4" w:space="0"/>
              <w:right w:val="single" w:color="000000" w:sz="4" w:space="0"/>
            </w:tcBorders>
            <w:vAlign w:val="center"/>
          </w:tcPr>
          <w:p w14:paraId="75B25C71">
            <w:pPr>
              <w:keepNext w:val="0"/>
              <w:keepLines w:val="0"/>
              <w:pageBreakBefore w:val="0"/>
              <w:kinsoku/>
              <w:wordWrap/>
              <w:overflowPunct/>
              <w:topLinePunct w:val="0"/>
              <w:autoSpaceDE/>
              <w:autoSpaceDN/>
              <w:bidi w:val="0"/>
              <w:adjustRightInd w:val="0"/>
              <w:spacing w:line="320" w:lineRule="exact"/>
              <w:jc w:val="center"/>
              <w:rPr>
                <w:rFonts w:hint="eastAsia" w:ascii="仿宋" w:hAnsi="仿宋" w:eastAsia="仿宋" w:cs="仿宋"/>
                <w:color w:val="auto"/>
                <w:sz w:val="24"/>
                <w:szCs w:val="24"/>
              </w:rPr>
            </w:pPr>
          </w:p>
        </w:tc>
        <w:tc>
          <w:tcPr>
            <w:tcW w:w="1973" w:type="pct"/>
            <w:tcBorders>
              <w:top w:val="single" w:color="000000" w:sz="4" w:space="0"/>
              <w:left w:val="single" w:color="000000" w:sz="4" w:space="0"/>
              <w:bottom w:val="single" w:color="000000" w:sz="4" w:space="0"/>
              <w:right w:val="single" w:color="000000" w:sz="4" w:space="0"/>
            </w:tcBorders>
            <w:vAlign w:val="center"/>
          </w:tcPr>
          <w:p w14:paraId="549A5FBD">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pacing w:val="20"/>
                <w:sz w:val="24"/>
                <w:szCs w:val="24"/>
              </w:rPr>
              <w:t>文化布置</w:t>
            </w:r>
            <w:r>
              <w:rPr>
                <w:rFonts w:hint="eastAsia" w:ascii="仿宋" w:hAnsi="仿宋" w:eastAsia="仿宋" w:cs="仿宋"/>
                <w:color w:val="auto"/>
                <w:kern w:val="0"/>
                <w:sz w:val="24"/>
                <w:szCs w:val="24"/>
              </w:rPr>
              <w:t>立体叠加图文、</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1.5cm高密度雪弗板/3mm亚克力UV喷印雕刻</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38C5C9A0">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3DE958EB">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pacing w:val="20"/>
                <w:sz w:val="24"/>
                <w:szCs w:val="24"/>
              </w:rPr>
              <w:t>240</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07940784">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p>
        </w:tc>
      </w:tr>
      <w:tr w14:paraId="4EB7FAC3">
        <w:tblPrEx>
          <w:tblCellMar>
            <w:top w:w="0" w:type="dxa"/>
            <w:left w:w="108" w:type="dxa"/>
            <w:bottom w:w="0" w:type="dxa"/>
            <w:right w:w="108" w:type="dxa"/>
          </w:tblCellMar>
        </w:tblPrEx>
        <w:trPr>
          <w:trHeight w:val="720"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4439615C">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1150" w:type="pct"/>
            <w:tcBorders>
              <w:top w:val="single" w:color="000000" w:sz="4" w:space="0"/>
              <w:left w:val="single" w:color="000000" w:sz="4" w:space="0"/>
              <w:bottom w:val="single" w:color="000000" w:sz="4" w:space="0"/>
              <w:right w:val="single" w:color="000000" w:sz="4" w:space="0"/>
            </w:tcBorders>
            <w:vAlign w:val="center"/>
          </w:tcPr>
          <w:p w14:paraId="550DED83">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b/>
                <w:color w:val="auto"/>
                <w:sz w:val="24"/>
                <w:szCs w:val="24"/>
              </w:rPr>
              <w:t>教学楼北、西、东楼梯</w:t>
            </w:r>
          </w:p>
        </w:tc>
        <w:tc>
          <w:tcPr>
            <w:tcW w:w="1973" w:type="pct"/>
            <w:tcBorders>
              <w:top w:val="single" w:color="000000" w:sz="4" w:space="0"/>
              <w:left w:val="single" w:color="000000" w:sz="4" w:space="0"/>
              <w:bottom w:val="single" w:color="000000" w:sz="4" w:space="0"/>
              <w:right w:val="single" w:color="000000" w:sz="4" w:space="0"/>
            </w:tcBorders>
            <w:vAlign w:val="center"/>
          </w:tcPr>
          <w:p w14:paraId="17369F15">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文化布置</w:t>
            </w:r>
            <w:r>
              <w:rPr>
                <w:rFonts w:hint="eastAsia" w:ascii="仿宋" w:hAnsi="仿宋" w:eastAsia="仿宋" w:cs="仿宋"/>
                <w:color w:val="auto"/>
                <w:kern w:val="0"/>
                <w:sz w:val="24"/>
                <w:szCs w:val="24"/>
              </w:rPr>
              <w:t>立体叠加图文、</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1.5cm高密度雪弗板/3mm亚克力UV喷印雕刻</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4.14m×1.05m</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1ADE68CF">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72AFCDFF">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210</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0C8737F4">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p>
        </w:tc>
      </w:tr>
      <w:tr w14:paraId="6E8C4BDF">
        <w:tblPrEx>
          <w:tblCellMar>
            <w:top w:w="0" w:type="dxa"/>
            <w:left w:w="108" w:type="dxa"/>
            <w:bottom w:w="0" w:type="dxa"/>
            <w:right w:w="108" w:type="dxa"/>
          </w:tblCellMar>
        </w:tblPrEx>
        <w:trPr>
          <w:trHeight w:val="487"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110E71CA">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1150" w:type="pct"/>
            <w:vMerge w:val="restart"/>
            <w:tcBorders>
              <w:top w:val="single" w:color="000000" w:sz="4" w:space="0"/>
              <w:left w:val="single" w:color="000000" w:sz="4" w:space="0"/>
              <w:bottom w:val="single" w:color="000000" w:sz="4" w:space="0"/>
              <w:right w:val="single" w:color="000000" w:sz="4" w:space="0"/>
            </w:tcBorders>
            <w:vAlign w:val="center"/>
          </w:tcPr>
          <w:p w14:paraId="71B92E36">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b/>
                <w:color w:val="auto"/>
                <w:sz w:val="24"/>
                <w:szCs w:val="24"/>
              </w:rPr>
              <w:t>二楼读书吧</w:t>
            </w:r>
          </w:p>
        </w:tc>
        <w:tc>
          <w:tcPr>
            <w:tcW w:w="1973" w:type="pct"/>
            <w:tcBorders>
              <w:top w:val="single" w:color="000000" w:sz="4" w:space="0"/>
              <w:left w:val="single" w:color="000000" w:sz="4" w:space="0"/>
              <w:bottom w:val="single" w:color="000000" w:sz="4" w:space="0"/>
              <w:right w:val="single" w:color="000000" w:sz="4" w:space="0"/>
            </w:tcBorders>
            <w:vAlign w:val="center"/>
          </w:tcPr>
          <w:p w14:paraId="12375926">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墙面实木艺术造型</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7620CD44">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658F62CE">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37</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558FFBE2">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p>
        </w:tc>
      </w:tr>
      <w:tr w14:paraId="6FC2ED62">
        <w:tblPrEx>
          <w:tblCellMar>
            <w:top w:w="0" w:type="dxa"/>
            <w:left w:w="108" w:type="dxa"/>
            <w:bottom w:w="0" w:type="dxa"/>
            <w:right w:w="108" w:type="dxa"/>
          </w:tblCellMar>
        </w:tblPrEx>
        <w:trPr>
          <w:trHeight w:val="740"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3A52A252">
            <w:pPr>
              <w:keepNext w:val="0"/>
              <w:keepLines w:val="0"/>
              <w:pageBreakBefore w:val="0"/>
              <w:kinsoku/>
              <w:wordWrap/>
              <w:overflowPunct/>
              <w:topLinePunct w:val="0"/>
              <w:autoSpaceDE/>
              <w:autoSpaceDN/>
              <w:bidi w:val="0"/>
              <w:adjustRightInd w:val="0"/>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150" w:type="pct"/>
            <w:vMerge w:val="continue"/>
            <w:tcBorders>
              <w:top w:val="single" w:color="000000" w:sz="4" w:space="0"/>
              <w:left w:val="single" w:color="000000" w:sz="4" w:space="0"/>
              <w:bottom w:val="single" w:color="000000" w:sz="4" w:space="0"/>
              <w:right w:val="single" w:color="000000" w:sz="4" w:space="0"/>
            </w:tcBorders>
            <w:vAlign w:val="center"/>
          </w:tcPr>
          <w:p w14:paraId="694FD304">
            <w:pPr>
              <w:keepNext w:val="0"/>
              <w:keepLines w:val="0"/>
              <w:pageBreakBefore w:val="0"/>
              <w:kinsoku/>
              <w:wordWrap/>
              <w:overflowPunct/>
              <w:topLinePunct w:val="0"/>
              <w:autoSpaceDE/>
              <w:autoSpaceDN/>
              <w:bidi w:val="0"/>
              <w:adjustRightInd w:val="0"/>
              <w:spacing w:line="320" w:lineRule="exact"/>
              <w:jc w:val="center"/>
              <w:rPr>
                <w:rFonts w:hint="eastAsia" w:ascii="仿宋" w:hAnsi="仿宋" w:eastAsia="仿宋" w:cs="仿宋"/>
                <w:color w:val="auto"/>
                <w:sz w:val="24"/>
                <w:szCs w:val="24"/>
              </w:rPr>
            </w:pPr>
          </w:p>
        </w:tc>
        <w:tc>
          <w:tcPr>
            <w:tcW w:w="1973" w:type="pct"/>
            <w:tcBorders>
              <w:top w:val="single" w:color="000000" w:sz="4" w:space="0"/>
              <w:left w:val="single" w:color="000000" w:sz="4" w:space="0"/>
              <w:bottom w:val="single" w:color="000000" w:sz="4" w:space="0"/>
              <w:right w:val="single" w:color="000000" w:sz="4" w:space="0"/>
            </w:tcBorders>
            <w:vAlign w:val="center"/>
          </w:tcPr>
          <w:p w14:paraId="533C7BC1">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pacing w:val="20"/>
                <w:sz w:val="24"/>
                <w:szCs w:val="24"/>
              </w:rPr>
              <w:t>文化布置</w:t>
            </w:r>
            <w:r>
              <w:rPr>
                <w:rFonts w:hint="eastAsia" w:ascii="仿宋" w:hAnsi="仿宋" w:eastAsia="仿宋" w:cs="仿宋"/>
                <w:color w:val="auto"/>
                <w:kern w:val="0"/>
                <w:sz w:val="24"/>
                <w:szCs w:val="24"/>
              </w:rPr>
              <w:t>立体叠加图文、</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1.5cm高密度雪弗板/3mm亚克力UV喷印雕刻</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1076CB07">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5A6A5EC3">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30</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0166A8C9">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p>
        </w:tc>
      </w:tr>
      <w:tr w14:paraId="12F8A1CF">
        <w:tblPrEx>
          <w:tblCellMar>
            <w:top w:w="0" w:type="dxa"/>
            <w:left w:w="108" w:type="dxa"/>
            <w:bottom w:w="0" w:type="dxa"/>
            <w:right w:w="108" w:type="dxa"/>
          </w:tblCellMar>
        </w:tblPrEx>
        <w:trPr>
          <w:trHeight w:val="517"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66A3D0BA">
            <w:pPr>
              <w:keepNext w:val="0"/>
              <w:keepLines w:val="0"/>
              <w:pageBreakBefore w:val="0"/>
              <w:kinsoku/>
              <w:wordWrap/>
              <w:overflowPunct/>
              <w:topLinePunct w:val="0"/>
              <w:autoSpaceDE/>
              <w:autoSpaceDN/>
              <w:bidi w:val="0"/>
              <w:adjustRightInd w:val="0"/>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150" w:type="pct"/>
            <w:vMerge w:val="continue"/>
            <w:tcBorders>
              <w:top w:val="single" w:color="000000" w:sz="4" w:space="0"/>
              <w:left w:val="single" w:color="000000" w:sz="4" w:space="0"/>
              <w:bottom w:val="single" w:color="000000" w:sz="4" w:space="0"/>
              <w:right w:val="single" w:color="000000" w:sz="4" w:space="0"/>
            </w:tcBorders>
            <w:vAlign w:val="center"/>
          </w:tcPr>
          <w:p w14:paraId="5F0E4371">
            <w:pPr>
              <w:keepNext w:val="0"/>
              <w:keepLines w:val="0"/>
              <w:pageBreakBefore w:val="0"/>
              <w:kinsoku/>
              <w:wordWrap/>
              <w:overflowPunct/>
              <w:topLinePunct w:val="0"/>
              <w:autoSpaceDE/>
              <w:autoSpaceDN/>
              <w:bidi w:val="0"/>
              <w:adjustRightInd w:val="0"/>
              <w:spacing w:line="320" w:lineRule="exact"/>
              <w:jc w:val="center"/>
              <w:rPr>
                <w:rFonts w:hint="eastAsia" w:ascii="仿宋" w:hAnsi="仿宋" w:eastAsia="仿宋" w:cs="仿宋"/>
                <w:color w:val="auto"/>
                <w:sz w:val="24"/>
                <w:szCs w:val="24"/>
              </w:rPr>
            </w:pPr>
          </w:p>
        </w:tc>
        <w:tc>
          <w:tcPr>
            <w:tcW w:w="1973" w:type="pct"/>
            <w:tcBorders>
              <w:top w:val="single" w:color="000000" w:sz="4" w:space="0"/>
              <w:left w:val="single" w:color="000000" w:sz="4" w:space="0"/>
              <w:bottom w:val="single" w:color="000000" w:sz="4" w:space="0"/>
              <w:right w:val="single" w:color="000000" w:sz="4" w:space="0"/>
            </w:tcBorders>
            <w:vAlign w:val="center"/>
          </w:tcPr>
          <w:p w14:paraId="6A125DBF">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pacing w:val="20"/>
                <w:sz w:val="24"/>
                <w:szCs w:val="24"/>
              </w:rPr>
              <w:t>实木地台木龙基层细木工板复合地板饰面</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03353038">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625E5FE6">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pacing w:val="20"/>
                <w:sz w:val="24"/>
                <w:szCs w:val="24"/>
              </w:rPr>
              <w:t>16</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73C1875D">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p>
        </w:tc>
      </w:tr>
      <w:tr w14:paraId="76F20942">
        <w:tblPrEx>
          <w:tblCellMar>
            <w:top w:w="0" w:type="dxa"/>
            <w:left w:w="108" w:type="dxa"/>
            <w:bottom w:w="0" w:type="dxa"/>
            <w:right w:w="108" w:type="dxa"/>
          </w:tblCellMar>
        </w:tblPrEx>
        <w:trPr>
          <w:trHeight w:val="517"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6636A4CF">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1150" w:type="pct"/>
            <w:vMerge w:val="restart"/>
            <w:tcBorders>
              <w:top w:val="single" w:color="000000" w:sz="4" w:space="0"/>
              <w:left w:val="single" w:color="000000" w:sz="4" w:space="0"/>
              <w:bottom w:val="single" w:color="000000" w:sz="4" w:space="0"/>
              <w:right w:val="single" w:color="000000" w:sz="4" w:space="0"/>
            </w:tcBorders>
            <w:vAlign w:val="center"/>
          </w:tcPr>
          <w:p w14:paraId="38410C86">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b/>
                <w:color w:val="auto"/>
                <w:sz w:val="24"/>
                <w:szCs w:val="24"/>
              </w:rPr>
              <w:t>二层、三层、四层连廊文化</w:t>
            </w:r>
          </w:p>
        </w:tc>
        <w:tc>
          <w:tcPr>
            <w:tcW w:w="1973" w:type="pct"/>
            <w:tcBorders>
              <w:top w:val="single" w:color="000000" w:sz="4" w:space="0"/>
              <w:left w:val="single" w:color="000000" w:sz="4" w:space="0"/>
              <w:bottom w:val="single" w:color="000000" w:sz="4" w:space="0"/>
              <w:right w:val="single" w:color="000000" w:sz="4" w:space="0"/>
            </w:tcBorders>
            <w:vAlign w:val="center"/>
          </w:tcPr>
          <w:p w14:paraId="4981552B">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墙面实木艺术造型</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3A1494BA">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1743393B">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pacing w:val="20"/>
                <w:sz w:val="24"/>
                <w:szCs w:val="24"/>
              </w:rPr>
              <w:t>120</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27056D0C">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p>
        </w:tc>
      </w:tr>
      <w:tr w14:paraId="0EFCFB7A">
        <w:tblPrEx>
          <w:tblCellMar>
            <w:top w:w="0" w:type="dxa"/>
            <w:left w:w="108" w:type="dxa"/>
            <w:bottom w:w="0" w:type="dxa"/>
            <w:right w:w="108" w:type="dxa"/>
          </w:tblCellMar>
        </w:tblPrEx>
        <w:trPr>
          <w:trHeight w:val="800"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625800B5">
            <w:pPr>
              <w:keepNext w:val="0"/>
              <w:keepLines w:val="0"/>
              <w:pageBreakBefore w:val="0"/>
              <w:kinsoku/>
              <w:wordWrap/>
              <w:overflowPunct/>
              <w:topLinePunct w:val="0"/>
              <w:autoSpaceDE/>
              <w:autoSpaceDN/>
              <w:bidi w:val="0"/>
              <w:adjustRightInd w:val="0"/>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150" w:type="pct"/>
            <w:vMerge w:val="continue"/>
            <w:tcBorders>
              <w:top w:val="single" w:color="000000" w:sz="4" w:space="0"/>
              <w:left w:val="single" w:color="000000" w:sz="4" w:space="0"/>
              <w:bottom w:val="single" w:color="000000" w:sz="4" w:space="0"/>
              <w:right w:val="single" w:color="000000" w:sz="4" w:space="0"/>
            </w:tcBorders>
            <w:vAlign w:val="center"/>
          </w:tcPr>
          <w:p w14:paraId="5B6B21DF">
            <w:pPr>
              <w:keepNext w:val="0"/>
              <w:keepLines w:val="0"/>
              <w:pageBreakBefore w:val="0"/>
              <w:kinsoku/>
              <w:wordWrap/>
              <w:overflowPunct/>
              <w:topLinePunct w:val="0"/>
              <w:autoSpaceDE/>
              <w:autoSpaceDN/>
              <w:bidi w:val="0"/>
              <w:adjustRightInd w:val="0"/>
              <w:spacing w:line="320" w:lineRule="exact"/>
              <w:jc w:val="center"/>
              <w:rPr>
                <w:rFonts w:hint="eastAsia" w:ascii="仿宋" w:hAnsi="仿宋" w:eastAsia="仿宋" w:cs="仿宋"/>
                <w:color w:val="auto"/>
                <w:sz w:val="24"/>
                <w:szCs w:val="24"/>
              </w:rPr>
            </w:pPr>
          </w:p>
        </w:tc>
        <w:tc>
          <w:tcPr>
            <w:tcW w:w="1973" w:type="pct"/>
            <w:tcBorders>
              <w:top w:val="single" w:color="000000" w:sz="4" w:space="0"/>
              <w:left w:val="single" w:color="000000" w:sz="4" w:space="0"/>
              <w:bottom w:val="single" w:color="000000" w:sz="4" w:space="0"/>
              <w:right w:val="single" w:color="000000" w:sz="4" w:space="0"/>
            </w:tcBorders>
            <w:vAlign w:val="center"/>
          </w:tcPr>
          <w:p w14:paraId="26766C85">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pacing w:val="20"/>
                <w:sz w:val="24"/>
                <w:szCs w:val="24"/>
              </w:rPr>
              <w:t>文化布置</w:t>
            </w:r>
            <w:r>
              <w:rPr>
                <w:rFonts w:hint="eastAsia" w:ascii="仿宋" w:hAnsi="仿宋" w:eastAsia="仿宋" w:cs="仿宋"/>
                <w:color w:val="auto"/>
                <w:kern w:val="0"/>
                <w:sz w:val="24"/>
                <w:szCs w:val="24"/>
              </w:rPr>
              <w:t>立体叠加图文、</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1.5cm高密度雪弗板/3mm亚克力UV喷印雕刻</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222FDF41">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7D5FDE38">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100</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5620DE32">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p>
        </w:tc>
      </w:tr>
      <w:tr w14:paraId="4859042D">
        <w:tblPrEx>
          <w:tblCellMar>
            <w:top w:w="0" w:type="dxa"/>
            <w:left w:w="108" w:type="dxa"/>
            <w:bottom w:w="0" w:type="dxa"/>
            <w:right w:w="108" w:type="dxa"/>
          </w:tblCellMar>
        </w:tblPrEx>
        <w:trPr>
          <w:trHeight w:val="397"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3821C143">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w:t>
            </w:r>
          </w:p>
        </w:tc>
        <w:tc>
          <w:tcPr>
            <w:tcW w:w="1150" w:type="pct"/>
            <w:vMerge w:val="restart"/>
            <w:tcBorders>
              <w:top w:val="single" w:color="000000" w:sz="4" w:space="0"/>
              <w:left w:val="single" w:color="000000" w:sz="4" w:space="0"/>
              <w:right w:val="single" w:color="000000" w:sz="4" w:space="0"/>
            </w:tcBorders>
            <w:vAlign w:val="center"/>
          </w:tcPr>
          <w:p w14:paraId="06EE173F">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b/>
                <w:color w:val="auto"/>
                <w:sz w:val="24"/>
                <w:szCs w:val="24"/>
              </w:rPr>
              <w:t>教学楼校史室</w:t>
            </w:r>
          </w:p>
        </w:tc>
        <w:tc>
          <w:tcPr>
            <w:tcW w:w="1973" w:type="pct"/>
            <w:tcBorders>
              <w:top w:val="single" w:color="000000" w:sz="4" w:space="0"/>
              <w:left w:val="single" w:color="000000" w:sz="4" w:space="0"/>
              <w:bottom w:val="single" w:color="000000" w:sz="4" w:space="0"/>
              <w:right w:val="single" w:color="000000" w:sz="4" w:space="0"/>
            </w:tcBorders>
            <w:vAlign w:val="center"/>
          </w:tcPr>
          <w:p w14:paraId="73AA1566">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墙面不锈钢实木艺术造型</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05247B1E">
            <w:pPr>
              <w:keepNext w:val="0"/>
              <w:keepLines w:val="0"/>
              <w:pageBreakBefore w:val="0"/>
              <w:tabs>
                <w:tab w:val="left" w:pos="1418"/>
              </w:tabs>
              <w:kinsoku/>
              <w:wordWrap/>
              <w:overflowPunct/>
              <w:topLinePunct w:val="0"/>
              <w:autoSpaceDE/>
              <w:autoSpaceDN/>
              <w:bidi w:val="0"/>
              <w:adjustRightInd w:val="0"/>
              <w:snapToGrid w:val="0"/>
              <w:spacing w:before="50" w:after="50" w:line="320" w:lineRule="exact"/>
              <w:jc w:val="center"/>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0A25FAE0">
            <w:pPr>
              <w:keepNext w:val="0"/>
              <w:keepLines w:val="0"/>
              <w:pageBreakBefore w:val="0"/>
              <w:tabs>
                <w:tab w:val="left" w:pos="1418"/>
              </w:tabs>
              <w:kinsoku/>
              <w:wordWrap/>
              <w:overflowPunct/>
              <w:topLinePunct w:val="0"/>
              <w:autoSpaceDE/>
              <w:autoSpaceDN/>
              <w:bidi w:val="0"/>
              <w:adjustRightInd w:val="0"/>
              <w:snapToGrid w:val="0"/>
              <w:spacing w:before="50" w:after="50" w:line="320" w:lineRule="exact"/>
              <w:jc w:val="center"/>
              <w:rPr>
                <w:rFonts w:hint="eastAsia" w:ascii="仿宋" w:hAnsi="仿宋" w:eastAsia="仿宋" w:cs="仿宋"/>
                <w:color w:val="auto"/>
                <w:spacing w:val="20"/>
                <w:sz w:val="24"/>
                <w:szCs w:val="24"/>
              </w:rPr>
            </w:pPr>
            <w:r>
              <w:rPr>
                <w:rFonts w:hint="eastAsia" w:ascii="仿宋" w:hAnsi="仿宋" w:eastAsia="仿宋" w:cs="仿宋"/>
                <w:color w:val="auto"/>
                <w:spacing w:val="20"/>
                <w:sz w:val="24"/>
                <w:szCs w:val="24"/>
              </w:rPr>
              <w:t>100</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2BD87147">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p>
        </w:tc>
      </w:tr>
      <w:tr w14:paraId="29815EA0">
        <w:tblPrEx>
          <w:tblCellMar>
            <w:top w:w="0" w:type="dxa"/>
            <w:left w:w="108" w:type="dxa"/>
            <w:bottom w:w="0" w:type="dxa"/>
            <w:right w:w="108" w:type="dxa"/>
          </w:tblCellMar>
        </w:tblPrEx>
        <w:trPr>
          <w:trHeight w:val="397"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14:paraId="2261DDE8">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1150" w:type="pct"/>
            <w:vMerge w:val="continue"/>
            <w:tcBorders>
              <w:left w:val="single" w:color="000000" w:sz="4" w:space="0"/>
              <w:right w:val="single" w:color="000000" w:sz="4" w:space="0"/>
            </w:tcBorders>
            <w:noWrap/>
            <w:vAlign w:val="center"/>
          </w:tcPr>
          <w:p w14:paraId="7720585F">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p>
        </w:tc>
        <w:tc>
          <w:tcPr>
            <w:tcW w:w="1973" w:type="pct"/>
            <w:tcBorders>
              <w:top w:val="single" w:color="000000" w:sz="4" w:space="0"/>
              <w:left w:val="single" w:color="000000" w:sz="4" w:space="0"/>
              <w:bottom w:val="single" w:color="000000" w:sz="4" w:space="0"/>
              <w:right w:val="single" w:color="000000" w:sz="4" w:space="0"/>
            </w:tcBorders>
            <w:vAlign w:val="center"/>
          </w:tcPr>
          <w:p w14:paraId="19BA62A0">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铝板定制</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5522D218">
            <w:pPr>
              <w:keepNext w:val="0"/>
              <w:keepLines w:val="0"/>
              <w:pageBreakBefore w:val="0"/>
              <w:tabs>
                <w:tab w:val="left" w:pos="1418"/>
              </w:tabs>
              <w:kinsoku/>
              <w:wordWrap/>
              <w:overflowPunct/>
              <w:topLinePunct w:val="0"/>
              <w:autoSpaceDE/>
              <w:autoSpaceDN/>
              <w:bidi w:val="0"/>
              <w:adjustRightInd w:val="0"/>
              <w:snapToGrid w:val="0"/>
              <w:spacing w:before="50" w:after="50" w:line="320" w:lineRule="exact"/>
              <w:jc w:val="center"/>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项</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297C5AB4">
            <w:pPr>
              <w:keepNext w:val="0"/>
              <w:keepLines w:val="0"/>
              <w:pageBreakBefore w:val="0"/>
              <w:tabs>
                <w:tab w:val="left" w:pos="1418"/>
              </w:tabs>
              <w:kinsoku/>
              <w:wordWrap/>
              <w:overflowPunct/>
              <w:topLinePunct w:val="0"/>
              <w:autoSpaceDE/>
              <w:autoSpaceDN/>
              <w:bidi w:val="0"/>
              <w:adjustRightInd w:val="0"/>
              <w:snapToGrid w:val="0"/>
              <w:spacing w:before="50" w:after="50" w:line="320" w:lineRule="exact"/>
              <w:jc w:val="center"/>
              <w:rPr>
                <w:rFonts w:hint="eastAsia" w:ascii="仿宋" w:hAnsi="仿宋" w:eastAsia="仿宋" w:cs="仿宋"/>
                <w:color w:val="auto"/>
                <w:spacing w:val="20"/>
                <w:sz w:val="24"/>
                <w:szCs w:val="24"/>
              </w:rPr>
            </w:pPr>
            <w:r>
              <w:rPr>
                <w:rFonts w:hint="eastAsia" w:ascii="仿宋" w:hAnsi="仿宋" w:eastAsia="仿宋" w:cs="仿宋"/>
                <w:color w:val="auto"/>
                <w:spacing w:val="20"/>
                <w:sz w:val="24"/>
                <w:szCs w:val="24"/>
              </w:rPr>
              <w:t>1</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6C24B4BD">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p>
        </w:tc>
      </w:tr>
      <w:tr w14:paraId="7911FBDC">
        <w:tblPrEx>
          <w:tblCellMar>
            <w:top w:w="0" w:type="dxa"/>
            <w:left w:w="108" w:type="dxa"/>
            <w:bottom w:w="0" w:type="dxa"/>
            <w:right w:w="108" w:type="dxa"/>
          </w:tblCellMar>
        </w:tblPrEx>
        <w:trPr>
          <w:trHeight w:val="397"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14:paraId="2CECDF1A">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w:t>
            </w:r>
          </w:p>
        </w:tc>
        <w:tc>
          <w:tcPr>
            <w:tcW w:w="1150" w:type="pct"/>
            <w:vMerge w:val="continue"/>
            <w:tcBorders>
              <w:left w:val="single" w:color="000000" w:sz="4" w:space="0"/>
              <w:right w:val="single" w:color="000000" w:sz="4" w:space="0"/>
            </w:tcBorders>
            <w:noWrap/>
            <w:vAlign w:val="center"/>
          </w:tcPr>
          <w:p w14:paraId="02F79412">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p>
        </w:tc>
        <w:tc>
          <w:tcPr>
            <w:tcW w:w="1973" w:type="pct"/>
            <w:tcBorders>
              <w:top w:val="single" w:color="000000" w:sz="4" w:space="0"/>
              <w:left w:val="single" w:color="000000" w:sz="4" w:space="0"/>
              <w:bottom w:val="single" w:color="000000" w:sz="4" w:space="0"/>
              <w:right w:val="single" w:color="000000" w:sz="4" w:space="0"/>
            </w:tcBorders>
            <w:vAlign w:val="center"/>
          </w:tcPr>
          <w:p w14:paraId="3DE617D0">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玻璃钢雕塑定制</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35304953">
            <w:pPr>
              <w:keepNext w:val="0"/>
              <w:keepLines w:val="0"/>
              <w:pageBreakBefore w:val="0"/>
              <w:tabs>
                <w:tab w:val="left" w:pos="1418"/>
              </w:tabs>
              <w:kinsoku/>
              <w:wordWrap/>
              <w:overflowPunct/>
              <w:topLinePunct w:val="0"/>
              <w:autoSpaceDE/>
              <w:autoSpaceDN/>
              <w:bidi w:val="0"/>
              <w:adjustRightInd w:val="0"/>
              <w:snapToGrid w:val="0"/>
              <w:spacing w:before="50" w:after="50" w:line="320" w:lineRule="exact"/>
              <w:jc w:val="center"/>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项</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5DCF9031">
            <w:pPr>
              <w:keepNext w:val="0"/>
              <w:keepLines w:val="0"/>
              <w:pageBreakBefore w:val="0"/>
              <w:tabs>
                <w:tab w:val="left" w:pos="1418"/>
              </w:tabs>
              <w:kinsoku/>
              <w:wordWrap/>
              <w:overflowPunct/>
              <w:topLinePunct w:val="0"/>
              <w:autoSpaceDE/>
              <w:autoSpaceDN/>
              <w:bidi w:val="0"/>
              <w:adjustRightInd w:val="0"/>
              <w:snapToGrid w:val="0"/>
              <w:spacing w:before="50" w:after="50" w:line="320" w:lineRule="exact"/>
              <w:jc w:val="center"/>
              <w:rPr>
                <w:rFonts w:hint="eastAsia" w:ascii="仿宋" w:hAnsi="仿宋" w:eastAsia="仿宋" w:cs="仿宋"/>
                <w:color w:val="auto"/>
                <w:spacing w:val="20"/>
                <w:sz w:val="24"/>
                <w:szCs w:val="24"/>
              </w:rPr>
            </w:pPr>
            <w:r>
              <w:rPr>
                <w:rFonts w:hint="eastAsia" w:ascii="仿宋" w:hAnsi="仿宋" w:eastAsia="仿宋" w:cs="仿宋"/>
                <w:color w:val="auto"/>
                <w:spacing w:val="20"/>
                <w:sz w:val="24"/>
                <w:szCs w:val="24"/>
              </w:rPr>
              <w:t>1</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6DAD4C37">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p>
        </w:tc>
      </w:tr>
      <w:tr w14:paraId="5E36C80A">
        <w:tblPrEx>
          <w:tblCellMar>
            <w:top w:w="0" w:type="dxa"/>
            <w:left w:w="108" w:type="dxa"/>
            <w:bottom w:w="0" w:type="dxa"/>
            <w:right w:w="108" w:type="dxa"/>
          </w:tblCellMar>
        </w:tblPrEx>
        <w:trPr>
          <w:trHeight w:val="31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4988E">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w:t>
            </w:r>
          </w:p>
        </w:tc>
        <w:tc>
          <w:tcPr>
            <w:tcW w:w="1150" w:type="pct"/>
            <w:vMerge w:val="continue"/>
            <w:tcBorders>
              <w:left w:val="single" w:color="000000" w:sz="4" w:space="0"/>
              <w:right w:val="single" w:color="000000" w:sz="4" w:space="0"/>
            </w:tcBorders>
            <w:shd w:val="clear" w:color="auto" w:fill="FFFFFF"/>
            <w:vAlign w:val="center"/>
          </w:tcPr>
          <w:p w14:paraId="75DCF613">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p>
        </w:tc>
        <w:tc>
          <w:tcPr>
            <w:tcW w:w="1973" w:type="pct"/>
            <w:tcBorders>
              <w:top w:val="single" w:color="000000" w:sz="4" w:space="0"/>
              <w:left w:val="single" w:color="000000" w:sz="4" w:space="0"/>
              <w:bottom w:val="single" w:color="000000" w:sz="4" w:space="0"/>
              <w:right w:val="single" w:color="000000" w:sz="4" w:space="0"/>
            </w:tcBorders>
            <w:vAlign w:val="center"/>
          </w:tcPr>
          <w:p w14:paraId="2FE3EB00">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pacing w:val="20"/>
                <w:sz w:val="24"/>
                <w:szCs w:val="24"/>
              </w:rPr>
              <w:t>文化布置</w:t>
            </w:r>
            <w:r>
              <w:rPr>
                <w:rFonts w:hint="eastAsia" w:ascii="仿宋" w:hAnsi="仿宋" w:eastAsia="仿宋" w:cs="仿宋"/>
                <w:color w:val="auto"/>
                <w:kern w:val="0"/>
                <w:sz w:val="24"/>
                <w:szCs w:val="24"/>
              </w:rPr>
              <w:t>1.5cm高密度雪弗板/3mm亚克力UV喷印雕刻</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5669B5C0">
            <w:pPr>
              <w:keepNext w:val="0"/>
              <w:keepLines w:val="0"/>
              <w:pageBreakBefore w:val="0"/>
              <w:tabs>
                <w:tab w:val="left" w:pos="1418"/>
              </w:tabs>
              <w:kinsoku/>
              <w:wordWrap/>
              <w:overflowPunct/>
              <w:topLinePunct w:val="0"/>
              <w:autoSpaceDE/>
              <w:autoSpaceDN/>
              <w:bidi w:val="0"/>
              <w:adjustRightInd w:val="0"/>
              <w:snapToGrid w:val="0"/>
              <w:spacing w:before="50" w:after="50" w:line="320" w:lineRule="exact"/>
              <w:jc w:val="center"/>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16B23AA6">
            <w:pPr>
              <w:keepNext w:val="0"/>
              <w:keepLines w:val="0"/>
              <w:pageBreakBefore w:val="0"/>
              <w:tabs>
                <w:tab w:val="left" w:pos="1418"/>
              </w:tabs>
              <w:kinsoku/>
              <w:wordWrap/>
              <w:overflowPunct/>
              <w:topLinePunct w:val="0"/>
              <w:autoSpaceDE/>
              <w:autoSpaceDN/>
              <w:bidi w:val="0"/>
              <w:adjustRightInd w:val="0"/>
              <w:snapToGrid w:val="0"/>
              <w:spacing w:before="50" w:after="50" w:line="320" w:lineRule="exact"/>
              <w:jc w:val="center"/>
              <w:rPr>
                <w:rFonts w:hint="eastAsia" w:ascii="仿宋" w:hAnsi="仿宋" w:eastAsia="仿宋" w:cs="仿宋"/>
                <w:color w:val="auto"/>
                <w:spacing w:val="20"/>
                <w:sz w:val="24"/>
                <w:szCs w:val="24"/>
              </w:rPr>
            </w:pPr>
            <w:r>
              <w:rPr>
                <w:rFonts w:hint="eastAsia" w:ascii="仿宋" w:hAnsi="仿宋" w:eastAsia="仿宋" w:cs="仿宋"/>
                <w:color w:val="auto"/>
                <w:spacing w:val="20"/>
                <w:sz w:val="24"/>
                <w:szCs w:val="24"/>
              </w:rPr>
              <w:t>60</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20DDBF37">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p>
        </w:tc>
      </w:tr>
      <w:tr w14:paraId="6F76CE19">
        <w:tblPrEx>
          <w:tblCellMar>
            <w:top w:w="0" w:type="dxa"/>
            <w:left w:w="108" w:type="dxa"/>
            <w:bottom w:w="0" w:type="dxa"/>
            <w:right w:w="108" w:type="dxa"/>
          </w:tblCellMar>
        </w:tblPrEx>
        <w:trPr>
          <w:trHeight w:val="443"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741AF07B">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18</w:t>
            </w:r>
          </w:p>
        </w:tc>
        <w:tc>
          <w:tcPr>
            <w:tcW w:w="1150" w:type="pct"/>
            <w:vMerge w:val="continue"/>
            <w:tcBorders>
              <w:left w:val="single" w:color="000000" w:sz="4" w:space="0"/>
              <w:bottom w:val="single" w:color="000000" w:sz="4" w:space="0"/>
              <w:right w:val="single" w:color="000000" w:sz="4" w:space="0"/>
            </w:tcBorders>
            <w:vAlign w:val="center"/>
          </w:tcPr>
          <w:p w14:paraId="7582B022">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p>
        </w:tc>
        <w:tc>
          <w:tcPr>
            <w:tcW w:w="1973" w:type="pct"/>
            <w:tcBorders>
              <w:top w:val="single" w:color="000000" w:sz="4" w:space="0"/>
              <w:left w:val="single" w:color="000000" w:sz="4" w:space="0"/>
              <w:bottom w:val="single" w:color="000000" w:sz="4" w:space="0"/>
              <w:right w:val="single" w:color="000000" w:sz="4" w:space="0"/>
            </w:tcBorders>
            <w:noWrap/>
            <w:vAlign w:val="center"/>
          </w:tcPr>
          <w:p w14:paraId="65172F84">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pacing w:val="20"/>
                <w:sz w:val="24"/>
                <w:szCs w:val="24"/>
              </w:rPr>
              <w:t>玻璃砖隔断</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5A9DBB46">
            <w:pPr>
              <w:keepNext w:val="0"/>
              <w:keepLines w:val="0"/>
              <w:pageBreakBefore w:val="0"/>
              <w:tabs>
                <w:tab w:val="left" w:pos="1418"/>
              </w:tabs>
              <w:kinsoku/>
              <w:wordWrap/>
              <w:overflowPunct/>
              <w:topLinePunct w:val="0"/>
              <w:autoSpaceDE/>
              <w:autoSpaceDN/>
              <w:bidi w:val="0"/>
              <w:adjustRightInd w:val="0"/>
              <w:snapToGrid w:val="0"/>
              <w:spacing w:before="50" w:after="50" w:line="320" w:lineRule="exact"/>
              <w:jc w:val="center"/>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61A078DB">
            <w:pPr>
              <w:keepNext w:val="0"/>
              <w:keepLines w:val="0"/>
              <w:pageBreakBefore w:val="0"/>
              <w:tabs>
                <w:tab w:val="left" w:pos="1418"/>
              </w:tabs>
              <w:kinsoku/>
              <w:wordWrap/>
              <w:overflowPunct/>
              <w:topLinePunct w:val="0"/>
              <w:autoSpaceDE/>
              <w:autoSpaceDN/>
              <w:bidi w:val="0"/>
              <w:adjustRightInd w:val="0"/>
              <w:snapToGrid w:val="0"/>
              <w:spacing w:before="50" w:after="50" w:line="320" w:lineRule="exact"/>
              <w:jc w:val="center"/>
              <w:rPr>
                <w:rFonts w:hint="eastAsia" w:ascii="仿宋" w:hAnsi="仿宋" w:eastAsia="仿宋" w:cs="仿宋"/>
                <w:color w:val="auto"/>
                <w:spacing w:val="20"/>
                <w:sz w:val="24"/>
                <w:szCs w:val="24"/>
              </w:rPr>
            </w:pPr>
            <w:r>
              <w:rPr>
                <w:rFonts w:hint="eastAsia" w:ascii="仿宋" w:hAnsi="仿宋" w:eastAsia="仿宋" w:cs="仿宋"/>
                <w:color w:val="auto"/>
                <w:spacing w:val="20"/>
                <w:sz w:val="24"/>
                <w:szCs w:val="24"/>
              </w:rPr>
              <w:t>10</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7BA492A0">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p>
        </w:tc>
      </w:tr>
      <w:tr w14:paraId="1EB42A60">
        <w:tblPrEx>
          <w:tblCellMar>
            <w:top w:w="0" w:type="dxa"/>
            <w:left w:w="108" w:type="dxa"/>
            <w:bottom w:w="0" w:type="dxa"/>
            <w:right w:w="108" w:type="dxa"/>
          </w:tblCellMar>
        </w:tblPrEx>
        <w:trPr>
          <w:trHeight w:val="90"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3BF62A90">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19</w:t>
            </w:r>
          </w:p>
        </w:tc>
        <w:tc>
          <w:tcPr>
            <w:tcW w:w="1150" w:type="pct"/>
            <w:tcBorders>
              <w:top w:val="single" w:color="000000" w:sz="4" w:space="0"/>
              <w:left w:val="single" w:color="000000" w:sz="4" w:space="0"/>
              <w:bottom w:val="single" w:color="000000" w:sz="4" w:space="0"/>
              <w:right w:val="single" w:color="000000" w:sz="4" w:space="0"/>
            </w:tcBorders>
            <w:vAlign w:val="center"/>
          </w:tcPr>
          <w:p w14:paraId="2CFFC0C6">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b/>
                <w:color w:val="auto"/>
                <w:sz w:val="24"/>
                <w:szCs w:val="24"/>
              </w:rPr>
              <w:t>阅览室二楼楼顶劳技教室</w:t>
            </w:r>
          </w:p>
        </w:tc>
        <w:tc>
          <w:tcPr>
            <w:tcW w:w="1973" w:type="pct"/>
            <w:tcBorders>
              <w:top w:val="single" w:color="000000" w:sz="4" w:space="0"/>
              <w:left w:val="single" w:color="000000" w:sz="4" w:space="0"/>
              <w:bottom w:val="single" w:color="000000" w:sz="4" w:space="0"/>
              <w:right w:val="single" w:color="000000" w:sz="4" w:space="0"/>
            </w:tcBorders>
            <w:vAlign w:val="center"/>
          </w:tcPr>
          <w:p w14:paraId="61243F97">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pacing w:val="20"/>
                <w:sz w:val="24"/>
                <w:szCs w:val="24"/>
              </w:rPr>
              <w:t>文化布置</w:t>
            </w:r>
            <w:r>
              <w:rPr>
                <w:rFonts w:hint="eastAsia" w:ascii="仿宋" w:hAnsi="仿宋" w:eastAsia="仿宋" w:cs="仿宋"/>
                <w:color w:val="auto"/>
                <w:kern w:val="0"/>
                <w:sz w:val="24"/>
                <w:szCs w:val="24"/>
              </w:rPr>
              <w:t>立体叠加图文、</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1.5cm高密度雪弗板/3mm亚克力UV喷印雕刻</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6D0FE8AF">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18A8C91B">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50</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3F47F8B2">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p>
        </w:tc>
      </w:tr>
      <w:tr w14:paraId="30A6CB2B">
        <w:tblPrEx>
          <w:tblCellMar>
            <w:top w:w="0" w:type="dxa"/>
            <w:left w:w="108" w:type="dxa"/>
            <w:bottom w:w="0" w:type="dxa"/>
            <w:right w:w="108" w:type="dxa"/>
          </w:tblCellMar>
        </w:tblPrEx>
        <w:trPr>
          <w:trHeight w:val="1130"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34BF6832">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w:t>
            </w:r>
          </w:p>
        </w:tc>
        <w:tc>
          <w:tcPr>
            <w:tcW w:w="1150" w:type="pct"/>
            <w:tcBorders>
              <w:top w:val="single" w:color="000000" w:sz="4" w:space="0"/>
              <w:left w:val="single" w:color="000000" w:sz="4" w:space="0"/>
              <w:bottom w:val="single" w:color="000000" w:sz="4" w:space="0"/>
              <w:right w:val="single" w:color="000000" w:sz="4" w:space="0"/>
            </w:tcBorders>
            <w:vAlign w:val="center"/>
          </w:tcPr>
          <w:p w14:paraId="23986622">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b/>
                <w:color w:val="auto"/>
                <w:sz w:val="24"/>
                <w:szCs w:val="24"/>
              </w:rPr>
              <w:t>阅读楼楼梯墙面</w:t>
            </w:r>
          </w:p>
        </w:tc>
        <w:tc>
          <w:tcPr>
            <w:tcW w:w="1973" w:type="pct"/>
            <w:tcBorders>
              <w:top w:val="single" w:color="000000" w:sz="4" w:space="0"/>
              <w:left w:val="single" w:color="000000" w:sz="4" w:space="0"/>
              <w:bottom w:val="single" w:color="000000" w:sz="4" w:space="0"/>
              <w:right w:val="single" w:color="000000" w:sz="4" w:space="0"/>
            </w:tcBorders>
            <w:vAlign w:val="center"/>
          </w:tcPr>
          <w:p w14:paraId="0CD5AF0B">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pacing w:val="20"/>
                <w:sz w:val="24"/>
                <w:szCs w:val="24"/>
              </w:rPr>
              <w:t>文化布置</w:t>
            </w:r>
            <w:r>
              <w:rPr>
                <w:rFonts w:hint="eastAsia" w:ascii="仿宋" w:hAnsi="仿宋" w:eastAsia="仿宋" w:cs="仿宋"/>
                <w:color w:val="auto"/>
                <w:kern w:val="0"/>
                <w:sz w:val="24"/>
                <w:szCs w:val="24"/>
              </w:rPr>
              <w:t>立体叠加图文、</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1.5cm高密度雪弗板/3mm亚克力UV喷印雕刻</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0BE8F548">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4280A482">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30</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64586B7E">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p>
        </w:tc>
      </w:tr>
      <w:tr w14:paraId="492D0D8F">
        <w:tblPrEx>
          <w:tblCellMar>
            <w:top w:w="0" w:type="dxa"/>
            <w:left w:w="108" w:type="dxa"/>
            <w:bottom w:w="0" w:type="dxa"/>
            <w:right w:w="108" w:type="dxa"/>
          </w:tblCellMar>
        </w:tblPrEx>
        <w:trPr>
          <w:trHeight w:val="705" w:hRule="atLeast"/>
        </w:trPr>
        <w:tc>
          <w:tcPr>
            <w:tcW w:w="391" w:type="pct"/>
            <w:tcBorders>
              <w:top w:val="single" w:color="000000" w:sz="4" w:space="0"/>
              <w:left w:val="single" w:color="000000" w:sz="4" w:space="0"/>
              <w:bottom w:val="single" w:color="000000" w:sz="4" w:space="0"/>
              <w:right w:val="single" w:color="000000" w:sz="4" w:space="0"/>
            </w:tcBorders>
            <w:vAlign w:val="center"/>
          </w:tcPr>
          <w:p w14:paraId="054D0EB5">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w:t>
            </w:r>
          </w:p>
        </w:tc>
        <w:tc>
          <w:tcPr>
            <w:tcW w:w="1150" w:type="pct"/>
            <w:tcBorders>
              <w:top w:val="single" w:color="000000" w:sz="4" w:space="0"/>
              <w:left w:val="single" w:color="000000" w:sz="4" w:space="0"/>
              <w:bottom w:val="single" w:color="000000" w:sz="4" w:space="0"/>
              <w:right w:val="single" w:color="000000" w:sz="4" w:space="0"/>
            </w:tcBorders>
            <w:vAlign w:val="center"/>
          </w:tcPr>
          <w:p w14:paraId="70A93B02">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b/>
                <w:color w:val="auto"/>
                <w:sz w:val="24"/>
                <w:szCs w:val="24"/>
              </w:rPr>
              <w:t>中庭景观</w:t>
            </w:r>
          </w:p>
        </w:tc>
        <w:tc>
          <w:tcPr>
            <w:tcW w:w="1973" w:type="pct"/>
            <w:tcBorders>
              <w:top w:val="single" w:color="000000" w:sz="4" w:space="0"/>
              <w:left w:val="single" w:color="000000" w:sz="4" w:space="0"/>
              <w:bottom w:val="single" w:color="000000" w:sz="4" w:space="0"/>
              <w:right w:val="single" w:color="000000" w:sz="4" w:space="0"/>
            </w:tcBorders>
            <w:vAlign w:val="center"/>
          </w:tcPr>
          <w:p w14:paraId="3B20D47F">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pacing w:val="20"/>
                <w:sz w:val="24"/>
                <w:szCs w:val="24"/>
              </w:rPr>
              <w:t>民乐不锈钢文化布置</w:t>
            </w:r>
            <w:r>
              <w:rPr>
                <w:rFonts w:hint="eastAsia" w:ascii="仿宋" w:hAnsi="仿宋" w:eastAsia="仿宋" w:cs="仿宋"/>
                <w:color w:val="auto"/>
                <w:kern w:val="0"/>
                <w:sz w:val="24"/>
                <w:szCs w:val="24"/>
              </w:rPr>
              <w:t>专业定制</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13C695A7">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047B1157">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65</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6A2FAA82">
            <w:pPr>
              <w:keepNext w:val="0"/>
              <w:keepLines w:val="0"/>
              <w:pageBreakBefore w:val="0"/>
              <w:widowControl/>
              <w:kinsoku/>
              <w:wordWrap/>
              <w:overflowPunct/>
              <w:topLinePunct w:val="0"/>
              <w:autoSpaceDE/>
              <w:autoSpaceDN/>
              <w:bidi w:val="0"/>
              <w:adjustRightInd w:val="0"/>
              <w:spacing w:line="320" w:lineRule="exact"/>
              <w:jc w:val="center"/>
              <w:textAlignment w:val="center"/>
              <w:rPr>
                <w:rFonts w:hint="eastAsia" w:ascii="仿宋" w:hAnsi="仿宋" w:eastAsia="仿宋" w:cs="仿宋"/>
                <w:color w:val="auto"/>
                <w:kern w:val="0"/>
                <w:sz w:val="24"/>
                <w:szCs w:val="24"/>
              </w:rPr>
            </w:pPr>
          </w:p>
        </w:tc>
      </w:tr>
    </w:tbl>
    <w:p w14:paraId="74ABD13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lang w:val="en-US" w:eastAsia="zh-CN"/>
        </w:rPr>
        <w:t>五</w:t>
      </w:r>
      <w:r>
        <w:rPr>
          <w:rFonts w:hint="eastAsia" w:ascii="仿宋" w:hAnsi="仿宋" w:eastAsia="仿宋" w:cs="仿宋"/>
          <w:b/>
          <w:bCs w:val="0"/>
          <w:color w:val="auto"/>
          <w:sz w:val="24"/>
          <w:szCs w:val="24"/>
        </w:rPr>
        <w:t>、服务要求</w:t>
      </w:r>
    </w:p>
    <w:p w14:paraId="554793E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r>
        <w:rPr>
          <w:rFonts w:hint="eastAsia" w:ascii="仿宋" w:hAnsi="仿宋" w:eastAsia="仿宋" w:cs="仿宋"/>
          <w:b w:val="0"/>
          <w:bCs/>
          <w:color w:val="auto"/>
          <w:sz w:val="24"/>
          <w:szCs w:val="24"/>
          <w:lang w:val="en-US" w:eastAsia="zh-CN"/>
        </w:rPr>
        <w:t>成交供应商</w:t>
      </w:r>
      <w:r>
        <w:rPr>
          <w:rFonts w:hint="eastAsia" w:ascii="仿宋" w:hAnsi="仿宋" w:eastAsia="仿宋" w:cs="仿宋"/>
          <w:b w:val="0"/>
          <w:bCs/>
          <w:color w:val="auto"/>
          <w:sz w:val="24"/>
          <w:szCs w:val="24"/>
        </w:rPr>
        <w:t>需按照采购人要求的质量、标准完成本项目。对采购人提出的材料及要求，按照规范进行排版设计制作，安排生产前由采购人确定样式并签字确认。签字确认后安排生产并直接送至采购人指定地点。</w:t>
      </w:r>
    </w:p>
    <w:p w14:paraId="1357CAF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2.严格按照</w:t>
      </w:r>
      <w:r>
        <w:rPr>
          <w:rFonts w:hint="eastAsia" w:ascii="仿宋" w:hAnsi="仿宋" w:eastAsia="仿宋" w:cs="仿宋"/>
          <w:b w:val="0"/>
          <w:bCs/>
          <w:color w:val="auto"/>
          <w:sz w:val="24"/>
          <w:szCs w:val="24"/>
          <w:lang w:val="en-US" w:eastAsia="zh-CN"/>
        </w:rPr>
        <w:t>招标文件和合同条款</w:t>
      </w:r>
      <w:r>
        <w:rPr>
          <w:rFonts w:hint="eastAsia" w:ascii="仿宋" w:hAnsi="仿宋" w:eastAsia="仿宋" w:cs="仿宋"/>
          <w:b w:val="0"/>
          <w:bCs/>
          <w:color w:val="auto"/>
          <w:sz w:val="24"/>
          <w:szCs w:val="24"/>
        </w:rPr>
        <w:t>的有关规定和要求实施项目，接受采购人的指导、监督和管理，同时按采购人的质量和进度要求及时提供结果以及与项目相关的资料。</w:t>
      </w:r>
    </w:p>
    <w:p w14:paraId="04A3631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w:t>
      </w:r>
      <w:r>
        <w:rPr>
          <w:rFonts w:hint="eastAsia" w:ascii="仿宋" w:hAnsi="仿宋" w:eastAsia="仿宋" w:cs="仿宋"/>
          <w:b w:val="0"/>
          <w:bCs/>
          <w:color w:val="auto"/>
          <w:sz w:val="24"/>
          <w:szCs w:val="24"/>
          <w:lang w:val="en-US" w:eastAsia="zh-CN"/>
        </w:rPr>
        <w:t>供应商</w:t>
      </w:r>
      <w:r>
        <w:rPr>
          <w:rFonts w:hint="eastAsia" w:ascii="仿宋" w:hAnsi="仿宋" w:eastAsia="仿宋" w:cs="仿宋"/>
          <w:b w:val="0"/>
          <w:bCs/>
          <w:color w:val="auto"/>
          <w:sz w:val="24"/>
          <w:szCs w:val="24"/>
        </w:rPr>
        <w:t>应对由于本项目的技术、工艺或材料缺陷以及其他由于</w:t>
      </w:r>
      <w:r>
        <w:rPr>
          <w:rFonts w:hint="eastAsia" w:ascii="仿宋" w:hAnsi="仿宋" w:eastAsia="仿宋" w:cs="仿宋"/>
          <w:b w:val="0"/>
          <w:bCs/>
          <w:color w:val="auto"/>
          <w:sz w:val="24"/>
          <w:szCs w:val="24"/>
          <w:lang w:val="en-US" w:eastAsia="zh-CN"/>
        </w:rPr>
        <w:t>供应商</w:t>
      </w:r>
      <w:r>
        <w:rPr>
          <w:rFonts w:hint="eastAsia" w:ascii="仿宋" w:hAnsi="仿宋" w:eastAsia="仿宋" w:cs="仿宋"/>
          <w:b w:val="0"/>
          <w:bCs/>
          <w:color w:val="auto"/>
          <w:sz w:val="24"/>
          <w:szCs w:val="24"/>
        </w:rPr>
        <w:t>的原因而发生的任何不足负责，费用由</w:t>
      </w:r>
      <w:r>
        <w:rPr>
          <w:rFonts w:hint="eastAsia" w:ascii="仿宋" w:hAnsi="仿宋" w:eastAsia="仿宋" w:cs="仿宋"/>
          <w:b w:val="0"/>
          <w:bCs/>
          <w:color w:val="auto"/>
          <w:sz w:val="24"/>
          <w:szCs w:val="24"/>
          <w:lang w:val="en-US" w:eastAsia="zh-CN"/>
        </w:rPr>
        <w:t>供应商</w:t>
      </w:r>
      <w:r>
        <w:rPr>
          <w:rFonts w:hint="eastAsia" w:ascii="仿宋" w:hAnsi="仿宋" w:eastAsia="仿宋" w:cs="仿宋"/>
          <w:b w:val="0"/>
          <w:bCs/>
          <w:color w:val="auto"/>
          <w:sz w:val="24"/>
          <w:szCs w:val="24"/>
        </w:rPr>
        <w:t>自行承担。</w:t>
      </w:r>
    </w:p>
    <w:p w14:paraId="290407C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w:t>
      </w:r>
      <w:r>
        <w:rPr>
          <w:rFonts w:hint="eastAsia" w:ascii="仿宋" w:hAnsi="仿宋" w:eastAsia="仿宋" w:cs="仿宋"/>
          <w:b w:val="0"/>
          <w:bCs/>
          <w:color w:val="auto"/>
          <w:sz w:val="24"/>
          <w:szCs w:val="24"/>
          <w:lang w:val="en-US" w:eastAsia="zh-CN"/>
        </w:rPr>
        <w:t>供应商</w:t>
      </w:r>
      <w:r>
        <w:rPr>
          <w:rFonts w:hint="eastAsia" w:ascii="仿宋" w:hAnsi="仿宋" w:eastAsia="仿宋" w:cs="仿宋"/>
          <w:b w:val="0"/>
          <w:bCs/>
          <w:color w:val="auto"/>
          <w:sz w:val="24"/>
          <w:szCs w:val="24"/>
        </w:rPr>
        <w:t>应保证采购人优先服务的权利，积极主动与采购人配合，随时响应采购人的各项要求，按合同约定时间</w:t>
      </w:r>
      <w:r>
        <w:rPr>
          <w:rFonts w:hint="eastAsia" w:ascii="仿宋" w:hAnsi="仿宋" w:eastAsia="仿宋" w:cs="仿宋"/>
          <w:b w:val="0"/>
          <w:bCs/>
          <w:color w:val="auto"/>
          <w:sz w:val="24"/>
          <w:szCs w:val="24"/>
          <w:lang w:val="en-US" w:eastAsia="zh-CN"/>
        </w:rPr>
        <w:t>完成本项目</w:t>
      </w:r>
      <w:r>
        <w:rPr>
          <w:rFonts w:hint="eastAsia" w:ascii="仿宋" w:hAnsi="仿宋" w:eastAsia="仿宋" w:cs="仿宋"/>
          <w:b w:val="0"/>
          <w:bCs/>
          <w:color w:val="auto"/>
          <w:sz w:val="24"/>
          <w:szCs w:val="24"/>
        </w:rPr>
        <w:t>。</w:t>
      </w:r>
    </w:p>
    <w:p w14:paraId="41294B1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b/>
          <w:bCs/>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六、其他要求</w:t>
      </w:r>
    </w:p>
    <w:p w14:paraId="537E62A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napToGrid w:val="0"/>
          <w:color w:val="auto"/>
          <w:kern w:val="0"/>
          <w:sz w:val="24"/>
          <w:szCs w:val="24"/>
          <w:lang w:eastAsia="zh-CN"/>
        </w:rPr>
      </w:pPr>
      <w:r>
        <w:rPr>
          <w:rFonts w:hint="eastAsia" w:ascii="仿宋" w:hAnsi="仿宋" w:eastAsia="仿宋" w:cs="仿宋"/>
          <w:b w:val="0"/>
          <w:bCs w:val="0"/>
          <w:snapToGrid w:val="0"/>
          <w:color w:val="auto"/>
          <w:kern w:val="0"/>
          <w:sz w:val="24"/>
          <w:szCs w:val="24"/>
          <w:lang w:val="en-US" w:eastAsia="zh-CN"/>
        </w:rPr>
        <w:t>1.</w:t>
      </w:r>
      <w:r>
        <w:rPr>
          <w:rFonts w:hint="eastAsia" w:ascii="仿宋" w:hAnsi="仿宋" w:eastAsia="仿宋" w:cs="仿宋"/>
          <w:b w:val="0"/>
          <w:bCs/>
          <w:color w:val="auto"/>
          <w:sz w:val="24"/>
          <w:szCs w:val="24"/>
          <w:lang w:val="en-US" w:eastAsia="zh-CN"/>
        </w:rPr>
        <w:t>供应商</w:t>
      </w:r>
      <w:r>
        <w:rPr>
          <w:rFonts w:hint="eastAsia" w:ascii="仿宋" w:hAnsi="仿宋" w:eastAsia="仿宋" w:cs="仿宋"/>
          <w:b w:val="0"/>
          <w:bCs w:val="0"/>
          <w:snapToGrid w:val="0"/>
          <w:color w:val="auto"/>
          <w:kern w:val="0"/>
          <w:sz w:val="24"/>
          <w:szCs w:val="24"/>
          <w:lang w:val="en-US" w:eastAsia="zh-CN"/>
        </w:rPr>
        <w:t>投标前应充分勘查现场</w:t>
      </w:r>
      <w:r>
        <w:rPr>
          <w:rFonts w:hint="eastAsia" w:ascii="仿宋" w:hAnsi="仿宋" w:eastAsia="仿宋" w:cs="仿宋"/>
          <w:b w:val="0"/>
          <w:bCs w:val="0"/>
          <w:snapToGrid w:val="0"/>
          <w:color w:val="auto"/>
          <w:kern w:val="0"/>
          <w:sz w:val="24"/>
          <w:szCs w:val="24"/>
          <w:lang w:eastAsia="zh-CN"/>
        </w:rPr>
        <w:t>，</w:t>
      </w:r>
      <w:r>
        <w:rPr>
          <w:rFonts w:hint="eastAsia" w:ascii="仿宋" w:hAnsi="仿宋" w:eastAsia="仿宋" w:cs="仿宋"/>
          <w:b w:val="0"/>
          <w:bCs w:val="0"/>
          <w:color w:val="auto"/>
          <w:sz w:val="24"/>
          <w:szCs w:val="24"/>
          <w:highlight w:val="none"/>
        </w:rPr>
        <w:t>充分了解施工现场</w:t>
      </w:r>
      <w:r>
        <w:rPr>
          <w:rFonts w:hint="eastAsia" w:ascii="仿宋" w:hAnsi="仿宋" w:eastAsia="仿宋" w:cs="仿宋"/>
          <w:b w:val="0"/>
          <w:bCs w:val="0"/>
          <w:snapToGrid w:val="0"/>
          <w:color w:val="auto"/>
          <w:kern w:val="0"/>
          <w:sz w:val="24"/>
          <w:szCs w:val="24"/>
          <w:lang w:val="en-US" w:eastAsia="zh-CN"/>
        </w:rPr>
        <w:t>及</w:t>
      </w:r>
      <w:r>
        <w:rPr>
          <w:rFonts w:hint="eastAsia" w:ascii="仿宋" w:hAnsi="仿宋" w:eastAsia="仿宋" w:cs="仿宋"/>
          <w:b w:val="0"/>
          <w:bCs w:val="0"/>
          <w:snapToGrid w:val="0"/>
          <w:color w:val="auto"/>
          <w:kern w:val="0"/>
          <w:sz w:val="24"/>
          <w:szCs w:val="24"/>
        </w:rPr>
        <w:t>项目需求情况，自行设计提升设计制作方案</w:t>
      </w:r>
      <w:r>
        <w:rPr>
          <w:rFonts w:hint="eastAsia" w:ascii="仿宋" w:hAnsi="仿宋" w:eastAsia="仿宋" w:cs="仿宋"/>
          <w:b w:val="0"/>
          <w:bCs w:val="0"/>
          <w:snapToGrid w:val="0"/>
          <w:color w:val="auto"/>
          <w:kern w:val="0"/>
          <w:sz w:val="24"/>
          <w:szCs w:val="24"/>
          <w:lang w:eastAsia="zh-CN"/>
        </w:rPr>
        <w:t>。因现场勘查不充分导致的报价缺失由投标人自行承担，采购人不再另行支付费用。现场勘查所产生的一切费用和后果由投标人自行承担。</w:t>
      </w:r>
    </w:p>
    <w:p w14:paraId="0EC9C59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napToGrid w:val="0"/>
          <w:color w:val="auto"/>
          <w:kern w:val="0"/>
          <w:sz w:val="24"/>
          <w:szCs w:val="24"/>
        </w:rPr>
      </w:pPr>
      <w:r>
        <w:rPr>
          <w:rFonts w:hint="eastAsia" w:ascii="仿宋" w:hAnsi="仿宋" w:eastAsia="仿宋" w:cs="仿宋"/>
          <w:b w:val="0"/>
          <w:bCs w:val="0"/>
          <w:snapToGrid w:val="0"/>
          <w:color w:val="auto"/>
          <w:kern w:val="0"/>
          <w:sz w:val="24"/>
          <w:szCs w:val="24"/>
        </w:rPr>
        <w:t>2.</w:t>
      </w:r>
      <w:r>
        <w:rPr>
          <w:rFonts w:hint="eastAsia" w:ascii="仿宋" w:hAnsi="仿宋" w:eastAsia="仿宋" w:cs="仿宋"/>
          <w:b w:val="0"/>
          <w:bCs/>
          <w:color w:val="auto"/>
          <w:sz w:val="24"/>
          <w:szCs w:val="24"/>
          <w:lang w:val="en-US" w:eastAsia="zh-CN"/>
        </w:rPr>
        <w:t>供应商</w:t>
      </w:r>
      <w:r>
        <w:rPr>
          <w:rFonts w:hint="eastAsia" w:ascii="仿宋" w:hAnsi="仿宋" w:eastAsia="仿宋" w:cs="仿宋"/>
          <w:b w:val="0"/>
          <w:bCs w:val="0"/>
          <w:snapToGrid w:val="0"/>
          <w:color w:val="auto"/>
          <w:kern w:val="0"/>
          <w:sz w:val="24"/>
          <w:szCs w:val="24"/>
        </w:rPr>
        <w:t>在安装过程中应采取措施保护沿线和附近的建筑物、地上、地下的管线设施等免遭破坏，如因</w:t>
      </w:r>
      <w:r>
        <w:rPr>
          <w:rFonts w:hint="eastAsia" w:ascii="仿宋" w:hAnsi="仿宋" w:eastAsia="仿宋" w:cs="仿宋"/>
          <w:b w:val="0"/>
          <w:bCs/>
          <w:color w:val="auto"/>
          <w:sz w:val="24"/>
          <w:szCs w:val="24"/>
          <w:lang w:val="en-US" w:eastAsia="zh-CN"/>
        </w:rPr>
        <w:t>供应商</w:t>
      </w:r>
      <w:r>
        <w:rPr>
          <w:rFonts w:hint="eastAsia" w:ascii="仿宋" w:hAnsi="仿宋" w:eastAsia="仿宋" w:cs="仿宋"/>
          <w:b w:val="0"/>
          <w:bCs w:val="0"/>
          <w:snapToGrid w:val="0"/>
          <w:color w:val="auto"/>
          <w:kern w:val="0"/>
          <w:sz w:val="24"/>
          <w:szCs w:val="24"/>
        </w:rPr>
        <w:t>在安装现场对其它建筑物或设备物品发生损坏的，必须无条件赔偿或复原。</w:t>
      </w:r>
    </w:p>
    <w:p w14:paraId="11C4794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bCs/>
          <w:snapToGrid w:val="0"/>
          <w:color w:val="auto"/>
          <w:kern w:val="0"/>
          <w:sz w:val="24"/>
          <w:szCs w:val="24"/>
        </w:rPr>
      </w:pPr>
      <w:r>
        <w:rPr>
          <w:rFonts w:hint="eastAsia" w:ascii="仿宋" w:hAnsi="仿宋" w:eastAsia="仿宋" w:cs="仿宋"/>
          <w:b w:val="0"/>
          <w:bCs w:val="0"/>
          <w:snapToGrid w:val="0"/>
          <w:color w:val="auto"/>
          <w:kern w:val="0"/>
          <w:sz w:val="24"/>
          <w:szCs w:val="24"/>
          <w:lang w:val="en-US" w:eastAsia="zh-CN"/>
        </w:rPr>
        <w:t>3.</w:t>
      </w:r>
      <w:r>
        <w:rPr>
          <w:rFonts w:hint="eastAsia" w:ascii="仿宋" w:hAnsi="仿宋" w:eastAsia="仿宋" w:cs="仿宋"/>
          <w:b w:val="0"/>
          <w:bCs/>
          <w:color w:val="auto"/>
          <w:sz w:val="24"/>
          <w:szCs w:val="24"/>
          <w:lang w:val="en-US" w:eastAsia="zh-CN"/>
        </w:rPr>
        <w:t>供应商</w:t>
      </w:r>
      <w:r>
        <w:rPr>
          <w:rFonts w:hint="eastAsia" w:ascii="仿宋" w:hAnsi="仿宋" w:eastAsia="仿宋" w:cs="仿宋"/>
          <w:b w:val="0"/>
          <w:bCs w:val="0"/>
          <w:snapToGrid w:val="0"/>
          <w:color w:val="auto"/>
          <w:kern w:val="0"/>
          <w:sz w:val="24"/>
          <w:szCs w:val="24"/>
        </w:rPr>
        <w:t>的</w:t>
      </w:r>
      <w:r>
        <w:rPr>
          <w:rFonts w:hint="eastAsia" w:ascii="仿宋" w:hAnsi="仿宋" w:eastAsia="仿宋" w:cs="仿宋"/>
          <w:b w:val="0"/>
          <w:bCs/>
          <w:color w:val="auto"/>
          <w:sz w:val="24"/>
          <w:szCs w:val="24"/>
        </w:rPr>
        <w:t>深化</w:t>
      </w:r>
      <w:r>
        <w:rPr>
          <w:rFonts w:hint="eastAsia" w:ascii="仿宋" w:hAnsi="仿宋" w:eastAsia="仿宋" w:cs="仿宋"/>
          <w:b w:val="0"/>
          <w:bCs w:val="0"/>
          <w:snapToGrid w:val="0"/>
          <w:color w:val="auto"/>
          <w:kern w:val="0"/>
          <w:sz w:val="24"/>
          <w:szCs w:val="24"/>
        </w:rPr>
        <w:t>设计得到招标人的确认合格后，方可进入下一步的制作布展。</w:t>
      </w:r>
    </w:p>
    <w:p w14:paraId="2F51C64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b/>
          <w:bCs/>
          <w:snapToGrid w:val="0"/>
          <w:color w:val="auto"/>
          <w:kern w:val="0"/>
          <w:sz w:val="24"/>
          <w:szCs w:val="24"/>
        </w:rPr>
      </w:pPr>
      <w:r>
        <w:rPr>
          <w:rFonts w:hint="eastAsia" w:ascii="仿宋" w:hAnsi="仿宋" w:eastAsia="仿宋" w:cs="仿宋"/>
          <w:b/>
          <w:bCs/>
          <w:snapToGrid w:val="0"/>
          <w:color w:val="auto"/>
          <w:kern w:val="0"/>
          <w:sz w:val="24"/>
          <w:szCs w:val="24"/>
        </w:rPr>
        <w:t>★</w:t>
      </w:r>
      <w:r>
        <w:rPr>
          <w:rFonts w:hint="eastAsia" w:ascii="仿宋" w:hAnsi="仿宋" w:eastAsia="仿宋" w:cs="仿宋"/>
          <w:b/>
          <w:bCs/>
          <w:snapToGrid w:val="0"/>
          <w:color w:val="auto"/>
          <w:kern w:val="0"/>
          <w:sz w:val="24"/>
          <w:szCs w:val="24"/>
          <w:lang w:val="en-US" w:eastAsia="zh-CN"/>
        </w:rPr>
        <w:t>七</w:t>
      </w:r>
      <w:r>
        <w:rPr>
          <w:rFonts w:hint="eastAsia" w:ascii="仿宋" w:hAnsi="仿宋" w:eastAsia="仿宋" w:cs="仿宋"/>
          <w:snapToGrid w:val="0"/>
          <w:color w:val="auto"/>
          <w:kern w:val="0"/>
          <w:sz w:val="24"/>
          <w:szCs w:val="24"/>
        </w:rPr>
        <w:t>、</w:t>
      </w:r>
      <w:r>
        <w:rPr>
          <w:rFonts w:hint="eastAsia" w:ascii="仿宋" w:hAnsi="仿宋" w:eastAsia="仿宋" w:cs="仿宋"/>
          <w:b/>
          <w:bCs/>
          <w:color w:val="auto"/>
          <w:sz w:val="24"/>
          <w:szCs w:val="24"/>
        </w:rPr>
        <w:t>资信及商务要求表</w:t>
      </w:r>
    </w:p>
    <w:tbl>
      <w:tblPr>
        <w:tblStyle w:val="62"/>
        <w:tblW w:w="8867"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57"/>
        <w:gridCol w:w="6655"/>
      </w:tblGrid>
      <w:tr w14:paraId="32FA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5" w:type="dxa"/>
            <w:shd w:val="clear" w:color="auto" w:fill="auto"/>
            <w:noWrap w:val="0"/>
            <w:vAlign w:val="center"/>
          </w:tcPr>
          <w:p w14:paraId="6318D73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序号</w:t>
            </w:r>
          </w:p>
        </w:tc>
        <w:tc>
          <w:tcPr>
            <w:tcW w:w="1457" w:type="dxa"/>
            <w:shd w:val="clear" w:color="000000" w:fill="FFFFFF"/>
            <w:noWrap w:val="0"/>
            <w:vAlign w:val="center"/>
          </w:tcPr>
          <w:p w14:paraId="2E667C06">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名称</w:t>
            </w:r>
          </w:p>
        </w:tc>
        <w:tc>
          <w:tcPr>
            <w:tcW w:w="6655" w:type="dxa"/>
            <w:shd w:val="clear" w:color="000000" w:fill="FFFFFF"/>
            <w:noWrap w:val="0"/>
            <w:vAlign w:val="center"/>
          </w:tcPr>
          <w:p w14:paraId="10C626C8">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要求</w:t>
            </w:r>
          </w:p>
        </w:tc>
      </w:tr>
      <w:tr w14:paraId="5A81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5" w:type="dxa"/>
            <w:shd w:val="clear" w:color="auto" w:fill="auto"/>
            <w:noWrap w:val="0"/>
            <w:vAlign w:val="center"/>
          </w:tcPr>
          <w:p w14:paraId="67073360">
            <w:pPr>
              <w:keepNext w:val="0"/>
              <w:keepLines w:val="0"/>
              <w:pageBreakBefore w:val="0"/>
              <w:widowControl/>
              <w:kinsoku/>
              <w:wordWrap/>
              <w:overflowPunct/>
              <w:topLinePunct w:val="0"/>
              <w:autoSpaceDE/>
              <w:autoSpaceDN/>
              <w:bidi w:val="0"/>
              <w:adjustRightInd/>
              <w:snapToGrid w:val="0"/>
              <w:spacing w:after="0" w:line="240" w:lineRule="auto"/>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1457" w:type="dxa"/>
            <w:shd w:val="clear" w:color="000000" w:fill="FFFFFF"/>
            <w:noWrap w:val="0"/>
            <w:vAlign w:val="center"/>
          </w:tcPr>
          <w:p w14:paraId="6491BA48">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实施时间及地点</w:t>
            </w:r>
          </w:p>
        </w:tc>
        <w:tc>
          <w:tcPr>
            <w:tcW w:w="6655" w:type="dxa"/>
            <w:shd w:val="clear" w:color="000000" w:fill="FFFFFF"/>
            <w:noWrap w:val="0"/>
            <w:vAlign w:val="center"/>
          </w:tcPr>
          <w:p w14:paraId="798A5EDB">
            <w:pPr>
              <w:keepNext w:val="0"/>
              <w:keepLines w:val="0"/>
              <w:pageBreakBefore w:val="0"/>
              <w:widowControl w:val="0"/>
              <w:tabs>
                <w:tab w:val="left" w:pos="517"/>
              </w:tabs>
              <w:kinsoku/>
              <w:wordWrap/>
              <w:overflowPunct/>
              <w:topLinePunct w:val="0"/>
              <w:autoSpaceDE/>
              <w:autoSpaceDN/>
              <w:bidi w:val="0"/>
              <w:spacing w:line="430" w:lineRule="exact"/>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w:t>
            </w:r>
            <w:r>
              <w:rPr>
                <w:rFonts w:hint="eastAsia" w:ascii="仿宋" w:hAnsi="仿宋" w:eastAsia="仿宋" w:cs="仿宋"/>
                <w:b w:val="0"/>
                <w:bCs/>
                <w:color w:val="auto"/>
                <w:kern w:val="2"/>
                <w:sz w:val="24"/>
                <w:szCs w:val="24"/>
                <w:highlight w:val="none"/>
                <w:lang w:val="en-US" w:eastAsia="zh-CN" w:bidi="ar-SA"/>
              </w:rPr>
              <w:t>实施时间：</w:t>
            </w:r>
            <w:r>
              <w:rPr>
                <w:rFonts w:hint="eastAsia" w:ascii="仿宋" w:hAnsi="仿宋" w:eastAsia="仿宋" w:cs="仿宋"/>
                <w:color w:val="auto"/>
                <w:kern w:val="0"/>
                <w:sz w:val="24"/>
                <w:szCs w:val="24"/>
                <w:lang w:val="en-US" w:eastAsia="zh-CN"/>
              </w:rPr>
              <w:t>合同签订之日起20天内完成设计制作与安装。</w:t>
            </w:r>
          </w:p>
          <w:p w14:paraId="2A82EA2D">
            <w:pPr>
              <w:keepNext w:val="0"/>
              <w:keepLines w:val="0"/>
              <w:pageBreakBefore w:val="0"/>
              <w:widowControl w:val="0"/>
              <w:tabs>
                <w:tab w:val="left" w:pos="517"/>
              </w:tabs>
              <w:kinsoku/>
              <w:wordWrap/>
              <w:overflowPunct/>
              <w:topLinePunct w:val="0"/>
              <w:autoSpaceDE/>
              <w:autoSpaceDN/>
              <w:bidi w:val="0"/>
              <w:spacing w:line="430" w:lineRule="exact"/>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地点：采购人指定地点</w:t>
            </w:r>
            <w:r>
              <w:rPr>
                <w:rFonts w:hint="eastAsia" w:ascii="仿宋" w:hAnsi="仿宋" w:eastAsia="仿宋" w:cs="仿宋"/>
                <w:color w:val="auto"/>
                <w:kern w:val="0"/>
                <w:sz w:val="24"/>
                <w:szCs w:val="24"/>
                <w:lang w:eastAsia="zh-CN"/>
              </w:rPr>
              <w:t>。</w:t>
            </w:r>
          </w:p>
        </w:tc>
      </w:tr>
      <w:tr w14:paraId="3333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55" w:type="dxa"/>
            <w:shd w:val="clear" w:color="auto" w:fill="auto"/>
            <w:noWrap w:val="0"/>
            <w:vAlign w:val="center"/>
          </w:tcPr>
          <w:p w14:paraId="53E21796">
            <w:pPr>
              <w:keepNext w:val="0"/>
              <w:keepLines w:val="0"/>
              <w:pageBreakBefore w:val="0"/>
              <w:widowControl/>
              <w:kinsoku/>
              <w:wordWrap/>
              <w:overflowPunct/>
              <w:topLinePunct w:val="0"/>
              <w:autoSpaceDE/>
              <w:autoSpaceDN/>
              <w:bidi w:val="0"/>
              <w:adjustRightInd/>
              <w:snapToGrid w:val="0"/>
              <w:spacing w:after="0" w:line="240" w:lineRule="auto"/>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p>
        </w:tc>
        <w:tc>
          <w:tcPr>
            <w:tcW w:w="1457" w:type="dxa"/>
            <w:shd w:val="clear" w:color="000000" w:fill="FFFFFF"/>
            <w:noWrap w:val="0"/>
            <w:vAlign w:val="center"/>
          </w:tcPr>
          <w:p w14:paraId="5D360AF1">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1"/>
                <w:sz w:val="24"/>
                <w:szCs w:val="24"/>
                <w:lang w:eastAsia="zh-CN"/>
              </w:rPr>
              <w:t>质保</w:t>
            </w:r>
            <w:r>
              <w:rPr>
                <w:rFonts w:hint="eastAsia" w:ascii="仿宋" w:hAnsi="仿宋" w:eastAsia="仿宋" w:cs="仿宋"/>
                <w:color w:val="auto"/>
                <w:kern w:val="1"/>
                <w:sz w:val="24"/>
                <w:szCs w:val="24"/>
                <w:lang w:val="en-US" w:eastAsia="zh-CN"/>
              </w:rPr>
              <w:t>及售后</w:t>
            </w:r>
          </w:p>
        </w:tc>
        <w:tc>
          <w:tcPr>
            <w:tcW w:w="6655" w:type="dxa"/>
            <w:shd w:val="clear" w:color="000000" w:fill="FFFFFF"/>
            <w:noWrap w:val="0"/>
            <w:vAlign w:val="center"/>
          </w:tcPr>
          <w:p w14:paraId="4DF85AA4">
            <w:pPr>
              <w:keepNext w:val="0"/>
              <w:keepLines w:val="0"/>
              <w:pageBreakBefore w:val="0"/>
              <w:kinsoku/>
              <w:wordWrap/>
              <w:topLinePunct w:val="0"/>
              <w:bidi w:val="0"/>
              <w:spacing w:line="44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1.质保期为验收合格之日起一年。</w:t>
            </w:r>
          </w:p>
          <w:p w14:paraId="0F6F35F2">
            <w:pPr>
              <w:keepNext w:val="0"/>
              <w:keepLines w:val="0"/>
              <w:pageBreakBefore w:val="0"/>
              <w:kinsoku/>
              <w:wordWrap/>
              <w:topLinePunct w:val="0"/>
              <w:bidi w:val="0"/>
              <w:spacing w:line="440" w:lineRule="exact"/>
              <w:ind w:firstLine="0" w:firstLineChars="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1"/>
                <w:sz w:val="24"/>
                <w:szCs w:val="24"/>
                <w:lang w:val="en-US" w:eastAsia="zh-CN"/>
              </w:rPr>
              <w:t>2.成交供应商</w:t>
            </w:r>
            <w:r>
              <w:rPr>
                <w:rFonts w:hint="eastAsia" w:ascii="仿宋" w:hAnsi="仿宋" w:eastAsia="仿宋" w:cs="仿宋"/>
                <w:color w:val="auto"/>
                <w:kern w:val="1"/>
                <w:sz w:val="24"/>
                <w:szCs w:val="24"/>
              </w:rPr>
              <w:t>需提供专门的售后服务电话</w:t>
            </w:r>
            <w:r>
              <w:rPr>
                <w:rFonts w:hint="eastAsia" w:ascii="仿宋" w:hAnsi="仿宋" w:eastAsia="仿宋" w:cs="仿宋"/>
                <w:color w:val="auto"/>
                <w:kern w:val="1"/>
                <w:sz w:val="24"/>
                <w:szCs w:val="24"/>
                <w:lang w:val="en-US" w:eastAsia="zh-CN"/>
              </w:rPr>
              <w:t>，</w:t>
            </w:r>
            <w:r>
              <w:rPr>
                <w:rFonts w:hint="eastAsia" w:ascii="仿宋" w:hAnsi="仿宋" w:eastAsia="仿宋" w:cs="仿宋"/>
                <w:color w:val="auto"/>
                <w:kern w:val="1"/>
                <w:sz w:val="24"/>
                <w:szCs w:val="24"/>
              </w:rPr>
              <w:t>在接到采购人通知后，</w:t>
            </w:r>
            <w:r>
              <w:rPr>
                <w:rFonts w:hint="eastAsia" w:ascii="仿宋" w:hAnsi="仿宋" w:eastAsia="仿宋" w:cs="仿宋"/>
                <w:color w:val="auto"/>
                <w:kern w:val="1"/>
                <w:sz w:val="24"/>
                <w:szCs w:val="24"/>
                <w:lang w:val="en-US" w:eastAsia="zh-CN"/>
              </w:rPr>
              <w:t>1</w:t>
            </w:r>
            <w:r>
              <w:rPr>
                <w:rFonts w:hint="eastAsia" w:ascii="仿宋" w:hAnsi="仿宋" w:eastAsia="仿宋" w:cs="仿宋"/>
                <w:color w:val="auto"/>
                <w:kern w:val="1"/>
                <w:sz w:val="24"/>
                <w:szCs w:val="24"/>
              </w:rPr>
              <w:t>小时内做出响应，</w:t>
            </w:r>
            <w:r>
              <w:rPr>
                <w:rFonts w:hint="eastAsia" w:ascii="仿宋" w:hAnsi="仿宋" w:eastAsia="仿宋" w:cs="仿宋"/>
                <w:color w:val="auto"/>
                <w:kern w:val="1"/>
                <w:sz w:val="24"/>
                <w:szCs w:val="24"/>
                <w:lang w:val="en-US" w:eastAsia="zh-CN"/>
              </w:rPr>
              <w:t>2</w:t>
            </w:r>
            <w:r>
              <w:rPr>
                <w:rFonts w:hint="eastAsia" w:ascii="仿宋" w:hAnsi="仿宋" w:eastAsia="仿宋" w:cs="仿宋"/>
                <w:color w:val="auto"/>
                <w:kern w:val="1"/>
                <w:sz w:val="24"/>
                <w:szCs w:val="24"/>
              </w:rPr>
              <w:t>小时内派人赴现场处理问题。</w:t>
            </w:r>
          </w:p>
        </w:tc>
      </w:tr>
      <w:tr w14:paraId="2552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5" w:type="dxa"/>
            <w:shd w:val="clear" w:color="auto" w:fill="auto"/>
            <w:noWrap w:val="0"/>
            <w:vAlign w:val="center"/>
          </w:tcPr>
          <w:p w14:paraId="26432F2A">
            <w:pPr>
              <w:keepNext w:val="0"/>
              <w:keepLines w:val="0"/>
              <w:pageBreakBefore w:val="0"/>
              <w:widowControl/>
              <w:kinsoku/>
              <w:wordWrap/>
              <w:overflowPunct/>
              <w:topLinePunct w:val="0"/>
              <w:autoSpaceDE/>
              <w:autoSpaceDN/>
              <w:bidi w:val="0"/>
              <w:adjustRightInd/>
              <w:snapToGrid w:val="0"/>
              <w:spacing w:after="0" w:line="240" w:lineRule="auto"/>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3</w:t>
            </w:r>
          </w:p>
        </w:tc>
        <w:tc>
          <w:tcPr>
            <w:tcW w:w="1457" w:type="dxa"/>
            <w:shd w:val="clear" w:color="000000" w:fill="FFFFFF"/>
            <w:noWrap w:val="0"/>
            <w:vAlign w:val="center"/>
          </w:tcPr>
          <w:p w14:paraId="22A56B87">
            <w:pPr>
              <w:keepNext w:val="0"/>
              <w:keepLines w:val="0"/>
              <w:pageBreakBefore w:val="0"/>
              <w:widowControl w:val="0"/>
              <w:kinsoku/>
              <w:wordWrap/>
              <w:overflowPunct/>
              <w:topLinePunct w:val="0"/>
              <w:autoSpaceDE/>
              <w:autoSpaceDN/>
              <w:bidi w:val="0"/>
              <w:adjustRightInd w:val="0"/>
              <w:snapToGrid/>
              <w:spacing w:line="440" w:lineRule="exact"/>
              <w:ind w:left="0" w:lef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验收</w:t>
            </w:r>
          </w:p>
        </w:tc>
        <w:tc>
          <w:tcPr>
            <w:tcW w:w="6655" w:type="dxa"/>
            <w:shd w:val="clear" w:color="000000" w:fill="FFFFFF"/>
            <w:noWrap w:val="0"/>
            <w:vAlign w:val="center"/>
          </w:tcPr>
          <w:p w14:paraId="3C3ACA86">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1.符合我国国家有关技术规范要求和技术标准；</w:t>
            </w:r>
          </w:p>
          <w:p w14:paraId="64969CEE">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kern w:val="0"/>
                <w:sz w:val="24"/>
                <w:szCs w:val="24"/>
                <w:lang w:val="en-US" w:eastAsia="zh-CN"/>
              </w:rPr>
            </w:pPr>
            <w:r>
              <w:rPr>
                <w:rFonts w:hint="eastAsia" w:ascii="仿宋" w:hAnsi="仿宋" w:eastAsia="仿宋" w:cs="仿宋"/>
                <w:b w:val="0"/>
                <w:bCs w:val="0"/>
                <w:i w:val="0"/>
                <w:iCs w:val="0"/>
                <w:color w:val="auto"/>
                <w:kern w:val="2"/>
                <w:sz w:val="24"/>
                <w:szCs w:val="24"/>
                <w:highlight w:val="none"/>
                <w:vertAlign w:val="baseline"/>
                <w:lang w:val="en-US" w:eastAsia="zh-CN" w:bidi="ar-SA"/>
              </w:rPr>
              <w:t>2.验收由采购单位组织相关人员进行验收，费用由</w:t>
            </w:r>
            <w:r>
              <w:rPr>
                <w:rFonts w:hint="eastAsia" w:ascii="仿宋" w:hAnsi="仿宋" w:eastAsia="仿宋" w:cs="仿宋"/>
                <w:color w:val="auto"/>
                <w:kern w:val="1"/>
                <w:sz w:val="24"/>
                <w:szCs w:val="24"/>
                <w:lang w:val="en-US" w:eastAsia="zh-CN"/>
              </w:rPr>
              <w:t>成交供应商</w:t>
            </w:r>
            <w:r>
              <w:rPr>
                <w:rFonts w:hint="eastAsia" w:ascii="仿宋" w:hAnsi="仿宋" w:eastAsia="仿宋" w:cs="仿宋"/>
                <w:b w:val="0"/>
                <w:bCs w:val="0"/>
                <w:i w:val="0"/>
                <w:iCs w:val="0"/>
                <w:color w:val="auto"/>
                <w:kern w:val="2"/>
                <w:sz w:val="24"/>
                <w:szCs w:val="24"/>
                <w:highlight w:val="none"/>
                <w:vertAlign w:val="baseline"/>
                <w:lang w:val="en-US" w:eastAsia="zh-CN" w:bidi="ar-SA"/>
              </w:rPr>
              <w:t>承担。</w:t>
            </w:r>
          </w:p>
        </w:tc>
      </w:tr>
      <w:tr w14:paraId="53A8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5" w:type="dxa"/>
            <w:shd w:val="clear" w:color="auto" w:fill="auto"/>
            <w:noWrap w:val="0"/>
            <w:vAlign w:val="center"/>
          </w:tcPr>
          <w:p w14:paraId="3573930C">
            <w:pPr>
              <w:keepNext w:val="0"/>
              <w:keepLines w:val="0"/>
              <w:pageBreakBefore w:val="0"/>
              <w:widowControl/>
              <w:kinsoku/>
              <w:wordWrap/>
              <w:overflowPunct/>
              <w:topLinePunct w:val="0"/>
              <w:autoSpaceDE/>
              <w:autoSpaceDN/>
              <w:bidi w:val="0"/>
              <w:adjustRightInd/>
              <w:snapToGrid w:val="0"/>
              <w:spacing w:after="0" w:line="240" w:lineRule="auto"/>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4</w:t>
            </w:r>
          </w:p>
        </w:tc>
        <w:tc>
          <w:tcPr>
            <w:tcW w:w="1457" w:type="dxa"/>
            <w:shd w:val="clear" w:color="000000" w:fill="FFFFFF"/>
            <w:noWrap w:val="0"/>
            <w:vAlign w:val="center"/>
          </w:tcPr>
          <w:p w14:paraId="61FDB542">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履约保证金</w:t>
            </w:r>
          </w:p>
        </w:tc>
        <w:tc>
          <w:tcPr>
            <w:tcW w:w="6655" w:type="dxa"/>
            <w:shd w:val="clear" w:color="000000" w:fill="FFFFFF"/>
            <w:noWrap w:val="0"/>
            <w:vAlign w:val="center"/>
          </w:tcPr>
          <w:p w14:paraId="1D380520">
            <w:pPr>
              <w:keepNext w:val="0"/>
              <w:keepLines w:val="0"/>
              <w:pageBreakBefore w:val="0"/>
              <w:widowControl/>
              <w:kinsoku/>
              <w:wordWrap/>
              <w:overflowPunct/>
              <w:topLinePunct w:val="0"/>
              <w:autoSpaceDE/>
              <w:autoSpaceDN/>
              <w:bidi w:val="0"/>
              <w:spacing w:line="420" w:lineRule="exact"/>
              <w:textAlignment w:val="auto"/>
              <w:rPr>
                <w:rFonts w:hint="eastAsia" w:ascii="仿宋" w:hAnsi="仿宋" w:eastAsia="仿宋" w:cs="仿宋"/>
                <w:color w:val="auto"/>
                <w:kern w:val="0"/>
                <w:sz w:val="24"/>
                <w:szCs w:val="24"/>
              </w:rPr>
            </w:pPr>
            <w:r>
              <w:rPr>
                <w:rFonts w:hint="eastAsia" w:ascii="仿宋" w:hAnsi="仿宋" w:eastAsia="仿宋" w:cs="仿宋"/>
                <w:b w:val="0"/>
                <w:bCs w:val="0"/>
                <w:i w:val="0"/>
                <w:iCs w:val="0"/>
                <w:color w:val="auto"/>
                <w:kern w:val="2"/>
                <w:sz w:val="24"/>
                <w:szCs w:val="24"/>
                <w:highlight w:val="none"/>
                <w:vertAlign w:val="baseline"/>
                <w:lang w:val="en-US" w:eastAsia="zh-CN" w:bidi="ar-SA"/>
              </w:rPr>
              <w:t>履约保证金按中标金额的1%计取，</w:t>
            </w:r>
            <w:r>
              <w:rPr>
                <w:rFonts w:hint="eastAsia" w:ascii="仿宋" w:hAnsi="仿宋" w:eastAsia="仿宋" w:cs="仿宋"/>
                <w:color w:val="auto"/>
                <w:kern w:val="1"/>
                <w:sz w:val="24"/>
                <w:szCs w:val="24"/>
                <w:lang w:val="en-US" w:eastAsia="zh-CN"/>
              </w:rPr>
              <w:t>成交供应商</w:t>
            </w:r>
            <w:r>
              <w:rPr>
                <w:rFonts w:hint="eastAsia" w:ascii="仿宋" w:hAnsi="仿宋" w:eastAsia="仿宋" w:cs="仿宋"/>
                <w:b w:val="0"/>
                <w:bCs w:val="0"/>
                <w:i w:val="0"/>
                <w:iCs w:val="0"/>
                <w:color w:val="auto"/>
                <w:kern w:val="2"/>
                <w:sz w:val="24"/>
                <w:szCs w:val="24"/>
                <w:highlight w:val="none"/>
                <w:vertAlign w:val="baseline"/>
                <w:lang w:val="en-US" w:eastAsia="zh-CN" w:bidi="ar-SA"/>
              </w:rPr>
              <w:t>在中标通知书发出后7个工作日内向采购人递交履约保证金（电汇/汇票/转账方式或银行保函方式），履约保证金待项目验收合格且无违约问题后30日内无息退回。</w:t>
            </w:r>
          </w:p>
        </w:tc>
      </w:tr>
      <w:tr w14:paraId="404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55" w:type="dxa"/>
            <w:shd w:val="clear" w:color="auto" w:fill="auto"/>
            <w:noWrap w:val="0"/>
            <w:vAlign w:val="center"/>
          </w:tcPr>
          <w:p w14:paraId="0C1AD7EF">
            <w:pPr>
              <w:keepNext w:val="0"/>
              <w:keepLines w:val="0"/>
              <w:pageBreakBefore w:val="0"/>
              <w:widowControl/>
              <w:kinsoku/>
              <w:wordWrap/>
              <w:overflowPunct/>
              <w:topLinePunct w:val="0"/>
              <w:autoSpaceDE/>
              <w:autoSpaceDN/>
              <w:bidi w:val="0"/>
              <w:adjustRightInd/>
              <w:snapToGrid w:val="0"/>
              <w:spacing w:after="0" w:line="240" w:lineRule="auto"/>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w:t>
            </w:r>
          </w:p>
        </w:tc>
        <w:tc>
          <w:tcPr>
            <w:tcW w:w="1457" w:type="dxa"/>
            <w:shd w:val="clear" w:color="000000" w:fill="FFFFFF"/>
            <w:noWrap w:val="0"/>
            <w:vAlign w:val="center"/>
          </w:tcPr>
          <w:p w14:paraId="67A38F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rPr>
              <w:t>付款方式</w:t>
            </w:r>
          </w:p>
        </w:tc>
        <w:tc>
          <w:tcPr>
            <w:tcW w:w="6655" w:type="dxa"/>
            <w:shd w:val="clear" w:color="000000" w:fill="FFFFFF"/>
            <w:noWrap w:val="0"/>
            <w:vAlign w:val="center"/>
          </w:tcPr>
          <w:p w14:paraId="1207C73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合同生效及具备实施条件后7个工作日内支付合同价的40%，余款在项目验收合格后付清。（</w:t>
            </w:r>
            <w:r>
              <w:rPr>
                <w:rFonts w:hint="eastAsia" w:ascii="仿宋" w:hAnsi="仿宋" w:eastAsia="仿宋" w:cs="仿宋"/>
                <w:color w:val="auto"/>
                <w:kern w:val="0"/>
                <w:sz w:val="24"/>
                <w:szCs w:val="24"/>
                <w:lang w:val="en-US" w:eastAsia="zh-CN"/>
              </w:rPr>
              <w:t>采购人付款前</w:t>
            </w:r>
            <w:r>
              <w:rPr>
                <w:rFonts w:hint="eastAsia" w:ascii="仿宋" w:hAnsi="仿宋" w:eastAsia="仿宋" w:cs="仿宋"/>
                <w:color w:val="auto"/>
                <w:kern w:val="1"/>
                <w:sz w:val="24"/>
                <w:szCs w:val="24"/>
                <w:lang w:val="en-US" w:eastAsia="zh-CN"/>
              </w:rPr>
              <w:t>成交供应商</w:t>
            </w:r>
            <w:r>
              <w:rPr>
                <w:rFonts w:hint="eastAsia" w:ascii="仿宋" w:hAnsi="仿宋" w:eastAsia="仿宋" w:cs="仿宋"/>
                <w:color w:val="auto"/>
                <w:kern w:val="0"/>
                <w:sz w:val="24"/>
                <w:szCs w:val="24"/>
                <w:lang w:val="en-US" w:eastAsia="zh-CN"/>
              </w:rPr>
              <w:t>应提供相应面额的发票，若因</w:t>
            </w:r>
            <w:r>
              <w:rPr>
                <w:rFonts w:hint="eastAsia" w:ascii="仿宋" w:hAnsi="仿宋" w:eastAsia="仿宋" w:cs="仿宋"/>
                <w:color w:val="auto"/>
                <w:kern w:val="1"/>
                <w:sz w:val="24"/>
                <w:szCs w:val="24"/>
                <w:lang w:val="en-US" w:eastAsia="zh-CN"/>
              </w:rPr>
              <w:t>成交供应商</w:t>
            </w:r>
            <w:r>
              <w:rPr>
                <w:rFonts w:hint="eastAsia" w:ascii="仿宋" w:hAnsi="仿宋" w:eastAsia="仿宋" w:cs="仿宋"/>
                <w:color w:val="auto"/>
                <w:kern w:val="0"/>
                <w:sz w:val="24"/>
                <w:szCs w:val="24"/>
                <w:lang w:val="en-US" w:eastAsia="zh-CN"/>
              </w:rPr>
              <w:t>未提供符合要求的发票造成延迟付款，相关责任由</w:t>
            </w:r>
            <w:r>
              <w:rPr>
                <w:rFonts w:hint="eastAsia" w:ascii="仿宋" w:hAnsi="仿宋" w:eastAsia="仿宋" w:cs="仿宋"/>
                <w:color w:val="auto"/>
                <w:kern w:val="1"/>
                <w:sz w:val="24"/>
                <w:szCs w:val="24"/>
                <w:lang w:val="en-US" w:eastAsia="zh-CN"/>
              </w:rPr>
              <w:t>成交供应商</w:t>
            </w:r>
            <w:r>
              <w:rPr>
                <w:rFonts w:hint="eastAsia" w:ascii="仿宋" w:hAnsi="仿宋" w:eastAsia="仿宋" w:cs="仿宋"/>
                <w:color w:val="auto"/>
                <w:kern w:val="0"/>
                <w:sz w:val="24"/>
                <w:szCs w:val="24"/>
                <w:lang w:val="en-US" w:eastAsia="zh-CN"/>
              </w:rPr>
              <w:t>承担</w:t>
            </w:r>
            <w:r>
              <w:rPr>
                <w:rFonts w:hint="eastAsia" w:ascii="仿宋" w:hAnsi="仿宋" w:eastAsia="仿宋" w:cs="仿宋"/>
                <w:color w:val="auto"/>
                <w:sz w:val="24"/>
                <w:szCs w:val="24"/>
                <w:lang w:val="en-US" w:eastAsia="zh-CN"/>
              </w:rPr>
              <w:t>）</w:t>
            </w:r>
          </w:p>
          <w:p w14:paraId="29856EF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lang w:val="en-US" w:eastAsia="zh-CN"/>
              </w:rPr>
              <w:t>注：在签订合同时，如供应商明确表示无需预付款或者主动要求降低预付款比例的，预付款比例以双方协商为准。</w:t>
            </w:r>
          </w:p>
        </w:tc>
      </w:tr>
      <w:tr w14:paraId="4532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55" w:type="dxa"/>
            <w:shd w:val="clear" w:color="auto" w:fill="auto"/>
            <w:noWrap w:val="0"/>
            <w:vAlign w:val="center"/>
          </w:tcPr>
          <w:p w14:paraId="702C4606">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7</w:t>
            </w:r>
          </w:p>
        </w:tc>
        <w:tc>
          <w:tcPr>
            <w:tcW w:w="1457" w:type="dxa"/>
            <w:shd w:val="clear" w:color="000000" w:fill="FFFFFF"/>
            <w:noWrap w:val="0"/>
            <w:vAlign w:val="center"/>
          </w:tcPr>
          <w:p w14:paraId="492D5685">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报价要求</w:t>
            </w:r>
          </w:p>
        </w:tc>
        <w:tc>
          <w:tcPr>
            <w:tcW w:w="6655" w:type="dxa"/>
            <w:shd w:val="clear" w:color="000000" w:fill="FFFFFF"/>
            <w:noWrap w:val="0"/>
            <w:vAlign w:val="center"/>
          </w:tcPr>
          <w:p w14:paraId="0B8CE6F5">
            <w:pPr>
              <w:keepNext w:val="0"/>
              <w:keepLines w:val="0"/>
              <w:pageBreakBefore w:val="0"/>
              <w:widowControl/>
              <w:numPr>
                <w:ilvl w:val="0"/>
                <w:numId w:val="0"/>
              </w:numPr>
              <w:kinsoku/>
              <w:wordWrap/>
              <w:overflowPunct/>
              <w:topLinePunct w:val="0"/>
              <w:autoSpaceDE/>
              <w:autoSpaceDN/>
              <w:bidi w:val="0"/>
              <w:spacing w:line="42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rPr>
              <w:t>本次</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由</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进行报价。在进行报价时，</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须充分考虑本项目的特殊性和不可预见性在内的所有为完成本项目的设计及由此引起的费用等所需的各项应有费用。招标范围包含的所有内容的价格一次性包干</w:t>
            </w:r>
            <w:r>
              <w:rPr>
                <w:rFonts w:hint="eastAsia" w:ascii="仿宋" w:hAnsi="仿宋" w:eastAsia="仿宋" w:cs="仿宋"/>
                <w:color w:val="auto"/>
                <w:sz w:val="24"/>
                <w:szCs w:val="24"/>
                <w:lang w:eastAsia="zh-CN"/>
              </w:rPr>
              <w:t>。</w:t>
            </w:r>
          </w:p>
          <w:p w14:paraId="1C5D16E3">
            <w:pPr>
              <w:keepNext w:val="0"/>
              <w:keepLines w:val="0"/>
              <w:pageBreakBefore w:val="0"/>
              <w:widowControl/>
              <w:numPr>
                <w:ilvl w:val="0"/>
                <w:numId w:val="0"/>
              </w:numPr>
              <w:kinsoku/>
              <w:wordWrap/>
              <w:overflowPunct/>
              <w:topLinePunct w:val="0"/>
              <w:autoSpaceDE/>
              <w:autoSpaceDN/>
              <w:bidi w:val="0"/>
              <w:spacing w:line="42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2.供应商须认真阅读、充分理解整体设计理念，对方案理解不清、产生歧义等由此产生的费用，视作已含在投标总价中。</w:t>
            </w:r>
          </w:p>
          <w:p w14:paraId="3ED3F22E">
            <w:pPr>
              <w:keepNext w:val="0"/>
              <w:keepLines w:val="0"/>
              <w:pageBreakBefore w:val="0"/>
              <w:widowControl/>
              <w:numPr>
                <w:ilvl w:val="0"/>
                <w:numId w:val="0"/>
              </w:numPr>
              <w:kinsoku/>
              <w:wordWrap/>
              <w:overflowPunct/>
              <w:topLinePunct w:val="0"/>
              <w:autoSpaceDE/>
              <w:autoSpaceDN/>
              <w:bidi w:val="0"/>
              <w:spacing w:line="42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3.供应商应对投标内容所涉及的一切知识产权承担责任，并负责保护招标人的利益不受损害，一切由于侵权引起的法律、诉讼、裁决和所发生的费用均与招标人无关。</w:t>
            </w:r>
          </w:p>
        </w:tc>
      </w:tr>
      <w:tr w14:paraId="25CF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5" w:type="dxa"/>
            <w:shd w:val="clear" w:color="auto" w:fill="auto"/>
            <w:noWrap w:val="0"/>
            <w:vAlign w:val="center"/>
          </w:tcPr>
          <w:p w14:paraId="11F2A876">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w:t>
            </w:r>
          </w:p>
        </w:tc>
        <w:tc>
          <w:tcPr>
            <w:tcW w:w="1457" w:type="dxa"/>
            <w:shd w:val="clear" w:color="000000" w:fill="FFFFFF"/>
            <w:noWrap w:val="0"/>
            <w:vAlign w:val="center"/>
          </w:tcPr>
          <w:p w14:paraId="758A3DBF">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安全责任</w:t>
            </w:r>
          </w:p>
        </w:tc>
        <w:tc>
          <w:tcPr>
            <w:tcW w:w="6655" w:type="dxa"/>
            <w:shd w:val="clear" w:color="000000" w:fill="FFFFFF"/>
            <w:noWrap w:val="0"/>
            <w:vAlign w:val="center"/>
          </w:tcPr>
          <w:p w14:paraId="2AD7F720">
            <w:pPr>
              <w:keepNext w:val="0"/>
              <w:keepLines w:val="0"/>
              <w:pageBreakBefore w:val="0"/>
              <w:widowControl/>
              <w:kinsoku/>
              <w:wordWrap/>
              <w:overflowPunct/>
              <w:topLinePunct w:val="0"/>
              <w:autoSpaceDE/>
              <w:autoSpaceDN/>
              <w:bidi w:val="0"/>
              <w:spacing w:line="42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i w:val="0"/>
                <w:iCs w:val="0"/>
                <w:color w:val="auto"/>
                <w:kern w:val="2"/>
                <w:sz w:val="24"/>
                <w:szCs w:val="24"/>
                <w:highlight w:val="none"/>
                <w:vertAlign w:val="baseline"/>
                <w:lang w:val="en-US" w:eastAsia="zh-CN" w:bidi="ar-SA"/>
              </w:rPr>
              <w:t>成交供应商必须按规定程序和安全文明施工有关要求进行施工，做好安全维护工作，施工过程中的各种意外。项目实施过程中遇有安全责任事由成交供应商自负，采购人不承担任何责任。</w:t>
            </w:r>
          </w:p>
        </w:tc>
      </w:tr>
    </w:tbl>
    <w:p w14:paraId="512EE55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723" w:firstLineChars="200"/>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472AF446">
      <w:pPr>
        <w:adjustRightInd/>
        <w:spacing w:line="336"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四</w:t>
      </w:r>
      <w:r>
        <w:rPr>
          <w:rFonts w:hint="eastAsia" w:ascii="仿宋" w:hAnsi="仿宋" w:eastAsia="仿宋" w:cs="仿宋"/>
          <w:b/>
          <w:color w:val="auto"/>
          <w:sz w:val="36"/>
          <w:szCs w:val="36"/>
        </w:rPr>
        <w:t>部分  评审方法及评审标准</w:t>
      </w:r>
    </w:p>
    <w:p w14:paraId="2DCE3E04">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color w:val="auto"/>
          <w:sz w:val="24"/>
        </w:rPr>
      </w:pPr>
      <w:r>
        <w:rPr>
          <w:rFonts w:hint="eastAsia" w:ascii="仿宋" w:hAnsi="仿宋" w:eastAsia="仿宋" w:cs="仿宋"/>
          <w:b/>
          <w:color w:val="auto"/>
          <w:sz w:val="24"/>
        </w:rPr>
        <w:t>1</w:t>
      </w:r>
      <w:r>
        <w:rPr>
          <w:rFonts w:hint="eastAsia" w:ascii="仿宋" w:hAnsi="仿宋" w:eastAsia="仿宋" w:cs="仿宋"/>
          <w:b/>
          <w:color w:val="auto"/>
          <w:sz w:val="24"/>
          <w:lang w:val="en-US" w:eastAsia="zh-CN"/>
        </w:rPr>
        <w:t>.</w:t>
      </w:r>
      <w:r>
        <w:rPr>
          <w:rFonts w:hint="eastAsia" w:ascii="仿宋" w:hAnsi="仿宋" w:eastAsia="仿宋" w:cs="仿宋"/>
          <w:b/>
          <w:color w:val="auto"/>
          <w:sz w:val="24"/>
        </w:rPr>
        <w:t>磋商方法：</w:t>
      </w:r>
    </w:p>
    <w:p w14:paraId="260249C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5BD9F7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b w:val="0"/>
          <w:bCs/>
          <w:color w:val="auto"/>
          <w:sz w:val="24"/>
        </w:rPr>
        <w:t>评标结束后，采购人根据评标委员会提交的评审报告和推荐意见，对进入候选的</w:t>
      </w:r>
      <w:r>
        <w:rPr>
          <w:rFonts w:hint="eastAsia" w:ascii="仿宋" w:hAnsi="仿宋" w:eastAsia="仿宋" w:cs="仿宋"/>
          <w:b w:val="0"/>
          <w:bCs/>
          <w:color w:val="auto"/>
          <w:sz w:val="24"/>
          <w:lang w:val="en-US" w:eastAsia="zh-CN"/>
        </w:rPr>
        <w:t>供应商</w:t>
      </w:r>
      <w:r>
        <w:rPr>
          <w:rFonts w:hint="eastAsia" w:ascii="仿宋" w:hAnsi="仿宋" w:eastAsia="仿宋" w:cs="仿宋"/>
          <w:b w:val="0"/>
          <w:bCs/>
          <w:color w:val="auto"/>
          <w:sz w:val="24"/>
        </w:rPr>
        <w:t>进行最终审查。终审后根据推荐的候选</w:t>
      </w:r>
      <w:r>
        <w:rPr>
          <w:rFonts w:hint="eastAsia" w:ascii="仿宋" w:hAnsi="仿宋" w:eastAsia="仿宋" w:cs="仿宋"/>
          <w:b w:val="0"/>
          <w:bCs/>
          <w:color w:val="auto"/>
          <w:sz w:val="24"/>
          <w:lang w:val="en-US" w:eastAsia="zh-CN"/>
        </w:rPr>
        <w:t>成交供应商</w:t>
      </w:r>
      <w:r>
        <w:rPr>
          <w:rFonts w:hint="eastAsia" w:ascii="仿宋" w:hAnsi="仿宋" w:eastAsia="仿宋" w:cs="仿宋"/>
          <w:b w:val="0"/>
          <w:bCs/>
          <w:color w:val="auto"/>
          <w:sz w:val="24"/>
        </w:rPr>
        <w:t>情况确定</w:t>
      </w:r>
      <w:r>
        <w:rPr>
          <w:rFonts w:hint="eastAsia" w:ascii="仿宋" w:hAnsi="仿宋" w:eastAsia="仿宋" w:cs="仿宋"/>
          <w:b w:val="0"/>
          <w:bCs/>
          <w:color w:val="auto"/>
          <w:sz w:val="24"/>
          <w:lang w:val="en-US" w:eastAsia="zh-CN"/>
        </w:rPr>
        <w:t>成交</w:t>
      </w:r>
      <w:r>
        <w:rPr>
          <w:rFonts w:hint="eastAsia" w:ascii="仿宋" w:hAnsi="仿宋" w:eastAsia="仿宋" w:cs="仿宋"/>
          <w:b w:val="0"/>
          <w:bCs/>
          <w:color w:val="auto"/>
          <w:sz w:val="24"/>
        </w:rPr>
        <w:t>单位。最低报价不是中标的唯一保证。</w:t>
      </w:r>
      <w:r>
        <w:rPr>
          <w:rFonts w:hint="eastAsia" w:ascii="仿宋" w:hAnsi="仿宋" w:eastAsia="仿宋" w:cs="仿宋"/>
          <w:b w:val="0"/>
          <w:bCs/>
          <w:color w:val="auto"/>
          <w:sz w:val="24"/>
          <w:lang w:val="en-US" w:eastAsia="zh-CN"/>
        </w:rPr>
        <w:t>整个磋商</w:t>
      </w:r>
      <w:r>
        <w:rPr>
          <w:rFonts w:hint="eastAsia" w:ascii="仿宋" w:hAnsi="仿宋" w:eastAsia="仿宋" w:cs="仿宋"/>
          <w:b w:val="0"/>
          <w:bCs/>
          <w:color w:val="auto"/>
          <w:sz w:val="24"/>
          <w:highlight w:val="none"/>
          <w:lang w:val="en-US" w:eastAsia="zh-CN"/>
        </w:rPr>
        <w:t>过程应严格保密，磋商小组成员及工作人员应严格遵守纪律，不得泄漏任何评标信息。</w:t>
      </w:r>
    </w:p>
    <w:p w14:paraId="30E57367">
      <w:pPr>
        <w:spacing w:line="336" w:lineRule="auto"/>
        <w:rPr>
          <w:rFonts w:hint="eastAsia" w:ascii="仿宋" w:hAnsi="仿宋" w:eastAsia="仿宋" w:cs="仿宋"/>
          <w:color w:val="auto"/>
          <w:sz w:val="24"/>
        </w:rPr>
      </w:pPr>
      <w:r>
        <w:rPr>
          <w:rFonts w:hint="eastAsia" w:ascii="仿宋" w:hAnsi="仿宋" w:eastAsia="仿宋" w:cs="仿宋"/>
          <w:b/>
          <w:color w:val="auto"/>
          <w:sz w:val="24"/>
        </w:rPr>
        <w:t>2.评审标准：</w:t>
      </w:r>
      <w:r>
        <w:rPr>
          <w:rFonts w:hint="eastAsia" w:ascii="仿宋" w:hAnsi="仿宋" w:eastAsia="仿宋" w:cs="仿宋"/>
          <w:color w:val="auto"/>
          <w:sz w:val="24"/>
        </w:rPr>
        <w:t>共100分，其中商务技术分</w:t>
      </w:r>
      <w:r>
        <w:rPr>
          <w:rFonts w:hint="eastAsia" w:ascii="仿宋" w:hAnsi="仿宋" w:eastAsia="仿宋" w:cs="仿宋"/>
          <w:color w:val="auto"/>
          <w:sz w:val="24"/>
          <w:u w:val="single"/>
          <w:lang w:val="en-US" w:eastAsia="zh-CN"/>
        </w:rPr>
        <w:t xml:space="preserve"> 80 </w:t>
      </w:r>
      <w:r>
        <w:rPr>
          <w:rFonts w:hint="eastAsia" w:ascii="仿宋" w:hAnsi="仿宋" w:eastAsia="仿宋" w:cs="仿宋"/>
          <w:color w:val="auto"/>
          <w:sz w:val="24"/>
        </w:rPr>
        <w:t>分，价格分</w:t>
      </w:r>
      <w:r>
        <w:rPr>
          <w:rFonts w:hint="eastAsia" w:ascii="仿宋" w:hAnsi="仿宋" w:eastAsia="仿宋" w:cs="仿宋"/>
          <w:color w:val="auto"/>
          <w:sz w:val="24"/>
          <w:u w:val="single"/>
          <w:lang w:val="en-US" w:eastAsia="zh-CN"/>
        </w:rPr>
        <w:t xml:space="preserve"> 20 </w:t>
      </w:r>
      <w:r>
        <w:rPr>
          <w:rFonts w:hint="eastAsia" w:ascii="仿宋" w:hAnsi="仿宋" w:eastAsia="仿宋" w:cs="仿宋"/>
          <w:color w:val="auto"/>
          <w:sz w:val="24"/>
        </w:rPr>
        <w:t>分。评分依下述所列为评审打分依据，分值如下（计算分值时，按其算术平均值保留小数2位）。</w:t>
      </w:r>
    </w:p>
    <w:p w14:paraId="3E70CB5E">
      <w:pPr>
        <w:spacing w:line="336" w:lineRule="auto"/>
        <w:ind w:firstLine="482" w:firstLineChars="200"/>
        <w:rPr>
          <w:rFonts w:hint="eastAsia" w:ascii="仿宋" w:hAnsi="仿宋" w:eastAsia="仿宋" w:cs="仿宋"/>
          <w:b/>
          <w:bCs/>
          <w:iCs/>
          <w:color w:val="auto"/>
          <w:sz w:val="24"/>
          <w:lang w:val="en-US" w:eastAsia="zh-CN"/>
        </w:rPr>
      </w:pPr>
      <w:r>
        <w:rPr>
          <w:rFonts w:hint="eastAsia" w:ascii="仿宋" w:hAnsi="仿宋" w:eastAsia="仿宋" w:cs="仿宋"/>
          <w:b/>
          <w:bCs/>
          <w:iCs/>
          <w:color w:val="auto"/>
          <w:sz w:val="24"/>
        </w:rPr>
        <w:t>2.1商务技术分（</w:t>
      </w:r>
      <w:r>
        <w:rPr>
          <w:rFonts w:hint="eastAsia" w:ascii="仿宋" w:hAnsi="仿宋" w:eastAsia="仿宋" w:cs="仿宋"/>
          <w:b/>
          <w:bCs/>
          <w:iCs/>
          <w:color w:val="auto"/>
          <w:sz w:val="24"/>
          <w:u w:val="single"/>
          <w:lang w:val="en-US" w:eastAsia="zh-CN"/>
        </w:rPr>
        <w:t xml:space="preserve"> 80 </w:t>
      </w:r>
      <w:r>
        <w:rPr>
          <w:rFonts w:hint="eastAsia" w:ascii="仿宋" w:hAnsi="仿宋" w:eastAsia="仿宋" w:cs="仿宋"/>
          <w:b/>
          <w:bCs/>
          <w:iCs/>
          <w:color w:val="auto"/>
          <w:sz w:val="24"/>
        </w:rPr>
        <w:t>分）</w:t>
      </w:r>
    </w:p>
    <w:tbl>
      <w:tblPr>
        <w:tblStyle w:val="62"/>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64"/>
        <w:gridCol w:w="6594"/>
        <w:gridCol w:w="768"/>
      </w:tblGrid>
      <w:tr w14:paraId="118E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17" w:type="dxa"/>
            <w:noWrap w:val="0"/>
            <w:vAlign w:val="center"/>
          </w:tcPr>
          <w:p w14:paraId="094613BE">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364" w:type="dxa"/>
            <w:noWrap w:val="0"/>
            <w:vAlign w:val="center"/>
          </w:tcPr>
          <w:p w14:paraId="27F6E2C1">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评审内容</w:t>
            </w:r>
          </w:p>
        </w:tc>
        <w:tc>
          <w:tcPr>
            <w:tcW w:w="6594" w:type="dxa"/>
            <w:noWrap w:val="0"/>
            <w:vAlign w:val="center"/>
          </w:tcPr>
          <w:p w14:paraId="42887204">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评分细则及要求</w:t>
            </w:r>
          </w:p>
        </w:tc>
        <w:tc>
          <w:tcPr>
            <w:tcW w:w="768" w:type="dxa"/>
            <w:noWrap w:val="0"/>
            <w:vAlign w:val="center"/>
          </w:tcPr>
          <w:p w14:paraId="0108E76C">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1B7D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249ABCDC">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1364" w:type="dxa"/>
            <w:noWrap w:val="0"/>
            <w:vAlign w:val="center"/>
          </w:tcPr>
          <w:p w14:paraId="1752901F">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同类业绩</w:t>
            </w:r>
          </w:p>
        </w:tc>
        <w:tc>
          <w:tcPr>
            <w:tcW w:w="6594" w:type="dxa"/>
            <w:noWrap w:val="0"/>
            <w:vAlign w:val="center"/>
          </w:tcPr>
          <w:p w14:paraId="0FBB9241">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磋商响应方提供自2021年1月1日以来（以合同签订时间</w:t>
            </w:r>
            <w:r>
              <w:rPr>
                <w:rFonts w:hint="eastAsia" w:ascii="仿宋" w:hAnsi="仿宋" w:eastAsia="仿宋" w:cs="仿宋"/>
                <w:bCs/>
                <w:color w:val="auto"/>
                <w:kern w:val="28"/>
                <w:sz w:val="24"/>
                <w:szCs w:val="24"/>
                <w:highlight w:val="none"/>
                <w:lang w:val="en-US" w:eastAsia="zh-CN"/>
              </w:rPr>
              <w:t>为准</w:t>
            </w:r>
            <w:r>
              <w:rPr>
                <w:rFonts w:hint="eastAsia" w:ascii="仿宋" w:hAnsi="仿宋" w:eastAsia="仿宋" w:cs="仿宋"/>
                <w:color w:val="auto"/>
                <w:sz w:val="24"/>
                <w:szCs w:val="24"/>
                <w:highlight w:val="none"/>
                <w:lang w:val="en-US" w:eastAsia="zh-CN"/>
              </w:rPr>
              <w:t>）类似项目业绩，每提供1个业绩得1分，最高得2分。（提供合同及发票扫描件并加盖CA签章）。</w:t>
            </w:r>
          </w:p>
        </w:tc>
        <w:tc>
          <w:tcPr>
            <w:tcW w:w="768" w:type="dxa"/>
            <w:noWrap w:val="0"/>
            <w:vAlign w:val="center"/>
          </w:tcPr>
          <w:p w14:paraId="7AEAFD18">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w:t>
            </w:r>
          </w:p>
        </w:tc>
      </w:tr>
      <w:tr w14:paraId="6545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17" w:type="dxa"/>
            <w:noWrap w:val="0"/>
            <w:vAlign w:val="center"/>
          </w:tcPr>
          <w:p w14:paraId="5BDA51E9">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1364" w:type="dxa"/>
            <w:noWrap w:val="0"/>
            <w:vAlign w:val="center"/>
          </w:tcPr>
          <w:p w14:paraId="451FD75B">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项目人员配备</w:t>
            </w:r>
          </w:p>
        </w:tc>
        <w:tc>
          <w:tcPr>
            <w:tcW w:w="6594" w:type="dxa"/>
            <w:noWrap w:val="0"/>
            <w:vAlign w:val="center"/>
          </w:tcPr>
          <w:p w14:paraId="0DF6B28B">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根据拟派人员的配备方案（0-1分）、岗位安排（0-1分）、人员数量（0-1分）、职称经验（0-1分）情况进行综合评分。（提供相关人员名单及近3个月任意1个月本单位在职社保缴纳证明并加盖CA签章）</w:t>
            </w:r>
          </w:p>
        </w:tc>
        <w:tc>
          <w:tcPr>
            <w:tcW w:w="768" w:type="dxa"/>
            <w:noWrap w:val="0"/>
            <w:vAlign w:val="center"/>
          </w:tcPr>
          <w:p w14:paraId="2F0FE2F1">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w:t>
            </w:r>
          </w:p>
        </w:tc>
      </w:tr>
      <w:tr w14:paraId="1AE8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7ED24E62">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364" w:type="dxa"/>
            <w:noWrap w:val="0"/>
            <w:vAlign w:val="center"/>
          </w:tcPr>
          <w:p w14:paraId="47DC049E">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项目了解及分析</w:t>
            </w:r>
          </w:p>
        </w:tc>
        <w:tc>
          <w:tcPr>
            <w:tcW w:w="6594" w:type="dxa"/>
            <w:noWrap w:val="0"/>
            <w:vAlign w:val="center"/>
          </w:tcPr>
          <w:p w14:paraId="727065FF">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根据磋商响应方对本项目涉及内容的理解程度、总体设计、组织实施、独到优势等情况进行评分（0-5分）。</w:t>
            </w:r>
          </w:p>
        </w:tc>
        <w:tc>
          <w:tcPr>
            <w:tcW w:w="768" w:type="dxa"/>
            <w:noWrap w:val="0"/>
            <w:vAlign w:val="center"/>
          </w:tcPr>
          <w:p w14:paraId="73BB1E61">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r>
      <w:tr w14:paraId="5675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17" w:type="dxa"/>
            <w:noWrap w:val="0"/>
            <w:vAlign w:val="center"/>
          </w:tcPr>
          <w:p w14:paraId="5E90FB46">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364" w:type="dxa"/>
            <w:noWrap w:val="0"/>
            <w:vAlign w:val="center"/>
          </w:tcPr>
          <w:p w14:paraId="5E177382">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项目设计方案</w:t>
            </w:r>
          </w:p>
        </w:tc>
        <w:tc>
          <w:tcPr>
            <w:tcW w:w="6594" w:type="dxa"/>
            <w:noWrap w:val="0"/>
            <w:vAlign w:val="center"/>
          </w:tcPr>
          <w:p w14:paraId="4C14045F">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磋商响应方提供的总体设计方案效果图（教室、办公室、教学楼北、西、东楼梯、二楼读书吧、二层、三层、四层连廊文化、教学楼校史室、阅览室二楼楼顶劳技教室、阅读楼楼梯墙面、中庭景观）进行综合打分：</w:t>
            </w:r>
          </w:p>
          <w:p w14:paraId="0190B874">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（1）教室效果图，根据</w:t>
            </w:r>
            <w:r>
              <w:rPr>
                <w:rFonts w:hint="eastAsia" w:ascii="仿宋" w:hAnsi="仿宋" w:eastAsia="仿宋" w:cs="仿宋"/>
                <w:color w:val="auto"/>
                <w:sz w:val="24"/>
                <w:highlight w:val="none"/>
              </w:rPr>
              <w:t>设计及展示效果图的独创性、视觉表现力</w:t>
            </w:r>
            <w:r>
              <w:rPr>
                <w:rFonts w:hint="eastAsia" w:ascii="仿宋" w:hAnsi="仿宋" w:eastAsia="仿宋" w:cs="仿宋"/>
                <w:color w:val="auto"/>
                <w:sz w:val="24"/>
                <w:szCs w:val="24"/>
                <w:highlight w:val="none"/>
                <w:lang w:val="en-US" w:eastAsia="zh-CN"/>
              </w:rPr>
              <w:t>，创新性评分（0-3分）；</w:t>
            </w:r>
          </w:p>
          <w:p w14:paraId="3BD17A5D">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（2）办公室效果图，根据</w:t>
            </w:r>
            <w:r>
              <w:rPr>
                <w:rFonts w:hint="eastAsia" w:ascii="仿宋" w:hAnsi="仿宋" w:eastAsia="仿宋" w:cs="仿宋"/>
                <w:color w:val="auto"/>
                <w:sz w:val="24"/>
                <w:highlight w:val="none"/>
              </w:rPr>
              <w:t>设计及展示效果图的独创性、视觉表现力</w:t>
            </w:r>
            <w:r>
              <w:rPr>
                <w:rFonts w:hint="eastAsia" w:ascii="仿宋" w:hAnsi="仿宋" w:eastAsia="仿宋" w:cs="仿宋"/>
                <w:color w:val="auto"/>
                <w:sz w:val="24"/>
                <w:szCs w:val="24"/>
                <w:highlight w:val="none"/>
                <w:lang w:val="en-US" w:eastAsia="zh-CN"/>
              </w:rPr>
              <w:t>，创新性评分（0-3分）；</w:t>
            </w:r>
          </w:p>
          <w:p w14:paraId="74FF5B96">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（3）教学楼北、西、东楼梯体效果图，根据</w:t>
            </w:r>
            <w:r>
              <w:rPr>
                <w:rFonts w:hint="eastAsia" w:ascii="仿宋" w:hAnsi="仿宋" w:eastAsia="仿宋" w:cs="仿宋"/>
                <w:color w:val="auto"/>
                <w:sz w:val="24"/>
                <w:highlight w:val="none"/>
              </w:rPr>
              <w:t>设计及展示效果图的独创性、视觉表现力</w:t>
            </w:r>
            <w:r>
              <w:rPr>
                <w:rFonts w:hint="eastAsia" w:ascii="仿宋" w:hAnsi="仿宋" w:eastAsia="仿宋" w:cs="仿宋"/>
                <w:color w:val="auto"/>
                <w:sz w:val="24"/>
                <w:szCs w:val="24"/>
                <w:highlight w:val="none"/>
                <w:lang w:val="en-US" w:eastAsia="zh-CN"/>
              </w:rPr>
              <w:t>，创新性评分（0-3分）；</w:t>
            </w:r>
          </w:p>
          <w:p w14:paraId="75BDD2F1">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（4）二楼读书吧效果图，根据</w:t>
            </w:r>
            <w:r>
              <w:rPr>
                <w:rFonts w:hint="eastAsia" w:ascii="仿宋" w:hAnsi="仿宋" w:eastAsia="仿宋" w:cs="仿宋"/>
                <w:color w:val="auto"/>
                <w:sz w:val="24"/>
                <w:highlight w:val="none"/>
              </w:rPr>
              <w:t>设计及展示效果图的独创性、视觉表现力</w:t>
            </w:r>
            <w:r>
              <w:rPr>
                <w:rFonts w:hint="eastAsia" w:ascii="仿宋" w:hAnsi="仿宋" w:eastAsia="仿宋" w:cs="仿宋"/>
                <w:color w:val="auto"/>
                <w:sz w:val="24"/>
                <w:szCs w:val="24"/>
                <w:highlight w:val="none"/>
                <w:lang w:val="en-US" w:eastAsia="zh-CN"/>
              </w:rPr>
              <w:t>，创新性评分（0-3分）；</w:t>
            </w:r>
          </w:p>
          <w:p w14:paraId="30C10AC3">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（5）二层、三层、四层连廊文化效果图，根据</w:t>
            </w:r>
            <w:r>
              <w:rPr>
                <w:rFonts w:hint="eastAsia" w:ascii="仿宋" w:hAnsi="仿宋" w:eastAsia="仿宋" w:cs="仿宋"/>
                <w:color w:val="auto"/>
                <w:sz w:val="24"/>
                <w:highlight w:val="none"/>
              </w:rPr>
              <w:t>设计及展示效果图的独创性、视觉表现力</w:t>
            </w:r>
            <w:r>
              <w:rPr>
                <w:rFonts w:hint="eastAsia" w:ascii="仿宋" w:hAnsi="仿宋" w:eastAsia="仿宋" w:cs="仿宋"/>
                <w:color w:val="auto"/>
                <w:sz w:val="24"/>
                <w:szCs w:val="24"/>
                <w:highlight w:val="none"/>
                <w:lang w:val="en-US" w:eastAsia="zh-CN"/>
              </w:rPr>
              <w:t>，创新性评分（0-3分）；</w:t>
            </w:r>
          </w:p>
          <w:p w14:paraId="613F8509">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（6）教学楼校史室效果图，根据</w:t>
            </w:r>
            <w:r>
              <w:rPr>
                <w:rFonts w:hint="eastAsia" w:ascii="仿宋" w:hAnsi="仿宋" w:eastAsia="仿宋" w:cs="仿宋"/>
                <w:color w:val="auto"/>
                <w:sz w:val="24"/>
                <w:highlight w:val="none"/>
              </w:rPr>
              <w:t>设计及展示效果图的独创性、视觉表现力</w:t>
            </w:r>
            <w:r>
              <w:rPr>
                <w:rFonts w:hint="eastAsia" w:ascii="仿宋" w:hAnsi="仿宋" w:eastAsia="仿宋" w:cs="仿宋"/>
                <w:color w:val="auto"/>
                <w:sz w:val="24"/>
                <w:szCs w:val="24"/>
                <w:highlight w:val="none"/>
                <w:lang w:val="en-US" w:eastAsia="zh-CN"/>
              </w:rPr>
              <w:t>，创新性评分（0-3分）</w:t>
            </w:r>
          </w:p>
          <w:p w14:paraId="32C88593">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（7）阅览室二楼楼顶劳技教室效果图，根据</w:t>
            </w:r>
            <w:r>
              <w:rPr>
                <w:rFonts w:hint="eastAsia" w:ascii="仿宋" w:hAnsi="仿宋" w:eastAsia="仿宋" w:cs="仿宋"/>
                <w:color w:val="auto"/>
                <w:sz w:val="24"/>
                <w:highlight w:val="none"/>
              </w:rPr>
              <w:t>设计及展示效果图的独创性、视觉表现力</w:t>
            </w:r>
            <w:r>
              <w:rPr>
                <w:rFonts w:hint="eastAsia" w:ascii="仿宋" w:hAnsi="仿宋" w:eastAsia="仿宋" w:cs="仿宋"/>
                <w:color w:val="auto"/>
                <w:sz w:val="24"/>
                <w:szCs w:val="24"/>
                <w:highlight w:val="none"/>
                <w:lang w:val="en-US" w:eastAsia="zh-CN"/>
              </w:rPr>
              <w:t>，创新性评分（0-3分）；</w:t>
            </w:r>
          </w:p>
          <w:p w14:paraId="6E899130">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（8）阅读楼楼梯墙面效果图，根据</w:t>
            </w:r>
            <w:r>
              <w:rPr>
                <w:rFonts w:hint="eastAsia" w:ascii="仿宋" w:hAnsi="仿宋" w:eastAsia="仿宋" w:cs="仿宋"/>
                <w:color w:val="auto"/>
                <w:sz w:val="24"/>
                <w:highlight w:val="none"/>
              </w:rPr>
              <w:t>设计及展示效果图的独创性、视觉表现力</w:t>
            </w:r>
            <w:r>
              <w:rPr>
                <w:rFonts w:hint="eastAsia" w:ascii="仿宋" w:hAnsi="仿宋" w:eastAsia="仿宋" w:cs="仿宋"/>
                <w:color w:val="auto"/>
                <w:sz w:val="24"/>
                <w:szCs w:val="24"/>
                <w:highlight w:val="none"/>
                <w:lang w:val="en-US" w:eastAsia="zh-CN"/>
              </w:rPr>
              <w:t>，创新性评分（0-3分）；</w:t>
            </w:r>
          </w:p>
          <w:p w14:paraId="53B43C73">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（9）中庭景观效果图，根据</w:t>
            </w:r>
            <w:r>
              <w:rPr>
                <w:rFonts w:hint="eastAsia" w:ascii="仿宋" w:hAnsi="仿宋" w:eastAsia="仿宋" w:cs="仿宋"/>
                <w:color w:val="auto"/>
                <w:sz w:val="24"/>
                <w:highlight w:val="none"/>
              </w:rPr>
              <w:t>设计及展示效果图的独创性、视觉表现力</w:t>
            </w:r>
            <w:r>
              <w:rPr>
                <w:rFonts w:hint="eastAsia" w:ascii="仿宋" w:hAnsi="仿宋" w:eastAsia="仿宋" w:cs="仿宋"/>
                <w:color w:val="auto"/>
                <w:sz w:val="24"/>
                <w:szCs w:val="24"/>
                <w:highlight w:val="none"/>
                <w:lang w:val="en-US" w:eastAsia="zh-CN"/>
              </w:rPr>
              <w:t>，创新性评分（0-3分）。</w:t>
            </w:r>
          </w:p>
        </w:tc>
        <w:tc>
          <w:tcPr>
            <w:tcW w:w="768" w:type="dxa"/>
            <w:noWrap w:val="0"/>
            <w:vAlign w:val="center"/>
          </w:tcPr>
          <w:p w14:paraId="62D8CDC4">
            <w:pPr>
              <w:spacing w:before="156"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0-27</w:t>
            </w:r>
          </w:p>
        </w:tc>
      </w:tr>
      <w:tr w14:paraId="63E7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17" w:type="dxa"/>
            <w:noWrap w:val="0"/>
            <w:vAlign w:val="center"/>
          </w:tcPr>
          <w:p w14:paraId="556A8C47">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364" w:type="dxa"/>
            <w:noWrap w:val="0"/>
            <w:vAlign w:val="center"/>
          </w:tcPr>
          <w:p w14:paraId="01F4975F">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项目实施方案</w:t>
            </w:r>
          </w:p>
        </w:tc>
        <w:tc>
          <w:tcPr>
            <w:tcW w:w="6594" w:type="dxa"/>
            <w:noWrap w:val="0"/>
            <w:vAlign w:val="center"/>
          </w:tcPr>
          <w:p w14:paraId="13F14D99">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根据磋商响应方提供的项目实施方案（包括采购人任务下达后如何有效对接、及时跟进、配合施工情况、确保供货时间、安全文明施工）进行综合打分：</w:t>
            </w:r>
          </w:p>
          <w:p w14:paraId="70EF18A8">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（1）在项目实施过程中与采购人的有效对接情况，项目的跟进程度等（0-4分）；</w:t>
            </w:r>
          </w:p>
          <w:p w14:paraId="26457B63">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（2）在项目实施过程中的施工情况、供货时间等方面（0-4分）；</w:t>
            </w:r>
          </w:p>
          <w:p w14:paraId="790E99F1">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（3）在项目实施中的安全文明施工情况（0-4分）。</w:t>
            </w:r>
          </w:p>
        </w:tc>
        <w:tc>
          <w:tcPr>
            <w:tcW w:w="768" w:type="dxa"/>
            <w:noWrap w:val="0"/>
            <w:vAlign w:val="center"/>
          </w:tcPr>
          <w:p w14:paraId="12AFEEE6">
            <w:pPr>
              <w:spacing w:before="156"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0-12</w:t>
            </w:r>
          </w:p>
        </w:tc>
      </w:tr>
      <w:tr w14:paraId="6515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7" w:type="dxa"/>
            <w:noWrap w:val="0"/>
            <w:vAlign w:val="center"/>
          </w:tcPr>
          <w:p w14:paraId="033C35EF">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364" w:type="dxa"/>
            <w:noWrap w:val="0"/>
            <w:vAlign w:val="center"/>
          </w:tcPr>
          <w:p w14:paraId="40727E79">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质量保证措施</w:t>
            </w:r>
          </w:p>
        </w:tc>
        <w:tc>
          <w:tcPr>
            <w:tcW w:w="6594" w:type="dxa"/>
            <w:noWrap w:val="0"/>
            <w:vAlign w:val="center"/>
          </w:tcPr>
          <w:p w14:paraId="67F2E478">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根据磋商响应方提供的质量保证措施的科学性、合理性、可行性、完整性等进行评分（0-5分）。</w:t>
            </w:r>
          </w:p>
        </w:tc>
        <w:tc>
          <w:tcPr>
            <w:tcW w:w="768" w:type="dxa"/>
            <w:noWrap w:val="0"/>
            <w:vAlign w:val="center"/>
          </w:tcPr>
          <w:p w14:paraId="794FA440">
            <w:pPr>
              <w:spacing w:before="156"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0-5</w:t>
            </w:r>
          </w:p>
        </w:tc>
      </w:tr>
      <w:tr w14:paraId="52F2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17" w:type="dxa"/>
            <w:noWrap w:val="0"/>
            <w:vAlign w:val="center"/>
          </w:tcPr>
          <w:p w14:paraId="44C91A9B">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364" w:type="dxa"/>
            <w:noWrap w:val="0"/>
            <w:vAlign w:val="center"/>
          </w:tcPr>
          <w:p w14:paraId="6E72E1F4">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设施设备配置</w:t>
            </w:r>
          </w:p>
        </w:tc>
        <w:tc>
          <w:tcPr>
            <w:tcW w:w="6594" w:type="dxa"/>
            <w:noWrap w:val="0"/>
            <w:vAlign w:val="center"/>
          </w:tcPr>
          <w:p w14:paraId="515EF6C1">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磋商响应方拟投入生产设备情况评分：喷绘机、户内户外写真机、覆膜机、激光机、UV印刷机、雕刻机、胶装机、切纸机、打印机、切割机设备，每项设备得1分，最高得10分，同类设备不重复计分。（须提供设备发票或租赁合同、设备清单及照片）</w:t>
            </w:r>
          </w:p>
        </w:tc>
        <w:tc>
          <w:tcPr>
            <w:tcW w:w="768" w:type="dxa"/>
            <w:noWrap w:val="0"/>
            <w:vAlign w:val="center"/>
          </w:tcPr>
          <w:p w14:paraId="15F3A6E8">
            <w:pPr>
              <w:spacing w:before="156"/>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0-10</w:t>
            </w:r>
          </w:p>
        </w:tc>
      </w:tr>
      <w:tr w14:paraId="2473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591ABA97">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364" w:type="dxa"/>
            <w:noWrap w:val="0"/>
            <w:vAlign w:val="center"/>
          </w:tcPr>
          <w:p w14:paraId="78E41B05">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突发情况应急预案</w:t>
            </w:r>
          </w:p>
        </w:tc>
        <w:tc>
          <w:tcPr>
            <w:tcW w:w="6594" w:type="dxa"/>
            <w:noWrap w:val="0"/>
            <w:vAlign w:val="center"/>
          </w:tcPr>
          <w:p w14:paraId="48401470">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根据磋商响应方提供的针对突发情况应急预案的科学性、合理性、可行性等进行打分（0-4分）。</w:t>
            </w:r>
          </w:p>
        </w:tc>
        <w:tc>
          <w:tcPr>
            <w:tcW w:w="768" w:type="dxa"/>
            <w:noWrap w:val="0"/>
            <w:vAlign w:val="center"/>
          </w:tcPr>
          <w:p w14:paraId="1228BB11">
            <w:pPr>
              <w:spacing w:line="240" w:lineRule="auto"/>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sz w:val="24"/>
                <w:szCs w:val="24"/>
                <w:lang w:val="en-US" w:eastAsia="zh-CN"/>
              </w:rPr>
              <w:t>0-4</w:t>
            </w:r>
          </w:p>
        </w:tc>
      </w:tr>
      <w:tr w14:paraId="6099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17" w:type="dxa"/>
            <w:vMerge w:val="restart"/>
            <w:noWrap w:val="0"/>
            <w:vAlign w:val="center"/>
          </w:tcPr>
          <w:p w14:paraId="1B7CE604">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364" w:type="dxa"/>
            <w:vMerge w:val="restart"/>
            <w:noWrap w:val="0"/>
            <w:vAlign w:val="center"/>
          </w:tcPr>
          <w:p w14:paraId="2797D1B5">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w:t>
            </w:r>
          </w:p>
        </w:tc>
        <w:tc>
          <w:tcPr>
            <w:tcW w:w="6594" w:type="dxa"/>
            <w:noWrap w:val="0"/>
            <w:vAlign w:val="center"/>
          </w:tcPr>
          <w:p w14:paraId="0790CA06">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质保期在招标文件要求（1年）的基础上每增加一年得2分，最高得2分。</w:t>
            </w:r>
          </w:p>
        </w:tc>
        <w:tc>
          <w:tcPr>
            <w:tcW w:w="768" w:type="dxa"/>
            <w:noWrap w:val="0"/>
            <w:vAlign w:val="center"/>
          </w:tcPr>
          <w:p w14:paraId="07CEC096">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w:t>
            </w:r>
          </w:p>
        </w:tc>
      </w:tr>
      <w:tr w14:paraId="02D0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17" w:type="dxa"/>
            <w:vMerge w:val="continue"/>
            <w:noWrap w:val="0"/>
            <w:vAlign w:val="center"/>
          </w:tcPr>
          <w:p w14:paraId="044FBF4D">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1364" w:type="dxa"/>
            <w:vMerge w:val="continue"/>
            <w:noWrap w:val="0"/>
            <w:vAlign w:val="center"/>
          </w:tcPr>
          <w:p w14:paraId="50522716">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6594" w:type="dxa"/>
            <w:noWrap w:val="0"/>
            <w:vAlign w:val="center"/>
          </w:tcPr>
          <w:p w14:paraId="1C7736E5">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根据磋商响应方提供的服务响应时间、故障处理时间进行评分（0-4分）。提供相关证明材料或承诺。</w:t>
            </w:r>
          </w:p>
        </w:tc>
        <w:tc>
          <w:tcPr>
            <w:tcW w:w="768" w:type="dxa"/>
            <w:noWrap w:val="0"/>
            <w:vAlign w:val="center"/>
          </w:tcPr>
          <w:p w14:paraId="7EAAC364">
            <w:pPr>
              <w:spacing w:before="156"/>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w:t>
            </w:r>
          </w:p>
        </w:tc>
      </w:tr>
      <w:tr w14:paraId="6B36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17" w:type="dxa"/>
            <w:vMerge w:val="continue"/>
            <w:noWrap w:val="0"/>
            <w:vAlign w:val="center"/>
          </w:tcPr>
          <w:p w14:paraId="18B61B39">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1364" w:type="dxa"/>
            <w:vMerge w:val="continue"/>
            <w:noWrap w:val="0"/>
            <w:vAlign w:val="center"/>
          </w:tcPr>
          <w:p w14:paraId="56643AB9">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6594" w:type="dxa"/>
            <w:noWrap w:val="0"/>
            <w:vAlign w:val="center"/>
          </w:tcPr>
          <w:p w14:paraId="71821283">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根据磋商响应方提供的售后服务方案（包括维护、更换、后续跟采购人配合等）情况进行评分（0-5分）。</w:t>
            </w:r>
          </w:p>
        </w:tc>
        <w:tc>
          <w:tcPr>
            <w:tcW w:w="768" w:type="dxa"/>
            <w:noWrap w:val="0"/>
            <w:vAlign w:val="center"/>
          </w:tcPr>
          <w:p w14:paraId="302EAE1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0-5</w:t>
            </w:r>
          </w:p>
        </w:tc>
      </w:tr>
    </w:tbl>
    <w:p w14:paraId="2D2BA624">
      <w:pPr>
        <w:spacing w:line="336" w:lineRule="auto"/>
        <w:ind w:firstLine="482" w:firstLineChars="200"/>
        <w:rPr>
          <w:rFonts w:hint="eastAsia" w:ascii="仿宋" w:hAnsi="仿宋" w:eastAsia="仿宋" w:cs="仿宋"/>
          <w:b/>
          <w:bCs/>
          <w:iCs/>
          <w:color w:val="auto"/>
          <w:sz w:val="24"/>
          <w:lang w:val="en-US" w:eastAsia="zh-CN"/>
        </w:rPr>
      </w:pPr>
      <w:r>
        <w:rPr>
          <w:rFonts w:hint="eastAsia" w:ascii="仿宋" w:hAnsi="仿宋" w:eastAsia="仿宋" w:cs="仿宋"/>
          <w:b/>
          <w:bCs/>
          <w:iCs/>
          <w:color w:val="auto"/>
          <w:sz w:val="24"/>
        </w:rPr>
        <w:t>2.2价格分（</w:t>
      </w:r>
      <w:r>
        <w:rPr>
          <w:rFonts w:hint="eastAsia" w:ascii="仿宋" w:hAnsi="仿宋" w:eastAsia="仿宋" w:cs="仿宋"/>
          <w:b/>
          <w:bCs/>
          <w:iCs/>
          <w:color w:val="auto"/>
          <w:sz w:val="24"/>
          <w:highlight w:val="none"/>
          <w:u w:val="single"/>
          <w:lang w:val="en-US" w:eastAsia="zh-CN"/>
        </w:rPr>
        <w:t xml:space="preserve"> 20 </w:t>
      </w:r>
      <w:r>
        <w:rPr>
          <w:rFonts w:hint="eastAsia" w:ascii="仿宋" w:hAnsi="仿宋" w:eastAsia="仿宋" w:cs="仿宋"/>
          <w:b/>
          <w:bCs/>
          <w:iCs/>
          <w:color w:val="auto"/>
          <w:sz w:val="24"/>
          <w:highlight w:val="none"/>
        </w:rPr>
        <w:t>分</w:t>
      </w:r>
      <w:r>
        <w:rPr>
          <w:rFonts w:hint="eastAsia" w:ascii="仿宋" w:hAnsi="仿宋" w:eastAsia="仿宋" w:cs="仿宋"/>
          <w:b/>
          <w:bCs/>
          <w:iCs/>
          <w:color w:val="auto"/>
          <w:sz w:val="24"/>
        </w:rPr>
        <w:t>）</w:t>
      </w:r>
    </w:p>
    <w:p w14:paraId="61CCF06A">
      <w:pPr>
        <w:spacing w:line="336" w:lineRule="auto"/>
        <w:ind w:firstLine="480" w:firstLineChars="200"/>
        <w:rPr>
          <w:rFonts w:hint="eastAsia" w:ascii="仿宋" w:hAnsi="仿宋" w:eastAsia="仿宋" w:cs="仿宋"/>
          <w:bCs/>
          <w:iCs/>
          <w:color w:val="auto"/>
          <w:sz w:val="24"/>
        </w:rPr>
      </w:pPr>
      <w:r>
        <w:rPr>
          <w:rFonts w:hint="eastAsia" w:ascii="仿宋" w:hAnsi="仿宋" w:eastAsia="仿宋" w:cs="仿宋"/>
          <w:bCs/>
          <w:iCs/>
          <w:color w:val="auto"/>
          <w:sz w:val="24"/>
        </w:rPr>
        <w:t>2.2.1评标基准价：即满足磋商文件要求且磋商价格最低的磋商报价为评标基准价，其价格分为满分。</w:t>
      </w:r>
    </w:p>
    <w:p w14:paraId="1F7BF111">
      <w:pPr>
        <w:spacing w:line="336" w:lineRule="auto"/>
        <w:ind w:firstLine="480" w:firstLineChars="200"/>
        <w:rPr>
          <w:rFonts w:hint="eastAsia" w:ascii="仿宋" w:hAnsi="仿宋" w:eastAsia="仿宋" w:cs="仿宋"/>
          <w:bCs/>
          <w:iCs/>
          <w:color w:val="auto"/>
          <w:sz w:val="24"/>
        </w:rPr>
      </w:pPr>
      <w:r>
        <w:rPr>
          <w:rFonts w:hint="eastAsia" w:ascii="仿宋" w:hAnsi="仿宋" w:eastAsia="仿宋" w:cs="仿宋"/>
          <w:bCs/>
          <w:iCs/>
          <w:color w:val="auto"/>
          <w:sz w:val="24"/>
        </w:rPr>
        <w:t>2.2.2其他供应商的价格分统一按照下列公式计算：</w:t>
      </w:r>
    </w:p>
    <w:p w14:paraId="7686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480" w:firstLineChars="200"/>
        <w:rPr>
          <w:rFonts w:hint="eastAsia" w:ascii="仿宋" w:hAnsi="仿宋" w:eastAsia="仿宋" w:cs="仿宋"/>
          <w:bCs/>
          <w:iCs/>
          <w:color w:val="auto"/>
          <w:sz w:val="24"/>
        </w:rPr>
      </w:pPr>
      <w:r>
        <w:rPr>
          <w:rFonts w:hint="eastAsia" w:ascii="仿宋" w:hAnsi="仿宋" w:eastAsia="仿宋" w:cs="仿宋"/>
          <w:bCs/>
          <w:iCs/>
          <w:color w:val="auto"/>
          <w:sz w:val="24"/>
        </w:rPr>
        <w:t>磋商报价得分=(评标基准价／磋商报价)×价格权值×100</w:t>
      </w:r>
    </w:p>
    <w:p w14:paraId="3E80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480" w:firstLineChars="200"/>
        <w:rPr>
          <w:rFonts w:hint="eastAsia" w:ascii="仿宋" w:hAnsi="仿宋" w:eastAsia="仿宋" w:cs="仿宋"/>
          <w:bCs/>
          <w:iCs/>
          <w:color w:val="auto"/>
          <w:sz w:val="24"/>
        </w:rPr>
      </w:pPr>
      <w:r>
        <w:rPr>
          <w:rFonts w:hint="eastAsia" w:ascii="仿宋" w:hAnsi="仿宋" w:eastAsia="仿宋" w:cs="仿宋"/>
          <w:bCs/>
          <w:iCs/>
          <w:color w:val="auto"/>
          <w:sz w:val="24"/>
        </w:rPr>
        <w:t>即：磋商报价得分=(评标基准价／磋商报价)×</w:t>
      </w:r>
      <w:r>
        <w:rPr>
          <w:rFonts w:hint="eastAsia" w:ascii="仿宋" w:hAnsi="仿宋" w:eastAsia="仿宋" w:cs="仿宋"/>
          <w:bCs/>
          <w:iCs/>
          <w:color w:val="auto"/>
          <w:sz w:val="24"/>
          <w:u w:val="single"/>
          <w:lang w:val="en-US" w:eastAsia="zh-CN"/>
        </w:rPr>
        <w:t xml:space="preserve"> 20 </w:t>
      </w:r>
      <w:r>
        <w:rPr>
          <w:rFonts w:hint="eastAsia" w:ascii="仿宋" w:hAnsi="仿宋" w:eastAsia="仿宋" w:cs="仿宋"/>
          <w:bCs/>
          <w:iCs/>
          <w:color w:val="auto"/>
          <w:sz w:val="24"/>
          <w:u w:val="none"/>
          <w:lang w:val="en-US" w:eastAsia="zh-CN"/>
        </w:rPr>
        <w:t>%</w:t>
      </w:r>
      <w:r>
        <w:rPr>
          <w:rFonts w:hint="eastAsia" w:ascii="仿宋" w:hAnsi="仿宋" w:eastAsia="仿宋" w:cs="仿宋"/>
          <w:bCs/>
          <w:iCs/>
          <w:color w:val="auto"/>
          <w:sz w:val="24"/>
        </w:rPr>
        <w:t>×100</w:t>
      </w:r>
    </w:p>
    <w:p w14:paraId="7D341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480" w:firstLineChars="200"/>
        <w:rPr>
          <w:rFonts w:hint="eastAsia" w:ascii="仿宋" w:hAnsi="仿宋" w:eastAsia="仿宋" w:cs="仿宋"/>
          <w:b/>
          <w:color w:val="auto"/>
          <w:sz w:val="36"/>
          <w:szCs w:val="36"/>
        </w:rPr>
      </w:pPr>
      <w:r>
        <w:rPr>
          <w:rFonts w:hint="eastAsia" w:ascii="仿宋" w:hAnsi="仿宋" w:eastAsia="仿宋" w:cs="仿宋"/>
          <w:b w:val="0"/>
          <w:bCs/>
          <w:color w:val="auto"/>
          <w:sz w:val="24"/>
          <w:szCs w:val="24"/>
        </w:rPr>
        <w:t>磋商小组认为供应商的报价明显低于其他通过符合性审查磋商响应人的报价</w:t>
      </w:r>
      <w:r>
        <w:rPr>
          <w:rFonts w:hint="eastAsia" w:ascii="仿宋" w:hAnsi="仿宋" w:eastAsia="仿宋" w:cs="仿宋"/>
          <w:bCs/>
          <w:iCs/>
          <w:color w:val="auto"/>
          <w:sz w:val="24"/>
        </w:rPr>
        <w:t>，有可能影响产品质量或者不能诚信履约的，应当要求其在</w:t>
      </w:r>
      <w:r>
        <w:rPr>
          <w:rFonts w:hint="eastAsia" w:ascii="仿宋" w:hAnsi="仿宋" w:eastAsia="仿宋" w:cs="仿宋"/>
          <w:bCs/>
          <w:iCs/>
          <w:color w:val="auto"/>
          <w:sz w:val="24"/>
          <w:lang w:val="en-US" w:eastAsia="zh-CN"/>
        </w:rPr>
        <w:t>磋商</w:t>
      </w:r>
      <w:r>
        <w:rPr>
          <w:rFonts w:hint="eastAsia" w:ascii="仿宋" w:hAnsi="仿宋" w:eastAsia="仿宋" w:cs="仿宋"/>
          <w:bCs/>
          <w:iCs/>
          <w:color w:val="auto"/>
          <w:sz w:val="24"/>
        </w:rPr>
        <w:t>现场合理的时间内提供书面说明，必要时提交相关证明材料；</w:t>
      </w:r>
      <w:r>
        <w:rPr>
          <w:rFonts w:hint="eastAsia" w:ascii="仿宋" w:hAnsi="仿宋" w:eastAsia="仿宋" w:cs="仿宋"/>
          <w:bCs/>
          <w:iCs/>
          <w:color w:val="auto"/>
          <w:sz w:val="24"/>
          <w:lang w:val="en-US" w:eastAsia="zh-CN"/>
        </w:rPr>
        <w:t>供应商</w:t>
      </w:r>
      <w:r>
        <w:rPr>
          <w:rFonts w:hint="eastAsia" w:ascii="仿宋" w:hAnsi="仿宋" w:eastAsia="仿宋" w:cs="仿宋"/>
          <w:bCs/>
          <w:iCs/>
          <w:color w:val="auto"/>
          <w:sz w:val="24"/>
        </w:rPr>
        <w:t>不能证明其报价合理性的，</w:t>
      </w:r>
      <w:r>
        <w:rPr>
          <w:rFonts w:hint="eastAsia" w:ascii="仿宋" w:hAnsi="仿宋" w:eastAsia="仿宋" w:cs="仿宋"/>
          <w:b w:val="0"/>
          <w:bCs/>
          <w:color w:val="auto"/>
          <w:sz w:val="24"/>
          <w:szCs w:val="24"/>
        </w:rPr>
        <w:t>磋商小组</w:t>
      </w:r>
      <w:r>
        <w:rPr>
          <w:rFonts w:hint="eastAsia" w:ascii="仿宋" w:hAnsi="仿宋" w:eastAsia="仿宋" w:cs="仿宋"/>
          <w:bCs/>
          <w:iCs/>
          <w:color w:val="auto"/>
          <w:sz w:val="24"/>
        </w:rPr>
        <w:t>应当将其作为</w:t>
      </w:r>
      <w:r>
        <w:rPr>
          <w:rFonts w:hint="eastAsia" w:ascii="仿宋" w:hAnsi="仿宋" w:eastAsia="仿宋" w:cs="仿宋"/>
          <w:bCs/>
          <w:iCs/>
          <w:color w:val="auto"/>
          <w:sz w:val="24"/>
          <w:lang w:val="en-US" w:eastAsia="zh-CN"/>
        </w:rPr>
        <w:t>无效磋商响应</w:t>
      </w:r>
      <w:r>
        <w:rPr>
          <w:rFonts w:hint="eastAsia" w:ascii="仿宋" w:hAnsi="仿宋" w:eastAsia="仿宋" w:cs="仿宋"/>
          <w:bCs/>
          <w:iCs/>
          <w:color w:val="auto"/>
          <w:sz w:val="24"/>
        </w:rPr>
        <w:t>处理，并在评审报告中说明。</w:t>
      </w:r>
      <w:r>
        <w:rPr>
          <w:rFonts w:hint="eastAsia" w:ascii="仿宋" w:hAnsi="仿宋" w:eastAsia="仿宋" w:cs="仿宋"/>
          <w:b/>
          <w:color w:val="auto"/>
          <w:sz w:val="36"/>
          <w:szCs w:val="36"/>
        </w:rPr>
        <w:br w:type="page"/>
      </w:r>
    </w:p>
    <w:p w14:paraId="5BC7EF8A">
      <w:pPr>
        <w:spacing w:line="336"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五</w:t>
      </w:r>
      <w:r>
        <w:rPr>
          <w:rFonts w:hint="eastAsia" w:ascii="仿宋" w:hAnsi="仿宋" w:eastAsia="仿宋" w:cs="仿宋"/>
          <w:b/>
          <w:color w:val="auto"/>
          <w:sz w:val="36"/>
          <w:szCs w:val="36"/>
        </w:rPr>
        <w:t>部分  拟签订的合同文本</w:t>
      </w:r>
    </w:p>
    <w:p w14:paraId="7E04D05F">
      <w:pPr>
        <w:spacing w:line="336" w:lineRule="auto"/>
        <w:rPr>
          <w:rFonts w:hint="eastAsia" w:ascii="仿宋" w:hAnsi="仿宋" w:eastAsia="仿宋" w:cs="仿宋"/>
          <w:color w:val="auto"/>
          <w:sz w:val="24"/>
        </w:rPr>
      </w:pPr>
      <w:bookmarkStart w:id="71" w:name="_Toc86217003"/>
      <w:bookmarkStart w:id="72" w:name="第五部分"/>
    </w:p>
    <w:p w14:paraId="0768ED1C">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78CC8264">
      <w:pPr>
        <w:pStyle w:val="74"/>
        <w:rPr>
          <w:rFonts w:hint="eastAsia" w:ascii="仿宋" w:hAnsi="仿宋" w:eastAsia="仿宋" w:cs="仿宋"/>
          <w:color w:val="auto"/>
          <w:sz w:val="24"/>
          <w:u w:val="single"/>
        </w:rPr>
      </w:pPr>
    </w:p>
    <w:p w14:paraId="48792459">
      <w:pPr>
        <w:pStyle w:val="75"/>
        <w:ind w:left="0" w:leftChars="0" w:firstLine="0" w:firstLineChars="0"/>
        <w:jc w:val="center"/>
        <w:rPr>
          <w:rFonts w:hint="eastAsia" w:ascii="仿宋" w:hAnsi="仿宋" w:eastAsia="仿宋" w:cs="仿宋"/>
          <w:color w:val="auto"/>
        </w:rPr>
      </w:pPr>
      <w:r>
        <w:rPr>
          <w:rFonts w:hint="eastAsia" w:ascii="仿宋" w:hAnsi="仿宋" w:eastAsia="仿宋" w:cs="仿宋"/>
          <w:b/>
          <w:color w:val="auto"/>
          <w:sz w:val="24"/>
        </w:rPr>
        <w:t>（本合同为示范文本，具体以</w:t>
      </w:r>
      <w:r>
        <w:rPr>
          <w:rFonts w:hint="eastAsia" w:ascii="仿宋" w:hAnsi="仿宋" w:eastAsia="仿宋" w:cs="仿宋"/>
          <w:b/>
          <w:color w:val="auto"/>
          <w:sz w:val="24"/>
          <w:lang w:val="en-US" w:eastAsia="zh-CN"/>
        </w:rPr>
        <w:t>甲方与乙方</w:t>
      </w:r>
      <w:r>
        <w:rPr>
          <w:rFonts w:hint="eastAsia" w:ascii="仿宋" w:hAnsi="仿宋" w:eastAsia="仿宋" w:cs="仿宋"/>
          <w:b/>
          <w:color w:val="auto"/>
          <w:sz w:val="24"/>
        </w:rPr>
        <w:t>所签定正式合同为准）</w:t>
      </w:r>
    </w:p>
    <w:p w14:paraId="682C18FB">
      <w:pPr>
        <w:spacing w:line="336" w:lineRule="auto"/>
        <w:rPr>
          <w:rFonts w:hint="eastAsia" w:ascii="仿宋" w:hAnsi="仿宋" w:eastAsia="仿宋" w:cs="仿宋"/>
          <w:color w:val="auto"/>
          <w:sz w:val="24"/>
          <w:u w:val="single"/>
        </w:rPr>
      </w:pPr>
    </w:p>
    <w:p w14:paraId="634D9AE1">
      <w:pPr>
        <w:pStyle w:val="285"/>
        <w:spacing w:after="0" w:line="336" w:lineRule="auto"/>
        <w:ind w:left="0" w:leftChars="0" w:firstLine="0" w:firstLineChars="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政府采购合同书</w:t>
      </w:r>
    </w:p>
    <w:p w14:paraId="76A3CD34">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eastAsia="zh-CN"/>
        </w:rPr>
        <w:t>服务</w:t>
      </w:r>
      <w:r>
        <w:rPr>
          <w:rFonts w:hint="eastAsia" w:ascii="仿宋" w:hAnsi="仿宋" w:eastAsia="仿宋" w:cs="仿宋"/>
          <w:b/>
          <w:color w:val="auto"/>
          <w:sz w:val="36"/>
          <w:szCs w:val="36"/>
          <w:highlight w:val="none"/>
        </w:rPr>
        <w:t>类）</w:t>
      </w:r>
    </w:p>
    <w:p w14:paraId="319AD8C0">
      <w:pPr>
        <w:pStyle w:val="285"/>
        <w:spacing w:after="0" w:line="336" w:lineRule="auto"/>
        <w:ind w:left="0" w:leftChars="0"/>
        <w:rPr>
          <w:rFonts w:hint="eastAsia" w:ascii="仿宋" w:hAnsi="仿宋" w:eastAsia="仿宋" w:cs="仿宋"/>
          <w:color w:val="auto"/>
          <w:szCs w:val="24"/>
        </w:rPr>
      </w:pPr>
    </w:p>
    <w:p w14:paraId="4A879A1C">
      <w:pPr>
        <w:pStyle w:val="285"/>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0B7C81D5">
      <w:pPr>
        <w:pStyle w:val="25"/>
        <w:rPr>
          <w:rFonts w:hint="eastAsia" w:ascii="仿宋" w:hAnsi="仿宋" w:eastAsia="仿宋" w:cs="仿宋"/>
          <w:color w:val="auto"/>
          <w:szCs w:val="24"/>
        </w:rPr>
      </w:pPr>
    </w:p>
    <w:p w14:paraId="64847B8E">
      <w:pPr>
        <w:pStyle w:val="25"/>
        <w:rPr>
          <w:rFonts w:hint="eastAsia" w:ascii="仿宋" w:hAnsi="仿宋" w:eastAsia="仿宋" w:cs="仿宋"/>
          <w:color w:val="auto"/>
          <w:szCs w:val="24"/>
        </w:rPr>
      </w:pPr>
    </w:p>
    <w:p w14:paraId="1FE2D281">
      <w:pPr>
        <w:pStyle w:val="25"/>
        <w:ind w:left="0" w:leftChars="0" w:firstLine="0" w:firstLineChars="0"/>
        <w:rPr>
          <w:rFonts w:hint="eastAsia" w:ascii="仿宋" w:hAnsi="仿宋" w:eastAsia="仿宋" w:cs="仿宋"/>
          <w:color w:val="auto"/>
          <w:szCs w:val="24"/>
        </w:rPr>
      </w:pPr>
    </w:p>
    <w:p w14:paraId="1F0BFCC9">
      <w:pPr>
        <w:spacing w:line="336" w:lineRule="auto"/>
        <w:rPr>
          <w:rFonts w:hint="eastAsia" w:ascii="仿宋" w:hAnsi="仿宋" w:eastAsia="仿宋" w:cs="仿宋"/>
          <w:color w:val="auto"/>
          <w:sz w:val="24"/>
        </w:rPr>
      </w:pPr>
    </w:p>
    <w:p w14:paraId="2AA48B0B">
      <w:pPr>
        <w:spacing w:line="336" w:lineRule="auto"/>
        <w:ind w:firstLine="1200" w:firstLineChars="500"/>
        <w:rPr>
          <w:rFonts w:hint="eastAsia" w:ascii="仿宋" w:hAnsi="仿宋" w:eastAsia="仿宋" w:cs="仿宋"/>
          <w:color w:val="auto"/>
          <w:sz w:val="24"/>
          <w:u w:val="single"/>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4419BDF8">
      <w:pPr>
        <w:pStyle w:val="620"/>
        <w:spacing w:line="336" w:lineRule="auto"/>
        <w:rPr>
          <w:rFonts w:hint="eastAsia" w:ascii="仿宋" w:hAnsi="仿宋" w:eastAsia="仿宋" w:cs="仿宋"/>
          <w:color w:val="auto"/>
          <w:szCs w:val="24"/>
        </w:rPr>
      </w:pPr>
    </w:p>
    <w:p w14:paraId="7C6F1059">
      <w:pPr>
        <w:spacing w:line="336" w:lineRule="auto"/>
        <w:rPr>
          <w:rFonts w:hint="eastAsia" w:ascii="仿宋" w:hAnsi="仿宋" w:eastAsia="仿宋" w:cs="仿宋"/>
          <w:color w:val="auto"/>
          <w:sz w:val="24"/>
        </w:rPr>
      </w:pPr>
    </w:p>
    <w:p w14:paraId="0C896762">
      <w:pPr>
        <w:spacing w:line="336" w:lineRule="auto"/>
        <w:ind w:firstLine="1200" w:firstLineChars="50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4295AE71">
      <w:pPr>
        <w:spacing w:line="336" w:lineRule="auto"/>
        <w:rPr>
          <w:rFonts w:hint="eastAsia" w:ascii="仿宋" w:hAnsi="仿宋" w:eastAsia="仿宋" w:cs="仿宋"/>
          <w:color w:val="auto"/>
          <w:sz w:val="24"/>
        </w:rPr>
      </w:pPr>
    </w:p>
    <w:p w14:paraId="6137E176">
      <w:pPr>
        <w:spacing w:line="336" w:lineRule="auto"/>
        <w:ind w:firstLine="1200" w:firstLineChars="50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7825FBCD">
      <w:pPr>
        <w:spacing w:line="336" w:lineRule="auto"/>
        <w:rPr>
          <w:rFonts w:hint="eastAsia" w:ascii="仿宋" w:hAnsi="仿宋" w:eastAsia="仿宋" w:cs="仿宋"/>
          <w:color w:val="auto"/>
          <w:sz w:val="24"/>
        </w:rPr>
      </w:pPr>
    </w:p>
    <w:p w14:paraId="2F44A7B7">
      <w:pPr>
        <w:spacing w:line="336" w:lineRule="auto"/>
        <w:ind w:firstLine="1200" w:firstLineChars="5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39378C27">
      <w:pPr>
        <w:spacing w:line="336"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p>
    <w:p w14:paraId="1684D058">
      <w:pPr>
        <w:spacing w:line="336" w:lineRule="auto"/>
        <w:ind w:firstLine="1200" w:firstLineChars="5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334D6053">
      <w:pPr>
        <w:widowControl/>
        <w:adjustRightInd/>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br w:type="page"/>
      </w:r>
    </w:p>
    <w:p w14:paraId="4E0194CF">
      <w:pPr>
        <w:spacing w:line="336" w:lineRule="auto"/>
        <w:rPr>
          <w:rFonts w:hint="eastAsia" w:ascii="仿宋" w:hAnsi="仿宋" w:eastAsia="仿宋" w:cs="仿宋"/>
          <w:b/>
          <w:color w:val="auto"/>
          <w:sz w:val="24"/>
        </w:rPr>
      </w:pPr>
    </w:p>
    <w:p w14:paraId="2951B4C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（中标名称） </w:t>
      </w:r>
      <w:r>
        <w:rPr>
          <w:rFonts w:hint="eastAsia" w:ascii="仿宋" w:hAnsi="仿宋" w:eastAsia="仿宋" w:cs="仿宋"/>
          <w:color w:val="auto"/>
          <w:sz w:val="24"/>
        </w:rPr>
        <w:t>为该项目中标供应商。</w:t>
      </w:r>
    </w:p>
    <w:p w14:paraId="0BE3FF7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w:t>
      </w:r>
      <w:r>
        <w:rPr>
          <w:rFonts w:hint="eastAsia" w:ascii="仿宋" w:hAnsi="仿宋" w:eastAsia="仿宋" w:cs="仿宋"/>
          <w:color w:val="auto"/>
          <w:sz w:val="24"/>
          <w:u w:val="single"/>
          <w:lang w:val="en-US" w:eastAsia="zh-CN"/>
        </w:rPr>
        <w:t>标</w:t>
      </w:r>
      <w:r>
        <w:rPr>
          <w:rFonts w:hint="eastAsia" w:ascii="仿宋" w:hAnsi="仿宋" w:eastAsia="仿宋" w:cs="仿宋"/>
          <w:color w:val="auto"/>
          <w:sz w:val="24"/>
          <w:u w:val="single"/>
        </w:rPr>
        <w:t xml:space="preserve">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4561D13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color w:val="auto"/>
          <w:sz w:val="24"/>
        </w:rPr>
      </w:pPr>
      <w:bookmarkStart w:id="73" w:name="_Toc22967"/>
      <w:bookmarkStart w:id="74" w:name="_Toc19273"/>
      <w:bookmarkStart w:id="75" w:name="_Toc15367"/>
      <w:bookmarkStart w:id="76" w:name="_Toc20421"/>
      <w:bookmarkStart w:id="77" w:name="_Toc28855"/>
      <w:r>
        <w:rPr>
          <w:rFonts w:hint="eastAsia" w:ascii="仿宋" w:hAnsi="仿宋" w:eastAsia="仿宋" w:cs="仿宋"/>
          <w:b/>
          <w:color w:val="auto"/>
          <w:sz w:val="24"/>
          <w:lang w:val="en-US" w:eastAsia="zh-CN"/>
        </w:rPr>
        <w:t>一、</w:t>
      </w:r>
      <w:r>
        <w:rPr>
          <w:rFonts w:hint="eastAsia" w:ascii="仿宋" w:hAnsi="仿宋" w:eastAsia="仿宋" w:cs="仿宋"/>
          <w:b/>
          <w:color w:val="auto"/>
          <w:sz w:val="24"/>
        </w:rPr>
        <w:t>合同组成部分</w:t>
      </w:r>
      <w:bookmarkEnd w:id="73"/>
      <w:bookmarkEnd w:id="74"/>
      <w:bookmarkEnd w:id="75"/>
      <w:bookmarkEnd w:id="76"/>
      <w:bookmarkEnd w:id="77"/>
    </w:p>
    <w:p w14:paraId="4130717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E290A2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1</w:t>
      </w:r>
      <w:r>
        <w:rPr>
          <w:rFonts w:hint="eastAsia" w:ascii="仿宋" w:hAnsi="仿宋" w:eastAsia="仿宋" w:cs="仿宋"/>
          <w:color w:val="auto"/>
          <w:sz w:val="24"/>
        </w:rPr>
        <w:t>本合同及其补充合同、变更协议；</w:t>
      </w:r>
    </w:p>
    <w:p w14:paraId="08342A3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1.2成交</w:t>
      </w:r>
      <w:r>
        <w:rPr>
          <w:rFonts w:hint="eastAsia" w:ascii="仿宋" w:hAnsi="仿宋" w:eastAsia="仿宋" w:cs="仿宋"/>
          <w:color w:val="auto"/>
          <w:sz w:val="24"/>
        </w:rPr>
        <w:t>通知书；</w:t>
      </w:r>
    </w:p>
    <w:p w14:paraId="79A3FAF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1.3响应</w:t>
      </w:r>
      <w:r>
        <w:rPr>
          <w:rFonts w:hint="eastAsia" w:ascii="仿宋" w:hAnsi="仿宋" w:eastAsia="仿宋" w:cs="仿宋"/>
          <w:color w:val="auto"/>
          <w:sz w:val="24"/>
        </w:rPr>
        <w:t>文件（含澄清或者说明文件）；</w:t>
      </w:r>
    </w:p>
    <w:p w14:paraId="5403EE0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1.4</w:t>
      </w:r>
      <w:r>
        <w:rPr>
          <w:rFonts w:hint="eastAsia" w:ascii="仿宋" w:hAnsi="仿宋" w:eastAsia="仿宋" w:cs="仿宋"/>
          <w:color w:val="auto"/>
          <w:sz w:val="24"/>
        </w:rPr>
        <w:t>采购文件（含澄清或者修改文件）；</w:t>
      </w:r>
    </w:p>
    <w:p w14:paraId="38C37F0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b/>
          <w:color w:val="auto"/>
          <w:sz w:val="24"/>
          <w:lang w:val="en-US" w:eastAsia="zh-CN"/>
        </w:rPr>
      </w:pPr>
      <w:r>
        <w:rPr>
          <w:rFonts w:hint="eastAsia" w:ascii="仿宋" w:hAnsi="仿宋" w:eastAsia="仿宋" w:cs="仿宋"/>
          <w:color w:val="auto"/>
          <w:sz w:val="24"/>
          <w:lang w:val="en-US" w:eastAsia="zh-CN"/>
        </w:rPr>
        <w:t>1.5</w:t>
      </w:r>
      <w:r>
        <w:rPr>
          <w:rFonts w:hint="eastAsia" w:ascii="仿宋" w:hAnsi="仿宋" w:eastAsia="仿宋" w:cs="仿宋"/>
          <w:color w:val="auto"/>
          <w:sz w:val="24"/>
        </w:rPr>
        <w:t>其他相关采购文件。</w:t>
      </w:r>
    </w:p>
    <w:p w14:paraId="39CCA744">
      <w:pPr>
        <w:keepNext w:val="0"/>
        <w:keepLines w:val="0"/>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hint="eastAsia" w:ascii="仿宋" w:hAnsi="仿宋" w:eastAsia="仿宋" w:cs="仿宋"/>
          <w:b/>
          <w:color w:val="auto"/>
          <w:sz w:val="24"/>
          <w:lang w:val="en-US" w:eastAsia="zh-CN"/>
        </w:rPr>
      </w:pPr>
      <w:bookmarkStart w:id="78" w:name="_Toc16021"/>
      <w:bookmarkStart w:id="79" w:name="_Toc8586"/>
      <w:bookmarkStart w:id="80" w:name="_Toc24662"/>
      <w:bookmarkStart w:id="81" w:name="_Toc15583"/>
      <w:bookmarkStart w:id="82" w:name="_Toc3079"/>
      <w:bookmarkStart w:id="83" w:name="_Toc28375"/>
      <w:bookmarkStart w:id="84" w:name="_Toc5698"/>
      <w:bookmarkStart w:id="85" w:name="_Toc2375"/>
      <w:r>
        <w:rPr>
          <w:rFonts w:hint="eastAsia" w:ascii="仿宋" w:hAnsi="仿宋" w:eastAsia="仿宋" w:cs="仿宋"/>
          <w:b/>
          <w:color w:val="auto"/>
          <w:sz w:val="24"/>
          <w:lang w:val="en-US" w:eastAsia="zh-CN"/>
        </w:rPr>
        <w:t>二、合同金额</w:t>
      </w:r>
    </w:p>
    <w:p w14:paraId="669F97B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color w:val="auto"/>
          <w:sz w:val="24"/>
          <w:lang w:val="en-US" w:eastAsia="zh-CN"/>
        </w:rPr>
      </w:pPr>
      <w:r>
        <w:rPr>
          <w:rStyle w:val="637"/>
          <w:rFonts w:hint="eastAsia" w:ascii="仿宋" w:hAnsi="仿宋" w:eastAsia="仿宋" w:cs="仿宋"/>
          <w:color w:val="auto"/>
          <w:sz w:val="24"/>
          <w:szCs w:val="24"/>
        </w:rPr>
        <w:t>本合同金额为（大写）：</w:t>
      </w:r>
      <w:r>
        <w:rPr>
          <w:rStyle w:val="637"/>
          <w:rFonts w:hint="eastAsia" w:ascii="仿宋" w:hAnsi="仿宋" w:eastAsia="仿宋" w:cs="仿宋"/>
          <w:color w:val="auto"/>
          <w:sz w:val="24"/>
          <w:szCs w:val="24"/>
          <w:u w:val="single"/>
          <w:lang w:val="en-US" w:eastAsia="zh-CN"/>
        </w:rPr>
        <w:t xml:space="preserve">         </w:t>
      </w:r>
      <w:r>
        <w:rPr>
          <w:rStyle w:val="637"/>
          <w:rFonts w:hint="eastAsia" w:ascii="仿宋" w:hAnsi="仿宋" w:eastAsia="仿宋" w:cs="仿宋"/>
          <w:color w:val="auto"/>
          <w:sz w:val="24"/>
          <w:szCs w:val="24"/>
        </w:rPr>
        <w:t>元（￥</w:t>
      </w:r>
      <w:r>
        <w:rPr>
          <w:rStyle w:val="637"/>
          <w:rFonts w:hint="eastAsia" w:ascii="仿宋" w:hAnsi="仿宋" w:eastAsia="仿宋" w:cs="仿宋"/>
          <w:color w:val="auto"/>
          <w:sz w:val="24"/>
          <w:szCs w:val="24"/>
          <w:u w:val="single"/>
          <w:lang w:val="en-US" w:eastAsia="zh-CN"/>
        </w:rPr>
        <w:t xml:space="preserve">          </w:t>
      </w:r>
      <w:r>
        <w:rPr>
          <w:rStyle w:val="637"/>
          <w:rFonts w:hint="eastAsia" w:ascii="仿宋" w:hAnsi="仿宋" w:eastAsia="仿宋" w:cs="仿宋"/>
          <w:color w:val="auto"/>
          <w:sz w:val="24"/>
          <w:szCs w:val="24"/>
        </w:rPr>
        <w:t>元）人民币。</w:t>
      </w:r>
    </w:p>
    <w:p w14:paraId="59710E1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color w:val="auto"/>
          <w:sz w:val="24"/>
          <w:lang w:val="en-US" w:eastAsia="zh-CN"/>
        </w:rPr>
      </w:pPr>
      <w:r>
        <w:rPr>
          <w:rFonts w:hint="eastAsia" w:ascii="仿宋" w:hAnsi="仿宋" w:eastAsia="仿宋" w:cs="仿宋"/>
          <w:b/>
          <w:bCs/>
          <w:snapToGrid w:val="0"/>
          <w:color w:val="auto"/>
          <w:kern w:val="0"/>
          <w:sz w:val="24"/>
          <w:szCs w:val="24"/>
          <w:lang w:val="en-US" w:eastAsia="zh-CN"/>
        </w:rPr>
        <w:t>三、</w:t>
      </w:r>
      <w:r>
        <w:rPr>
          <w:rStyle w:val="637"/>
          <w:rFonts w:hint="eastAsia" w:ascii="仿宋" w:hAnsi="仿宋" w:eastAsia="仿宋" w:cs="仿宋"/>
          <w:b/>
          <w:bCs/>
          <w:color w:val="auto"/>
          <w:sz w:val="24"/>
          <w:szCs w:val="24"/>
          <w:lang w:val="en-US" w:eastAsia="zh-CN"/>
        </w:rPr>
        <w:t>技术资料</w:t>
      </w:r>
    </w:p>
    <w:p w14:paraId="2C67BE7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1.乙方应按磋商文件规定的时间向甲方提供有关技术资料。</w:t>
      </w:r>
    </w:p>
    <w:p w14:paraId="6E414CF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color w:val="auto"/>
          <w:sz w:val="24"/>
          <w:lang w:val="en-US" w:eastAsia="zh-CN"/>
        </w:rPr>
      </w:pPr>
      <w:r>
        <w:rPr>
          <w:rFonts w:hint="eastAsia" w:ascii="仿宋" w:hAnsi="仿宋" w:eastAsia="仿宋" w:cs="仿宋"/>
          <w:b w:val="0"/>
          <w:bCs/>
          <w:color w:val="auto"/>
          <w:sz w:val="24"/>
          <w:lang w:val="en-US"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AF4B29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四、实施时间及地点</w:t>
      </w:r>
    </w:p>
    <w:p w14:paraId="5772D7C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1.实施时间：合同签订之日起20天内完成产品的设计、制作、安装。</w:t>
      </w:r>
    </w:p>
    <w:p w14:paraId="29722D8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color w:val="auto"/>
          <w:sz w:val="24"/>
          <w:lang w:val="en-US" w:eastAsia="zh-CN"/>
        </w:rPr>
      </w:pPr>
      <w:r>
        <w:rPr>
          <w:rFonts w:hint="eastAsia" w:ascii="仿宋" w:hAnsi="仿宋" w:eastAsia="仿宋" w:cs="仿宋"/>
          <w:b w:val="0"/>
          <w:bCs/>
          <w:color w:val="auto"/>
          <w:sz w:val="24"/>
          <w:lang w:val="en-US" w:eastAsia="zh-CN"/>
        </w:rPr>
        <w:t>2.地点：甲方指定地点。</w:t>
      </w:r>
    </w:p>
    <w:p w14:paraId="65182F2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五、质保及售后</w:t>
      </w:r>
    </w:p>
    <w:p w14:paraId="1F23841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1.质保期为验收合格之日起</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年。</w:t>
      </w:r>
    </w:p>
    <w:p w14:paraId="3F81552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bCs w:val="0"/>
          <w:color w:val="auto"/>
          <w:sz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kern w:val="1"/>
          <w:sz w:val="24"/>
          <w:szCs w:val="24"/>
          <w:lang w:val="en-US" w:eastAsia="zh-CN"/>
        </w:rPr>
        <w:t>乙方</w:t>
      </w:r>
      <w:r>
        <w:rPr>
          <w:rFonts w:hint="eastAsia" w:ascii="仿宋" w:hAnsi="仿宋" w:eastAsia="仿宋" w:cs="仿宋"/>
          <w:color w:val="auto"/>
          <w:kern w:val="1"/>
          <w:sz w:val="24"/>
          <w:szCs w:val="24"/>
        </w:rPr>
        <w:t>需提供专门的售后服务电话</w:t>
      </w:r>
      <w:r>
        <w:rPr>
          <w:rFonts w:hint="eastAsia" w:ascii="仿宋" w:hAnsi="仿宋" w:eastAsia="仿宋" w:cs="仿宋"/>
          <w:color w:val="auto"/>
          <w:kern w:val="1"/>
          <w:sz w:val="24"/>
          <w:szCs w:val="24"/>
          <w:lang w:val="en-US" w:eastAsia="zh-CN"/>
        </w:rPr>
        <w:t>，乙方</w:t>
      </w:r>
      <w:r>
        <w:rPr>
          <w:rFonts w:hint="eastAsia" w:ascii="仿宋" w:hAnsi="仿宋" w:eastAsia="仿宋" w:cs="仿宋"/>
          <w:color w:val="auto"/>
          <w:kern w:val="1"/>
          <w:sz w:val="24"/>
          <w:szCs w:val="24"/>
        </w:rPr>
        <w:t>在接到</w:t>
      </w:r>
      <w:r>
        <w:rPr>
          <w:rFonts w:hint="eastAsia" w:ascii="仿宋" w:hAnsi="仿宋" w:eastAsia="仿宋" w:cs="仿宋"/>
          <w:color w:val="auto"/>
          <w:kern w:val="1"/>
          <w:sz w:val="24"/>
          <w:szCs w:val="24"/>
          <w:lang w:val="en-US" w:eastAsia="zh-CN"/>
        </w:rPr>
        <w:t>甲方</w:t>
      </w:r>
      <w:r>
        <w:rPr>
          <w:rFonts w:hint="eastAsia" w:ascii="仿宋" w:hAnsi="仿宋" w:eastAsia="仿宋" w:cs="仿宋"/>
          <w:color w:val="auto"/>
          <w:kern w:val="1"/>
          <w:sz w:val="24"/>
          <w:szCs w:val="24"/>
        </w:rPr>
        <w:t>通知后，</w:t>
      </w:r>
      <w:r>
        <w:rPr>
          <w:rFonts w:hint="eastAsia" w:ascii="仿宋" w:hAnsi="仿宋" w:eastAsia="仿宋" w:cs="仿宋"/>
          <w:color w:val="auto"/>
          <w:kern w:val="1"/>
          <w:sz w:val="24"/>
          <w:szCs w:val="24"/>
          <w:lang w:val="en-US" w:eastAsia="zh-CN"/>
        </w:rPr>
        <w:t>1</w:t>
      </w:r>
      <w:r>
        <w:rPr>
          <w:rFonts w:hint="eastAsia" w:ascii="仿宋" w:hAnsi="仿宋" w:eastAsia="仿宋" w:cs="仿宋"/>
          <w:color w:val="auto"/>
          <w:kern w:val="1"/>
          <w:sz w:val="24"/>
          <w:szCs w:val="24"/>
        </w:rPr>
        <w:t>小时内做出响应，</w:t>
      </w:r>
      <w:r>
        <w:rPr>
          <w:rFonts w:hint="eastAsia" w:ascii="仿宋" w:hAnsi="仿宋" w:eastAsia="仿宋" w:cs="仿宋"/>
          <w:color w:val="auto"/>
          <w:kern w:val="1"/>
          <w:sz w:val="24"/>
          <w:szCs w:val="24"/>
          <w:lang w:val="en-US" w:eastAsia="zh-CN"/>
        </w:rPr>
        <w:t>2</w:t>
      </w:r>
      <w:r>
        <w:rPr>
          <w:rFonts w:hint="eastAsia" w:ascii="仿宋" w:hAnsi="仿宋" w:eastAsia="仿宋" w:cs="仿宋"/>
          <w:color w:val="auto"/>
          <w:kern w:val="1"/>
          <w:sz w:val="24"/>
          <w:szCs w:val="24"/>
        </w:rPr>
        <w:t>小时内派人赴现场处理问题。</w:t>
      </w:r>
    </w:p>
    <w:p w14:paraId="73826A5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六、验收</w:t>
      </w:r>
    </w:p>
    <w:p w14:paraId="4675245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1.符合我国国家有关技术规范要求和技术标准；</w:t>
      </w:r>
    </w:p>
    <w:p w14:paraId="77B0A43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bCs w:val="0"/>
          <w:color w:val="auto"/>
          <w:sz w:val="24"/>
          <w:lang w:val="en-US" w:eastAsia="zh-CN"/>
        </w:rPr>
      </w:pPr>
      <w:r>
        <w:rPr>
          <w:rFonts w:hint="eastAsia" w:ascii="仿宋" w:hAnsi="仿宋" w:eastAsia="仿宋" w:cs="仿宋"/>
          <w:b w:val="0"/>
          <w:bCs/>
          <w:color w:val="auto"/>
          <w:sz w:val="24"/>
          <w:lang w:val="en-US" w:eastAsia="zh-CN"/>
        </w:rPr>
        <w:t>2.验收由甲方组织相关人员进行验收，费用由乙方承担。</w:t>
      </w:r>
    </w:p>
    <w:p w14:paraId="28FDE75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七、付款方式</w:t>
      </w:r>
    </w:p>
    <w:p w14:paraId="44B391A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合同生效及具备实施条件后7个工作日内支付合同价的40%，余款在项目验收合格后付清。（甲方付款前乙方应提供相应面额的发票，若因乙方未提供符合要求的发票造成延迟付款，相关责任由乙方承担）</w:t>
      </w:r>
    </w:p>
    <w:p w14:paraId="49FD594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bCs w:val="0"/>
          <w:color w:val="auto"/>
          <w:sz w:val="24"/>
          <w:lang w:val="en-US" w:eastAsia="zh-CN"/>
        </w:rPr>
      </w:pPr>
      <w:r>
        <w:rPr>
          <w:rFonts w:hint="eastAsia" w:ascii="仿宋" w:hAnsi="仿宋" w:eastAsia="仿宋" w:cs="仿宋"/>
          <w:b w:val="0"/>
          <w:bCs/>
          <w:color w:val="auto"/>
          <w:sz w:val="24"/>
          <w:lang w:val="en-US" w:eastAsia="zh-CN"/>
        </w:rPr>
        <w:t>注：在签订合同时，如乙方明确表示无需预付款或者主动要求降低预付款比例的，预付款比例以双方协商为准。</w:t>
      </w:r>
    </w:p>
    <w:p w14:paraId="324A3E7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八、履约保证金</w:t>
      </w:r>
    </w:p>
    <w:p w14:paraId="39AE992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bCs w:val="0"/>
          <w:color w:val="auto"/>
          <w:sz w:val="24"/>
          <w:lang w:val="en-US" w:eastAsia="zh-CN"/>
        </w:rPr>
      </w:pPr>
      <w:r>
        <w:rPr>
          <w:rFonts w:hint="eastAsia" w:ascii="仿宋" w:hAnsi="仿宋" w:eastAsia="仿宋" w:cs="仿宋"/>
          <w:b w:val="0"/>
          <w:bCs w:val="0"/>
          <w:i w:val="0"/>
          <w:iCs w:val="0"/>
          <w:color w:val="auto"/>
          <w:kern w:val="2"/>
          <w:sz w:val="24"/>
          <w:szCs w:val="24"/>
          <w:highlight w:val="none"/>
          <w:vertAlign w:val="baseline"/>
          <w:lang w:val="en-US" w:eastAsia="zh-CN" w:bidi="ar-SA"/>
        </w:rPr>
        <w:t>履约保证金按中标金额的1%计取，乙方在中标通知书发出后7个工作日内向甲方递交履约保证金（电汇/汇票/转账方式或银行保函方式），履约保证金待项目验收合格且无违约问题后30日内无息退回。</w:t>
      </w:r>
    </w:p>
    <w:p w14:paraId="54F2D8B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九、安全责任</w:t>
      </w:r>
    </w:p>
    <w:p w14:paraId="334B22B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bCs w:val="0"/>
          <w:color w:val="auto"/>
          <w:sz w:val="24"/>
          <w:lang w:val="en-US" w:eastAsia="zh-CN"/>
        </w:rPr>
      </w:pPr>
      <w:r>
        <w:rPr>
          <w:rFonts w:hint="eastAsia" w:ascii="仿宋" w:hAnsi="仿宋" w:eastAsia="仿宋" w:cs="仿宋"/>
          <w:b w:val="0"/>
          <w:bCs w:val="0"/>
          <w:i w:val="0"/>
          <w:iCs w:val="0"/>
          <w:color w:val="auto"/>
          <w:kern w:val="2"/>
          <w:sz w:val="24"/>
          <w:szCs w:val="24"/>
          <w:highlight w:val="none"/>
          <w:vertAlign w:val="baseline"/>
          <w:lang w:val="en-US" w:eastAsia="zh-CN" w:bidi="ar-SA"/>
        </w:rPr>
        <w:t>乙方必须按规定程序和安全文明施工有关要求进行施工，做好安全维护工作，施工过程中的各种意外。项目实施过程中遇有安全责任事由乙方自负，甲方不承担任何责任。</w:t>
      </w:r>
    </w:p>
    <w:bookmarkEnd w:id="69"/>
    <w:bookmarkEnd w:id="70"/>
    <w:bookmarkEnd w:id="71"/>
    <w:bookmarkEnd w:id="72"/>
    <w:bookmarkEnd w:id="78"/>
    <w:bookmarkEnd w:id="79"/>
    <w:bookmarkEnd w:id="80"/>
    <w:bookmarkEnd w:id="81"/>
    <w:bookmarkEnd w:id="82"/>
    <w:bookmarkEnd w:id="83"/>
    <w:bookmarkEnd w:id="84"/>
    <w:bookmarkEnd w:id="85"/>
    <w:p w14:paraId="7EFD885D">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rPr>
      </w:pPr>
      <w:bookmarkStart w:id="86" w:name="第四部分"/>
      <w:r>
        <w:rPr>
          <w:rFonts w:hint="eastAsia" w:ascii="仿宋" w:hAnsi="仿宋" w:eastAsia="仿宋" w:cs="仿宋"/>
          <w:b/>
          <w:bCs/>
          <w:color w:val="auto"/>
          <w:kern w:val="0"/>
          <w:sz w:val="24"/>
          <w:lang w:val="en-US" w:eastAsia="zh-CN"/>
        </w:rPr>
        <w:t>十、</w:t>
      </w:r>
      <w:r>
        <w:rPr>
          <w:rFonts w:hint="eastAsia" w:ascii="仿宋" w:hAnsi="仿宋" w:eastAsia="仿宋" w:cs="仿宋"/>
          <w:b/>
          <w:bCs/>
          <w:color w:val="auto"/>
          <w:kern w:val="0"/>
          <w:sz w:val="24"/>
        </w:rPr>
        <w:t>知识产权</w:t>
      </w:r>
    </w:p>
    <w:p w14:paraId="45A8C0E2">
      <w:pPr>
        <w:pStyle w:val="171"/>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kern w:val="0"/>
          <w:sz w:val="24"/>
        </w:rPr>
        <w:t>乙方应保证所提供的货物或其任何一部分均不会侵犯任何第三方的知识产权。</w:t>
      </w:r>
    </w:p>
    <w:p w14:paraId="1A074E32">
      <w:pPr>
        <w:pStyle w:val="171"/>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十一</w:t>
      </w:r>
      <w:r>
        <w:rPr>
          <w:rFonts w:hint="eastAsia" w:ascii="仿宋" w:hAnsi="仿宋" w:eastAsia="仿宋" w:cs="仿宋"/>
          <w:b/>
          <w:color w:val="auto"/>
          <w:sz w:val="24"/>
          <w:szCs w:val="24"/>
          <w:highlight w:val="none"/>
        </w:rPr>
        <w:t>、转包或分包</w:t>
      </w:r>
    </w:p>
    <w:p w14:paraId="33C0BEF3">
      <w:pPr>
        <w:pStyle w:val="171"/>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kern w:val="0"/>
          <w:sz w:val="24"/>
        </w:rPr>
        <w:t>本合同范围的</w:t>
      </w:r>
      <w:r>
        <w:rPr>
          <w:rFonts w:hint="eastAsia" w:ascii="仿宋" w:hAnsi="仿宋" w:eastAsia="仿宋" w:cs="仿宋"/>
          <w:b w:val="0"/>
          <w:bCs w:val="0"/>
          <w:color w:val="auto"/>
          <w:kern w:val="0"/>
          <w:sz w:val="24"/>
          <w:lang w:val="en-US" w:eastAsia="zh-CN"/>
        </w:rPr>
        <w:t>货物</w:t>
      </w:r>
      <w:r>
        <w:rPr>
          <w:rFonts w:hint="eastAsia" w:ascii="仿宋" w:hAnsi="仿宋" w:eastAsia="仿宋" w:cs="仿宋"/>
          <w:b w:val="0"/>
          <w:bCs w:val="0"/>
          <w:color w:val="auto"/>
          <w:kern w:val="0"/>
          <w:sz w:val="24"/>
        </w:rPr>
        <w:t>，应由乙方直接供应，不得转让他人供应</w:t>
      </w:r>
      <w:r>
        <w:rPr>
          <w:rFonts w:hint="eastAsia" w:ascii="仿宋" w:hAnsi="仿宋" w:eastAsia="仿宋" w:cs="仿宋"/>
          <w:color w:val="auto"/>
          <w:sz w:val="24"/>
          <w:szCs w:val="24"/>
          <w:highlight w:val="none"/>
        </w:rPr>
        <w:t>；</w:t>
      </w:r>
    </w:p>
    <w:p w14:paraId="066D9783">
      <w:pPr>
        <w:pStyle w:val="171"/>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val="0"/>
          <w:color w:val="auto"/>
          <w:kern w:val="0"/>
          <w:sz w:val="24"/>
          <w:lang w:val="en-US" w:eastAsia="zh-CN"/>
        </w:rPr>
        <w:t>除非得到甲方的书面同意，乙方不得将本合同范围的货物全部或部分分包给他人供应</w:t>
      </w:r>
      <w:r>
        <w:rPr>
          <w:rFonts w:hint="eastAsia" w:ascii="仿宋" w:hAnsi="仿宋" w:eastAsia="仿宋" w:cs="仿宋"/>
          <w:color w:val="auto"/>
          <w:sz w:val="24"/>
          <w:szCs w:val="24"/>
          <w:highlight w:val="none"/>
        </w:rPr>
        <w:t>；</w:t>
      </w:r>
    </w:p>
    <w:p w14:paraId="3B746D8B">
      <w:pPr>
        <w:pStyle w:val="171"/>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 w:val="0"/>
          <w:bCs w:val="0"/>
          <w:color w:val="auto"/>
          <w:kern w:val="0"/>
          <w:sz w:val="24"/>
          <w:lang w:val="en-US" w:eastAsia="zh-CN"/>
        </w:rPr>
        <w:t>如有转让和未经甲方同意的分包行为，甲方有权解除合同，并追究乙方的违约责任</w:t>
      </w:r>
      <w:r>
        <w:rPr>
          <w:rFonts w:hint="eastAsia" w:ascii="仿宋" w:hAnsi="仿宋" w:eastAsia="仿宋" w:cs="仿宋"/>
          <w:color w:val="auto"/>
          <w:sz w:val="24"/>
          <w:szCs w:val="24"/>
          <w:highlight w:val="none"/>
        </w:rPr>
        <w:t>。</w:t>
      </w:r>
    </w:p>
    <w:p w14:paraId="78C4DAE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十二、</w:t>
      </w:r>
      <w:r>
        <w:rPr>
          <w:rFonts w:hint="eastAsia" w:ascii="仿宋" w:hAnsi="仿宋" w:eastAsia="仿宋" w:cs="仿宋"/>
          <w:b/>
          <w:color w:val="auto"/>
          <w:sz w:val="24"/>
          <w:szCs w:val="24"/>
          <w:highlight w:val="none"/>
        </w:rPr>
        <w:t>违约责任</w:t>
      </w:r>
    </w:p>
    <w:p w14:paraId="0A62AD5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lang w:eastAsia="zh-CN"/>
        </w:rPr>
      </w:pPr>
      <w:bookmarkStart w:id="87" w:name="_Toc26807"/>
      <w:bookmarkStart w:id="88" w:name="_Toc30329"/>
      <w:bookmarkStart w:id="89" w:name="_Toc18683"/>
      <w:bookmarkStart w:id="90" w:name="_Toc9497"/>
      <w:bookmarkStart w:id="91" w:name="_Toc32454"/>
      <w:r>
        <w:rPr>
          <w:rFonts w:hint="eastAsia" w:ascii="仿宋" w:hAnsi="仿宋" w:eastAsia="仿宋" w:cs="仿宋"/>
          <w:color w:val="auto"/>
          <w:sz w:val="24"/>
        </w:rPr>
        <w:t>1.甲方无正当理由拒收货物的，甲方向乙方偿付拒收货款总值的百分之一违约金</w:t>
      </w:r>
      <w:r>
        <w:rPr>
          <w:rFonts w:hint="eastAsia" w:ascii="仿宋" w:hAnsi="仿宋" w:eastAsia="仿宋" w:cs="仿宋"/>
          <w:color w:val="auto"/>
          <w:sz w:val="24"/>
          <w:lang w:eastAsia="zh-CN"/>
        </w:rPr>
        <w:t>；</w:t>
      </w:r>
    </w:p>
    <w:p w14:paraId="33180B4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2.甲方无故逾期验收和办理货款支付手续的，甲方应按逾期付款总额每日万分之五向乙方支付违约金</w:t>
      </w:r>
      <w:r>
        <w:rPr>
          <w:rFonts w:hint="eastAsia" w:ascii="仿宋" w:hAnsi="仿宋" w:eastAsia="仿宋" w:cs="仿宋"/>
          <w:color w:val="auto"/>
          <w:sz w:val="24"/>
          <w:lang w:eastAsia="zh-CN"/>
        </w:rPr>
        <w:t>；</w:t>
      </w:r>
    </w:p>
    <w:p w14:paraId="7D3937E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乙方逾期交付货物、安装调试的，乙方应按逾期交货总额每日百分之一向甲方支付违约金，由甲方从待付货款中扣除。逾期超过约定日期10个工作日不能交货与安装的，甲方可解除本合同。乙方因逾期交货或因其他违约行为导致甲方解除合同的，乙方应向甲方支付合同总值百分之五的违约金，如造成甲方损失超过违约金的，超出部分由乙方继续承担赔偿责任</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 </w:t>
      </w:r>
    </w:p>
    <w:p w14:paraId="0F7B1F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4.乙方所交的货物品种、型号、规格、技术参数、质量不符合合同规定及招标文件规定标准的，甲方有权拒收该货物，乙方愿意更换货物但逾期交货的，按乙方逾期交货处理。乙方拒绝更换货物的，甲方可单方面解除合同，由此造成的损失由乙方承担</w:t>
      </w:r>
      <w:r>
        <w:rPr>
          <w:rFonts w:hint="eastAsia" w:ascii="仿宋" w:hAnsi="仿宋" w:eastAsia="仿宋" w:cs="仿宋"/>
          <w:color w:val="auto"/>
          <w:sz w:val="24"/>
          <w:lang w:eastAsia="zh-CN"/>
        </w:rPr>
        <w:t>；</w:t>
      </w:r>
    </w:p>
    <w:p w14:paraId="50A51E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9F83E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bookmarkEnd w:id="87"/>
    <w:bookmarkEnd w:id="88"/>
    <w:bookmarkEnd w:id="89"/>
    <w:bookmarkEnd w:id="90"/>
    <w:bookmarkEnd w:id="91"/>
    <w:p w14:paraId="7B4DC75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十三、</w:t>
      </w:r>
      <w:r>
        <w:rPr>
          <w:rFonts w:hint="eastAsia" w:ascii="仿宋" w:hAnsi="仿宋" w:eastAsia="仿宋" w:cs="仿宋"/>
          <w:b/>
          <w:color w:val="auto"/>
          <w:sz w:val="24"/>
          <w:szCs w:val="24"/>
          <w:highlight w:val="none"/>
        </w:rPr>
        <w:t>不可抗力事件处理</w:t>
      </w:r>
    </w:p>
    <w:p w14:paraId="186C26BE">
      <w:pPr>
        <w:pStyle w:val="171"/>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在合同有效期内，任何一方因不可抗力事件导致不能履行合同，则合同履行期可延长，其延长期与不可抗力影响期相同。</w:t>
      </w:r>
    </w:p>
    <w:p w14:paraId="408200AD">
      <w:pPr>
        <w:pStyle w:val="171"/>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不可抗力事件发生后，应立即通知对方，并寄送有关权威机构出具的证明。</w:t>
      </w:r>
    </w:p>
    <w:p w14:paraId="3406A48F">
      <w:pPr>
        <w:keepNext w:val="0"/>
        <w:keepLines w:val="0"/>
        <w:pageBreakBefore w:val="0"/>
        <w:widowControl w:val="0"/>
        <w:kinsoku/>
        <w:wordWrap/>
        <w:overflowPunct/>
        <w:topLinePunct w:val="0"/>
        <w:autoSpaceDE/>
        <w:autoSpaceDN/>
        <w:bidi w:val="0"/>
        <w:adjustRightInd w:val="0"/>
        <w:snapToGrid/>
        <w:spacing w:line="360" w:lineRule="auto"/>
        <w:ind w:right="0" w:rightChars="0" w:firstLine="472"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color w:val="auto"/>
          <w:spacing w:val="-2"/>
          <w:sz w:val="24"/>
          <w:szCs w:val="24"/>
          <w:highlight w:val="none"/>
          <w:lang w:val="en-US" w:eastAsia="zh-CN"/>
        </w:rPr>
        <w:t>3.</w:t>
      </w:r>
      <w:r>
        <w:rPr>
          <w:rFonts w:hint="eastAsia" w:ascii="仿宋" w:hAnsi="仿宋" w:eastAsia="仿宋" w:cs="仿宋"/>
          <w:color w:val="auto"/>
          <w:spacing w:val="-2"/>
          <w:sz w:val="24"/>
          <w:szCs w:val="24"/>
          <w:highlight w:val="none"/>
        </w:rPr>
        <w:t>不可抗力事件延续120天以上，双方应通过友好协商，确定是否继续履行合同。</w:t>
      </w:r>
    </w:p>
    <w:p w14:paraId="4AF743D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十四、</w:t>
      </w:r>
      <w:r>
        <w:rPr>
          <w:rFonts w:hint="eastAsia" w:ascii="仿宋" w:hAnsi="仿宋" w:eastAsia="仿宋" w:cs="仿宋"/>
          <w:b/>
          <w:bCs/>
          <w:color w:val="auto"/>
          <w:kern w:val="0"/>
          <w:sz w:val="24"/>
        </w:rPr>
        <w:t>税费</w:t>
      </w:r>
    </w:p>
    <w:p w14:paraId="409D13C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color w:val="auto"/>
          <w:kern w:val="0"/>
          <w:sz w:val="24"/>
        </w:rPr>
        <w:t>本合同执行中相关的一切税费均由乙方负担。</w:t>
      </w:r>
    </w:p>
    <w:p w14:paraId="0E91C5D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十五、</w:t>
      </w:r>
      <w:r>
        <w:rPr>
          <w:rFonts w:hint="eastAsia" w:ascii="仿宋" w:hAnsi="仿宋" w:eastAsia="仿宋" w:cs="仿宋"/>
          <w:b/>
          <w:color w:val="auto"/>
          <w:sz w:val="24"/>
          <w:szCs w:val="24"/>
          <w:highlight w:val="none"/>
        </w:rPr>
        <w:t>合同争议的解决</w:t>
      </w:r>
    </w:p>
    <w:p w14:paraId="4B2568D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color w:val="auto"/>
          <w:sz w:val="24"/>
          <w:highlight w:val="none"/>
          <w:lang w:val="en-US" w:eastAsia="zh-CN"/>
        </w:rPr>
      </w:pPr>
      <w:bookmarkStart w:id="92" w:name="_Toc7245"/>
      <w:bookmarkStart w:id="93" w:name="_Toc15322"/>
      <w:bookmarkStart w:id="94" w:name="_Toc11173"/>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条款规定的方式解决:</w:t>
      </w:r>
    </w:p>
    <w:p w14:paraId="7781A97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1.将争议提交甲方所在地仲裁委员会依申请仲裁时其现行有效的仲裁规则裁决;</w:t>
      </w:r>
    </w:p>
    <w:p w14:paraId="3A94D1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2.向甲方所在地人民法院起诉。</w:t>
      </w:r>
    </w:p>
    <w:p w14:paraId="61DBF79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十六、</w:t>
      </w:r>
      <w:r>
        <w:rPr>
          <w:rFonts w:hint="eastAsia" w:ascii="仿宋" w:hAnsi="仿宋" w:eastAsia="仿宋" w:cs="仿宋"/>
          <w:b/>
          <w:color w:val="auto"/>
          <w:sz w:val="24"/>
          <w:szCs w:val="24"/>
          <w:highlight w:val="none"/>
        </w:rPr>
        <w:t>合同生效及其它</w:t>
      </w:r>
    </w:p>
    <w:p w14:paraId="67FBA091">
      <w:pPr>
        <w:pStyle w:val="171"/>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合同经双方法定代表人或授权代表签字并加盖单位公章后生效。</w:t>
      </w:r>
    </w:p>
    <w:p w14:paraId="236841A0">
      <w:pPr>
        <w:pStyle w:val="171"/>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本合同未尽事宜，遵照《</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》有关条文执行。</w:t>
      </w:r>
    </w:p>
    <w:p w14:paraId="6B4ACF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本合同正本一式肆份，具有同等法律效力，甲乙双方各执贰份。</w:t>
      </w:r>
    </w:p>
    <w:bookmarkEnd w:id="92"/>
    <w:bookmarkEnd w:id="93"/>
    <w:bookmarkEnd w:id="94"/>
    <w:p w14:paraId="1EA7FDB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十七、未尽事宜</w:t>
      </w:r>
    </w:p>
    <w:p w14:paraId="6CC3679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本合同若有未尽事宜，双方同意通过友好协商并签署书面文件确定。</w:t>
      </w:r>
    </w:p>
    <w:p w14:paraId="397FE47E">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b/>
          <w:color w:val="auto"/>
          <w:sz w:val="24"/>
          <w:highlight w:val="none"/>
          <w:lang w:val="en-US" w:eastAsia="zh-CN"/>
        </w:rPr>
      </w:pPr>
    </w:p>
    <w:p w14:paraId="48A8468C">
      <w:pPr>
        <w:keepNext w:val="0"/>
        <w:keepLines w:val="0"/>
        <w:pageBreakBefore w:val="0"/>
        <w:widowControl w:val="0"/>
        <w:kinsoku/>
        <w:wordWrap/>
        <w:overflowPunct/>
        <w:topLinePunct w:val="0"/>
        <w:autoSpaceDE w:val="0"/>
        <w:autoSpaceDN w:val="0"/>
        <w:bidi w:val="0"/>
        <w:adjustRightInd w:val="0"/>
        <w:snapToGrid/>
        <w:spacing w:before="313" w:beforeLines="100" w:line="480" w:lineRule="auto"/>
        <w:ind w:left="0" w:leftChars="0" w:right="0" w:rightChars="0"/>
        <w:textAlignment w:val="auto"/>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 xml:space="preserve">甲方：                              </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lang w:val="zh-CN"/>
        </w:rPr>
        <w:t>乙方：</w:t>
      </w:r>
    </w:p>
    <w:p w14:paraId="1679528A">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71556AE">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77A82FB7">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897B9D7">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2B01C16">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电话:                                    电话: </w:t>
      </w:r>
    </w:p>
    <w:p w14:paraId="071D1BA1">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7A6B5BED">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0944F72">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6D84C625">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61DE79B9">
      <w:pPr>
        <w:spacing w:line="336" w:lineRule="auto"/>
        <w:jc w:val="center"/>
        <w:rPr>
          <w:rFonts w:hint="eastAsia" w:ascii="仿宋" w:hAnsi="仿宋" w:eastAsia="仿宋" w:cs="仿宋"/>
          <w:b/>
          <w:color w:val="auto"/>
          <w:kern w:val="0"/>
          <w:sz w:val="24"/>
        </w:rPr>
      </w:pPr>
      <w:r>
        <w:rPr>
          <w:rFonts w:hint="eastAsia" w:ascii="仿宋" w:hAnsi="仿宋" w:eastAsia="仿宋" w:cs="仿宋"/>
          <w:b/>
          <w:color w:val="auto"/>
          <w:sz w:val="36"/>
          <w:szCs w:val="20"/>
        </w:rPr>
        <w:t xml:space="preserve">第六部分 </w:t>
      </w:r>
      <w:r>
        <w:rPr>
          <w:rFonts w:hint="eastAsia" w:ascii="仿宋" w:hAnsi="仿宋" w:eastAsia="仿宋" w:cs="仿宋"/>
          <w:b/>
          <w:color w:val="auto"/>
          <w:sz w:val="36"/>
          <w:szCs w:val="20"/>
          <w:lang w:val="en-US"/>
        </w:rPr>
        <w:t>磋商响应文件及其附件格式</w:t>
      </w:r>
    </w:p>
    <w:p w14:paraId="6960035D">
      <w:pPr>
        <w:pStyle w:val="75"/>
        <w:spacing w:line="336" w:lineRule="auto"/>
        <w:ind w:left="0"/>
        <w:rPr>
          <w:rFonts w:hint="eastAsia" w:ascii="仿宋" w:hAnsi="仿宋" w:eastAsia="仿宋" w:cs="仿宋"/>
          <w:b/>
          <w:color w:val="auto"/>
          <w:sz w:val="24"/>
        </w:rPr>
      </w:pPr>
    </w:p>
    <w:p w14:paraId="1D55B542">
      <w:pPr>
        <w:spacing w:line="336" w:lineRule="auto"/>
        <w:rPr>
          <w:rFonts w:hint="eastAsia" w:ascii="仿宋" w:hAnsi="仿宋" w:eastAsia="仿宋" w:cs="仿宋"/>
          <w:b/>
          <w:color w:val="auto"/>
          <w:kern w:val="0"/>
          <w:sz w:val="24"/>
        </w:rPr>
      </w:pPr>
    </w:p>
    <w:p w14:paraId="1B3D0DD1">
      <w:pPr>
        <w:pStyle w:val="74"/>
        <w:spacing w:line="336" w:lineRule="auto"/>
        <w:rPr>
          <w:rFonts w:hint="eastAsia" w:ascii="仿宋" w:hAnsi="仿宋" w:eastAsia="仿宋" w:cs="仿宋"/>
          <w:color w:val="auto"/>
        </w:rPr>
      </w:pPr>
    </w:p>
    <w:bookmarkEnd w:id="86"/>
    <w:p w14:paraId="5077CF79">
      <w:pPr>
        <w:spacing w:line="336"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74BE1E77">
      <w:pPr>
        <w:spacing w:line="336"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57B056E3">
      <w:pPr>
        <w:spacing w:line="336" w:lineRule="auto"/>
        <w:jc w:val="center"/>
        <w:outlineLvl w:val="0"/>
        <w:rPr>
          <w:rFonts w:hint="eastAsia" w:ascii="仿宋" w:hAnsi="仿宋" w:eastAsia="仿宋" w:cs="仿宋"/>
          <w:b/>
          <w:color w:val="auto"/>
          <w:kern w:val="0"/>
          <w:sz w:val="36"/>
          <w:szCs w:val="36"/>
        </w:rPr>
      </w:pPr>
    </w:p>
    <w:p w14:paraId="0B88E73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营业执照扫描件</w:t>
      </w:r>
      <w:r>
        <w:rPr>
          <w:rFonts w:hint="eastAsia" w:ascii="仿宋" w:hAnsi="仿宋" w:eastAsia="仿宋" w:cs="仿宋"/>
          <w:color w:val="auto"/>
          <w:sz w:val="24"/>
        </w:rPr>
        <w:t>…………………………………………………………………（页码）</w:t>
      </w:r>
    </w:p>
    <w:p w14:paraId="2FE468D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w:t>
      </w:r>
      <w:r>
        <w:rPr>
          <w:rFonts w:hint="eastAsia" w:ascii="仿宋" w:hAnsi="仿宋" w:eastAsia="仿宋" w:cs="仿宋"/>
          <w:color w:val="auto"/>
          <w:sz w:val="24"/>
          <w:highlight w:val="none"/>
        </w:rPr>
        <w:t>法定代表人身份证明书</w:t>
      </w:r>
      <w:r>
        <w:rPr>
          <w:rFonts w:hint="eastAsia" w:ascii="仿宋" w:hAnsi="仿宋" w:eastAsia="仿宋" w:cs="仿宋"/>
          <w:color w:val="auto"/>
          <w:sz w:val="24"/>
        </w:rPr>
        <w:t>…………………………………………………………（页码）</w:t>
      </w:r>
    </w:p>
    <w:p w14:paraId="3BFBB4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lang w:eastAsia="zh-CN"/>
        </w:rPr>
      </w:pPr>
      <w:r>
        <w:rPr>
          <w:rFonts w:hint="eastAsia" w:ascii="仿宋" w:hAnsi="仿宋" w:eastAsia="仿宋" w:cs="仿宋"/>
          <w:color w:val="auto"/>
          <w:sz w:val="24"/>
        </w:rPr>
        <w:t>（3）</w:t>
      </w:r>
      <w:r>
        <w:rPr>
          <w:rFonts w:hint="eastAsia" w:ascii="仿宋" w:hAnsi="仿宋" w:eastAsia="仿宋" w:cs="仿宋"/>
          <w:color w:val="auto"/>
          <w:sz w:val="24"/>
          <w:highlight w:val="none"/>
        </w:rPr>
        <w:t>法定代表人授权委托书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授权代表社保证明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hAnsi="仿宋" w:eastAsia="仿宋" w:cs="仿宋"/>
          <w:color w:val="auto"/>
          <w:sz w:val="24"/>
        </w:rPr>
        <w:t>……………………（页码）</w:t>
      </w:r>
    </w:p>
    <w:p w14:paraId="57C7F4E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highlight w:val="none"/>
          <w:lang w:eastAsia="zh-CN"/>
        </w:rPr>
        <w:t>符合参加政府采购活动应当具备的一般条件的承诺函</w:t>
      </w:r>
      <w:r>
        <w:rPr>
          <w:rFonts w:hint="eastAsia" w:ascii="仿宋" w:hAnsi="仿宋" w:eastAsia="仿宋" w:cs="仿宋"/>
          <w:color w:val="auto"/>
          <w:sz w:val="24"/>
        </w:rPr>
        <w:t>………………………（页码）</w:t>
      </w:r>
    </w:p>
    <w:p w14:paraId="226F036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中小企业声明函（或监狱企业声明函及其相关的充分的证明材料或残疾人福利性单位声明函）</w:t>
      </w:r>
      <w:r>
        <w:rPr>
          <w:rFonts w:hint="eastAsia" w:ascii="仿宋" w:hAnsi="仿宋" w:eastAsia="仿宋" w:cs="仿宋"/>
          <w:color w:val="auto"/>
          <w:sz w:val="24"/>
        </w:rPr>
        <w:t>…………………………………………………………………………（页码）</w:t>
      </w:r>
    </w:p>
    <w:p w14:paraId="1AC2CF77">
      <w:pPr>
        <w:spacing w:line="336" w:lineRule="auto"/>
        <w:rPr>
          <w:rFonts w:hint="eastAsia" w:ascii="仿宋" w:hAnsi="仿宋" w:eastAsia="仿宋" w:cs="仿宋"/>
          <w:b w:val="0"/>
          <w:bCs/>
          <w:color w:val="auto"/>
          <w:sz w:val="24"/>
        </w:rPr>
      </w:pP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6</w:t>
      </w:r>
      <w:r>
        <w:rPr>
          <w:rFonts w:hint="eastAsia" w:ascii="仿宋" w:hAnsi="仿宋" w:eastAsia="仿宋" w:cs="仿宋"/>
          <w:b w:val="0"/>
          <w:bCs/>
          <w:color w:val="auto"/>
          <w:sz w:val="24"/>
          <w:highlight w:val="none"/>
          <w:lang w:eastAsia="zh-CN"/>
        </w:rPr>
        <w:t>）本项目的特定资格要求（</w:t>
      </w:r>
      <w:r>
        <w:rPr>
          <w:rFonts w:hint="eastAsia" w:ascii="仿宋" w:hAnsi="仿宋" w:eastAsia="仿宋" w:cs="仿宋"/>
          <w:b w:val="0"/>
          <w:bCs/>
          <w:color w:val="auto"/>
          <w:sz w:val="24"/>
          <w:highlight w:val="none"/>
          <w:lang w:val="en-US" w:eastAsia="zh-CN"/>
        </w:rPr>
        <w:t>若有</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rPr>
        <w:t>………………………………………………（页码）</w:t>
      </w:r>
    </w:p>
    <w:p w14:paraId="7980369E">
      <w:pPr>
        <w:spacing w:line="336" w:lineRule="auto"/>
        <w:rPr>
          <w:rFonts w:hint="eastAsia" w:ascii="仿宋" w:hAnsi="仿宋" w:eastAsia="仿宋" w:cs="仿宋"/>
          <w:b w:val="0"/>
          <w:bCs/>
          <w:color w:val="auto"/>
          <w:sz w:val="24"/>
        </w:rPr>
      </w:pPr>
    </w:p>
    <w:p w14:paraId="0148A1D1">
      <w:pPr>
        <w:spacing w:line="336" w:lineRule="auto"/>
        <w:rPr>
          <w:rFonts w:hint="eastAsia" w:ascii="仿宋" w:hAnsi="仿宋" w:eastAsia="仿宋" w:cs="仿宋"/>
          <w:b w:val="0"/>
          <w:bCs/>
          <w:color w:val="auto"/>
          <w:sz w:val="24"/>
        </w:rPr>
      </w:pPr>
    </w:p>
    <w:p w14:paraId="684049F4">
      <w:pPr>
        <w:spacing w:line="336" w:lineRule="auto"/>
        <w:rPr>
          <w:rFonts w:hint="eastAsia" w:ascii="仿宋" w:hAnsi="仿宋" w:eastAsia="仿宋" w:cs="仿宋"/>
          <w:color w:val="auto"/>
          <w:sz w:val="24"/>
        </w:rPr>
      </w:pPr>
      <w:r>
        <w:rPr>
          <w:rFonts w:hint="eastAsia" w:ascii="仿宋" w:hAnsi="仿宋" w:eastAsia="仿宋" w:cs="仿宋"/>
          <w:b/>
          <w:bCs/>
          <w:color w:val="auto"/>
          <w:sz w:val="22"/>
          <w:szCs w:val="22"/>
          <w:highlight w:val="none"/>
          <w:lang w:val="en-US" w:eastAsia="zh-CN"/>
        </w:rPr>
        <w:t>注：</w:t>
      </w:r>
      <w:r>
        <w:rPr>
          <w:rFonts w:hint="eastAsia" w:ascii="仿宋" w:hAnsi="仿宋" w:eastAsia="仿宋" w:cs="仿宋"/>
          <w:b/>
          <w:bCs/>
          <w:color w:val="auto"/>
          <w:sz w:val="22"/>
          <w:szCs w:val="22"/>
          <w:highlight w:val="none"/>
          <w:lang w:eastAsia="zh-CN"/>
        </w:rPr>
        <w:fldChar w:fldCharType="begin"/>
      </w:r>
      <w:r>
        <w:rPr>
          <w:rFonts w:hint="eastAsia" w:ascii="仿宋" w:hAnsi="仿宋" w:eastAsia="仿宋" w:cs="仿宋"/>
          <w:b/>
          <w:bCs/>
          <w:color w:val="auto"/>
          <w:sz w:val="22"/>
          <w:szCs w:val="22"/>
          <w:highlight w:val="none"/>
          <w:lang w:eastAsia="zh-CN"/>
        </w:rPr>
        <w:instrText xml:space="preserve"> HYPERLINK "mailto:在电子投标文件解密后，将《政府采购活动现场确认声明书》填写完成，通过邮箱554318517@qq.com以PDF格式传给代理公" </w:instrText>
      </w:r>
      <w:r>
        <w:rPr>
          <w:rFonts w:hint="eastAsia" w:ascii="仿宋" w:hAnsi="仿宋" w:eastAsia="仿宋" w:cs="仿宋"/>
          <w:b/>
          <w:bCs/>
          <w:color w:val="auto"/>
          <w:sz w:val="22"/>
          <w:szCs w:val="22"/>
          <w:highlight w:val="none"/>
          <w:lang w:eastAsia="zh-CN"/>
        </w:rPr>
        <w:fldChar w:fldCharType="separate"/>
      </w:r>
      <w:r>
        <w:rPr>
          <w:rStyle w:val="70"/>
          <w:rFonts w:hint="eastAsia" w:ascii="仿宋" w:hAnsi="仿宋" w:eastAsia="仿宋" w:cs="仿宋"/>
          <w:b/>
          <w:bCs/>
          <w:color w:val="auto"/>
          <w:sz w:val="22"/>
          <w:szCs w:val="22"/>
          <w:highlight w:val="none"/>
          <w:lang w:eastAsia="zh-CN"/>
        </w:rPr>
        <w:t>在电子</w:t>
      </w:r>
      <w:r>
        <w:rPr>
          <w:rStyle w:val="70"/>
          <w:rFonts w:hint="eastAsia" w:ascii="仿宋" w:hAnsi="仿宋" w:eastAsia="仿宋" w:cs="仿宋"/>
          <w:b/>
          <w:bCs/>
          <w:color w:val="auto"/>
          <w:sz w:val="22"/>
          <w:szCs w:val="22"/>
          <w:highlight w:val="none"/>
          <w:lang w:val="en-US" w:eastAsia="zh-CN"/>
        </w:rPr>
        <w:t>响应</w:t>
      </w:r>
      <w:r>
        <w:rPr>
          <w:rStyle w:val="70"/>
          <w:rFonts w:hint="eastAsia" w:ascii="仿宋" w:hAnsi="仿宋" w:eastAsia="仿宋" w:cs="仿宋"/>
          <w:b/>
          <w:bCs/>
          <w:color w:val="auto"/>
          <w:sz w:val="22"/>
          <w:szCs w:val="22"/>
          <w:highlight w:val="none"/>
          <w:lang w:eastAsia="zh-CN"/>
        </w:rPr>
        <w:t>文件解密后，</w:t>
      </w:r>
      <w:r>
        <w:rPr>
          <w:rStyle w:val="70"/>
          <w:rFonts w:hint="eastAsia" w:ascii="仿宋" w:hAnsi="仿宋" w:eastAsia="仿宋" w:cs="仿宋"/>
          <w:b/>
          <w:bCs/>
          <w:color w:val="auto"/>
          <w:sz w:val="22"/>
          <w:szCs w:val="22"/>
          <w:highlight w:val="none"/>
          <w:lang w:val="en-US" w:eastAsia="zh-CN"/>
        </w:rPr>
        <w:t>磋商响应方</w:t>
      </w:r>
      <w:r>
        <w:rPr>
          <w:rStyle w:val="70"/>
          <w:rFonts w:hint="eastAsia" w:ascii="仿宋" w:hAnsi="仿宋" w:eastAsia="仿宋" w:cs="仿宋"/>
          <w:b/>
          <w:bCs/>
          <w:color w:val="auto"/>
          <w:sz w:val="22"/>
          <w:szCs w:val="22"/>
          <w:highlight w:val="none"/>
          <w:lang w:eastAsia="zh-CN"/>
        </w:rPr>
        <w:t>将《政府采购活动现场确认声明书》填写完成，通过邮箱554318517@qq.com以PDF格式传给代理</w:t>
      </w:r>
      <w:r>
        <w:rPr>
          <w:rFonts w:hint="eastAsia" w:ascii="仿宋" w:hAnsi="仿宋" w:eastAsia="仿宋" w:cs="仿宋"/>
          <w:b/>
          <w:bCs/>
          <w:color w:val="auto"/>
          <w:sz w:val="22"/>
          <w:szCs w:val="22"/>
          <w:highlight w:val="none"/>
          <w:lang w:val="en-US" w:eastAsia="zh-CN"/>
        </w:rPr>
        <w:t>机构</w:t>
      </w:r>
      <w:r>
        <w:rPr>
          <w:rFonts w:hint="eastAsia" w:ascii="仿宋" w:hAnsi="仿宋" w:eastAsia="仿宋" w:cs="仿宋"/>
          <w:b/>
          <w:bCs/>
          <w:color w:val="auto"/>
          <w:sz w:val="22"/>
          <w:szCs w:val="22"/>
          <w:highlight w:val="none"/>
          <w:lang w:eastAsia="zh-CN"/>
        </w:rPr>
        <w:fldChar w:fldCharType="end"/>
      </w:r>
      <w:r>
        <w:rPr>
          <w:rFonts w:hint="eastAsia" w:ascii="仿宋" w:hAnsi="仿宋" w:eastAsia="仿宋" w:cs="仿宋"/>
          <w:color w:val="auto"/>
          <w:szCs w:val="36"/>
        </w:rPr>
        <w:br w:type="page"/>
      </w:r>
    </w:p>
    <w:p w14:paraId="7A7E1E1F">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w:t>
      </w:r>
      <w:r>
        <w:rPr>
          <w:rFonts w:hint="eastAsia" w:ascii="仿宋" w:hAnsi="仿宋" w:eastAsia="仿宋" w:cs="仿宋"/>
          <w:b/>
          <w:color w:val="auto"/>
          <w:kern w:val="0"/>
          <w:sz w:val="32"/>
          <w:szCs w:val="32"/>
          <w:lang w:eastAsia="zh-CN"/>
        </w:rPr>
        <w:t>营业执照扫描件</w:t>
      </w:r>
    </w:p>
    <w:p w14:paraId="2AD45757">
      <w:pPr>
        <w:snapToGrid w:val="0"/>
        <w:spacing w:line="360" w:lineRule="auto"/>
        <w:ind w:right="480"/>
        <w:jc w:val="center"/>
        <w:rPr>
          <w:rFonts w:hint="eastAsia" w:ascii="仿宋" w:hAnsi="仿宋" w:eastAsia="仿宋" w:cs="仿宋"/>
          <w:b/>
          <w:color w:val="auto"/>
          <w:kern w:val="0"/>
          <w:sz w:val="32"/>
          <w:szCs w:val="32"/>
          <w:lang w:val="en-US" w:eastAsia="zh-CN"/>
        </w:rPr>
      </w:pPr>
    </w:p>
    <w:p w14:paraId="3C3CF0F7">
      <w:pPr>
        <w:snapToGrid w:val="0"/>
        <w:spacing w:line="360" w:lineRule="auto"/>
        <w:ind w:right="480"/>
        <w:jc w:val="center"/>
        <w:rPr>
          <w:rFonts w:hint="eastAsia" w:ascii="仿宋" w:hAnsi="仿宋" w:eastAsia="仿宋" w:cs="仿宋"/>
          <w:b/>
          <w:color w:val="auto"/>
          <w:kern w:val="0"/>
          <w:sz w:val="32"/>
          <w:szCs w:val="32"/>
          <w:lang w:val="en-US" w:eastAsia="zh-CN"/>
        </w:rPr>
      </w:pPr>
    </w:p>
    <w:p w14:paraId="1DA59982">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二、法定代表人身份证明书</w:t>
      </w:r>
    </w:p>
    <w:p w14:paraId="4E1D0F79">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41AAF79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3478B785">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6D357F05">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2310E4B1">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7EE9622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072B5EB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6C1D1B0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197086AD">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60C55F8E">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法定代表人（签字或盖章）：        </w:t>
      </w:r>
    </w:p>
    <w:p w14:paraId="42736C29">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highlight w:val="none"/>
        </w:rPr>
        <w:t>年   月   日</w:t>
      </w:r>
    </w:p>
    <w:p w14:paraId="5996E2DA">
      <w:pPr>
        <w:snapToGrid w:val="0"/>
        <w:spacing w:line="360" w:lineRule="auto"/>
        <w:ind w:right="480"/>
        <w:jc w:val="center"/>
        <w:rPr>
          <w:rFonts w:hint="eastAsia" w:ascii="仿宋" w:hAnsi="仿宋" w:eastAsia="仿宋" w:cs="仿宋"/>
          <w:b/>
          <w:color w:val="auto"/>
          <w:kern w:val="0"/>
          <w:sz w:val="32"/>
          <w:szCs w:val="32"/>
          <w:lang w:val="en-US" w:eastAsia="zh-CN"/>
        </w:rPr>
      </w:pPr>
    </w:p>
    <w:p w14:paraId="0695B6EF">
      <w:pPr>
        <w:snapToGrid w:val="0"/>
        <w:spacing w:line="360" w:lineRule="auto"/>
        <w:ind w:right="480"/>
        <w:jc w:val="center"/>
        <w:rPr>
          <w:rFonts w:hint="eastAsia" w:ascii="仿宋" w:hAnsi="仿宋" w:eastAsia="仿宋" w:cs="仿宋"/>
          <w:b/>
          <w:color w:val="auto"/>
          <w:kern w:val="0"/>
          <w:sz w:val="32"/>
          <w:szCs w:val="32"/>
          <w:lang w:val="en-US" w:eastAsia="zh-CN"/>
        </w:rPr>
      </w:pPr>
    </w:p>
    <w:p w14:paraId="4337E77B">
      <w:pPr>
        <w:snapToGrid w:val="0"/>
        <w:spacing w:line="360" w:lineRule="auto"/>
        <w:ind w:right="480"/>
        <w:jc w:val="center"/>
        <w:rPr>
          <w:rFonts w:hint="eastAsia" w:ascii="仿宋" w:hAnsi="仿宋" w:eastAsia="仿宋" w:cs="仿宋"/>
          <w:b/>
          <w:color w:val="auto"/>
          <w:kern w:val="0"/>
          <w:sz w:val="32"/>
          <w:szCs w:val="32"/>
          <w:lang w:val="en-US" w:eastAsia="zh-CN"/>
        </w:rPr>
      </w:pPr>
    </w:p>
    <w:p w14:paraId="68C85497">
      <w:pPr>
        <w:snapToGrid w:val="0"/>
        <w:spacing w:line="360" w:lineRule="auto"/>
        <w:ind w:right="480"/>
        <w:jc w:val="center"/>
        <w:rPr>
          <w:rFonts w:hint="eastAsia" w:ascii="仿宋" w:hAnsi="仿宋" w:eastAsia="仿宋" w:cs="仿宋"/>
          <w:b/>
          <w:color w:val="auto"/>
          <w:kern w:val="0"/>
          <w:sz w:val="32"/>
          <w:szCs w:val="32"/>
          <w:lang w:val="en-US" w:eastAsia="zh-CN"/>
        </w:rPr>
      </w:pPr>
    </w:p>
    <w:p w14:paraId="750FA6FB">
      <w:pPr>
        <w:snapToGrid w:val="0"/>
        <w:spacing w:line="360" w:lineRule="auto"/>
        <w:ind w:right="480"/>
        <w:jc w:val="center"/>
        <w:rPr>
          <w:rFonts w:hint="eastAsia" w:ascii="仿宋" w:hAnsi="仿宋" w:eastAsia="仿宋" w:cs="仿宋"/>
          <w:b/>
          <w:color w:val="auto"/>
          <w:kern w:val="0"/>
          <w:sz w:val="32"/>
          <w:szCs w:val="32"/>
          <w:lang w:val="en-US" w:eastAsia="zh-CN"/>
        </w:rPr>
      </w:pPr>
    </w:p>
    <w:p w14:paraId="7973D53E">
      <w:pPr>
        <w:snapToGrid w:val="0"/>
        <w:spacing w:line="360" w:lineRule="auto"/>
        <w:ind w:right="480"/>
        <w:jc w:val="center"/>
        <w:rPr>
          <w:rFonts w:hint="eastAsia" w:ascii="仿宋" w:hAnsi="仿宋" w:eastAsia="仿宋" w:cs="仿宋"/>
          <w:b/>
          <w:color w:val="auto"/>
          <w:kern w:val="0"/>
          <w:sz w:val="32"/>
          <w:szCs w:val="32"/>
          <w:lang w:val="en-US" w:eastAsia="zh-CN"/>
        </w:rPr>
      </w:pPr>
    </w:p>
    <w:p w14:paraId="4EB25740">
      <w:pPr>
        <w:snapToGrid w:val="0"/>
        <w:spacing w:line="360" w:lineRule="auto"/>
        <w:ind w:right="480"/>
        <w:jc w:val="center"/>
        <w:rPr>
          <w:rFonts w:hint="eastAsia" w:ascii="仿宋" w:hAnsi="仿宋" w:eastAsia="仿宋" w:cs="仿宋"/>
          <w:b/>
          <w:color w:val="auto"/>
          <w:kern w:val="0"/>
          <w:sz w:val="32"/>
          <w:szCs w:val="32"/>
          <w:lang w:val="en-US" w:eastAsia="zh-CN"/>
        </w:rPr>
      </w:pPr>
    </w:p>
    <w:p w14:paraId="0FCA65E7">
      <w:pPr>
        <w:snapToGrid w:val="0"/>
        <w:spacing w:line="360" w:lineRule="auto"/>
        <w:ind w:right="480"/>
        <w:jc w:val="center"/>
        <w:rPr>
          <w:rFonts w:hint="eastAsia" w:ascii="仿宋" w:hAnsi="仿宋" w:eastAsia="仿宋" w:cs="仿宋"/>
          <w:b/>
          <w:color w:val="auto"/>
          <w:kern w:val="0"/>
          <w:sz w:val="32"/>
          <w:szCs w:val="32"/>
          <w:lang w:val="en-US" w:eastAsia="zh-CN"/>
        </w:rPr>
      </w:pPr>
    </w:p>
    <w:p w14:paraId="1F711683">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5ABAAB4E">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三、法定代表人授权委托书及授权代表社保证明（若委托）</w:t>
      </w:r>
    </w:p>
    <w:p w14:paraId="4F633E82">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102ACBEE">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1394D3A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4F3B2ABB">
      <w:pPr>
        <w:snapToGrid w:val="0"/>
        <w:spacing w:line="600" w:lineRule="exact"/>
        <w:jc w:val="left"/>
        <w:rPr>
          <w:rFonts w:hint="eastAsia" w:ascii="仿宋" w:hAnsi="仿宋" w:eastAsia="仿宋" w:cs="仿宋"/>
          <w:color w:val="auto"/>
          <w:sz w:val="24"/>
        </w:rPr>
      </w:pPr>
    </w:p>
    <w:p w14:paraId="5209F2D3">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授权代表（签字或盖章）：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7555554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2E1ED704">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00E54B6D">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7E8769F4">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51D3477F">
      <w:pPr>
        <w:spacing w:line="360" w:lineRule="exact"/>
        <w:rPr>
          <w:rFonts w:hint="eastAsia" w:ascii="仿宋" w:hAnsi="仿宋" w:eastAsia="仿宋" w:cs="仿宋"/>
          <w:color w:val="auto"/>
          <w:sz w:val="24"/>
          <w:highlight w:val="none"/>
        </w:rPr>
      </w:pPr>
    </w:p>
    <w:p w14:paraId="1B8DC3DB">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78BB2245">
      <w:pPr>
        <w:snapToGrid w:val="0"/>
        <w:spacing w:line="360" w:lineRule="auto"/>
        <w:ind w:right="480"/>
        <w:jc w:val="both"/>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bCs/>
          <w:color w:val="auto"/>
          <w:sz w:val="24"/>
          <w:szCs w:val="24"/>
          <w:highlight w:val="none"/>
        </w:rPr>
        <w:t>附：法人身份证复印件及授权人身份证复印件。</w:t>
      </w:r>
    </w:p>
    <w:p w14:paraId="3B1AE21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6A43424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74D9658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24520D0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0C149981">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2F4A015A">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符合参加政府采购活动应当具备的一般条件的承诺函</w:t>
      </w:r>
    </w:p>
    <w:p w14:paraId="7E8B22F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嵊州市城北小学、</w:t>
      </w:r>
      <w:r>
        <w:rPr>
          <w:rFonts w:hint="eastAsia" w:ascii="仿宋" w:hAnsi="仿宋" w:eastAsia="仿宋" w:cs="仿宋"/>
          <w:color w:val="auto"/>
          <w:sz w:val="24"/>
        </w:rPr>
        <w:t>绍兴平准招标代理有限公司：</w:t>
      </w:r>
    </w:p>
    <w:p w14:paraId="64CA878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lang w:val="en-US" w:eastAsia="zh-CN"/>
        </w:rPr>
        <w:t xml:space="preserve"> 全市义务教育学校提升工程-城北小学改建工程环境提升校园文化建设 </w:t>
      </w:r>
      <w:r>
        <w:rPr>
          <w:rFonts w:hint="eastAsia" w:ascii="仿宋" w:hAnsi="仿宋" w:eastAsia="仿宋" w:cs="仿宋"/>
          <w:color w:val="auto"/>
          <w:sz w:val="24"/>
          <w:lang w:eastAsia="zh-CN"/>
        </w:rPr>
        <w:t>（项目名称）</w:t>
      </w:r>
      <w:r>
        <w:rPr>
          <w:rFonts w:hint="eastAsia" w:ascii="仿宋" w:hAnsi="仿宋" w:eastAsia="仿宋" w:cs="仿宋"/>
          <w:color w:val="auto"/>
          <w:sz w:val="24"/>
        </w:rPr>
        <w:t>【</w:t>
      </w: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w:t>
      </w:r>
      <w:r>
        <w:rPr>
          <w:rFonts w:hint="eastAsia" w:ascii="仿宋" w:hAnsi="仿宋" w:eastAsia="仿宋" w:cs="仿宋"/>
          <w:color w:val="auto"/>
          <w:sz w:val="24"/>
          <w:lang w:eastAsia="zh-CN"/>
        </w:rPr>
        <w:t>SXPZ-F20240724CKY</w:t>
      </w:r>
      <w:r>
        <w:rPr>
          <w:rFonts w:hint="eastAsia" w:ascii="仿宋" w:hAnsi="仿宋" w:eastAsia="仿宋" w:cs="仿宋"/>
          <w:color w:val="auto"/>
          <w:sz w:val="24"/>
        </w:rPr>
        <w:t>】政府采购活动，郑重承诺：</w:t>
      </w:r>
    </w:p>
    <w:p w14:paraId="4AA5DF65">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70706F3F">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1、具有独立承担民事责任的能力</w:t>
      </w:r>
      <w:r>
        <w:rPr>
          <w:rFonts w:hint="eastAsia" w:ascii="仿宋" w:hAnsi="仿宋" w:eastAsia="仿宋" w:cs="仿宋"/>
          <w:color w:val="auto"/>
          <w:sz w:val="24"/>
          <w:highlight w:val="none"/>
        </w:rPr>
        <w:t>（如</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0F5DBA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544FEE1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2921B8F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4EF61C8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61E033C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02BEA01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4A7BE05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4A8EFC0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0FB8EE4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65E27AC6">
      <w:pPr>
        <w:snapToGrid w:val="0"/>
        <w:spacing w:line="360" w:lineRule="auto"/>
        <w:ind w:firstLine="5520" w:firstLineChars="2300"/>
        <w:rPr>
          <w:rFonts w:hint="eastAsia" w:ascii="仿宋" w:hAnsi="仿宋" w:eastAsia="仿宋" w:cs="仿宋"/>
          <w:color w:val="auto"/>
          <w:kern w:val="0"/>
          <w:sz w:val="24"/>
          <w:lang w:val="zh-CN"/>
        </w:rPr>
      </w:pPr>
    </w:p>
    <w:p w14:paraId="509FC2E1">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名称(电子签名)：</w:t>
      </w:r>
    </w:p>
    <w:p w14:paraId="519B80E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58BDC9BC">
      <w:pPr>
        <w:snapToGrid w:val="0"/>
        <w:spacing w:line="360" w:lineRule="auto"/>
        <w:ind w:right="480"/>
        <w:jc w:val="both"/>
        <w:rPr>
          <w:rFonts w:hint="eastAsia" w:ascii="仿宋" w:hAnsi="仿宋" w:eastAsia="仿宋" w:cs="仿宋"/>
          <w:b/>
          <w:color w:val="auto"/>
          <w:kern w:val="0"/>
          <w:sz w:val="32"/>
          <w:szCs w:val="32"/>
        </w:rPr>
      </w:pPr>
    </w:p>
    <w:p w14:paraId="34EEF22D">
      <w:pPr>
        <w:widowControl/>
        <w:spacing w:line="360" w:lineRule="auto"/>
        <w:jc w:val="center"/>
        <w:rPr>
          <w:rFonts w:hint="eastAsia" w:ascii="仿宋" w:hAnsi="仿宋" w:eastAsia="仿宋" w:cs="仿宋"/>
          <w:b/>
          <w:color w:val="auto"/>
          <w:kern w:val="0"/>
          <w:sz w:val="32"/>
          <w:szCs w:val="32"/>
          <w:lang w:val="en-US" w:eastAsia="zh-CN"/>
        </w:rPr>
      </w:pPr>
    </w:p>
    <w:p w14:paraId="1298D52E">
      <w:pPr>
        <w:widowControl/>
        <w:spacing w:line="360" w:lineRule="auto"/>
        <w:ind w:left="150"/>
        <w:jc w:val="center"/>
        <w:rPr>
          <w:rFonts w:hint="eastAsia" w:ascii="仿宋" w:hAnsi="仿宋" w:eastAsia="仿宋" w:cs="仿宋"/>
          <w:color w:val="auto"/>
          <w:sz w:val="32"/>
          <w:szCs w:val="32"/>
        </w:rPr>
      </w:pPr>
      <w:r>
        <w:rPr>
          <w:rFonts w:hint="eastAsia" w:ascii="仿宋" w:hAnsi="仿宋" w:eastAsia="仿宋" w:cs="仿宋"/>
          <w:b/>
          <w:bCs w:val="0"/>
          <w:color w:val="auto"/>
          <w:kern w:val="0"/>
          <w:sz w:val="32"/>
          <w:szCs w:val="32"/>
          <w:lang w:val="en-US" w:eastAsia="zh-CN"/>
        </w:rPr>
        <w:t>五、</w:t>
      </w:r>
      <w:r>
        <w:rPr>
          <w:rFonts w:hint="eastAsia" w:ascii="仿宋" w:hAnsi="仿宋" w:eastAsia="仿宋" w:cs="仿宋"/>
          <w:b/>
          <w:bCs w:val="0"/>
          <w:color w:val="auto"/>
          <w:sz w:val="32"/>
          <w:szCs w:val="32"/>
        </w:rPr>
        <w:t>中小企业声明函</w:t>
      </w:r>
    </w:p>
    <w:p w14:paraId="36E5E819">
      <w:pPr>
        <w:widowControl/>
        <w:spacing w:line="360" w:lineRule="auto"/>
        <w:ind w:firstLine="120" w:firstLineChars="50"/>
        <w:jc w:val="left"/>
        <w:rPr>
          <w:rFonts w:hint="eastAsia" w:ascii="仿宋" w:hAnsi="仿宋" w:eastAsia="仿宋" w:cs="仿宋"/>
          <w:color w:val="auto"/>
          <w:lang w:eastAsia="zh-CN"/>
        </w:rPr>
      </w:pPr>
      <w:r>
        <w:rPr>
          <w:rFonts w:hint="eastAsia" w:ascii="仿宋" w:hAnsi="仿宋" w:eastAsia="仿宋" w:cs="仿宋"/>
          <w:b/>
          <w:color w:val="auto"/>
          <w:sz w:val="24"/>
        </w:rPr>
        <w:t>[</w:t>
      </w:r>
      <w:r>
        <w:rPr>
          <w:rFonts w:hint="eastAsia" w:ascii="仿宋" w:hAnsi="仿宋" w:eastAsia="仿宋" w:cs="仿宋"/>
          <w:b/>
          <w:color w:val="auto"/>
          <w:sz w:val="24"/>
          <w:lang w:val="en-US" w:eastAsia="zh-CN"/>
        </w:rPr>
        <w:t>本项目</w:t>
      </w:r>
      <w:r>
        <w:rPr>
          <w:rFonts w:hint="eastAsia" w:ascii="仿宋" w:hAnsi="仿宋" w:eastAsia="仿宋" w:cs="仿宋"/>
          <w:b/>
          <w:color w:val="auto"/>
          <w:sz w:val="24"/>
        </w:rPr>
        <w:t>招标公告落实政府采购政策需满足的资格要求为专门面向中小企业，需提供中小企业声明函（附件</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w:t>
      </w:r>
    </w:p>
    <w:p w14:paraId="4F7D7A34">
      <w:pPr>
        <w:widowControl/>
        <w:spacing w:line="360" w:lineRule="auto"/>
        <w:ind w:firstLine="161" w:firstLineChars="50"/>
        <w:jc w:val="center"/>
        <w:rPr>
          <w:rFonts w:hint="eastAsia" w:ascii="仿宋" w:hAnsi="仿宋" w:eastAsia="仿宋" w:cs="仿宋"/>
          <w:b/>
          <w:color w:val="auto"/>
          <w:sz w:val="32"/>
          <w:szCs w:val="32"/>
          <w:lang w:eastAsia="zh-CN"/>
        </w:rPr>
      </w:pPr>
    </w:p>
    <w:p w14:paraId="4B5C96CE">
      <w:pPr>
        <w:widowControl/>
        <w:spacing w:line="360" w:lineRule="auto"/>
        <w:jc w:val="both"/>
        <w:rPr>
          <w:rFonts w:hint="eastAsia" w:ascii="仿宋" w:hAnsi="仿宋" w:eastAsia="仿宋" w:cs="仿宋"/>
          <w:b/>
          <w:color w:val="auto"/>
          <w:sz w:val="32"/>
          <w:szCs w:val="32"/>
          <w:lang w:eastAsia="zh-CN"/>
        </w:rPr>
      </w:pPr>
    </w:p>
    <w:p w14:paraId="5476B38F">
      <w:pPr>
        <w:widowControl/>
        <w:spacing w:line="360" w:lineRule="auto"/>
        <w:ind w:firstLine="161" w:firstLineChars="50"/>
        <w:jc w:val="center"/>
        <w:rPr>
          <w:rFonts w:hint="eastAsia" w:ascii="仿宋" w:hAnsi="仿宋" w:eastAsia="仿宋" w:cs="仿宋"/>
          <w:b/>
          <w:color w:val="auto"/>
          <w:sz w:val="32"/>
          <w:szCs w:val="32"/>
          <w:lang w:eastAsia="zh-CN"/>
        </w:rPr>
      </w:pPr>
    </w:p>
    <w:p w14:paraId="774CE99D">
      <w:pPr>
        <w:widowControl/>
        <w:spacing w:line="360" w:lineRule="auto"/>
        <w:ind w:firstLine="161"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残疾人福利性单位声明函（如果有）</w:t>
      </w:r>
    </w:p>
    <w:p w14:paraId="0063F83D">
      <w:pPr>
        <w:pStyle w:val="23"/>
        <w:widowControl/>
        <w:numPr>
          <w:ilvl w:val="0"/>
          <w:numId w:val="0"/>
        </w:numPr>
        <w:spacing w:line="360" w:lineRule="auto"/>
        <w:ind w:firstLine="120" w:firstLineChars="50"/>
        <w:jc w:val="left"/>
        <w:rPr>
          <w:rFonts w:hint="eastAsia" w:ascii="仿宋" w:hAnsi="仿宋" w:eastAsia="仿宋" w:cs="仿宋"/>
          <w:color w:val="auto"/>
          <w:kern w:val="2"/>
          <w:sz w:val="32"/>
          <w:szCs w:val="32"/>
          <w:lang w:val="en-US" w:eastAsia="zh-CN"/>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4</w:t>
      </w:r>
      <w:r>
        <w:rPr>
          <w:rFonts w:hint="eastAsia" w:ascii="仿宋" w:hAnsi="仿宋" w:eastAsia="仿宋" w:cs="仿宋"/>
          <w:b/>
          <w:color w:val="auto"/>
          <w:sz w:val="24"/>
          <w:lang w:eastAsia="zh-CN"/>
        </w:rPr>
        <w:t>)，否则不需要提供。]</w:t>
      </w:r>
    </w:p>
    <w:p w14:paraId="581EBE0F">
      <w:pPr>
        <w:pStyle w:val="118"/>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068704A3">
      <w:pPr>
        <w:pStyle w:val="118"/>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0F5580F3">
      <w:pPr>
        <w:pStyle w:val="118"/>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lang w:val="en-US" w:eastAsia="zh-CN"/>
        </w:rPr>
      </w:pPr>
    </w:p>
    <w:p w14:paraId="5F977B1E">
      <w:pPr>
        <w:pStyle w:val="118"/>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监狱企业声明函及其相关的充分的证明材料（如果有）</w:t>
      </w:r>
    </w:p>
    <w:p w14:paraId="1BF4DFB5">
      <w:pPr>
        <w:pStyle w:val="23"/>
        <w:widowControl/>
        <w:numPr>
          <w:ilvl w:val="0"/>
          <w:numId w:val="0"/>
        </w:numPr>
        <w:spacing w:line="360" w:lineRule="auto"/>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5</w:t>
      </w:r>
      <w:r>
        <w:rPr>
          <w:rFonts w:hint="eastAsia" w:ascii="仿宋" w:hAnsi="仿宋" w:eastAsia="仿宋" w:cs="仿宋"/>
          <w:b/>
          <w:color w:val="auto"/>
          <w:sz w:val="24"/>
          <w:lang w:eastAsia="zh-CN"/>
        </w:rPr>
        <w:t>)，否则不需要提供。]</w:t>
      </w:r>
    </w:p>
    <w:p w14:paraId="3720BBD9">
      <w:pPr>
        <w:widowControl/>
        <w:spacing w:line="360" w:lineRule="auto"/>
        <w:ind w:left="150"/>
        <w:jc w:val="center"/>
        <w:rPr>
          <w:rFonts w:hint="eastAsia" w:ascii="仿宋" w:hAnsi="仿宋" w:eastAsia="仿宋" w:cs="仿宋"/>
          <w:b/>
          <w:color w:val="auto"/>
          <w:kern w:val="0"/>
          <w:sz w:val="32"/>
          <w:szCs w:val="32"/>
          <w:lang w:eastAsia="zh-CN"/>
        </w:rPr>
      </w:pPr>
    </w:p>
    <w:p w14:paraId="32BC523B">
      <w:pPr>
        <w:widowControl/>
        <w:spacing w:line="360" w:lineRule="auto"/>
        <w:ind w:left="150"/>
        <w:jc w:val="center"/>
        <w:rPr>
          <w:rFonts w:hint="eastAsia" w:ascii="仿宋" w:hAnsi="仿宋" w:eastAsia="仿宋" w:cs="仿宋"/>
          <w:b/>
          <w:color w:val="auto"/>
          <w:kern w:val="0"/>
          <w:sz w:val="32"/>
          <w:szCs w:val="32"/>
          <w:lang w:eastAsia="zh-CN"/>
        </w:rPr>
      </w:pPr>
    </w:p>
    <w:p w14:paraId="3172B85D">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、本项目的特定资格要求</w:t>
      </w:r>
    </w:p>
    <w:p w14:paraId="0A91CB65">
      <w:p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24"/>
        </w:rPr>
        <w:t>（根据招标公告本项目的特定资格要求提供相应的材料</w:t>
      </w:r>
      <w:r>
        <w:rPr>
          <w:rFonts w:hint="eastAsia" w:ascii="仿宋" w:hAnsi="仿宋" w:eastAsia="仿宋" w:cs="仿宋"/>
          <w:b/>
          <w:bCs/>
          <w:color w:val="auto"/>
          <w:sz w:val="24"/>
          <w:highlight w:val="none"/>
        </w:rPr>
        <w:t>；未要求的，无需提供</w:t>
      </w:r>
      <w:r>
        <w:rPr>
          <w:rFonts w:hint="eastAsia" w:ascii="仿宋" w:hAnsi="仿宋" w:eastAsia="仿宋" w:cs="仿宋"/>
          <w:b/>
          <w:bCs/>
          <w:color w:val="auto"/>
          <w:sz w:val="24"/>
        </w:rPr>
        <w:t>）</w:t>
      </w:r>
    </w:p>
    <w:p w14:paraId="58C16DD8">
      <w:pPr>
        <w:snapToGrid w:val="0"/>
        <w:spacing w:line="336" w:lineRule="auto"/>
        <w:rPr>
          <w:rFonts w:hint="eastAsia" w:ascii="仿宋" w:hAnsi="仿宋" w:eastAsia="仿宋" w:cs="仿宋"/>
          <w:color w:val="auto"/>
          <w:kern w:val="0"/>
          <w:sz w:val="24"/>
          <w:lang w:val="zh-CN"/>
        </w:rPr>
      </w:pPr>
    </w:p>
    <w:p w14:paraId="4F1F8EAC">
      <w:pPr>
        <w:spacing w:line="336" w:lineRule="auto"/>
        <w:rPr>
          <w:rFonts w:hint="eastAsia" w:ascii="仿宋" w:hAnsi="仿宋" w:eastAsia="仿宋" w:cs="仿宋"/>
          <w:color w:val="auto"/>
          <w:kern w:val="0"/>
          <w:sz w:val="24"/>
          <w:lang w:val="zh-CN"/>
        </w:rPr>
      </w:pPr>
    </w:p>
    <w:p w14:paraId="37DCEDFC">
      <w:pPr>
        <w:pStyle w:val="74"/>
        <w:spacing w:line="336" w:lineRule="auto"/>
        <w:rPr>
          <w:rFonts w:hint="eastAsia" w:ascii="仿宋" w:hAnsi="仿宋" w:eastAsia="仿宋" w:cs="仿宋"/>
          <w:color w:val="auto"/>
          <w:lang w:val="zh-CN"/>
        </w:rPr>
      </w:pPr>
    </w:p>
    <w:p w14:paraId="567BA61A">
      <w:pPr>
        <w:pStyle w:val="635"/>
        <w:widowControl w:val="0"/>
        <w:snapToGrid w:val="0"/>
        <w:spacing w:line="500" w:lineRule="exact"/>
        <w:ind w:firstLine="0" w:firstLineChars="0"/>
        <w:jc w:val="center"/>
        <w:outlineLvl w:val="9"/>
        <w:rPr>
          <w:rFonts w:hint="eastAsia" w:ascii="仿宋" w:hAnsi="仿宋" w:eastAsia="仿宋" w:cs="仿宋"/>
          <w:color w:val="auto"/>
          <w:kern w:val="0"/>
          <w:sz w:val="24"/>
          <w:szCs w:val="24"/>
          <w:highlight w:val="none"/>
          <w:u w:val="single"/>
          <w:lang w:eastAsia="zh-CN"/>
        </w:rPr>
      </w:pPr>
      <w:r>
        <w:rPr>
          <w:rFonts w:hint="eastAsia" w:ascii="仿宋" w:hAnsi="仿宋" w:eastAsia="仿宋" w:cs="仿宋"/>
          <w:b/>
          <w:color w:val="auto"/>
          <w:kern w:val="0"/>
          <w:sz w:val="36"/>
          <w:szCs w:val="36"/>
        </w:rPr>
        <w:br w:type="page"/>
      </w:r>
      <w:r>
        <w:rPr>
          <w:rFonts w:hint="eastAsia" w:ascii="仿宋" w:hAnsi="仿宋" w:eastAsia="仿宋" w:cs="仿宋"/>
          <w:b/>
          <w:bCs/>
          <w:color w:val="auto"/>
          <w:sz w:val="28"/>
          <w:szCs w:val="28"/>
          <w:highlight w:val="none"/>
        </w:rPr>
        <w:t>政府采购活动现场确认声明书</w:t>
      </w:r>
    </w:p>
    <w:p w14:paraId="7821EAF3">
      <w:pPr>
        <w:pStyle w:val="635"/>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0" w:firstLineChars="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u w:val="single"/>
          <w:lang w:eastAsia="zh-CN"/>
        </w:rPr>
        <w:t>绍兴平准招标代理有限公司</w:t>
      </w:r>
      <w:r>
        <w:rPr>
          <w:rFonts w:hint="eastAsia" w:ascii="仿宋" w:hAnsi="仿宋" w:eastAsia="仿宋" w:cs="仿宋"/>
          <w:color w:val="auto"/>
          <w:kern w:val="0"/>
          <w:sz w:val="24"/>
          <w:szCs w:val="24"/>
          <w:highlight w:val="none"/>
        </w:rPr>
        <w:t>（采购组织机构名称）：</w:t>
      </w:r>
    </w:p>
    <w:p w14:paraId="56E0B460">
      <w:pPr>
        <w:pStyle w:val="635"/>
        <w:keepNext w:val="0"/>
        <w:keepLines w:val="0"/>
        <w:pageBreakBefore w:val="0"/>
        <w:kinsoku/>
        <w:wordWrap w:val="0"/>
        <w:overflowPunct/>
        <w:topLinePunct w:val="0"/>
        <w:autoSpaceDE/>
        <w:autoSpaceDN/>
        <w:bidi w:val="0"/>
        <w:adjustRightInd w:val="0"/>
        <w:spacing w:line="360" w:lineRule="auto"/>
        <w:ind w:firstLine="504"/>
        <w:textAlignment w:val="auto"/>
        <w:outlineLvl w:val="9"/>
        <w:rPr>
          <w:rFonts w:hint="eastAsia" w:ascii="仿宋" w:hAnsi="仿宋" w:eastAsia="仿宋" w:cs="仿宋"/>
          <w:b/>
          <w:bCs/>
          <w:color w:val="auto"/>
          <w:spacing w:val="6"/>
          <w:sz w:val="24"/>
          <w:szCs w:val="24"/>
          <w:highlight w:val="none"/>
          <w:u w:val="single"/>
        </w:rPr>
      </w:pPr>
      <w:r>
        <w:rPr>
          <w:rFonts w:hint="eastAsia" w:ascii="仿宋" w:hAnsi="仿宋" w:eastAsia="仿宋" w:cs="仿宋"/>
          <w:color w:val="auto"/>
          <w:spacing w:val="6"/>
          <w:sz w:val="24"/>
          <w:szCs w:val="24"/>
          <w:highlight w:val="none"/>
        </w:rPr>
        <w:t>本人经由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（单位）负责人</w:t>
      </w:r>
      <w:r>
        <w:rPr>
          <w:rFonts w:hint="eastAsia" w:ascii="仿宋" w:hAnsi="仿宋" w:eastAsia="仿宋" w:cs="仿宋"/>
          <w:color w:val="auto"/>
          <w:spacing w:val="6"/>
          <w:sz w:val="24"/>
          <w:szCs w:val="24"/>
          <w:highlight w:val="none"/>
          <w:u w:val="single"/>
        </w:rPr>
        <w:t xml:space="preserve">         （姓名）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u w:val="single"/>
          <w:lang w:eastAsia="zh-CN"/>
        </w:rPr>
        <w:t>全市义务教育学校提升工程-城北小学改建工程环境提升校园文化建设</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pacing w:val="6"/>
          <w:sz w:val="24"/>
          <w:szCs w:val="24"/>
          <w:highlight w:val="none"/>
          <w:u w:val="single"/>
          <w:lang w:eastAsia="zh-CN"/>
        </w:rPr>
        <w:t>SXPZ-F20240724CKY</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09C427BE">
      <w:pPr>
        <w:pStyle w:val="636"/>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 xml:space="preserve">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4F53EDF9">
      <w:pPr>
        <w:pStyle w:val="636"/>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A.投资关系    B.行政隶属关系    C.业务指导关系</w:t>
      </w:r>
    </w:p>
    <w:p w14:paraId="70BC81F7">
      <w:pPr>
        <w:pStyle w:val="636"/>
        <w:keepNext w:val="0"/>
        <w:keepLines w:val="0"/>
        <w:pageBreakBefore w:val="0"/>
        <w:widowControl/>
        <w:kinsoku/>
        <w:overflowPunct/>
        <w:topLinePunct w:val="0"/>
        <w:autoSpaceDE/>
        <w:autoSpaceDN/>
        <w:bidi w:val="0"/>
        <w:adjustRightInd w:val="0"/>
        <w:snapToGrid w:val="0"/>
        <w:spacing w:line="360" w:lineRule="auto"/>
        <w:ind w:firstLine="48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4480A63E">
      <w:pPr>
        <w:pStyle w:val="636"/>
        <w:keepNext w:val="0"/>
        <w:keepLines w:val="0"/>
        <w:pageBreakBefore w:val="0"/>
        <w:widowControl/>
        <w:kinsoku/>
        <w:overflowPunct/>
        <w:topLinePunct w:val="0"/>
        <w:autoSpaceDE/>
        <w:autoSpaceDN/>
        <w:bidi w:val="0"/>
        <w:adjustRightInd w:val="0"/>
        <w:snapToGrid w:val="0"/>
        <w:spacing w:line="360" w:lineRule="auto"/>
        <w:ind w:firstLine="504"/>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kern w:val="0"/>
          <w:sz w:val="24"/>
          <w:szCs w:val="24"/>
          <w:highlight w:val="none"/>
        </w:rPr>
        <w:t xml:space="preserve">与其他所有供应商之间均不存在利害关系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533FBC9B">
      <w:pPr>
        <w:pStyle w:val="635"/>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1FFF8A9F">
      <w:pPr>
        <w:pStyle w:val="635"/>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720F944D">
      <w:pPr>
        <w:pStyle w:val="635"/>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3F9EE51B">
      <w:pPr>
        <w:pStyle w:val="635"/>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1C0122C8">
      <w:pPr>
        <w:pStyle w:val="635"/>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1A2872C1">
      <w:pPr>
        <w:pStyle w:val="635"/>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14CD22DA">
      <w:pPr>
        <w:pStyle w:val="635"/>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bookmarkStart w:id="95" w:name="_Toc18026"/>
      <w:r>
        <w:rPr>
          <w:rFonts w:hint="eastAsia" w:ascii="仿宋" w:hAnsi="仿宋" w:eastAsia="仿宋" w:cs="仿宋"/>
          <w:color w:val="auto"/>
          <w:kern w:val="0"/>
          <w:sz w:val="24"/>
          <w:szCs w:val="24"/>
          <w:highlight w:val="none"/>
        </w:rPr>
        <w:t>G.存在共同直接或间接投资设立子公司、联营企业和合营企业情况</w:t>
      </w:r>
      <w:bookmarkEnd w:id="95"/>
    </w:p>
    <w:p w14:paraId="731C71BC">
      <w:pPr>
        <w:pStyle w:val="635"/>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22CCC0A3">
      <w:pPr>
        <w:pStyle w:val="635"/>
        <w:keepNext w:val="0"/>
        <w:keepLines w:val="0"/>
        <w:pageBreakBefore w:val="0"/>
        <w:widowControl w:val="0"/>
        <w:tabs>
          <w:tab w:val="left" w:pos="426"/>
        </w:tabs>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46629EA6">
      <w:pPr>
        <w:pStyle w:val="636"/>
        <w:keepNext w:val="0"/>
        <w:keepLines w:val="0"/>
        <w:pageBreakBefore w:val="0"/>
        <w:widowControl/>
        <w:numPr>
          <w:ilvl w:val="0"/>
          <w:numId w:val="7"/>
        </w:numPr>
        <w:tabs>
          <w:tab w:val="left" w:pos="432"/>
        </w:tabs>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14:paraId="5793DE5B">
      <w:pPr>
        <w:pStyle w:val="636"/>
        <w:keepNext w:val="0"/>
        <w:keepLines w:val="0"/>
        <w:pageBreakBefore w:val="0"/>
        <w:widowControl/>
        <w:numPr>
          <w:ilvl w:val="0"/>
          <w:numId w:val="7"/>
        </w:numPr>
        <w:tabs>
          <w:tab w:val="left" w:pos="432"/>
        </w:tabs>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10B0F7F1">
      <w:pPr>
        <w:pStyle w:val="635"/>
        <w:widowControl w:val="0"/>
        <w:snapToGrid w:val="0"/>
        <w:spacing w:line="440" w:lineRule="exact"/>
        <w:ind w:firstLine="48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（供应商代表签名）</w:t>
      </w:r>
    </w:p>
    <w:p w14:paraId="5CE3B853">
      <w:pPr>
        <w:rPr>
          <w:rFonts w:hint="eastAsia" w:ascii="仿宋" w:hAnsi="仿宋" w:eastAsia="仿宋" w:cs="仿宋"/>
          <w:b/>
          <w:color w:val="auto"/>
          <w:kern w:val="0"/>
          <w:sz w:val="36"/>
          <w:szCs w:val="36"/>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  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588B3404">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44220FE4">
      <w:pPr>
        <w:spacing w:line="336" w:lineRule="auto"/>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38F0D52D">
      <w:pPr>
        <w:spacing w:line="336" w:lineRule="auto"/>
        <w:jc w:val="center"/>
        <w:outlineLvl w:val="0"/>
        <w:rPr>
          <w:rFonts w:hint="eastAsia" w:ascii="仿宋" w:hAnsi="仿宋" w:eastAsia="仿宋" w:cs="仿宋"/>
          <w:b/>
          <w:color w:val="auto"/>
          <w:kern w:val="0"/>
          <w:sz w:val="24"/>
        </w:rPr>
      </w:pPr>
    </w:p>
    <w:p w14:paraId="3BEC25A0">
      <w:pPr>
        <w:spacing w:line="336"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7464A355">
      <w:pPr>
        <w:pStyle w:val="75"/>
        <w:rPr>
          <w:rFonts w:hint="eastAsia" w:ascii="仿宋" w:hAnsi="仿宋" w:eastAsia="仿宋" w:cs="仿宋"/>
          <w:color w:val="auto"/>
          <w:lang w:val="zh-CN"/>
        </w:rPr>
      </w:pPr>
    </w:p>
    <w:p w14:paraId="41FBD038">
      <w:pPr>
        <w:pStyle w:val="187"/>
        <w:numPr>
          <w:ilvl w:val="0"/>
          <w:numId w:val="8"/>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lang w:eastAsia="zh-CN"/>
        </w:rPr>
        <w:t>营业执照扫描件</w:t>
      </w:r>
      <w:r>
        <w:rPr>
          <w:rFonts w:hint="eastAsia" w:ascii="仿宋" w:hAnsi="仿宋" w:eastAsia="仿宋" w:cs="仿宋"/>
          <w:color w:val="auto"/>
        </w:rPr>
        <w:t>…………………………………………………………………（页码）</w:t>
      </w:r>
    </w:p>
    <w:p w14:paraId="0650104D">
      <w:pPr>
        <w:pStyle w:val="187"/>
        <w:numPr>
          <w:ilvl w:val="0"/>
          <w:numId w:val="8"/>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lang w:val="en-US" w:eastAsia="zh-CN"/>
        </w:rPr>
        <w:t>响应函</w:t>
      </w:r>
      <w:r>
        <w:rPr>
          <w:rFonts w:hint="eastAsia" w:ascii="仿宋" w:hAnsi="仿宋" w:eastAsia="仿宋" w:cs="仿宋"/>
          <w:color w:val="auto"/>
        </w:rPr>
        <w:t>……………………………………………………………………………（页码）</w:t>
      </w:r>
    </w:p>
    <w:p w14:paraId="3DED1DF3">
      <w:pPr>
        <w:pStyle w:val="187"/>
        <w:numPr>
          <w:ilvl w:val="0"/>
          <w:numId w:val="8"/>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highlight w:val="none"/>
        </w:rPr>
        <w:t>法定代表人身份证明书</w:t>
      </w:r>
      <w:r>
        <w:rPr>
          <w:rFonts w:hint="eastAsia" w:ascii="仿宋" w:hAnsi="仿宋" w:eastAsia="仿宋" w:cs="仿宋"/>
          <w:color w:val="auto"/>
        </w:rPr>
        <w:t>…………………………………………………………（页码）</w:t>
      </w:r>
    </w:p>
    <w:p w14:paraId="02847E92">
      <w:pPr>
        <w:pStyle w:val="187"/>
        <w:numPr>
          <w:ilvl w:val="0"/>
          <w:numId w:val="8"/>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lang w:eastAsia="zh-CN"/>
        </w:rPr>
        <w:t>法定代表人授权委托书</w:t>
      </w:r>
      <w:r>
        <w:rPr>
          <w:rFonts w:hint="eastAsia" w:ascii="仿宋" w:hAnsi="仿宋" w:eastAsia="仿宋" w:cs="仿宋"/>
          <w:color w:val="auto"/>
          <w:sz w:val="24"/>
          <w:lang w:val="en-US" w:eastAsia="zh-CN"/>
        </w:rPr>
        <w:t>及</w:t>
      </w:r>
      <w:r>
        <w:rPr>
          <w:rFonts w:hint="eastAsia" w:ascii="仿宋" w:hAnsi="仿宋" w:eastAsia="仿宋" w:cs="仿宋"/>
          <w:color w:val="auto"/>
          <w:sz w:val="24"/>
          <w:lang w:eastAsia="zh-CN"/>
        </w:rPr>
        <w:t>授权代表社保证明（</w:t>
      </w:r>
      <w:r>
        <w:rPr>
          <w:rFonts w:hint="eastAsia" w:ascii="仿宋" w:hAnsi="仿宋" w:eastAsia="仿宋" w:cs="仿宋"/>
          <w:color w:val="auto"/>
          <w:sz w:val="24"/>
          <w:lang w:val="en-US" w:eastAsia="zh-CN"/>
        </w:rPr>
        <w:t>若委托</w:t>
      </w:r>
      <w:r>
        <w:rPr>
          <w:rFonts w:hint="eastAsia" w:ascii="仿宋" w:hAnsi="仿宋" w:eastAsia="仿宋" w:cs="仿宋"/>
          <w:color w:val="auto"/>
          <w:sz w:val="24"/>
          <w:lang w:eastAsia="zh-CN"/>
        </w:rPr>
        <w:t>）</w:t>
      </w:r>
      <w:r>
        <w:rPr>
          <w:rFonts w:hint="eastAsia" w:ascii="仿宋" w:hAnsi="仿宋" w:eastAsia="仿宋" w:cs="仿宋"/>
          <w:color w:val="auto"/>
        </w:rPr>
        <w:t>……………………（页码）</w:t>
      </w:r>
    </w:p>
    <w:p w14:paraId="5A626F02">
      <w:pPr>
        <w:pStyle w:val="187"/>
        <w:numPr>
          <w:ilvl w:val="0"/>
          <w:numId w:val="8"/>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lang w:val="en-US" w:eastAsia="zh-CN"/>
        </w:rPr>
        <w:t>评分索引表</w:t>
      </w:r>
      <w:r>
        <w:rPr>
          <w:rFonts w:hint="eastAsia" w:ascii="仿宋" w:hAnsi="仿宋" w:eastAsia="仿宋" w:cs="仿宋"/>
          <w:color w:val="auto"/>
        </w:rPr>
        <w:t>………………………………………………………………………（页码）</w:t>
      </w:r>
    </w:p>
    <w:p w14:paraId="15A9C816">
      <w:pPr>
        <w:pStyle w:val="187"/>
        <w:numPr>
          <w:ilvl w:val="0"/>
          <w:numId w:val="8"/>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szCs w:val="24"/>
          <w:highlight w:val="none"/>
          <w:lang w:val="zh-CN" w:eastAsia="zh-CN"/>
        </w:rPr>
        <w:t>政府采购供应商廉洁自律承诺书</w:t>
      </w:r>
      <w:r>
        <w:rPr>
          <w:rFonts w:hint="eastAsia" w:ascii="仿宋" w:hAnsi="仿宋" w:eastAsia="仿宋" w:cs="仿宋"/>
          <w:color w:val="auto"/>
        </w:rPr>
        <w:t>………………………………………………（页码）</w:t>
      </w:r>
    </w:p>
    <w:p w14:paraId="02B54FFA">
      <w:pPr>
        <w:pStyle w:val="187"/>
        <w:numPr>
          <w:ilvl w:val="0"/>
          <w:numId w:val="8"/>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szCs w:val="24"/>
          <w:highlight w:val="none"/>
          <w:lang w:val="zh-CN" w:eastAsia="zh-CN"/>
        </w:rPr>
        <w:t>资信及商务响应表</w:t>
      </w:r>
      <w:r>
        <w:rPr>
          <w:rFonts w:hint="eastAsia" w:ascii="仿宋" w:hAnsi="仿宋" w:eastAsia="仿宋" w:cs="仿宋"/>
          <w:color w:val="auto"/>
        </w:rPr>
        <w:t>………………………………………………………………（页码）</w:t>
      </w:r>
    </w:p>
    <w:p w14:paraId="6EEEECD5">
      <w:pPr>
        <w:pStyle w:val="187"/>
        <w:numPr>
          <w:ilvl w:val="0"/>
          <w:numId w:val="8"/>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szCs w:val="24"/>
          <w:highlight w:val="none"/>
          <w:lang w:val="zh-CN" w:eastAsia="zh-CN"/>
        </w:rPr>
        <w:t>技术响应表</w:t>
      </w:r>
      <w:r>
        <w:rPr>
          <w:rFonts w:hint="eastAsia" w:ascii="仿宋" w:hAnsi="仿宋" w:eastAsia="仿宋" w:cs="仿宋"/>
          <w:color w:val="auto"/>
        </w:rPr>
        <w:t>………………………………………………………………………（页码）</w:t>
      </w:r>
    </w:p>
    <w:p w14:paraId="035236D6">
      <w:pPr>
        <w:pStyle w:val="187"/>
        <w:numPr>
          <w:ilvl w:val="0"/>
          <w:numId w:val="8"/>
        </w:numPr>
        <w:spacing w:line="336" w:lineRule="auto"/>
        <w:ind w:left="0" w:firstLine="0" w:firstLineChars="0"/>
        <w:jc w:val="both"/>
        <w:rPr>
          <w:rFonts w:hint="eastAsia" w:ascii="仿宋" w:hAnsi="仿宋" w:eastAsia="仿宋" w:cs="仿宋"/>
          <w:color w:val="auto"/>
          <w:kern w:val="0"/>
          <w:sz w:val="24"/>
        </w:rPr>
      </w:pPr>
      <w:r>
        <w:rPr>
          <w:rFonts w:hint="eastAsia" w:ascii="仿宋" w:hAnsi="仿宋" w:eastAsia="仿宋" w:cs="仿宋"/>
          <w:color w:val="auto"/>
          <w:sz w:val="24"/>
          <w:szCs w:val="24"/>
          <w:highlight w:val="none"/>
          <w:lang w:val="zh-CN" w:eastAsia="zh-CN"/>
        </w:rPr>
        <w:t>同类业绩</w:t>
      </w:r>
      <w:r>
        <w:rPr>
          <w:rFonts w:hint="eastAsia" w:ascii="仿宋" w:hAnsi="仿宋" w:eastAsia="仿宋" w:cs="仿宋"/>
          <w:color w:val="auto"/>
        </w:rPr>
        <w:t>…………………………………………………………………………（页码）</w:t>
      </w:r>
    </w:p>
    <w:p w14:paraId="1D485B04">
      <w:pPr>
        <w:pStyle w:val="187"/>
        <w:numPr>
          <w:ilvl w:val="0"/>
          <w:numId w:val="8"/>
        </w:numPr>
        <w:spacing w:line="336" w:lineRule="auto"/>
        <w:ind w:left="0" w:firstLine="0" w:firstLineChars="0"/>
        <w:jc w:val="both"/>
        <w:rPr>
          <w:rFonts w:hint="eastAsia" w:ascii="仿宋" w:hAnsi="仿宋" w:eastAsia="仿宋" w:cs="仿宋"/>
          <w:color w:val="auto"/>
          <w:kern w:val="0"/>
          <w:sz w:val="24"/>
        </w:rPr>
      </w:pPr>
      <w:r>
        <w:rPr>
          <w:rFonts w:hint="eastAsia" w:ascii="仿宋" w:hAnsi="仿宋" w:eastAsia="仿宋" w:cs="仿宋"/>
          <w:color w:val="auto"/>
          <w:sz w:val="24"/>
          <w:szCs w:val="24"/>
          <w:highlight w:val="none"/>
          <w:lang w:val="zh-CN" w:eastAsia="zh-CN"/>
        </w:rPr>
        <w:t>项目人员配备</w:t>
      </w:r>
      <w:r>
        <w:rPr>
          <w:rFonts w:hint="eastAsia" w:ascii="仿宋" w:hAnsi="仿宋" w:eastAsia="仿宋" w:cs="仿宋"/>
          <w:color w:val="auto"/>
        </w:rPr>
        <w:t>…………………………………………………………………（页码）</w:t>
      </w:r>
    </w:p>
    <w:p w14:paraId="5AC22562">
      <w:pPr>
        <w:pStyle w:val="187"/>
        <w:numPr>
          <w:ilvl w:val="0"/>
          <w:numId w:val="8"/>
        </w:numPr>
        <w:spacing w:line="336" w:lineRule="auto"/>
        <w:ind w:left="0" w:firstLine="0" w:firstLineChars="0"/>
        <w:jc w:val="both"/>
        <w:rPr>
          <w:rFonts w:hint="eastAsia" w:ascii="仿宋" w:hAnsi="仿宋" w:eastAsia="仿宋" w:cs="仿宋"/>
          <w:color w:val="auto"/>
          <w:kern w:val="0"/>
          <w:sz w:val="24"/>
        </w:rPr>
      </w:pPr>
      <w:r>
        <w:rPr>
          <w:rFonts w:hint="eastAsia" w:ascii="仿宋" w:hAnsi="仿宋" w:eastAsia="仿宋" w:cs="仿宋"/>
          <w:color w:val="auto"/>
          <w:sz w:val="24"/>
          <w:szCs w:val="24"/>
          <w:highlight w:val="none"/>
          <w:lang w:val="zh-CN" w:eastAsia="zh-CN"/>
        </w:rPr>
        <w:t>项目了解及分析</w:t>
      </w:r>
      <w:r>
        <w:rPr>
          <w:rFonts w:hint="eastAsia" w:ascii="仿宋" w:hAnsi="仿宋" w:eastAsia="仿宋" w:cs="仿宋"/>
          <w:color w:val="auto"/>
        </w:rPr>
        <w:t>………………………………………………………………（页码）</w:t>
      </w:r>
    </w:p>
    <w:p w14:paraId="30734975">
      <w:pPr>
        <w:pStyle w:val="187"/>
        <w:numPr>
          <w:ilvl w:val="0"/>
          <w:numId w:val="8"/>
        </w:numPr>
        <w:spacing w:line="336" w:lineRule="auto"/>
        <w:ind w:left="0" w:firstLine="0" w:firstLineChars="0"/>
        <w:jc w:val="both"/>
        <w:rPr>
          <w:rFonts w:hint="eastAsia" w:ascii="仿宋" w:hAnsi="仿宋" w:eastAsia="仿宋" w:cs="仿宋"/>
          <w:color w:val="auto"/>
          <w:kern w:val="0"/>
          <w:sz w:val="24"/>
        </w:rPr>
      </w:pPr>
      <w:r>
        <w:rPr>
          <w:rFonts w:hint="eastAsia" w:ascii="仿宋" w:hAnsi="仿宋" w:eastAsia="仿宋" w:cs="仿宋"/>
          <w:color w:val="auto"/>
          <w:sz w:val="24"/>
          <w:szCs w:val="24"/>
          <w:highlight w:val="none"/>
          <w:lang w:val="zh-CN" w:eastAsia="zh-CN"/>
        </w:rPr>
        <w:t>项目设计方案</w:t>
      </w:r>
      <w:r>
        <w:rPr>
          <w:rFonts w:hint="eastAsia" w:ascii="仿宋" w:hAnsi="仿宋" w:eastAsia="仿宋" w:cs="仿宋"/>
          <w:color w:val="auto"/>
        </w:rPr>
        <w:t>…………………………………………………………………（页码）</w:t>
      </w:r>
    </w:p>
    <w:p w14:paraId="4ABEA49C">
      <w:pPr>
        <w:pStyle w:val="187"/>
        <w:numPr>
          <w:ilvl w:val="0"/>
          <w:numId w:val="8"/>
        </w:numPr>
        <w:spacing w:line="336" w:lineRule="auto"/>
        <w:ind w:left="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zh-CN" w:eastAsia="zh-CN"/>
        </w:rPr>
        <w:t>项目实施方案</w:t>
      </w:r>
      <w:r>
        <w:rPr>
          <w:rFonts w:hint="eastAsia" w:ascii="仿宋" w:hAnsi="仿宋" w:eastAsia="仿宋" w:cs="仿宋"/>
          <w:color w:val="auto"/>
        </w:rPr>
        <w:t>…………………………………………………………………（页码）</w:t>
      </w:r>
    </w:p>
    <w:p w14:paraId="741FEBC9">
      <w:pPr>
        <w:pStyle w:val="187"/>
        <w:numPr>
          <w:ilvl w:val="0"/>
          <w:numId w:val="8"/>
        </w:numPr>
        <w:spacing w:line="336" w:lineRule="auto"/>
        <w:ind w:left="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zh-CN" w:eastAsia="zh-CN"/>
        </w:rPr>
        <w:t>质量保证措施</w:t>
      </w:r>
      <w:r>
        <w:rPr>
          <w:rFonts w:hint="eastAsia" w:ascii="仿宋" w:hAnsi="仿宋" w:eastAsia="仿宋" w:cs="仿宋"/>
          <w:color w:val="auto"/>
        </w:rPr>
        <w:t>…………………………………………………………………（页码）</w:t>
      </w:r>
    </w:p>
    <w:p w14:paraId="50999C96">
      <w:pPr>
        <w:pStyle w:val="187"/>
        <w:numPr>
          <w:ilvl w:val="0"/>
          <w:numId w:val="8"/>
        </w:numPr>
        <w:spacing w:line="336" w:lineRule="auto"/>
        <w:ind w:left="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zh-CN" w:eastAsia="zh-CN"/>
        </w:rPr>
        <w:t>设施设备配置</w:t>
      </w:r>
      <w:r>
        <w:rPr>
          <w:rFonts w:hint="eastAsia" w:ascii="仿宋" w:hAnsi="仿宋" w:eastAsia="仿宋" w:cs="仿宋"/>
          <w:color w:val="auto"/>
        </w:rPr>
        <w:t>…………………………………………………………………（页码）</w:t>
      </w:r>
    </w:p>
    <w:p w14:paraId="68A72FD7">
      <w:pPr>
        <w:pStyle w:val="187"/>
        <w:numPr>
          <w:ilvl w:val="0"/>
          <w:numId w:val="8"/>
        </w:numPr>
        <w:spacing w:line="336" w:lineRule="auto"/>
        <w:ind w:left="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zh-CN" w:eastAsia="zh-CN"/>
        </w:rPr>
        <w:t>突发情况应急预案</w:t>
      </w:r>
      <w:r>
        <w:rPr>
          <w:rFonts w:hint="eastAsia" w:ascii="仿宋" w:hAnsi="仿宋" w:eastAsia="仿宋" w:cs="仿宋"/>
          <w:color w:val="auto"/>
        </w:rPr>
        <w:t>……………………………………………………………（页码）</w:t>
      </w:r>
    </w:p>
    <w:p w14:paraId="65FD2621">
      <w:pPr>
        <w:pStyle w:val="187"/>
        <w:numPr>
          <w:ilvl w:val="0"/>
          <w:numId w:val="8"/>
        </w:numPr>
        <w:spacing w:line="336" w:lineRule="auto"/>
        <w:ind w:left="0" w:firstLine="0" w:firstLineChars="0"/>
        <w:jc w:val="both"/>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highlight w:val="none"/>
          <w:lang w:val="zh-CN" w:eastAsia="zh-CN"/>
        </w:rPr>
        <w:t>售后服务</w:t>
      </w:r>
      <w:r>
        <w:rPr>
          <w:rFonts w:hint="eastAsia" w:ascii="仿宋" w:hAnsi="仿宋" w:eastAsia="仿宋" w:cs="仿宋"/>
          <w:color w:val="auto"/>
        </w:rPr>
        <w:t>………………………………………………………………………（页码）</w:t>
      </w:r>
    </w:p>
    <w:p w14:paraId="7DAB1C8B">
      <w:pPr>
        <w:pStyle w:val="187"/>
        <w:numPr>
          <w:ilvl w:val="0"/>
          <w:numId w:val="8"/>
        </w:numPr>
        <w:spacing w:line="336" w:lineRule="auto"/>
        <w:ind w:left="0" w:firstLine="0" w:firstLineChars="0"/>
        <w:jc w:val="both"/>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供应商需要说明的其他文件和说明（若有）</w:t>
      </w:r>
      <w:r>
        <w:rPr>
          <w:rFonts w:hint="eastAsia" w:ascii="仿宋" w:hAnsi="仿宋" w:eastAsia="仿宋" w:cs="仿宋"/>
          <w:color w:val="auto"/>
        </w:rPr>
        <w:t>………………………………（页码）</w:t>
      </w:r>
    </w:p>
    <w:p w14:paraId="3B835273">
      <w:pPr>
        <w:rPr>
          <w:rFonts w:hint="eastAsia" w:ascii="仿宋" w:hAnsi="仿宋" w:eastAsia="仿宋" w:cs="仿宋"/>
          <w:color w:val="auto"/>
          <w:lang w:val="zh-CN"/>
        </w:rPr>
        <w:sectPr>
          <w:footerReference r:id="rId8" w:type="default"/>
          <w:pgSz w:w="11906" w:h="16838"/>
          <w:pgMar w:top="1814" w:right="1474" w:bottom="1814" w:left="1474" w:header="851" w:footer="992" w:gutter="0"/>
          <w:pgNumType w:fmt="decimal" w:start="1"/>
          <w:cols w:space="720" w:num="1"/>
          <w:docGrid w:linePitch="312" w:charSpace="0"/>
        </w:sectPr>
      </w:pPr>
    </w:p>
    <w:p w14:paraId="3A3F3EE6">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一、</w:t>
      </w:r>
      <w:r>
        <w:rPr>
          <w:rFonts w:hint="eastAsia" w:ascii="仿宋" w:hAnsi="仿宋" w:eastAsia="仿宋" w:cs="仿宋"/>
          <w:b/>
          <w:color w:val="auto"/>
          <w:kern w:val="0"/>
          <w:sz w:val="32"/>
          <w:szCs w:val="32"/>
          <w:lang w:eastAsia="zh-CN"/>
        </w:rPr>
        <w:t>营业执照扫描件</w:t>
      </w:r>
    </w:p>
    <w:p w14:paraId="2DA19B5A">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color w:val="auto"/>
          <w:kern w:val="0"/>
          <w:sz w:val="32"/>
          <w:szCs w:val="32"/>
        </w:rPr>
      </w:pPr>
    </w:p>
    <w:p w14:paraId="193E102B">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color w:val="auto"/>
          <w:kern w:val="0"/>
          <w:sz w:val="32"/>
          <w:szCs w:val="32"/>
        </w:rPr>
      </w:pPr>
    </w:p>
    <w:p w14:paraId="1E42E38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bCs/>
          <w:color w:val="auto"/>
          <w:sz w:val="32"/>
          <w:szCs w:val="32"/>
        </w:rPr>
      </w:pPr>
      <w:r>
        <w:rPr>
          <w:rFonts w:hint="eastAsia" w:ascii="仿宋" w:hAnsi="仿宋" w:eastAsia="仿宋" w:cs="仿宋"/>
          <w:b/>
          <w:color w:val="auto"/>
          <w:kern w:val="0"/>
          <w:sz w:val="32"/>
          <w:szCs w:val="32"/>
          <w:lang w:val="en-US" w:eastAsia="zh-CN"/>
        </w:rPr>
        <w:t>二</w:t>
      </w:r>
      <w:r>
        <w:rPr>
          <w:rFonts w:hint="eastAsia" w:ascii="仿宋" w:hAnsi="仿宋" w:eastAsia="仿宋" w:cs="仿宋"/>
          <w:b/>
          <w:color w:val="auto"/>
          <w:kern w:val="0"/>
          <w:sz w:val="32"/>
          <w:szCs w:val="32"/>
        </w:rPr>
        <w:t>、响应</w:t>
      </w:r>
      <w:r>
        <w:rPr>
          <w:rFonts w:hint="eastAsia" w:ascii="仿宋" w:hAnsi="仿宋" w:eastAsia="仿宋" w:cs="仿宋"/>
          <w:b/>
          <w:color w:val="auto"/>
          <w:sz w:val="32"/>
          <w:szCs w:val="32"/>
        </w:rPr>
        <w:t>函</w:t>
      </w:r>
    </w:p>
    <w:p w14:paraId="3DDC2C86">
      <w:pPr>
        <w:pStyle w:val="334"/>
        <w:keepNext w:val="0"/>
        <w:keepLines w:val="0"/>
        <w:pageBreakBefore w:val="0"/>
        <w:widowControl/>
        <w:kinsoku/>
        <w:wordWrap/>
        <w:overflowPunct/>
        <w:topLinePunct w:val="0"/>
        <w:autoSpaceDE/>
        <w:autoSpaceDN/>
        <w:bidi w:val="0"/>
        <w:adjustRightInd w:val="0"/>
        <w:snapToGrid w:val="0"/>
        <w:spacing w:before="313" w:beforeLines="100" w:afterLines="0" w:line="360" w:lineRule="auto"/>
        <w:ind w:firstLine="0" w:firstLineChars="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lang w:val="en-US" w:eastAsia="zh-CN"/>
        </w:rPr>
        <w:t>嵊州市城北小学、绍兴平准招标代理有限公司</w:t>
      </w:r>
    </w:p>
    <w:p w14:paraId="567D07EE">
      <w:pPr>
        <w:pStyle w:val="334"/>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根据贵方磋商文件（</w:t>
      </w:r>
      <w:r>
        <w:rPr>
          <w:rFonts w:hint="eastAsia" w:ascii="仿宋" w:hAnsi="仿宋" w:eastAsia="仿宋" w:cs="仿宋"/>
          <w:b/>
          <w:color w:val="auto"/>
          <w:sz w:val="24"/>
          <w:szCs w:val="24"/>
          <w:u w:val="single"/>
        </w:rPr>
        <w:t>项目编号：</w:t>
      </w:r>
      <w:r>
        <w:rPr>
          <w:rFonts w:hint="eastAsia" w:ascii="仿宋" w:hAnsi="仿宋" w:eastAsia="仿宋" w:cs="仿宋"/>
          <w:b/>
          <w:color w:val="auto"/>
          <w:sz w:val="24"/>
          <w:szCs w:val="24"/>
          <w:u w:val="single"/>
          <w:lang w:eastAsia="zh-CN"/>
        </w:rPr>
        <w:t>SXPZ-F20240724CKY</w:t>
      </w:r>
      <w:r>
        <w:rPr>
          <w:rFonts w:hint="eastAsia" w:ascii="仿宋" w:hAnsi="仿宋" w:eastAsia="仿宋" w:cs="仿宋"/>
          <w:color w:val="auto"/>
          <w:sz w:val="24"/>
          <w:szCs w:val="24"/>
        </w:rPr>
        <w:t>）的要求，正式授权</w:t>
      </w:r>
      <w:r>
        <w:rPr>
          <w:rFonts w:hint="eastAsia" w:ascii="仿宋" w:hAnsi="仿宋" w:eastAsia="仿宋" w:cs="仿宋"/>
          <w:b/>
          <w:color w:val="auto"/>
          <w:sz w:val="24"/>
          <w:szCs w:val="24"/>
          <w:u w:val="single"/>
        </w:rPr>
        <w:t>（全权代表姓名    、单位    、职务   ）</w:t>
      </w:r>
      <w:r>
        <w:rPr>
          <w:rFonts w:hint="eastAsia" w:ascii="仿宋" w:hAnsi="仿宋" w:eastAsia="仿宋" w:cs="仿宋"/>
          <w:color w:val="auto"/>
          <w:sz w:val="24"/>
          <w:szCs w:val="24"/>
        </w:rPr>
        <w:t>代表供应商</w:t>
      </w:r>
      <w:r>
        <w:rPr>
          <w:rFonts w:hint="eastAsia" w:ascii="仿宋" w:hAnsi="仿宋" w:eastAsia="仿宋" w:cs="仿宋"/>
          <w:color w:val="auto"/>
          <w:sz w:val="24"/>
          <w:szCs w:val="24"/>
          <w:u w:val="single"/>
        </w:rPr>
        <w:t>（</w:t>
      </w:r>
      <w:r>
        <w:rPr>
          <w:rFonts w:hint="eastAsia" w:ascii="仿宋" w:hAnsi="仿宋" w:eastAsia="仿宋" w:cs="仿宋"/>
          <w:b/>
          <w:color w:val="auto"/>
          <w:sz w:val="24"/>
          <w:szCs w:val="24"/>
          <w:u w:val="single"/>
        </w:rPr>
        <w:t xml:space="preserve">填写单位    、地址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提交磋商响应文件。</w:t>
      </w:r>
    </w:p>
    <w:p w14:paraId="06BBE5E6">
      <w:pPr>
        <w:pStyle w:val="334"/>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我方已完全明白磋商文件的所有条款要求，兹声明同意如下：</w:t>
      </w:r>
    </w:p>
    <w:p w14:paraId="0CDCE5B4">
      <w:pPr>
        <w:pStyle w:val="13"/>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 我方同意在供应商</w:t>
      </w:r>
      <w:r>
        <w:rPr>
          <w:rFonts w:hint="eastAsia" w:ascii="仿宋" w:hAnsi="仿宋" w:eastAsia="仿宋" w:cs="仿宋"/>
          <w:color w:val="auto"/>
          <w:kern w:val="44"/>
          <w:sz w:val="24"/>
          <w:szCs w:val="24"/>
        </w:rPr>
        <w:t>须知</w:t>
      </w:r>
      <w:r>
        <w:rPr>
          <w:rFonts w:hint="eastAsia" w:ascii="仿宋" w:hAnsi="仿宋" w:eastAsia="仿宋" w:cs="仿宋"/>
          <w:color w:val="auto"/>
          <w:sz w:val="24"/>
          <w:szCs w:val="24"/>
        </w:rPr>
        <w:t>规定的响应日期起遵守本磋商响应文件中的承诺且在响应有效期满之前均具有约束力。</w:t>
      </w:r>
    </w:p>
    <w:p w14:paraId="40067ED6">
      <w:pPr>
        <w:pStyle w:val="334"/>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2.我方承诺已经具备《中华人民共和国政府采购法》中规定的参加政府采购活动的供应商应当具备的条件。</w:t>
      </w:r>
    </w:p>
    <w:p w14:paraId="3DEA3BB7">
      <w:pPr>
        <w:pStyle w:val="334"/>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3.本公司磋商响应文件中填列的技术参数、配置、服务、数量等相关内容都是真实、准确的。保证在本次项目中所提供的资料全部真实和合法。同意向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提供可能另外要求的与磋商有关的任何数据或资料；</w:t>
      </w:r>
    </w:p>
    <w:p w14:paraId="1237FD06">
      <w:pPr>
        <w:pStyle w:val="334"/>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4.我方理解贵方将不受你们所收到的最低报价的约束。</w:t>
      </w:r>
    </w:p>
    <w:p w14:paraId="3892E58D">
      <w:pPr>
        <w:pStyle w:val="13"/>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5.磋商有效期为从提交磋商响应文件的截止之日起90天。</w:t>
      </w:r>
    </w:p>
    <w:p w14:paraId="6B935E3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6D86E2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a)提供虚假材料谋取中标、成交的；</w:t>
      </w:r>
    </w:p>
    <w:p w14:paraId="5327DAB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b)采取不正当手段诋毁、排挤其他供应商的；</w:t>
      </w:r>
    </w:p>
    <w:p w14:paraId="3668B6A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c)与采购人、其它供应商或者采购代理机构恶意串通的；</w:t>
      </w:r>
    </w:p>
    <w:p w14:paraId="27AC247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d)向采购人、采购代理机构行贿或者提供其他不正当利益的；</w:t>
      </w:r>
    </w:p>
    <w:p w14:paraId="0214E4F0">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e)在采购过程中与采购人进行协商谈判的；</w:t>
      </w:r>
    </w:p>
    <w:p w14:paraId="43B6BFC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f)拒绝有关部门监督检查或提供虚假情况的。</w:t>
      </w:r>
    </w:p>
    <w:p w14:paraId="3640A3D0">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供应商有前款第a)至e)项情形之一的，中标、成交无效。</w:t>
      </w:r>
    </w:p>
    <w:p w14:paraId="079E8AD3">
      <w:pPr>
        <w:pStyle w:val="334"/>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color w:val="auto"/>
          <w:sz w:val="24"/>
          <w:szCs w:val="24"/>
        </w:rPr>
      </w:pPr>
    </w:p>
    <w:p w14:paraId="321212D0">
      <w:pPr>
        <w:pStyle w:val="334"/>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邮政编码：</w:t>
      </w:r>
    </w:p>
    <w:p w14:paraId="1DDE90A9">
      <w:pPr>
        <w:pStyle w:val="334"/>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传真：</w:t>
      </w:r>
    </w:p>
    <w:p w14:paraId="12E80ED4">
      <w:pPr>
        <w:pStyle w:val="334"/>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                          账号：</w:t>
      </w:r>
    </w:p>
    <w:p w14:paraId="4C334056">
      <w:pPr>
        <w:pStyle w:val="334"/>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法定代表人或其授权代表(签字或签章)：</w:t>
      </w:r>
    </w:p>
    <w:p w14:paraId="01EF8304">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eastAsia" w:ascii="仿宋" w:hAnsi="仿宋" w:eastAsia="仿宋" w:cs="仿宋"/>
          <w:color w:val="auto"/>
          <w:sz w:val="24"/>
          <w:szCs w:val="24"/>
        </w:rPr>
      </w:pPr>
    </w:p>
    <w:p w14:paraId="612E124B">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szCs w:val="24"/>
        </w:rPr>
        <w:t>供应商名称（电子签名）：</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日期：</w:t>
      </w:r>
      <w:r>
        <w:rPr>
          <w:rFonts w:hint="eastAsia" w:ascii="仿宋" w:hAnsi="仿宋" w:eastAsia="仿宋" w:cs="仿宋"/>
          <w:color w:val="auto"/>
          <w:szCs w:val="24"/>
        </w:rPr>
        <w:t xml:space="preserve">     </w:t>
      </w:r>
    </w:p>
    <w:p w14:paraId="57070BEF">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5D60EFE9">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7D164C88">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25E65784">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6C63B32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三、法定代表人身份证明书</w:t>
      </w:r>
    </w:p>
    <w:p w14:paraId="7C9E9301">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599B2DD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4AC24B21">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5FA85848">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7C3F2D7F">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1F2310A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7B542C49">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692EF41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2AFF5A1E">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0E3F8E5C">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法定代表人（签字或盖章）：        </w:t>
      </w:r>
    </w:p>
    <w:p w14:paraId="4BD68004">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年   月   日</w:t>
      </w:r>
    </w:p>
    <w:p w14:paraId="1FE99E42">
      <w:pPr>
        <w:snapToGrid w:val="0"/>
        <w:spacing w:line="360" w:lineRule="auto"/>
        <w:ind w:right="480"/>
        <w:jc w:val="center"/>
        <w:rPr>
          <w:rFonts w:hint="eastAsia" w:ascii="仿宋" w:hAnsi="仿宋" w:eastAsia="仿宋" w:cs="仿宋"/>
          <w:b/>
          <w:color w:val="auto"/>
          <w:kern w:val="0"/>
          <w:sz w:val="32"/>
          <w:szCs w:val="32"/>
          <w:lang w:val="en-US" w:eastAsia="zh-CN"/>
        </w:rPr>
      </w:pPr>
    </w:p>
    <w:p w14:paraId="5D6C25C9">
      <w:pPr>
        <w:snapToGrid w:val="0"/>
        <w:spacing w:line="360" w:lineRule="auto"/>
        <w:ind w:right="480"/>
        <w:jc w:val="center"/>
        <w:rPr>
          <w:rFonts w:hint="eastAsia" w:ascii="仿宋" w:hAnsi="仿宋" w:eastAsia="仿宋" w:cs="仿宋"/>
          <w:b/>
          <w:color w:val="auto"/>
          <w:kern w:val="0"/>
          <w:sz w:val="32"/>
          <w:szCs w:val="32"/>
          <w:lang w:val="en-US" w:eastAsia="zh-CN"/>
        </w:rPr>
      </w:pPr>
    </w:p>
    <w:p w14:paraId="2AA3CC76">
      <w:pPr>
        <w:snapToGrid w:val="0"/>
        <w:spacing w:line="360" w:lineRule="auto"/>
        <w:ind w:right="480"/>
        <w:jc w:val="center"/>
        <w:rPr>
          <w:rFonts w:hint="eastAsia" w:ascii="仿宋" w:hAnsi="仿宋" w:eastAsia="仿宋" w:cs="仿宋"/>
          <w:b/>
          <w:color w:val="auto"/>
          <w:kern w:val="0"/>
          <w:sz w:val="32"/>
          <w:szCs w:val="32"/>
          <w:lang w:val="en-US" w:eastAsia="zh-CN"/>
        </w:rPr>
      </w:pPr>
    </w:p>
    <w:p w14:paraId="7B7152CA">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3A4283A6">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4F017EC4">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224F3E4F">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四、法定代表人授权委托书及授权代表社保证明（若委托）</w:t>
      </w:r>
    </w:p>
    <w:p w14:paraId="248EC85A">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5BEB9A24">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2114380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2947B760">
      <w:pPr>
        <w:snapToGrid w:val="0"/>
        <w:spacing w:line="600" w:lineRule="exact"/>
        <w:jc w:val="left"/>
        <w:rPr>
          <w:rFonts w:hint="eastAsia" w:ascii="仿宋" w:hAnsi="仿宋" w:eastAsia="仿宋" w:cs="仿宋"/>
          <w:color w:val="auto"/>
          <w:sz w:val="24"/>
        </w:rPr>
      </w:pPr>
    </w:p>
    <w:p w14:paraId="2B17BD3B">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授权代表（签字或盖章）：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43148A8C">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6024DF3F">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09EAF36D">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39C111D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4C7B5A7A">
      <w:pPr>
        <w:spacing w:line="360" w:lineRule="exact"/>
        <w:rPr>
          <w:rFonts w:hint="eastAsia" w:ascii="仿宋" w:hAnsi="仿宋" w:eastAsia="仿宋" w:cs="仿宋"/>
          <w:color w:val="auto"/>
          <w:sz w:val="24"/>
          <w:highlight w:val="none"/>
        </w:rPr>
      </w:pPr>
    </w:p>
    <w:p w14:paraId="04CB11E8">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05C12BA5">
      <w:pPr>
        <w:snapToGrid w:val="0"/>
        <w:spacing w:line="360" w:lineRule="auto"/>
        <w:ind w:right="480"/>
        <w:jc w:val="both"/>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bCs/>
          <w:color w:val="auto"/>
          <w:sz w:val="24"/>
          <w:szCs w:val="24"/>
          <w:highlight w:val="none"/>
        </w:rPr>
        <w:t>附：法人身份证复印件及授权人身份证复印件。</w:t>
      </w:r>
    </w:p>
    <w:p w14:paraId="191B83D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0ED7D5E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4CD5BFF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7D3434D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158A018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273F78D5">
      <w:pPr>
        <w:jc w:val="both"/>
        <w:rPr>
          <w:rFonts w:hint="eastAsia" w:ascii="仿宋" w:hAnsi="仿宋" w:eastAsia="仿宋" w:cs="仿宋"/>
          <w:b/>
          <w:color w:val="auto"/>
          <w:kern w:val="0"/>
          <w:sz w:val="32"/>
          <w:szCs w:val="32"/>
        </w:rPr>
      </w:pPr>
    </w:p>
    <w:p w14:paraId="3A4B0134">
      <w:pPr>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br w:type="page"/>
      </w:r>
    </w:p>
    <w:p w14:paraId="24C8916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bCs w:val="0"/>
          <w:color w:val="auto"/>
          <w:kern w:val="0"/>
          <w:sz w:val="32"/>
          <w:szCs w:val="32"/>
          <w:lang w:val="en-US" w:eastAsia="zh-CN"/>
        </w:rPr>
        <w:t>五、评分索引表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50"/>
        <w:gridCol w:w="2476"/>
        <w:gridCol w:w="992"/>
        <w:gridCol w:w="1276"/>
        <w:gridCol w:w="1134"/>
      </w:tblGrid>
      <w:tr w14:paraId="72E8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944" w:type="dxa"/>
            <w:noWrap w:val="0"/>
            <w:vAlign w:val="center"/>
          </w:tcPr>
          <w:p w14:paraId="0FAD740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650" w:type="dxa"/>
            <w:noWrap w:val="0"/>
            <w:vAlign w:val="center"/>
          </w:tcPr>
          <w:p w14:paraId="576014A9">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评审内容</w:t>
            </w:r>
          </w:p>
        </w:tc>
        <w:tc>
          <w:tcPr>
            <w:tcW w:w="2476" w:type="dxa"/>
            <w:noWrap w:val="0"/>
            <w:vAlign w:val="center"/>
          </w:tcPr>
          <w:p w14:paraId="60BC9968">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评分细则及要求</w:t>
            </w:r>
          </w:p>
        </w:tc>
        <w:tc>
          <w:tcPr>
            <w:tcW w:w="992" w:type="dxa"/>
            <w:noWrap w:val="0"/>
            <w:vAlign w:val="center"/>
          </w:tcPr>
          <w:p w14:paraId="7FCD216C">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1276" w:type="dxa"/>
            <w:noWrap w:val="0"/>
            <w:vAlign w:val="center"/>
          </w:tcPr>
          <w:p w14:paraId="685869EF">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对应页码</w:t>
            </w:r>
          </w:p>
        </w:tc>
        <w:tc>
          <w:tcPr>
            <w:tcW w:w="1134" w:type="dxa"/>
            <w:noWrap w:val="0"/>
            <w:vAlign w:val="center"/>
          </w:tcPr>
          <w:p w14:paraId="6D43F477">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自评分</w:t>
            </w:r>
          </w:p>
        </w:tc>
      </w:tr>
      <w:tr w14:paraId="47C8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24D9919">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24E8818C">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194BFFF2">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32C2F120">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79A9582D">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4D7F5B0F">
            <w:pPr>
              <w:adjustRightInd/>
              <w:spacing w:line="380" w:lineRule="exact"/>
              <w:jc w:val="center"/>
              <w:outlineLvl w:val="9"/>
              <w:rPr>
                <w:rFonts w:hint="eastAsia" w:ascii="仿宋" w:hAnsi="仿宋" w:eastAsia="仿宋" w:cs="仿宋"/>
                <w:color w:val="auto"/>
                <w:sz w:val="24"/>
                <w:szCs w:val="24"/>
              </w:rPr>
            </w:pPr>
          </w:p>
        </w:tc>
      </w:tr>
      <w:tr w14:paraId="5057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6094E9BE">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6FCC33DF">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0B3BF712">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3FE46DC5">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0A8D81EF">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264284BE">
            <w:pPr>
              <w:adjustRightInd/>
              <w:spacing w:line="380" w:lineRule="exact"/>
              <w:jc w:val="center"/>
              <w:outlineLvl w:val="9"/>
              <w:rPr>
                <w:rFonts w:hint="eastAsia" w:ascii="仿宋" w:hAnsi="仿宋" w:eastAsia="仿宋" w:cs="仿宋"/>
                <w:color w:val="auto"/>
                <w:sz w:val="24"/>
                <w:szCs w:val="24"/>
              </w:rPr>
            </w:pPr>
          </w:p>
        </w:tc>
      </w:tr>
      <w:tr w14:paraId="2153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83A56CA">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6064F09D">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1F5C7F74">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1C6287D0">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10BE6AD5">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3E350EEC">
            <w:pPr>
              <w:adjustRightInd/>
              <w:spacing w:line="380" w:lineRule="exact"/>
              <w:jc w:val="center"/>
              <w:outlineLvl w:val="9"/>
              <w:rPr>
                <w:rFonts w:hint="eastAsia" w:ascii="仿宋" w:hAnsi="仿宋" w:eastAsia="仿宋" w:cs="仿宋"/>
                <w:color w:val="auto"/>
                <w:sz w:val="24"/>
                <w:szCs w:val="24"/>
              </w:rPr>
            </w:pPr>
          </w:p>
        </w:tc>
      </w:tr>
      <w:tr w14:paraId="4BFB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724538AA">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406F0DF7">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27669E3C">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652FD1DD">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4C391DAD">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58334A35">
            <w:pPr>
              <w:adjustRightInd/>
              <w:spacing w:line="380" w:lineRule="exact"/>
              <w:jc w:val="center"/>
              <w:outlineLvl w:val="9"/>
              <w:rPr>
                <w:rFonts w:hint="eastAsia" w:ascii="仿宋" w:hAnsi="仿宋" w:eastAsia="仿宋" w:cs="仿宋"/>
                <w:color w:val="auto"/>
                <w:sz w:val="24"/>
                <w:szCs w:val="24"/>
              </w:rPr>
            </w:pPr>
          </w:p>
        </w:tc>
      </w:tr>
      <w:tr w14:paraId="16B9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2D6AB018">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2B55E0DF">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226EFCAD">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7658FB33">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0445627B">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255FD814">
            <w:pPr>
              <w:adjustRightInd/>
              <w:spacing w:line="380" w:lineRule="exact"/>
              <w:jc w:val="center"/>
              <w:outlineLvl w:val="9"/>
              <w:rPr>
                <w:rFonts w:hint="eastAsia" w:ascii="仿宋" w:hAnsi="仿宋" w:eastAsia="仿宋" w:cs="仿宋"/>
                <w:color w:val="auto"/>
                <w:sz w:val="24"/>
                <w:szCs w:val="24"/>
              </w:rPr>
            </w:pPr>
          </w:p>
        </w:tc>
      </w:tr>
    </w:tbl>
    <w:p w14:paraId="4A26AA70">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对应第四部分评标方法及标准（报价除外）</w:t>
      </w:r>
    </w:p>
    <w:p w14:paraId="1EB48B61">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eastAsia="zh-CN"/>
        </w:rPr>
      </w:pPr>
    </w:p>
    <w:p w14:paraId="1D3B4E4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eastAsia="zh-CN"/>
        </w:rPr>
      </w:pPr>
    </w:p>
    <w:p w14:paraId="73D6E43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EE7A54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C49944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689423AC">
      <w:pPr>
        <w:widowControl/>
        <w:adjustRightInd/>
        <w:jc w:val="center"/>
        <w:rPr>
          <w:rFonts w:hint="eastAsia" w:ascii="仿宋" w:hAnsi="仿宋" w:eastAsia="仿宋" w:cs="仿宋"/>
          <w:b/>
          <w:bCs/>
          <w:color w:val="auto"/>
          <w:sz w:val="32"/>
          <w:szCs w:val="32"/>
          <w:lang w:val="en-US" w:eastAsia="zh-CN"/>
        </w:rPr>
      </w:pPr>
    </w:p>
    <w:p w14:paraId="415E2720">
      <w:pPr>
        <w:widowControl/>
        <w:adjustRightInd/>
        <w:jc w:val="center"/>
        <w:rPr>
          <w:rFonts w:hint="eastAsia" w:ascii="仿宋" w:hAnsi="仿宋" w:eastAsia="仿宋" w:cs="仿宋"/>
          <w:b/>
          <w:bCs/>
          <w:color w:val="auto"/>
          <w:sz w:val="32"/>
          <w:szCs w:val="32"/>
          <w:lang w:val="en-US" w:eastAsia="zh-CN"/>
        </w:rPr>
      </w:pPr>
    </w:p>
    <w:p w14:paraId="68721C63">
      <w:pPr>
        <w:widowControl/>
        <w:adjustRightInd/>
        <w:jc w:val="center"/>
        <w:rPr>
          <w:rFonts w:hint="eastAsia" w:ascii="仿宋" w:hAnsi="仿宋" w:eastAsia="仿宋" w:cs="仿宋"/>
          <w:b/>
          <w:bCs/>
          <w:color w:val="auto"/>
          <w:sz w:val="32"/>
          <w:szCs w:val="32"/>
          <w:lang w:val="en-US" w:eastAsia="zh-CN"/>
        </w:rPr>
      </w:pPr>
    </w:p>
    <w:p w14:paraId="7BA1F34A">
      <w:pPr>
        <w:widowControl/>
        <w:adjustRightInd/>
        <w:jc w:val="center"/>
        <w:rPr>
          <w:rFonts w:hint="eastAsia" w:ascii="仿宋" w:hAnsi="仿宋" w:eastAsia="仿宋" w:cs="仿宋"/>
          <w:b/>
          <w:bCs/>
          <w:color w:val="auto"/>
          <w:sz w:val="32"/>
          <w:szCs w:val="32"/>
          <w:lang w:val="en-US" w:eastAsia="zh-CN"/>
        </w:rPr>
      </w:pPr>
    </w:p>
    <w:p w14:paraId="6994B44D">
      <w:pPr>
        <w:widowControl/>
        <w:adjustRightInd/>
        <w:jc w:val="center"/>
        <w:rPr>
          <w:rFonts w:hint="eastAsia" w:ascii="仿宋" w:hAnsi="仿宋" w:eastAsia="仿宋" w:cs="仿宋"/>
          <w:b/>
          <w:bCs/>
          <w:color w:val="auto"/>
          <w:sz w:val="32"/>
          <w:szCs w:val="32"/>
          <w:lang w:val="en-US" w:eastAsia="zh-CN"/>
        </w:rPr>
      </w:pPr>
    </w:p>
    <w:p w14:paraId="23C8EEA9">
      <w:pPr>
        <w:widowControl/>
        <w:adjustRightInd/>
        <w:jc w:val="center"/>
        <w:rPr>
          <w:rFonts w:hint="eastAsia" w:ascii="仿宋" w:hAnsi="仿宋" w:eastAsia="仿宋" w:cs="仿宋"/>
          <w:b/>
          <w:bCs/>
          <w:color w:val="auto"/>
          <w:sz w:val="32"/>
          <w:szCs w:val="32"/>
          <w:lang w:val="en-US" w:eastAsia="zh-CN"/>
        </w:rPr>
      </w:pPr>
    </w:p>
    <w:p w14:paraId="23D8C24D">
      <w:pPr>
        <w:widowControl/>
        <w:adjustRightInd/>
        <w:jc w:val="center"/>
        <w:rPr>
          <w:rFonts w:hint="eastAsia" w:ascii="仿宋" w:hAnsi="仿宋" w:eastAsia="仿宋" w:cs="仿宋"/>
          <w:b/>
          <w:bCs/>
          <w:color w:val="auto"/>
          <w:sz w:val="32"/>
          <w:szCs w:val="32"/>
          <w:lang w:val="en-US" w:eastAsia="zh-CN"/>
        </w:rPr>
      </w:pPr>
    </w:p>
    <w:p w14:paraId="6E46CC91">
      <w:pPr>
        <w:widowControl/>
        <w:adjustRightInd/>
        <w:jc w:val="center"/>
        <w:rPr>
          <w:rFonts w:hint="eastAsia" w:ascii="仿宋" w:hAnsi="仿宋" w:eastAsia="仿宋" w:cs="仿宋"/>
          <w:b/>
          <w:bCs/>
          <w:color w:val="auto"/>
          <w:sz w:val="32"/>
          <w:szCs w:val="32"/>
          <w:lang w:val="en-US" w:eastAsia="zh-CN"/>
        </w:rPr>
      </w:pPr>
    </w:p>
    <w:p w14:paraId="50E58048">
      <w:pPr>
        <w:widowControl/>
        <w:adjustRightInd/>
        <w:jc w:val="center"/>
        <w:rPr>
          <w:rFonts w:hint="eastAsia" w:ascii="仿宋" w:hAnsi="仿宋" w:eastAsia="仿宋" w:cs="仿宋"/>
          <w:b/>
          <w:bCs/>
          <w:color w:val="auto"/>
          <w:sz w:val="32"/>
          <w:szCs w:val="32"/>
          <w:lang w:val="en-US" w:eastAsia="zh-CN"/>
        </w:rPr>
      </w:pPr>
    </w:p>
    <w:p w14:paraId="69306F90">
      <w:pPr>
        <w:widowControl/>
        <w:adjustRightInd/>
        <w:jc w:val="center"/>
        <w:rPr>
          <w:rFonts w:hint="eastAsia" w:ascii="仿宋" w:hAnsi="仿宋" w:eastAsia="仿宋" w:cs="仿宋"/>
          <w:b/>
          <w:bCs/>
          <w:color w:val="auto"/>
          <w:sz w:val="32"/>
          <w:szCs w:val="32"/>
          <w:lang w:val="en-US" w:eastAsia="zh-CN"/>
        </w:rPr>
      </w:pPr>
    </w:p>
    <w:p w14:paraId="6F9CBEA0">
      <w:pPr>
        <w:widowControl/>
        <w:adjustRightInd/>
        <w:jc w:val="center"/>
        <w:rPr>
          <w:rFonts w:hint="eastAsia" w:ascii="仿宋" w:hAnsi="仿宋" w:eastAsia="仿宋" w:cs="仿宋"/>
          <w:b/>
          <w:bCs/>
          <w:color w:val="auto"/>
          <w:sz w:val="32"/>
          <w:szCs w:val="32"/>
          <w:lang w:val="en-US" w:eastAsia="zh-CN"/>
        </w:rPr>
      </w:pPr>
    </w:p>
    <w:p w14:paraId="06333B7D">
      <w:pPr>
        <w:widowControl/>
        <w:adjustRightInd/>
        <w:jc w:val="center"/>
        <w:rPr>
          <w:rFonts w:hint="eastAsia" w:ascii="仿宋" w:hAnsi="仿宋" w:eastAsia="仿宋" w:cs="仿宋"/>
          <w:b/>
          <w:bCs/>
          <w:color w:val="auto"/>
          <w:sz w:val="32"/>
          <w:szCs w:val="32"/>
          <w:lang w:val="en-US" w:eastAsia="zh-CN"/>
        </w:rPr>
      </w:pPr>
    </w:p>
    <w:p w14:paraId="4376DCC0">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7A7558E3">
      <w:pPr>
        <w:snapToGrid w:val="0"/>
        <w:spacing w:line="360" w:lineRule="auto"/>
        <w:rPr>
          <w:rFonts w:hint="eastAsia" w:ascii="仿宋" w:hAnsi="仿宋" w:eastAsia="仿宋" w:cs="仿宋"/>
          <w:color w:val="auto"/>
          <w:sz w:val="24"/>
          <w:highlight w:val="none"/>
        </w:rPr>
      </w:pPr>
    </w:p>
    <w:p w14:paraId="3E261C01">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highlight w:val="none"/>
          <w:lang w:eastAsia="zh-CN"/>
        </w:rPr>
        <w:t>嵊州市城北小学</w:t>
      </w:r>
      <w:r>
        <w:rPr>
          <w:rFonts w:hint="eastAsia" w:ascii="仿宋" w:hAnsi="仿宋" w:eastAsia="仿宋" w:cs="仿宋"/>
          <w:color w:val="auto"/>
          <w:sz w:val="24"/>
          <w:highlight w:val="none"/>
        </w:rPr>
        <w:t>、绍兴平准招标代理有限公司</w:t>
      </w:r>
      <w:r>
        <w:rPr>
          <w:rFonts w:hint="eastAsia" w:ascii="仿宋" w:hAnsi="仿宋" w:eastAsia="仿宋" w:cs="仿宋"/>
          <w:color w:val="auto"/>
          <w:kern w:val="0"/>
          <w:sz w:val="24"/>
          <w:lang w:val="zh-CN"/>
        </w:rPr>
        <w:t>：</w:t>
      </w:r>
    </w:p>
    <w:p w14:paraId="7528A3F6">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w:t>
      </w:r>
      <w:r>
        <w:rPr>
          <w:rFonts w:hint="eastAsia" w:ascii="仿宋" w:hAnsi="仿宋" w:eastAsia="仿宋" w:cs="仿宋"/>
          <w:color w:val="auto"/>
          <w:kern w:val="0"/>
          <w:sz w:val="24"/>
          <w:lang w:val="en-US" w:eastAsia="zh-CN"/>
        </w:rPr>
        <w:t>磋商</w:t>
      </w:r>
      <w:r>
        <w:rPr>
          <w:rFonts w:hint="eastAsia" w:ascii="仿宋" w:hAnsi="仿宋" w:eastAsia="仿宋" w:cs="仿宋"/>
          <w:color w:val="auto"/>
          <w:kern w:val="0"/>
          <w:sz w:val="24"/>
          <w:lang w:val="zh-CN"/>
        </w:rPr>
        <w:t>要求参加</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lang w:val="zh-CN"/>
        </w:rPr>
        <w:t>。在这次</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过程中和</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后，我们将严格遵守国家法律法规要求，并郑重承诺：</w:t>
      </w:r>
    </w:p>
    <w:p w14:paraId="474E0175">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7497887C">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6470CBF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2F4574A7">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4E89992A">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4E68CC96">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729F079B">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36ACE200">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3ACB821A">
      <w:pPr>
        <w:autoSpaceDE w:val="0"/>
        <w:autoSpaceDN w:val="0"/>
        <w:spacing w:line="360" w:lineRule="auto"/>
        <w:ind w:left="2"/>
        <w:jc w:val="left"/>
        <w:rPr>
          <w:rFonts w:hint="eastAsia" w:ascii="仿宋" w:hAnsi="仿宋" w:eastAsia="仿宋" w:cs="仿宋"/>
          <w:color w:val="auto"/>
          <w:kern w:val="0"/>
          <w:sz w:val="24"/>
          <w:lang w:val="zh-CN"/>
        </w:rPr>
      </w:pPr>
    </w:p>
    <w:p w14:paraId="0745818D">
      <w:pPr>
        <w:autoSpaceDE w:val="0"/>
        <w:autoSpaceDN w:val="0"/>
        <w:spacing w:line="360" w:lineRule="auto"/>
        <w:ind w:left="2"/>
        <w:jc w:val="left"/>
        <w:rPr>
          <w:rFonts w:hint="eastAsia" w:ascii="仿宋" w:hAnsi="仿宋" w:eastAsia="仿宋" w:cs="仿宋"/>
          <w:color w:val="auto"/>
          <w:kern w:val="0"/>
          <w:sz w:val="24"/>
          <w:lang w:val="zh-CN"/>
        </w:rPr>
      </w:pPr>
    </w:p>
    <w:p w14:paraId="5609F468">
      <w:pPr>
        <w:autoSpaceDE w:val="0"/>
        <w:autoSpaceDN w:val="0"/>
        <w:spacing w:line="360" w:lineRule="auto"/>
        <w:ind w:left="2"/>
        <w:jc w:val="left"/>
        <w:rPr>
          <w:rFonts w:hint="eastAsia" w:ascii="仿宋" w:hAnsi="仿宋" w:eastAsia="仿宋" w:cs="仿宋"/>
          <w:color w:val="auto"/>
          <w:kern w:val="0"/>
          <w:sz w:val="24"/>
          <w:lang w:val="zh-CN"/>
        </w:rPr>
      </w:pPr>
    </w:p>
    <w:p w14:paraId="169B067F">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2F9D93CF">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0F10C69E">
      <w:pPr>
        <w:spacing w:line="360" w:lineRule="auto"/>
        <w:jc w:val="center"/>
        <w:rPr>
          <w:rFonts w:hint="eastAsia" w:ascii="仿宋" w:hAnsi="仿宋" w:eastAsia="仿宋" w:cs="仿宋"/>
          <w:b/>
          <w:bCs/>
          <w:color w:val="auto"/>
          <w:sz w:val="24"/>
        </w:rPr>
      </w:pPr>
    </w:p>
    <w:p w14:paraId="5DB5DCE1">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7468C836">
      <w:pPr>
        <w:spacing w:line="360" w:lineRule="auto"/>
        <w:jc w:val="center"/>
        <w:rPr>
          <w:rFonts w:hint="eastAsia" w:ascii="仿宋" w:hAnsi="仿宋" w:eastAsia="仿宋" w:cs="仿宋"/>
          <w:b/>
          <w:bCs/>
          <w:color w:val="auto"/>
          <w:sz w:val="24"/>
        </w:rPr>
      </w:pPr>
    </w:p>
    <w:p w14:paraId="0FD238AD">
      <w:pPr>
        <w:pStyle w:val="74"/>
        <w:jc w:val="center"/>
        <w:rPr>
          <w:rFonts w:hint="eastAsia" w:ascii="仿宋" w:hAnsi="仿宋" w:eastAsia="仿宋" w:cs="仿宋"/>
          <w:b/>
          <w:bCs/>
          <w:color w:val="auto"/>
          <w:sz w:val="24"/>
        </w:rPr>
      </w:pPr>
    </w:p>
    <w:p w14:paraId="41F964DC">
      <w:pP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br w:type="page"/>
      </w:r>
    </w:p>
    <w:p w14:paraId="3709F1D0">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w:t>
      </w:r>
      <w:r>
        <w:rPr>
          <w:rFonts w:hint="eastAsia" w:ascii="仿宋" w:hAnsi="仿宋" w:eastAsia="仿宋" w:cs="仿宋"/>
          <w:b/>
          <w:color w:val="auto"/>
          <w:kern w:val="0"/>
          <w:sz w:val="32"/>
          <w:szCs w:val="32"/>
        </w:rPr>
        <w:t>资信及商务响应表</w:t>
      </w:r>
    </w:p>
    <w:p w14:paraId="60CA975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color w:val="auto"/>
          <w:sz w:val="24"/>
        </w:rPr>
        <w:t>（由</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根据采购需求及招标文件资信及商务要求表要求编制）</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60"/>
        <w:gridCol w:w="2492"/>
        <w:gridCol w:w="2835"/>
        <w:gridCol w:w="1260"/>
      </w:tblGrid>
      <w:tr w14:paraId="1F2B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FE54A46">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60" w:type="dxa"/>
            <w:vAlign w:val="center"/>
          </w:tcPr>
          <w:p w14:paraId="1BD7C4F3">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492" w:type="dxa"/>
            <w:vAlign w:val="center"/>
          </w:tcPr>
          <w:p w14:paraId="3277379B">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429499D6">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226D17C6">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688A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4" w:type="dxa"/>
            <w:vAlign w:val="center"/>
          </w:tcPr>
          <w:p w14:paraId="43CA7596">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1760" w:type="dxa"/>
            <w:vAlign w:val="center"/>
          </w:tcPr>
          <w:p w14:paraId="4410CB67">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p>
        </w:tc>
        <w:tc>
          <w:tcPr>
            <w:tcW w:w="2492" w:type="dxa"/>
          </w:tcPr>
          <w:p w14:paraId="4CEDB561">
            <w:pPr>
              <w:adjustRightInd/>
              <w:spacing w:line="380" w:lineRule="exact"/>
              <w:jc w:val="center"/>
              <w:outlineLvl w:val="9"/>
              <w:rPr>
                <w:rFonts w:hint="eastAsia" w:ascii="仿宋" w:hAnsi="仿宋" w:eastAsia="仿宋" w:cs="仿宋"/>
                <w:color w:val="auto"/>
                <w:sz w:val="24"/>
                <w:szCs w:val="24"/>
              </w:rPr>
            </w:pPr>
          </w:p>
        </w:tc>
        <w:tc>
          <w:tcPr>
            <w:tcW w:w="2835" w:type="dxa"/>
          </w:tcPr>
          <w:p w14:paraId="72A91082">
            <w:pPr>
              <w:adjustRightInd/>
              <w:spacing w:line="380" w:lineRule="exact"/>
              <w:jc w:val="center"/>
              <w:outlineLvl w:val="9"/>
              <w:rPr>
                <w:rFonts w:hint="eastAsia" w:ascii="仿宋" w:hAnsi="仿宋" w:eastAsia="仿宋" w:cs="仿宋"/>
                <w:color w:val="auto"/>
                <w:sz w:val="24"/>
                <w:szCs w:val="24"/>
              </w:rPr>
            </w:pPr>
          </w:p>
        </w:tc>
        <w:tc>
          <w:tcPr>
            <w:tcW w:w="1260" w:type="dxa"/>
          </w:tcPr>
          <w:p w14:paraId="2B3B852F">
            <w:pPr>
              <w:adjustRightInd/>
              <w:spacing w:line="380" w:lineRule="exact"/>
              <w:jc w:val="center"/>
              <w:outlineLvl w:val="9"/>
              <w:rPr>
                <w:rFonts w:hint="eastAsia" w:ascii="仿宋" w:hAnsi="仿宋" w:eastAsia="仿宋" w:cs="仿宋"/>
                <w:color w:val="auto"/>
                <w:sz w:val="24"/>
                <w:szCs w:val="24"/>
              </w:rPr>
            </w:pPr>
          </w:p>
        </w:tc>
      </w:tr>
      <w:tr w14:paraId="7A30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4" w:type="dxa"/>
            <w:vAlign w:val="center"/>
          </w:tcPr>
          <w:p w14:paraId="1E0FA217">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p>
        </w:tc>
        <w:tc>
          <w:tcPr>
            <w:tcW w:w="1760" w:type="dxa"/>
            <w:vAlign w:val="center"/>
          </w:tcPr>
          <w:p w14:paraId="476B4892">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062F349A">
            <w:pPr>
              <w:adjustRightInd/>
              <w:spacing w:line="380" w:lineRule="exact"/>
              <w:jc w:val="center"/>
              <w:outlineLvl w:val="9"/>
              <w:rPr>
                <w:rFonts w:hint="eastAsia" w:ascii="仿宋" w:hAnsi="仿宋" w:eastAsia="仿宋" w:cs="仿宋"/>
                <w:color w:val="auto"/>
                <w:sz w:val="24"/>
                <w:szCs w:val="24"/>
              </w:rPr>
            </w:pPr>
          </w:p>
        </w:tc>
        <w:tc>
          <w:tcPr>
            <w:tcW w:w="2835" w:type="dxa"/>
          </w:tcPr>
          <w:p w14:paraId="0329CA94">
            <w:pPr>
              <w:adjustRightInd/>
              <w:spacing w:line="380" w:lineRule="exact"/>
              <w:jc w:val="center"/>
              <w:outlineLvl w:val="9"/>
              <w:rPr>
                <w:rFonts w:hint="eastAsia" w:ascii="仿宋" w:hAnsi="仿宋" w:eastAsia="仿宋" w:cs="仿宋"/>
                <w:color w:val="auto"/>
                <w:sz w:val="24"/>
                <w:szCs w:val="24"/>
              </w:rPr>
            </w:pPr>
          </w:p>
        </w:tc>
        <w:tc>
          <w:tcPr>
            <w:tcW w:w="1260" w:type="dxa"/>
          </w:tcPr>
          <w:p w14:paraId="5E51A6B5">
            <w:pPr>
              <w:adjustRightInd/>
              <w:spacing w:line="380" w:lineRule="exact"/>
              <w:jc w:val="center"/>
              <w:outlineLvl w:val="9"/>
              <w:rPr>
                <w:rFonts w:hint="eastAsia" w:ascii="仿宋" w:hAnsi="仿宋" w:eastAsia="仿宋" w:cs="仿宋"/>
                <w:color w:val="auto"/>
                <w:sz w:val="24"/>
                <w:szCs w:val="24"/>
              </w:rPr>
            </w:pPr>
          </w:p>
        </w:tc>
      </w:tr>
      <w:tr w14:paraId="60C5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4" w:type="dxa"/>
            <w:vAlign w:val="center"/>
          </w:tcPr>
          <w:p w14:paraId="7E316CB3">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760" w:type="dxa"/>
            <w:vAlign w:val="center"/>
          </w:tcPr>
          <w:p w14:paraId="455A6F2B">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2F876DDC">
            <w:pPr>
              <w:adjustRightInd/>
              <w:spacing w:line="380" w:lineRule="exact"/>
              <w:jc w:val="center"/>
              <w:outlineLvl w:val="9"/>
              <w:rPr>
                <w:rFonts w:hint="eastAsia" w:ascii="仿宋" w:hAnsi="仿宋" w:eastAsia="仿宋" w:cs="仿宋"/>
                <w:color w:val="auto"/>
                <w:sz w:val="24"/>
                <w:szCs w:val="24"/>
              </w:rPr>
            </w:pPr>
          </w:p>
        </w:tc>
        <w:tc>
          <w:tcPr>
            <w:tcW w:w="2835" w:type="dxa"/>
          </w:tcPr>
          <w:p w14:paraId="62172960">
            <w:pPr>
              <w:adjustRightInd/>
              <w:spacing w:line="380" w:lineRule="exact"/>
              <w:jc w:val="center"/>
              <w:outlineLvl w:val="9"/>
              <w:rPr>
                <w:rFonts w:hint="eastAsia" w:ascii="仿宋" w:hAnsi="仿宋" w:eastAsia="仿宋" w:cs="仿宋"/>
                <w:color w:val="auto"/>
                <w:sz w:val="24"/>
                <w:szCs w:val="24"/>
              </w:rPr>
            </w:pPr>
          </w:p>
        </w:tc>
        <w:tc>
          <w:tcPr>
            <w:tcW w:w="1260" w:type="dxa"/>
          </w:tcPr>
          <w:p w14:paraId="3259F0D3">
            <w:pPr>
              <w:adjustRightInd/>
              <w:spacing w:line="380" w:lineRule="exact"/>
              <w:jc w:val="center"/>
              <w:outlineLvl w:val="9"/>
              <w:rPr>
                <w:rFonts w:hint="eastAsia" w:ascii="仿宋" w:hAnsi="仿宋" w:eastAsia="仿宋" w:cs="仿宋"/>
                <w:color w:val="auto"/>
                <w:sz w:val="24"/>
                <w:szCs w:val="24"/>
              </w:rPr>
            </w:pPr>
          </w:p>
        </w:tc>
      </w:tr>
      <w:tr w14:paraId="357D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4" w:type="dxa"/>
            <w:vAlign w:val="center"/>
          </w:tcPr>
          <w:p w14:paraId="4E1422EF">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rPr>
              <w:t>……</w:t>
            </w:r>
          </w:p>
        </w:tc>
        <w:tc>
          <w:tcPr>
            <w:tcW w:w="1760" w:type="dxa"/>
            <w:vAlign w:val="center"/>
          </w:tcPr>
          <w:p w14:paraId="3A76BEA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p>
        </w:tc>
        <w:tc>
          <w:tcPr>
            <w:tcW w:w="2492" w:type="dxa"/>
          </w:tcPr>
          <w:p w14:paraId="2D945FD0">
            <w:pPr>
              <w:adjustRightInd/>
              <w:spacing w:line="380" w:lineRule="exact"/>
              <w:jc w:val="center"/>
              <w:outlineLvl w:val="9"/>
              <w:rPr>
                <w:rFonts w:hint="eastAsia" w:ascii="仿宋" w:hAnsi="仿宋" w:eastAsia="仿宋" w:cs="仿宋"/>
                <w:color w:val="auto"/>
                <w:sz w:val="24"/>
                <w:szCs w:val="24"/>
              </w:rPr>
            </w:pPr>
          </w:p>
        </w:tc>
        <w:tc>
          <w:tcPr>
            <w:tcW w:w="2835" w:type="dxa"/>
          </w:tcPr>
          <w:p w14:paraId="57F75214">
            <w:pPr>
              <w:adjustRightInd/>
              <w:spacing w:line="380" w:lineRule="exact"/>
              <w:jc w:val="center"/>
              <w:outlineLvl w:val="9"/>
              <w:rPr>
                <w:rFonts w:hint="eastAsia" w:ascii="仿宋" w:hAnsi="仿宋" w:eastAsia="仿宋" w:cs="仿宋"/>
                <w:color w:val="auto"/>
                <w:sz w:val="24"/>
                <w:szCs w:val="24"/>
              </w:rPr>
            </w:pPr>
          </w:p>
        </w:tc>
        <w:tc>
          <w:tcPr>
            <w:tcW w:w="1260" w:type="dxa"/>
          </w:tcPr>
          <w:p w14:paraId="52DBAFDE">
            <w:pPr>
              <w:adjustRightInd/>
              <w:spacing w:line="380" w:lineRule="exact"/>
              <w:jc w:val="center"/>
              <w:outlineLvl w:val="9"/>
              <w:rPr>
                <w:rFonts w:hint="eastAsia" w:ascii="仿宋" w:hAnsi="仿宋" w:eastAsia="仿宋" w:cs="仿宋"/>
                <w:color w:val="auto"/>
                <w:sz w:val="24"/>
                <w:szCs w:val="24"/>
              </w:rPr>
            </w:pPr>
          </w:p>
        </w:tc>
      </w:tr>
    </w:tbl>
    <w:p w14:paraId="2E008EED">
      <w:pPr>
        <w:spacing w:line="360" w:lineRule="auto"/>
        <w:ind w:right="420"/>
        <w:rPr>
          <w:rFonts w:hint="eastAsia" w:ascii="仿宋" w:hAnsi="仿宋" w:eastAsia="仿宋" w:cs="仿宋"/>
          <w:b/>
          <w:bCs/>
          <w:color w:val="auto"/>
          <w:sz w:val="32"/>
          <w:szCs w:val="32"/>
        </w:rPr>
      </w:pPr>
    </w:p>
    <w:p w14:paraId="1D6D553B">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719A51A9">
      <w:pPr>
        <w:spacing w:line="360" w:lineRule="auto"/>
        <w:ind w:left="4620" w:leftChars="2200"/>
        <w:rPr>
          <w:rFonts w:hint="eastAsia" w:ascii="仿宋" w:hAnsi="仿宋" w:eastAsia="仿宋" w:cs="仿宋"/>
          <w:b/>
          <w:color w:val="auto"/>
          <w:kern w:val="0"/>
          <w:sz w:val="32"/>
          <w:szCs w:val="32"/>
          <w:lang w:val="en-US" w:eastAsia="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64AD08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35776E1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4AF5A3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八、技术</w:t>
      </w:r>
      <w:r>
        <w:rPr>
          <w:rFonts w:hint="eastAsia" w:ascii="仿宋" w:hAnsi="仿宋" w:eastAsia="仿宋" w:cs="仿宋"/>
          <w:b/>
          <w:color w:val="auto"/>
          <w:kern w:val="0"/>
          <w:sz w:val="32"/>
          <w:szCs w:val="32"/>
        </w:rPr>
        <w:t>响应表</w:t>
      </w:r>
    </w:p>
    <w:p w14:paraId="20223CD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color w:val="auto"/>
          <w:sz w:val="24"/>
        </w:rPr>
        <w:t>（由</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根据采购需求及招标文件要求编制）</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631C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95B9755">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17" w:type="dxa"/>
            <w:vAlign w:val="center"/>
          </w:tcPr>
          <w:p w14:paraId="0E556C0B">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835" w:type="dxa"/>
            <w:vAlign w:val="center"/>
          </w:tcPr>
          <w:p w14:paraId="313B1252">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69192A95">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3B9BC8FF">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48DA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33D1A91">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17" w:type="dxa"/>
          </w:tcPr>
          <w:p w14:paraId="4BFF3992">
            <w:pPr>
              <w:adjustRightInd/>
              <w:spacing w:line="380" w:lineRule="exact"/>
              <w:jc w:val="center"/>
              <w:outlineLvl w:val="9"/>
              <w:rPr>
                <w:rFonts w:hint="eastAsia" w:ascii="仿宋" w:hAnsi="仿宋" w:eastAsia="仿宋" w:cs="仿宋"/>
                <w:color w:val="auto"/>
                <w:sz w:val="24"/>
                <w:szCs w:val="24"/>
              </w:rPr>
            </w:pPr>
          </w:p>
        </w:tc>
        <w:tc>
          <w:tcPr>
            <w:tcW w:w="2835" w:type="dxa"/>
          </w:tcPr>
          <w:p w14:paraId="64BA1762">
            <w:pPr>
              <w:adjustRightInd/>
              <w:spacing w:line="380" w:lineRule="exact"/>
              <w:jc w:val="center"/>
              <w:outlineLvl w:val="9"/>
              <w:rPr>
                <w:rFonts w:hint="eastAsia" w:ascii="仿宋" w:hAnsi="仿宋" w:eastAsia="仿宋" w:cs="仿宋"/>
                <w:color w:val="auto"/>
                <w:sz w:val="24"/>
                <w:szCs w:val="24"/>
              </w:rPr>
            </w:pPr>
          </w:p>
        </w:tc>
        <w:tc>
          <w:tcPr>
            <w:tcW w:w="2835" w:type="dxa"/>
          </w:tcPr>
          <w:p w14:paraId="4F221E17">
            <w:pPr>
              <w:adjustRightInd/>
              <w:spacing w:line="380" w:lineRule="exact"/>
              <w:jc w:val="center"/>
              <w:outlineLvl w:val="9"/>
              <w:rPr>
                <w:rFonts w:hint="eastAsia" w:ascii="仿宋" w:hAnsi="仿宋" w:eastAsia="仿宋" w:cs="仿宋"/>
                <w:color w:val="auto"/>
                <w:sz w:val="24"/>
                <w:szCs w:val="24"/>
              </w:rPr>
            </w:pPr>
          </w:p>
        </w:tc>
        <w:tc>
          <w:tcPr>
            <w:tcW w:w="1260" w:type="dxa"/>
          </w:tcPr>
          <w:p w14:paraId="31ABF34E">
            <w:pPr>
              <w:adjustRightInd/>
              <w:spacing w:line="380" w:lineRule="exact"/>
              <w:jc w:val="center"/>
              <w:outlineLvl w:val="9"/>
              <w:rPr>
                <w:rFonts w:hint="eastAsia" w:ascii="仿宋" w:hAnsi="仿宋" w:eastAsia="仿宋" w:cs="仿宋"/>
                <w:color w:val="auto"/>
                <w:sz w:val="24"/>
                <w:szCs w:val="24"/>
              </w:rPr>
            </w:pPr>
          </w:p>
        </w:tc>
      </w:tr>
      <w:tr w14:paraId="1053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221D3D5">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17" w:type="dxa"/>
          </w:tcPr>
          <w:p w14:paraId="335957F1">
            <w:pPr>
              <w:adjustRightInd/>
              <w:spacing w:line="380" w:lineRule="exact"/>
              <w:jc w:val="center"/>
              <w:outlineLvl w:val="9"/>
              <w:rPr>
                <w:rFonts w:hint="eastAsia" w:ascii="仿宋" w:hAnsi="仿宋" w:eastAsia="仿宋" w:cs="仿宋"/>
                <w:color w:val="auto"/>
                <w:sz w:val="24"/>
                <w:szCs w:val="24"/>
              </w:rPr>
            </w:pPr>
          </w:p>
        </w:tc>
        <w:tc>
          <w:tcPr>
            <w:tcW w:w="2835" w:type="dxa"/>
          </w:tcPr>
          <w:p w14:paraId="17DF79BB">
            <w:pPr>
              <w:adjustRightInd/>
              <w:spacing w:line="380" w:lineRule="exact"/>
              <w:jc w:val="center"/>
              <w:outlineLvl w:val="9"/>
              <w:rPr>
                <w:rFonts w:hint="eastAsia" w:ascii="仿宋" w:hAnsi="仿宋" w:eastAsia="仿宋" w:cs="仿宋"/>
                <w:color w:val="auto"/>
                <w:sz w:val="24"/>
                <w:szCs w:val="24"/>
              </w:rPr>
            </w:pPr>
          </w:p>
        </w:tc>
        <w:tc>
          <w:tcPr>
            <w:tcW w:w="2835" w:type="dxa"/>
          </w:tcPr>
          <w:p w14:paraId="38659790">
            <w:pPr>
              <w:adjustRightInd/>
              <w:spacing w:line="380" w:lineRule="exact"/>
              <w:jc w:val="center"/>
              <w:outlineLvl w:val="9"/>
              <w:rPr>
                <w:rFonts w:hint="eastAsia" w:ascii="仿宋" w:hAnsi="仿宋" w:eastAsia="仿宋" w:cs="仿宋"/>
                <w:color w:val="auto"/>
                <w:sz w:val="24"/>
                <w:szCs w:val="24"/>
              </w:rPr>
            </w:pPr>
          </w:p>
        </w:tc>
        <w:tc>
          <w:tcPr>
            <w:tcW w:w="1260" w:type="dxa"/>
          </w:tcPr>
          <w:p w14:paraId="1A4657FA">
            <w:pPr>
              <w:adjustRightInd/>
              <w:spacing w:line="380" w:lineRule="exact"/>
              <w:jc w:val="center"/>
              <w:outlineLvl w:val="9"/>
              <w:rPr>
                <w:rFonts w:hint="eastAsia" w:ascii="仿宋" w:hAnsi="仿宋" w:eastAsia="仿宋" w:cs="仿宋"/>
                <w:color w:val="auto"/>
                <w:sz w:val="24"/>
                <w:szCs w:val="24"/>
              </w:rPr>
            </w:pPr>
          </w:p>
        </w:tc>
      </w:tr>
      <w:tr w14:paraId="73F1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9663447">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17" w:type="dxa"/>
          </w:tcPr>
          <w:p w14:paraId="2343602E">
            <w:pPr>
              <w:adjustRightInd/>
              <w:spacing w:line="380" w:lineRule="exact"/>
              <w:jc w:val="center"/>
              <w:outlineLvl w:val="9"/>
              <w:rPr>
                <w:rFonts w:hint="eastAsia" w:ascii="仿宋" w:hAnsi="仿宋" w:eastAsia="仿宋" w:cs="仿宋"/>
                <w:color w:val="auto"/>
                <w:sz w:val="24"/>
                <w:szCs w:val="24"/>
              </w:rPr>
            </w:pPr>
          </w:p>
        </w:tc>
        <w:tc>
          <w:tcPr>
            <w:tcW w:w="2835" w:type="dxa"/>
          </w:tcPr>
          <w:p w14:paraId="48E379C5">
            <w:pPr>
              <w:adjustRightInd/>
              <w:spacing w:line="380" w:lineRule="exact"/>
              <w:jc w:val="center"/>
              <w:outlineLvl w:val="9"/>
              <w:rPr>
                <w:rFonts w:hint="eastAsia" w:ascii="仿宋" w:hAnsi="仿宋" w:eastAsia="仿宋" w:cs="仿宋"/>
                <w:color w:val="auto"/>
                <w:sz w:val="24"/>
                <w:szCs w:val="24"/>
              </w:rPr>
            </w:pPr>
          </w:p>
        </w:tc>
        <w:tc>
          <w:tcPr>
            <w:tcW w:w="2835" w:type="dxa"/>
          </w:tcPr>
          <w:p w14:paraId="670D9CDD">
            <w:pPr>
              <w:adjustRightInd/>
              <w:spacing w:line="380" w:lineRule="exact"/>
              <w:jc w:val="center"/>
              <w:outlineLvl w:val="9"/>
              <w:rPr>
                <w:rFonts w:hint="eastAsia" w:ascii="仿宋" w:hAnsi="仿宋" w:eastAsia="仿宋" w:cs="仿宋"/>
                <w:color w:val="auto"/>
                <w:sz w:val="24"/>
                <w:szCs w:val="24"/>
              </w:rPr>
            </w:pPr>
          </w:p>
        </w:tc>
        <w:tc>
          <w:tcPr>
            <w:tcW w:w="1260" w:type="dxa"/>
          </w:tcPr>
          <w:p w14:paraId="507B00FF">
            <w:pPr>
              <w:adjustRightInd/>
              <w:spacing w:line="380" w:lineRule="exact"/>
              <w:jc w:val="center"/>
              <w:outlineLvl w:val="9"/>
              <w:rPr>
                <w:rFonts w:hint="eastAsia" w:ascii="仿宋" w:hAnsi="仿宋" w:eastAsia="仿宋" w:cs="仿宋"/>
                <w:color w:val="auto"/>
                <w:sz w:val="24"/>
                <w:szCs w:val="24"/>
              </w:rPr>
            </w:pPr>
          </w:p>
        </w:tc>
      </w:tr>
    </w:tbl>
    <w:p w14:paraId="6C21A347">
      <w:pPr>
        <w:spacing w:line="360" w:lineRule="auto"/>
        <w:ind w:right="420"/>
        <w:rPr>
          <w:rFonts w:hint="eastAsia" w:ascii="仿宋" w:hAnsi="仿宋" w:eastAsia="仿宋" w:cs="仿宋"/>
          <w:b/>
          <w:bCs/>
          <w:color w:val="auto"/>
          <w:sz w:val="32"/>
          <w:szCs w:val="32"/>
        </w:rPr>
      </w:pPr>
    </w:p>
    <w:p w14:paraId="5870E1BB">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00D4F440">
      <w:pPr>
        <w:ind w:firstLine="4560" w:firstLineChars="1900"/>
        <w:rPr>
          <w:rFonts w:hint="eastAsia" w:ascii="仿宋" w:hAnsi="仿宋" w:eastAsia="仿宋" w:cs="仿宋"/>
          <w:b/>
          <w:bCs/>
          <w:color w:val="auto"/>
          <w:sz w:val="32"/>
          <w:szCs w:val="32"/>
          <w:lang w:eastAsia="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1FA120A6">
      <w:pPr>
        <w:widowControl/>
        <w:adjustRightInd/>
        <w:jc w:val="center"/>
        <w:rPr>
          <w:rFonts w:hint="eastAsia" w:ascii="仿宋" w:hAnsi="仿宋" w:eastAsia="仿宋" w:cs="仿宋"/>
          <w:b/>
          <w:bCs/>
          <w:color w:val="auto"/>
          <w:sz w:val="32"/>
          <w:szCs w:val="32"/>
          <w:lang w:val="en-US" w:eastAsia="zh-CN"/>
        </w:rPr>
      </w:pPr>
    </w:p>
    <w:p w14:paraId="76AED48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注：1.结合招标文件“招标项目范围及要求”的服务要求相比较且对应真实填写，在“偏离说明”栏注明“正偏离”、“负偏离”或“无偏离”。</w:t>
      </w:r>
    </w:p>
    <w:p w14:paraId="3F58713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val="0"/>
          <w:bCs w:val="0"/>
          <w:color w:val="auto"/>
          <w:sz w:val="24"/>
          <w:szCs w:val="24"/>
          <w:lang w:val="en-US" w:eastAsia="zh-CN"/>
        </w:rPr>
        <w:t>2.不提供此表或注明“无偏离”均将视为完全响应及满足招标文件要求。</w:t>
      </w:r>
    </w:p>
    <w:p w14:paraId="511B2069">
      <w:p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br w:type="page"/>
      </w:r>
    </w:p>
    <w:p w14:paraId="39BE1016">
      <w:pPr>
        <w:spacing w:line="336" w:lineRule="auto"/>
        <w:jc w:val="center"/>
        <w:rPr>
          <w:rFonts w:hint="eastAsia" w:ascii="仿宋" w:hAnsi="仿宋" w:eastAsia="仿宋" w:cs="仿宋"/>
          <w:color w:val="auto"/>
          <w:sz w:val="24"/>
        </w:rPr>
      </w:pPr>
    </w:p>
    <w:p w14:paraId="49CF9FBC">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32"/>
          <w:szCs w:val="32"/>
          <w:highlight w:val="none"/>
          <w:lang w:val="en-US" w:eastAsia="zh-CN"/>
        </w:rPr>
        <w:t>九</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同类</w:t>
      </w:r>
      <w:r>
        <w:rPr>
          <w:rFonts w:hint="eastAsia" w:ascii="仿宋" w:hAnsi="仿宋" w:eastAsia="仿宋" w:cs="仿宋"/>
          <w:b/>
          <w:color w:val="auto"/>
          <w:kern w:val="0"/>
          <w:sz w:val="32"/>
          <w:szCs w:val="32"/>
          <w:highlight w:val="none"/>
          <w:lang w:val="zh-CN"/>
        </w:rPr>
        <w:t>业绩证明</w:t>
      </w:r>
    </w:p>
    <w:tbl>
      <w:tblPr>
        <w:tblStyle w:val="62"/>
        <w:tblW w:w="901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883"/>
        <w:gridCol w:w="1294"/>
        <w:gridCol w:w="1118"/>
        <w:gridCol w:w="1466"/>
        <w:gridCol w:w="810"/>
        <w:gridCol w:w="890"/>
        <w:gridCol w:w="1345"/>
      </w:tblGrid>
      <w:tr w14:paraId="2B78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06" w:type="dxa"/>
            <w:vMerge w:val="restart"/>
            <w:vAlign w:val="center"/>
          </w:tcPr>
          <w:p w14:paraId="35883F7C">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883" w:type="dxa"/>
            <w:vMerge w:val="restart"/>
            <w:vAlign w:val="center"/>
          </w:tcPr>
          <w:p w14:paraId="58A49E9B">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p w14:paraId="1E20EEC5">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类型</w:t>
            </w:r>
          </w:p>
        </w:tc>
        <w:tc>
          <w:tcPr>
            <w:tcW w:w="1294" w:type="dxa"/>
            <w:vMerge w:val="restart"/>
            <w:vAlign w:val="center"/>
          </w:tcPr>
          <w:p w14:paraId="68DD3A6E">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w:t>
            </w:r>
            <w:bookmarkStart w:id="97" w:name="_GoBack"/>
            <w:bookmarkEnd w:id="97"/>
            <w:r>
              <w:rPr>
                <w:rFonts w:hint="eastAsia" w:ascii="仿宋" w:hAnsi="仿宋" w:eastAsia="仿宋" w:cs="仿宋"/>
                <w:color w:val="auto"/>
                <w:sz w:val="24"/>
                <w:szCs w:val="24"/>
                <w:highlight w:val="none"/>
                <w:lang w:val="en-US" w:eastAsia="zh-CN"/>
              </w:rPr>
              <w:t>时间</w:t>
            </w:r>
          </w:p>
        </w:tc>
        <w:tc>
          <w:tcPr>
            <w:tcW w:w="1118" w:type="dxa"/>
            <w:vMerge w:val="restart"/>
            <w:vAlign w:val="center"/>
          </w:tcPr>
          <w:p w14:paraId="560AB065">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w:t>
            </w:r>
          </w:p>
          <w:p w14:paraId="05BACDA2">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w:t>
            </w:r>
          </w:p>
          <w:p w14:paraId="22D2BA94">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466" w:type="dxa"/>
            <w:vMerge w:val="restart"/>
            <w:vAlign w:val="center"/>
          </w:tcPr>
          <w:p w14:paraId="55541C69">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项目地址与采购单位联系电话</w:t>
            </w:r>
          </w:p>
        </w:tc>
        <w:tc>
          <w:tcPr>
            <w:tcW w:w="1700" w:type="dxa"/>
            <w:gridSpan w:val="2"/>
            <w:vAlign w:val="center"/>
          </w:tcPr>
          <w:p w14:paraId="0560A32B">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页码</w:t>
            </w:r>
          </w:p>
        </w:tc>
        <w:tc>
          <w:tcPr>
            <w:tcW w:w="1345" w:type="dxa"/>
            <w:vAlign w:val="center"/>
          </w:tcPr>
          <w:p w14:paraId="48DC3E41">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备注</w:t>
            </w:r>
          </w:p>
        </w:tc>
      </w:tr>
      <w:tr w14:paraId="2398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206" w:type="dxa"/>
            <w:vMerge w:val="continue"/>
            <w:vAlign w:val="center"/>
          </w:tcPr>
          <w:p w14:paraId="6DE1448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color w:val="auto"/>
                <w:highlight w:val="none"/>
              </w:rPr>
            </w:pPr>
          </w:p>
        </w:tc>
        <w:tc>
          <w:tcPr>
            <w:tcW w:w="883" w:type="dxa"/>
            <w:vMerge w:val="continue"/>
            <w:vAlign w:val="center"/>
          </w:tcPr>
          <w:p w14:paraId="5C0B983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color w:val="auto"/>
                <w:highlight w:val="none"/>
              </w:rPr>
            </w:pPr>
          </w:p>
        </w:tc>
        <w:tc>
          <w:tcPr>
            <w:tcW w:w="1294" w:type="dxa"/>
            <w:vMerge w:val="continue"/>
            <w:vAlign w:val="center"/>
          </w:tcPr>
          <w:p w14:paraId="4893D0B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color w:val="auto"/>
                <w:highlight w:val="none"/>
              </w:rPr>
            </w:pPr>
          </w:p>
        </w:tc>
        <w:tc>
          <w:tcPr>
            <w:tcW w:w="1118" w:type="dxa"/>
            <w:vMerge w:val="continue"/>
            <w:vAlign w:val="center"/>
          </w:tcPr>
          <w:p w14:paraId="353090C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color w:val="auto"/>
                <w:highlight w:val="none"/>
              </w:rPr>
            </w:pPr>
          </w:p>
        </w:tc>
        <w:tc>
          <w:tcPr>
            <w:tcW w:w="1466" w:type="dxa"/>
            <w:vMerge w:val="continue"/>
            <w:vAlign w:val="center"/>
          </w:tcPr>
          <w:p w14:paraId="17C0613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color w:val="auto"/>
                <w:highlight w:val="none"/>
              </w:rPr>
            </w:pPr>
          </w:p>
        </w:tc>
        <w:tc>
          <w:tcPr>
            <w:tcW w:w="810" w:type="dxa"/>
            <w:vAlign w:val="center"/>
          </w:tcPr>
          <w:p w14:paraId="0A3B1FC0">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w:t>
            </w:r>
          </w:p>
        </w:tc>
        <w:tc>
          <w:tcPr>
            <w:tcW w:w="890" w:type="dxa"/>
            <w:vAlign w:val="center"/>
          </w:tcPr>
          <w:p w14:paraId="1D2C1CFE">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发票</w:t>
            </w:r>
          </w:p>
        </w:tc>
        <w:tc>
          <w:tcPr>
            <w:tcW w:w="1345" w:type="dxa"/>
            <w:vAlign w:val="center"/>
          </w:tcPr>
          <w:p w14:paraId="1758DBF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color w:val="auto"/>
                <w:sz w:val="24"/>
                <w:highlight w:val="none"/>
                <w:lang w:val="en-US" w:eastAsia="zh-CN"/>
              </w:rPr>
            </w:pPr>
          </w:p>
        </w:tc>
      </w:tr>
      <w:tr w14:paraId="1FF4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06" w:type="dxa"/>
          </w:tcPr>
          <w:p w14:paraId="3DA4D3A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c>
          <w:tcPr>
            <w:tcW w:w="883" w:type="dxa"/>
          </w:tcPr>
          <w:p w14:paraId="52AB489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c>
          <w:tcPr>
            <w:tcW w:w="1294" w:type="dxa"/>
          </w:tcPr>
          <w:p w14:paraId="233FCD9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c>
          <w:tcPr>
            <w:tcW w:w="1118" w:type="dxa"/>
          </w:tcPr>
          <w:p w14:paraId="61BA8C9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c>
          <w:tcPr>
            <w:tcW w:w="1466" w:type="dxa"/>
          </w:tcPr>
          <w:p w14:paraId="63EEAEF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c>
          <w:tcPr>
            <w:tcW w:w="810" w:type="dxa"/>
          </w:tcPr>
          <w:p w14:paraId="51E49AB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c>
          <w:tcPr>
            <w:tcW w:w="890" w:type="dxa"/>
          </w:tcPr>
          <w:p w14:paraId="21E4525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c>
          <w:tcPr>
            <w:tcW w:w="1345" w:type="dxa"/>
          </w:tcPr>
          <w:p w14:paraId="490B5C1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r>
      <w:tr w14:paraId="658E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206" w:type="dxa"/>
          </w:tcPr>
          <w:p w14:paraId="5076D4D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c>
          <w:tcPr>
            <w:tcW w:w="883" w:type="dxa"/>
          </w:tcPr>
          <w:p w14:paraId="37652AF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c>
          <w:tcPr>
            <w:tcW w:w="1294" w:type="dxa"/>
          </w:tcPr>
          <w:p w14:paraId="5606A5A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c>
          <w:tcPr>
            <w:tcW w:w="1118" w:type="dxa"/>
          </w:tcPr>
          <w:p w14:paraId="39BEC54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c>
          <w:tcPr>
            <w:tcW w:w="1466" w:type="dxa"/>
          </w:tcPr>
          <w:p w14:paraId="7F6DC03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c>
          <w:tcPr>
            <w:tcW w:w="810" w:type="dxa"/>
          </w:tcPr>
          <w:p w14:paraId="6F71EA3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c>
          <w:tcPr>
            <w:tcW w:w="890" w:type="dxa"/>
          </w:tcPr>
          <w:p w14:paraId="2E5DB92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c>
          <w:tcPr>
            <w:tcW w:w="1345" w:type="dxa"/>
          </w:tcPr>
          <w:p w14:paraId="0BEC8C1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r>
      <w:tr w14:paraId="3AE7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06" w:type="dxa"/>
          </w:tcPr>
          <w:p w14:paraId="2861876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c>
          <w:tcPr>
            <w:tcW w:w="883" w:type="dxa"/>
          </w:tcPr>
          <w:p w14:paraId="5914943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c>
          <w:tcPr>
            <w:tcW w:w="1294" w:type="dxa"/>
          </w:tcPr>
          <w:p w14:paraId="1E3A97B0">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c>
          <w:tcPr>
            <w:tcW w:w="1118" w:type="dxa"/>
          </w:tcPr>
          <w:p w14:paraId="09310ED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c>
          <w:tcPr>
            <w:tcW w:w="1466" w:type="dxa"/>
          </w:tcPr>
          <w:p w14:paraId="7F77A65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c>
          <w:tcPr>
            <w:tcW w:w="810" w:type="dxa"/>
          </w:tcPr>
          <w:p w14:paraId="06076D7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c>
          <w:tcPr>
            <w:tcW w:w="890" w:type="dxa"/>
          </w:tcPr>
          <w:p w14:paraId="10916F7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c>
          <w:tcPr>
            <w:tcW w:w="1345" w:type="dxa"/>
          </w:tcPr>
          <w:p w14:paraId="24CD78C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highlight w:val="none"/>
              </w:rPr>
            </w:pPr>
          </w:p>
        </w:tc>
      </w:tr>
    </w:tbl>
    <w:p w14:paraId="4CE1A27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b/>
          <w:color w:val="auto"/>
          <w:sz w:val="24"/>
          <w:highlight w:val="none"/>
          <w:lang w:val="en-US" w:eastAsia="zh-CN"/>
        </w:rPr>
      </w:pPr>
      <w:r>
        <w:rPr>
          <w:rFonts w:hint="eastAsia" w:ascii="仿宋" w:hAnsi="仿宋" w:eastAsia="仿宋" w:cs="仿宋"/>
          <w:b w:val="0"/>
          <w:bCs/>
          <w:color w:val="auto"/>
          <w:sz w:val="24"/>
          <w:highlight w:val="none"/>
        </w:rPr>
        <w:t>注：</w:t>
      </w:r>
      <w:r>
        <w:rPr>
          <w:rFonts w:hint="eastAsia" w:ascii="仿宋" w:hAnsi="仿宋" w:eastAsia="仿宋" w:cs="仿宋"/>
          <w:b w:val="0"/>
          <w:bCs/>
          <w:color w:val="auto"/>
          <w:sz w:val="24"/>
          <w:highlight w:val="none"/>
          <w:lang w:val="en-US" w:eastAsia="zh-CN"/>
        </w:rPr>
        <w:t>提供评分标准中要求的相关材料附后。</w:t>
      </w:r>
    </w:p>
    <w:p w14:paraId="71D8173A">
      <w:pPr>
        <w:spacing w:line="336" w:lineRule="auto"/>
        <w:jc w:val="center"/>
        <w:rPr>
          <w:rFonts w:hint="eastAsia" w:ascii="仿宋" w:hAnsi="仿宋" w:eastAsia="仿宋" w:cs="仿宋"/>
          <w:color w:val="auto"/>
          <w:sz w:val="24"/>
        </w:rPr>
      </w:pPr>
    </w:p>
    <w:p w14:paraId="0D049706">
      <w:pPr>
        <w:spacing w:line="336"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rPr>
        <w:t>、项目人员配备</w:t>
      </w:r>
    </w:p>
    <w:p w14:paraId="3EB1D05B">
      <w:pPr>
        <w:autoSpaceDE w:val="0"/>
        <w:autoSpaceDN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（由</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根据采购需求及招标文件</w:t>
      </w:r>
      <w:r>
        <w:rPr>
          <w:rFonts w:hint="eastAsia" w:ascii="仿宋" w:hAnsi="仿宋" w:eastAsia="仿宋" w:cs="仿宋"/>
          <w:color w:val="auto"/>
          <w:sz w:val="24"/>
          <w:lang w:val="en-US" w:eastAsia="zh-CN"/>
        </w:rPr>
        <w:t>评分</w:t>
      </w:r>
      <w:r>
        <w:rPr>
          <w:rFonts w:hint="eastAsia" w:ascii="仿宋" w:hAnsi="仿宋" w:eastAsia="仿宋" w:cs="仿宋"/>
          <w:color w:val="auto"/>
          <w:sz w:val="24"/>
        </w:rPr>
        <w:t>要求编制）</w:t>
      </w:r>
    </w:p>
    <w:p w14:paraId="761C4EED">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lang w:val="en-US" w:eastAsia="zh-CN"/>
        </w:rPr>
      </w:pPr>
    </w:p>
    <w:p w14:paraId="0E9757E5">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14:paraId="30C9B2D2">
      <w:pPr>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0CE2EFBC">
      <w:pPr>
        <w:spacing w:line="336" w:lineRule="auto"/>
        <w:jc w:val="center"/>
        <w:rPr>
          <w:rFonts w:hint="eastAsia" w:ascii="仿宋" w:hAnsi="仿宋" w:eastAsia="仿宋" w:cs="仿宋"/>
          <w:color w:val="auto"/>
          <w:sz w:val="24"/>
        </w:rPr>
      </w:pPr>
    </w:p>
    <w:p w14:paraId="5AF1BC48">
      <w:pPr>
        <w:spacing w:line="336" w:lineRule="auto"/>
        <w:jc w:val="center"/>
        <w:rPr>
          <w:rFonts w:hint="eastAsia" w:ascii="仿宋" w:hAnsi="仿宋" w:eastAsia="仿宋" w:cs="仿宋"/>
          <w:color w:val="auto"/>
          <w:sz w:val="24"/>
        </w:rPr>
      </w:pP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、项目了解及分析</w:t>
      </w:r>
    </w:p>
    <w:p w14:paraId="02D75A97">
      <w:pPr>
        <w:autoSpaceDE w:val="0"/>
        <w:autoSpaceDN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（由</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根据采购需求及招标文件</w:t>
      </w:r>
      <w:r>
        <w:rPr>
          <w:rFonts w:hint="eastAsia" w:ascii="仿宋" w:hAnsi="仿宋" w:eastAsia="仿宋" w:cs="仿宋"/>
          <w:color w:val="auto"/>
          <w:sz w:val="24"/>
          <w:lang w:val="en-US" w:eastAsia="zh-CN"/>
        </w:rPr>
        <w:t>评分</w:t>
      </w:r>
      <w:r>
        <w:rPr>
          <w:rFonts w:hint="eastAsia" w:ascii="仿宋" w:hAnsi="仿宋" w:eastAsia="仿宋" w:cs="仿宋"/>
          <w:color w:val="auto"/>
          <w:sz w:val="24"/>
        </w:rPr>
        <w:t>要求编制）</w:t>
      </w:r>
    </w:p>
    <w:p w14:paraId="28193591">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lang w:val="en-US" w:eastAsia="zh-CN"/>
        </w:rPr>
      </w:pPr>
    </w:p>
    <w:p w14:paraId="46DE049B">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14:paraId="4935A4DB">
      <w:pPr>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17414F03">
      <w:pPr>
        <w:spacing w:line="336" w:lineRule="auto"/>
        <w:jc w:val="center"/>
        <w:rPr>
          <w:rFonts w:hint="eastAsia" w:ascii="仿宋" w:hAnsi="仿宋" w:eastAsia="仿宋" w:cs="仿宋"/>
          <w:color w:val="auto"/>
          <w:sz w:val="24"/>
        </w:rPr>
      </w:pPr>
    </w:p>
    <w:p w14:paraId="1DE9CF31">
      <w:pPr>
        <w:spacing w:line="336" w:lineRule="auto"/>
        <w:jc w:val="center"/>
        <w:rPr>
          <w:rFonts w:hint="eastAsia" w:ascii="仿宋" w:hAnsi="仿宋" w:eastAsia="仿宋" w:cs="仿宋"/>
          <w:color w:val="auto"/>
          <w:sz w:val="24"/>
        </w:rPr>
      </w:pP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、项目设计方案</w:t>
      </w:r>
    </w:p>
    <w:p w14:paraId="7DD99A98">
      <w:pPr>
        <w:autoSpaceDE w:val="0"/>
        <w:autoSpaceDN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（由</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根据采购需求及招标文件</w:t>
      </w:r>
      <w:r>
        <w:rPr>
          <w:rFonts w:hint="eastAsia" w:ascii="仿宋" w:hAnsi="仿宋" w:eastAsia="仿宋" w:cs="仿宋"/>
          <w:color w:val="auto"/>
          <w:sz w:val="24"/>
          <w:lang w:val="en-US" w:eastAsia="zh-CN"/>
        </w:rPr>
        <w:t>评分</w:t>
      </w:r>
      <w:r>
        <w:rPr>
          <w:rFonts w:hint="eastAsia" w:ascii="仿宋" w:hAnsi="仿宋" w:eastAsia="仿宋" w:cs="仿宋"/>
          <w:color w:val="auto"/>
          <w:sz w:val="24"/>
        </w:rPr>
        <w:t>要求编制）</w:t>
      </w:r>
    </w:p>
    <w:p w14:paraId="37AD4251">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lang w:val="en-US" w:eastAsia="zh-CN"/>
        </w:rPr>
      </w:pPr>
    </w:p>
    <w:p w14:paraId="79CD734A">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14:paraId="132838A5">
      <w:pPr>
        <w:snapToGrid w:val="0"/>
        <w:spacing w:line="360" w:lineRule="auto"/>
        <w:jc w:val="center"/>
        <w:rPr>
          <w:rFonts w:hint="eastAsia" w:ascii="仿宋" w:hAnsi="仿宋" w:eastAsia="仿宋" w:cs="仿宋"/>
          <w:b/>
          <w:bCs/>
          <w:color w:val="auto"/>
          <w:sz w:val="32"/>
          <w:szCs w:val="32"/>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14:paraId="74448645">
      <w:pPr>
        <w:spacing w:line="336" w:lineRule="auto"/>
        <w:jc w:val="center"/>
        <w:rPr>
          <w:rFonts w:hint="eastAsia" w:ascii="仿宋" w:hAnsi="仿宋" w:eastAsia="仿宋" w:cs="仿宋"/>
          <w:b/>
          <w:bCs/>
          <w:color w:val="auto"/>
          <w:sz w:val="32"/>
          <w:szCs w:val="32"/>
          <w:lang w:eastAsia="zh-CN"/>
        </w:rPr>
      </w:pPr>
    </w:p>
    <w:p w14:paraId="2C83FD40">
      <w:pPr>
        <w:spacing w:line="336" w:lineRule="auto"/>
        <w:jc w:val="center"/>
        <w:rPr>
          <w:rFonts w:hint="eastAsia" w:ascii="仿宋" w:hAnsi="仿宋" w:eastAsia="仿宋" w:cs="仿宋"/>
          <w:color w:val="auto"/>
          <w:sz w:val="24"/>
        </w:rPr>
      </w:pP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、项目实施方案</w:t>
      </w:r>
    </w:p>
    <w:p w14:paraId="7246BE46">
      <w:pPr>
        <w:autoSpaceDE w:val="0"/>
        <w:autoSpaceDN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（由</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根据采购需求及招标文件</w:t>
      </w:r>
      <w:r>
        <w:rPr>
          <w:rFonts w:hint="eastAsia" w:ascii="仿宋" w:hAnsi="仿宋" w:eastAsia="仿宋" w:cs="仿宋"/>
          <w:color w:val="auto"/>
          <w:sz w:val="24"/>
          <w:lang w:val="en-US" w:eastAsia="zh-CN"/>
        </w:rPr>
        <w:t>评分</w:t>
      </w:r>
      <w:r>
        <w:rPr>
          <w:rFonts w:hint="eastAsia" w:ascii="仿宋" w:hAnsi="仿宋" w:eastAsia="仿宋" w:cs="仿宋"/>
          <w:color w:val="auto"/>
          <w:sz w:val="24"/>
        </w:rPr>
        <w:t>要求编制）</w:t>
      </w:r>
    </w:p>
    <w:p w14:paraId="54123C59">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hint="eastAsia"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14:paraId="7AE821C4">
      <w:pPr>
        <w:spacing w:line="336" w:lineRule="auto"/>
        <w:jc w:val="center"/>
        <w:rPr>
          <w:rFonts w:hint="eastAsia" w:ascii="仿宋" w:hAnsi="仿宋" w:eastAsia="仿宋" w:cs="仿宋"/>
          <w:color w:val="auto"/>
          <w:sz w:val="24"/>
          <w:lang w:val="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14:paraId="2D50D1E1">
      <w:pPr>
        <w:spacing w:line="336" w:lineRule="auto"/>
        <w:jc w:val="center"/>
        <w:rPr>
          <w:rFonts w:hint="eastAsia" w:ascii="仿宋" w:hAnsi="仿宋" w:eastAsia="仿宋" w:cs="仿宋"/>
          <w:color w:val="auto"/>
          <w:sz w:val="24"/>
          <w:lang w:eastAsia="zh-CN"/>
        </w:rPr>
      </w:pPr>
    </w:p>
    <w:p w14:paraId="04813E9E">
      <w:pPr>
        <w:spacing w:line="336" w:lineRule="auto"/>
        <w:jc w:val="center"/>
        <w:rPr>
          <w:rFonts w:hint="eastAsia" w:ascii="仿宋" w:hAnsi="仿宋" w:eastAsia="仿宋" w:cs="仿宋"/>
          <w:color w:val="auto"/>
          <w:sz w:val="24"/>
        </w:rPr>
      </w:pP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、质量保证措施</w:t>
      </w:r>
    </w:p>
    <w:p w14:paraId="0C2BE532">
      <w:pPr>
        <w:autoSpaceDE w:val="0"/>
        <w:autoSpaceDN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（由</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根据采购需求及招标文件</w:t>
      </w:r>
      <w:r>
        <w:rPr>
          <w:rFonts w:hint="eastAsia" w:ascii="仿宋" w:hAnsi="仿宋" w:eastAsia="仿宋" w:cs="仿宋"/>
          <w:color w:val="auto"/>
          <w:sz w:val="24"/>
          <w:lang w:val="en-US" w:eastAsia="zh-CN"/>
        </w:rPr>
        <w:t>评分</w:t>
      </w:r>
      <w:r>
        <w:rPr>
          <w:rFonts w:hint="eastAsia" w:ascii="仿宋" w:hAnsi="仿宋" w:eastAsia="仿宋" w:cs="仿宋"/>
          <w:color w:val="auto"/>
          <w:sz w:val="24"/>
        </w:rPr>
        <w:t>要求编制）</w:t>
      </w:r>
    </w:p>
    <w:p w14:paraId="7477BADA">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hint="eastAsia"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14:paraId="0CE846BB">
      <w:pPr>
        <w:spacing w:line="360" w:lineRule="auto"/>
        <w:ind w:firstLine="480"/>
        <w:jc w:val="center"/>
        <w:rPr>
          <w:rFonts w:hint="eastAsia" w:ascii="仿宋" w:hAnsi="仿宋" w:eastAsia="仿宋" w:cs="仿宋"/>
          <w:color w:val="auto"/>
          <w:sz w:val="24"/>
        </w:rPr>
      </w:pPr>
      <w:r>
        <w:rPr>
          <w:rFonts w:hint="eastAsia" w:ascii="仿宋" w:hAnsi="仿宋" w:eastAsia="仿宋" w:cs="仿宋"/>
          <w:color w:val="auto"/>
          <w:sz w:val="24"/>
        </w:rPr>
        <w:t>日期：  年   月   日</w:t>
      </w:r>
    </w:p>
    <w:p w14:paraId="3F8B242F">
      <w:pPr>
        <w:keepNext w:val="0"/>
        <w:keepLines w:val="0"/>
        <w:pageBreakBefore w:val="0"/>
        <w:widowControl w:val="0"/>
        <w:kinsoku/>
        <w:wordWrap/>
        <w:overflowPunct/>
        <w:topLinePunct w:val="0"/>
        <w:autoSpaceDE/>
        <w:autoSpaceDN/>
        <w:bidi w:val="0"/>
        <w:adjustRightInd w:val="0"/>
        <w:snapToGrid/>
        <w:spacing w:line="336" w:lineRule="auto"/>
        <w:ind w:firstLine="482"/>
        <w:jc w:val="center"/>
        <w:textAlignment w:val="auto"/>
        <w:rPr>
          <w:rFonts w:hint="eastAsia" w:ascii="仿宋" w:hAnsi="仿宋" w:eastAsia="仿宋" w:cs="仿宋"/>
          <w:b/>
          <w:bCs/>
          <w:color w:val="auto"/>
          <w:sz w:val="32"/>
          <w:szCs w:val="32"/>
          <w:lang w:eastAsia="zh-CN"/>
        </w:rPr>
      </w:pPr>
    </w:p>
    <w:p w14:paraId="39EB816A">
      <w:pPr>
        <w:spacing w:line="360" w:lineRule="auto"/>
        <w:ind w:firstLine="480"/>
        <w:jc w:val="center"/>
        <w:rPr>
          <w:rFonts w:hint="eastAsia" w:ascii="仿宋" w:hAnsi="仿宋" w:eastAsia="仿宋" w:cs="仿宋"/>
          <w:color w:val="auto"/>
          <w:sz w:val="24"/>
        </w:rPr>
      </w:pP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、设施设备配置</w:t>
      </w:r>
    </w:p>
    <w:p w14:paraId="2FA1E1DB">
      <w:pPr>
        <w:autoSpaceDE w:val="0"/>
        <w:autoSpaceDN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（由</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根据采购需求及招标文件</w:t>
      </w:r>
      <w:r>
        <w:rPr>
          <w:rFonts w:hint="eastAsia" w:ascii="仿宋" w:hAnsi="仿宋" w:eastAsia="仿宋" w:cs="仿宋"/>
          <w:color w:val="auto"/>
          <w:sz w:val="24"/>
          <w:lang w:val="en-US" w:eastAsia="zh-CN"/>
        </w:rPr>
        <w:t>评分</w:t>
      </w:r>
      <w:r>
        <w:rPr>
          <w:rFonts w:hint="eastAsia" w:ascii="仿宋" w:hAnsi="仿宋" w:eastAsia="仿宋" w:cs="仿宋"/>
          <w:color w:val="auto"/>
          <w:sz w:val="24"/>
        </w:rPr>
        <w:t>要求编制）</w:t>
      </w:r>
    </w:p>
    <w:p w14:paraId="141C67F1">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hint="eastAsia"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14:paraId="30D06227">
      <w:pPr>
        <w:spacing w:line="360" w:lineRule="auto"/>
        <w:jc w:val="center"/>
        <w:rPr>
          <w:rFonts w:hint="eastAsia" w:ascii="仿宋" w:hAnsi="仿宋" w:eastAsia="仿宋" w:cs="仿宋"/>
          <w:b/>
          <w:bCs/>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14:paraId="4C6520C8">
      <w:pPr>
        <w:keepNext w:val="0"/>
        <w:keepLines w:val="0"/>
        <w:pageBreakBefore w:val="0"/>
        <w:widowControl w:val="0"/>
        <w:kinsoku/>
        <w:wordWrap/>
        <w:overflowPunct/>
        <w:topLinePunct w:val="0"/>
        <w:autoSpaceDE/>
        <w:autoSpaceDN/>
        <w:bidi w:val="0"/>
        <w:adjustRightInd w:val="0"/>
        <w:snapToGrid/>
        <w:spacing w:line="336" w:lineRule="auto"/>
        <w:jc w:val="center"/>
        <w:textAlignment w:val="auto"/>
        <w:rPr>
          <w:rFonts w:hint="eastAsia" w:ascii="仿宋" w:hAnsi="仿宋" w:eastAsia="仿宋" w:cs="仿宋"/>
          <w:b/>
          <w:bCs/>
          <w:color w:val="auto"/>
          <w:sz w:val="32"/>
          <w:szCs w:val="32"/>
          <w:lang w:eastAsia="zh-CN"/>
        </w:rPr>
      </w:pPr>
    </w:p>
    <w:p w14:paraId="6B02C4D9">
      <w:pPr>
        <w:spacing w:line="336" w:lineRule="auto"/>
        <w:jc w:val="center"/>
        <w:rPr>
          <w:rFonts w:hint="eastAsia" w:ascii="仿宋" w:hAnsi="仿宋" w:eastAsia="仿宋" w:cs="仿宋"/>
          <w:color w:val="auto"/>
          <w:sz w:val="24"/>
        </w:rPr>
      </w:pP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、突发情况应急预案</w:t>
      </w:r>
    </w:p>
    <w:p w14:paraId="5CF74FF6">
      <w:pPr>
        <w:autoSpaceDE w:val="0"/>
        <w:autoSpaceDN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（由</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根据采购需求及招标文件</w:t>
      </w:r>
      <w:r>
        <w:rPr>
          <w:rFonts w:hint="eastAsia" w:ascii="仿宋" w:hAnsi="仿宋" w:eastAsia="仿宋" w:cs="仿宋"/>
          <w:color w:val="auto"/>
          <w:sz w:val="24"/>
          <w:lang w:val="en-US" w:eastAsia="zh-CN"/>
        </w:rPr>
        <w:t>评分</w:t>
      </w:r>
      <w:r>
        <w:rPr>
          <w:rFonts w:hint="eastAsia" w:ascii="仿宋" w:hAnsi="仿宋" w:eastAsia="仿宋" w:cs="仿宋"/>
          <w:color w:val="auto"/>
          <w:sz w:val="24"/>
        </w:rPr>
        <w:t>要求编制）</w:t>
      </w:r>
    </w:p>
    <w:p w14:paraId="2BD10084">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hint="eastAsia"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14:paraId="4C2120A5">
      <w:pPr>
        <w:spacing w:line="360" w:lineRule="auto"/>
        <w:jc w:val="center"/>
        <w:rPr>
          <w:rFonts w:hint="eastAsia" w:ascii="仿宋" w:hAnsi="仿宋" w:eastAsia="仿宋" w:cs="仿宋"/>
          <w:b/>
          <w:bCs/>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14:paraId="40F1B6A6">
      <w:pPr>
        <w:keepNext w:val="0"/>
        <w:keepLines w:val="0"/>
        <w:pageBreakBefore w:val="0"/>
        <w:widowControl w:val="0"/>
        <w:kinsoku/>
        <w:wordWrap/>
        <w:overflowPunct/>
        <w:topLinePunct w:val="0"/>
        <w:autoSpaceDE/>
        <w:autoSpaceDN/>
        <w:bidi w:val="0"/>
        <w:adjustRightInd w:val="0"/>
        <w:snapToGrid/>
        <w:spacing w:line="336" w:lineRule="auto"/>
        <w:jc w:val="center"/>
        <w:textAlignment w:val="auto"/>
        <w:rPr>
          <w:rFonts w:hint="eastAsia" w:ascii="仿宋" w:hAnsi="仿宋" w:eastAsia="仿宋" w:cs="仿宋"/>
          <w:b/>
          <w:bCs/>
          <w:color w:val="auto"/>
          <w:sz w:val="32"/>
          <w:szCs w:val="32"/>
          <w:lang w:eastAsia="zh-CN"/>
        </w:rPr>
      </w:pPr>
    </w:p>
    <w:p w14:paraId="75FFC11F">
      <w:pPr>
        <w:spacing w:line="336" w:lineRule="auto"/>
        <w:jc w:val="center"/>
        <w:rPr>
          <w:rFonts w:hint="eastAsia" w:ascii="仿宋" w:hAnsi="仿宋" w:eastAsia="仿宋" w:cs="仿宋"/>
          <w:color w:val="auto"/>
          <w:sz w:val="24"/>
        </w:rPr>
      </w:pP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、售后服务</w:t>
      </w:r>
    </w:p>
    <w:p w14:paraId="4E79A384">
      <w:pPr>
        <w:autoSpaceDE w:val="0"/>
        <w:autoSpaceDN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（由</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根据采购需求及招标文件</w:t>
      </w:r>
      <w:r>
        <w:rPr>
          <w:rFonts w:hint="eastAsia" w:ascii="仿宋" w:hAnsi="仿宋" w:eastAsia="仿宋" w:cs="仿宋"/>
          <w:color w:val="auto"/>
          <w:sz w:val="24"/>
          <w:lang w:val="en-US" w:eastAsia="zh-CN"/>
        </w:rPr>
        <w:t>评分</w:t>
      </w:r>
      <w:r>
        <w:rPr>
          <w:rFonts w:hint="eastAsia" w:ascii="仿宋" w:hAnsi="仿宋" w:eastAsia="仿宋" w:cs="仿宋"/>
          <w:color w:val="auto"/>
          <w:sz w:val="24"/>
        </w:rPr>
        <w:t>要求编制）</w:t>
      </w:r>
    </w:p>
    <w:p w14:paraId="5CF3E3F6">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hint="eastAsia"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14:paraId="01D74D56">
      <w:pPr>
        <w:spacing w:line="360" w:lineRule="auto"/>
        <w:jc w:val="center"/>
        <w:rPr>
          <w:rFonts w:hint="eastAsia" w:ascii="仿宋" w:hAnsi="仿宋" w:eastAsia="仿宋" w:cs="仿宋"/>
          <w:b/>
          <w:bCs/>
          <w:color w:val="auto"/>
          <w:sz w:val="32"/>
          <w:szCs w:val="32"/>
          <w:lang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14:paraId="170C17F1">
      <w:pPr>
        <w:spacing w:line="360" w:lineRule="auto"/>
        <w:jc w:val="center"/>
        <w:rPr>
          <w:rFonts w:hint="eastAsia" w:ascii="仿宋" w:hAnsi="仿宋" w:eastAsia="仿宋" w:cs="仿宋"/>
          <w:b/>
          <w:bCs/>
          <w:color w:val="auto"/>
          <w:sz w:val="32"/>
          <w:szCs w:val="32"/>
          <w:lang w:val="en-US" w:eastAsia="zh-CN"/>
        </w:rPr>
      </w:pPr>
    </w:p>
    <w:p w14:paraId="248ACCE8">
      <w:pPr>
        <w:spacing w:line="360" w:lineRule="auto"/>
        <w:jc w:val="center"/>
        <w:rPr>
          <w:rFonts w:hint="eastAsia" w:ascii="仿宋" w:hAnsi="仿宋" w:eastAsia="仿宋" w:cs="仿宋"/>
          <w:b/>
          <w:bCs/>
          <w:color w:val="auto"/>
          <w:sz w:val="32"/>
          <w:szCs w:val="32"/>
          <w:lang w:val="en-US" w:eastAsia="zh-CN"/>
        </w:rPr>
      </w:pPr>
    </w:p>
    <w:p w14:paraId="194E06A6">
      <w:p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32"/>
          <w:szCs w:val="32"/>
          <w:lang w:val="en-US" w:eastAsia="zh-CN"/>
        </w:rPr>
        <w:t>十八</w:t>
      </w:r>
      <w:r>
        <w:rPr>
          <w:rFonts w:hint="eastAsia" w:ascii="仿宋" w:hAnsi="仿宋" w:eastAsia="仿宋" w:cs="仿宋"/>
          <w:b/>
          <w:bCs/>
          <w:color w:val="auto"/>
          <w:sz w:val="32"/>
          <w:szCs w:val="32"/>
        </w:rPr>
        <w:t>、供应商需要说明的其他文件和说明（若有）</w:t>
      </w:r>
    </w:p>
    <w:p w14:paraId="7584DF68">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hint="eastAsia"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14:paraId="2272EE72">
      <w:pPr>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4487C7DB">
      <w:pPr>
        <w:spacing w:line="336" w:lineRule="auto"/>
        <w:jc w:val="center"/>
        <w:rPr>
          <w:rFonts w:hint="eastAsia" w:ascii="仿宋" w:hAnsi="仿宋" w:eastAsia="仿宋" w:cs="仿宋"/>
          <w:b/>
          <w:color w:val="auto"/>
          <w:sz w:val="36"/>
          <w:szCs w:val="36"/>
        </w:rPr>
      </w:pPr>
    </w:p>
    <w:p w14:paraId="71F2F3C2">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1FCAC410">
      <w:pPr>
        <w:spacing w:line="336"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04B8F441">
      <w:pPr>
        <w:spacing w:line="336"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6E5C071D">
      <w:pPr>
        <w:spacing w:line="336" w:lineRule="auto"/>
        <w:jc w:val="center"/>
        <w:outlineLvl w:val="0"/>
        <w:rPr>
          <w:rFonts w:hint="eastAsia" w:ascii="仿宋" w:hAnsi="仿宋" w:eastAsia="仿宋" w:cs="仿宋"/>
          <w:b/>
          <w:color w:val="auto"/>
          <w:kern w:val="0"/>
          <w:sz w:val="36"/>
          <w:szCs w:val="36"/>
        </w:rPr>
      </w:pPr>
    </w:p>
    <w:p w14:paraId="60784BD6">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（1）磋商一览表……………………………………………………………………（页码）</w:t>
      </w:r>
    </w:p>
    <w:p w14:paraId="1B5B6A23">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（2）报价明细表………………………………………………………………………（页码）</w:t>
      </w:r>
    </w:p>
    <w:p w14:paraId="081E99E9">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eastAsia="zh-CN"/>
        </w:rPr>
        <w:t>针对报价需要说明的其他文件和说明（</w:t>
      </w:r>
      <w:r>
        <w:rPr>
          <w:rFonts w:hint="eastAsia" w:ascii="仿宋" w:hAnsi="仿宋" w:eastAsia="仿宋" w:cs="仿宋"/>
          <w:color w:val="auto"/>
          <w:sz w:val="24"/>
          <w:lang w:val="en-US" w:eastAsia="zh-CN"/>
        </w:rPr>
        <w:t>若有</w:t>
      </w:r>
      <w:r>
        <w:rPr>
          <w:rFonts w:hint="eastAsia" w:ascii="仿宋" w:hAnsi="仿宋" w:eastAsia="仿宋" w:cs="仿宋"/>
          <w:color w:val="auto"/>
          <w:sz w:val="24"/>
          <w:lang w:eastAsia="zh-CN"/>
        </w:rPr>
        <w:t>）</w:t>
      </w:r>
      <w:r>
        <w:rPr>
          <w:rFonts w:hint="eastAsia" w:ascii="仿宋" w:hAnsi="仿宋" w:eastAsia="仿宋" w:cs="仿宋"/>
          <w:color w:val="auto"/>
          <w:sz w:val="24"/>
        </w:rPr>
        <w:t>………………………（页码）</w:t>
      </w:r>
    </w:p>
    <w:p w14:paraId="7760FDF0">
      <w:pPr>
        <w:numPr>
          <w:ilvl w:val="0"/>
          <w:numId w:val="0"/>
        </w:numPr>
        <w:snapToGrid w:val="0"/>
        <w:spacing w:line="336" w:lineRule="auto"/>
        <w:rPr>
          <w:rFonts w:hint="eastAsia" w:ascii="仿宋" w:hAnsi="仿宋" w:eastAsia="仿宋" w:cs="仿宋"/>
          <w:color w:val="auto"/>
          <w:sz w:val="24"/>
        </w:rPr>
      </w:pPr>
    </w:p>
    <w:p w14:paraId="281587D0">
      <w:pPr>
        <w:pStyle w:val="74"/>
        <w:rPr>
          <w:rFonts w:hint="eastAsia" w:ascii="仿宋" w:hAnsi="仿宋" w:eastAsia="仿宋" w:cs="仿宋"/>
          <w:color w:val="auto"/>
          <w:lang w:eastAsia="zh-CN"/>
        </w:rPr>
      </w:pPr>
    </w:p>
    <w:p w14:paraId="20396C6C">
      <w:pPr>
        <w:snapToGrid w:val="0"/>
        <w:spacing w:line="336" w:lineRule="auto"/>
        <w:jc w:val="center"/>
        <w:rPr>
          <w:rFonts w:hint="eastAsia" w:ascii="仿宋" w:hAnsi="仿宋" w:eastAsia="仿宋" w:cs="仿宋"/>
          <w:b/>
          <w:color w:val="auto"/>
          <w:kern w:val="0"/>
          <w:sz w:val="32"/>
          <w:szCs w:val="32"/>
        </w:rPr>
      </w:pPr>
    </w:p>
    <w:p w14:paraId="257B0E26">
      <w:pPr>
        <w:spacing w:line="336" w:lineRule="auto"/>
        <w:jc w:val="center"/>
        <w:rPr>
          <w:rFonts w:hint="eastAsia" w:ascii="仿宋" w:hAnsi="仿宋" w:eastAsia="仿宋" w:cs="仿宋"/>
          <w:b/>
          <w:bCs/>
          <w:color w:val="auto"/>
          <w:sz w:val="32"/>
          <w:szCs w:val="32"/>
        </w:rPr>
      </w:pPr>
    </w:p>
    <w:p w14:paraId="6E0CD056">
      <w:pPr>
        <w:widowControl/>
        <w:adjustRightInd/>
        <w:spacing w:line="336" w:lineRule="auto"/>
        <w:jc w:val="left"/>
        <w:rPr>
          <w:rFonts w:hint="eastAsia" w:ascii="仿宋" w:hAnsi="仿宋" w:eastAsia="仿宋" w:cs="仿宋"/>
          <w:b/>
          <w:bCs/>
          <w:color w:val="auto"/>
          <w:sz w:val="30"/>
          <w:szCs w:val="30"/>
        </w:rPr>
      </w:pPr>
    </w:p>
    <w:p w14:paraId="3DBF5B76">
      <w:pPr>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rPr>
        <w:br w:type="page"/>
      </w:r>
    </w:p>
    <w:p w14:paraId="5BEEE1FD">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2"/>
          <w:sz w:val="32"/>
          <w:szCs w:val="32"/>
        </w:rPr>
        <w:t>一、</w:t>
      </w:r>
      <w:r>
        <w:rPr>
          <w:rFonts w:hint="eastAsia" w:ascii="仿宋" w:hAnsi="仿宋" w:eastAsia="仿宋" w:cs="仿宋"/>
          <w:b/>
          <w:bCs/>
          <w:color w:val="auto"/>
          <w:kern w:val="2"/>
          <w:sz w:val="32"/>
          <w:szCs w:val="32"/>
          <w:lang w:val="en-US" w:eastAsia="zh-CN"/>
        </w:rPr>
        <w:t>磋商</w:t>
      </w:r>
      <w:r>
        <w:rPr>
          <w:rFonts w:hint="eastAsia" w:ascii="仿宋" w:hAnsi="仿宋" w:eastAsia="仿宋" w:cs="仿宋"/>
          <w:b/>
          <w:bCs/>
          <w:color w:val="auto"/>
          <w:kern w:val="2"/>
          <w:sz w:val="32"/>
          <w:szCs w:val="32"/>
        </w:rPr>
        <w:t>一览表</w:t>
      </w:r>
    </w:p>
    <w:p w14:paraId="4C449B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2C4A09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02C945D6">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单位：（人民币）元                                 </w:t>
      </w:r>
      <w:r>
        <w:rPr>
          <w:rFonts w:hint="eastAsia" w:ascii="仿宋" w:hAnsi="仿宋" w:eastAsia="仿宋" w:cs="仿宋"/>
          <w:b/>
          <w:bCs/>
          <w:color w:val="auto"/>
          <w:sz w:val="24"/>
          <w:szCs w:val="24"/>
        </w:rPr>
        <w:t xml:space="preserve"> </w:t>
      </w:r>
    </w:p>
    <w:tbl>
      <w:tblPr>
        <w:tblStyle w:val="62"/>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3263"/>
        <w:gridCol w:w="2497"/>
        <w:gridCol w:w="2140"/>
      </w:tblGrid>
      <w:tr w14:paraId="0612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012" w:type="dxa"/>
            <w:vAlign w:val="center"/>
          </w:tcPr>
          <w:p w14:paraId="3503CADF">
            <w:pPr>
              <w:adjustRightInd/>
              <w:spacing w:line="380" w:lineRule="exac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3263" w:type="dxa"/>
            <w:vAlign w:val="center"/>
          </w:tcPr>
          <w:p w14:paraId="0E01F81A">
            <w:pPr>
              <w:adjustRightInd/>
              <w:spacing w:line="380" w:lineRule="exact"/>
              <w:jc w:val="center"/>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项目名称</w:t>
            </w:r>
          </w:p>
        </w:tc>
        <w:tc>
          <w:tcPr>
            <w:tcW w:w="2497" w:type="dxa"/>
            <w:vAlign w:val="center"/>
          </w:tcPr>
          <w:p w14:paraId="5304CFA7">
            <w:pPr>
              <w:adjustRightInd/>
              <w:spacing w:line="380" w:lineRule="exact"/>
              <w:jc w:val="center"/>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磋商响应报价</w:t>
            </w:r>
          </w:p>
          <w:p w14:paraId="4B238E91">
            <w:pPr>
              <w:adjustRightInd/>
              <w:spacing w:line="380" w:lineRule="exact"/>
              <w:jc w:val="center"/>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（元）</w:t>
            </w:r>
          </w:p>
        </w:tc>
        <w:tc>
          <w:tcPr>
            <w:tcW w:w="2140" w:type="dxa"/>
            <w:vAlign w:val="center"/>
          </w:tcPr>
          <w:p w14:paraId="031BF17F">
            <w:pPr>
              <w:adjustRightInd/>
              <w:spacing w:line="380" w:lineRule="exact"/>
              <w:jc w:val="center"/>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备注</w:t>
            </w:r>
          </w:p>
        </w:tc>
      </w:tr>
      <w:tr w14:paraId="125F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012" w:type="dxa"/>
            <w:vAlign w:val="center"/>
          </w:tcPr>
          <w:p w14:paraId="29FE8985">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263" w:type="dxa"/>
            <w:vAlign w:val="center"/>
          </w:tcPr>
          <w:p w14:paraId="71775969">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全市义务教育学校提升工程-城北小学改建工程环境提升校园文化建设</w:t>
            </w:r>
          </w:p>
        </w:tc>
        <w:tc>
          <w:tcPr>
            <w:tcW w:w="2497" w:type="dxa"/>
            <w:vAlign w:val="center"/>
          </w:tcPr>
          <w:p w14:paraId="3D3F015B">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eastAsia" w:ascii="仿宋" w:hAnsi="仿宋" w:eastAsia="仿宋" w:cs="仿宋"/>
                <w:color w:val="auto"/>
                <w:sz w:val="24"/>
                <w:szCs w:val="24"/>
                <w:lang w:val="en-US" w:eastAsia="zh-CN"/>
              </w:rPr>
            </w:pPr>
          </w:p>
        </w:tc>
        <w:tc>
          <w:tcPr>
            <w:tcW w:w="2140" w:type="dxa"/>
            <w:vAlign w:val="center"/>
          </w:tcPr>
          <w:p w14:paraId="082FEF54">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eastAsia" w:ascii="仿宋" w:hAnsi="仿宋" w:eastAsia="仿宋" w:cs="仿宋"/>
                <w:color w:val="auto"/>
                <w:sz w:val="24"/>
                <w:szCs w:val="24"/>
              </w:rPr>
            </w:pPr>
          </w:p>
        </w:tc>
      </w:tr>
      <w:tr w14:paraId="42F7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912" w:type="dxa"/>
            <w:gridSpan w:val="4"/>
            <w:vAlign w:val="center"/>
          </w:tcPr>
          <w:p w14:paraId="5CA3761D">
            <w:pPr>
              <w:adjustRightInd/>
              <w:spacing w:line="380" w:lineRule="exact"/>
              <w:jc w:val="both"/>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磋商响应报价</w:t>
            </w:r>
            <w:r>
              <w:rPr>
                <w:rFonts w:hint="eastAsia" w:ascii="仿宋" w:hAnsi="仿宋" w:eastAsia="仿宋" w:cs="仿宋"/>
                <w:color w:val="auto"/>
                <w:sz w:val="24"/>
                <w:szCs w:val="24"/>
              </w:rPr>
              <w:t>（大写）</w:t>
            </w:r>
            <w:r>
              <w:rPr>
                <w:rFonts w:hint="eastAsia" w:ascii="仿宋" w:hAnsi="仿宋" w:eastAsia="仿宋" w:cs="仿宋"/>
                <w:color w:val="auto"/>
                <w:sz w:val="24"/>
                <w:szCs w:val="24"/>
                <w:lang w:eastAsia="zh-CN"/>
              </w:rPr>
              <w:t>：</w:t>
            </w:r>
          </w:p>
        </w:tc>
      </w:tr>
    </w:tbl>
    <w:p w14:paraId="1329A2CB">
      <w:pPr>
        <w:pStyle w:val="634"/>
        <w:keepNext w:val="0"/>
        <w:keepLines w:val="0"/>
        <w:pageBreakBefore w:val="0"/>
        <w:tabs>
          <w:tab w:val="left" w:pos="720"/>
          <w:tab w:val="left" w:pos="900"/>
        </w:tabs>
        <w:kinsoku/>
        <w:wordWrap/>
        <w:overflowPunct/>
        <w:topLinePunct w:val="0"/>
        <w:autoSpaceDE/>
        <w:autoSpaceDN/>
        <w:bidi w:val="0"/>
        <w:spacing w:afterLines="0" w:line="36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s="仿宋"/>
          <w:color w:val="auto"/>
          <w:sz w:val="24"/>
          <w:szCs w:val="24"/>
          <w:lang w:val="en-US" w:eastAsia="zh-CN"/>
        </w:rPr>
        <w:t>1.</w:t>
      </w:r>
      <w:r>
        <w:rPr>
          <w:rFonts w:hint="eastAsia" w:ascii="仿宋" w:hAnsi="仿宋" w:eastAsia="仿宋" w:cs="仿宋"/>
          <w:b w:val="0"/>
          <w:bCs w:val="0"/>
          <w:i w:val="0"/>
          <w:iCs w:val="0"/>
          <w:color w:val="auto"/>
          <w:kern w:val="2"/>
          <w:sz w:val="24"/>
          <w:szCs w:val="24"/>
          <w:highlight w:val="none"/>
          <w:vertAlign w:val="baseline"/>
          <w:lang w:val="en-US" w:eastAsia="zh-CN" w:bidi="ar-SA"/>
        </w:rPr>
        <w:t>磋商响应</w:t>
      </w:r>
      <w:r>
        <w:rPr>
          <w:rFonts w:hint="eastAsia" w:ascii="仿宋" w:hAnsi="仿宋" w:eastAsia="仿宋" w:cs="仿宋"/>
          <w:color w:val="auto"/>
          <w:sz w:val="24"/>
          <w:szCs w:val="24"/>
          <w:highlight w:val="none"/>
          <w:lang w:val="en-US" w:eastAsia="zh-CN"/>
        </w:rPr>
        <w:t>报价是完成本招标文件所述的项目内容所需的全部费用，包括但不限于设备费、附加费（人工费、设计、排版、材料价、制作、安装、税金、运输、保险、包装、服务、维护、代理服务费）等一切完成合同所需的一切本身和不可或缺的所有工作开支、政策性文件规定计合同包含的所有风险、责任等各项全部费用</w:t>
      </w:r>
      <w:r>
        <w:rPr>
          <w:rFonts w:hint="eastAsia" w:ascii="仿宋" w:hAnsi="仿宋" w:eastAsia="仿宋" w:cs="仿宋"/>
          <w:color w:val="auto"/>
          <w:sz w:val="24"/>
          <w:szCs w:val="24"/>
        </w:rPr>
        <w:t>。</w:t>
      </w:r>
    </w:p>
    <w:p w14:paraId="5C141826">
      <w:pPr>
        <w:pStyle w:val="634"/>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2.报价一经涂改，应在涂改处加盖单位公章或者由法定代表人签字或盖章，否则</w:t>
      </w:r>
      <w:r>
        <w:rPr>
          <w:rFonts w:hint="eastAsia" w:ascii="仿宋" w:hAnsi="仿宋" w:eastAsia="仿宋" w:cs="仿宋"/>
          <w:color w:val="auto"/>
          <w:sz w:val="24"/>
          <w:szCs w:val="24"/>
          <w:lang w:val="en-US" w:eastAsia="zh-CN"/>
        </w:rPr>
        <w:t>做无效响应</w:t>
      </w:r>
      <w:r>
        <w:rPr>
          <w:rFonts w:hint="eastAsia" w:ascii="仿宋" w:hAnsi="仿宋" w:eastAsia="仿宋" w:cs="仿宋"/>
          <w:color w:val="auto"/>
          <w:sz w:val="24"/>
          <w:szCs w:val="24"/>
        </w:rPr>
        <w:t>处理。</w:t>
      </w:r>
    </w:p>
    <w:p w14:paraId="02B71D36">
      <w:pPr>
        <w:pStyle w:val="634"/>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3.采购人将以合同形式有偿取得货物或服务，不接受</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给予的赠品、回扣或者与采购无关的其他商品、服务，不得出现“0元”、“免费赠送”等形式的无偿报价，否则视为</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文件含有采购人不能接受的附加条件，</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无效。</w:t>
      </w:r>
    </w:p>
    <w:p w14:paraId="5000B750">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kern w:val="0"/>
          <w:sz w:val="24"/>
          <w:lang w:val="en-US" w:eastAsia="zh-CN"/>
        </w:rPr>
      </w:pPr>
    </w:p>
    <w:p w14:paraId="2E7DD269">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kern w:val="0"/>
          <w:sz w:val="24"/>
          <w:lang w:val="en-US" w:eastAsia="zh-CN"/>
        </w:rPr>
      </w:pPr>
    </w:p>
    <w:p w14:paraId="5568AC8B">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名称（电子签名）</w:t>
      </w:r>
      <w:r>
        <w:rPr>
          <w:rFonts w:hint="eastAsia" w:ascii="仿宋" w:hAnsi="仿宋" w:eastAsia="仿宋" w:cs="仿宋"/>
          <w:color w:val="auto"/>
          <w:sz w:val="24"/>
          <w:szCs w:val="24"/>
        </w:rPr>
        <w:t>：</w:t>
      </w:r>
    </w:p>
    <w:p w14:paraId="3E0102B9">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rPr>
        <w:t>（签字或盖章）：</w:t>
      </w:r>
    </w:p>
    <w:p w14:paraId="18CC095D">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日期：  年   月   日</w:t>
      </w:r>
    </w:p>
    <w:p w14:paraId="0E38E3F6">
      <w:pPr>
        <w:snapToGrid w:val="0"/>
        <w:spacing w:line="360" w:lineRule="auto"/>
        <w:ind w:right="480"/>
        <w:jc w:val="center"/>
        <w:rPr>
          <w:rFonts w:hint="eastAsia" w:ascii="仿宋" w:hAnsi="仿宋" w:eastAsia="仿宋" w:cs="仿宋"/>
          <w:b/>
          <w:color w:val="auto"/>
          <w:kern w:val="0"/>
          <w:sz w:val="32"/>
          <w:szCs w:val="32"/>
        </w:rPr>
      </w:pPr>
    </w:p>
    <w:p w14:paraId="6B372316">
      <w:pPr>
        <w:snapToGrid w:val="0"/>
        <w:spacing w:line="360" w:lineRule="auto"/>
        <w:ind w:right="480"/>
        <w:jc w:val="center"/>
        <w:rPr>
          <w:rFonts w:hint="eastAsia" w:ascii="仿宋" w:hAnsi="仿宋" w:eastAsia="仿宋" w:cs="仿宋"/>
          <w:b/>
          <w:color w:val="auto"/>
          <w:kern w:val="0"/>
          <w:sz w:val="32"/>
          <w:szCs w:val="32"/>
        </w:rPr>
      </w:pPr>
    </w:p>
    <w:p w14:paraId="7502313E">
      <w:pPr>
        <w:snapToGrid w:val="0"/>
        <w:spacing w:line="360" w:lineRule="auto"/>
        <w:ind w:right="480"/>
        <w:jc w:val="center"/>
        <w:rPr>
          <w:rFonts w:hint="eastAsia" w:ascii="仿宋" w:hAnsi="仿宋" w:eastAsia="仿宋" w:cs="仿宋"/>
          <w:b/>
          <w:color w:val="auto"/>
          <w:kern w:val="0"/>
          <w:sz w:val="32"/>
          <w:szCs w:val="32"/>
        </w:rPr>
      </w:pPr>
    </w:p>
    <w:p w14:paraId="75C87965">
      <w:pPr>
        <w:snapToGrid w:val="0"/>
        <w:spacing w:line="360" w:lineRule="auto"/>
        <w:ind w:right="480"/>
        <w:jc w:val="center"/>
        <w:rPr>
          <w:rFonts w:hint="eastAsia" w:ascii="仿宋" w:hAnsi="仿宋" w:eastAsia="仿宋" w:cs="仿宋"/>
          <w:b/>
          <w:color w:val="auto"/>
          <w:kern w:val="0"/>
          <w:sz w:val="32"/>
          <w:szCs w:val="32"/>
        </w:rPr>
      </w:pPr>
    </w:p>
    <w:p w14:paraId="088CC2E1">
      <w:pPr>
        <w:pStyle w:val="118"/>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rPr>
        <w:sectPr>
          <w:pgSz w:w="11906" w:h="16838"/>
          <w:pgMar w:top="1276" w:right="1418" w:bottom="1247" w:left="1418" w:header="851" w:footer="992" w:gutter="0"/>
          <w:pgNumType w:fmt="decimal"/>
          <w:cols w:space="720" w:num="1"/>
          <w:titlePg/>
          <w:docGrid w:linePitch="312" w:charSpace="0"/>
        </w:sectPr>
      </w:pPr>
    </w:p>
    <w:p w14:paraId="664BC0A6">
      <w:pPr>
        <w:pStyle w:val="118"/>
        <w:keepNext w:val="0"/>
        <w:pageBreakBefore w:val="0"/>
        <w:tabs>
          <w:tab w:val="clear" w:pos="720"/>
        </w:tabs>
        <w:snapToGrid w:val="0"/>
        <w:spacing w:before="120" w:after="120"/>
        <w:jc w:val="center"/>
        <w:outlineLvl w:val="9"/>
        <w:rPr>
          <w:rFonts w:hint="eastAsia" w:ascii="仿宋" w:hAnsi="仿宋" w:eastAsia="仿宋" w:cs="仿宋"/>
          <w:color w:val="auto"/>
          <w:kern w:val="0"/>
          <w:sz w:val="24"/>
          <w:lang w:val="zh-CN"/>
        </w:rPr>
      </w:pPr>
      <w:r>
        <w:rPr>
          <w:rFonts w:hint="eastAsia" w:ascii="仿宋" w:hAnsi="仿宋" w:eastAsia="仿宋" w:cs="仿宋"/>
          <w:color w:val="auto"/>
          <w:kern w:val="2"/>
          <w:sz w:val="32"/>
          <w:szCs w:val="32"/>
          <w:lang w:val="en-US" w:eastAsia="zh-CN"/>
        </w:rPr>
        <w:t>二</w:t>
      </w:r>
      <w:r>
        <w:rPr>
          <w:rFonts w:hint="eastAsia" w:ascii="仿宋" w:hAnsi="仿宋" w:eastAsia="仿宋" w:cs="仿宋"/>
          <w:color w:val="auto"/>
          <w:kern w:val="2"/>
          <w:sz w:val="32"/>
          <w:szCs w:val="32"/>
        </w:rPr>
        <w:t>、报价明细表</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284"/>
        <w:gridCol w:w="992"/>
        <w:gridCol w:w="2127"/>
        <w:gridCol w:w="708"/>
        <w:gridCol w:w="851"/>
        <w:gridCol w:w="1559"/>
        <w:gridCol w:w="1276"/>
        <w:gridCol w:w="850"/>
      </w:tblGrid>
      <w:tr w14:paraId="38FD9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6F9ACC76">
            <w:pPr>
              <w:snapToGrid w:val="0"/>
              <w:spacing w:line="400" w:lineRule="exact"/>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服务类</w:t>
            </w:r>
          </w:p>
        </w:tc>
      </w:tr>
      <w:tr w14:paraId="516A6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7" w:type="dxa"/>
            <w:gridSpan w:val="2"/>
            <w:tcBorders>
              <w:top w:val="single" w:color="auto" w:sz="4" w:space="0"/>
              <w:left w:val="single" w:color="auto" w:sz="4" w:space="0"/>
              <w:bottom w:val="nil"/>
              <w:right w:val="single" w:color="auto" w:sz="4" w:space="0"/>
            </w:tcBorders>
            <w:vAlign w:val="center"/>
          </w:tcPr>
          <w:p w14:paraId="25969643">
            <w:pPr>
              <w:widowControl/>
              <w:textAlignment w:val="center"/>
              <w:outlineLvl w:val="9"/>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序号</w:t>
            </w:r>
          </w:p>
        </w:tc>
        <w:tc>
          <w:tcPr>
            <w:tcW w:w="992" w:type="dxa"/>
            <w:tcBorders>
              <w:top w:val="single" w:color="auto" w:sz="4" w:space="0"/>
              <w:left w:val="single" w:color="auto" w:sz="4" w:space="0"/>
              <w:bottom w:val="nil"/>
              <w:right w:val="single" w:color="auto" w:sz="4" w:space="0"/>
            </w:tcBorders>
            <w:vAlign w:val="center"/>
          </w:tcPr>
          <w:p w14:paraId="3FF62D1E">
            <w:pPr>
              <w:widowControl/>
              <w:jc w:val="center"/>
              <w:textAlignment w:val="center"/>
              <w:outlineLvl w:val="9"/>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类别</w:t>
            </w:r>
          </w:p>
        </w:tc>
        <w:tc>
          <w:tcPr>
            <w:tcW w:w="2127" w:type="dxa"/>
            <w:tcBorders>
              <w:top w:val="single" w:color="auto" w:sz="4" w:space="0"/>
              <w:left w:val="single" w:color="auto" w:sz="4" w:space="0"/>
              <w:bottom w:val="nil"/>
              <w:right w:val="single" w:color="auto" w:sz="4" w:space="0"/>
            </w:tcBorders>
            <w:vAlign w:val="center"/>
          </w:tcPr>
          <w:p w14:paraId="7635036B">
            <w:pPr>
              <w:widowControl/>
              <w:jc w:val="center"/>
              <w:textAlignment w:val="center"/>
              <w:outlineLvl w:val="9"/>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内容</w:t>
            </w:r>
          </w:p>
        </w:tc>
        <w:tc>
          <w:tcPr>
            <w:tcW w:w="708" w:type="dxa"/>
            <w:tcBorders>
              <w:top w:val="single" w:color="auto" w:sz="4" w:space="0"/>
              <w:left w:val="single" w:color="auto" w:sz="4" w:space="0"/>
              <w:bottom w:val="nil"/>
              <w:right w:val="single" w:color="auto" w:sz="4" w:space="0"/>
            </w:tcBorders>
            <w:vAlign w:val="center"/>
          </w:tcPr>
          <w:p w14:paraId="4F673549">
            <w:pPr>
              <w:widowControl/>
              <w:jc w:val="center"/>
              <w:textAlignment w:val="center"/>
              <w:outlineLvl w:val="9"/>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单位</w:t>
            </w:r>
          </w:p>
        </w:tc>
        <w:tc>
          <w:tcPr>
            <w:tcW w:w="851" w:type="dxa"/>
            <w:tcBorders>
              <w:top w:val="single" w:color="auto" w:sz="4" w:space="0"/>
              <w:left w:val="single" w:color="auto" w:sz="4" w:space="0"/>
              <w:bottom w:val="nil"/>
              <w:right w:val="single" w:color="auto" w:sz="4" w:space="0"/>
            </w:tcBorders>
            <w:vAlign w:val="center"/>
          </w:tcPr>
          <w:p w14:paraId="62078E41">
            <w:pPr>
              <w:snapToGrid w:val="0"/>
              <w:spacing w:line="400" w:lineRule="exact"/>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c>
          <w:tcPr>
            <w:tcW w:w="1559" w:type="dxa"/>
            <w:tcBorders>
              <w:top w:val="single" w:color="auto" w:sz="4" w:space="0"/>
              <w:left w:val="single" w:color="auto" w:sz="4" w:space="0"/>
              <w:bottom w:val="nil"/>
              <w:right w:val="single" w:color="auto" w:sz="4" w:space="0"/>
            </w:tcBorders>
            <w:vAlign w:val="center"/>
          </w:tcPr>
          <w:p w14:paraId="5FDEA2AD">
            <w:pPr>
              <w:snapToGrid w:val="0"/>
              <w:spacing w:line="400" w:lineRule="exact"/>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单价（元）</w:t>
            </w:r>
          </w:p>
        </w:tc>
        <w:tc>
          <w:tcPr>
            <w:tcW w:w="1276" w:type="dxa"/>
            <w:tcBorders>
              <w:top w:val="single" w:color="auto" w:sz="4" w:space="0"/>
              <w:left w:val="single" w:color="auto" w:sz="4" w:space="0"/>
              <w:bottom w:val="nil"/>
              <w:right w:val="single" w:color="auto" w:sz="4" w:space="0"/>
            </w:tcBorders>
            <w:vAlign w:val="center"/>
          </w:tcPr>
          <w:p w14:paraId="5C8F61DE">
            <w:pPr>
              <w:snapToGrid w:val="0"/>
              <w:spacing w:line="400" w:lineRule="exact"/>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总价（元）</w:t>
            </w:r>
          </w:p>
        </w:tc>
        <w:tc>
          <w:tcPr>
            <w:tcW w:w="850" w:type="dxa"/>
            <w:tcBorders>
              <w:top w:val="single" w:color="auto" w:sz="4" w:space="0"/>
              <w:left w:val="single" w:color="auto" w:sz="4" w:space="0"/>
              <w:right w:val="single" w:color="auto" w:sz="4" w:space="0"/>
            </w:tcBorders>
            <w:vAlign w:val="center"/>
          </w:tcPr>
          <w:p w14:paraId="1B054A1B">
            <w:pPr>
              <w:snapToGrid w:val="0"/>
              <w:spacing w:line="400" w:lineRule="exact"/>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备注</w:t>
            </w:r>
          </w:p>
        </w:tc>
      </w:tr>
      <w:tr w14:paraId="4459C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3FBB2607">
            <w:pPr>
              <w:widowControl/>
              <w:jc w:val="center"/>
              <w:textAlignment w:val="center"/>
              <w:outlineLvl w:val="9"/>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C254C1B">
            <w:pPr>
              <w:widowControl/>
              <w:jc w:val="center"/>
              <w:textAlignment w:val="center"/>
              <w:outlineLvl w:val="9"/>
              <w:rPr>
                <w:rFonts w:hint="eastAsia" w:ascii="仿宋" w:hAnsi="仿宋" w:eastAsia="仿宋" w:cs="仿宋"/>
                <w:color w:val="auto"/>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60914C25">
            <w:pPr>
              <w:widowControl/>
              <w:jc w:val="center"/>
              <w:textAlignment w:val="center"/>
              <w:outlineLvl w:val="9"/>
              <w:rPr>
                <w:rFonts w:hint="eastAsia" w:ascii="仿宋" w:hAnsi="仿宋" w:eastAsia="仿宋" w:cs="仿宋"/>
                <w:color w:val="auto"/>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345CE40">
            <w:pPr>
              <w:widowControl/>
              <w:jc w:val="center"/>
              <w:textAlignment w:val="center"/>
              <w:outlineLvl w:val="9"/>
              <w:rPr>
                <w:rFonts w:hint="eastAsia" w:ascii="仿宋" w:hAnsi="仿宋" w:eastAsia="仿宋" w:cs="仿宋"/>
                <w:color w:val="auto"/>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39A7616">
            <w:pPr>
              <w:widowControl/>
              <w:jc w:val="center"/>
              <w:textAlignment w:val="center"/>
              <w:outlineLvl w:val="9"/>
              <w:rPr>
                <w:rFonts w:hint="eastAsia" w:ascii="仿宋" w:hAnsi="仿宋" w:eastAsia="仿宋" w:cs="仿宋"/>
                <w:color w:val="auto"/>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4494F74">
            <w:pPr>
              <w:snapToGrid w:val="0"/>
              <w:spacing w:line="400" w:lineRule="exact"/>
              <w:jc w:val="center"/>
              <w:outlineLvl w:val="9"/>
              <w:rPr>
                <w:rFonts w:hint="eastAsia" w:ascii="仿宋" w:hAnsi="仿宋" w:eastAsia="仿宋" w:cs="仿宋"/>
                <w:b/>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CEDAC87">
            <w:pPr>
              <w:snapToGrid w:val="0"/>
              <w:spacing w:line="400" w:lineRule="exact"/>
              <w:jc w:val="center"/>
              <w:outlineLvl w:val="9"/>
              <w:rPr>
                <w:rFonts w:hint="eastAsia" w:ascii="仿宋" w:hAnsi="仿宋" w:eastAsia="仿宋" w:cs="仿宋"/>
                <w:b/>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E9BD21A">
            <w:pPr>
              <w:snapToGrid w:val="0"/>
              <w:spacing w:line="400" w:lineRule="exact"/>
              <w:jc w:val="center"/>
              <w:outlineLvl w:val="9"/>
              <w:rPr>
                <w:rFonts w:hint="eastAsia" w:ascii="仿宋" w:hAnsi="仿宋" w:eastAsia="仿宋" w:cs="仿宋"/>
                <w:b/>
                <w:color w:val="auto"/>
                <w:sz w:val="24"/>
                <w:szCs w:val="24"/>
              </w:rPr>
            </w:pPr>
          </w:p>
        </w:tc>
      </w:tr>
      <w:tr w14:paraId="6226F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2A501260">
            <w:pPr>
              <w:widowControl/>
              <w:jc w:val="center"/>
              <w:textAlignment w:val="center"/>
              <w:outlineLvl w:val="9"/>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F2BDDB1">
            <w:pPr>
              <w:widowControl/>
              <w:jc w:val="center"/>
              <w:textAlignment w:val="center"/>
              <w:outlineLvl w:val="9"/>
              <w:rPr>
                <w:rFonts w:hint="eastAsia" w:ascii="仿宋" w:hAnsi="仿宋" w:eastAsia="仿宋" w:cs="仿宋"/>
                <w:color w:val="auto"/>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622B6B46">
            <w:pPr>
              <w:widowControl/>
              <w:jc w:val="center"/>
              <w:textAlignment w:val="center"/>
              <w:outlineLvl w:val="9"/>
              <w:rPr>
                <w:rFonts w:hint="eastAsia" w:ascii="仿宋" w:hAnsi="仿宋" w:eastAsia="仿宋" w:cs="仿宋"/>
                <w:color w:val="auto"/>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2870869">
            <w:pPr>
              <w:widowControl/>
              <w:jc w:val="center"/>
              <w:textAlignment w:val="center"/>
              <w:outlineLvl w:val="9"/>
              <w:rPr>
                <w:rFonts w:hint="eastAsia" w:ascii="仿宋" w:hAnsi="仿宋" w:eastAsia="仿宋" w:cs="仿宋"/>
                <w:color w:val="auto"/>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BE66A6D">
            <w:pPr>
              <w:widowControl/>
              <w:jc w:val="center"/>
              <w:textAlignment w:val="center"/>
              <w:outlineLvl w:val="9"/>
              <w:rPr>
                <w:rFonts w:hint="eastAsia" w:ascii="仿宋" w:hAnsi="仿宋" w:eastAsia="仿宋" w:cs="仿宋"/>
                <w:color w:val="auto"/>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315B716">
            <w:pPr>
              <w:snapToGrid w:val="0"/>
              <w:spacing w:line="400" w:lineRule="exact"/>
              <w:jc w:val="center"/>
              <w:outlineLvl w:val="9"/>
              <w:rPr>
                <w:rFonts w:hint="eastAsia" w:ascii="仿宋" w:hAnsi="仿宋" w:eastAsia="仿宋" w:cs="仿宋"/>
                <w:b/>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D70A20A">
            <w:pPr>
              <w:snapToGrid w:val="0"/>
              <w:spacing w:line="400" w:lineRule="exact"/>
              <w:jc w:val="center"/>
              <w:outlineLvl w:val="9"/>
              <w:rPr>
                <w:rFonts w:hint="eastAsia" w:ascii="仿宋" w:hAnsi="仿宋" w:eastAsia="仿宋" w:cs="仿宋"/>
                <w:b/>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CFD40EE">
            <w:pPr>
              <w:snapToGrid w:val="0"/>
              <w:spacing w:line="400" w:lineRule="exact"/>
              <w:jc w:val="center"/>
              <w:outlineLvl w:val="9"/>
              <w:rPr>
                <w:rFonts w:hint="eastAsia" w:ascii="仿宋" w:hAnsi="仿宋" w:eastAsia="仿宋" w:cs="仿宋"/>
                <w:b/>
                <w:color w:val="auto"/>
                <w:sz w:val="24"/>
                <w:szCs w:val="24"/>
              </w:rPr>
            </w:pPr>
          </w:p>
        </w:tc>
      </w:tr>
      <w:tr w14:paraId="6F6B6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356FADC7">
            <w:pPr>
              <w:widowControl/>
              <w:jc w:val="center"/>
              <w:textAlignment w:val="center"/>
              <w:outlineLvl w:val="9"/>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BFD46A1">
            <w:pPr>
              <w:widowControl/>
              <w:jc w:val="center"/>
              <w:textAlignment w:val="center"/>
              <w:outlineLvl w:val="9"/>
              <w:rPr>
                <w:rFonts w:hint="eastAsia" w:ascii="仿宋" w:hAnsi="仿宋" w:eastAsia="仿宋" w:cs="仿宋"/>
                <w:color w:val="auto"/>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355AE18B">
            <w:pPr>
              <w:widowControl/>
              <w:jc w:val="center"/>
              <w:textAlignment w:val="center"/>
              <w:outlineLvl w:val="9"/>
              <w:rPr>
                <w:rFonts w:hint="eastAsia" w:ascii="仿宋" w:hAnsi="仿宋" w:eastAsia="仿宋" w:cs="仿宋"/>
                <w:color w:val="auto"/>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38F33F1">
            <w:pPr>
              <w:widowControl/>
              <w:jc w:val="center"/>
              <w:textAlignment w:val="center"/>
              <w:outlineLvl w:val="9"/>
              <w:rPr>
                <w:rFonts w:hint="eastAsia" w:ascii="仿宋" w:hAnsi="仿宋" w:eastAsia="仿宋" w:cs="仿宋"/>
                <w:color w:val="auto"/>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821DD27">
            <w:pPr>
              <w:widowControl/>
              <w:jc w:val="center"/>
              <w:textAlignment w:val="center"/>
              <w:outlineLvl w:val="9"/>
              <w:rPr>
                <w:rFonts w:hint="eastAsia" w:ascii="仿宋" w:hAnsi="仿宋" w:eastAsia="仿宋" w:cs="仿宋"/>
                <w:color w:val="auto"/>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277E6CE">
            <w:pPr>
              <w:snapToGrid w:val="0"/>
              <w:spacing w:line="400" w:lineRule="exact"/>
              <w:jc w:val="center"/>
              <w:outlineLvl w:val="9"/>
              <w:rPr>
                <w:rFonts w:hint="eastAsia" w:ascii="仿宋" w:hAnsi="仿宋" w:eastAsia="仿宋" w:cs="仿宋"/>
                <w:b/>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40068B9">
            <w:pPr>
              <w:snapToGrid w:val="0"/>
              <w:spacing w:line="400" w:lineRule="exact"/>
              <w:jc w:val="center"/>
              <w:outlineLvl w:val="9"/>
              <w:rPr>
                <w:rFonts w:hint="eastAsia" w:ascii="仿宋" w:hAnsi="仿宋" w:eastAsia="仿宋" w:cs="仿宋"/>
                <w:b/>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CA8A0AA">
            <w:pPr>
              <w:snapToGrid w:val="0"/>
              <w:spacing w:line="400" w:lineRule="exact"/>
              <w:jc w:val="center"/>
              <w:outlineLvl w:val="9"/>
              <w:rPr>
                <w:rFonts w:hint="eastAsia" w:ascii="仿宋" w:hAnsi="仿宋" w:eastAsia="仿宋" w:cs="仿宋"/>
                <w:b/>
                <w:color w:val="auto"/>
                <w:sz w:val="24"/>
                <w:szCs w:val="24"/>
              </w:rPr>
            </w:pPr>
          </w:p>
        </w:tc>
      </w:tr>
      <w:tr w14:paraId="27522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1545447F">
            <w:pPr>
              <w:snapToGrid w:val="0"/>
              <w:spacing w:line="400" w:lineRule="exact"/>
              <w:outlineLvl w:val="9"/>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合计</w:t>
            </w:r>
            <w:r>
              <w:rPr>
                <w:rFonts w:hint="eastAsia" w:ascii="仿宋" w:hAnsi="仿宋" w:eastAsia="仿宋" w:cs="仿宋"/>
                <w:b/>
                <w:color w:val="auto"/>
                <w:sz w:val="24"/>
                <w:szCs w:val="24"/>
              </w:rPr>
              <w:t>金额大写：                              小写：￥</w:t>
            </w:r>
            <w:r>
              <w:rPr>
                <w:rFonts w:hint="eastAsia" w:ascii="仿宋" w:hAnsi="仿宋" w:eastAsia="仿宋" w:cs="仿宋"/>
                <w:b/>
                <w:color w:val="auto"/>
                <w:sz w:val="24"/>
                <w:szCs w:val="24"/>
                <w:u w:val="single"/>
              </w:rPr>
              <w:t xml:space="preserve">          </w:t>
            </w:r>
          </w:p>
        </w:tc>
      </w:tr>
      <w:tr w14:paraId="36B0E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4FF4EFEA">
            <w:pPr>
              <w:snapToGrid w:val="0"/>
              <w:outlineLvl w:val="9"/>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30FD8F0B">
            <w:pPr>
              <w:snapToGrid w:val="0"/>
              <w:spacing w:line="440" w:lineRule="exact"/>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1.此表应按项目的明细情况列项填报,在填写时，如上表不适合本项目的实际情况，可在确保投标明细内容完整的情况下，根据上表格式自行划表填写。</w:t>
            </w:r>
          </w:p>
          <w:p w14:paraId="191F8559">
            <w:pPr>
              <w:snapToGrid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2.报价要求：</w:t>
            </w:r>
            <w:r>
              <w:rPr>
                <w:rFonts w:hint="eastAsia" w:ascii="仿宋" w:hAnsi="仿宋" w:eastAsia="仿宋" w:cs="仿宋"/>
                <w:b w:val="0"/>
                <w:bCs w:val="0"/>
                <w:i w:val="0"/>
                <w:iCs w:val="0"/>
                <w:color w:val="auto"/>
                <w:kern w:val="2"/>
                <w:sz w:val="24"/>
                <w:szCs w:val="24"/>
                <w:highlight w:val="none"/>
                <w:vertAlign w:val="baseline"/>
                <w:lang w:val="en-US" w:eastAsia="zh-CN" w:bidi="ar-SA"/>
              </w:rPr>
              <w:t>磋商响应</w:t>
            </w:r>
            <w:r>
              <w:rPr>
                <w:rFonts w:hint="eastAsia" w:ascii="仿宋" w:hAnsi="仿宋" w:eastAsia="仿宋" w:cs="仿宋"/>
                <w:color w:val="auto"/>
                <w:sz w:val="24"/>
                <w:szCs w:val="24"/>
                <w:highlight w:val="none"/>
                <w:lang w:val="en-US" w:eastAsia="zh-CN"/>
              </w:rPr>
              <w:t>报价是完成本招标文件所述的项目内容所需的全部费用，包括但不限于设备费、附加费（人工费、设计、排版、材料价、制作、安装、税金、运输、保险、包装、服务、维护、代理服务费）等一切完成合同所需的一切本身和不可或缺的所有工作开支、政策性文件规定计合同包含的所有风险、责任等各项全部费用</w:t>
            </w:r>
            <w:r>
              <w:rPr>
                <w:rFonts w:hint="eastAsia" w:ascii="仿宋" w:hAnsi="仿宋" w:eastAsia="仿宋" w:cs="仿宋"/>
                <w:color w:val="auto"/>
                <w:sz w:val="24"/>
                <w:szCs w:val="24"/>
              </w:rPr>
              <w:t>。</w:t>
            </w:r>
          </w:p>
          <w:p w14:paraId="4B4A5291">
            <w:pPr>
              <w:snapToGrid w:val="0"/>
              <w:spacing w:line="440" w:lineRule="exact"/>
              <w:outlineLvl w:val="9"/>
              <w:rPr>
                <w:rFonts w:hint="eastAsia" w:ascii="仿宋" w:hAnsi="仿宋" w:eastAsia="仿宋" w:cs="仿宋"/>
                <w:color w:val="auto"/>
              </w:rPr>
            </w:pPr>
            <w:r>
              <w:rPr>
                <w:rFonts w:hint="eastAsia" w:ascii="仿宋" w:hAnsi="仿宋" w:eastAsia="仿宋" w:cs="仿宋"/>
                <w:color w:val="auto"/>
                <w:sz w:val="24"/>
                <w:szCs w:val="24"/>
              </w:rPr>
              <w:t>3.报价中不允许出现报价优惠等字样,</w:t>
            </w:r>
            <w:r>
              <w:rPr>
                <w:rFonts w:hint="eastAsia" w:ascii="仿宋" w:hAnsi="仿宋" w:eastAsia="仿宋" w:cs="仿宋"/>
                <w:color w:val="auto"/>
                <w:sz w:val="24"/>
                <w:szCs w:val="24"/>
                <w:lang w:val="en-US" w:eastAsia="zh-CN"/>
              </w:rPr>
              <w:t>磋商响应报价</w:t>
            </w:r>
            <w:r>
              <w:rPr>
                <w:rFonts w:hint="eastAsia" w:ascii="仿宋" w:hAnsi="仿宋" w:eastAsia="仿宋" w:cs="仿宋"/>
                <w:color w:val="auto"/>
                <w:sz w:val="24"/>
                <w:szCs w:val="24"/>
              </w:rPr>
              <w:t>金额应与明细报价</w:t>
            </w:r>
            <w:r>
              <w:rPr>
                <w:rFonts w:hint="eastAsia" w:ascii="仿宋" w:hAnsi="仿宋" w:eastAsia="仿宋" w:cs="仿宋"/>
                <w:color w:val="auto"/>
                <w:sz w:val="24"/>
                <w:szCs w:val="24"/>
                <w:lang w:val="en-US" w:eastAsia="zh-CN"/>
              </w:rPr>
              <w:t>合计金额</w:t>
            </w:r>
            <w:r>
              <w:rPr>
                <w:rFonts w:hint="eastAsia" w:ascii="仿宋" w:hAnsi="仿宋" w:eastAsia="仿宋" w:cs="仿宋"/>
                <w:color w:val="auto"/>
                <w:sz w:val="24"/>
                <w:szCs w:val="24"/>
              </w:rPr>
              <w:t>相等。</w:t>
            </w:r>
          </w:p>
        </w:tc>
      </w:tr>
    </w:tbl>
    <w:p w14:paraId="25616C1B">
      <w:pPr>
        <w:snapToGrid w:val="0"/>
        <w:spacing w:line="360" w:lineRule="auto"/>
        <w:ind w:left="480"/>
        <w:rPr>
          <w:rFonts w:hint="eastAsia" w:ascii="仿宋" w:hAnsi="仿宋" w:eastAsia="仿宋" w:cs="仿宋"/>
          <w:b/>
          <w:color w:val="auto"/>
          <w:kern w:val="0"/>
          <w:sz w:val="24"/>
          <w:lang w:val="zh-CN"/>
        </w:rPr>
      </w:pPr>
    </w:p>
    <w:p w14:paraId="7B91AAE2">
      <w:pPr>
        <w:pStyle w:val="634"/>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p>
    <w:p w14:paraId="08B8F421">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名称（电子签名）</w:t>
      </w:r>
      <w:r>
        <w:rPr>
          <w:rFonts w:hint="eastAsia" w:ascii="仿宋" w:hAnsi="仿宋" w:eastAsia="仿宋" w:cs="仿宋"/>
          <w:color w:val="auto"/>
          <w:sz w:val="24"/>
          <w:szCs w:val="24"/>
        </w:rPr>
        <w:t>：</w:t>
      </w:r>
    </w:p>
    <w:p w14:paraId="27943184">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rPr>
        <w:t>（签字或盖章）：</w:t>
      </w:r>
    </w:p>
    <w:p w14:paraId="396E554A">
      <w:pPr>
        <w:snapToGrid w:val="0"/>
        <w:spacing w:line="360" w:lineRule="auto"/>
        <w:ind w:firstLine="480" w:firstLineChars="200"/>
        <w:jc w:val="left"/>
        <w:rPr>
          <w:rFonts w:hint="eastAsia" w:ascii="仿宋" w:hAnsi="仿宋" w:eastAsia="仿宋" w:cs="仿宋"/>
          <w:color w:val="auto"/>
          <w:kern w:val="2"/>
          <w:sz w:val="32"/>
          <w:szCs w:val="32"/>
        </w:rPr>
        <w:sectPr>
          <w:pgSz w:w="11906" w:h="16838"/>
          <w:pgMar w:top="1247" w:right="1418" w:bottom="1276" w:left="1418" w:header="851" w:footer="992" w:gutter="0"/>
          <w:pgNumType w:fmt="decimal"/>
          <w:cols w:space="720" w:num="1"/>
          <w:titlePg/>
          <w:docGrid w:linePitch="312" w:charSpace="0"/>
        </w:sect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日期：  年   月   日</w:t>
      </w:r>
    </w:p>
    <w:p w14:paraId="32E256B9">
      <w:pPr>
        <w:spacing w:line="360" w:lineRule="auto"/>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三、供应商针对报价需要说明的其他文件和说明（若有）</w:t>
      </w:r>
    </w:p>
    <w:p w14:paraId="07494AE2">
      <w:pPr>
        <w:spacing w:line="336" w:lineRule="auto"/>
        <w:ind w:firstLine="4320" w:firstLineChars="1800"/>
        <w:rPr>
          <w:rFonts w:hint="eastAsia" w:ascii="仿宋" w:hAnsi="仿宋" w:eastAsia="仿宋" w:cs="仿宋"/>
          <w:color w:val="auto"/>
          <w:sz w:val="24"/>
          <w:lang w:val="en-US" w:eastAsia="zh-CN"/>
        </w:rPr>
      </w:pPr>
    </w:p>
    <w:p w14:paraId="2502BFD0">
      <w:pPr>
        <w:spacing w:line="336" w:lineRule="auto"/>
        <w:ind w:firstLine="4320" w:firstLineChars="1800"/>
        <w:rPr>
          <w:rFonts w:hint="eastAsia" w:ascii="仿宋" w:hAnsi="仿宋" w:eastAsia="仿宋" w:cs="仿宋"/>
          <w:color w:val="auto"/>
          <w:sz w:val="24"/>
          <w:lang w:val="en-US" w:eastAsia="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val="en-US" w:eastAsia="zh-CN"/>
        </w:rPr>
        <w:t xml:space="preserve">名称（电子签名）：                     </w:t>
      </w:r>
    </w:p>
    <w:p w14:paraId="39E7F227">
      <w:pPr>
        <w:spacing w:line="336" w:lineRule="auto"/>
        <w:ind w:firstLine="4320" w:firstLineChars="1800"/>
        <w:rPr>
          <w:rFonts w:hint="eastAsia" w:ascii="仿宋" w:hAnsi="仿宋" w:eastAsia="仿宋" w:cs="仿宋"/>
          <w:color w:val="auto"/>
          <w:lang w:val="en-US" w:eastAsia="zh-CN"/>
        </w:rPr>
      </w:pPr>
      <w:r>
        <w:rPr>
          <w:rFonts w:hint="eastAsia" w:ascii="仿宋" w:hAnsi="仿宋" w:eastAsia="仿宋" w:cs="仿宋"/>
          <w:color w:val="auto"/>
          <w:sz w:val="24"/>
          <w:lang w:val="en-US" w:eastAsia="zh-CN"/>
        </w:rPr>
        <w:t>日期：  年   月   日</w:t>
      </w:r>
    </w:p>
    <w:p w14:paraId="64625E03">
      <w:pPr>
        <w:widowControl/>
        <w:adjustRightInd/>
        <w:spacing w:line="336" w:lineRule="auto"/>
        <w:jc w:val="left"/>
        <w:rPr>
          <w:rFonts w:hint="eastAsia" w:ascii="仿宋" w:hAnsi="仿宋" w:eastAsia="仿宋" w:cs="仿宋"/>
          <w:color w:val="auto"/>
          <w:kern w:val="2"/>
          <w:sz w:val="32"/>
          <w:szCs w:val="32"/>
        </w:rPr>
        <w:sectPr>
          <w:headerReference r:id="rId10" w:type="first"/>
          <w:footerReference r:id="rId13" w:type="first"/>
          <w:headerReference r:id="rId9" w:type="default"/>
          <w:footerReference r:id="rId11" w:type="default"/>
          <w:footerReference r:id="rId12" w:type="even"/>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b/>
          <w:color w:val="auto"/>
          <w:sz w:val="36"/>
          <w:szCs w:val="36"/>
        </w:rPr>
        <w:br w:type="page"/>
      </w:r>
    </w:p>
    <w:p w14:paraId="6C26F87F">
      <w:pPr>
        <w:pStyle w:val="3"/>
        <w:keepNext w:val="0"/>
        <w:keepLines w:val="0"/>
        <w:pageBreakBefore/>
        <w:widowControl/>
        <w:numPr>
          <w:ilvl w:val="0"/>
          <w:numId w:val="0"/>
        </w:numPr>
        <w:adjustRightInd/>
        <w:spacing w:before="0" w:after="0" w:line="336" w:lineRule="auto"/>
        <w:jc w:val="both"/>
        <w:rPr>
          <w:rFonts w:hint="eastAsia" w:ascii="仿宋" w:hAnsi="仿宋" w:eastAsia="仿宋" w:cs="仿宋"/>
          <w:color w:val="auto"/>
        </w:rPr>
      </w:pPr>
      <w:bookmarkStart w:id="96" w:name="_Toc465665161"/>
      <w:r>
        <w:rPr>
          <w:rFonts w:hint="eastAsia" w:ascii="仿宋" w:hAnsi="仿宋" w:eastAsia="仿宋" w:cs="仿宋"/>
          <w:color w:val="auto"/>
        </w:rPr>
        <w:t>附件</w:t>
      </w:r>
      <w:bookmarkEnd w:id="96"/>
    </w:p>
    <w:p w14:paraId="40C8ED91">
      <w:pPr>
        <w:spacing w:line="336"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附件1：质疑函范本及制作说明</w:t>
      </w:r>
    </w:p>
    <w:p w14:paraId="51EFE901">
      <w:pPr>
        <w:spacing w:line="336"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39ED8FC1">
      <w:pPr>
        <w:snapToGrid w:val="0"/>
        <w:spacing w:line="336"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31F0D95D">
      <w:pPr>
        <w:snapToGrid w:val="0"/>
        <w:spacing w:line="336"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7E34730F">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58F3D070">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55CCAAA0">
      <w:pPr>
        <w:snapToGrid w:val="0"/>
        <w:spacing w:line="336"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6A788835">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76F0B306">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013928EB">
      <w:pPr>
        <w:snapToGrid w:val="0"/>
        <w:spacing w:line="336"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4F5377E8">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487BFE33">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4DA1C68C">
      <w:pPr>
        <w:snapToGrid w:val="0"/>
        <w:spacing w:line="336"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6783F664">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239FA1DA">
      <w:pPr>
        <w:snapToGrid w:val="0"/>
        <w:spacing w:line="336"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62E15471">
      <w:pPr>
        <w:snapToGrid w:val="0"/>
        <w:spacing w:line="336"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72E63556">
      <w:pPr>
        <w:snapToGrid w:val="0"/>
        <w:spacing w:line="336"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5A414CC0">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14:paraId="07BD7358">
      <w:pPr>
        <w:snapToGrid w:val="0"/>
        <w:spacing w:line="336"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5948A2C7">
      <w:pPr>
        <w:snapToGrid w:val="0"/>
        <w:spacing w:line="336"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334449D1">
      <w:pPr>
        <w:snapToGrid w:val="0"/>
        <w:spacing w:line="336"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7C1A2D55">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w:t>
      </w:r>
    </w:p>
    <w:p w14:paraId="6CDD9C42">
      <w:pPr>
        <w:snapToGrid w:val="0"/>
        <w:spacing w:line="336"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612A7A5A">
      <w:pPr>
        <w:snapToGrid w:val="0"/>
        <w:spacing w:line="336"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7020C6CC">
      <w:pPr>
        <w:spacing w:line="336" w:lineRule="auto"/>
        <w:rPr>
          <w:rFonts w:hint="eastAsia" w:ascii="仿宋" w:hAnsi="仿宋" w:eastAsia="仿宋" w:cs="仿宋"/>
          <w:color w:val="auto"/>
          <w:sz w:val="24"/>
        </w:rPr>
      </w:pPr>
    </w:p>
    <w:p w14:paraId="1682BD53">
      <w:pPr>
        <w:spacing w:line="336"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1E0F82AB">
      <w:pPr>
        <w:spacing w:line="336"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18C28AD8">
      <w:pPr>
        <w:spacing w:line="336"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7A0D9FC3">
      <w:pPr>
        <w:widowControl/>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7052BA6F">
      <w:pPr>
        <w:widowControl/>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478904CC">
      <w:pPr>
        <w:widowControl/>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40D41911">
      <w:pPr>
        <w:widowControl/>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68DD5A38">
      <w:pPr>
        <w:widowControl/>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28849235">
      <w:pPr>
        <w:widowControl/>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2F8069AC">
      <w:pPr>
        <w:widowControl/>
        <w:spacing w:line="336" w:lineRule="auto"/>
        <w:ind w:firstLine="600" w:firstLineChars="200"/>
        <w:jc w:val="left"/>
        <w:rPr>
          <w:rFonts w:hint="eastAsia" w:ascii="仿宋" w:hAnsi="仿宋" w:eastAsia="仿宋" w:cs="仿宋"/>
          <w:color w:val="auto"/>
          <w:sz w:val="30"/>
          <w:szCs w:val="30"/>
        </w:rPr>
      </w:pPr>
    </w:p>
    <w:p w14:paraId="7BE01E9B">
      <w:pPr>
        <w:spacing w:line="336" w:lineRule="auto"/>
        <w:jc w:val="left"/>
        <w:rPr>
          <w:rFonts w:hint="eastAsia" w:ascii="仿宋" w:hAnsi="仿宋" w:eastAsia="仿宋" w:cs="仿宋"/>
          <w:b/>
          <w:color w:val="auto"/>
          <w:spacing w:val="6"/>
          <w:sz w:val="32"/>
          <w:szCs w:val="32"/>
        </w:rPr>
      </w:pPr>
      <w:r>
        <w:rPr>
          <w:rFonts w:hint="eastAsia" w:ascii="仿宋" w:hAnsi="仿宋" w:eastAsia="仿宋" w:cs="仿宋"/>
          <w:b/>
          <w:color w:val="auto"/>
          <w:sz w:val="24"/>
        </w:rPr>
        <w:br w:type="page"/>
      </w:r>
      <w:r>
        <w:rPr>
          <w:rFonts w:hint="eastAsia" w:ascii="仿宋" w:hAnsi="仿宋" w:eastAsia="仿宋" w:cs="仿宋"/>
          <w:b/>
          <w:color w:val="auto"/>
          <w:spacing w:val="6"/>
          <w:sz w:val="32"/>
          <w:szCs w:val="32"/>
        </w:rPr>
        <w:t>附件2：投诉书范本及制作说明</w:t>
      </w:r>
    </w:p>
    <w:p w14:paraId="5358EFCD">
      <w:pPr>
        <w:spacing w:line="336" w:lineRule="auto"/>
        <w:jc w:val="center"/>
        <w:rPr>
          <w:rFonts w:hint="eastAsia" w:ascii="仿宋" w:hAnsi="仿宋" w:eastAsia="仿宋" w:cs="仿宋"/>
          <w:b/>
          <w:color w:val="auto"/>
          <w:sz w:val="24"/>
        </w:rPr>
      </w:pPr>
    </w:p>
    <w:p w14:paraId="730CAB26">
      <w:pPr>
        <w:spacing w:line="336"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2A29BA91">
      <w:pPr>
        <w:spacing w:line="336"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5801E447">
      <w:pPr>
        <w:spacing w:line="336"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74B7CCCB">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4C8B4D84">
      <w:pPr>
        <w:tabs>
          <w:tab w:val="left" w:pos="6510"/>
        </w:tabs>
        <w:spacing w:line="336"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4869E2A9">
      <w:pPr>
        <w:tabs>
          <w:tab w:val="left" w:pos="6510"/>
        </w:tabs>
        <w:spacing w:line="336"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71D76521">
      <w:pPr>
        <w:spacing w:line="336"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0C38762F">
      <w:pPr>
        <w:spacing w:line="336"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4C840098">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7949BEF">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EEBB6B0">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1C9F6009">
      <w:pPr>
        <w:spacing w:line="336"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6DD3B38E">
      <w:pPr>
        <w:spacing w:line="336"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7E9F5D18">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4B1ACB57">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BEB88C3">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5B88BE1">
      <w:pPr>
        <w:spacing w:line="336"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738C41DA">
      <w:pPr>
        <w:spacing w:line="336"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103D7D63">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0C485940">
      <w:pPr>
        <w:spacing w:line="336"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EB8A6EC">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3AD3D30B">
      <w:pPr>
        <w:spacing w:line="336"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53CA7C34">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59C85061">
      <w:pPr>
        <w:spacing w:line="336"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57CE2EEB">
      <w:pPr>
        <w:spacing w:line="336"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2D5F28EE">
      <w:pPr>
        <w:spacing w:line="336"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090D0DE1">
      <w:pPr>
        <w:spacing w:line="336"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7CDDDE2A">
      <w:pPr>
        <w:spacing w:line="336"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5B2D5369">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2628CAD7">
      <w:pPr>
        <w:spacing w:line="336"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7C1B2C6E">
      <w:pPr>
        <w:spacing w:line="336"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2A764637">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626A0B5C">
      <w:pPr>
        <w:spacing w:line="336"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1F718D2D">
      <w:pPr>
        <w:spacing w:line="336" w:lineRule="auto"/>
        <w:rPr>
          <w:rFonts w:hint="eastAsia" w:ascii="仿宋" w:hAnsi="仿宋" w:eastAsia="仿宋" w:cs="仿宋"/>
          <w:color w:val="auto"/>
          <w:sz w:val="24"/>
        </w:rPr>
      </w:pPr>
      <w:r>
        <w:rPr>
          <w:rFonts w:hint="eastAsia" w:ascii="仿宋" w:hAnsi="仿宋" w:eastAsia="仿宋" w:cs="仿宋"/>
          <w:color w:val="auto"/>
          <w:sz w:val="24"/>
        </w:rPr>
        <w:t>投诉事项2</w:t>
      </w:r>
    </w:p>
    <w:p w14:paraId="215A1B54">
      <w:pPr>
        <w:spacing w:line="336"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25A3A989">
      <w:pPr>
        <w:spacing w:line="336"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5F0991C3">
      <w:pPr>
        <w:spacing w:line="336"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6759C993">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14:paraId="212FDBE9">
      <w:pPr>
        <w:spacing w:line="336"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4608D004">
      <w:pPr>
        <w:spacing w:line="336"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367E05DA">
      <w:pPr>
        <w:spacing w:line="336" w:lineRule="auto"/>
        <w:rPr>
          <w:rFonts w:hint="eastAsia" w:ascii="仿宋" w:hAnsi="仿宋" w:eastAsia="仿宋" w:cs="仿宋"/>
          <w:b/>
          <w:color w:val="auto"/>
          <w:sz w:val="24"/>
        </w:rPr>
      </w:pPr>
    </w:p>
    <w:p w14:paraId="0F705408">
      <w:pPr>
        <w:spacing w:line="336" w:lineRule="auto"/>
        <w:rPr>
          <w:rFonts w:hint="eastAsia" w:ascii="仿宋" w:hAnsi="仿宋" w:eastAsia="仿宋" w:cs="仿宋"/>
          <w:b/>
          <w:color w:val="auto"/>
          <w:sz w:val="24"/>
        </w:rPr>
      </w:pPr>
    </w:p>
    <w:p w14:paraId="2B8FD5BD">
      <w:pPr>
        <w:spacing w:line="336"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0944F9D3">
      <w:pPr>
        <w:widowControl/>
        <w:spacing w:line="336"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7D0FA5E6">
      <w:pPr>
        <w:widowControl/>
        <w:spacing w:line="336"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7132D05A">
      <w:pPr>
        <w:widowControl/>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3B221C73">
      <w:pPr>
        <w:widowControl/>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4F1D96F4">
      <w:pPr>
        <w:widowControl/>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3C171A27">
      <w:pPr>
        <w:widowControl/>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6E3C51C2">
      <w:pPr>
        <w:widowControl/>
        <w:spacing w:line="336"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6D3A81F3">
      <w:pPr>
        <w:spacing w:line="336" w:lineRule="auto"/>
        <w:rPr>
          <w:rFonts w:hint="eastAsia" w:ascii="仿宋" w:hAnsi="仿宋" w:eastAsia="仿宋" w:cs="仿宋"/>
          <w:b/>
          <w:color w:val="auto"/>
          <w:sz w:val="24"/>
        </w:rPr>
      </w:pPr>
    </w:p>
    <w:p w14:paraId="7DFC64FA">
      <w:pPr>
        <w:widowControl/>
        <w:adjustRightInd/>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br w:type="page"/>
      </w:r>
    </w:p>
    <w:p w14:paraId="676F3BF7">
      <w:pPr>
        <w:autoSpaceDE w:val="0"/>
        <w:autoSpaceDN w:val="0"/>
        <w:spacing w:line="336" w:lineRule="auto"/>
        <w:jc w:val="center"/>
        <w:rPr>
          <w:rFonts w:hint="eastAsia" w:ascii="仿宋" w:hAnsi="仿宋" w:eastAsia="仿宋" w:cs="仿宋"/>
          <w:b/>
          <w:bCs/>
          <w:color w:val="auto"/>
          <w:sz w:val="32"/>
          <w:szCs w:val="32"/>
        </w:rPr>
      </w:pPr>
      <w:r>
        <w:rPr>
          <w:rFonts w:hint="eastAsia" w:ascii="仿宋" w:hAnsi="仿宋" w:eastAsia="仿宋" w:cs="仿宋"/>
          <w:b/>
          <w:color w:val="auto"/>
          <w:sz w:val="32"/>
          <w:szCs w:val="32"/>
        </w:rPr>
        <w:t>附件3：</w:t>
      </w:r>
      <w:r>
        <w:rPr>
          <w:rFonts w:hint="eastAsia" w:ascii="仿宋" w:hAnsi="仿宋" w:eastAsia="仿宋" w:cs="仿宋"/>
          <w:b/>
          <w:bCs/>
          <w:color w:val="auto"/>
          <w:sz w:val="32"/>
          <w:szCs w:val="32"/>
        </w:rPr>
        <w:t>业务专用章使用说明函</w:t>
      </w:r>
    </w:p>
    <w:p w14:paraId="21322370">
      <w:pPr>
        <w:autoSpaceDE w:val="0"/>
        <w:autoSpaceDN w:val="0"/>
        <w:spacing w:line="336" w:lineRule="auto"/>
        <w:jc w:val="center"/>
        <w:rPr>
          <w:rFonts w:hint="eastAsia" w:ascii="仿宋" w:hAnsi="仿宋" w:eastAsia="仿宋" w:cs="仿宋"/>
          <w:b/>
          <w:bCs/>
          <w:color w:val="auto"/>
          <w:sz w:val="32"/>
          <w:szCs w:val="32"/>
        </w:rPr>
      </w:pPr>
    </w:p>
    <w:p w14:paraId="522A3219">
      <w:pPr>
        <w:spacing w:line="336"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7F74BB77">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(供应商全称)是中华人民共和国依法登记注册的合法企业，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贵方组织的</w:t>
      </w:r>
      <w:r>
        <w:rPr>
          <w:rFonts w:hint="eastAsia" w:ascii="仿宋" w:hAnsi="仿宋" w:eastAsia="仿宋" w:cs="仿宋"/>
          <w:color w:val="auto"/>
          <w:sz w:val="24"/>
          <w:lang w:eastAsia="zh-CN"/>
        </w:rPr>
        <w:t>全市义务教育学校提升工程-城北小学改建工程环境提升校园文化建设</w:t>
      </w:r>
      <w:r>
        <w:rPr>
          <w:rFonts w:hint="eastAsia" w:ascii="仿宋" w:hAnsi="仿宋" w:eastAsia="仿宋" w:cs="仿宋"/>
          <w:color w:val="auto"/>
          <w:sz w:val="24"/>
        </w:rPr>
        <w:t>【项目编号：（采购编号）】</w:t>
      </w:r>
      <w:r>
        <w:rPr>
          <w:rFonts w:hint="eastAsia" w:ascii="仿宋" w:hAnsi="仿宋" w:eastAsia="仿宋" w:cs="仿宋"/>
          <w:bCs/>
          <w:color w:val="auto"/>
          <w:sz w:val="24"/>
        </w:rPr>
        <w:t>采购活动中作如下说明：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56A77AC1">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0444637D">
      <w:pPr>
        <w:spacing w:line="336" w:lineRule="auto"/>
        <w:ind w:firstLine="494"/>
        <w:rPr>
          <w:rFonts w:hint="eastAsia" w:ascii="仿宋" w:hAnsi="仿宋" w:eastAsia="仿宋" w:cs="仿宋"/>
          <w:color w:val="auto"/>
          <w:sz w:val="24"/>
        </w:rPr>
      </w:pPr>
    </w:p>
    <w:p w14:paraId="79C7598D">
      <w:pPr>
        <w:spacing w:line="336" w:lineRule="auto"/>
        <w:ind w:firstLine="494"/>
        <w:rPr>
          <w:rFonts w:hint="eastAsia" w:ascii="仿宋" w:hAnsi="仿宋" w:eastAsia="仿宋" w:cs="仿宋"/>
          <w:color w:val="auto"/>
          <w:sz w:val="24"/>
        </w:rPr>
      </w:pPr>
    </w:p>
    <w:p w14:paraId="7D9E5C75">
      <w:pPr>
        <w:spacing w:line="336" w:lineRule="auto"/>
        <w:ind w:firstLine="494"/>
        <w:rPr>
          <w:rFonts w:hint="eastAsia" w:ascii="仿宋" w:hAnsi="仿宋" w:eastAsia="仿宋" w:cs="仿宋"/>
          <w:color w:val="auto"/>
          <w:sz w:val="24"/>
        </w:rPr>
      </w:pPr>
    </w:p>
    <w:p w14:paraId="170E4B34">
      <w:pPr>
        <w:spacing w:line="336" w:lineRule="auto"/>
        <w:ind w:firstLine="494"/>
        <w:rPr>
          <w:rFonts w:hint="eastAsia" w:ascii="仿宋" w:hAnsi="仿宋" w:eastAsia="仿宋" w:cs="仿宋"/>
          <w:color w:val="auto"/>
          <w:sz w:val="24"/>
        </w:rPr>
      </w:pPr>
    </w:p>
    <w:p w14:paraId="2B911D55">
      <w:pPr>
        <w:spacing w:line="336" w:lineRule="auto"/>
        <w:jc w:val="right"/>
        <w:rPr>
          <w:rFonts w:hint="eastAsia" w:ascii="仿宋" w:hAnsi="仿宋" w:eastAsia="仿宋" w:cs="仿宋"/>
          <w:color w:val="auto"/>
          <w:sz w:val="24"/>
        </w:rPr>
      </w:pPr>
      <w:r>
        <w:rPr>
          <w:rFonts w:hint="eastAsia" w:ascii="仿宋" w:hAnsi="仿宋" w:eastAsia="仿宋" w:cs="仿宋"/>
          <w:color w:val="auto"/>
          <w:sz w:val="24"/>
        </w:rPr>
        <w:t>供应商名称（电子签名）：</w:t>
      </w:r>
    </w:p>
    <w:p w14:paraId="432F86AF">
      <w:pPr>
        <w:spacing w:line="336" w:lineRule="auto"/>
        <w:ind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1CD7B764">
      <w:pPr>
        <w:spacing w:line="336" w:lineRule="auto"/>
        <w:rPr>
          <w:rFonts w:hint="eastAsia" w:ascii="仿宋" w:hAnsi="仿宋" w:eastAsia="仿宋" w:cs="仿宋"/>
          <w:color w:val="auto"/>
          <w:sz w:val="24"/>
        </w:rPr>
      </w:pPr>
      <w:r>
        <w:rPr>
          <w:rFonts w:hint="eastAsia" w:ascii="仿宋" w:hAnsi="仿宋" w:eastAsia="仿宋" w:cs="仿宋"/>
          <w:b/>
          <w:bCs/>
          <w:color w:val="auto"/>
          <w:sz w:val="24"/>
        </w:rPr>
        <w:t>附：</w:t>
      </w:r>
    </w:p>
    <w:p w14:paraId="6031452F">
      <w:pPr>
        <w:spacing w:line="336" w:lineRule="auto"/>
        <w:rPr>
          <w:rFonts w:hint="eastAsia" w:ascii="仿宋" w:hAnsi="仿宋" w:eastAsia="仿宋" w:cs="仿宋"/>
          <w:bCs/>
          <w:color w:val="auto"/>
          <w:sz w:val="24"/>
        </w:rPr>
      </w:pPr>
      <w:r>
        <w:rPr>
          <w:rFonts w:hint="eastAsia" w:ascii="仿宋" w:hAnsi="仿宋" w:eastAsia="仿宋" w:cs="仿宋"/>
          <w:color w:val="auto"/>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color w:val="auto"/>
          <w:sz w:val="24"/>
        </w:rPr>
        <w:t>供应商法定名称章（印模）                供应商“XX专用章”（印模）</w:t>
      </w:r>
    </w:p>
    <w:p w14:paraId="609BD87D">
      <w:pPr>
        <w:widowControl/>
        <w:spacing w:line="336" w:lineRule="auto"/>
        <w:ind w:firstLine="480" w:firstLineChars="200"/>
        <w:jc w:val="left"/>
        <w:rPr>
          <w:rFonts w:hint="eastAsia" w:ascii="仿宋" w:hAnsi="仿宋" w:eastAsia="仿宋" w:cs="仿宋"/>
          <w:color w:val="auto"/>
          <w:kern w:val="0"/>
          <w:sz w:val="24"/>
        </w:rPr>
      </w:pPr>
    </w:p>
    <w:p w14:paraId="602AF914">
      <w:pPr>
        <w:snapToGrid w:val="0"/>
        <w:spacing w:line="336" w:lineRule="auto"/>
        <w:jc w:val="center"/>
        <w:rPr>
          <w:rFonts w:hint="eastAsia" w:ascii="仿宋" w:hAnsi="仿宋" w:eastAsia="仿宋" w:cs="仿宋"/>
          <w:b/>
          <w:color w:val="auto"/>
          <w:sz w:val="24"/>
        </w:rPr>
      </w:pPr>
    </w:p>
    <w:p w14:paraId="2E0677AC">
      <w:pPr>
        <w:widowControl/>
        <w:adjustRightInd/>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br w:type="page"/>
      </w:r>
    </w:p>
    <w:p w14:paraId="3D02B6F3">
      <w:pPr>
        <w:spacing w:line="336"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4</w:t>
      </w:r>
      <w:r>
        <w:rPr>
          <w:rFonts w:hint="eastAsia" w:ascii="仿宋" w:hAnsi="仿宋" w:eastAsia="仿宋" w:cs="仿宋"/>
          <w:b/>
          <w:color w:val="auto"/>
          <w:spacing w:val="6"/>
          <w:sz w:val="32"/>
          <w:szCs w:val="32"/>
        </w:rPr>
        <w:t>：残疾人福利性单位声明函</w:t>
      </w:r>
    </w:p>
    <w:p w14:paraId="4A80CB9F">
      <w:pPr>
        <w:spacing w:line="336" w:lineRule="auto"/>
        <w:rPr>
          <w:rFonts w:hint="eastAsia" w:ascii="仿宋" w:hAnsi="仿宋" w:eastAsia="仿宋" w:cs="仿宋"/>
          <w:b/>
          <w:color w:val="auto"/>
          <w:spacing w:val="6"/>
          <w:sz w:val="30"/>
          <w:szCs w:val="30"/>
        </w:rPr>
      </w:pPr>
    </w:p>
    <w:p w14:paraId="44B7399D">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嵊州市城北小学</w:t>
      </w:r>
      <w:r>
        <w:rPr>
          <w:rFonts w:hint="eastAsia" w:ascii="仿宋" w:hAnsi="仿宋" w:eastAsia="仿宋" w:cs="仿宋"/>
          <w:color w:val="auto"/>
          <w:sz w:val="24"/>
          <w:u w:val="single"/>
        </w:rPr>
        <w:t xml:space="preserve">  </w:t>
      </w:r>
      <w:r>
        <w:rPr>
          <w:rFonts w:hint="eastAsia" w:ascii="仿宋" w:hAnsi="仿宋" w:eastAsia="仿宋" w:cs="仿宋"/>
          <w:color w:val="auto"/>
          <w:sz w:val="24"/>
        </w:rPr>
        <w:t>单位的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全市义务教育学校提升工程-城北小学改建工程环境提升校园文化建设</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项目采购活动提供本单位制造的货物（由本单位承担工程/提供服务），或者提供其他残疾人福利性单位制造的货物（不包括使用非残疾人福利性单位注册商标的货物）。</w:t>
      </w:r>
    </w:p>
    <w:p w14:paraId="3DD28DA3">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045B8968">
      <w:pPr>
        <w:spacing w:line="336" w:lineRule="auto"/>
        <w:ind w:firstLine="480" w:firstLineChars="200"/>
        <w:rPr>
          <w:rFonts w:hint="eastAsia" w:ascii="仿宋" w:hAnsi="仿宋" w:eastAsia="仿宋" w:cs="仿宋"/>
          <w:color w:val="auto"/>
          <w:sz w:val="24"/>
        </w:rPr>
      </w:pPr>
    </w:p>
    <w:p w14:paraId="0148435D">
      <w:pPr>
        <w:spacing w:line="336" w:lineRule="auto"/>
        <w:ind w:firstLine="480" w:firstLineChars="200"/>
        <w:rPr>
          <w:rFonts w:hint="eastAsia" w:ascii="仿宋" w:hAnsi="仿宋" w:eastAsia="仿宋" w:cs="仿宋"/>
          <w:color w:val="auto"/>
          <w:sz w:val="24"/>
        </w:rPr>
      </w:pPr>
    </w:p>
    <w:p w14:paraId="442593FA">
      <w:pPr>
        <w:spacing w:line="336" w:lineRule="auto"/>
        <w:jc w:val="right"/>
        <w:rPr>
          <w:rFonts w:hint="eastAsia" w:ascii="仿宋" w:hAnsi="仿宋" w:eastAsia="仿宋" w:cs="仿宋"/>
          <w:color w:val="auto"/>
          <w:sz w:val="24"/>
        </w:rPr>
      </w:pPr>
      <w:r>
        <w:rPr>
          <w:rFonts w:hint="eastAsia" w:ascii="仿宋" w:hAnsi="仿宋" w:eastAsia="仿宋" w:cs="仿宋"/>
          <w:color w:val="auto"/>
          <w:sz w:val="24"/>
        </w:rPr>
        <w:t xml:space="preserve">         供应商名称（电子签名）：</w:t>
      </w:r>
    </w:p>
    <w:p w14:paraId="30F05CFE">
      <w:pPr>
        <w:spacing w:line="336" w:lineRule="auto"/>
        <w:ind w:firstLine="6120" w:firstLineChars="2550"/>
        <w:rPr>
          <w:rFonts w:hint="eastAsia" w:ascii="仿宋" w:hAnsi="仿宋" w:eastAsia="仿宋" w:cs="仿宋"/>
          <w:color w:val="auto"/>
          <w:sz w:val="24"/>
        </w:rPr>
      </w:pPr>
      <w:r>
        <w:rPr>
          <w:rFonts w:hint="eastAsia" w:ascii="仿宋" w:hAnsi="仿宋" w:eastAsia="仿宋" w:cs="仿宋"/>
          <w:color w:val="auto"/>
          <w:sz w:val="24"/>
        </w:rPr>
        <w:t>日 期：</w:t>
      </w:r>
    </w:p>
    <w:p w14:paraId="32EECE2A">
      <w:pPr>
        <w:tabs>
          <w:tab w:val="left" w:pos="4860"/>
        </w:tabs>
        <w:spacing w:line="336" w:lineRule="auto"/>
        <w:ind w:firstLine="480" w:firstLineChars="200"/>
        <w:jc w:val="center"/>
        <w:rPr>
          <w:rFonts w:hint="eastAsia" w:ascii="仿宋" w:hAnsi="仿宋" w:eastAsia="仿宋" w:cs="仿宋"/>
          <w:color w:val="auto"/>
          <w:sz w:val="24"/>
        </w:rPr>
      </w:pPr>
    </w:p>
    <w:p w14:paraId="42C22E73">
      <w:pPr>
        <w:pStyle w:val="74"/>
        <w:rPr>
          <w:rFonts w:hint="eastAsia" w:ascii="仿宋" w:hAnsi="仿宋" w:eastAsia="仿宋" w:cs="仿宋"/>
          <w:color w:val="auto"/>
          <w:sz w:val="24"/>
        </w:rPr>
      </w:pPr>
    </w:p>
    <w:p w14:paraId="5EB9EAFA">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5</w:t>
      </w:r>
      <w:r>
        <w:rPr>
          <w:rFonts w:hint="eastAsia" w:ascii="仿宋" w:hAnsi="仿宋" w:eastAsia="仿宋" w:cs="仿宋"/>
          <w:b/>
          <w:color w:val="auto"/>
          <w:spacing w:val="6"/>
          <w:sz w:val="32"/>
          <w:szCs w:val="32"/>
        </w:rPr>
        <w:t>：监狱企业声明函</w:t>
      </w:r>
    </w:p>
    <w:p w14:paraId="1FE3BF09">
      <w:pPr>
        <w:autoSpaceDE w:val="0"/>
        <w:autoSpaceDN w:val="0"/>
        <w:jc w:val="center"/>
        <w:rPr>
          <w:rFonts w:hint="eastAsia" w:ascii="仿宋" w:hAnsi="仿宋" w:eastAsia="仿宋" w:cs="仿宋"/>
          <w:b/>
          <w:color w:val="auto"/>
          <w:spacing w:val="6"/>
          <w:sz w:val="32"/>
          <w:szCs w:val="32"/>
        </w:rPr>
      </w:pPr>
    </w:p>
    <w:p w14:paraId="2F14B248">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本公司郑重声明，根据《关于政府采购支持监狱企业发展有关问题的通知》（财库[2014]68 号）的规定，本公司为监狱企业。</w:t>
      </w:r>
    </w:p>
    <w:p w14:paraId="0D65C744">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根据上述标准，我公司属于监狱企业的理由为：本公司为参加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(采购人)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单位的</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项目采购活动提供本企业提供服务</w:t>
      </w:r>
    </w:p>
    <w:p w14:paraId="72C05DB3">
      <w:pPr>
        <w:autoSpaceDE w:val="0"/>
        <w:autoSpaceDN w:val="0"/>
        <w:jc w:val="center"/>
        <w:rPr>
          <w:rFonts w:hint="eastAsia" w:ascii="仿宋" w:hAnsi="仿宋" w:eastAsia="仿宋" w:cs="仿宋"/>
          <w:b/>
          <w:color w:val="auto"/>
          <w:spacing w:val="6"/>
          <w:sz w:val="32"/>
          <w:szCs w:val="32"/>
        </w:rPr>
      </w:pPr>
      <w:r>
        <w:rPr>
          <w:rFonts w:hint="eastAsia" w:ascii="仿宋" w:hAnsi="仿宋" w:eastAsia="仿宋" w:cs="仿宋"/>
          <w:color w:val="auto"/>
          <w:sz w:val="24"/>
          <w:szCs w:val="24"/>
        </w:rPr>
        <w:t>本公司对上述声明的真实性负责。如有虚假，将依法承担相应责任。</w:t>
      </w:r>
    </w:p>
    <w:p w14:paraId="097C84F9">
      <w:pPr>
        <w:autoSpaceDE w:val="0"/>
        <w:autoSpaceDN w:val="0"/>
        <w:jc w:val="center"/>
        <w:rPr>
          <w:rFonts w:hint="eastAsia" w:ascii="仿宋" w:hAnsi="仿宋" w:eastAsia="仿宋" w:cs="仿宋"/>
          <w:b/>
          <w:color w:val="auto"/>
          <w:spacing w:val="6"/>
          <w:sz w:val="32"/>
          <w:szCs w:val="32"/>
        </w:rPr>
      </w:pPr>
    </w:p>
    <w:p w14:paraId="72102078">
      <w:pPr>
        <w:autoSpaceDE w:val="0"/>
        <w:autoSpaceDN w:val="0"/>
        <w:jc w:val="both"/>
        <w:rPr>
          <w:rFonts w:hint="eastAsia" w:ascii="仿宋" w:hAnsi="仿宋" w:eastAsia="仿宋" w:cs="仿宋"/>
          <w:b/>
          <w:color w:val="auto"/>
          <w:spacing w:val="6"/>
          <w:sz w:val="32"/>
          <w:szCs w:val="32"/>
        </w:rPr>
      </w:pPr>
    </w:p>
    <w:p w14:paraId="332E3DD7">
      <w:pPr>
        <w:autoSpaceDE w:val="0"/>
        <w:autoSpaceDN w:val="0"/>
        <w:jc w:val="center"/>
        <w:rPr>
          <w:rFonts w:hint="eastAsia" w:ascii="仿宋" w:hAnsi="仿宋" w:eastAsia="仿宋" w:cs="仿宋"/>
          <w:b/>
          <w:color w:val="auto"/>
          <w:spacing w:val="6"/>
          <w:sz w:val="32"/>
          <w:szCs w:val="32"/>
        </w:rPr>
      </w:pPr>
    </w:p>
    <w:p w14:paraId="02711D77">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供应商</w:t>
      </w:r>
      <w:r>
        <w:rPr>
          <w:rFonts w:hint="eastAsia" w:ascii="仿宋" w:hAnsi="仿宋" w:eastAsia="仿宋" w:cs="仿宋"/>
          <w:color w:val="auto"/>
          <w:kern w:val="0"/>
          <w:sz w:val="24"/>
          <w:lang w:val="zh-CN"/>
        </w:rPr>
        <w:t>名称（电子签名）</w:t>
      </w:r>
      <w:r>
        <w:rPr>
          <w:rFonts w:hint="eastAsia" w:ascii="仿宋" w:hAnsi="仿宋" w:eastAsia="仿宋" w:cs="仿宋"/>
          <w:color w:val="auto"/>
          <w:sz w:val="24"/>
        </w:rPr>
        <w:t>：</w:t>
      </w:r>
    </w:p>
    <w:p w14:paraId="0D65CC8E">
      <w:pPr>
        <w:pStyle w:val="75"/>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  期：</w:t>
      </w:r>
    </w:p>
    <w:p w14:paraId="01170D7B">
      <w:pPr>
        <w:rPr>
          <w:rFonts w:hint="eastAsia" w:ascii="仿宋" w:hAnsi="仿宋" w:eastAsia="仿宋" w:cs="仿宋"/>
          <w:color w:val="auto"/>
          <w:sz w:val="24"/>
        </w:rPr>
      </w:pPr>
    </w:p>
    <w:p w14:paraId="04D7F51D">
      <w:pPr>
        <w:pStyle w:val="74"/>
        <w:rPr>
          <w:rFonts w:hint="eastAsia" w:ascii="仿宋" w:hAnsi="仿宋" w:eastAsia="仿宋" w:cs="仿宋"/>
          <w:color w:val="auto"/>
          <w:sz w:val="24"/>
        </w:rPr>
      </w:pPr>
    </w:p>
    <w:p w14:paraId="5A81722D">
      <w:pPr>
        <w:snapToGrid w:val="0"/>
        <w:spacing w:line="336" w:lineRule="auto"/>
        <w:jc w:val="both"/>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附件</w:t>
      </w:r>
      <w:r>
        <w:rPr>
          <w:rFonts w:hint="eastAsia" w:ascii="仿宋" w:hAnsi="仿宋" w:eastAsia="仿宋" w:cs="仿宋"/>
          <w:b/>
          <w:color w:val="auto"/>
          <w:kern w:val="0"/>
          <w:sz w:val="32"/>
          <w:szCs w:val="32"/>
          <w:lang w:val="en-US" w:eastAsia="zh-CN"/>
        </w:rPr>
        <w:t>6</w:t>
      </w:r>
      <w:r>
        <w:rPr>
          <w:rFonts w:hint="eastAsia" w:ascii="仿宋" w:hAnsi="仿宋" w:eastAsia="仿宋" w:cs="仿宋"/>
          <w:b/>
          <w:color w:val="auto"/>
          <w:kern w:val="0"/>
          <w:sz w:val="32"/>
          <w:szCs w:val="32"/>
        </w:rPr>
        <w:t>：中小企业声明函</w:t>
      </w:r>
    </w:p>
    <w:p w14:paraId="6127C445">
      <w:pPr>
        <w:spacing w:line="336" w:lineRule="auto"/>
        <w:jc w:val="both"/>
        <w:rPr>
          <w:rFonts w:hint="eastAsia" w:ascii="仿宋" w:hAnsi="仿宋" w:eastAsia="仿宋" w:cs="仿宋"/>
          <w:b/>
          <w:color w:val="auto"/>
          <w:sz w:val="32"/>
          <w:szCs w:val="32"/>
        </w:rPr>
      </w:pPr>
    </w:p>
    <w:p w14:paraId="5AFB1FCA">
      <w:pPr>
        <w:adjustRightInd/>
        <w:spacing w:line="336"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6"/>
          <w:szCs w:val="36"/>
        </w:rPr>
        <w:t>中小企业声明函（服务）</w:t>
      </w:r>
    </w:p>
    <w:p w14:paraId="632C1919">
      <w:pPr>
        <w:keepNext w:val="0"/>
        <w:keepLines w:val="0"/>
        <w:pageBreakBefore w:val="0"/>
        <w:widowControl w:val="0"/>
        <w:kinsoku/>
        <w:wordWrap/>
        <w:overflowPunct/>
        <w:topLinePunct w:val="0"/>
        <w:autoSpaceDE/>
        <w:autoSpaceDN/>
        <w:bidi w:val="0"/>
        <w:adjustRightInd w:val="0"/>
        <w:snapToGrid/>
        <w:spacing w:line="360" w:lineRule="auto"/>
        <w:ind w:firstLine="360" w:firstLineChars="150"/>
        <w:jc w:val="left"/>
        <w:textAlignment w:val="auto"/>
        <w:rPr>
          <w:rFonts w:hint="eastAsia" w:ascii="仿宋" w:hAnsi="仿宋" w:eastAsia="仿宋" w:cs="仿宋"/>
          <w:color w:val="auto"/>
          <w:sz w:val="24"/>
        </w:rPr>
      </w:pPr>
      <w:r>
        <w:rPr>
          <w:rFonts w:hint="eastAsia" w:ascii="仿宋" w:hAnsi="仿宋" w:eastAsia="仿宋" w:cs="仿宋"/>
          <w:color w:val="auto"/>
          <w:sz w:val="24"/>
        </w:rPr>
        <w:t xml:space="preserve">本公司郑重声明，根据《政府采购促进中小企业发展管理办法》（财库﹝2020﹞46 号）的规定，本公司参加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相关企业的具体情况如下：</w:t>
      </w:r>
    </w:p>
    <w:p w14:paraId="4726FF7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szCs w:val="24"/>
          <w:u w:val="single"/>
          <w:lang w:eastAsia="zh-CN"/>
        </w:rPr>
        <w:t>全市义务教育学校提升工程-城北小学改建工程环境提升校园文化建设</w:t>
      </w:r>
      <w:r>
        <w:rPr>
          <w:rFonts w:hint="eastAsia" w:ascii="仿宋" w:hAnsi="仿宋" w:eastAsia="仿宋" w:cs="仿宋"/>
          <w:color w:val="auto"/>
          <w:sz w:val="24"/>
          <w:szCs w:val="24"/>
          <w:u w:val="single"/>
        </w:rPr>
        <w:t>（</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其他未列明行业</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1852F0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w:t>
      </w:r>
    </w:p>
    <w:p w14:paraId="2EDB83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3321BD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3487C81F">
      <w:pPr>
        <w:keepNext w:val="0"/>
        <w:keepLines w:val="0"/>
        <w:pageBreakBefore w:val="0"/>
        <w:widowControl w:val="0"/>
        <w:kinsoku/>
        <w:wordWrap/>
        <w:overflowPunct/>
        <w:topLinePunct w:val="0"/>
        <w:autoSpaceDE/>
        <w:autoSpaceDN/>
        <w:bidi w:val="0"/>
        <w:adjustRightInd w:val="0"/>
        <w:snapToGrid/>
        <w:spacing w:line="360" w:lineRule="auto"/>
        <w:jc w:val="right"/>
        <w:textAlignment w:val="auto"/>
        <w:rPr>
          <w:rFonts w:hint="eastAsia" w:ascii="仿宋" w:hAnsi="仿宋" w:eastAsia="仿宋" w:cs="仿宋"/>
          <w:color w:val="auto"/>
          <w:sz w:val="24"/>
        </w:rPr>
      </w:pPr>
      <w:r>
        <w:rPr>
          <w:rFonts w:hint="eastAsia" w:ascii="仿宋" w:hAnsi="仿宋" w:eastAsia="仿宋" w:cs="仿宋"/>
          <w:color w:val="auto"/>
          <w:sz w:val="24"/>
        </w:rPr>
        <w:t>供应商名称（电子签名）：</w:t>
      </w:r>
    </w:p>
    <w:p w14:paraId="2E514ABA">
      <w:pPr>
        <w:keepNext w:val="0"/>
        <w:keepLines w:val="0"/>
        <w:pageBreakBefore w:val="0"/>
        <w:widowControl w:val="0"/>
        <w:kinsoku/>
        <w:wordWrap/>
        <w:overflowPunct/>
        <w:topLinePunct w:val="0"/>
        <w:autoSpaceDE/>
        <w:autoSpaceDN/>
        <w:bidi w:val="0"/>
        <w:adjustRightInd w:val="0"/>
        <w:snapToGrid/>
        <w:spacing w:line="360" w:lineRule="auto"/>
        <w:ind w:firstLine="6120" w:firstLineChars="2550"/>
        <w:textAlignment w:val="auto"/>
        <w:rPr>
          <w:rFonts w:hint="eastAsia" w:ascii="仿宋" w:hAnsi="仿宋" w:eastAsia="仿宋" w:cs="仿宋"/>
          <w:color w:val="auto"/>
          <w:sz w:val="24"/>
        </w:rPr>
      </w:pPr>
      <w:r>
        <w:rPr>
          <w:rFonts w:hint="eastAsia" w:ascii="仿宋" w:hAnsi="仿宋" w:eastAsia="仿宋" w:cs="仿宋"/>
          <w:color w:val="auto"/>
          <w:sz w:val="24"/>
        </w:rPr>
        <w:t>日 期：</w:t>
      </w:r>
    </w:p>
    <w:p w14:paraId="3E22DE6E">
      <w:pPr>
        <w:spacing w:line="336" w:lineRule="auto"/>
        <w:ind w:firstLine="354" w:firstLineChars="147"/>
        <w:jc w:val="left"/>
        <w:rPr>
          <w:rFonts w:hint="eastAsia" w:ascii="仿宋" w:hAnsi="仿宋" w:eastAsia="仿宋" w:cs="仿宋"/>
          <w:b/>
          <w:color w:val="auto"/>
          <w:szCs w:val="21"/>
        </w:rPr>
      </w:pPr>
      <w:r>
        <w:rPr>
          <w:rFonts w:hint="eastAsia" w:ascii="仿宋" w:hAnsi="仿宋" w:eastAsia="仿宋" w:cs="仿宋"/>
          <w:b/>
          <w:color w:val="auto"/>
          <w:sz w:val="24"/>
          <w:szCs w:val="24"/>
        </w:rPr>
        <w:t>从业人员、营业收入、资产总额填报上一年度数据，无上一年度数据的新成立企业可不填报。</w:t>
      </w:r>
    </w:p>
    <w:p w14:paraId="11FD951B">
      <w:pPr>
        <w:spacing w:line="336" w:lineRule="auto"/>
        <w:rPr>
          <w:rFonts w:hint="eastAsia" w:ascii="仿宋" w:hAnsi="仿宋" w:eastAsia="仿宋" w:cs="仿宋"/>
          <w:color w:val="auto"/>
          <w:sz w:val="24"/>
        </w:rPr>
      </w:pPr>
    </w:p>
    <w:p w14:paraId="08FB5F74">
      <w:pPr>
        <w:spacing w:line="336" w:lineRule="auto"/>
        <w:rPr>
          <w:rFonts w:hint="eastAsia" w:ascii="仿宋" w:hAnsi="仿宋" w:eastAsia="仿宋" w:cs="仿宋"/>
          <w:color w:val="auto"/>
          <w:sz w:val="24"/>
        </w:rPr>
      </w:pPr>
      <w:r>
        <w:rPr>
          <w:rFonts w:hint="eastAsia" w:ascii="仿宋" w:hAnsi="仿宋" w:eastAsia="仿宋" w:cs="仿宋"/>
          <w:color w:val="auto"/>
          <w:sz w:val="24"/>
        </w:rPr>
        <w:t xml:space="preserve">   注：</w:t>
      </w:r>
    </w:p>
    <w:p w14:paraId="4A737537">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1、填写要求：①“标的名称”、“采购文件中明确的所属行业”依据磋商文件第三部分</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18F5A4D">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D542655">
      <w:pPr>
        <w:spacing w:line="336" w:lineRule="auto"/>
        <w:rPr>
          <w:rFonts w:hint="eastAsia" w:ascii="仿宋" w:hAnsi="仿宋" w:eastAsia="仿宋" w:cs="仿宋"/>
          <w:b/>
          <w:color w:val="auto"/>
          <w:sz w:val="24"/>
        </w:rPr>
      </w:pPr>
    </w:p>
    <w:p w14:paraId="089223A5">
      <w:pPr>
        <w:pageBreakBefore/>
        <w:shd w:val="clear" w:color="auto" w:fill="FFFFFF"/>
        <w:spacing w:line="336" w:lineRule="auto"/>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国家统计局关于印发《统计上大中小微型企业划分办法（2017）》的通知</w:t>
      </w:r>
    </w:p>
    <w:p w14:paraId="20745CA0">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各省、自治区、直辖市统计局，新疆生产建设兵团统计局，国务院各有关部门，国家统计局各调查总队：</w:t>
      </w:r>
    </w:p>
    <w:p w14:paraId="1B0FAE5F">
      <w:pPr>
        <w:keepNext w:val="0"/>
        <w:keepLines w:val="0"/>
        <w:pageBreakBefore w:val="0"/>
        <w:widowControl/>
        <w:shd w:val="clear" w:color="auto" w:fill="FFFFFF"/>
        <w:kinsoku/>
        <w:wordWrap/>
        <w:overflowPunct/>
        <w:topLinePunct w:val="0"/>
        <w:autoSpaceDE/>
        <w:autoSpaceDN/>
        <w:bidi w:val="0"/>
        <w:adjustRightInd w:val="0"/>
        <w:snapToGrid/>
        <w:spacing w:line="360" w:lineRule="auto"/>
        <w:ind w:firstLine="420" w:firstLineChars="200"/>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AAF3EDD">
      <w:pPr>
        <w:keepNext w:val="0"/>
        <w:keepLines w:val="0"/>
        <w:pageBreakBefore w:val="0"/>
        <w:widowControl/>
        <w:kinsoku/>
        <w:wordWrap/>
        <w:overflowPunct/>
        <w:topLinePunct w:val="0"/>
        <w:autoSpaceDE/>
        <w:autoSpaceDN/>
        <w:bidi w:val="0"/>
        <w:adjustRightInd w:val="0"/>
        <w:snapToGrid/>
        <w:spacing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附件：《统计上大中小微型企业划分办法（2017）》修订说明</w:t>
      </w:r>
    </w:p>
    <w:p w14:paraId="47E25D00">
      <w:pPr>
        <w:widowControl/>
        <w:shd w:val="clear" w:color="auto" w:fill="FFFFFF"/>
        <w:spacing w:line="336" w:lineRule="auto"/>
        <w:jc w:val="righ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国家统计局  </w:t>
      </w:r>
    </w:p>
    <w:p w14:paraId="488E93E6">
      <w:pPr>
        <w:widowControl/>
        <w:shd w:val="clear" w:color="auto" w:fill="FFFFFF"/>
        <w:spacing w:line="336" w:lineRule="auto"/>
        <w:jc w:val="righ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2017年12月28日</w:t>
      </w:r>
    </w:p>
    <w:p w14:paraId="254B45AA">
      <w:pPr>
        <w:pStyle w:val="23"/>
        <w:spacing w:line="336" w:lineRule="auto"/>
        <w:rPr>
          <w:rFonts w:hint="eastAsia" w:ascii="仿宋" w:hAnsi="仿宋" w:eastAsia="仿宋" w:cs="仿宋"/>
          <w:color w:val="auto"/>
          <w:lang w:val="en-US"/>
        </w:rPr>
      </w:pPr>
    </w:p>
    <w:p w14:paraId="114C429E">
      <w:pPr>
        <w:widowControl/>
        <w:shd w:val="clear" w:color="auto" w:fill="FFFFFF"/>
        <w:spacing w:line="336" w:lineRule="auto"/>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统计上大中小微型企业划分办法（2017）</w:t>
      </w:r>
    </w:p>
    <w:p w14:paraId="1078775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77D0BE7E">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二、本办法适用对象为在中华人民共和国境内依法设立的各种组织形式的法人企业或单位。个体工商户参照本办法进行划分。</w:t>
      </w:r>
    </w:p>
    <w:p w14:paraId="4303E34E">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AD28BDB">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四、本办法按照行业门类、大类、中类和组合类别，依据从业人员、营业收入、资产总额等指标或替代指标，将我国的企业划分为大型、中型、小型、微型等四种类型。具体划分标准见附表。</w:t>
      </w:r>
    </w:p>
    <w:p w14:paraId="29A95B77">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五、企业划分由政府综合统计部门根据统计年报每年确定一次，定报统计原则上不进行调整。</w:t>
      </w:r>
    </w:p>
    <w:p w14:paraId="50AF0EFB">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六、本办法自印发之日起执行，国家统计局2011年印发的《统计上大中小微型企业划分办法》（国统字〔2011〕75号）同时废止。</w:t>
      </w:r>
    </w:p>
    <w:p w14:paraId="197187D4">
      <w:pPr>
        <w:rPr>
          <w:rFonts w:hint="eastAsia" w:ascii="仿宋" w:hAnsi="仿宋" w:eastAsia="仿宋" w:cs="仿宋"/>
          <w:color w:val="auto"/>
          <w:kern w:val="0"/>
          <w:szCs w:val="21"/>
        </w:rPr>
      </w:pPr>
      <w:r>
        <w:rPr>
          <w:rFonts w:hint="eastAsia" w:ascii="仿宋" w:hAnsi="仿宋" w:eastAsia="仿宋" w:cs="仿宋"/>
          <w:color w:val="auto"/>
          <w:kern w:val="0"/>
          <w:szCs w:val="21"/>
        </w:rPr>
        <w:br w:type="page"/>
      </w:r>
    </w:p>
    <w:p w14:paraId="127E51A3">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附表：统计上大中小微型企业划分标准</w:t>
      </w:r>
    </w:p>
    <w:p w14:paraId="71B65EDB">
      <w:pPr>
        <w:pStyle w:val="73"/>
        <w:rPr>
          <w:rFonts w:hint="eastAsia" w:ascii="仿宋" w:hAnsi="仿宋" w:eastAsia="仿宋" w:cs="仿宋"/>
          <w:color w:val="auto"/>
        </w:rPr>
      </w:pPr>
    </w:p>
    <w:p w14:paraId="47C295A8">
      <w:pPr>
        <w:widowControl/>
        <w:shd w:val="clear" w:color="auto" w:fill="FFFFFF"/>
        <w:spacing w:line="336" w:lineRule="auto"/>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统计上大中小微型企业划分标准</w:t>
      </w:r>
    </w:p>
    <w:tbl>
      <w:tblPr>
        <w:tblStyle w:val="6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1FD11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457EF3AD">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14:paraId="3E8C3CA3">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14:paraId="7BF1E5D8">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14:paraId="44ECB338">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14:paraId="2E4F44FC">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14:paraId="25E5BAC3">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14:paraId="3423EDAE">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7FA5F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37A6404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14:paraId="3EECA2A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5F6FE4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7C4684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42E5AC8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44FFEB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14:paraId="31B259A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2CB4B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04AC8C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14:paraId="6432110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FF9C8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E26571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6692BE2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2870170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2DFBE08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75274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90CE794">
            <w:pPr>
              <w:widowControl/>
              <w:jc w:val="left"/>
              <w:rPr>
                <w:rFonts w:hint="eastAsia" w:ascii="仿宋" w:hAnsi="仿宋" w:eastAsia="仿宋" w:cs="仿宋"/>
                <w:color w:val="auto"/>
                <w:kern w:val="0"/>
                <w:sz w:val="24"/>
                <w:highlight w:val="none"/>
              </w:rPr>
            </w:pPr>
          </w:p>
        </w:tc>
        <w:tc>
          <w:tcPr>
            <w:tcW w:w="1560" w:type="dxa"/>
            <w:vAlign w:val="center"/>
          </w:tcPr>
          <w:p w14:paraId="0B4083B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6EE371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3C1C20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103F792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14:paraId="28288D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14:paraId="51B22DD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4FE39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D53D7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14:paraId="7F4BB69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6D499A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5C76B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14:paraId="735AC00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14:paraId="7F2A598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14:paraId="696637A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09F94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F086FBE">
            <w:pPr>
              <w:widowControl/>
              <w:jc w:val="left"/>
              <w:rPr>
                <w:rFonts w:hint="eastAsia" w:ascii="仿宋" w:hAnsi="仿宋" w:eastAsia="仿宋" w:cs="仿宋"/>
                <w:color w:val="auto"/>
                <w:kern w:val="0"/>
                <w:sz w:val="24"/>
                <w:highlight w:val="none"/>
              </w:rPr>
            </w:pPr>
          </w:p>
        </w:tc>
        <w:tc>
          <w:tcPr>
            <w:tcW w:w="1560" w:type="dxa"/>
            <w:vAlign w:val="center"/>
          </w:tcPr>
          <w:p w14:paraId="7BC4AE9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44293E3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0A6A74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14:paraId="7C6D88C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14:paraId="377ADFB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14:paraId="4D00B2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14:paraId="51508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8A506C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14:paraId="73BBA4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D13557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49FD12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4A4A61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14:paraId="79C1561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14:paraId="6A3D397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14:paraId="08374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C16F8B1">
            <w:pPr>
              <w:widowControl/>
              <w:jc w:val="left"/>
              <w:rPr>
                <w:rFonts w:hint="eastAsia" w:ascii="仿宋" w:hAnsi="仿宋" w:eastAsia="仿宋" w:cs="仿宋"/>
                <w:color w:val="auto"/>
                <w:kern w:val="0"/>
                <w:sz w:val="24"/>
                <w:highlight w:val="none"/>
              </w:rPr>
            </w:pPr>
          </w:p>
        </w:tc>
        <w:tc>
          <w:tcPr>
            <w:tcW w:w="1560" w:type="dxa"/>
            <w:vAlign w:val="center"/>
          </w:tcPr>
          <w:p w14:paraId="2F94623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315A3C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B76349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6EC7811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14:paraId="1698BB3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14:paraId="1A582A5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14:paraId="09831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FC42A2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14:paraId="6EBBF5A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13D8A4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253969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31C1422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14:paraId="7D934C1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14:paraId="0B8BD09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4F8B8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A61AC2B">
            <w:pPr>
              <w:widowControl/>
              <w:jc w:val="left"/>
              <w:rPr>
                <w:rFonts w:hint="eastAsia" w:ascii="仿宋" w:hAnsi="仿宋" w:eastAsia="仿宋" w:cs="仿宋"/>
                <w:color w:val="auto"/>
                <w:kern w:val="0"/>
                <w:sz w:val="24"/>
                <w:highlight w:val="none"/>
              </w:rPr>
            </w:pPr>
          </w:p>
        </w:tc>
        <w:tc>
          <w:tcPr>
            <w:tcW w:w="1560" w:type="dxa"/>
            <w:vAlign w:val="center"/>
          </w:tcPr>
          <w:p w14:paraId="7DD7050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7DBF27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FDEF12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534E06F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61204EF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14:paraId="768CCD9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AC2A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1BAEAF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14:paraId="24A25A9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040377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BBF014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64DF7AA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79553E6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6DD2D56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6E0CF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E26A814">
            <w:pPr>
              <w:widowControl/>
              <w:jc w:val="left"/>
              <w:rPr>
                <w:rFonts w:hint="eastAsia" w:ascii="仿宋" w:hAnsi="仿宋" w:eastAsia="仿宋" w:cs="仿宋"/>
                <w:color w:val="auto"/>
                <w:kern w:val="0"/>
                <w:sz w:val="24"/>
                <w:highlight w:val="none"/>
              </w:rPr>
            </w:pPr>
          </w:p>
        </w:tc>
        <w:tc>
          <w:tcPr>
            <w:tcW w:w="1560" w:type="dxa"/>
            <w:vAlign w:val="center"/>
          </w:tcPr>
          <w:p w14:paraId="550E645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059C43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54083E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380F51E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14:paraId="0ADFB3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14:paraId="7E324A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14:paraId="4840B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FBF78C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14:paraId="7D4834B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04D0C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612956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1CEF8B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14:paraId="68C58DE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14:paraId="4C4C01F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2A348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C33C6C0">
            <w:pPr>
              <w:widowControl/>
              <w:jc w:val="left"/>
              <w:rPr>
                <w:rFonts w:hint="eastAsia" w:ascii="仿宋" w:hAnsi="仿宋" w:eastAsia="仿宋" w:cs="仿宋"/>
                <w:color w:val="auto"/>
                <w:kern w:val="0"/>
                <w:sz w:val="24"/>
                <w:highlight w:val="none"/>
              </w:rPr>
            </w:pPr>
          </w:p>
        </w:tc>
        <w:tc>
          <w:tcPr>
            <w:tcW w:w="1560" w:type="dxa"/>
            <w:vAlign w:val="center"/>
          </w:tcPr>
          <w:p w14:paraId="594E057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FC0035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015167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18107F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14:paraId="039EFF9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7C98238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7CBA4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02651E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14:paraId="573EDC2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CE239A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06891C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6C34490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12B61C1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39C476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00F43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CF1DB60">
            <w:pPr>
              <w:widowControl/>
              <w:jc w:val="left"/>
              <w:rPr>
                <w:rFonts w:hint="eastAsia" w:ascii="仿宋" w:hAnsi="仿宋" w:eastAsia="仿宋" w:cs="仿宋"/>
                <w:color w:val="auto"/>
                <w:kern w:val="0"/>
                <w:sz w:val="24"/>
                <w:highlight w:val="none"/>
              </w:rPr>
            </w:pPr>
          </w:p>
        </w:tc>
        <w:tc>
          <w:tcPr>
            <w:tcW w:w="1560" w:type="dxa"/>
            <w:vAlign w:val="center"/>
          </w:tcPr>
          <w:p w14:paraId="14A754B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2D11C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D4A2AF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7971FFB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14:paraId="587849B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78C975B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79824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144495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14:paraId="57A4674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F8D18F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2BDFB6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7C639C3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15A387C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69DC777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0940E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64E094B">
            <w:pPr>
              <w:widowControl/>
              <w:jc w:val="left"/>
              <w:rPr>
                <w:rFonts w:hint="eastAsia" w:ascii="仿宋" w:hAnsi="仿宋" w:eastAsia="仿宋" w:cs="仿宋"/>
                <w:color w:val="auto"/>
                <w:kern w:val="0"/>
                <w:sz w:val="24"/>
                <w:highlight w:val="none"/>
              </w:rPr>
            </w:pPr>
          </w:p>
        </w:tc>
        <w:tc>
          <w:tcPr>
            <w:tcW w:w="1560" w:type="dxa"/>
            <w:vAlign w:val="center"/>
          </w:tcPr>
          <w:p w14:paraId="65613F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5A9D3A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DA3DD3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4A3444E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526B40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0962FDD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5A776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479CB7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14:paraId="749A084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3A79D2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3E1B3B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16BBE0D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22A4ED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12CF781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5E619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41AF53">
            <w:pPr>
              <w:widowControl/>
              <w:jc w:val="left"/>
              <w:rPr>
                <w:rFonts w:hint="eastAsia" w:ascii="仿宋" w:hAnsi="仿宋" w:eastAsia="仿宋" w:cs="仿宋"/>
                <w:color w:val="auto"/>
                <w:kern w:val="0"/>
                <w:sz w:val="24"/>
                <w:highlight w:val="none"/>
              </w:rPr>
            </w:pPr>
          </w:p>
        </w:tc>
        <w:tc>
          <w:tcPr>
            <w:tcW w:w="1560" w:type="dxa"/>
            <w:vAlign w:val="center"/>
          </w:tcPr>
          <w:p w14:paraId="3A581CC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B8EB17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5B373C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0DDCA8B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6D917DB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22AE296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7F8DD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1D3278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14:paraId="639CC87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CB9EF1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D897A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14:paraId="03873E2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14:paraId="6BBA903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156869C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7EA67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CC98494">
            <w:pPr>
              <w:widowControl/>
              <w:jc w:val="left"/>
              <w:rPr>
                <w:rFonts w:hint="eastAsia" w:ascii="仿宋" w:hAnsi="仿宋" w:eastAsia="仿宋" w:cs="仿宋"/>
                <w:color w:val="auto"/>
                <w:kern w:val="0"/>
                <w:sz w:val="24"/>
                <w:highlight w:val="none"/>
              </w:rPr>
            </w:pPr>
          </w:p>
        </w:tc>
        <w:tc>
          <w:tcPr>
            <w:tcW w:w="1560" w:type="dxa"/>
            <w:vAlign w:val="center"/>
          </w:tcPr>
          <w:p w14:paraId="53A5293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5D876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CF764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14:paraId="124E7AA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14:paraId="77B3C97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0078D5A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524A3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6C19A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14:paraId="52342B5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6B860D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82AD0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105E52C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546F6AC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0D33BE8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74D69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F280CCD">
            <w:pPr>
              <w:widowControl/>
              <w:jc w:val="left"/>
              <w:rPr>
                <w:rFonts w:hint="eastAsia" w:ascii="仿宋" w:hAnsi="仿宋" w:eastAsia="仿宋" w:cs="仿宋"/>
                <w:color w:val="auto"/>
                <w:kern w:val="0"/>
                <w:sz w:val="24"/>
                <w:highlight w:val="none"/>
              </w:rPr>
            </w:pPr>
          </w:p>
        </w:tc>
        <w:tc>
          <w:tcPr>
            <w:tcW w:w="1560" w:type="dxa"/>
            <w:vAlign w:val="center"/>
          </w:tcPr>
          <w:p w14:paraId="4CAE75C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5B4111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01AFE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2635BC7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14:paraId="273DE5E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14:paraId="644278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2A6D1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CAF6CD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14:paraId="38C555D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E7D67C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66E18B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14:paraId="264B1AF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14:paraId="678444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2778FB9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5939C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282F906">
            <w:pPr>
              <w:widowControl/>
              <w:jc w:val="left"/>
              <w:rPr>
                <w:rFonts w:hint="eastAsia" w:ascii="仿宋" w:hAnsi="仿宋" w:eastAsia="仿宋" w:cs="仿宋"/>
                <w:color w:val="auto"/>
                <w:kern w:val="0"/>
                <w:sz w:val="24"/>
                <w:highlight w:val="none"/>
              </w:rPr>
            </w:pPr>
          </w:p>
        </w:tc>
        <w:tc>
          <w:tcPr>
            <w:tcW w:w="1560" w:type="dxa"/>
            <w:vAlign w:val="center"/>
          </w:tcPr>
          <w:p w14:paraId="4493B81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2295850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478AE6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14:paraId="5B96371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14:paraId="2673EC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14:paraId="4D5995D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14:paraId="2342E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C3B8EA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14:paraId="5B6A76A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713940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83099D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2638FFE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04FF88D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14:paraId="16DF25E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14:paraId="0B0AE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4652B7D">
            <w:pPr>
              <w:widowControl/>
              <w:jc w:val="left"/>
              <w:rPr>
                <w:rFonts w:hint="eastAsia" w:ascii="仿宋" w:hAnsi="仿宋" w:eastAsia="仿宋" w:cs="仿宋"/>
                <w:color w:val="auto"/>
                <w:kern w:val="0"/>
                <w:sz w:val="24"/>
                <w:highlight w:val="none"/>
              </w:rPr>
            </w:pPr>
          </w:p>
        </w:tc>
        <w:tc>
          <w:tcPr>
            <w:tcW w:w="1560" w:type="dxa"/>
            <w:vAlign w:val="center"/>
          </w:tcPr>
          <w:p w14:paraId="7C5E222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731AF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5F8985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14:paraId="7F36B19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14:paraId="587C836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14:paraId="588AB9D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14:paraId="23115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75C9E9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14:paraId="10CCF2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1EEF78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3EEC5C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2BE8AC9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6DA47E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3E22BC4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4B9BB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4350C9D">
            <w:pPr>
              <w:widowControl/>
              <w:jc w:val="left"/>
              <w:rPr>
                <w:rFonts w:hint="eastAsia" w:ascii="仿宋" w:hAnsi="仿宋" w:eastAsia="仿宋" w:cs="仿宋"/>
                <w:color w:val="auto"/>
                <w:kern w:val="0"/>
                <w:sz w:val="24"/>
                <w:highlight w:val="none"/>
              </w:rPr>
            </w:pPr>
          </w:p>
        </w:tc>
        <w:tc>
          <w:tcPr>
            <w:tcW w:w="1560" w:type="dxa"/>
            <w:vAlign w:val="center"/>
          </w:tcPr>
          <w:p w14:paraId="04B4FCD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4C5417D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AD9A19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14:paraId="6CBAD19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14:paraId="6388318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14:paraId="5503246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14:paraId="53FBD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77AE35E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14:paraId="47E3C7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F7F545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69660A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671B63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6711172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5D78C87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14:paraId="5E762FF7">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说明：</w:t>
      </w:r>
    </w:p>
    <w:p w14:paraId="2703A96B">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1.大型、中型和小型企业须同时满足所列指标的下限，否则下划一档；微型企业只须满足所列指标中的一项即可。 　　</w:t>
      </w:r>
    </w:p>
    <w:p w14:paraId="584FED1D">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13227D9A">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3.企业划分指标以现行统计制度为准。</w:t>
      </w:r>
    </w:p>
    <w:p w14:paraId="0FCA3C6A">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（1）从业人员，是指期末从业人员数，没有期末从业人员数的，采用全年平均人员数代替。</w:t>
      </w:r>
    </w:p>
    <w:p w14:paraId="19E7C8EA">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E3C1A6B">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（3）资产总额，采用资产总计代替。</w:t>
      </w:r>
    </w:p>
    <w:p w14:paraId="469BF793">
      <w:pPr>
        <w:widowControl/>
        <w:spacing w:line="336" w:lineRule="auto"/>
        <w:jc w:val="left"/>
        <w:rPr>
          <w:rFonts w:hint="eastAsia" w:ascii="仿宋" w:hAnsi="仿宋" w:eastAsia="仿宋" w:cs="仿宋"/>
          <w:color w:val="auto"/>
          <w:kern w:val="0"/>
          <w:sz w:val="24"/>
        </w:rPr>
      </w:pPr>
    </w:p>
    <w:p w14:paraId="41C1F979">
      <w:pPr>
        <w:widowControl/>
        <w:spacing w:line="336" w:lineRule="auto"/>
        <w:jc w:val="left"/>
        <w:rPr>
          <w:rFonts w:hint="eastAsia" w:ascii="仿宋" w:hAnsi="仿宋" w:eastAsia="仿宋" w:cs="仿宋"/>
          <w:color w:val="auto"/>
          <w:kern w:val="0"/>
          <w:sz w:val="24"/>
        </w:rPr>
      </w:pPr>
    </w:p>
    <w:p w14:paraId="056BD7BB">
      <w:pPr>
        <w:widowControl/>
        <w:shd w:val="clear" w:color="auto" w:fill="FFFFFF"/>
        <w:spacing w:line="336" w:lineRule="auto"/>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《统计上大中小微型企业划分办法（2017）》修订说明</w:t>
      </w:r>
    </w:p>
    <w:p w14:paraId="14FF9A5E">
      <w:pPr>
        <w:widowControl/>
        <w:shd w:val="clear" w:color="auto" w:fill="FFFFFF"/>
        <w:spacing w:line="336" w:lineRule="auto"/>
        <w:jc w:val="left"/>
        <w:textAlignment w:val="baseline"/>
        <w:rPr>
          <w:rFonts w:hint="eastAsia" w:ascii="仿宋" w:hAnsi="仿宋" w:eastAsia="仿宋" w:cs="仿宋"/>
          <w:b/>
          <w:bCs/>
          <w:color w:val="auto"/>
          <w:kern w:val="0"/>
          <w:sz w:val="27"/>
          <w:szCs w:val="27"/>
        </w:rPr>
      </w:pPr>
      <w:r>
        <w:rPr>
          <w:rFonts w:hint="eastAsia" w:ascii="仿宋" w:hAnsi="仿宋" w:eastAsia="仿宋" w:cs="仿宋"/>
          <w:b/>
          <w:bCs/>
          <w:color w:val="auto"/>
          <w:kern w:val="0"/>
          <w:sz w:val="27"/>
          <w:szCs w:val="27"/>
        </w:rPr>
        <w:t>一、修订背景</w:t>
      </w:r>
    </w:p>
    <w:p w14:paraId="3D6A244F">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2373EA66">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987302A">
      <w:pPr>
        <w:widowControl/>
        <w:shd w:val="clear" w:color="auto" w:fill="FFFFFF"/>
        <w:spacing w:line="336" w:lineRule="auto"/>
        <w:jc w:val="left"/>
        <w:textAlignment w:val="baseline"/>
        <w:rPr>
          <w:rFonts w:hint="eastAsia" w:ascii="仿宋" w:hAnsi="仿宋" w:eastAsia="仿宋" w:cs="仿宋"/>
          <w:b/>
          <w:bCs/>
          <w:color w:val="auto"/>
          <w:kern w:val="0"/>
          <w:sz w:val="27"/>
          <w:szCs w:val="27"/>
        </w:rPr>
      </w:pPr>
      <w:r>
        <w:rPr>
          <w:rFonts w:hint="eastAsia" w:ascii="仿宋" w:hAnsi="仿宋" w:eastAsia="仿宋" w:cs="仿宋"/>
          <w:b/>
          <w:bCs/>
          <w:color w:val="auto"/>
          <w:kern w:val="0"/>
          <w:sz w:val="27"/>
          <w:szCs w:val="27"/>
        </w:rPr>
        <w:t>二、修订主要内容</w:t>
      </w:r>
    </w:p>
    <w:p w14:paraId="61012724">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3D5EC607">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将交通运输业中包括的“装卸搬运和运输代理业”修改为“多式联运和运输代理业、装卸搬运”。</w:t>
      </w:r>
    </w:p>
    <w:p w14:paraId="05E1CD75">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仓储业所包括的行业中类，根据《国民经济行业分类》（GB/T4754—2017）调整为“通用仓储，低温仓储，危险品仓储，谷物、棉花等农产品仓储，中药材仓储和其他仓储业”。</w:t>
      </w:r>
    </w:p>
    <w:p w14:paraId="2EC7BD64">
      <w:pPr>
        <w:widowControl/>
        <w:spacing w:line="336" w:lineRule="auto"/>
        <w:jc w:val="left"/>
        <w:rPr>
          <w:rFonts w:hint="eastAsia" w:ascii="仿宋" w:hAnsi="仿宋" w:eastAsia="仿宋" w:cs="仿宋"/>
          <w:color w:val="auto"/>
          <w:kern w:val="0"/>
          <w:sz w:val="18"/>
          <w:szCs w:val="18"/>
        </w:rPr>
      </w:pPr>
    </w:p>
    <w:p w14:paraId="587EBFDB">
      <w:pPr>
        <w:widowControl/>
        <w:spacing w:line="336" w:lineRule="auto"/>
        <w:jc w:val="left"/>
        <w:rPr>
          <w:rFonts w:hint="eastAsia" w:ascii="仿宋" w:hAnsi="仿宋" w:eastAsia="仿宋" w:cs="仿宋"/>
          <w:color w:val="auto"/>
          <w:kern w:val="0"/>
          <w:sz w:val="18"/>
          <w:szCs w:val="18"/>
        </w:rPr>
      </w:pPr>
    </w:p>
    <w:p w14:paraId="6A5AD52E">
      <w:pPr>
        <w:widowControl/>
        <w:spacing w:line="336" w:lineRule="auto"/>
        <w:jc w:val="left"/>
        <w:rPr>
          <w:rFonts w:hint="eastAsia" w:ascii="仿宋" w:hAnsi="仿宋" w:eastAsia="仿宋" w:cs="仿宋"/>
          <w:color w:val="auto"/>
          <w:kern w:val="0"/>
          <w:sz w:val="18"/>
          <w:szCs w:val="18"/>
        </w:rPr>
      </w:pPr>
    </w:p>
    <w:p w14:paraId="057CAB84">
      <w:pPr>
        <w:widowControl/>
        <w:shd w:val="clear" w:color="auto" w:fill="FFFFFF"/>
        <w:spacing w:line="336" w:lineRule="auto"/>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中国人民银行中国银行业监督管理委员会</w:t>
      </w:r>
    </w:p>
    <w:p w14:paraId="1E8B8BC4">
      <w:pPr>
        <w:widowControl/>
        <w:shd w:val="clear" w:color="auto" w:fill="FFFFFF"/>
        <w:spacing w:line="336" w:lineRule="auto"/>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中国证券监督管理委员会中国保险监督管理委员会</w:t>
      </w:r>
    </w:p>
    <w:p w14:paraId="066DFC17">
      <w:pPr>
        <w:widowControl/>
        <w:shd w:val="clear" w:color="auto" w:fill="FFFFFF"/>
        <w:spacing w:line="336" w:lineRule="auto"/>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国家统计局关于印发《金融业企业划型标准规定》的通知</w:t>
      </w:r>
    </w:p>
    <w:p w14:paraId="5CC4BA09">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751A3BA4">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请人民银行上海总部，各分行、营业管理部、省会（首府）城市中心支行、副省级城市中心支行会同所在省（区、市）银监局、证监局、保监局、统计局将本通知联合转发至辖内相关机构。</w:t>
      </w:r>
    </w:p>
    <w:p w14:paraId="7CBCF99E">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附件：金融业企业划型标准规定</w:t>
      </w:r>
    </w:p>
    <w:p w14:paraId="39A1874B">
      <w:pPr>
        <w:widowControl/>
        <w:shd w:val="clear" w:color="auto" w:fill="FFFFFF"/>
        <w:spacing w:line="336" w:lineRule="auto"/>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金融业企业划型标准规定</w:t>
      </w:r>
    </w:p>
    <w:p w14:paraId="2888E10A">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14:paraId="5DD5B1A6">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二、 适用范围。本规定适用于从事《国民经济行业分类》(GB/T4754-2011)中J门类（金融业）活动的企业。</w:t>
      </w:r>
    </w:p>
    <w:p w14:paraId="4240C0A2">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49AAB5C1">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四、划型标准指标。采用一个完整会计年度中四个季度末法人并表口径的资产总额（信托公司为信托资产）平均值作为划型指标，该指标以监管部门数据为准。</w:t>
      </w:r>
    </w:p>
    <w:p w14:paraId="374814AA">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五、指标标准值。依据指标标准值，将各类金融业企业划分为大、中、小、微四个规模类型，中型企业标准上限及以上的为大型企业。</w:t>
      </w:r>
    </w:p>
    <w:p w14:paraId="6BBF9011">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5D219AAA">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53972FB3">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6EFDCCD6">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(四) 证券业金融机构。资产总额1000亿元以下的为中小微型企业。其中，资产总额100亿元及以上的为中型企业，资产总额10亿元及以上的为小型企业，资产总额10亿元以下的为微型企业。</w:t>
      </w:r>
    </w:p>
    <w:p w14:paraId="2B9B376F">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(五) 保险业金融机构。资产总额5000亿元以下的为中小微型企业。其中，资产总额400亿元及以上的为中型企业，资产总额20亿元及以上的为小型企业，资产总额20亿元以下的为微型企业。</w:t>
      </w:r>
    </w:p>
    <w:p w14:paraId="434DF981">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(六) 信托公司。信托资产1000亿元以下的为中小微型企业。其中，信托资产400亿元及以上的为中型企业，信托资产20亿元及以上的为小型企业，信托资产20亿元以下的为微型企业。</w:t>
      </w:r>
    </w:p>
    <w:p w14:paraId="62D471FA">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(七) 金融控股公司。资产总额40000亿元以下的为中小微型企业。其中，资产总额5000亿元及以上的为中型企业，资产总额50亿元及以上的为小型企业，资产总额50亿元以下的为微型企业。</w:t>
      </w:r>
    </w:p>
    <w:p w14:paraId="6E8B771D">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6D85C319">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0DF11EE3">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七、 标准值的评估和调整。金融业企业划型标准工作组毎五年对划型标准值受经济发展与通货膨胀等因素的响程度进行评估和调整。</w:t>
      </w:r>
    </w:p>
    <w:p w14:paraId="621626CD">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八、 本规定的中型金融业企业标准上限即为大型金融业企业下限。国务院有关部门据此进行相关数据的统计分析，不得制定与本规定不一致的金融业企业划型标准。</w:t>
      </w:r>
    </w:p>
    <w:p w14:paraId="121D629A">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九、 融资担保公司参照本规定中“除贷款公司、小额贷款公司、典当行以外的其他金融机构”标准划型。</w:t>
      </w:r>
    </w:p>
    <w:p w14:paraId="571D8091">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十、本规定由人民银行会同银监会，证监会、保监会和统计局负责解释。</w:t>
      </w:r>
    </w:p>
    <w:p w14:paraId="5A6761C9">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十一、本规定自发布之日起实施。</w:t>
      </w:r>
    </w:p>
    <w:p w14:paraId="27698E7F">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附：金融业企业划型标准</w:t>
      </w:r>
    </w:p>
    <w:p w14:paraId="6C885490">
      <w:pPr>
        <w:widowControl/>
        <w:shd w:val="clear" w:color="auto" w:fill="FFFFFF"/>
        <w:spacing w:line="336" w:lineRule="auto"/>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金融业企业划型标准</w:t>
      </w:r>
    </w:p>
    <w:tbl>
      <w:tblPr>
        <w:tblStyle w:val="6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5B3E1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5A6EAF04">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836" w:type="dxa"/>
            <w:tcMar>
              <w:top w:w="75" w:type="dxa"/>
              <w:left w:w="75" w:type="dxa"/>
              <w:bottom w:w="75" w:type="dxa"/>
              <w:right w:w="75" w:type="dxa"/>
            </w:tcMar>
            <w:vAlign w:val="bottom"/>
          </w:tcPr>
          <w:p w14:paraId="6D7CF954">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06" w:type="dxa"/>
            <w:tcMar>
              <w:top w:w="75" w:type="dxa"/>
              <w:left w:w="75" w:type="dxa"/>
              <w:bottom w:w="75" w:type="dxa"/>
              <w:right w:w="75" w:type="dxa"/>
            </w:tcMar>
            <w:vAlign w:val="bottom"/>
          </w:tcPr>
          <w:p w14:paraId="3D7A0D4C">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326" w:type="dxa"/>
            <w:tcMar>
              <w:top w:w="75" w:type="dxa"/>
              <w:left w:w="75" w:type="dxa"/>
              <w:bottom w:w="75" w:type="dxa"/>
              <w:right w:w="75" w:type="dxa"/>
            </w:tcMar>
            <w:vAlign w:val="bottom"/>
          </w:tcPr>
          <w:p w14:paraId="0838FC19">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22283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316827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14:paraId="3E21271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836" w:type="dxa"/>
            <w:vMerge w:val="restart"/>
            <w:vAlign w:val="center"/>
          </w:tcPr>
          <w:p w14:paraId="6B28AA3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06" w:type="dxa"/>
            <w:vAlign w:val="center"/>
          </w:tcPr>
          <w:p w14:paraId="05646A5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7940774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147E5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6D37B94">
            <w:pPr>
              <w:widowControl/>
              <w:jc w:val="left"/>
              <w:rPr>
                <w:rFonts w:hint="eastAsia" w:ascii="仿宋" w:hAnsi="仿宋" w:eastAsia="仿宋" w:cs="仿宋"/>
                <w:color w:val="auto"/>
                <w:kern w:val="0"/>
                <w:sz w:val="24"/>
                <w:highlight w:val="none"/>
              </w:rPr>
            </w:pPr>
          </w:p>
        </w:tc>
        <w:tc>
          <w:tcPr>
            <w:tcW w:w="1025" w:type="dxa"/>
            <w:vMerge w:val="continue"/>
            <w:vAlign w:val="center"/>
          </w:tcPr>
          <w:p w14:paraId="1E64F8E2">
            <w:pPr>
              <w:widowControl/>
              <w:jc w:val="left"/>
              <w:rPr>
                <w:rFonts w:hint="eastAsia" w:ascii="仿宋" w:hAnsi="仿宋" w:eastAsia="仿宋" w:cs="仿宋"/>
                <w:color w:val="auto"/>
                <w:kern w:val="0"/>
                <w:sz w:val="24"/>
                <w:highlight w:val="none"/>
              </w:rPr>
            </w:pPr>
          </w:p>
        </w:tc>
        <w:tc>
          <w:tcPr>
            <w:tcW w:w="2836" w:type="dxa"/>
            <w:vMerge w:val="continue"/>
            <w:vAlign w:val="center"/>
          </w:tcPr>
          <w:p w14:paraId="03E26170">
            <w:pPr>
              <w:widowControl/>
              <w:jc w:val="left"/>
              <w:rPr>
                <w:rFonts w:hint="eastAsia" w:ascii="仿宋" w:hAnsi="仿宋" w:eastAsia="仿宋" w:cs="仿宋"/>
                <w:color w:val="auto"/>
                <w:kern w:val="0"/>
                <w:sz w:val="24"/>
                <w:highlight w:val="none"/>
              </w:rPr>
            </w:pPr>
          </w:p>
        </w:tc>
        <w:tc>
          <w:tcPr>
            <w:tcW w:w="606" w:type="dxa"/>
            <w:vAlign w:val="center"/>
          </w:tcPr>
          <w:p w14:paraId="21EDA0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32B7D8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01252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A131565">
            <w:pPr>
              <w:widowControl/>
              <w:jc w:val="left"/>
              <w:rPr>
                <w:rFonts w:hint="eastAsia" w:ascii="仿宋" w:hAnsi="仿宋" w:eastAsia="仿宋" w:cs="仿宋"/>
                <w:color w:val="auto"/>
                <w:kern w:val="0"/>
                <w:sz w:val="24"/>
                <w:highlight w:val="none"/>
              </w:rPr>
            </w:pPr>
          </w:p>
        </w:tc>
        <w:tc>
          <w:tcPr>
            <w:tcW w:w="1025" w:type="dxa"/>
            <w:vMerge w:val="continue"/>
            <w:vAlign w:val="center"/>
          </w:tcPr>
          <w:p w14:paraId="6CCA6C60">
            <w:pPr>
              <w:widowControl/>
              <w:jc w:val="left"/>
              <w:rPr>
                <w:rFonts w:hint="eastAsia" w:ascii="仿宋" w:hAnsi="仿宋" w:eastAsia="仿宋" w:cs="仿宋"/>
                <w:color w:val="auto"/>
                <w:kern w:val="0"/>
                <w:sz w:val="24"/>
                <w:highlight w:val="none"/>
              </w:rPr>
            </w:pPr>
          </w:p>
        </w:tc>
        <w:tc>
          <w:tcPr>
            <w:tcW w:w="2836" w:type="dxa"/>
            <w:vMerge w:val="continue"/>
            <w:vAlign w:val="center"/>
          </w:tcPr>
          <w:p w14:paraId="5A887C0B">
            <w:pPr>
              <w:widowControl/>
              <w:jc w:val="left"/>
              <w:rPr>
                <w:rFonts w:hint="eastAsia" w:ascii="仿宋" w:hAnsi="仿宋" w:eastAsia="仿宋" w:cs="仿宋"/>
                <w:color w:val="auto"/>
                <w:kern w:val="0"/>
                <w:sz w:val="24"/>
                <w:highlight w:val="none"/>
              </w:rPr>
            </w:pPr>
          </w:p>
        </w:tc>
        <w:tc>
          <w:tcPr>
            <w:tcW w:w="606" w:type="dxa"/>
            <w:vAlign w:val="center"/>
          </w:tcPr>
          <w:p w14:paraId="4F47486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55C3111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38991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8395829">
            <w:pPr>
              <w:widowControl/>
              <w:jc w:val="left"/>
              <w:rPr>
                <w:rFonts w:hint="eastAsia" w:ascii="仿宋" w:hAnsi="仿宋" w:eastAsia="仿宋" w:cs="仿宋"/>
                <w:color w:val="auto"/>
                <w:kern w:val="0"/>
                <w:sz w:val="24"/>
                <w:highlight w:val="none"/>
              </w:rPr>
            </w:pPr>
          </w:p>
        </w:tc>
        <w:tc>
          <w:tcPr>
            <w:tcW w:w="1025" w:type="dxa"/>
            <w:vMerge w:val="restart"/>
            <w:vAlign w:val="center"/>
          </w:tcPr>
          <w:p w14:paraId="1D3B7F8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836" w:type="dxa"/>
            <w:vMerge w:val="restart"/>
            <w:vAlign w:val="center"/>
          </w:tcPr>
          <w:p w14:paraId="2038FD7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06" w:type="dxa"/>
            <w:vAlign w:val="center"/>
          </w:tcPr>
          <w:p w14:paraId="0138DDE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069122F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609D0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89D1410">
            <w:pPr>
              <w:widowControl/>
              <w:jc w:val="left"/>
              <w:rPr>
                <w:rFonts w:hint="eastAsia" w:ascii="仿宋" w:hAnsi="仿宋" w:eastAsia="仿宋" w:cs="仿宋"/>
                <w:color w:val="auto"/>
                <w:kern w:val="0"/>
                <w:sz w:val="24"/>
                <w:highlight w:val="none"/>
              </w:rPr>
            </w:pPr>
          </w:p>
        </w:tc>
        <w:tc>
          <w:tcPr>
            <w:tcW w:w="1025" w:type="dxa"/>
            <w:vMerge w:val="continue"/>
            <w:vAlign w:val="center"/>
          </w:tcPr>
          <w:p w14:paraId="436BCEA2">
            <w:pPr>
              <w:widowControl/>
              <w:jc w:val="left"/>
              <w:rPr>
                <w:rFonts w:hint="eastAsia" w:ascii="仿宋" w:hAnsi="仿宋" w:eastAsia="仿宋" w:cs="仿宋"/>
                <w:color w:val="auto"/>
                <w:kern w:val="0"/>
                <w:sz w:val="24"/>
                <w:highlight w:val="none"/>
              </w:rPr>
            </w:pPr>
          </w:p>
        </w:tc>
        <w:tc>
          <w:tcPr>
            <w:tcW w:w="2836" w:type="dxa"/>
            <w:vMerge w:val="continue"/>
            <w:vAlign w:val="center"/>
          </w:tcPr>
          <w:p w14:paraId="3B1F5A18">
            <w:pPr>
              <w:widowControl/>
              <w:jc w:val="left"/>
              <w:rPr>
                <w:rFonts w:hint="eastAsia" w:ascii="仿宋" w:hAnsi="仿宋" w:eastAsia="仿宋" w:cs="仿宋"/>
                <w:color w:val="auto"/>
                <w:kern w:val="0"/>
                <w:sz w:val="24"/>
                <w:highlight w:val="none"/>
              </w:rPr>
            </w:pPr>
          </w:p>
        </w:tc>
        <w:tc>
          <w:tcPr>
            <w:tcW w:w="606" w:type="dxa"/>
            <w:vAlign w:val="center"/>
          </w:tcPr>
          <w:p w14:paraId="0C4792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5FC4623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3BAB9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58503B4">
            <w:pPr>
              <w:widowControl/>
              <w:jc w:val="left"/>
              <w:rPr>
                <w:rFonts w:hint="eastAsia" w:ascii="仿宋" w:hAnsi="仿宋" w:eastAsia="仿宋" w:cs="仿宋"/>
                <w:color w:val="auto"/>
                <w:kern w:val="0"/>
                <w:sz w:val="24"/>
                <w:highlight w:val="none"/>
              </w:rPr>
            </w:pPr>
          </w:p>
        </w:tc>
        <w:tc>
          <w:tcPr>
            <w:tcW w:w="1025" w:type="dxa"/>
            <w:vMerge w:val="continue"/>
            <w:vAlign w:val="center"/>
          </w:tcPr>
          <w:p w14:paraId="14366C06">
            <w:pPr>
              <w:widowControl/>
              <w:jc w:val="left"/>
              <w:rPr>
                <w:rFonts w:hint="eastAsia" w:ascii="仿宋" w:hAnsi="仿宋" w:eastAsia="仿宋" w:cs="仿宋"/>
                <w:color w:val="auto"/>
                <w:kern w:val="0"/>
                <w:sz w:val="24"/>
                <w:highlight w:val="none"/>
              </w:rPr>
            </w:pPr>
          </w:p>
        </w:tc>
        <w:tc>
          <w:tcPr>
            <w:tcW w:w="2836" w:type="dxa"/>
            <w:vMerge w:val="continue"/>
            <w:vAlign w:val="center"/>
          </w:tcPr>
          <w:p w14:paraId="3081EE74">
            <w:pPr>
              <w:widowControl/>
              <w:jc w:val="left"/>
              <w:rPr>
                <w:rFonts w:hint="eastAsia" w:ascii="仿宋" w:hAnsi="仿宋" w:eastAsia="仿宋" w:cs="仿宋"/>
                <w:color w:val="auto"/>
                <w:kern w:val="0"/>
                <w:sz w:val="24"/>
                <w:highlight w:val="none"/>
              </w:rPr>
            </w:pPr>
          </w:p>
        </w:tc>
        <w:tc>
          <w:tcPr>
            <w:tcW w:w="606" w:type="dxa"/>
            <w:vAlign w:val="center"/>
          </w:tcPr>
          <w:p w14:paraId="1ABE368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2B6FEAB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738C6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865A620">
            <w:pPr>
              <w:widowControl/>
              <w:jc w:val="left"/>
              <w:rPr>
                <w:rFonts w:hint="eastAsia" w:ascii="仿宋" w:hAnsi="仿宋" w:eastAsia="仿宋" w:cs="仿宋"/>
                <w:color w:val="auto"/>
                <w:kern w:val="0"/>
                <w:sz w:val="24"/>
                <w:highlight w:val="none"/>
              </w:rPr>
            </w:pPr>
          </w:p>
        </w:tc>
        <w:tc>
          <w:tcPr>
            <w:tcW w:w="1025" w:type="dxa"/>
            <w:vMerge w:val="continue"/>
            <w:vAlign w:val="center"/>
          </w:tcPr>
          <w:p w14:paraId="5916A739">
            <w:pPr>
              <w:widowControl/>
              <w:jc w:val="left"/>
              <w:rPr>
                <w:rFonts w:hint="eastAsia" w:ascii="仿宋" w:hAnsi="仿宋" w:eastAsia="仿宋" w:cs="仿宋"/>
                <w:color w:val="auto"/>
                <w:kern w:val="0"/>
                <w:sz w:val="24"/>
                <w:highlight w:val="none"/>
              </w:rPr>
            </w:pPr>
          </w:p>
        </w:tc>
        <w:tc>
          <w:tcPr>
            <w:tcW w:w="2836" w:type="dxa"/>
            <w:vMerge w:val="restart"/>
            <w:vAlign w:val="center"/>
          </w:tcPr>
          <w:p w14:paraId="6774646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06" w:type="dxa"/>
            <w:vAlign w:val="center"/>
          </w:tcPr>
          <w:p w14:paraId="3D69CE2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43C0A00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7A630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19BB325">
            <w:pPr>
              <w:widowControl/>
              <w:jc w:val="left"/>
              <w:rPr>
                <w:rFonts w:hint="eastAsia" w:ascii="仿宋" w:hAnsi="仿宋" w:eastAsia="仿宋" w:cs="仿宋"/>
                <w:color w:val="auto"/>
                <w:kern w:val="0"/>
                <w:sz w:val="24"/>
                <w:highlight w:val="none"/>
              </w:rPr>
            </w:pPr>
          </w:p>
        </w:tc>
        <w:tc>
          <w:tcPr>
            <w:tcW w:w="1025" w:type="dxa"/>
            <w:vMerge w:val="continue"/>
            <w:vAlign w:val="center"/>
          </w:tcPr>
          <w:p w14:paraId="772C0472">
            <w:pPr>
              <w:widowControl/>
              <w:jc w:val="left"/>
              <w:rPr>
                <w:rFonts w:hint="eastAsia" w:ascii="仿宋" w:hAnsi="仿宋" w:eastAsia="仿宋" w:cs="仿宋"/>
                <w:color w:val="auto"/>
                <w:kern w:val="0"/>
                <w:sz w:val="24"/>
                <w:highlight w:val="none"/>
              </w:rPr>
            </w:pPr>
          </w:p>
        </w:tc>
        <w:tc>
          <w:tcPr>
            <w:tcW w:w="2836" w:type="dxa"/>
            <w:vMerge w:val="continue"/>
            <w:vAlign w:val="center"/>
          </w:tcPr>
          <w:p w14:paraId="0A200BA6">
            <w:pPr>
              <w:widowControl/>
              <w:jc w:val="left"/>
              <w:rPr>
                <w:rFonts w:hint="eastAsia" w:ascii="仿宋" w:hAnsi="仿宋" w:eastAsia="仿宋" w:cs="仿宋"/>
                <w:color w:val="auto"/>
                <w:kern w:val="0"/>
                <w:sz w:val="24"/>
                <w:highlight w:val="none"/>
              </w:rPr>
            </w:pPr>
          </w:p>
        </w:tc>
        <w:tc>
          <w:tcPr>
            <w:tcW w:w="606" w:type="dxa"/>
            <w:vAlign w:val="center"/>
          </w:tcPr>
          <w:p w14:paraId="3FD7ABC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C69C1E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398F2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2E79D4B">
            <w:pPr>
              <w:widowControl/>
              <w:jc w:val="left"/>
              <w:rPr>
                <w:rFonts w:hint="eastAsia" w:ascii="仿宋" w:hAnsi="仿宋" w:eastAsia="仿宋" w:cs="仿宋"/>
                <w:color w:val="auto"/>
                <w:kern w:val="0"/>
                <w:sz w:val="24"/>
                <w:highlight w:val="none"/>
              </w:rPr>
            </w:pPr>
          </w:p>
        </w:tc>
        <w:tc>
          <w:tcPr>
            <w:tcW w:w="1025" w:type="dxa"/>
            <w:vMerge w:val="continue"/>
            <w:vAlign w:val="center"/>
          </w:tcPr>
          <w:p w14:paraId="2DCD05B6">
            <w:pPr>
              <w:widowControl/>
              <w:jc w:val="left"/>
              <w:rPr>
                <w:rFonts w:hint="eastAsia" w:ascii="仿宋" w:hAnsi="仿宋" w:eastAsia="仿宋" w:cs="仿宋"/>
                <w:color w:val="auto"/>
                <w:kern w:val="0"/>
                <w:sz w:val="24"/>
                <w:highlight w:val="none"/>
              </w:rPr>
            </w:pPr>
          </w:p>
        </w:tc>
        <w:tc>
          <w:tcPr>
            <w:tcW w:w="2836" w:type="dxa"/>
            <w:vMerge w:val="continue"/>
            <w:vAlign w:val="center"/>
          </w:tcPr>
          <w:p w14:paraId="356037E1">
            <w:pPr>
              <w:widowControl/>
              <w:jc w:val="left"/>
              <w:rPr>
                <w:rFonts w:hint="eastAsia" w:ascii="仿宋" w:hAnsi="仿宋" w:eastAsia="仿宋" w:cs="仿宋"/>
                <w:color w:val="auto"/>
                <w:kern w:val="0"/>
                <w:sz w:val="24"/>
                <w:highlight w:val="none"/>
              </w:rPr>
            </w:pPr>
          </w:p>
        </w:tc>
        <w:tc>
          <w:tcPr>
            <w:tcW w:w="606" w:type="dxa"/>
            <w:vAlign w:val="center"/>
          </w:tcPr>
          <w:p w14:paraId="62FD9D4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6AB2373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00D87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135DD0C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836" w:type="dxa"/>
            <w:vMerge w:val="restart"/>
            <w:vAlign w:val="center"/>
          </w:tcPr>
          <w:p w14:paraId="1788539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06" w:type="dxa"/>
            <w:vAlign w:val="center"/>
          </w:tcPr>
          <w:p w14:paraId="6E79564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2697E7D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14:paraId="2452C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55A0117">
            <w:pPr>
              <w:widowControl/>
              <w:jc w:val="left"/>
              <w:rPr>
                <w:rFonts w:hint="eastAsia" w:ascii="仿宋" w:hAnsi="仿宋" w:eastAsia="仿宋" w:cs="仿宋"/>
                <w:color w:val="auto"/>
                <w:kern w:val="0"/>
                <w:sz w:val="24"/>
                <w:highlight w:val="none"/>
              </w:rPr>
            </w:pPr>
          </w:p>
        </w:tc>
        <w:tc>
          <w:tcPr>
            <w:tcW w:w="2836" w:type="dxa"/>
            <w:vMerge w:val="continue"/>
            <w:vAlign w:val="center"/>
          </w:tcPr>
          <w:p w14:paraId="291AAD8A">
            <w:pPr>
              <w:widowControl/>
              <w:jc w:val="left"/>
              <w:rPr>
                <w:rFonts w:hint="eastAsia" w:ascii="仿宋" w:hAnsi="仿宋" w:eastAsia="仿宋" w:cs="仿宋"/>
                <w:color w:val="auto"/>
                <w:kern w:val="0"/>
                <w:sz w:val="24"/>
                <w:highlight w:val="none"/>
              </w:rPr>
            </w:pPr>
          </w:p>
        </w:tc>
        <w:tc>
          <w:tcPr>
            <w:tcW w:w="606" w:type="dxa"/>
            <w:vAlign w:val="center"/>
          </w:tcPr>
          <w:p w14:paraId="703DD22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3F894B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14:paraId="7C68F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B5DA9E1">
            <w:pPr>
              <w:widowControl/>
              <w:jc w:val="left"/>
              <w:rPr>
                <w:rFonts w:hint="eastAsia" w:ascii="仿宋" w:hAnsi="仿宋" w:eastAsia="仿宋" w:cs="仿宋"/>
                <w:color w:val="auto"/>
                <w:kern w:val="0"/>
                <w:sz w:val="24"/>
                <w:highlight w:val="none"/>
              </w:rPr>
            </w:pPr>
          </w:p>
        </w:tc>
        <w:tc>
          <w:tcPr>
            <w:tcW w:w="2836" w:type="dxa"/>
            <w:vMerge w:val="continue"/>
            <w:vAlign w:val="center"/>
          </w:tcPr>
          <w:p w14:paraId="5091AD11">
            <w:pPr>
              <w:widowControl/>
              <w:jc w:val="left"/>
              <w:rPr>
                <w:rFonts w:hint="eastAsia" w:ascii="仿宋" w:hAnsi="仿宋" w:eastAsia="仿宋" w:cs="仿宋"/>
                <w:color w:val="auto"/>
                <w:kern w:val="0"/>
                <w:sz w:val="24"/>
                <w:highlight w:val="none"/>
              </w:rPr>
            </w:pPr>
          </w:p>
        </w:tc>
        <w:tc>
          <w:tcPr>
            <w:tcW w:w="606" w:type="dxa"/>
            <w:vAlign w:val="center"/>
          </w:tcPr>
          <w:p w14:paraId="17EF381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46DFD9D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14:paraId="3552D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E94CA9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836" w:type="dxa"/>
            <w:vMerge w:val="restart"/>
            <w:vAlign w:val="center"/>
          </w:tcPr>
          <w:p w14:paraId="42E3619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06" w:type="dxa"/>
            <w:vAlign w:val="center"/>
          </w:tcPr>
          <w:p w14:paraId="13B913E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48FD76B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14:paraId="00EED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BB99CC5">
            <w:pPr>
              <w:widowControl/>
              <w:jc w:val="left"/>
              <w:rPr>
                <w:rFonts w:hint="eastAsia" w:ascii="仿宋" w:hAnsi="仿宋" w:eastAsia="仿宋" w:cs="仿宋"/>
                <w:color w:val="auto"/>
                <w:kern w:val="0"/>
                <w:sz w:val="24"/>
                <w:highlight w:val="none"/>
              </w:rPr>
            </w:pPr>
          </w:p>
        </w:tc>
        <w:tc>
          <w:tcPr>
            <w:tcW w:w="2836" w:type="dxa"/>
            <w:vMerge w:val="continue"/>
            <w:vAlign w:val="center"/>
          </w:tcPr>
          <w:p w14:paraId="31758434">
            <w:pPr>
              <w:widowControl/>
              <w:jc w:val="left"/>
              <w:rPr>
                <w:rFonts w:hint="eastAsia" w:ascii="仿宋" w:hAnsi="仿宋" w:eastAsia="仿宋" w:cs="仿宋"/>
                <w:color w:val="auto"/>
                <w:kern w:val="0"/>
                <w:sz w:val="24"/>
                <w:highlight w:val="none"/>
              </w:rPr>
            </w:pPr>
          </w:p>
        </w:tc>
        <w:tc>
          <w:tcPr>
            <w:tcW w:w="606" w:type="dxa"/>
            <w:vAlign w:val="center"/>
          </w:tcPr>
          <w:p w14:paraId="40DE768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16AFF96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606F9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50C793D">
            <w:pPr>
              <w:widowControl/>
              <w:jc w:val="left"/>
              <w:rPr>
                <w:rFonts w:hint="eastAsia" w:ascii="仿宋" w:hAnsi="仿宋" w:eastAsia="仿宋" w:cs="仿宋"/>
                <w:color w:val="auto"/>
                <w:kern w:val="0"/>
                <w:sz w:val="24"/>
                <w:highlight w:val="none"/>
              </w:rPr>
            </w:pPr>
          </w:p>
        </w:tc>
        <w:tc>
          <w:tcPr>
            <w:tcW w:w="2836" w:type="dxa"/>
            <w:vMerge w:val="continue"/>
            <w:vAlign w:val="center"/>
          </w:tcPr>
          <w:p w14:paraId="3EE0055D">
            <w:pPr>
              <w:widowControl/>
              <w:jc w:val="left"/>
              <w:rPr>
                <w:rFonts w:hint="eastAsia" w:ascii="仿宋" w:hAnsi="仿宋" w:eastAsia="仿宋" w:cs="仿宋"/>
                <w:color w:val="auto"/>
                <w:kern w:val="0"/>
                <w:sz w:val="24"/>
                <w:highlight w:val="none"/>
              </w:rPr>
            </w:pPr>
          </w:p>
        </w:tc>
        <w:tc>
          <w:tcPr>
            <w:tcW w:w="606" w:type="dxa"/>
            <w:vAlign w:val="center"/>
          </w:tcPr>
          <w:p w14:paraId="707C674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7823FA7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26376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704511D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14:paraId="46D6467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836" w:type="dxa"/>
            <w:vMerge w:val="restart"/>
            <w:vAlign w:val="center"/>
          </w:tcPr>
          <w:p w14:paraId="3F318FE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06" w:type="dxa"/>
            <w:vAlign w:val="center"/>
          </w:tcPr>
          <w:p w14:paraId="15AEA2C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789F12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14:paraId="426EF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2FBF613">
            <w:pPr>
              <w:widowControl/>
              <w:jc w:val="left"/>
              <w:rPr>
                <w:rFonts w:hint="eastAsia" w:ascii="仿宋" w:hAnsi="仿宋" w:eastAsia="仿宋" w:cs="仿宋"/>
                <w:color w:val="auto"/>
                <w:kern w:val="0"/>
                <w:sz w:val="24"/>
                <w:highlight w:val="none"/>
              </w:rPr>
            </w:pPr>
          </w:p>
        </w:tc>
        <w:tc>
          <w:tcPr>
            <w:tcW w:w="1025" w:type="dxa"/>
            <w:vMerge w:val="continue"/>
            <w:vAlign w:val="center"/>
          </w:tcPr>
          <w:p w14:paraId="0B07CF56">
            <w:pPr>
              <w:widowControl/>
              <w:jc w:val="left"/>
              <w:rPr>
                <w:rFonts w:hint="eastAsia" w:ascii="仿宋" w:hAnsi="仿宋" w:eastAsia="仿宋" w:cs="仿宋"/>
                <w:color w:val="auto"/>
                <w:kern w:val="0"/>
                <w:sz w:val="24"/>
                <w:highlight w:val="none"/>
              </w:rPr>
            </w:pPr>
          </w:p>
        </w:tc>
        <w:tc>
          <w:tcPr>
            <w:tcW w:w="2836" w:type="dxa"/>
            <w:vMerge w:val="continue"/>
            <w:vAlign w:val="center"/>
          </w:tcPr>
          <w:p w14:paraId="28719B4E">
            <w:pPr>
              <w:widowControl/>
              <w:jc w:val="left"/>
              <w:rPr>
                <w:rFonts w:hint="eastAsia" w:ascii="仿宋" w:hAnsi="仿宋" w:eastAsia="仿宋" w:cs="仿宋"/>
                <w:color w:val="auto"/>
                <w:kern w:val="0"/>
                <w:sz w:val="24"/>
                <w:highlight w:val="none"/>
              </w:rPr>
            </w:pPr>
          </w:p>
        </w:tc>
        <w:tc>
          <w:tcPr>
            <w:tcW w:w="606" w:type="dxa"/>
            <w:vAlign w:val="center"/>
          </w:tcPr>
          <w:p w14:paraId="17EC02D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26D1D61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69179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88F29B7">
            <w:pPr>
              <w:widowControl/>
              <w:jc w:val="left"/>
              <w:rPr>
                <w:rFonts w:hint="eastAsia" w:ascii="仿宋" w:hAnsi="仿宋" w:eastAsia="仿宋" w:cs="仿宋"/>
                <w:color w:val="auto"/>
                <w:kern w:val="0"/>
                <w:sz w:val="24"/>
                <w:highlight w:val="none"/>
              </w:rPr>
            </w:pPr>
          </w:p>
        </w:tc>
        <w:tc>
          <w:tcPr>
            <w:tcW w:w="1025" w:type="dxa"/>
            <w:vMerge w:val="continue"/>
            <w:vAlign w:val="center"/>
          </w:tcPr>
          <w:p w14:paraId="0BEA7D66">
            <w:pPr>
              <w:widowControl/>
              <w:jc w:val="left"/>
              <w:rPr>
                <w:rFonts w:hint="eastAsia" w:ascii="仿宋" w:hAnsi="仿宋" w:eastAsia="仿宋" w:cs="仿宋"/>
                <w:color w:val="auto"/>
                <w:kern w:val="0"/>
                <w:sz w:val="24"/>
                <w:highlight w:val="none"/>
              </w:rPr>
            </w:pPr>
          </w:p>
        </w:tc>
        <w:tc>
          <w:tcPr>
            <w:tcW w:w="2836" w:type="dxa"/>
            <w:vMerge w:val="continue"/>
            <w:vAlign w:val="center"/>
          </w:tcPr>
          <w:p w14:paraId="0E87F2CC">
            <w:pPr>
              <w:widowControl/>
              <w:jc w:val="left"/>
              <w:rPr>
                <w:rFonts w:hint="eastAsia" w:ascii="仿宋" w:hAnsi="仿宋" w:eastAsia="仿宋" w:cs="仿宋"/>
                <w:color w:val="auto"/>
                <w:kern w:val="0"/>
                <w:sz w:val="24"/>
                <w:highlight w:val="none"/>
              </w:rPr>
            </w:pPr>
          </w:p>
        </w:tc>
        <w:tc>
          <w:tcPr>
            <w:tcW w:w="606" w:type="dxa"/>
            <w:vAlign w:val="center"/>
          </w:tcPr>
          <w:p w14:paraId="45B0D0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38A398F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7BA70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61B0AF5">
            <w:pPr>
              <w:widowControl/>
              <w:jc w:val="left"/>
              <w:rPr>
                <w:rFonts w:hint="eastAsia" w:ascii="仿宋" w:hAnsi="仿宋" w:eastAsia="仿宋" w:cs="仿宋"/>
                <w:color w:val="auto"/>
                <w:kern w:val="0"/>
                <w:sz w:val="24"/>
                <w:highlight w:val="none"/>
              </w:rPr>
            </w:pPr>
          </w:p>
        </w:tc>
        <w:tc>
          <w:tcPr>
            <w:tcW w:w="1025" w:type="dxa"/>
            <w:vMerge w:val="restart"/>
            <w:vAlign w:val="center"/>
          </w:tcPr>
          <w:p w14:paraId="0E352CB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836" w:type="dxa"/>
            <w:vMerge w:val="restart"/>
            <w:vAlign w:val="center"/>
          </w:tcPr>
          <w:p w14:paraId="6656BBE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06" w:type="dxa"/>
            <w:vAlign w:val="center"/>
          </w:tcPr>
          <w:p w14:paraId="27F98D1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3B789E3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58679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155F18D">
            <w:pPr>
              <w:widowControl/>
              <w:jc w:val="left"/>
              <w:rPr>
                <w:rFonts w:hint="eastAsia" w:ascii="仿宋" w:hAnsi="仿宋" w:eastAsia="仿宋" w:cs="仿宋"/>
                <w:color w:val="auto"/>
                <w:kern w:val="0"/>
                <w:sz w:val="24"/>
                <w:highlight w:val="none"/>
              </w:rPr>
            </w:pPr>
          </w:p>
        </w:tc>
        <w:tc>
          <w:tcPr>
            <w:tcW w:w="1025" w:type="dxa"/>
            <w:vMerge w:val="continue"/>
            <w:vAlign w:val="center"/>
          </w:tcPr>
          <w:p w14:paraId="547FC3CE">
            <w:pPr>
              <w:widowControl/>
              <w:jc w:val="left"/>
              <w:rPr>
                <w:rFonts w:hint="eastAsia" w:ascii="仿宋" w:hAnsi="仿宋" w:eastAsia="仿宋" w:cs="仿宋"/>
                <w:color w:val="auto"/>
                <w:kern w:val="0"/>
                <w:sz w:val="24"/>
                <w:highlight w:val="none"/>
              </w:rPr>
            </w:pPr>
          </w:p>
        </w:tc>
        <w:tc>
          <w:tcPr>
            <w:tcW w:w="2836" w:type="dxa"/>
            <w:vMerge w:val="continue"/>
            <w:vAlign w:val="center"/>
          </w:tcPr>
          <w:p w14:paraId="4CE6E87C">
            <w:pPr>
              <w:widowControl/>
              <w:jc w:val="left"/>
              <w:rPr>
                <w:rFonts w:hint="eastAsia" w:ascii="仿宋" w:hAnsi="仿宋" w:eastAsia="仿宋" w:cs="仿宋"/>
                <w:color w:val="auto"/>
                <w:kern w:val="0"/>
                <w:sz w:val="24"/>
                <w:highlight w:val="none"/>
              </w:rPr>
            </w:pPr>
          </w:p>
        </w:tc>
        <w:tc>
          <w:tcPr>
            <w:tcW w:w="606" w:type="dxa"/>
            <w:vAlign w:val="center"/>
          </w:tcPr>
          <w:p w14:paraId="75CED99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015AD2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1C109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55E1144">
            <w:pPr>
              <w:widowControl/>
              <w:jc w:val="left"/>
              <w:rPr>
                <w:rFonts w:hint="eastAsia" w:ascii="仿宋" w:hAnsi="仿宋" w:eastAsia="仿宋" w:cs="仿宋"/>
                <w:color w:val="auto"/>
                <w:kern w:val="0"/>
                <w:sz w:val="24"/>
                <w:highlight w:val="none"/>
              </w:rPr>
            </w:pPr>
          </w:p>
        </w:tc>
        <w:tc>
          <w:tcPr>
            <w:tcW w:w="1025" w:type="dxa"/>
            <w:vMerge w:val="continue"/>
            <w:vAlign w:val="center"/>
          </w:tcPr>
          <w:p w14:paraId="37D33619">
            <w:pPr>
              <w:widowControl/>
              <w:jc w:val="left"/>
              <w:rPr>
                <w:rFonts w:hint="eastAsia" w:ascii="仿宋" w:hAnsi="仿宋" w:eastAsia="仿宋" w:cs="仿宋"/>
                <w:color w:val="auto"/>
                <w:kern w:val="0"/>
                <w:sz w:val="24"/>
                <w:highlight w:val="none"/>
              </w:rPr>
            </w:pPr>
          </w:p>
        </w:tc>
        <w:tc>
          <w:tcPr>
            <w:tcW w:w="2836" w:type="dxa"/>
            <w:vMerge w:val="continue"/>
            <w:vAlign w:val="center"/>
          </w:tcPr>
          <w:p w14:paraId="5DF453F9">
            <w:pPr>
              <w:widowControl/>
              <w:jc w:val="left"/>
              <w:rPr>
                <w:rFonts w:hint="eastAsia" w:ascii="仿宋" w:hAnsi="仿宋" w:eastAsia="仿宋" w:cs="仿宋"/>
                <w:color w:val="auto"/>
                <w:kern w:val="0"/>
                <w:sz w:val="24"/>
                <w:highlight w:val="none"/>
              </w:rPr>
            </w:pPr>
          </w:p>
        </w:tc>
        <w:tc>
          <w:tcPr>
            <w:tcW w:w="606" w:type="dxa"/>
            <w:vAlign w:val="center"/>
          </w:tcPr>
          <w:p w14:paraId="6FE4C2E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5FAD800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2D0A3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03D00B4">
            <w:pPr>
              <w:widowControl/>
              <w:jc w:val="left"/>
              <w:rPr>
                <w:rFonts w:hint="eastAsia" w:ascii="仿宋" w:hAnsi="仿宋" w:eastAsia="仿宋" w:cs="仿宋"/>
                <w:color w:val="auto"/>
                <w:kern w:val="0"/>
                <w:sz w:val="24"/>
                <w:highlight w:val="none"/>
              </w:rPr>
            </w:pPr>
          </w:p>
        </w:tc>
        <w:tc>
          <w:tcPr>
            <w:tcW w:w="1025" w:type="dxa"/>
            <w:vMerge w:val="restart"/>
            <w:vAlign w:val="center"/>
          </w:tcPr>
          <w:p w14:paraId="2DC884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836" w:type="dxa"/>
            <w:vMerge w:val="restart"/>
            <w:vAlign w:val="center"/>
          </w:tcPr>
          <w:p w14:paraId="00D20CE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06" w:type="dxa"/>
            <w:vAlign w:val="center"/>
          </w:tcPr>
          <w:p w14:paraId="3F920F7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76F61A0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5BD9F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98372C7">
            <w:pPr>
              <w:widowControl/>
              <w:jc w:val="left"/>
              <w:rPr>
                <w:rFonts w:hint="eastAsia" w:ascii="仿宋" w:hAnsi="仿宋" w:eastAsia="仿宋" w:cs="仿宋"/>
                <w:color w:val="auto"/>
                <w:kern w:val="0"/>
                <w:sz w:val="24"/>
                <w:highlight w:val="none"/>
              </w:rPr>
            </w:pPr>
          </w:p>
        </w:tc>
        <w:tc>
          <w:tcPr>
            <w:tcW w:w="1025" w:type="dxa"/>
            <w:vMerge w:val="continue"/>
            <w:vAlign w:val="center"/>
          </w:tcPr>
          <w:p w14:paraId="6E19CE45">
            <w:pPr>
              <w:widowControl/>
              <w:jc w:val="left"/>
              <w:rPr>
                <w:rFonts w:hint="eastAsia" w:ascii="仿宋" w:hAnsi="仿宋" w:eastAsia="仿宋" w:cs="仿宋"/>
                <w:color w:val="auto"/>
                <w:kern w:val="0"/>
                <w:sz w:val="24"/>
                <w:highlight w:val="none"/>
              </w:rPr>
            </w:pPr>
          </w:p>
        </w:tc>
        <w:tc>
          <w:tcPr>
            <w:tcW w:w="2836" w:type="dxa"/>
            <w:vMerge w:val="continue"/>
            <w:vAlign w:val="center"/>
          </w:tcPr>
          <w:p w14:paraId="1F80C7BB">
            <w:pPr>
              <w:widowControl/>
              <w:jc w:val="left"/>
              <w:rPr>
                <w:rFonts w:hint="eastAsia" w:ascii="仿宋" w:hAnsi="仿宋" w:eastAsia="仿宋" w:cs="仿宋"/>
                <w:color w:val="auto"/>
                <w:kern w:val="0"/>
                <w:sz w:val="24"/>
                <w:highlight w:val="none"/>
              </w:rPr>
            </w:pPr>
          </w:p>
        </w:tc>
        <w:tc>
          <w:tcPr>
            <w:tcW w:w="606" w:type="dxa"/>
            <w:vAlign w:val="center"/>
          </w:tcPr>
          <w:p w14:paraId="4B7E88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0CED686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70243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63D5D19">
            <w:pPr>
              <w:widowControl/>
              <w:jc w:val="left"/>
              <w:rPr>
                <w:rFonts w:hint="eastAsia" w:ascii="仿宋" w:hAnsi="仿宋" w:eastAsia="仿宋" w:cs="仿宋"/>
                <w:color w:val="auto"/>
                <w:kern w:val="0"/>
                <w:sz w:val="24"/>
                <w:highlight w:val="none"/>
              </w:rPr>
            </w:pPr>
          </w:p>
        </w:tc>
        <w:tc>
          <w:tcPr>
            <w:tcW w:w="1025" w:type="dxa"/>
            <w:vMerge w:val="continue"/>
            <w:vAlign w:val="center"/>
          </w:tcPr>
          <w:p w14:paraId="625C09EA">
            <w:pPr>
              <w:widowControl/>
              <w:jc w:val="left"/>
              <w:rPr>
                <w:rFonts w:hint="eastAsia" w:ascii="仿宋" w:hAnsi="仿宋" w:eastAsia="仿宋" w:cs="仿宋"/>
                <w:color w:val="auto"/>
                <w:kern w:val="0"/>
                <w:sz w:val="24"/>
                <w:highlight w:val="none"/>
              </w:rPr>
            </w:pPr>
          </w:p>
        </w:tc>
        <w:tc>
          <w:tcPr>
            <w:tcW w:w="2836" w:type="dxa"/>
            <w:vMerge w:val="continue"/>
            <w:vAlign w:val="center"/>
          </w:tcPr>
          <w:p w14:paraId="44806767">
            <w:pPr>
              <w:widowControl/>
              <w:jc w:val="left"/>
              <w:rPr>
                <w:rFonts w:hint="eastAsia" w:ascii="仿宋" w:hAnsi="仿宋" w:eastAsia="仿宋" w:cs="仿宋"/>
                <w:color w:val="auto"/>
                <w:kern w:val="0"/>
                <w:sz w:val="24"/>
                <w:highlight w:val="none"/>
              </w:rPr>
            </w:pPr>
          </w:p>
        </w:tc>
        <w:tc>
          <w:tcPr>
            <w:tcW w:w="606" w:type="dxa"/>
            <w:vAlign w:val="center"/>
          </w:tcPr>
          <w:p w14:paraId="69A6A25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38C2E2E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14:paraId="49D11E45">
      <w:pPr>
        <w:spacing w:line="336" w:lineRule="auto"/>
        <w:rPr>
          <w:rFonts w:hint="eastAsia" w:ascii="仿宋" w:hAnsi="仿宋" w:eastAsia="仿宋" w:cs="仿宋"/>
          <w:color w:val="auto"/>
          <w:sz w:val="24"/>
        </w:rPr>
      </w:pPr>
    </w:p>
    <w:p w14:paraId="5769ED43">
      <w:pPr>
        <w:spacing w:line="336" w:lineRule="auto"/>
        <w:ind w:firstLine="420" w:firstLineChars="200"/>
        <w:rPr>
          <w:rFonts w:hint="eastAsia" w:ascii="仿宋" w:hAnsi="仿宋" w:eastAsia="仿宋" w:cs="仿宋"/>
          <w:color w:val="auto"/>
        </w:rPr>
      </w:pPr>
    </w:p>
    <w:p w14:paraId="3716D35A">
      <w:pPr>
        <w:spacing w:line="336" w:lineRule="auto"/>
        <w:rPr>
          <w:rFonts w:hint="eastAsia" w:ascii="仿宋" w:hAnsi="仿宋" w:eastAsia="仿宋" w:cs="仿宋"/>
          <w:color w:val="auto"/>
        </w:rPr>
      </w:pPr>
    </w:p>
    <w:p w14:paraId="791D5D10">
      <w:pPr>
        <w:spacing w:line="360" w:lineRule="auto"/>
        <w:ind w:firstLine="482" w:firstLineChars="200"/>
        <w:rPr>
          <w:rFonts w:hint="eastAsia" w:ascii="仿宋" w:hAnsi="仿宋" w:eastAsia="仿宋" w:cs="仿宋"/>
          <w:b/>
          <w:color w:val="auto"/>
          <w:sz w:val="24"/>
        </w:rPr>
      </w:pP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000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000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wis721 WGL4 BT"/>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wis721 WGL4 BT">
    <w:panose1 w:val="020B0504020202020204"/>
    <w:charset w:val="00"/>
    <w:family w:val="auto"/>
    <w:pitch w:val="default"/>
    <w:sig w:usb0="00000287" w:usb1="00000000" w:usb2="00000000" w:usb3="00000000" w:csb0="4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5323B">
    <w:pPr>
      <w:pStyle w:val="40"/>
      <w:framePr w:wrap="around" w:vAnchor="text" w:hAnchor="margin" w:xAlign="right" w:y="1"/>
      <w:rPr>
        <w:rStyle w:val="66"/>
      </w:rPr>
    </w:pPr>
    <w:r>
      <w:fldChar w:fldCharType="begin"/>
    </w:r>
    <w:r>
      <w:rPr>
        <w:rStyle w:val="66"/>
      </w:rPr>
      <w:instrText xml:space="preserve">PAGE  </w:instrText>
    </w:r>
    <w:r>
      <w:fldChar w:fldCharType="end"/>
    </w:r>
  </w:p>
  <w:p w14:paraId="0BB7974A">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35E9C">
    <w:pPr>
      <w:pStyle w:val="40"/>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9031">
    <w:pPr>
      <w:pStyle w:val="40"/>
      <w:rPr>
        <w:rFonts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92695D">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4C92695D">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E1B50">
    <w:pPr>
      <w:pStyle w:val="40"/>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8FDFC2">
                          <w:pPr>
                            <w:pStyle w:val="40"/>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758FDFC2">
                    <w:pPr>
                      <w:pStyle w:val="40"/>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4C105">
    <w:pPr>
      <w:pStyle w:val="40"/>
      <w:framePr w:wrap="around" w:vAnchor="text" w:hAnchor="margin" w:xAlign="right" w:y="1"/>
      <w:rPr>
        <w:rStyle w:val="66"/>
      </w:rPr>
    </w:pPr>
    <w:r>
      <w:fldChar w:fldCharType="begin"/>
    </w:r>
    <w:r>
      <w:rPr>
        <w:rStyle w:val="66"/>
      </w:rPr>
      <w:instrText xml:space="preserve">PAGE  </w:instrText>
    </w:r>
    <w:r>
      <w:fldChar w:fldCharType="end"/>
    </w:r>
  </w:p>
  <w:p w14:paraId="16183C40">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0F75D">
    <w:pPr>
      <w:pStyle w:val="40"/>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A9B8D5">
                          <w:pPr>
                            <w:pStyle w:val="4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14:paraId="7CA9B8D5">
                    <w:pPr>
                      <w:pStyle w:val="4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CD0D">
    <w:pPr>
      <w:pStyle w:val="41"/>
      <w:jc w:val="left"/>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磋商文件编号:SXPZ-F20240724CKY</w:t>
    </w:r>
    <w:r>
      <w:rPr>
        <w:rFonts w:hint="eastAsia" w:ascii="仿宋" w:hAnsi="仿宋" w:eastAsia="仿宋" w:cs="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626B7">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C4935">
    <w:pPr>
      <w:pStyle w:val="41"/>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eastAsia="zh-CN"/>
      </w:rPr>
      <w:t>磋商文件编号:SXPZ-F20240724CKY</w:t>
    </w: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7441A">
    <w:pPr>
      <w:pStyle w:val="41"/>
      <w:tabs>
        <w:tab w:val="center" w:pos="0"/>
      </w:tabs>
      <w:jc w:val="left"/>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磋商文件编号:SXPZ-F20240724CKY</w:t>
    </w: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275C5">
    <w:pPr>
      <w:pStyle w:val="41"/>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eastAsia="zh-CN"/>
      </w:rPr>
      <w:t>磋商文件编号:SXPZ-F20240724CKY</w:t>
    </w:r>
    <w:r>
      <w:rPr>
        <w:rFonts w:hint="eastAsia" w:ascii="仿宋" w:hAnsi="仿宋" w:eastAsia="仿宋" w:cs="仿宋"/>
      </w:rPr>
      <w:t xml:space="preserve">  </w:t>
    </w:r>
  </w:p>
  <w:p w14:paraId="68A983DA">
    <w:pPr>
      <w:pStyle w:val="41"/>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2"/>
    <w:multiLevelType w:val="singleLevel"/>
    <w:tmpl w:val="00000002"/>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3"/>
    <w:multiLevelType w:val="multilevel"/>
    <w:tmpl w:val="00000003"/>
    <w:lvl w:ilvl="0" w:tentative="0">
      <w:start w:val="1"/>
      <w:numFmt w:val="bullet"/>
      <w:pStyle w:val="412"/>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3">
    <w:nsid w:val="00000004"/>
    <w:multiLevelType w:val="multilevel"/>
    <w:tmpl w:val="00000004"/>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05"/>
    <w:multiLevelType w:val="multilevel"/>
    <w:tmpl w:val="00000005"/>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00000007"/>
    <w:multiLevelType w:val="multilevel"/>
    <w:tmpl w:val="00000007"/>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00000008"/>
    <w:multiLevelType w:val="multilevel"/>
    <w:tmpl w:val="00000008"/>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4"/>
    <w:lvlOverride w:ilvl="0">
      <w:startOverride w:val="3"/>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YWJmNGE5NWNmMDFiMWRlYTJiMmMxOWVjNDMzMTYifQ=="/>
  </w:docVars>
  <w:rsids>
    <w:rsidRoot w:val="00000000"/>
    <w:rsid w:val="002962A3"/>
    <w:rsid w:val="002C61F7"/>
    <w:rsid w:val="002E2712"/>
    <w:rsid w:val="00335425"/>
    <w:rsid w:val="00381040"/>
    <w:rsid w:val="004E2611"/>
    <w:rsid w:val="0066678C"/>
    <w:rsid w:val="006C27D8"/>
    <w:rsid w:val="00800961"/>
    <w:rsid w:val="009F4C1B"/>
    <w:rsid w:val="00B2494E"/>
    <w:rsid w:val="00BC57CD"/>
    <w:rsid w:val="00C6664C"/>
    <w:rsid w:val="00D64AE1"/>
    <w:rsid w:val="00ED6E0D"/>
    <w:rsid w:val="00F05477"/>
    <w:rsid w:val="00FB4547"/>
    <w:rsid w:val="010411BC"/>
    <w:rsid w:val="010A6538"/>
    <w:rsid w:val="01176EA7"/>
    <w:rsid w:val="0147153B"/>
    <w:rsid w:val="015027F5"/>
    <w:rsid w:val="0152227D"/>
    <w:rsid w:val="016320EC"/>
    <w:rsid w:val="01982969"/>
    <w:rsid w:val="01D408F4"/>
    <w:rsid w:val="01E86FEB"/>
    <w:rsid w:val="01F47824"/>
    <w:rsid w:val="01F84280"/>
    <w:rsid w:val="021B4775"/>
    <w:rsid w:val="0224187C"/>
    <w:rsid w:val="022655F4"/>
    <w:rsid w:val="02301FCF"/>
    <w:rsid w:val="02315CA0"/>
    <w:rsid w:val="028816DF"/>
    <w:rsid w:val="02B20C36"/>
    <w:rsid w:val="02B80216"/>
    <w:rsid w:val="02C646E1"/>
    <w:rsid w:val="02FF5E45"/>
    <w:rsid w:val="030E2C59"/>
    <w:rsid w:val="03382B2E"/>
    <w:rsid w:val="03396EE0"/>
    <w:rsid w:val="033E696D"/>
    <w:rsid w:val="034649C6"/>
    <w:rsid w:val="034766CD"/>
    <w:rsid w:val="03497D83"/>
    <w:rsid w:val="03562D37"/>
    <w:rsid w:val="03746618"/>
    <w:rsid w:val="03883137"/>
    <w:rsid w:val="03D33559"/>
    <w:rsid w:val="04091561"/>
    <w:rsid w:val="04294B38"/>
    <w:rsid w:val="04372FD3"/>
    <w:rsid w:val="04561CA4"/>
    <w:rsid w:val="045B63A0"/>
    <w:rsid w:val="049525BD"/>
    <w:rsid w:val="049B5F57"/>
    <w:rsid w:val="04A86794"/>
    <w:rsid w:val="04E23328"/>
    <w:rsid w:val="04E5637F"/>
    <w:rsid w:val="04EB21F1"/>
    <w:rsid w:val="05127654"/>
    <w:rsid w:val="052772B8"/>
    <w:rsid w:val="053C1881"/>
    <w:rsid w:val="055A508B"/>
    <w:rsid w:val="05793C8D"/>
    <w:rsid w:val="05926AFC"/>
    <w:rsid w:val="05A2713D"/>
    <w:rsid w:val="05CC64B2"/>
    <w:rsid w:val="061615CD"/>
    <w:rsid w:val="065E2E82"/>
    <w:rsid w:val="06992183"/>
    <w:rsid w:val="077C7A64"/>
    <w:rsid w:val="078D3A1F"/>
    <w:rsid w:val="079E3E7E"/>
    <w:rsid w:val="079E4577"/>
    <w:rsid w:val="07A90360"/>
    <w:rsid w:val="07C02047"/>
    <w:rsid w:val="07CA6A21"/>
    <w:rsid w:val="07D17DB0"/>
    <w:rsid w:val="07D826C8"/>
    <w:rsid w:val="07D96C64"/>
    <w:rsid w:val="08320BD9"/>
    <w:rsid w:val="084E3304"/>
    <w:rsid w:val="0869448C"/>
    <w:rsid w:val="087370B9"/>
    <w:rsid w:val="0919178E"/>
    <w:rsid w:val="092149A6"/>
    <w:rsid w:val="09306D58"/>
    <w:rsid w:val="0935239F"/>
    <w:rsid w:val="093F2ABC"/>
    <w:rsid w:val="098F7951"/>
    <w:rsid w:val="09A60DC8"/>
    <w:rsid w:val="09AC2B27"/>
    <w:rsid w:val="09C82C33"/>
    <w:rsid w:val="0A0C3321"/>
    <w:rsid w:val="0A2C751F"/>
    <w:rsid w:val="0A690774"/>
    <w:rsid w:val="0A86042B"/>
    <w:rsid w:val="0A943317"/>
    <w:rsid w:val="0ABB4D47"/>
    <w:rsid w:val="0B071D3B"/>
    <w:rsid w:val="0B220922"/>
    <w:rsid w:val="0B243F31"/>
    <w:rsid w:val="0B275F39"/>
    <w:rsid w:val="0B3B3792"/>
    <w:rsid w:val="0B611C2A"/>
    <w:rsid w:val="0B835865"/>
    <w:rsid w:val="0B931032"/>
    <w:rsid w:val="0BDE2A9B"/>
    <w:rsid w:val="0C0149DC"/>
    <w:rsid w:val="0C333C0B"/>
    <w:rsid w:val="0C414F19"/>
    <w:rsid w:val="0C432D51"/>
    <w:rsid w:val="0C4826BA"/>
    <w:rsid w:val="0C807CE3"/>
    <w:rsid w:val="0C9B0861"/>
    <w:rsid w:val="0CDD7393"/>
    <w:rsid w:val="0CFB142B"/>
    <w:rsid w:val="0D186481"/>
    <w:rsid w:val="0D2C3CDA"/>
    <w:rsid w:val="0D397A5A"/>
    <w:rsid w:val="0D972629"/>
    <w:rsid w:val="0D9F44AC"/>
    <w:rsid w:val="0DA11FD2"/>
    <w:rsid w:val="0DD51C7C"/>
    <w:rsid w:val="0DDF2AFB"/>
    <w:rsid w:val="0DF66459"/>
    <w:rsid w:val="0DF90060"/>
    <w:rsid w:val="0E2D7D0A"/>
    <w:rsid w:val="0E574D87"/>
    <w:rsid w:val="0E87566C"/>
    <w:rsid w:val="0E9C4E0F"/>
    <w:rsid w:val="0ED662BA"/>
    <w:rsid w:val="0ED939EE"/>
    <w:rsid w:val="0EFB2DE2"/>
    <w:rsid w:val="0F1113DA"/>
    <w:rsid w:val="0F40581B"/>
    <w:rsid w:val="0F706100"/>
    <w:rsid w:val="0FB26719"/>
    <w:rsid w:val="0FDC5544"/>
    <w:rsid w:val="104E5D16"/>
    <w:rsid w:val="1053332C"/>
    <w:rsid w:val="108C51BC"/>
    <w:rsid w:val="109776BD"/>
    <w:rsid w:val="10AF4A06"/>
    <w:rsid w:val="10BF10E1"/>
    <w:rsid w:val="10CD1330"/>
    <w:rsid w:val="10EF74F9"/>
    <w:rsid w:val="10F33F89"/>
    <w:rsid w:val="111D4066"/>
    <w:rsid w:val="11BF6ECB"/>
    <w:rsid w:val="11F96D38"/>
    <w:rsid w:val="12282CC2"/>
    <w:rsid w:val="12506B92"/>
    <w:rsid w:val="125A4E46"/>
    <w:rsid w:val="126637EB"/>
    <w:rsid w:val="126B7053"/>
    <w:rsid w:val="12CF75E2"/>
    <w:rsid w:val="131B2827"/>
    <w:rsid w:val="134578A4"/>
    <w:rsid w:val="13491142"/>
    <w:rsid w:val="134E6759"/>
    <w:rsid w:val="136A013D"/>
    <w:rsid w:val="136E4430"/>
    <w:rsid w:val="136F66CF"/>
    <w:rsid w:val="13AC16D1"/>
    <w:rsid w:val="13BB14CF"/>
    <w:rsid w:val="13E64BE3"/>
    <w:rsid w:val="14172444"/>
    <w:rsid w:val="14A16D5C"/>
    <w:rsid w:val="152E5EA7"/>
    <w:rsid w:val="15657D89"/>
    <w:rsid w:val="156A35F2"/>
    <w:rsid w:val="15B8435D"/>
    <w:rsid w:val="15CF16A7"/>
    <w:rsid w:val="15E862C7"/>
    <w:rsid w:val="16421E79"/>
    <w:rsid w:val="164C2CF7"/>
    <w:rsid w:val="16930926"/>
    <w:rsid w:val="16985F3D"/>
    <w:rsid w:val="16CB00C0"/>
    <w:rsid w:val="16F94C2D"/>
    <w:rsid w:val="17306175"/>
    <w:rsid w:val="17852965"/>
    <w:rsid w:val="178942B2"/>
    <w:rsid w:val="178C5AA1"/>
    <w:rsid w:val="17C0574B"/>
    <w:rsid w:val="180A6D34"/>
    <w:rsid w:val="181D494B"/>
    <w:rsid w:val="18277578"/>
    <w:rsid w:val="18673E19"/>
    <w:rsid w:val="1869193F"/>
    <w:rsid w:val="19031D93"/>
    <w:rsid w:val="190F698A"/>
    <w:rsid w:val="192341E3"/>
    <w:rsid w:val="192B3098"/>
    <w:rsid w:val="195A5E2A"/>
    <w:rsid w:val="19E35BE4"/>
    <w:rsid w:val="19EC6CCB"/>
    <w:rsid w:val="1A0538E9"/>
    <w:rsid w:val="1A3A7A37"/>
    <w:rsid w:val="1A8E1B30"/>
    <w:rsid w:val="1AD734D7"/>
    <w:rsid w:val="1B09565B"/>
    <w:rsid w:val="1B684130"/>
    <w:rsid w:val="1B7449F1"/>
    <w:rsid w:val="1B8C2514"/>
    <w:rsid w:val="1BAF6202"/>
    <w:rsid w:val="1BF12377"/>
    <w:rsid w:val="1BF304AD"/>
    <w:rsid w:val="1BFB31F6"/>
    <w:rsid w:val="1C2E5379"/>
    <w:rsid w:val="1C3404B6"/>
    <w:rsid w:val="1C625023"/>
    <w:rsid w:val="1C6C6965"/>
    <w:rsid w:val="1C874A89"/>
    <w:rsid w:val="1C9B22E3"/>
    <w:rsid w:val="1CBA6C0D"/>
    <w:rsid w:val="1CCB2BC8"/>
    <w:rsid w:val="1CFF6D16"/>
    <w:rsid w:val="1D0C4EF2"/>
    <w:rsid w:val="1D2759D6"/>
    <w:rsid w:val="1D295B40"/>
    <w:rsid w:val="1D2B18B9"/>
    <w:rsid w:val="1D497F91"/>
    <w:rsid w:val="1DAB29F9"/>
    <w:rsid w:val="1DF63C75"/>
    <w:rsid w:val="1E0A3BC4"/>
    <w:rsid w:val="1E2B689A"/>
    <w:rsid w:val="1E2C58E8"/>
    <w:rsid w:val="1E3E5BD7"/>
    <w:rsid w:val="1E446462"/>
    <w:rsid w:val="1E912BAE"/>
    <w:rsid w:val="1EB12291"/>
    <w:rsid w:val="1ED1023E"/>
    <w:rsid w:val="1F0213AB"/>
    <w:rsid w:val="1F1C10F7"/>
    <w:rsid w:val="1F356A1F"/>
    <w:rsid w:val="1F372530"/>
    <w:rsid w:val="1F3F5AEF"/>
    <w:rsid w:val="1F4B7FF0"/>
    <w:rsid w:val="1F5D7D23"/>
    <w:rsid w:val="1F6B2440"/>
    <w:rsid w:val="1F7A63CB"/>
    <w:rsid w:val="1FFF6B11"/>
    <w:rsid w:val="20757A1D"/>
    <w:rsid w:val="20971013"/>
    <w:rsid w:val="20C55E1C"/>
    <w:rsid w:val="20D66B76"/>
    <w:rsid w:val="2110329F"/>
    <w:rsid w:val="21D56297"/>
    <w:rsid w:val="21FA5CFD"/>
    <w:rsid w:val="2274785E"/>
    <w:rsid w:val="229816E8"/>
    <w:rsid w:val="22AD1241"/>
    <w:rsid w:val="22B45EAC"/>
    <w:rsid w:val="23272B22"/>
    <w:rsid w:val="23376A8B"/>
    <w:rsid w:val="23C71C0F"/>
    <w:rsid w:val="24052C42"/>
    <w:rsid w:val="240B5FA0"/>
    <w:rsid w:val="24351427"/>
    <w:rsid w:val="243674C1"/>
    <w:rsid w:val="24415E66"/>
    <w:rsid w:val="24857B00"/>
    <w:rsid w:val="24A26904"/>
    <w:rsid w:val="24A61BB0"/>
    <w:rsid w:val="24A65CC9"/>
    <w:rsid w:val="24C51A8E"/>
    <w:rsid w:val="24DC3351"/>
    <w:rsid w:val="24EA02AB"/>
    <w:rsid w:val="25095AC6"/>
    <w:rsid w:val="250C4542"/>
    <w:rsid w:val="251D756A"/>
    <w:rsid w:val="25296CD0"/>
    <w:rsid w:val="256718FC"/>
    <w:rsid w:val="25701706"/>
    <w:rsid w:val="25983863"/>
    <w:rsid w:val="25F56F08"/>
    <w:rsid w:val="26062EC3"/>
    <w:rsid w:val="26664CF5"/>
    <w:rsid w:val="27075144"/>
    <w:rsid w:val="270858F0"/>
    <w:rsid w:val="270E4E27"/>
    <w:rsid w:val="27411013"/>
    <w:rsid w:val="276C3EAC"/>
    <w:rsid w:val="276E6F72"/>
    <w:rsid w:val="279A1B15"/>
    <w:rsid w:val="27B22553"/>
    <w:rsid w:val="27CB7F20"/>
    <w:rsid w:val="27CC248E"/>
    <w:rsid w:val="27D35027"/>
    <w:rsid w:val="28043472"/>
    <w:rsid w:val="28724840"/>
    <w:rsid w:val="287A36F4"/>
    <w:rsid w:val="28A15125"/>
    <w:rsid w:val="28BA1D43"/>
    <w:rsid w:val="28EA6ACC"/>
    <w:rsid w:val="28F45255"/>
    <w:rsid w:val="28F72F97"/>
    <w:rsid w:val="29102408"/>
    <w:rsid w:val="29114058"/>
    <w:rsid w:val="292900F3"/>
    <w:rsid w:val="293D56CF"/>
    <w:rsid w:val="296E14AB"/>
    <w:rsid w:val="297A1827"/>
    <w:rsid w:val="297B7724"/>
    <w:rsid w:val="298567F4"/>
    <w:rsid w:val="299407E6"/>
    <w:rsid w:val="299B5324"/>
    <w:rsid w:val="29A22F02"/>
    <w:rsid w:val="29AC1FD3"/>
    <w:rsid w:val="29F00112"/>
    <w:rsid w:val="29F55728"/>
    <w:rsid w:val="2A1D4C7F"/>
    <w:rsid w:val="2A4915D0"/>
    <w:rsid w:val="2A517BC2"/>
    <w:rsid w:val="2A66642C"/>
    <w:rsid w:val="2A97233B"/>
    <w:rsid w:val="2ACE2FF1"/>
    <w:rsid w:val="2AF4778E"/>
    <w:rsid w:val="2AF91248"/>
    <w:rsid w:val="2B1716CE"/>
    <w:rsid w:val="2B5F733E"/>
    <w:rsid w:val="2B764647"/>
    <w:rsid w:val="2B8A1EA0"/>
    <w:rsid w:val="2B8C5C18"/>
    <w:rsid w:val="2B960C8F"/>
    <w:rsid w:val="2BBB2606"/>
    <w:rsid w:val="2BC52ED8"/>
    <w:rsid w:val="2BC74EA2"/>
    <w:rsid w:val="2BC929C8"/>
    <w:rsid w:val="2C536736"/>
    <w:rsid w:val="2CBD0053"/>
    <w:rsid w:val="2CCC7F97"/>
    <w:rsid w:val="2CD23AFF"/>
    <w:rsid w:val="2CE74D6E"/>
    <w:rsid w:val="2CF55A3F"/>
    <w:rsid w:val="2D0D4B37"/>
    <w:rsid w:val="2D197980"/>
    <w:rsid w:val="2D35408E"/>
    <w:rsid w:val="2D414DFB"/>
    <w:rsid w:val="2D83129D"/>
    <w:rsid w:val="2D9B0395"/>
    <w:rsid w:val="2DD45655"/>
    <w:rsid w:val="2DFD2DFD"/>
    <w:rsid w:val="2E1343CF"/>
    <w:rsid w:val="2E3600BD"/>
    <w:rsid w:val="2EAB3FA9"/>
    <w:rsid w:val="2EC333C5"/>
    <w:rsid w:val="2EDA4EED"/>
    <w:rsid w:val="2F2345B2"/>
    <w:rsid w:val="2F464330"/>
    <w:rsid w:val="2F8135BA"/>
    <w:rsid w:val="2FAB0996"/>
    <w:rsid w:val="2FCF07C9"/>
    <w:rsid w:val="2FFD70E5"/>
    <w:rsid w:val="30073135"/>
    <w:rsid w:val="30234671"/>
    <w:rsid w:val="30AC28B9"/>
    <w:rsid w:val="30B13524"/>
    <w:rsid w:val="30B73737"/>
    <w:rsid w:val="30B9255C"/>
    <w:rsid w:val="30CA72A9"/>
    <w:rsid w:val="30FA7F15"/>
    <w:rsid w:val="3102072B"/>
    <w:rsid w:val="3112096E"/>
    <w:rsid w:val="312406A1"/>
    <w:rsid w:val="313308E4"/>
    <w:rsid w:val="31490108"/>
    <w:rsid w:val="319E0453"/>
    <w:rsid w:val="31B23A98"/>
    <w:rsid w:val="31CE1D46"/>
    <w:rsid w:val="31D67BED"/>
    <w:rsid w:val="32127889"/>
    <w:rsid w:val="321E77E6"/>
    <w:rsid w:val="324E3C27"/>
    <w:rsid w:val="324E7BDE"/>
    <w:rsid w:val="32E06583"/>
    <w:rsid w:val="33136C1F"/>
    <w:rsid w:val="331704BD"/>
    <w:rsid w:val="332B5D17"/>
    <w:rsid w:val="33544C42"/>
    <w:rsid w:val="336B6F92"/>
    <w:rsid w:val="33751688"/>
    <w:rsid w:val="33762312"/>
    <w:rsid w:val="33B4150E"/>
    <w:rsid w:val="33ED121E"/>
    <w:rsid w:val="33FC7E90"/>
    <w:rsid w:val="34056568"/>
    <w:rsid w:val="34433534"/>
    <w:rsid w:val="34476B80"/>
    <w:rsid w:val="3481782D"/>
    <w:rsid w:val="34F565DC"/>
    <w:rsid w:val="35042CC3"/>
    <w:rsid w:val="351D3D85"/>
    <w:rsid w:val="35366BF5"/>
    <w:rsid w:val="355E6877"/>
    <w:rsid w:val="35633E8E"/>
    <w:rsid w:val="35690D78"/>
    <w:rsid w:val="356E692B"/>
    <w:rsid w:val="35812566"/>
    <w:rsid w:val="35D408E8"/>
    <w:rsid w:val="35EB5C31"/>
    <w:rsid w:val="3632560E"/>
    <w:rsid w:val="36637EBD"/>
    <w:rsid w:val="36B67FED"/>
    <w:rsid w:val="36BB3856"/>
    <w:rsid w:val="3706724F"/>
    <w:rsid w:val="3719197E"/>
    <w:rsid w:val="373F4487"/>
    <w:rsid w:val="374970B3"/>
    <w:rsid w:val="3756532C"/>
    <w:rsid w:val="3793123B"/>
    <w:rsid w:val="37A61E10"/>
    <w:rsid w:val="37B908A3"/>
    <w:rsid w:val="37E1109A"/>
    <w:rsid w:val="38172D0E"/>
    <w:rsid w:val="38433B03"/>
    <w:rsid w:val="38455ACD"/>
    <w:rsid w:val="38482EC7"/>
    <w:rsid w:val="38CA5FD2"/>
    <w:rsid w:val="38F92413"/>
    <w:rsid w:val="392B413E"/>
    <w:rsid w:val="39317DFF"/>
    <w:rsid w:val="395C1320"/>
    <w:rsid w:val="39841613"/>
    <w:rsid w:val="3995213C"/>
    <w:rsid w:val="39A57F58"/>
    <w:rsid w:val="39A62333"/>
    <w:rsid w:val="39AE1450"/>
    <w:rsid w:val="39BA1BA2"/>
    <w:rsid w:val="39E3734B"/>
    <w:rsid w:val="39FB069B"/>
    <w:rsid w:val="3A092B2A"/>
    <w:rsid w:val="3A4D20AB"/>
    <w:rsid w:val="3A4F49E1"/>
    <w:rsid w:val="3A881CA1"/>
    <w:rsid w:val="3AFB6916"/>
    <w:rsid w:val="3B1D063B"/>
    <w:rsid w:val="3B64626A"/>
    <w:rsid w:val="3B950658"/>
    <w:rsid w:val="3BB16FD5"/>
    <w:rsid w:val="3BD12312"/>
    <w:rsid w:val="3C0B116B"/>
    <w:rsid w:val="3C0E4427"/>
    <w:rsid w:val="3C261771"/>
    <w:rsid w:val="3C4151B9"/>
    <w:rsid w:val="3C5067EE"/>
    <w:rsid w:val="3C597D99"/>
    <w:rsid w:val="3C6329C5"/>
    <w:rsid w:val="3C7050E2"/>
    <w:rsid w:val="3C7A386B"/>
    <w:rsid w:val="3C916256"/>
    <w:rsid w:val="3D1574E2"/>
    <w:rsid w:val="3D610E5E"/>
    <w:rsid w:val="3D916F13"/>
    <w:rsid w:val="3D977D6F"/>
    <w:rsid w:val="3D9D3CB5"/>
    <w:rsid w:val="3DA22AF2"/>
    <w:rsid w:val="3DC01751"/>
    <w:rsid w:val="3E483C21"/>
    <w:rsid w:val="3E6447D3"/>
    <w:rsid w:val="3E7F160D"/>
    <w:rsid w:val="3E8310FD"/>
    <w:rsid w:val="3EAB2402"/>
    <w:rsid w:val="3ED92B93"/>
    <w:rsid w:val="3F007C46"/>
    <w:rsid w:val="3F3252DD"/>
    <w:rsid w:val="3F892743"/>
    <w:rsid w:val="400022D9"/>
    <w:rsid w:val="40055B41"/>
    <w:rsid w:val="401A386E"/>
    <w:rsid w:val="401D3A8A"/>
    <w:rsid w:val="40204729"/>
    <w:rsid w:val="40316936"/>
    <w:rsid w:val="404146A8"/>
    <w:rsid w:val="40596A0B"/>
    <w:rsid w:val="40662CB8"/>
    <w:rsid w:val="40CB0B39"/>
    <w:rsid w:val="40DE4A17"/>
    <w:rsid w:val="40FF07E3"/>
    <w:rsid w:val="411D7FA1"/>
    <w:rsid w:val="41207887"/>
    <w:rsid w:val="4182779E"/>
    <w:rsid w:val="41A40343"/>
    <w:rsid w:val="41B4781F"/>
    <w:rsid w:val="41F77B21"/>
    <w:rsid w:val="425C3B7A"/>
    <w:rsid w:val="425F4A8D"/>
    <w:rsid w:val="42A20766"/>
    <w:rsid w:val="42AD499A"/>
    <w:rsid w:val="42F44377"/>
    <w:rsid w:val="43151407"/>
    <w:rsid w:val="43686B13"/>
    <w:rsid w:val="436D4129"/>
    <w:rsid w:val="43770B04"/>
    <w:rsid w:val="4379487C"/>
    <w:rsid w:val="439369B8"/>
    <w:rsid w:val="439E2535"/>
    <w:rsid w:val="43B27D8E"/>
    <w:rsid w:val="43EE526A"/>
    <w:rsid w:val="44150A49"/>
    <w:rsid w:val="44421112"/>
    <w:rsid w:val="44780FD8"/>
    <w:rsid w:val="44C4421D"/>
    <w:rsid w:val="44C45FCB"/>
    <w:rsid w:val="44FA7C3F"/>
    <w:rsid w:val="450D7972"/>
    <w:rsid w:val="452A22D2"/>
    <w:rsid w:val="453A628D"/>
    <w:rsid w:val="454809AA"/>
    <w:rsid w:val="45505AB1"/>
    <w:rsid w:val="458A0BEF"/>
    <w:rsid w:val="458B6AE9"/>
    <w:rsid w:val="45AC7C5B"/>
    <w:rsid w:val="45B147A1"/>
    <w:rsid w:val="45B63B66"/>
    <w:rsid w:val="45D24718"/>
    <w:rsid w:val="45F14B9E"/>
    <w:rsid w:val="462A6302"/>
    <w:rsid w:val="462C207A"/>
    <w:rsid w:val="46842723"/>
    <w:rsid w:val="46871D95"/>
    <w:rsid w:val="4690085B"/>
    <w:rsid w:val="4703102D"/>
    <w:rsid w:val="47236529"/>
    <w:rsid w:val="47666BD1"/>
    <w:rsid w:val="477E5D2D"/>
    <w:rsid w:val="479E0D55"/>
    <w:rsid w:val="47CD3EBB"/>
    <w:rsid w:val="47ED3A8B"/>
    <w:rsid w:val="47F46BC7"/>
    <w:rsid w:val="4800556C"/>
    <w:rsid w:val="48050DD4"/>
    <w:rsid w:val="48465345"/>
    <w:rsid w:val="485B33EB"/>
    <w:rsid w:val="48855A71"/>
    <w:rsid w:val="493A4AAE"/>
    <w:rsid w:val="49714D0B"/>
    <w:rsid w:val="49746212"/>
    <w:rsid w:val="4987340E"/>
    <w:rsid w:val="499C3073"/>
    <w:rsid w:val="49D24CE6"/>
    <w:rsid w:val="49DC7913"/>
    <w:rsid w:val="49E60792"/>
    <w:rsid w:val="4A1B668D"/>
    <w:rsid w:val="4A235542"/>
    <w:rsid w:val="4A2F2139"/>
    <w:rsid w:val="4A317C5F"/>
    <w:rsid w:val="4A484F98"/>
    <w:rsid w:val="4A6E2C61"/>
    <w:rsid w:val="4ADA0FDC"/>
    <w:rsid w:val="4BAF1783"/>
    <w:rsid w:val="4BE40D01"/>
    <w:rsid w:val="4C76404F"/>
    <w:rsid w:val="4C92075D"/>
    <w:rsid w:val="4CD3324F"/>
    <w:rsid w:val="4CD4551D"/>
    <w:rsid w:val="4CEF16C3"/>
    <w:rsid w:val="4D5F4AE3"/>
    <w:rsid w:val="4D6245D3"/>
    <w:rsid w:val="4D73233C"/>
    <w:rsid w:val="4E3B6FCA"/>
    <w:rsid w:val="4E4B32B9"/>
    <w:rsid w:val="4E524648"/>
    <w:rsid w:val="4E772300"/>
    <w:rsid w:val="4E946A0E"/>
    <w:rsid w:val="4EA529C9"/>
    <w:rsid w:val="4EE07EA5"/>
    <w:rsid w:val="4EF43951"/>
    <w:rsid w:val="4EFD4F1D"/>
    <w:rsid w:val="4F1A1ED7"/>
    <w:rsid w:val="4F4425D1"/>
    <w:rsid w:val="4F525FCE"/>
    <w:rsid w:val="4F870321"/>
    <w:rsid w:val="500431E5"/>
    <w:rsid w:val="50332072"/>
    <w:rsid w:val="5043249A"/>
    <w:rsid w:val="50BE4216"/>
    <w:rsid w:val="50D2381E"/>
    <w:rsid w:val="50F73284"/>
    <w:rsid w:val="50FC089B"/>
    <w:rsid w:val="51043EAF"/>
    <w:rsid w:val="51044B29"/>
    <w:rsid w:val="51112598"/>
    <w:rsid w:val="5153495F"/>
    <w:rsid w:val="51581F75"/>
    <w:rsid w:val="519A0805"/>
    <w:rsid w:val="519C21AA"/>
    <w:rsid w:val="51C92E73"/>
    <w:rsid w:val="51D3784E"/>
    <w:rsid w:val="51DC2BA6"/>
    <w:rsid w:val="51E101BC"/>
    <w:rsid w:val="52217F42"/>
    <w:rsid w:val="523601F3"/>
    <w:rsid w:val="52497B10"/>
    <w:rsid w:val="52773A4D"/>
    <w:rsid w:val="52990A97"/>
    <w:rsid w:val="529E7E5B"/>
    <w:rsid w:val="52CC09AB"/>
    <w:rsid w:val="52D675F5"/>
    <w:rsid w:val="52E33AC0"/>
    <w:rsid w:val="53446C55"/>
    <w:rsid w:val="53590226"/>
    <w:rsid w:val="535D7D17"/>
    <w:rsid w:val="53733096"/>
    <w:rsid w:val="537A3091"/>
    <w:rsid w:val="537F7C8D"/>
    <w:rsid w:val="537F7F5D"/>
    <w:rsid w:val="538F59F6"/>
    <w:rsid w:val="5449029B"/>
    <w:rsid w:val="54907C78"/>
    <w:rsid w:val="54B0031A"/>
    <w:rsid w:val="54B03E76"/>
    <w:rsid w:val="54B90F7D"/>
    <w:rsid w:val="54DC192A"/>
    <w:rsid w:val="54ED1237"/>
    <w:rsid w:val="54F22F39"/>
    <w:rsid w:val="54F5115A"/>
    <w:rsid w:val="54F75F49"/>
    <w:rsid w:val="555A4967"/>
    <w:rsid w:val="556A4428"/>
    <w:rsid w:val="556F3D31"/>
    <w:rsid w:val="55F61D5C"/>
    <w:rsid w:val="55F66200"/>
    <w:rsid w:val="560501F2"/>
    <w:rsid w:val="56066443"/>
    <w:rsid w:val="560C1580"/>
    <w:rsid w:val="56EB732C"/>
    <w:rsid w:val="57064221"/>
    <w:rsid w:val="570F67B8"/>
    <w:rsid w:val="57680A38"/>
    <w:rsid w:val="57815A90"/>
    <w:rsid w:val="57E74053"/>
    <w:rsid w:val="57F64296"/>
    <w:rsid w:val="584C6310"/>
    <w:rsid w:val="585F1E3B"/>
    <w:rsid w:val="58670CF0"/>
    <w:rsid w:val="58773629"/>
    <w:rsid w:val="588B2C30"/>
    <w:rsid w:val="58A43CF2"/>
    <w:rsid w:val="58C60C50"/>
    <w:rsid w:val="591470C9"/>
    <w:rsid w:val="5923730C"/>
    <w:rsid w:val="594302D2"/>
    <w:rsid w:val="594554D5"/>
    <w:rsid w:val="59561490"/>
    <w:rsid w:val="596D0588"/>
    <w:rsid w:val="598A113A"/>
    <w:rsid w:val="598E5973"/>
    <w:rsid w:val="5999312B"/>
    <w:rsid w:val="5A7F67C4"/>
    <w:rsid w:val="5ACC7530"/>
    <w:rsid w:val="5AD85ED5"/>
    <w:rsid w:val="5AFF16B3"/>
    <w:rsid w:val="5B1C3EC5"/>
    <w:rsid w:val="5B6A50BB"/>
    <w:rsid w:val="5B7359C9"/>
    <w:rsid w:val="5C050F4B"/>
    <w:rsid w:val="5C361D86"/>
    <w:rsid w:val="5C384E7D"/>
    <w:rsid w:val="5C45759A"/>
    <w:rsid w:val="5C4E46A0"/>
    <w:rsid w:val="5C507018"/>
    <w:rsid w:val="5C630938"/>
    <w:rsid w:val="5C7B745F"/>
    <w:rsid w:val="5CB564CD"/>
    <w:rsid w:val="5D157787"/>
    <w:rsid w:val="5D5B20CB"/>
    <w:rsid w:val="5D8A140E"/>
    <w:rsid w:val="5D9F2CDA"/>
    <w:rsid w:val="5DBA0234"/>
    <w:rsid w:val="5DC34546"/>
    <w:rsid w:val="5DC70516"/>
    <w:rsid w:val="5DD21B0F"/>
    <w:rsid w:val="5DD43A71"/>
    <w:rsid w:val="5DE84681"/>
    <w:rsid w:val="5DF162A8"/>
    <w:rsid w:val="5E021BE6"/>
    <w:rsid w:val="5E033269"/>
    <w:rsid w:val="5E1D2D7B"/>
    <w:rsid w:val="5E3C677A"/>
    <w:rsid w:val="5E96232F"/>
    <w:rsid w:val="5EB72A3D"/>
    <w:rsid w:val="5F131BD1"/>
    <w:rsid w:val="5F5A6D0B"/>
    <w:rsid w:val="5F5F0972"/>
    <w:rsid w:val="5F624DFA"/>
    <w:rsid w:val="5F6B5569"/>
    <w:rsid w:val="5F7B5DB3"/>
    <w:rsid w:val="5F7C7657"/>
    <w:rsid w:val="5F84662B"/>
    <w:rsid w:val="5FBF7663"/>
    <w:rsid w:val="5FF46D36"/>
    <w:rsid w:val="602120CC"/>
    <w:rsid w:val="602776E2"/>
    <w:rsid w:val="605E50CE"/>
    <w:rsid w:val="609B544C"/>
    <w:rsid w:val="60D64C64"/>
    <w:rsid w:val="613666B2"/>
    <w:rsid w:val="61474A38"/>
    <w:rsid w:val="61811074"/>
    <w:rsid w:val="621A4BF4"/>
    <w:rsid w:val="62570027"/>
    <w:rsid w:val="6260512D"/>
    <w:rsid w:val="6282499E"/>
    <w:rsid w:val="62BC7E8A"/>
    <w:rsid w:val="62DF285B"/>
    <w:rsid w:val="62EA49F7"/>
    <w:rsid w:val="62EE44E7"/>
    <w:rsid w:val="62F13FD7"/>
    <w:rsid w:val="63155F18"/>
    <w:rsid w:val="634467FD"/>
    <w:rsid w:val="64395C36"/>
    <w:rsid w:val="64491CD0"/>
    <w:rsid w:val="645760BC"/>
    <w:rsid w:val="64631C69"/>
    <w:rsid w:val="64966BE4"/>
    <w:rsid w:val="64A82F69"/>
    <w:rsid w:val="64C03C61"/>
    <w:rsid w:val="64EA6F30"/>
    <w:rsid w:val="64FB113D"/>
    <w:rsid w:val="65073BFF"/>
    <w:rsid w:val="651421FF"/>
    <w:rsid w:val="652361D8"/>
    <w:rsid w:val="65387C9C"/>
    <w:rsid w:val="657607C4"/>
    <w:rsid w:val="65864EAB"/>
    <w:rsid w:val="658B0713"/>
    <w:rsid w:val="65921AA2"/>
    <w:rsid w:val="659550EE"/>
    <w:rsid w:val="65D8322D"/>
    <w:rsid w:val="65E322FD"/>
    <w:rsid w:val="66140709"/>
    <w:rsid w:val="66756CCD"/>
    <w:rsid w:val="6692162D"/>
    <w:rsid w:val="66B75538"/>
    <w:rsid w:val="66DD4F9F"/>
    <w:rsid w:val="66EA7B14"/>
    <w:rsid w:val="671309C0"/>
    <w:rsid w:val="67177D85"/>
    <w:rsid w:val="672506F4"/>
    <w:rsid w:val="67423054"/>
    <w:rsid w:val="67562ECD"/>
    <w:rsid w:val="67566AFF"/>
    <w:rsid w:val="67BB4BB4"/>
    <w:rsid w:val="684E59A6"/>
    <w:rsid w:val="6852251D"/>
    <w:rsid w:val="6864197B"/>
    <w:rsid w:val="6885769C"/>
    <w:rsid w:val="689A0C6D"/>
    <w:rsid w:val="68A65864"/>
    <w:rsid w:val="68EC771B"/>
    <w:rsid w:val="68FA3E26"/>
    <w:rsid w:val="69163EF1"/>
    <w:rsid w:val="696B139F"/>
    <w:rsid w:val="699F653B"/>
    <w:rsid w:val="69B00415"/>
    <w:rsid w:val="69E61BEC"/>
    <w:rsid w:val="6A220F1A"/>
    <w:rsid w:val="6A723C50"/>
    <w:rsid w:val="6AB9362D"/>
    <w:rsid w:val="6AE54422"/>
    <w:rsid w:val="6B855C05"/>
    <w:rsid w:val="6BFB5EC7"/>
    <w:rsid w:val="6BFD4436"/>
    <w:rsid w:val="6C08348F"/>
    <w:rsid w:val="6C0C7883"/>
    <w:rsid w:val="6C2E1DF8"/>
    <w:rsid w:val="6C6121CE"/>
    <w:rsid w:val="6C613F7C"/>
    <w:rsid w:val="6C6B6BA9"/>
    <w:rsid w:val="6C7C0DB6"/>
    <w:rsid w:val="6C8E2897"/>
    <w:rsid w:val="6CD7423E"/>
    <w:rsid w:val="6CEF0180"/>
    <w:rsid w:val="6D2A0812"/>
    <w:rsid w:val="6D374CDD"/>
    <w:rsid w:val="6D4318D3"/>
    <w:rsid w:val="6D454822"/>
    <w:rsid w:val="6DAF6F69"/>
    <w:rsid w:val="6DC11232"/>
    <w:rsid w:val="6DF46479"/>
    <w:rsid w:val="6E0E213F"/>
    <w:rsid w:val="6E1119D2"/>
    <w:rsid w:val="6E185DF8"/>
    <w:rsid w:val="6E66587A"/>
    <w:rsid w:val="6E943959"/>
    <w:rsid w:val="6E9D5013"/>
    <w:rsid w:val="6EAB7730"/>
    <w:rsid w:val="6EB16F39"/>
    <w:rsid w:val="6EB802EE"/>
    <w:rsid w:val="6EE84FEF"/>
    <w:rsid w:val="6EE90259"/>
    <w:rsid w:val="6EF235B1"/>
    <w:rsid w:val="6F54013B"/>
    <w:rsid w:val="6F7678FA"/>
    <w:rsid w:val="6FAA2D41"/>
    <w:rsid w:val="701A2DBF"/>
    <w:rsid w:val="70BB79D3"/>
    <w:rsid w:val="70CC4BC0"/>
    <w:rsid w:val="70D0347E"/>
    <w:rsid w:val="70D80585"/>
    <w:rsid w:val="70DA42FD"/>
    <w:rsid w:val="711D243B"/>
    <w:rsid w:val="71290DE0"/>
    <w:rsid w:val="716342F2"/>
    <w:rsid w:val="71695ED3"/>
    <w:rsid w:val="71DE0262"/>
    <w:rsid w:val="72190E55"/>
    <w:rsid w:val="721E646B"/>
    <w:rsid w:val="724203AC"/>
    <w:rsid w:val="731E2BC7"/>
    <w:rsid w:val="73375A36"/>
    <w:rsid w:val="73974727"/>
    <w:rsid w:val="73BB0416"/>
    <w:rsid w:val="73D6524F"/>
    <w:rsid w:val="73DB1CB9"/>
    <w:rsid w:val="73E3796C"/>
    <w:rsid w:val="7400051E"/>
    <w:rsid w:val="740A6CA7"/>
    <w:rsid w:val="74583EB6"/>
    <w:rsid w:val="745D327B"/>
    <w:rsid w:val="74714F78"/>
    <w:rsid w:val="74786307"/>
    <w:rsid w:val="74980757"/>
    <w:rsid w:val="74B11819"/>
    <w:rsid w:val="74CE6EC4"/>
    <w:rsid w:val="74D55507"/>
    <w:rsid w:val="74DD6508"/>
    <w:rsid w:val="75047B9A"/>
    <w:rsid w:val="75661A51"/>
    <w:rsid w:val="75717B71"/>
    <w:rsid w:val="75B275F6"/>
    <w:rsid w:val="75BD1968"/>
    <w:rsid w:val="75D51537"/>
    <w:rsid w:val="75F220E9"/>
    <w:rsid w:val="764D5571"/>
    <w:rsid w:val="768C6099"/>
    <w:rsid w:val="76B949B4"/>
    <w:rsid w:val="771A0A72"/>
    <w:rsid w:val="77291418"/>
    <w:rsid w:val="77440722"/>
    <w:rsid w:val="775A6197"/>
    <w:rsid w:val="77925931"/>
    <w:rsid w:val="77B452E7"/>
    <w:rsid w:val="77BA09E4"/>
    <w:rsid w:val="77BF424C"/>
    <w:rsid w:val="78061E7B"/>
    <w:rsid w:val="786170B2"/>
    <w:rsid w:val="786F17CF"/>
    <w:rsid w:val="789456D9"/>
    <w:rsid w:val="78AE2660"/>
    <w:rsid w:val="78D67AA0"/>
    <w:rsid w:val="78F47F26"/>
    <w:rsid w:val="79006A46"/>
    <w:rsid w:val="79031B5E"/>
    <w:rsid w:val="791D747D"/>
    <w:rsid w:val="792F0277"/>
    <w:rsid w:val="79621333"/>
    <w:rsid w:val="797352EE"/>
    <w:rsid w:val="79BA116F"/>
    <w:rsid w:val="79D2573A"/>
    <w:rsid w:val="7A0A19CE"/>
    <w:rsid w:val="7A0D129F"/>
    <w:rsid w:val="7A245426"/>
    <w:rsid w:val="7A2465E9"/>
    <w:rsid w:val="7A4D1FE3"/>
    <w:rsid w:val="7AF51A17"/>
    <w:rsid w:val="7AF67F85"/>
    <w:rsid w:val="7B2C7E4B"/>
    <w:rsid w:val="7B424F78"/>
    <w:rsid w:val="7B672C31"/>
    <w:rsid w:val="7B68255B"/>
    <w:rsid w:val="7B8A691F"/>
    <w:rsid w:val="7BB16DAF"/>
    <w:rsid w:val="7BBE7F23"/>
    <w:rsid w:val="7BC938EC"/>
    <w:rsid w:val="7C0466D2"/>
    <w:rsid w:val="7C3A0345"/>
    <w:rsid w:val="7C435FEF"/>
    <w:rsid w:val="7C594C70"/>
    <w:rsid w:val="7C817D22"/>
    <w:rsid w:val="7C896BD7"/>
    <w:rsid w:val="7C907F65"/>
    <w:rsid w:val="7C9C690A"/>
    <w:rsid w:val="7CB1685A"/>
    <w:rsid w:val="7CB63864"/>
    <w:rsid w:val="7CBE2D25"/>
    <w:rsid w:val="7CD73DE6"/>
    <w:rsid w:val="7CE02C9B"/>
    <w:rsid w:val="7CEC1440"/>
    <w:rsid w:val="7D0F63A0"/>
    <w:rsid w:val="7D290C25"/>
    <w:rsid w:val="7D2D3A06"/>
    <w:rsid w:val="7DBB54B6"/>
    <w:rsid w:val="7DBB7264"/>
    <w:rsid w:val="7DC07B10"/>
    <w:rsid w:val="7E5F4093"/>
    <w:rsid w:val="7E90249F"/>
    <w:rsid w:val="7ED06D3F"/>
    <w:rsid w:val="7EDB5E10"/>
    <w:rsid w:val="7EEB3B79"/>
    <w:rsid w:val="7EFB3DBC"/>
    <w:rsid w:val="7F086D75"/>
    <w:rsid w:val="7F0A3FFF"/>
    <w:rsid w:val="7F7D6EC7"/>
    <w:rsid w:val="7FCE327F"/>
    <w:rsid w:val="7FE9630A"/>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customStyle="1" w:styleId="2">
    <w:name w:val="Heading1"/>
    <w:basedOn w:val="1"/>
    <w:next w:val="1"/>
    <w:autoRedefine/>
    <w:qFormat/>
    <w:uiPriority w:val="0"/>
    <w:pPr>
      <w:keepNext/>
      <w:keepLines/>
      <w:spacing w:before="340" w:after="330" w:line="578" w:lineRule="auto"/>
      <w:ind w:left="425" w:hanging="425"/>
    </w:pPr>
    <w:rPr>
      <w:rFonts w:eastAsia="仿宋_GB2312"/>
      <w:b/>
      <w:kern w:val="44"/>
      <w:sz w:val="44"/>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61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qFormat/>
    <w:uiPriority w:val="0"/>
    <w:pPr>
      <w:shd w:val="clear" w:color="auto" w:fill="000080"/>
    </w:pPr>
  </w:style>
  <w:style w:type="paragraph" w:styleId="20">
    <w:name w:val="annotation text"/>
    <w:basedOn w:val="1"/>
    <w:link w:val="616"/>
    <w:qFormat/>
    <w:uiPriority w:val="99"/>
    <w:pPr>
      <w:jc w:val="left"/>
    </w:pPr>
  </w:style>
  <w:style w:type="paragraph" w:styleId="21">
    <w:name w:val="Salutation"/>
    <w:basedOn w:val="1"/>
    <w:next w:val="1"/>
    <w:link w:val="484"/>
    <w:qFormat/>
    <w:uiPriority w:val="0"/>
    <w:rPr>
      <w:rFonts w:ascii="仿宋_GB2312" w:eastAsia="仿宋_GB2312"/>
      <w:sz w:val="28"/>
      <w:szCs w:val="20"/>
    </w:rPr>
  </w:style>
  <w:style w:type="paragraph" w:styleId="22">
    <w:name w:val="Body Text 3"/>
    <w:basedOn w:val="1"/>
    <w:link w:val="583"/>
    <w:qFormat/>
    <w:uiPriority w:val="0"/>
    <w:pPr>
      <w:jc w:val="center"/>
    </w:pPr>
    <w:rPr>
      <w:szCs w:val="20"/>
    </w:rPr>
  </w:style>
  <w:style w:type="paragraph" w:styleId="23">
    <w:name w:val="Body Text"/>
    <w:basedOn w:val="1"/>
    <w:next w:val="24"/>
    <w:link w:val="514"/>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547"/>
    <w:qFormat/>
    <w:uiPriority w:val="0"/>
    <w:pPr>
      <w:ind w:firstLine="420"/>
    </w:pPr>
    <w:rPr>
      <w:szCs w:val="20"/>
    </w:rPr>
  </w:style>
  <w:style w:type="paragraph" w:styleId="25">
    <w:name w:val="Body Text Indent"/>
    <w:basedOn w:val="1"/>
    <w:link w:val="47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491"/>
    <w:qFormat/>
    <w:uiPriority w:val="0"/>
    <w:rPr>
      <w:rFonts w:ascii="宋体" w:hAnsi="Courier New"/>
      <w:szCs w:val="20"/>
    </w:rPr>
  </w:style>
  <w:style w:type="paragraph" w:styleId="34">
    <w:name w:val="index 7"/>
    <w:basedOn w:val="1"/>
    <w:next w:val="1"/>
    <w:qFormat/>
    <w:uiPriority w:val="0"/>
    <w:pPr>
      <w:ind w:left="1200" w:leftChars="1200"/>
    </w:pPr>
    <w:rPr>
      <w:rFonts w:ascii="Times New Roman" w:hAnsi="Times New Roman"/>
      <w:szCs w:val="24"/>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600"/>
    <w:qFormat/>
    <w:uiPriority w:val="0"/>
    <w:pPr>
      <w:ind w:left="100" w:leftChars="2500"/>
    </w:pPr>
    <w:rPr>
      <w:rFonts w:ascii="宋体"/>
      <w:sz w:val="24"/>
      <w:szCs w:val="21"/>
      <w:lang w:val="zh-CN"/>
    </w:rPr>
  </w:style>
  <w:style w:type="paragraph" w:styleId="38">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9">
    <w:name w:val="Balloon Text"/>
    <w:basedOn w:val="1"/>
    <w:link w:val="617"/>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475"/>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90"/>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qFormat/>
    <w:uiPriority w:val="0"/>
    <w:rPr>
      <w:b/>
      <w:bCs/>
    </w:rPr>
  </w:style>
  <w:style w:type="paragraph" w:styleId="61">
    <w:name w:val="Body Text First Indent 2"/>
    <w:basedOn w:val="25"/>
    <w:link w:val="504"/>
    <w:qFormat/>
    <w:uiPriority w:val="0"/>
    <w:pPr>
      <w:adjustRightInd/>
      <w:spacing w:after="120" w:line="240" w:lineRule="auto"/>
      <w:ind w:left="420" w:leftChars="200" w:firstLine="210"/>
    </w:pPr>
    <w:rPr>
      <w:sz w:val="21"/>
    </w:rPr>
  </w:style>
  <w:style w:type="table" w:styleId="63">
    <w:name w:val="Table Grid"/>
    <w:basedOn w:val="6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74">
    <w:name w:val="Default"/>
    <w:next w:val="75"/>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4"/>
    <w:next w:val="1"/>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74"/>
    <w:next w:val="74"/>
    <w:qFormat/>
    <w:uiPriority w:val="0"/>
    <w:pPr>
      <w:spacing w:after="68"/>
    </w:pPr>
    <w:rPr>
      <w:rFonts w:ascii="FHLHE E+ Futura Bk" w:eastAsia="FHLHE E+ Futura Bk" w:cs="Times New Roman"/>
      <w:color w:val="auto"/>
    </w:rPr>
  </w:style>
  <w:style w:type="paragraph" w:customStyle="1" w:styleId="10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6"/>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List Paragraph"/>
    <w:basedOn w:val="1"/>
    <w:qFormat/>
    <w:uiPriority w:val="0"/>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6"/>
    <w:qFormat/>
    <w:uiPriority w:val="0"/>
    <w:pPr>
      <w:numPr>
        <w:ilvl w:val="0"/>
        <w:numId w:val="0"/>
      </w:numPr>
      <w:tabs>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1">
    <w:name w:val="无间隔1"/>
    <w:link w:val="533"/>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1"/>
    <w:qFormat/>
    <w:uiPriority w:val="0"/>
    <w:pPr>
      <w:tabs>
        <w:tab w:val="left" w:pos="2356"/>
      </w:tabs>
    </w:pPr>
  </w:style>
  <w:style w:type="paragraph" w:customStyle="1" w:styleId="173">
    <w:name w:val="样式 标题 4h4H4Fab-4T5Ref Heading 1rh1Heading sqlsect 1.2.3...."/>
    <w:basedOn w:val="6"/>
    <w:link w:val="561"/>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clear" w:pos="1260"/>
      </w:tabs>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5"/>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4">
    <w:name w:val="!大节"/>
    <w:basedOn w:val="4"/>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6"/>
    <w:qFormat/>
    <w:uiPriority w:val="0"/>
    <w:pPr>
      <w:numPr>
        <w:ilvl w:val="0"/>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Lines="50" w:afterLines="50" w:line="360" w:lineRule="auto"/>
      <w:ind w:firstLine="422" w:firstLineChars="200"/>
    </w:pPr>
    <w:rPr>
      <w:b/>
      <w:bCs/>
      <w:szCs w:val="21"/>
    </w:rPr>
  </w:style>
  <w:style w:type="paragraph" w:customStyle="1" w:styleId="202">
    <w:name w:val="标题五"/>
    <w:basedOn w:val="1"/>
    <w:qFormat/>
    <w:uiPriority w:val="0"/>
    <w:pPr>
      <w:adjustRightInd/>
      <w:spacing w:beforeLines="50" w:line="360" w:lineRule="auto"/>
    </w:pPr>
    <w:rPr>
      <w:b/>
      <w:sz w:val="24"/>
    </w:rPr>
  </w:style>
  <w:style w:type="paragraph" w:customStyle="1" w:styleId="203">
    <w:name w:val="样式 标题 3H3 + 两端对齐"/>
    <w:basedOn w:val="5"/>
    <w:qFormat/>
    <w:uiPriority w:val="0"/>
    <w:pPr>
      <w:keepLines w:val="0"/>
      <w:numPr>
        <w:ilvl w:val="0"/>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3"/>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6"/>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8"/>
    <w:next w:val="1"/>
    <w:qFormat/>
    <w:uiPriority w:val="0"/>
    <w:pPr>
      <w:numPr>
        <w:ilvl w:val="0"/>
        <w:numId w:val="5"/>
      </w:numPr>
      <w:tabs>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3"/>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6"/>
    <w:qFormat/>
    <w:uiPriority w:val="0"/>
    <w:pPr>
      <w:snapToGrid w:val="0"/>
      <w:spacing w:line="360" w:lineRule="auto"/>
    </w:pPr>
    <w:rPr>
      <w:rFonts w:ascii="宋体"/>
      <w:b/>
      <w:sz w:val="24"/>
      <w:szCs w:val="20"/>
    </w:rPr>
  </w:style>
  <w:style w:type="paragraph" w:customStyle="1" w:styleId="232">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9">
    <w:name w:val="4"/>
    <w:basedOn w:val="1"/>
    <w:next w:val="38"/>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74"/>
    <w:next w:val="74"/>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3"/>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3"/>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4"/>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customStyle="1"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4"/>
    <w:qFormat/>
    <w:uiPriority w:val="0"/>
    <w:pPr>
      <w:numPr>
        <w:ilvl w:val="0"/>
        <w:numId w:val="0"/>
      </w:numPr>
      <w:tabs>
        <w:tab w:val="clear" w:pos="432"/>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6"/>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5"/>
    <w:next w:val="1"/>
    <w:qFormat/>
    <w:uiPriority w:val="0"/>
    <w:pPr>
      <w:numPr>
        <w:ilvl w:val="0"/>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Lines="50"/>
      <w:ind w:firstLine="200" w:firstLineChars="200"/>
    </w:pPr>
    <w:rPr>
      <w:kern w:val="0"/>
      <w:sz w:val="24"/>
      <w:szCs w:val="20"/>
    </w:rPr>
  </w:style>
  <w:style w:type="paragraph" w:customStyle="1" w:styleId="33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6"/>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5"/>
    <w:qFormat/>
    <w:uiPriority w:val="0"/>
    <w:pPr>
      <w:numPr>
        <w:ilvl w:val="0"/>
        <w:numId w:val="4"/>
      </w:numPr>
      <w:tabs>
        <w:tab w:val="clear" w:pos="90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6"/>
    <w:link w:val="554"/>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4"/>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19"/>
    <w:qFormat/>
    <w:uiPriority w:val="0"/>
    <w:pPr>
      <w:snapToGrid w:val="0"/>
      <w:spacing w:line="360" w:lineRule="auto"/>
    </w:pPr>
  </w:style>
  <w:style w:type="paragraph" w:customStyle="1" w:styleId="374">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4"/>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3"/>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Id w:val="0"/>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7"/>
    <w:next w:val="1"/>
    <w:qFormat/>
    <w:uiPriority w:val="0"/>
    <w:pPr>
      <w:numPr>
        <w:ilvl w:val="0"/>
        <w:numId w:val="5"/>
      </w:numPr>
      <w:tabs>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33"/>
    <w:next w:val="23"/>
    <w:qFormat/>
    <w:uiPriority w:val="0"/>
    <w:pPr>
      <w:adjustRightInd/>
      <w:ind w:firstLine="200" w:firstLineChars="200"/>
    </w:pPr>
    <w:rPr>
      <w:rFonts w:ascii="Arial" w:hAnsi="Arial"/>
      <w:spacing w:val="-5"/>
      <w:kern w:val="0"/>
      <w:sz w:val="24"/>
      <w:szCs w:val="20"/>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7"/>
    <w:qFormat/>
    <w:uiPriority w:val="0"/>
    <w:pPr>
      <w:numPr>
        <w:ilvl w:val="0"/>
        <w:numId w:val="4"/>
      </w:numPr>
      <w:tabs>
        <w:tab w:val="clear" w:pos="1008"/>
      </w:tabs>
      <w:adjustRightInd/>
    </w:pPr>
  </w:style>
  <w:style w:type="paragraph" w:customStyle="1" w:styleId="413">
    <w:name w:val="样式 标题 3标题 3 Char第二层条h33Bold Headbh章标题1小标题level_3PIM 3..."/>
    <w:basedOn w:val="5"/>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3"/>
    <w:next w:val="1"/>
    <w:qFormat/>
    <w:uiPriority w:val="0"/>
    <w:pPr>
      <w:numPr>
        <w:ilvl w:val="0"/>
        <w:numId w:val="5"/>
      </w:numPr>
      <w:tabs>
        <w:tab w:val="clear" w:pos="432"/>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5"/>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3"/>
    <w:qFormat/>
    <w:uiPriority w:val="0"/>
    <w:pPr>
      <w:numPr>
        <w:ilvl w:val="0"/>
        <w:numId w:val="0"/>
      </w:numPr>
      <w:tabs>
        <w:tab w:val="clear" w:pos="432"/>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Lines="50"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Char"/>
    <w:link w:val="42"/>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qFormat/>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7"/>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6"/>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4"/>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1"/>
    <w:qFormat/>
    <w:uiPriority w:val="0"/>
    <w:rPr>
      <w:rFonts w:ascii="仿宋_GB2312" w:eastAsia="仿宋_GB2312"/>
      <w:kern w:val="2"/>
      <w:sz w:val="24"/>
      <w:lang w:val="en-US" w:eastAsia="zh-CN" w:bidi="ar-SA"/>
    </w:rPr>
  </w:style>
  <w:style w:type="character" w:customStyle="1" w:styleId="465">
    <w:name w:val="Comment Text Char"/>
    <w:qFormat/>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Char"/>
    <w:link w:val="10"/>
    <w:qFormat/>
    <w:uiPriority w:val="0"/>
    <w:rPr>
      <w:rFonts w:ascii="Arial" w:hAnsi="Arial" w:eastAsia="黑体"/>
      <w:kern w:val="2"/>
      <w:sz w:val="24"/>
      <w:szCs w:val="24"/>
    </w:rPr>
  </w:style>
  <w:style w:type="character" w:customStyle="1" w:styleId="474">
    <w:name w:val="冯广丽 Char"/>
    <w:link w:val="237"/>
    <w:qFormat/>
    <w:uiPriority w:val="0"/>
    <w:rPr>
      <w:rFonts w:ascii="宋体" w:hAnsi="宋体"/>
      <w:kern w:val="2"/>
      <w:sz w:val="24"/>
      <w:szCs w:val="22"/>
    </w:rPr>
  </w:style>
  <w:style w:type="character" w:customStyle="1" w:styleId="475">
    <w:name w:val="脚注文本 Char"/>
    <w:link w:val="50"/>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25"/>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4"/>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Char"/>
    <w:link w:val="9"/>
    <w:qFormat/>
    <w:uiPriority w:val="0"/>
    <w:rPr>
      <w:b/>
      <w:bCs/>
      <w:kern w:val="2"/>
      <w:sz w:val="24"/>
      <w:szCs w:val="24"/>
    </w:rPr>
  </w:style>
  <w:style w:type="character" w:customStyle="1" w:styleId="484">
    <w:name w:val="称呼 Char"/>
    <w:link w:val="21"/>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Char"/>
    <w:link w:val="47"/>
    <w:qFormat/>
    <w:uiPriority w:val="0"/>
    <w:rPr>
      <w:rFonts w:ascii="Arial" w:hAnsi="Arial" w:eastAsia="隶书"/>
      <w:b/>
      <w:bCs/>
      <w:kern w:val="28"/>
      <w:sz w:val="44"/>
      <w:szCs w:val="32"/>
      <w:lang w:val="en-US" w:eastAsia="zh-CN" w:bidi="ar-SA"/>
    </w:rPr>
  </w:style>
  <w:style w:type="character" w:customStyle="1" w:styleId="491">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_7802c35d-a7d5-483c-ad67-f53103fdfb58"/>
    <w:qFormat/>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5"/>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首行缩进 2 Char"/>
    <w:link w:val="61"/>
    <w:qFormat/>
    <w:uiPriority w:val="0"/>
    <w:rPr>
      <w:rFonts w:ascii="宋体" w:hAnsi="宋体"/>
      <w:kern w:val="2"/>
      <w:sz w:val="21"/>
      <w:szCs w:val="24"/>
    </w:rPr>
  </w:style>
  <w:style w:type="character" w:customStyle="1" w:styleId="505">
    <w:name w:val="正文文本缩进 2 Char"/>
    <w:link w:val="38"/>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7"/>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Char"/>
    <w:link w:val="11"/>
    <w:qFormat/>
    <w:uiPriority w:val="0"/>
    <w:rPr>
      <w:rFonts w:ascii="Arial" w:hAnsi="Arial" w:eastAsia="黑体"/>
      <w:kern w:val="2"/>
      <w:sz w:val="21"/>
      <w:szCs w:val="21"/>
    </w:rPr>
  </w:style>
  <w:style w:type="character" w:customStyle="1" w:styleId="522">
    <w:name w:val="md"/>
    <w:basedOn w:val="64"/>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1"/>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4"/>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Char"/>
    <w:link w:val="57"/>
    <w:qFormat/>
    <w:uiPriority w:val="0"/>
    <w:rPr>
      <w:rFonts w:ascii="黑体" w:hAnsi="Courier New" w:eastAsia="黑体"/>
    </w:rPr>
  </w:style>
  <w:style w:type="character" w:customStyle="1" w:styleId="546">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7">
    <w:name w:val="正文首行缩进 Char"/>
    <w:link w:val="24"/>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Char"/>
    <w:link w:val="3"/>
    <w:qFormat/>
    <w:uiPriority w:val="0"/>
    <w:rPr>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1"/>
    <w:qFormat/>
    <w:uiPriority w:val="0"/>
    <w:rPr>
      <w:rFonts w:ascii="Verdana" w:hAnsi="Verdana"/>
      <w:b/>
      <w:bCs/>
      <w:color w:val="4A82CA"/>
      <w:sz w:val="17"/>
      <w:szCs w:val="17"/>
    </w:rPr>
  </w:style>
  <w:style w:type="character" w:customStyle="1" w:styleId="554">
    <w:name w:val="标题4-dyf Char"/>
    <w:link w:val="349"/>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uiPriority w:val="0"/>
    <w:rPr>
      <w:rFonts w:ascii="宋体" w:hAnsi="宋体" w:eastAsia="宋体"/>
      <w:b/>
      <w:kern w:val="2"/>
      <w:sz w:val="24"/>
      <w:szCs w:val="24"/>
      <w:lang w:val="en-US" w:eastAsia="zh-CN" w:bidi="ar-SA"/>
    </w:rPr>
  </w:style>
  <w:style w:type="character" w:customStyle="1" w:styleId="564">
    <w:name w:val="Document Map Char"/>
    <w:qFormat/>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Char"/>
    <w:link w:val="30"/>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Char"/>
    <w:link w:val="7"/>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qFormat/>
    <w:uiPriority w:val="0"/>
    <w:rPr>
      <w:rFonts w:eastAsia="宋体"/>
      <w:kern w:val="2"/>
      <w:sz w:val="21"/>
      <w:szCs w:val="24"/>
      <w:lang w:val="en-US" w:eastAsia="zh-CN" w:bidi="ar-SA"/>
    </w:rPr>
  </w:style>
  <w:style w:type="character" w:customStyle="1" w:styleId="579">
    <w:name w:val="hui"/>
    <w:basedOn w:val="64"/>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Char"/>
    <w:link w:val="22"/>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8"/>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Char"/>
    <w:link w:val="53"/>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4"/>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Char"/>
    <w:link w:val="37"/>
    <w:qFormat/>
    <w:uiPriority w:val="0"/>
    <w:rPr>
      <w:rFonts w:ascii="宋体"/>
      <w:kern w:val="2"/>
      <w:sz w:val="24"/>
      <w:szCs w:val="21"/>
      <w:lang w:val="zh-CN"/>
    </w:rPr>
  </w:style>
  <w:style w:type="character" w:customStyle="1" w:styleId="601">
    <w:name w:val="标题 4 Char"/>
    <w:link w:val="6"/>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qFormat/>
    <w:uiPriority w:val="0"/>
    <w:rPr>
      <w:rFonts w:ascii="Times New Roman" w:hAnsi="Times New Roman" w:eastAsia="宋体" w:cs="Times New Roman"/>
      <w:sz w:val="20"/>
      <w:szCs w:val="20"/>
    </w:rPr>
  </w:style>
  <w:style w:type="character" w:customStyle="1" w:styleId="606">
    <w:name w:val="Char Char31"/>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2">
    <w:name w:val="标题 4 Char1"/>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Char"/>
    <w:link w:val="8"/>
    <w:qFormat/>
    <w:uiPriority w:val="0"/>
    <w:rPr>
      <w:rFonts w:ascii="Arial" w:hAnsi="Arial" w:eastAsia="黑体"/>
      <w:b/>
      <w:bCs/>
      <w:kern w:val="2"/>
      <w:sz w:val="24"/>
      <w:szCs w:val="24"/>
    </w:rPr>
  </w:style>
  <w:style w:type="character" w:customStyle="1" w:styleId="615">
    <w:name w:val="正文缩进 Char2"/>
    <w:link w:val="16"/>
    <w:qFormat/>
    <w:uiPriority w:val="0"/>
    <w:rPr>
      <w:rFonts w:ascii="宋体" w:eastAsia="宋体"/>
      <w:snapToGrid w:val="0"/>
      <w:color w:val="000000"/>
      <w:kern w:val="28"/>
      <w:sz w:val="28"/>
      <w:lang w:val="en-US" w:eastAsia="zh-CN" w:bidi="ar-SA"/>
    </w:rPr>
  </w:style>
  <w:style w:type="character" w:customStyle="1" w:styleId="616">
    <w:name w:val="批注文字 Char1"/>
    <w:link w:val="20"/>
    <w:qFormat/>
    <w:uiPriority w:val="99"/>
    <w:rPr>
      <w:kern w:val="2"/>
      <w:sz w:val="21"/>
      <w:szCs w:val="24"/>
    </w:rPr>
  </w:style>
  <w:style w:type="character" w:customStyle="1" w:styleId="617">
    <w:name w:val="批注框文本 Char"/>
    <w:link w:val="39"/>
    <w:qFormat/>
    <w:uiPriority w:val="0"/>
    <w:rPr>
      <w:kern w:val="2"/>
      <w:sz w:val="18"/>
      <w:szCs w:val="18"/>
    </w:rPr>
  </w:style>
  <w:style w:type="character" w:customStyle="1" w:styleId="618">
    <w:name w:val="Footer Char_297ca3bb-e6f6-4cc1-9b27-66816fa3cad9"/>
    <w:qFormat/>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74"/>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样式 列表编号 + 段后: 0.5 行"/>
    <w:basedOn w:val="15"/>
    <w:qFormat/>
    <w:uiPriority w:val="2"/>
    <w:pPr>
      <w:spacing w:after="0"/>
      <w:ind w:left="840" w:hanging="420"/>
      <w:contextualSpacing/>
    </w:pPr>
    <w:rPr>
      <w:rFonts w:cs="宋体"/>
    </w:rPr>
  </w:style>
  <w:style w:type="paragraph" w:customStyle="1" w:styleId="635">
    <w:name w:val="Plain Text"/>
    <w:basedOn w:val="636"/>
    <w:qFormat/>
    <w:uiPriority w:val="0"/>
    <w:pPr>
      <w:widowControl/>
      <w:jc w:val="left"/>
    </w:pPr>
    <w:rPr>
      <w:rFonts w:hAnsi="Courier New"/>
    </w:rPr>
  </w:style>
  <w:style w:type="paragraph" w:customStyle="1" w:styleId="636">
    <w:name w:val="Normal"/>
    <w:basedOn w:val="1"/>
    <w:qFormat/>
    <w:uiPriority w:val="0"/>
    <w:rPr>
      <w:rFonts w:ascii="宋体" w:hAnsi="宋体" w:eastAsia="宋体" w:cs="宋体"/>
      <w:szCs w:val="21"/>
    </w:rPr>
  </w:style>
  <w:style w:type="character" w:customStyle="1" w:styleId="637">
    <w:name w:val="NormalCharacter"/>
    <w:semiHidden/>
    <w:qFormat/>
    <w:uiPriority w:val="0"/>
  </w:style>
  <w:style w:type="character" w:customStyle="1" w:styleId="638">
    <w:name w:val="textfont1"/>
    <w:basedOn w:val="64"/>
    <w:qFormat/>
    <w:uiPriority w:val="0"/>
    <w:rPr>
      <w:rFonts w:ascii="Tahoma" w:hAnsi="Tahoma"/>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40966</Words>
  <Characters>43817</Characters>
  <Paragraphs>1856</Paragraphs>
  <TotalTime>7</TotalTime>
  <ScaleCrop>false</ScaleCrop>
  <LinksUpToDate>false</LinksUpToDate>
  <CharactersWithSpaces>50874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2023-03-23T10:29:00Z</dcterms:created>
  <dc:creator>玥</dc:creator>
  <cp:lastModifiedBy>456</cp:lastModifiedBy>
  <cp:lastPrinted>2024-08-02T09:40:00Z</cp:lastPrinted>
  <dcterms:modified xsi:type="dcterms:W3CDTF">2024-08-02T10:53:36Z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83C3E4971D8F4A19B32A245521F0AB36_13</vt:lpwstr>
  </property>
</Properties>
</file>