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40" w:beforeLines="100" w:line="240" w:lineRule="auto"/>
        <w:ind w:right="-107" w:rightChars="-51" w:firstLine="0" w:firstLineChars="0"/>
        <w:jc w:val="center"/>
        <w:textAlignment w:val="auto"/>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嵊州市益嘉配送有限公司（2024-2027）年</w:t>
      </w:r>
    </w:p>
    <w:p>
      <w:pPr>
        <w:keepNext w:val="0"/>
        <w:keepLines w:val="0"/>
        <w:pageBreakBefore w:val="0"/>
        <w:widowControl w:val="0"/>
        <w:kinsoku/>
        <w:wordWrap/>
        <w:overflowPunct/>
        <w:topLinePunct w:val="0"/>
        <w:autoSpaceDE/>
        <w:autoSpaceDN/>
        <w:bidi w:val="0"/>
        <w:adjustRightInd/>
        <w:snapToGrid/>
        <w:spacing w:before="240" w:beforeLines="100" w:line="240" w:lineRule="auto"/>
        <w:ind w:right="-107" w:rightChars="-51" w:firstLine="0" w:firstLineChars="0"/>
        <w:jc w:val="center"/>
        <w:textAlignment w:val="auto"/>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大米采购项目</w:t>
      </w:r>
    </w:p>
    <w:p>
      <w:pPr>
        <w:keepNext w:val="0"/>
        <w:keepLines w:val="0"/>
        <w:pageBreakBefore w:val="0"/>
        <w:widowControl w:val="0"/>
        <w:kinsoku/>
        <w:wordWrap/>
        <w:overflowPunct/>
        <w:topLinePunct w:val="0"/>
        <w:autoSpaceDE/>
        <w:autoSpaceDN/>
        <w:bidi w:val="0"/>
        <w:adjustRightInd/>
        <w:snapToGrid/>
        <w:spacing w:before="240" w:beforeLines="100" w:line="240" w:lineRule="auto"/>
        <w:ind w:right="-107" w:rightChars="-51" w:firstLine="0" w:firstLineChars="0"/>
        <w:jc w:val="center"/>
        <w:textAlignment w:val="auto"/>
        <w:rPr>
          <w:rFonts w:hint="eastAsia" w:ascii="仿宋" w:hAnsi="仿宋" w:eastAsia="仿宋" w:cs="仿宋"/>
          <w:b/>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before="240" w:beforeLines="100" w:line="240" w:lineRule="auto"/>
        <w:ind w:right="-107" w:rightChars="-51" w:firstLine="0" w:firstLineChars="0"/>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w:t>
      </w:r>
      <w:r>
        <w:rPr>
          <w:rFonts w:hint="eastAsia" w:ascii="仿宋" w:hAnsi="仿宋" w:eastAsia="仿宋" w:cs="仿宋"/>
          <w:b/>
          <w:color w:val="auto"/>
          <w:sz w:val="44"/>
          <w:szCs w:val="44"/>
          <w:highlight w:val="none"/>
          <w:lang w:eastAsia="zh-CN"/>
        </w:rPr>
        <w:t>国有企业</w:t>
      </w:r>
      <w:r>
        <w:rPr>
          <w:rFonts w:hint="eastAsia" w:ascii="仿宋" w:hAnsi="仿宋" w:eastAsia="仿宋" w:cs="仿宋"/>
          <w:b/>
          <w:color w:val="auto"/>
          <w:sz w:val="44"/>
          <w:szCs w:val="44"/>
          <w:highlight w:val="none"/>
        </w:rPr>
        <w:t>采购）</w:t>
      </w:r>
    </w:p>
    <w:p>
      <w:pPr>
        <w:keepNext w:val="0"/>
        <w:keepLines w:val="0"/>
        <w:pageBreakBefore w:val="0"/>
        <w:widowControl w:val="0"/>
        <w:kinsoku/>
        <w:wordWrap/>
        <w:overflowPunct/>
        <w:topLinePunct w:val="0"/>
        <w:autoSpaceDE/>
        <w:autoSpaceDN/>
        <w:bidi w:val="0"/>
        <w:adjustRightInd/>
        <w:snapToGrid/>
        <w:spacing w:before="653" w:beforeLines="200" w:line="240" w:lineRule="auto"/>
        <w:ind w:right="-107" w:rightChars="-51" w:firstLine="0" w:firstLineChars="0"/>
        <w:jc w:val="center"/>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color w:val="auto"/>
          <w:sz w:val="36"/>
          <w:szCs w:val="36"/>
          <w:highlight w:val="none"/>
        </w:rPr>
        <w:t>项目编号：</w:t>
      </w:r>
      <w:r>
        <w:rPr>
          <w:rFonts w:hint="eastAsia" w:ascii="仿宋" w:hAnsi="仿宋" w:eastAsia="仿宋" w:cs="仿宋"/>
          <w:b/>
          <w:bCs/>
          <w:color w:val="auto"/>
          <w:sz w:val="36"/>
          <w:szCs w:val="36"/>
          <w:highlight w:val="none"/>
          <w:lang w:eastAsia="zh-CN"/>
        </w:rPr>
        <w:t>SXPZ-H20240603QXY</w:t>
      </w:r>
    </w:p>
    <w:p>
      <w:pPr>
        <w:rPr>
          <w:rFonts w:hint="eastAsia"/>
          <w:lang w:eastAsia="zh-CN"/>
        </w:rPr>
      </w:pPr>
    </w:p>
    <w:p>
      <w:pPr>
        <w:ind w:left="0" w:leftChars="0" w:firstLine="0" w:firstLineChars="0"/>
        <w:rPr>
          <w:rFonts w:hint="eastAsia"/>
          <w:lang w:eastAsia="zh-CN"/>
        </w:rPr>
      </w:pPr>
    </w:p>
    <w:p>
      <w:pPr>
        <w:pStyle w:val="2"/>
        <w:rPr>
          <w:rFonts w:hint="eastAsia"/>
          <w:lang w:eastAsia="zh-CN"/>
        </w:rPr>
      </w:pPr>
    </w:p>
    <w:p>
      <w:pPr>
        <w:pStyle w:val="3"/>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color w:val="auto"/>
          <w:sz w:val="90"/>
          <w:szCs w:val="90"/>
          <w:highlight w:val="none"/>
        </w:rPr>
        <w:t>公</w:t>
      </w:r>
      <w:r>
        <w:rPr>
          <w:rFonts w:hint="eastAsia" w:ascii="仿宋" w:hAnsi="仿宋" w:eastAsia="仿宋" w:cs="仿宋"/>
          <w:b/>
          <w:color w:val="auto"/>
          <w:sz w:val="90"/>
          <w:szCs w:val="90"/>
          <w:highlight w:val="none"/>
          <w:lang w:val="en-US" w:eastAsia="zh-CN"/>
        </w:rPr>
        <w:t xml:space="preserve"> </w:t>
      </w:r>
      <w:r>
        <w:rPr>
          <w:rFonts w:hint="eastAsia" w:ascii="仿宋" w:hAnsi="仿宋" w:eastAsia="仿宋" w:cs="仿宋"/>
          <w:b/>
          <w:color w:val="auto"/>
          <w:sz w:val="90"/>
          <w:szCs w:val="90"/>
          <w:highlight w:val="none"/>
        </w:rPr>
        <w:t>开</w:t>
      </w:r>
      <w:r>
        <w:rPr>
          <w:rFonts w:hint="eastAsia" w:ascii="仿宋" w:hAnsi="仿宋" w:eastAsia="仿宋" w:cs="仿宋"/>
          <w:b/>
          <w:color w:val="auto"/>
          <w:sz w:val="90"/>
          <w:szCs w:val="90"/>
          <w:highlight w:val="none"/>
          <w:lang w:val="en-US" w:eastAsia="zh-CN"/>
        </w:rPr>
        <w:t xml:space="preserve"> </w:t>
      </w:r>
      <w:r>
        <w:rPr>
          <w:rFonts w:hint="eastAsia" w:ascii="仿宋" w:hAnsi="仿宋" w:eastAsia="仿宋" w:cs="仿宋"/>
          <w:b/>
          <w:color w:val="auto"/>
          <w:sz w:val="90"/>
          <w:szCs w:val="90"/>
          <w:highlight w:val="none"/>
        </w:rPr>
        <w:t>招</w:t>
      </w:r>
      <w:r>
        <w:rPr>
          <w:rFonts w:hint="eastAsia" w:ascii="仿宋" w:hAnsi="仿宋" w:eastAsia="仿宋" w:cs="仿宋"/>
          <w:b/>
          <w:color w:val="auto"/>
          <w:sz w:val="90"/>
          <w:szCs w:val="90"/>
          <w:highlight w:val="none"/>
          <w:lang w:val="en-US" w:eastAsia="zh-CN"/>
        </w:rPr>
        <w:t xml:space="preserve"> </w:t>
      </w:r>
      <w:r>
        <w:rPr>
          <w:rFonts w:hint="eastAsia" w:ascii="仿宋" w:hAnsi="仿宋" w:eastAsia="仿宋" w:cs="仿宋"/>
          <w:b/>
          <w:color w:val="auto"/>
          <w:sz w:val="90"/>
          <w:szCs w:val="90"/>
          <w:highlight w:val="none"/>
        </w:rPr>
        <w:t>标</w:t>
      </w:r>
      <w:bookmarkStart w:id="0" w:name="_Toc105829294"/>
      <w:bookmarkStart w:id="1" w:name="_Toc180555915"/>
      <w:r>
        <w:rPr>
          <w:rFonts w:hint="eastAsia" w:ascii="仿宋" w:hAnsi="仿宋" w:eastAsia="仿宋" w:cs="仿宋"/>
          <w:b/>
          <w:color w:val="auto"/>
          <w:sz w:val="90"/>
          <w:szCs w:val="90"/>
          <w:highlight w:val="none"/>
          <w:lang w:val="en-US" w:eastAsia="zh-CN"/>
        </w:rPr>
        <w:t xml:space="preserve"> 文 件</w:t>
      </w:r>
    </w:p>
    <w:p>
      <w:pPr>
        <w:keepNext w:val="0"/>
        <w:keepLines w:val="0"/>
        <w:pageBreakBefore w:val="0"/>
        <w:widowControl w:val="0"/>
        <w:kinsoku/>
        <w:wordWrap/>
        <w:overflowPunct/>
        <w:topLinePunct w:val="0"/>
        <w:autoSpaceDE/>
        <w:autoSpaceDN/>
        <w:bidi w:val="0"/>
        <w:adjustRightInd/>
        <w:snapToGrid/>
        <w:ind w:right="533"/>
        <w:textAlignment w:val="auto"/>
        <w:rPr>
          <w:rFonts w:hint="eastAsia" w:ascii="仿宋" w:hAnsi="仿宋" w:eastAsia="仿宋" w:cs="仿宋"/>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ind w:right="533"/>
        <w:textAlignment w:val="auto"/>
        <w:rPr>
          <w:rFonts w:hint="eastAsia" w:ascii="仿宋" w:hAnsi="仿宋" w:eastAsia="仿宋" w:cs="仿宋"/>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firstLine="0" w:firstLineChars="0"/>
        <w:textAlignment w:val="auto"/>
        <w:rPr>
          <w:rFonts w:hint="eastAsia" w:ascii="仿宋" w:hAnsi="仿宋" w:eastAsia="仿宋" w:cs="仿宋"/>
          <w:b/>
          <w:bCs/>
          <w:color w:val="auto"/>
          <w:sz w:val="30"/>
          <w:szCs w:val="30"/>
          <w:highlight w:val="none"/>
        </w:rPr>
      </w:pPr>
    </w:p>
    <w:p>
      <w:pPr>
        <w:pStyle w:val="2"/>
        <w:rPr>
          <w:rFonts w:hint="eastAsia" w:ascii="仿宋" w:hAnsi="仿宋" w:eastAsia="仿宋" w:cs="仿宋"/>
          <w:b/>
          <w:bCs/>
          <w:color w:val="auto"/>
          <w:sz w:val="30"/>
          <w:szCs w:val="30"/>
          <w:highlight w:val="none"/>
        </w:rPr>
      </w:pP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firstLine="1195" w:firstLineChars="350"/>
        <w:textAlignment w:val="auto"/>
        <w:rPr>
          <w:rFonts w:hint="eastAsia" w:ascii="仿宋" w:hAnsi="仿宋" w:eastAsia="仿宋" w:cs="仿宋"/>
          <w:b/>
          <w:bCs/>
          <w:color w:val="auto"/>
          <w:sz w:val="34"/>
          <w:szCs w:val="34"/>
          <w:highlight w:val="none"/>
        </w:rPr>
      </w:pPr>
      <w:r>
        <w:rPr>
          <w:rFonts w:hint="eastAsia" w:ascii="仿宋" w:hAnsi="仿宋" w:eastAsia="仿宋" w:cs="仿宋"/>
          <w:b/>
          <w:bCs/>
          <w:color w:val="auto"/>
          <w:sz w:val="34"/>
          <w:szCs w:val="34"/>
          <w:highlight w:val="none"/>
        </w:rPr>
        <w:t xml:space="preserve">招标单位: </w:t>
      </w:r>
      <w:r>
        <w:rPr>
          <w:rFonts w:hint="eastAsia" w:ascii="仿宋" w:hAnsi="仿宋" w:eastAsia="仿宋" w:cs="仿宋"/>
          <w:b/>
          <w:bCs/>
          <w:color w:val="auto"/>
          <w:sz w:val="34"/>
          <w:szCs w:val="34"/>
          <w:highlight w:val="none"/>
          <w:lang w:eastAsia="zh-CN"/>
        </w:rPr>
        <w:t>嵊州市益嘉配送有限公司</w:t>
      </w:r>
      <w:r>
        <w:rPr>
          <w:rFonts w:hint="eastAsia" w:ascii="仿宋" w:hAnsi="仿宋" w:eastAsia="仿宋" w:cs="仿宋"/>
          <w:b/>
          <w:bCs/>
          <w:color w:val="auto"/>
          <w:sz w:val="34"/>
          <w:szCs w:val="3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533" w:firstLine="1195" w:firstLineChars="350"/>
        <w:textAlignment w:val="auto"/>
        <w:rPr>
          <w:rFonts w:hint="eastAsia" w:ascii="仿宋" w:hAnsi="仿宋" w:eastAsia="仿宋" w:cs="仿宋"/>
          <w:b/>
          <w:bCs/>
          <w:color w:val="auto"/>
          <w:sz w:val="34"/>
          <w:szCs w:val="34"/>
          <w:highlight w:val="none"/>
          <w:lang w:eastAsia="zh-CN"/>
        </w:rPr>
      </w:pPr>
      <w:r>
        <w:rPr>
          <w:rFonts w:hint="eastAsia" w:ascii="仿宋" w:hAnsi="仿宋" w:eastAsia="仿宋" w:cs="仿宋"/>
          <w:b/>
          <w:bCs/>
          <w:color w:val="auto"/>
          <w:sz w:val="34"/>
          <w:szCs w:val="34"/>
          <w:highlight w:val="none"/>
        </w:rPr>
        <w:t xml:space="preserve">代理机构: </w:t>
      </w:r>
      <w:r>
        <w:rPr>
          <w:rFonts w:hint="eastAsia" w:ascii="仿宋" w:hAnsi="仿宋" w:eastAsia="仿宋" w:cs="仿宋"/>
          <w:b/>
          <w:bCs/>
          <w:color w:val="auto"/>
          <w:sz w:val="34"/>
          <w:szCs w:val="34"/>
          <w:highlight w:val="none"/>
          <w:lang w:eastAsia="zh-CN"/>
        </w:rPr>
        <w:t>绍兴平准招标代理有限公司</w:t>
      </w:r>
    </w:p>
    <w:p>
      <w:pPr>
        <w:pStyle w:val="17"/>
        <w:tabs>
          <w:tab w:val="right" w:leader="dot" w:pos="8478"/>
        </w:tabs>
        <w:spacing w:line="480" w:lineRule="auto"/>
        <w:ind w:firstLine="1195" w:firstLineChars="350"/>
        <w:rPr>
          <w:rFonts w:hint="eastAsia" w:ascii="仿宋" w:hAnsi="仿宋" w:eastAsia="仿宋" w:cs="仿宋"/>
          <w:b/>
          <w:bCs w:val="0"/>
          <w:color w:val="auto"/>
          <w:sz w:val="44"/>
          <w:szCs w:val="44"/>
          <w:highlight w:val="none"/>
        </w:rPr>
      </w:pPr>
      <w:r>
        <w:rPr>
          <w:rFonts w:hint="eastAsia" w:ascii="仿宋" w:hAnsi="仿宋" w:eastAsia="仿宋" w:cs="仿宋"/>
          <w:b/>
          <w:bCs/>
          <w:color w:val="auto"/>
          <w:sz w:val="34"/>
          <w:szCs w:val="34"/>
          <w:highlight w:val="none"/>
        </w:rPr>
        <w:t>日    期: 202</w:t>
      </w:r>
      <w:r>
        <w:rPr>
          <w:rFonts w:hint="eastAsia" w:ascii="仿宋" w:hAnsi="仿宋" w:eastAsia="仿宋" w:cs="仿宋"/>
          <w:b/>
          <w:bCs/>
          <w:color w:val="auto"/>
          <w:sz w:val="34"/>
          <w:szCs w:val="34"/>
          <w:highlight w:val="none"/>
          <w:lang w:val="en-US" w:eastAsia="zh-CN"/>
        </w:rPr>
        <w:t>4</w:t>
      </w:r>
      <w:r>
        <w:rPr>
          <w:rFonts w:hint="eastAsia" w:ascii="仿宋" w:hAnsi="仿宋" w:eastAsia="仿宋" w:cs="仿宋"/>
          <w:b/>
          <w:bCs/>
          <w:color w:val="auto"/>
          <w:sz w:val="34"/>
          <w:szCs w:val="34"/>
          <w:highlight w:val="none"/>
        </w:rPr>
        <w:t>年</w:t>
      </w:r>
      <w:r>
        <w:rPr>
          <w:rFonts w:hint="eastAsia" w:ascii="仿宋" w:hAnsi="仿宋" w:eastAsia="仿宋" w:cs="仿宋"/>
          <w:b/>
          <w:bCs/>
          <w:color w:val="auto"/>
          <w:sz w:val="34"/>
          <w:szCs w:val="34"/>
          <w:highlight w:val="none"/>
          <w:lang w:val="en-US" w:eastAsia="zh-CN"/>
        </w:rPr>
        <w:t>6</w:t>
      </w:r>
      <w:r>
        <w:rPr>
          <w:rFonts w:hint="eastAsia" w:ascii="仿宋" w:hAnsi="仿宋" w:eastAsia="仿宋" w:cs="仿宋"/>
          <w:b/>
          <w:bCs/>
          <w:color w:val="auto"/>
          <w:sz w:val="34"/>
          <w:szCs w:val="34"/>
          <w:highlight w:val="none"/>
        </w:rPr>
        <w:t>月</w:t>
      </w:r>
      <w:bookmarkStart w:id="2" w:name="_Toc339302123"/>
      <w:bookmarkStart w:id="3" w:name="_Toc348704821"/>
      <w:bookmarkStart w:id="4" w:name="_Toc348709927"/>
      <w:bookmarkStart w:id="5" w:name="_Toc248065034"/>
      <w:bookmarkStart w:id="6" w:name="_Toc383683529"/>
      <w:bookmarkStart w:id="7" w:name="_Toc340322162"/>
      <w:bookmarkStart w:id="8" w:name="_Toc226337756"/>
      <w:bookmarkStart w:id="9" w:name="_Toc304551308"/>
      <w:bookmarkStart w:id="10" w:name="_Toc340321907"/>
      <w:bookmarkStart w:id="11" w:name="_Toc341768534"/>
      <w:r>
        <w:rPr>
          <w:rFonts w:hint="eastAsia" w:ascii="仿宋" w:hAnsi="仿宋" w:eastAsia="仿宋" w:cs="仿宋"/>
          <w:bCs/>
          <w:color w:val="auto"/>
          <w:sz w:val="44"/>
          <w:szCs w:val="44"/>
          <w:highlight w:val="none"/>
        </w:rPr>
        <w:br w:type="page"/>
      </w:r>
    </w:p>
    <w:p>
      <w:pPr>
        <w:keepNext w:val="0"/>
        <w:keepLines w:val="0"/>
        <w:pageBreakBefore w:val="0"/>
        <w:widowControl w:val="0"/>
        <w:tabs>
          <w:tab w:val="right" w:leader="dot" w:pos="8478"/>
        </w:tabs>
        <w:kinsoku/>
        <w:wordWrap/>
        <w:overflowPunct/>
        <w:topLinePunct w:val="0"/>
        <w:autoSpaceDE/>
        <w:autoSpaceDN/>
        <w:bidi w:val="0"/>
        <w:adjustRightInd/>
        <w:snapToGrid/>
        <w:spacing w:after="0" w:line="360" w:lineRule="auto"/>
        <w:ind w:firstLine="0" w:firstLineChars="0"/>
        <w:jc w:val="center"/>
        <w:textAlignment w:val="auto"/>
        <w:rPr>
          <w:rFonts w:hint="eastAsia" w:ascii="仿宋" w:hAnsi="仿宋" w:eastAsia="仿宋" w:cs="仿宋"/>
          <w:b/>
          <w:bCs w:val="0"/>
          <w:color w:val="auto"/>
          <w:sz w:val="44"/>
          <w:szCs w:val="44"/>
          <w:highlight w:val="none"/>
        </w:rPr>
      </w:pPr>
    </w:p>
    <w:p>
      <w:pPr>
        <w:keepNext w:val="0"/>
        <w:keepLines w:val="0"/>
        <w:pageBreakBefore w:val="0"/>
        <w:widowControl w:val="0"/>
        <w:tabs>
          <w:tab w:val="right" w:leader="dot" w:pos="8478"/>
        </w:tabs>
        <w:kinsoku/>
        <w:wordWrap/>
        <w:overflowPunct/>
        <w:topLinePunct w:val="0"/>
        <w:autoSpaceDE/>
        <w:autoSpaceDN/>
        <w:bidi w:val="0"/>
        <w:adjustRightInd/>
        <w:snapToGrid/>
        <w:spacing w:after="0" w:line="360" w:lineRule="auto"/>
        <w:ind w:firstLine="0" w:firstLineChars="0"/>
        <w:jc w:val="center"/>
        <w:textAlignment w:val="auto"/>
        <w:rPr>
          <w:rFonts w:hint="eastAsia" w:ascii="仿宋" w:hAnsi="仿宋" w:eastAsia="仿宋" w:cs="仿宋"/>
          <w:strike/>
          <w:color w:val="auto"/>
          <w:kern w:val="2"/>
          <w:sz w:val="18"/>
          <w:szCs w:val="18"/>
          <w:highlight w:val="none"/>
          <w:lang w:val="en-US" w:eastAsia="zh-CN" w:bidi="ar-SA"/>
        </w:rPr>
      </w:pPr>
      <w:r>
        <w:rPr>
          <w:rFonts w:hint="eastAsia" w:ascii="仿宋" w:hAnsi="仿宋" w:eastAsia="仿宋" w:cs="仿宋"/>
          <w:b/>
          <w:bCs w:val="0"/>
          <w:color w:val="auto"/>
          <w:sz w:val="44"/>
          <w:szCs w:val="44"/>
          <w:highlight w:val="none"/>
        </w:rPr>
        <w:t>目 录</w:t>
      </w:r>
      <w:r>
        <w:rPr>
          <w:rFonts w:hint="eastAsia" w:ascii="仿宋" w:hAnsi="仿宋" w:eastAsia="仿宋" w:cs="仿宋"/>
          <w:b/>
          <w:strike/>
          <w:color w:val="auto"/>
          <w:sz w:val="18"/>
          <w:szCs w:val="18"/>
          <w:highlight w:val="none"/>
        </w:rPr>
        <w:fldChar w:fldCharType="begin"/>
      </w:r>
      <w:r>
        <w:rPr>
          <w:rFonts w:hint="eastAsia" w:ascii="仿宋" w:hAnsi="仿宋" w:eastAsia="仿宋" w:cs="仿宋"/>
          <w:b/>
          <w:strike/>
          <w:color w:val="auto"/>
          <w:sz w:val="18"/>
          <w:szCs w:val="18"/>
          <w:highlight w:val="none"/>
        </w:rPr>
        <w:instrText xml:space="preserve"> TOC \o "1-3" \h \z \u </w:instrText>
      </w:r>
      <w:r>
        <w:rPr>
          <w:rFonts w:hint="eastAsia" w:ascii="仿宋" w:hAnsi="仿宋" w:eastAsia="仿宋" w:cs="仿宋"/>
          <w:b/>
          <w:strike/>
          <w:color w:val="auto"/>
          <w:sz w:val="18"/>
          <w:szCs w:val="18"/>
          <w:highlight w:val="none"/>
        </w:rPr>
        <w:fldChar w:fldCharType="separate"/>
      </w:r>
    </w:p>
    <w:p>
      <w:pPr>
        <w:pStyle w:val="17"/>
        <w:keepNext w:val="0"/>
        <w:keepLines w:val="0"/>
        <w:pageBreakBefore w:val="0"/>
        <w:widowControl w:val="0"/>
        <w:tabs>
          <w:tab w:val="right" w:leader="dot" w:pos="8488"/>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strike/>
          <w:color w:val="auto"/>
          <w:sz w:val="24"/>
          <w:szCs w:val="22"/>
          <w:highlight w:val="none"/>
        </w:rPr>
        <w:fldChar w:fldCharType="begin"/>
      </w:r>
      <w:r>
        <w:rPr>
          <w:rFonts w:hint="eastAsia" w:ascii="仿宋" w:hAnsi="仿宋" w:eastAsia="仿宋" w:cs="仿宋"/>
          <w:strike/>
          <w:color w:val="auto"/>
          <w:sz w:val="24"/>
          <w:szCs w:val="22"/>
          <w:highlight w:val="none"/>
        </w:rPr>
        <w:instrText xml:space="preserve"> HYPERLINK \l _Toc29389 </w:instrText>
      </w:r>
      <w:r>
        <w:rPr>
          <w:rFonts w:hint="eastAsia" w:ascii="仿宋" w:hAnsi="仿宋" w:eastAsia="仿宋" w:cs="仿宋"/>
          <w:strike/>
          <w:color w:val="auto"/>
          <w:sz w:val="24"/>
          <w:szCs w:val="22"/>
          <w:highlight w:val="none"/>
        </w:rPr>
        <w:fldChar w:fldCharType="separate"/>
      </w:r>
      <w:r>
        <w:rPr>
          <w:rFonts w:hint="eastAsia" w:ascii="仿宋" w:hAnsi="仿宋" w:eastAsia="仿宋" w:cs="仿宋"/>
          <w:bCs/>
          <w:color w:val="auto"/>
          <w:sz w:val="24"/>
          <w:szCs w:val="24"/>
          <w:highlight w:val="none"/>
        </w:rPr>
        <w:t>第一部分 公开招标采购公告</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_Toc29389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w:t>
      </w:r>
      <w:r>
        <w:rPr>
          <w:rFonts w:hint="eastAsia" w:ascii="仿宋" w:hAnsi="仿宋" w:eastAsia="仿宋" w:cs="仿宋"/>
          <w:color w:val="auto"/>
          <w:sz w:val="24"/>
          <w:szCs w:val="24"/>
        </w:rPr>
        <w:fldChar w:fldCharType="end"/>
      </w:r>
      <w:r>
        <w:rPr>
          <w:rFonts w:hint="eastAsia" w:ascii="仿宋" w:hAnsi="仿宋" w:eastAsia="仿宋" w:cs="仿宋"/>
          <w:strike/>
          <w:color w:val="auto"/>
          <w:sz w:val="24"/>
          <w:szCs w:val="22"/>
          <w:highlight w:val="none"/>
        </w:rPr>
        <w:fldChar w:fldCharType="end"/>
      </w:r>
    </w:p>
    <w:p>
      <w:pPr>
        <w:pStyle w:val="17"/>
        <w:keepNext w:val="0"/>
        <w:keepLines w:val="0"/>
        <w:pageBreakBefore w:val="0"/>
        <w:widowControl w:val="0"/>
        <w:tabs>
          <w:tab w:val="right" w:leader="dot" w:pos="8488"/>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strike/>
          <w:color w:val="auto"/>
          <w:sz w:val="24"/>
          <w:szCs w:val="22"/>
          <w:highlight w:val="none"/>
        </w:rPr>
        <w:fldChar w:fldCharType="begin"/>
      </w:r>
      <w:r>
        <w:rPr>
          <w:rFonts w:hint="eastAsia" w:ascii="仿宋" w:hAnsi="仿宋" w:eastAsia="仿宋" w:cs="仿宋"/>
          <w:strike/>
          <w:color w:val="auto"/>
          <w:sz w:val="24"/>
          <w:szCs w:val="22"/>
          <w:highlight w:val="none"/>
        </w:rPr>
        <w:instrText xml:space="preserve"> HYPERLINK \l _Toc11201 </w:instrText>
      </w:r>
      <w:r>
        <w:rPr>
          <w:rFonts w:hint="eastAsia" w:ascii="仿宋" w:hAnsi="仿宋" w:eastAsia="仿宋" w:cs="仿宋"/>
          <w:strike/>
          <w:color w:val="auto"/>
          <w:sz w:val="24"/>
          <w:szCs w:val="22"/>
          <w:highlight w:val="none"/>
        </w:rPr>
        <w:fldChar w:fldCharType="separate"/>
      </w:r>
      <w:r>
        <w:rPr>
          <w:rFonts w:hint="eastAsia" w:ascii="仿宋" w:hAnsi="仿宋" w:eastAsia="仿宋" w:cs="仿宋"/>
          <w:color w:val="auto"/>
          <w:sz w:val="24"/>
          <w:szCs w:val="24"/>
          <w:highlight w:val="none"/>
        </w:rPr>
        <w:t>第二部分</w:t>
      </w:r>
      <w:r>
        <w:rPr>
          <w:rFonts w:hint="eastAsia" w:ascii="仿宋" w:hAnsi="仿宋" w:eastAsia="仿宋" w:cs="仿宋"/>
          <w:color w:val="auto"/>
          <w:sz w:val="24"/>
          <w:szCs w:val="36"/>
          <w:highlight w:val="none"/>
        </w:rPr>
        <w:t xml:space="preserve"> </w:t>
      </w:r>
      <w:r>
        <w:rPr>
          <w:rFonts w:hint="eastAsia" w:ascii="仿宋" w:hAnsi="仿宋" w:eastAsia="仿宋" w:cs="仿宋"/>
          <w:color w:val="auto"/>
          <w:sz w:val="24"/>
          <w:szCs w:val="24"/>
          <w:highlight w:val="none"/>
        </w:rPr>
        <w:t>投标须知</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_Toc11201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7</w:t>
      </w:r>
      <w:r>
        <w:rPr>
          <w:rFonts w:hint="eastAsia" w:ascii="仿宋" w:hAnsi="仿宋" w:eastAsia="仿宋" w:cs="仿宋"/>
          <w:color w:val="auto"/>
          <w:sz w:val="24"/>
          <w:szCs w:val="24"/>
        </w:rPr>
        <w:fldChar w:fldCharType="end"/>
      </w:r>
      <w:r>
        <w:rPr>
          <w:rFonts w:hint="eastAsia" w:ascii="仿宋" w:hAnsi="仿宋" w:eastAsia="仿宋" w:cs="仿宋"/>
          <w:strike/>
          <w:color w:val="auto"/>
          <w:sz w:val="24"/>
          <w:szCs w:val="22"/>
          <w:highlight w:val="none"/>
        </w:rPr>
        <w:fldChar w:fldCharType="end"/>
      </w:r>
    </w:p>
    <w:p>
      <w:pPr>
        <w:pStyle w:val="17"/>
        <w:keepNext w:val="0"/>
        <w:keepLines w:val="0"/>
        <w:pageBreakBefore w:val="0"/>
        <w:widowControl w:val="0"/>
        <w:tabs>
          <w:tab w:val="right" w:leader="dot" w:pos="8488"/>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strike/>
          <w:color w:val="auto"/>
          <w:sz w:val="24"/>
          <w:szCs w:val="22"/>
          <w:highlight w:val="none"/>
        </w:rPr>
        <w:fldChar w:fldCharType="begin"/>
      </w:r>
      <w:r>
        <w:rPr>
          <w:rFonts w:hint="eastAsia" w:ascii="仿宋" w:hAnsi="仿宋" w:eastAsia="仿宋" w:cs="仿宋"/>
          <w:strike/>
          <w:color w:val="auto"/>
          <w:sz w:val="24"/>
          <w:szCs w:val="22"/>
          <w:highlight w:val="none"/>
        </w:rPr>
        <w:instrText xml:space="preserve"> HYPERLINK \l _Toc18104 </w:instrText>
      </w:r>
      <w:r>
        <w:rPr>
          <w:rFonts w:hint="eastAsia" w:ascii="仿宋" w:hAnsi="仿宋" w:eastAsia="仿宋" w:cs="仿宋"/>
          <w:strike/>
          <w:color w:val="auto"/>
          <w:sz w:val="24"/>
          <w:szCs w:val="22"/>
          <w:highlight w:val="none"/>
        </w:rPr>
        <w:fldChar w:fldCharType="separate"/>
      </w:r>
      <w:r>
        <w:rPr>
          <w:rFonts w:hint="eastAsia" w:ascii="仿宋" w:hAnsi="仿宋" w:eastAsia="仿宋" w:cs="仿宋"/>
          <w:color w:val="auto"/>
          <w:sz w:val="24"/>
          <w:szCs w:val="48"/>
          <w:highlight w:val="none"/>
        </w:rPr>
        <w:t>第三部分 采购需求</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_Toc18104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30</w:t>
      </w:r>
      <w:r>
        <w:rPr>
          <w:rFonts w:hint="eastAsia" w:ascii="仿宋" w:hAnsi="仿宋" w:eastAsia="仿宋" w:cs="仿宋"/>
          <w:color w:val="auto"/>
          <w:sz w:val="24"/>
          <w:szCs w:val="24"/>
        </w:rPr>
        <w:fldChar w:fldCharType="end"/>
      </w:r>
      <w:r>
        <w:rPr>
          <w:rFonts w:hint="eastAsia" w:ascii="仿宋" w:hAnsi="仿宋" w:eastAsia="仿宋" w:cs="仿宋"/>
          <w:strike/>
          <w:color w:val="auto"/>
          <w:sz w:val="24"/>
          <w:szCs w:val="22"/>
          <w:highlight w:val="none"/>
        </w:rPr>
        <w:fldChar w:fldCharType="end"/>
      </w:r>
    </w:p>
    <w:p>
      <w:pPr>
        <w:pStyle w:val="17"/>
        <w:keepNext w:val="0"/>
        <w:keepLines w:val="0"/>
        <w:pageBreakBefore w:val="0"/>
        <w:widowControl w:val="0"/>
        <w:tabs>
          <w:tab w:val="right" w:leader="dot" w:pos="8488"/>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strike/>
          <w:color w:val="auto"/>
          <w:sz w:val="24"/>
          <w:szCs w:val="22"/>
          <w:highlight w:val="none"/>
        </w:rPr>
        <w:fldChar w:fldCharType="begin"/>
      </w:r>
      <w:r>
        <w:rPr>
          <w:rFonts w:hint="eastAsia" w:ascii="仿宋" w:hAnsi="仿宋" w:eastAsia="仿宋" w:cs="仿宋"/>
          <w:strike/>
          <w:color w:val="auto"/>
          <w:sz w:val="24"/>
          <w:szCs w:val="22"/>
          <w:highlight w:val="none"/>
        </w:rPr>
        <w:instrText xml:space="preserve"> HYPERLINK \l _Toc5628 </w:instrText>
      </w:r>
      <w:r>
        <w:rPr>
          <w:rFonts w:hint="eastAsia" w:ascii="仿宋" w:hAnsi="仿宋" w:eastAsia="仿宋" w:cs="仿宋"/>
          <w:strike/>
          <w:color w:val="auto"/>
          <w:sz w:val="24"/>
          <w:szCs w:val="22"/>
          <w:highlight w:val="none"/>
        </w:rPr>
        <w:fldChar w:fldCharType="separate"/>
      </w:r>
      <w:r>
        <w:rPr>
          <w:rFonts w:hint="eastAsia" w:ascii="仿宋" w:hAnsi="仿宋" w:eastAsia="仿宋" w:cs="仿宋"/>
          <w:bCs/>
          <w:color w:val="auto"/>
          <w:sz w:val="24"/>
          <w:szCs w:val="48"/>
          <w:highlight w:val="none"/>
        </w:rPr>
        <w:t>第四部分 评标办法</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_Toc5628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30</w:t>
      </w:r>
      <w:r>
        <w:rPr>
          <w:rFonts w:hint="eastAsia" w:ascii="仿宋" w:hAnsi="仿宋" w:eastAsia="仿宋" w:cs="仿宋"/>
          <w:color w:val="auto"/>
          <w:sz w:val="24"/>
          <w:szCs w:val="24"/>
        </w:rPr>
        <w:fldChar w:fldCharType="end"/>
      </w:r>
      <w:r>
        <w:rPr>
          <w:rFonts w:hint="eastAsia" w:ascii="仿宋" w:hAnsi="仿宋" w:eastAsia="仿宋" w:cs="仿宋"/>
          <w:strike/>
          <w:color w:val="auto"/>
          <w:sz w:val="24"/>
          <w:szCs w:val="22"/>
          <w:highlight w:val="none"/>
        </w:rPr>
        <w:fldChar w:fldCharType="end"/>
      </w:r>
    </w:p>
    <w:p>
      <w:pPr>
        <w:pStyle w:val="17"/>
        <w:keepNext w:val="0"/>
        <w:keepLines w:val="0"/>
        <w:pageBreakBefore w:val="0"/>
        <w:widowControl w:val="0"/>
        <w:tabs>
          <w:tab w:val="right" w:leader="dot" w:pos="8488"/>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strike/>
          <w:color w:val="auto"/>
          <w:sz w:val="24"/>
          <w:szCs w:val="22"/>
          <w:highlight w:val="none"/>
        </w:rPr>
        <w:fldChar w:fldCharType="begin"/>
      </w:r>
      <w:r>
        <w:rPr>
          <w:rFonts w:hint="eastAsia" w:ascii="仿宋" w:hAnsi="仿宋" w:eastAsia="仿宋" w:cs="仿宋"/>
          <w:strike/>
          <w:color w:val="auto"/>
          <w:sz w:val="24"/>
          <w:szCs w:val="22"/>
          <w:highlight w:val="none"/>
        </w:rPr>
        <w:instrText xml:space="preserve"> HYPERLINK \l _Toc4674 </w:instrText>
      </w:r>
      <w:r>
        <w:rPr>
          <w:rFonts w:hint="eastAsia" w:ascii="仿宋" w:hAnsi="仿宋" w:eastAsia="仿宋" w:cs="仿宋"/>
          <w:strike/>
          <w:color w:val="auto"/>
          <w:sz w:val="24"/>
          <w:szCs w:val="22"/>
          <w:highlight w:val="none"/>
        </w:rPr>
        <w:fldChar w:fldCharType="separate"/>
      </w:r>
      <w:r>
        <w:rPr>
          <w:rFonts w:hint="eastAsia" w:ascii="仿宋" w:hAnsi="仿宋" w:eastAsia="仿宋" w:cs="仿宋"/>
          <w:color w:val="auto"/>
          <w:sz w:val="24"/>
          <w:szCs w:val="48"/>
        </w:rPr>
        <w:t>第五部分 拟签订的合同文本</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_Toc4674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42</w:t>
      </w:r>
      <w:r>
        <w:rPr>
          <w:rFonts w:hint="eastAsia" w:ascii="仿宋" w:hAnsi="仿宋" w:eastAsia="仿宋" w:cs="仿宋"/>
          <w:color w:val="auto"/>
          <w:sz w:val="24"/>
          <w:szCs w:val="24"/>
        </w:rPr>
        <w:fldChar w:fldCharType="end"/>
      </w:r>
      <w:r>
        <w:rPr>
          <w:rFonts w:hint="eastAsia" w:ascii="仿宋" w:hAnsi="仿宋" w:eastAsia="仿宋" w:cs="仿宋"/>
          <w:strike/>
          <w:color w:val="auto"/>
          <w:sz w:val="24"/>
          <w:szCs w:val="22"/>
          <w:highlight w:val="none"/>
        </w:rPr>
        <w:fldChar w:fldCharType="end"/>
      </w:r>
    </w:p>
    <w:p>
      <w:pPr>
        <w:pStyle w:val="17"/>
        <w:keepNext w:val="0"/>
        <w:keepLines w:val="0"/>
        <w:pageBreakBefore w:val="0"/>
        <w:widowControl w:val="0"/>
        <w:tabs>
          <w:tab w:val="right" w:leader="dot" w:pos="8488"/>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strike/>
          <w:color w:val="auto"/>
          <w:sz w:val="24"/>
          <w:szCs w:val="22"/>
          <w:highlight w:val="none"/>
        </w:rPr>
        <w:fldChar w:fldCharType="begin"/>
      </w:r>
      <w:r>
        <w:rPr>
          <w:rFonts w:hint="eastAsia" w:ascii="仿宋" w:hAnsi="仿宋" w:eastAsia="仿宋" w:cs="仿宋"/>
          <w:strike/>
          <w:color w:val="auto"/>
          <w:sz w:val="24"/>
          <w:szCs w:val="22"/>
          <w:highlight w:val="none"/>
        </w:rPr>
        <w:instrText xml:space="preserve"> HYPERLINK \l _Toc29273 </w:instrText>
      </w:r>
      <w:r>
        <w:rPr>
          <w:rFonts w:hint="eastAsia" w:ascii="仿宋" w:hAnsi="仿宋" w:eastAsia="仿宋" w:cs="仿宋"/>
          <w:strike/>
          <w:color w:val="auto"/>
          <w:sz w:val="24"/>
          <w:szCs w:val="22"/>
          <w:highlight w:val="none"/>
        </w:rPr>
        <w:fldChar w:fldCharType="separate"/>
      </w:r>
      <w:r>
        <w:rPr>
          <w:rFonts w:hint="eastAsia" w:ascii="仿宋" w:hAnsi="仿宋" w:eastAsia="仿宋" w:cs="仿宋"/>
          <w:color w:val="auto"/>
          <w:sz w:val="24"/>
          <w:szCs w:val="48"/>
          <w:highlight w:val="none"/>
        </w:rPr>
        <w:t>第六部分 投标文件格式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_Toc29273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51</w:t>
      </w:r>
      <w:r>
        <w:rPr>
          <w:rFonts w:hint="eastAsia" w:ascii="仿宋" w:hAnsi="仿宋" w:eastAsia="仿宋" w:cs="仿宋"/>
          <w:color w:val="auto"/>
          <w:sz w:val="24"/>
          <w:szCs w:val="24"/>
        </w:rPr>
        <w:fldChar w:fldCharType="end"/>
      </w:r>
      <w:r>
        <w:rPr>
          <w:rFonts w:hint="eastAsia" w:ascii="仿宋" w:hAnsi="仿宋" w:eastAsia="仿宋" w:cs="仿宋"/>
          <w:strike/>
          <w:color w:val="auto"/>
          <w:sz w:val="24"/>
          <w:szCs w:val="22"/>
          <w:highlight w:val="none"/>
        </w:rPr>
        <w:fldChar w:fldCharType="end"/>
      </w:r>
    </w:p>
    <w:p>
      <w:pPr>
        <w:pStyle w:val="17"/>
        <w:tabs>
          <w:tab w:val="right" w:leader="dot" w:pos="8478"/>
        </w:tabs>
        <w:spacing w:before="0" w:after="0" w:line="360" w:lineRule="auto"/>
        <w:ind w:firstLine="0" w:firstLineChars="0"/>
        <w:jc w:val="center"/>
        <w:rPr>
          <w:rStyle w:val="30"/>
          <w:rFonts w:hint="eastAsia" w:ascii="仿宋" w:hAnsi="仿宋" w:eastAsia="仿宋" w:cs="仿宋"/>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7" w:h="16839"/>
          <w:pgMar w:top="1191" w:right="1440" w:bottom="1400" w:left="1979" w:header="851" w:footer="992" w:gutter="0"/>
          <w:cols w:space="720" w:num="1"/>
          <w:docGrid w:linePitch="326" w:charSpace="0"/>
        </w:sectPr>
      </w:pPr>
      <w:r>
        <w:rPr>
          <w:rFonts w:hint="eastAsia" w:ascii="仿宋" w:hAnsi="仿宋" w:eastAsia="仿宋" w:cs="仿宋"/>
          <w:strike/>
          <w:color w:val="auto"/>
          <w:sz w:val="18"/>
          <w:szCs w:val="18"/>
          <w:highlight w:val="none"/>
        </w:rPr>
        <w:fldChar w:fldCharType="end"/>
      </w:r>
    </w:p>
    <w:p>
      <w:pPr>
        <w:pStyle w:val="4"/>
        <w:keepNext w:val="0"/>
        <w:keepLines w:val="0"/>
        <w:pageBreakBefore/>
        <w:widowControl/>
        <w:tabs>
          <w:tab w:val="left" w:pos="358"/>
          <w:tab w:val="clear" w:pos="478"/>
        </w:tabs>
        <w:kinsoku/>
        <w:wordWrap/>
        <w:overflowPunct/>
        <w:topLinePunct w:val="0"/>
        <w:autoSpaceDE w:val="0"/>
        <w:autoSpaceDN w:val="0"/>
        <w:bidi w:val="0"/>
        <w:adjustRightInd/>
        <w:snapToGrid/>
        <w:spacing w:before="0" w:after="0" w:line="360" w:lineRule="auto"/>
        <w:ind w:left="958" w:hanging="958"/>
        <w:jc w:val="center"/>
        <w:textAlignment w:val="auto"/>
        <w:outlineLvl w:val="0"/>
        <w:rPr>
          <w:rFonts w:hint="eastAsia" w:ascii="仿宋" w:hAnsi="仿宋" w:eastAsia="仿宋" w:cs="仿宋"/>
          <w:b/>
          <w:bCs/>
          <w:color w:val="auto"/>
          <w:highlight w:val="none"/>
        </w:rPr>
      </w:pPr>
      <w:bookmarkStart w:id="12" w:name="_Toc29389"/>
      <w:bookmarkStart w:id="13" w:name="_Toc514938669"/>
      <w:r>
        <w:rPr>
          <w:rFonts w:hint="eastAsia" w:ascii="仿宋" w:hAnsi="仿宋" w:eastAsia="仿宋" w:cs="仿宋"/>
          <w:b/>
          <w:bCs/>
          <w:color w:val="auto"/>
          <w:highlight w:val="none"/>
        </w:rPr>
        <w:t>第一部分</w:t>
      </w:r>
      <w:bookmarkEnd w:id="0"/>
      <w:bookmarkEnd w:id="1"/>
      <w:bookmarkEnd w:id="2"/>
      <w:bookmarkEnd w:id="3"/>
      <w:bookmarkEnd w:id="4"/>
      <w:bookmarkEnd w:id="5"/>
      <w:bookmarkEnd w:id="6"/>
      <w:bookmarkEnd w:id="7"/>
      <w:bookmarkEnd w:id="8"/>
      <w:bookmarkEnd w:id="9"/>
      <w:bookmarkEnd w:id="10"/>
      <w:bookmarkEnd w:id="11"/>
      <w:r>
        <w:rPr>
          <w:rFonts w:hint="eastAsia" w:ascii="仿宋" w:hAnsi="仿宋" w:eastAsia="仿宋" w:cs="仿宋"/>
          <w:b/>
          <w:bCs/>
          <w:color w:val="auto"/>
          <w:highlight w:val="none"/>
        </w:rPr>
        <w:t xml:space="preserve"> 公开招标采购公告</w:t>
      </w:r>
      <w:bookmarkEnd w:id="12"/>
      <w:bookmarkEnd w:id="13"/>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lang w:eastAsia="zh-CN"/>
        </w:rPr>
        <w:t>嵊州市益嘉配送有限公司（2024-2027）年大米采购项目</w:t>
      </w:r>
      <w:r>
        <w:rPr>
          <w:rFonts w:hint="eastAsia" w:ascii="仿宋" w:hAnsi="仿宋" w:eastAsia="仿宋" w:cs="仿宋"/>
          <w:color w:val="auto"/>
          <w:sz w:val="24"/>
          <w:szCs w:val="24"/>
        </w:rPr>
        <w:t>招标项目的潜在投标人应在</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"https://www.zcygov.cn/）获取（下载）招标文件，并于2021年" </w:instrText>
      </w:r>
      <w:r>
        <w:rPr>
          <w:rFonts w:hint="eastAsia" w:ascii="仿宋" w:hAnsi="仿宋" w:eastAsia="仿宋" w:cs="仿宋"/>
          <w:color w:val="auto"/>
          <w:sz w:val="24"/>
          <w:szCs w:val="24"/>
        </w:rPr>
        <w:fldChar w:fldCharType="separate"/>
      </w:r>
      <w:r>
        <w:rPr>
          <w:rStyle w:val="30"/>
          <w:rFonts w:hint="eastAsia" w:ascii="仿宋" w:hAnsi="仿宋" w:eastAsia="仿宋" w:cs="仿宋"/>
          <w:snapToGrid/>
          <w:color w:val="auto"/>
          <w:kern w:val="2"/>
          <w:sz w:val="24"/>
          <w:szCs w:val="24"/>
          <w:u w:val="none"/>
        </w:rPr>
        <w:t>https://www.</w:t>
      </w:r>
      <w:r>
        <w:rPr>
          <w:rStyle w:val="30"/>
          <w:rFonts w:hint="eastAsia" w:ascii="仿宋" w:hAnsi="仿宋" w:eastAsia="仿宋" w:cs="仿宋"/>
          <w:snapToGrid/>
          <w:color w:val="auto"/>
          <w:kern w:val="2"/>
          <w:sz w:val="24"/>
          <w:szCs w:val="24"/>
          <w:u w:val="none"/>
          <w:lang w:eastAsia="zh-CN"/>
        </w:rPr>
        <w:t>lecaiyun.com</w:t>
      </w:r>
      <w:r>
        <w:rPr>
          <w:rStyle w:val="30"/>
          <w:rFonts w:hint="eastAsia" w:ascii="仿宋" w:hAnsi="仿宋" w:eastAsia="仿宋" w:cs="仿宋"/>
          <w:snapToGrid/>
          <w:color w:val="auto"/>
          <w:kern w:val="2"/>
          <w:sz w:val="24"/>
          <w:szCs w:val="24"/>
          <w:u w:val="none"/>
        </w:rPr>
        <w:t>/）获取（下载）招标文件，并于</w:t>
      </w:r>
      <w:r>
        <w:rPr>
          <w:rStyle w:val="30"/>
          <w:rFonts w:hint="eastAsia" w:ascii="仿宋" w:hAnsi="仿宋" w:eastAsia="仿宋" w:cs="仿宋"/>
          <w:snapToGrid/>
          <w:color w:val="auto"/>
          <w:kern w:val="2"/>
          <w:sz w:val="24"/>
          <w:szCs w:val="24"/>
          <w:u w:val="none"/>
          <w:lang w:eastAsia="zh-CN"/>
        </w:rPr>
        <w:t>2024年8月16日</w:t>
      </w:r>
      <w:r>
        <w:rPr>
          <w:rStyle w:val="30"/>
          <w:rFonts w:hint="eastAsia" w:ascii="仿宋" w:hAnsi="仿宋" w:eastAsia="仿宋" w:cs="仿宋"/>
          <w:snapToGrid/>
          <w:color w:val="auto"/>
          <w:kern w:val="2"/>
          <w:sz w:val="24"/>
          <w:szCs w:val="24"/>
          <w:u w:val="none"/>
          <w:lang w:val="en-US" w:eastAsia="zh-CN"/>
        </w:rPr>
        <w:t>09:00</w:t>
      </w:r>
      <w:r>
        <w:rPr>
          <w:rFonts w:hint="eastAsia" w:ascii="仿宋" w:hAnsi="仿宋" w:eastAsia="仿宋" w:cs="仿宋"/>
          <w:bCs/>
          <w:color w:val="auto"/>
          <w:sz w:val="24"/>
          <w:szCs w:val="24"/>
          <w:u w:val="single"/>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递交（上传）投标文件。</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一、项目基本情况</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项目编号：</w:t>
      </w:r>
      <w:r>
        <w:rPr>
          <w:rFonts w:hint="eastAsia" w:ascii="仿宋" w:hAnsi="仿宋" w:eastAsia="仿宋" w:cs="仿宋"/>
          <w:b w:val="0"/>
          <w:bCs w:val="0"/>
          <w:iCs/>
          <w:color w:val="auto"/>
          <w:sz w:val="24"/>
          <w:szCs w:val="24"/>
          <w:highlight w:val="none"/>
          <w:lang w:eastAsia="zh-CN"/>
        </w:rPr>
        <w:t>SXPZ-H20240603QXY</w:t>
      </w:r>
    </w:p>
    <w:p>
      <w:pPr>
        <w:keepNext w:val="0"/>
        <w:keepLines w:val="0"/>
        <w:pageBreakBefore w:val="0"/>
        <w:widowControl w:val="0"/>
        <w:kinsoku/>
        <w:wordWrap/>
        <w:overflowPunct/>
        <w:topLinePunct w:val="0"/>
        <w:autoSpaceDE/>
        <w:autoSpaceDN/>
        <w:bidi w:val="0"/>
        <w:adjustRightInd/>
        <w:spacing w:line="360" w:lineRule="auto"/>
        <w:ind w:left="479" w:leftChars="228" w:firstLine="0" w:firstLineChars="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项目名称：</w:t>
      </w:r>
      <w:r>
        <w:rPr>
          <w:rFonts w:hint="eastAsia" w:ascii="仿宋" w:hAnsi="仿宋" w:eastAsia="仿宋" w:cs="仿宋"/>
          <w:b w:val="0"/>
          <w:bCs w:val="0"/>
          <w:color w:val="auto"/>
          <w:sz w:val="24"/>
          <w:szCs w:val="24"/>
          <w:lang w:eastAsia="zh-CN"/>
        </w:rPr>
        <w:t>嵊州市益嘉配送有限公司（2024-2027）年大米采购项目</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预算金额：</w:t>
      </w:r>
      <w:r>
        <w:rPr>
          <w:rFonts w:hint="eastAsia" w:ascii="仿宋" w:hAnsi="仿宋" w:eastAsia="仿宋" w:cs="仿宋"/>
          <w:b w:val="0"/>
          <w:bCs w:val="0"/>
          <w:color w:val="auto"/>
          <w:sz w:val="24"/>
          <w:szCs w:val="24"/>
          <w:lang w:val="en-US" w:eastAsia="zh-CN"/>
        </w:rPr>
        <w:t>1700万元</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最高限价：</w:t>
      </w:r>
      <w:r>
        <w:rPr>
          <w:rFonts w:hint="eastAsia" w:ascii="仿宋" w:hAnsi="仿宋" w:eastAsia="仿宋" w:cs="仿宋"/>
          <w:b w:val="0"/>
          <w:bCs w:val="0"/>
          <w:color w:val="auto"/>
          <w:sz w:val="24"/>
          <w:szCs w:val="24"/>
          <w:lang w:val="en-US" w:eastAsia="zh-CN"/>
        </w:rPr>
        <w:t>1700万元</w:t>
      </w:r>
    </w:p>
    <w:p>
      <w:pPr>
        <w:pStyle w:val="9"/>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仿宋" w:hAnsi="仿宋" w:eastAsia="仿宋" w:cs="仿宋"/>
          <w:b w:val="0"/>
          <w:bCs/>
          <w:color w:val="auto"/>
          <w:spacing w:val="6"/>
          <w:sz w:val="24"/>
          <w:szCs w:val="24"/>
          <w:highlight w:val="none"/>
          <w:lang w:val="en-US" w:eastAsia="zh-CN"/>
        </w:rPr>
      </w:pPr>
      <w:r>
        <w:rPr>
          <w:rFonts w:hint="eastAsia" w:ascii="仿宋" w:hAnsi="仿宋" w:eastAsia="仿宋" w:cs="仿宋"/>
          <w:b w:val="0"/>
          <w:bCs/>
          <w:color w:val="auto"/>
          <w:sz w:val="24"/>
          <w:szCs w:val="24"/>
        </w:rPr>
        <w:t>采购需求：</w:t>
      </w:r>
    </w:p>
    <w:tbl>
      <w:tblPr>
        <w:tblStyle w:val="25"/>
        <w:tblpPr w:leftFromText="180" w:rightFromText="180" w:vertAnchor="text" w:horzAnchor="page" w:tblpX="1349" w:tblpY="363"/>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66"/>
        <w:gridCol w:w="1866"/>
        <w:gridCol w:w="925"/>
        <w:gridCol w:w="763"/>
        <w:gridCol w:w="2000"/>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3" w:type="dxa"/>
            <w:noWrap w:val="0"/>
            <w:vAlign w:val="center"/>
          </w:tcPr>
          <w:p>
            <w:pPr>
              <w:pStyle w:val="53"/>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标项</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标项名称</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规格（kg/袋）</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rPr>
              <w:t>数量</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rPr>
              <w:t>单位</w:t>
            </w: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val="0"/>
                <w:color w:val="0000FF"/>
                <w:sz w:val="24"/>
                <w:szCs w:val="24"/>
                <w:highlight w:val="none"/>
                <w:vertAlign w:val="baseline"/>
              </w:rPr>
            </w:pPr>
            <w:r>
              <w:rPr>
                <w:rFonts w:hint="eastAsia" w:ascii="仿宋" w:hAnsi="仿宋" w:eastAsia="仿宋" w:cs="仿宋"/>
                <w:b w:val="0"/>
                <w:bCs w:val="0"/>
                <w:color w:val="auto"/>
                <w:sz w:val="24"/>
                <w:szCs w:val="24"/>
                <w:highlight w:val="none"/>
              </w:rPr>
              <w:t>预算金额</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pPr>
              <w:pStyle w:val="53"/>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w:t>
            </w:r>
          </w:p>
        </w:tc>
        <w:tc>
          <w:tcPr>
            <w:tcW w:w="1866" w:type="dxa"/>
            <w:noWrap w:val="0"/>
            <w:vAlign w:val="top"/>
          </w:tcPr>
          <w:p>
            <w:pPr>
              <w:keepNext w:val="0"/>
              <w:keepLines w:val="0"/>
              <w:pageBreakBefore w:val="0"/>
              <w:kinsoku/>
              <w:wordWrap/>
              <w:overflowPunct/>
              <w:topLinePunct w:val="0"/>
              <w:bidi w:val="0"/>
              <w:spacing w:line="360" w:lineRule="auto"/>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东北大米</w:t>
            </w:r>
          </w:p>
        </w:tc>
        <w:tc>
          <w:tcPr>
            <w:tcW w:w="1866" w:type="dxa"/>
            <w:noWrap w:val="0"/>
            <w:vAlign w:val="top"/>
          </w:tcPr>
          <w:p>
            <w:pPr>
              <w:keepNext w:val="0"/>
              <w:keepLines w:val="0"/>
              <w:pageBreakBefore w:val="0"/>
              <w:kinsoku/>
              <w:wordWrap/>
              <w:overflowPunct/>
              <w:topLinePunct w:val="0"/>
              <w:bidi w:val="0"/>
              <w:spacing w:line="360" w:lineRule="auto"/>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25kg</w:t>
            </w:r>
          </w:p>
        </w:tc>
        <w:tc>
          <w:tcPr>
            <w:tcW w:w="925" w:type="dxa"/>
            <w:noWrap w:val="0"/>
            <w:vAlign w:val="center"/>
          </w:tcPr>
          <w:p>
            <w:pPr>
              <w:pStyle w:val="53"/>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w:t>
            </w:r>
          </w:p>
        </w:tc>
        <w:tc>
          <w:tcPr>
            <w:tcW w:w="763" w:type="dxa"/>
            <w:noWrap w:val="0"/>
            <w:vAlign w:val="center"/>
          </w:tcPr>
          <w:p>
            <w:pPr>
              <w:pStyle w:val="53"/>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年</w:t>
            </w:r>
          </w:p>
        </w:tc>
        <w:tc>
          <w:tcPr>
            <w:tcW w:w="2000" w:type="dxa"/>
            <w:noWrap w:val="0"/>
            <w:vAlign w:val="top"/>
          </w:tcPr>
          <w:p>
            <w:pPr>
              <w:pStyle w:val="53"/>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1700万元</w:t>
            </w:r>
          </w:p>
        </w:tc>
        <w:tc>
          <w:tcPr>
            <w:tcW w:w="937" w:type="dxa"/>
            <w:noWrap w:val="0"/>
            <w:vAlign w:val="top"/>
          </w:tcPr>
          <w:p>
            <w:pPr>
              <w:pStyle w:val="53"/>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b w:val="0"/>
                <w:bCs w:val="0"/>
                <w:color w:val="auto"/>
                <w:sz w:val="24"/>
                <w:szCs w:val="24"/>
                <w:highlight w:val="none"/>
                <w:vertAlign w:val="baseline"/>
              </w:rPr>
            </w:pPr>
          </w:p>
        </w:tc>
      </w:tr>
    </w:tbl>
    <w:p>
      <w:pPr>
        <w:pageBreakBefore w:val="0"/>
        <w:shd w:val="clear" w:color="auto" w:fill="auto"/>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color w:val="auto"/>
          <w:sz w:val="24"/>
          <w:szCs w:val="28"/>
          <w:highlight w:val="none"/>
          <w:u w:val="single"/>
          <w:lang w:eastAsia="zh-CN"/>
        </w:rPr>
      </w:pPr>
      <w:r>
        <w:rPr>
          <w:rFonts w:hint="eastAsia" w:ascii="仿宋" w:hAnsi="仿宋" w:eastAsia="仿宋" w:cs="仿宋"/>
          <w:color w:val="auto"/>
          <w:sz w:val="24"/>
          <w:szCs w:val="28"/>
          <w:highlight w:val="none"/>
        </w:rPr>
        <w:t>合同履行期限：详见</w:t>
      </w:r>
      <w:r>
        <w:rPr>
          <w:rFonts w:hint="eastAsia" w:ascii="仿宋" w:hAnsi="仿宋" w:eastAsia="仿宋" w:cs="仿宋"/>
          <w:color w:val="auto"/>
          <w:sz w:val="24"/>
          <w:szCs w:val="28"/>
          <w:highlight w:val="none"/>
          <w:lang w:eastAsia="zh-CN"/>
        </w:rPr>
        <w:t>招标文件</w:t>
      </w:r>
    </w:p>
    <w:p>
      <w:pPr>
        <w:pageBreakBefore w:val="0"/>
        <w:shd w:val="clear" w:color="auto" w:fill="auto"/>
        <w:kinsoku/>
        <w:wordWrap/>
        <w:overflowPunct/>
        <w:topLinePunct w:val="0"/>
        <w:autoSpaceDE/>
        <w:autoSpaceDN/>
        <w:bidi w:val="0"/>
        <w:snapToGrid/>
        <w:spacing w:line="360" w:lineRule="auto"/>
        <w:ind w:firstLine="504" w:firstLineChars="200"/>
        <w:jc w:val="left"/>
        <w:textAlignment w:val="auto"/>
        <w:rPr>
          <w:rFonts w:hint="eastAsia" w:ascii="仿宋" w:hAnsi="仿宋" w:eastAsia="仿宋" w:cs="仿宋"/>
          <w:b/>
          <w:color w:val="auto"/>
          <w:spacing w:val="6"/>
          <w:sz w:val="24"/>
          <w:szCs w:val="24"/>
          <w:highlight w:val="none"/>
          <w:lang w:val="en-US" w:eastAsia="zh-CN"/>
        </w:rPr>
      </w:pPr>
      <w:r>
        <w:rPr>
          <w:rFonts w:hint="eastAsia" w:ascii="仿宋" w:hAnsi="仿宋" w:eastAsia="仿宋" w:cs="仿宋"/>
          <w:b w:val="0"/>
          <w:bCs/>
          <w:color w:val="auto"/>
          <w:spacing w:val="6"/>
          <w:sz w:val="24"/>
          <w:szCs w:val="24"/>
          <w:highlight w:val="none"/>
          <w:lang w:val="en-US" w:eastAsia="zh-CN"/>
        </w:rPr>
        <w:t>本项目（否）接受联合体</w:t>
      </w:r>
      <w:r>
        <w:rPr>
          <w:rFonts w:hint="eastAsia" w:ascii="仿宋" w:hAnsi="仿宋" w:eastAsia="仿宋" w:cs="仿宋"/>
          <w:color w:val="auto"/>
          <w:sz w:val="24"/>
          <w:szCs w:val="28"/>
          <w:highlight w:val="none"/>
        </w:rPr>
        <w:t>。</w:t>
      </w:r>
    </w:p>
    <w:p>
      <w:pPr>
        <w:keepNext w:val="0"/>
        <w:keepLines w:val="0"/>
        <w:pageBreakBefore w:val="0"/>
        <w:widowControl w:val="0"/>
        <w:kinsoku/>
        <w:wordWrap/>
        <w:overflowPunct/>
        <w:topLinePunct w:val="0"/>
        <w:autoSpaceDE/>
        <w:autoSpaceDN/>
        <w:bidi w:val="0"/>
        <w:adjustRightInd/>
        <w:ind w:firstLine="506"/>
        <w:textAlignment w:val="auto"/>
        <w:outlineLvl w:val="9"/>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lang w:val="en-US" w:eastAsia="zh-CN"/>
        </w:rPr>
        <w:t>二</w:t>
      </w:r>
      <w:r>
        <w:rPr>
          <w:rFonts w:hint="eastAsia" w:ascii="仿宋" w:hAnsi="仿宋" w:eastAsia="仿宋" w:cs="仿宋"/>
          <w:b/>
          <w:color w:val="auto"/>
          <w:spacing w:val="6"/>
          <w:sz w:val="24"/>
          <w:szCs w:val="24"/>
          <w:highlight w:val="none"/>
        </w:rPr>
        <w:t>、投标人资格要求</w:t>
      </w:r>
    </w:p>
    <w:p>
      <w:pPr>
        <w:pageBreakBefore w:val="0"/>
        <w:shd w:val="clear" w:color="auto" w:fill="auto"/>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i w:val="0"/>
          <w:iCs w:val="0"/>
          <w:color w:val="auto"/>
          <w:sz w:val="24"/>
          <w:szCs w:val="28"/>
          <w:highlight w:val="none"/>
          <w:u w:val="none"/>
        </w:rPr>
      </w:pPr>
      <w:r>
        <w:rPr>
          <w:rFonts w:hint="eastAsia" w:ascii="仿宋" w:hAnsi="仿宋" w:eastAsia="仿宋" w:cs="仿宋"/>
          <w:i w:val="0"/>
          <w:iCs w:val="0"/>
          <w:color w:val="auto"/>
          <w:sz w:val="24"/>
          <w:szCs w:val="28"/>
          <w:highlight w:val="none"/>
          <w:u w:val="none"/>
        </w:rPr>
        <w:t>具备《嵊州市市属国有企业货物和服务采购管理办法（试行）》第十七条规定的条件：</w:t>
      </w:r>
    </w:p>
    <w:p>
      <w:pPr>
        <w:pageBreakBefore w:val="0"/>
        <w:shd w:val="clear" w:color="auto" w:fill="auto"/>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i w:val="0"/>
          <w:iCs w:val="0"/>
          <w:color w:val="auto"/>
          <w:sz w:val="24"/>
          <w:szCs w:val="28"/>
          <w:highlight w:val="none"/>
          <w:u w:val="none"/>
        </w:rPr>
      </w:pPr>
      <w:r>
        <w:rPr>
          <w:rFonts w:hint="eastAsia" w:ascii="仿宋" w:hAnsi="仿宋" w:eastAsia="仿宋" w:cs="仿宋"/>
          <w:i w:val="0"/>
          <w:iCs w:val="0"/>
          <w:color w:val="auto"/>
          <w:sz w:val="24"/>
          <w:szCs w:val="28"/>
          <w:highlight w:val="none"/>
          <w:u w:val="none"/>
        </w:rPr>
        <w:t>1.具有独立承担民事责任的能力；</w:t>
      </w:r>
    </w:p>
    <w:p>
      <w:pPr>
        <w:pageBreakBefore w:val="0"/>
        <w:shd w:val="clear" w:color="auto" w:fill="auto"/>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i w:val="0"/>
          <w:iCs w:val="0"/>
          <w:color w:val="auto"/>
          <w:sz w:val="24"/>
          <w:szCs w:val="28"/>
          <w:highlight w:val="none"/>
          <w:u w:val="none"/>
        </w:rPr>
      </w:pPr>
      <w:r>
        <w:rPr>
          <w:rFonts w:hint="eastAsia" w:ascii="仿宋" w:hAnsi="仿宋" w:eastAsia="仿宋" w:cs="仿宋"/>
          <w:i w:val="0"/>
          <w:iCs w:val="0"/>
          <w:color w:val="auto"/>
          <w:sz w:val="24"/>
          <w:szCs w:val="28"/>
          <w:highlight w:val="none"/>
          <w:u w:val="none"/>
        </w:rPr>
        <w:t>2.具有良好的商业信誉；</w:t>
      </w:r>
    </w:p>
    <w:p>
      <w:pPr>
        <w:pageBreakBefore w:val="0"/>
        <w:shd w:val="clear" w:color="auto" w:fill="auto"/>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i w:val="0"/>
          <w:iCs w:val="0"/>
          <w:color w:val="auto"/>
          <w:sz w:val="24"/>
          <w:szCs w:val="28"/>
          <w:highlight w:val="none"/>
          <w:u w:val="none"/>
        </w:rPr>
      </w:pPr>
      <w:r>
        <w:rPr>
          <w:rFonts w:hint="eastAsia" w:ascii="仿宋" w:hAnsi="仿宋" w:eastAsia="仿宋" w:cs="仿宋"/>
          <w:i w:val="0"/>
          <w:iCs w:val="0"/>
          <w:color w:val="auto"/>
          <w:sz w:val="24"/>
          <w:szCs w:val="28"/>
          <w:highlight w:val="none"/>
          <w:u w:val="none"/>
        </w:rPr>
        <w:t>3.具有履行合同所必需的设备和专业技术，售后保障等能力；</w:t>
      </w:r>
    </w:p>
    <w:p>
      <w:pPr>
        <w:pageBreakBefore w:val="0"/>
        <w:shd w:val="clear" w:color="auto" w:fill="auto"/>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i w:val="0"/>
          <w:iCs w:val="0"/>
          <w:color w:val="auto"/>
          <w:sz w:val="24"/>
          <w:szCs w:val="28"/>
          <w:highlight w:val="none"/>
          <w:u w:val="none"/>
        </w:rPr>
      </w:pPr>
      <w:r>
        <w:rPr>
          <w:rFonts w:hint="eastAsia" w:ascii="仿宋" w:hAnsi="仿宋" w:eastAsia="仿宋" w:cs="仿宋"/>
          <w:i w:val="0"/>
          <w:iCs w:val="0"/>
          <w:color w:val="auto"/>
          <w:sz w:val="24"/>
          <w:szCs w:val="28"/>
          <w:highlight w:val="none"/>
          <w:u w:val="none"/>
        </w:rPr>
        <w:t>4.有依法缴纳税收和社会保障资金的良好记录；</w:t>
      </w:r>
    </w:p>
    <w:p>
      <w:pPr>
        <w:pageBreakBefore w:val="0"/>
        <w:shd w:val="clear" w:color="auto" w:fill="auto"/>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i w:val="0"/>
          <w:iCs w:val="0"/>
          <w:color w:val="auto"/>
          <w:sz w:val="24"/>
          <w:szCs w:val="28"/>
          <w:highlight w:val="none"/>
          <w:u w:val="none"/>
        </w:rPr>
      </w:pPr>
      <w:r>
        <w:rPr>
          <w:rFonts w:hint="eastAsia" w:ascii="仿宋" w:hAnsi="仿宋" w:eastAsia="仿宋" w:cs="仿宋"/>
          <w:i w:val="0"/>
          <w:iCs w:val="0"/>
          <w:color w:val="auto"/>
          <w:sz w:val="24"/>
          <w:szCs w:val="28"/>
          <w:highlight w:val="none"/>
          <w:u w:val="none"/>
        </w:rPr>
        <w:t>5.参加采购活动前三年内，没有重大违法记录，严重失信行为和行贿记录；</w:t>
      </w:r>
    </w:p>
    <w:p>
      <w:pPr>
        <w:pageBreakBefore w:val="0"/>
        <w:shd w:val="clear" w:color="auto" w:fill="auto"/>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i w:val="0"/>
          <w:iCs w:val="0"/>
          <w:color w:val="auto"/>
          <w:sz w:val="24"/>
          <w:szCs w:val="28"/>
          <w:highlight w:val="none"/>
          <w:u w:val="none"/>
        </w:rPr>
      </w:pPr>
      <w:r>
        <w:rPr>
          <w:rFonts w:hint="eastAsia" w:ascii="仿宋" w:hAnsi="仿宋" w:eastAsia="仿宋" w:cs="仿宋"/>
          <w:i w:val="0"/>
          <w:iCs w:val="0"/>
          <w:color w:val="auto"/>
          <w:sz w:val="24"/>
          <w:szCs w:val="28"/>
          <w:highlight w:val="none"/>
          <w:u w:val="none"/>
        </w:rPr>
        <w:t>6.法律、行政法规规定的其他条件；</w:t>
      </w:r>
    </w:p>
    <w:p>
      <w:pPr>
        <w:pageBreakBefore w:val="0"/>
        <w:shd w:val="clear" w:color="auto" w:fill="auto"/>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i w:val="0"/>
          <w:iCs w:val="0"/>
          <w:color w:val="auto"/>
          <w:sz w:val="24"/>
          <w:szCs w:val="28"/>
          <w:highlight w:val="none"/>
          <w:u w:val="none"/>
        </w:rPr>
      </w:pPr>
      <w:r>
        <w:rPr>
          <w:rFonts w:hint="eastAsia" w:ascii="仿宋" w:hAnsi="仿宋" w:eastAsia="仿宋" w:cs="仿宋"/>
          <w:i w:val="0"/>
          <w:iCs w:val="0"/>
          <w:color w:val="auto"/>
          <w:sz w:val="24"/>
          <w:szCs w:val="28"/>
          <w:highlight w:val="none"/>
          <w:u w:val="none"/>
        </w:rPr>
        <w:t>未被“信用中国”（www.creditchina.gov.cn)、中国政府采购网（www.ccgp.gov.cn）列入失信被执行人、重大税收违法案件当事人名单、政府采购严重违法失信行为记录名单；</w:t>
      </w:r>
    </w:p>
    <w:p>
      <w:pPr>
        <w:pageBreakBefore w:val="0"/>
        <w:shd w:val="clear" w:color="auto" w:fill="auto"/>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i w:val="0"/>
          <w:iCs w:val="0"/>
          <w:color w:val="auto"/>
          <w:sz w:val="24"/>
          <w:szCs w:val="28"/>
          <w:highlight w:val="none"/>
          <w:u w:val="none"/>
        </w:rPr>
      </w:pPr>
      <w:r>
        <w:rPr>
          <w:rFonts w:hint="eastAsia" w:ascii="仿宋" w:hAnsi="仿宋" w:eastAsia="仿宋" w:cs="仿宋"/>
          <w:i w:val="0"/>
          <w:iCs w:val="0"/>
          <w:color w:val="auto"/>
          <w:sz w:val="24"/>
          <w:szCs w:val="28"/>
          <w:highlight w:val="none"/>
          <w:u w:val="none"/>
        </w:rPr>
        <w:t>7.本项目的特定资格要求：具有</w:t>
      </w:r>
      <w:r>
        <w:rPr>
          <w:rFonts w:hint="eastAsia" w:ascii="仿宋" w:hAnsi="仿宋" w:eastAsia="仿宋" w:cs="仿宋"/>
          <w:i w:val="0"/>
          <w:iCs w:val="0"/>
          <w:color w:val="auto"/>
          <w:sz w:val="24"/>
          <w:szCs w:val="28"/>
          <w:highlight w:val="none"/>
          <w:u w:val="none"/>
          <w:lang w:val="en-US" w:eastAsia="zh-CN"/>
        </w:rPr>
        <w:t>有效的</w:t>
      </w:r>
      <w:r>
        <w:rPr>
          <w:rFonts w:hint="eastAsia" w:ascii="仿宋" w:hAnsi="仿宋" w:eastAsia="仿宋" w:cs="仿宋"/>
          <w:i w:val="0"/>
          <w:iCs w:val="0"/>
          <w:color w:val="auto"/>
          <w:sz w:val="24"/>
          <w:szCs w:val="28"/>
          <w:highlight w:val="none"/>
          <w:u w:val="none"/>
        </w:rPr>
        <w:t>食品经营许可证或食品生产许可证。</w:t>
      </w:r>
    </w:p>
    <w:p>
      <w:pPr>
        <w:keepNext w:val="0"/>
        <w:keepLines w:val="0"/>
        <w:pageBreakBefore w:val="0"/>
        <w:widowControl w:val="0"/>
        <w:kinsoku/>
        <w:wordWrap/>
        <w:overflowPunct/>
        <w:topLinePunct w:val="0"/>
        <w:autoSpaceDE/>
        <w:autoSpaceDN/>
        <w:bidi w:val="0"/>
        <w:adjustRightInd/>
        <w:ind w:firstLine="482"/>
        <w:textAlignment w:val="auto"/>
        <w:outlineLvl w:val="9"/>
        <w:rPr>
          <w:rFonts w:hint="eastAsia" w:ascii="仿宋" w:hAnsi="仿宋" w:eastAsia="仿宋" w:cs="仿宋"/>
          <w:i w:val="0"/>
          <w:iCs w:val="0"/>
          <w:color w:val="auto"/>
          <w:sz w:val="24"/>
          <w:szCs w:val="28"/>
          <w:highlight w:val="none"/>
          <w:u w:val="none"/>
        </w:rPr>
      </w:pPr>
      <w:r>
        <w:rPr>
          <w:rFonts w:hint="eastAsia" w:ascii="仿宋" w:hAnsi="仿宋" w:eastAsia="仿宋" w:cs="仿宋"/>
          <w:i w:val="0"/>
          <w:iCs w:val="0"/>
          <w:color w:val="auto"/>
          <w:sz w:val="24"/>
          <w:szCs w:val="28"/>
          <w:highlight w:val="none"/>
          <w:u w:val="none"/>
        </w:rPr>
        <w:t>8.单位负责人为同一人或者存在直接控股、管理关系的不同供应商，不得参加同一合同项下的采购活动；为采购项目提供整体设计、规范编制或者项目管理、监理、检测等服务后不得再参加该采购项目的其他采购活动。</w:t>
      </w:r>
    </w:p>
    <w:p>
      <w:pPr>
        <w:keepNext w:val="0"/>
        <w:keepLines w:val="0"/>
        <w:pageBreakBefore w:val="0"/>
        <w:widowControl w:val="0"/>
        <w:kinsoku/>
        <w:wordWrap/>
        <w:overflowPunct/>
        <w:topLinePunct w:val="0"/>
        <w:autoSpaceDE/>
        <w:autoSpaceDN/>
        <w:bidi w:val="0"/>
        <w:adjustRightInd/>
        <w:ind w:firstLine="482"/>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、招标文件的获取</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sz w:val="24"/>
          <w:lang w:eastAsia="zh-CN"/>
        </w:rPr>
      </w:pPr>
      <w:bookmarkStart w:id="14" w:name="_Toc180555916"/>
      <w:bookmarkStart w:id="15" w:name="_Toc226337757"/>
      <w:bookmarkStart w:id="16" w:name="_Toc304551309"/>
      <w:bookmarkStart w:id="17" w:name="_Toc383683530"/>
      <w:bookmarkStart w:id="18" w:name="_Toc348704822"/>
      <w:bookmarkStart w:id="19" w:name="_Toc339302124"/>
      <w:bookmarkStart w:id="20" w:name="_Toc348709928"/>
      <w:bookmarkStart w:id="21" w:name="_Toc341768535"/>
      <w:bookmarkStart w:id="22" w:name="_Toc340322163"/>
      <w:bookmarkStart w:id="23" w:name="_Toc248065035"/>
      <w:bookmarkStart w:id="24" w:name="_Toc340321908"/>
      <w:r>
        <w:rPr>
          <w:rFonts w:hint="eastAsia" w:ascii="仿宋" w:hAnsi="仿宋" w:eastAsia="仿宋" w:cs="仿宋"/>
          <w:b w:val="0"/>
          <w:bCs/>
          <w:color w:val="auto"/>
          <w:sz w:val="24"/>
          <w:lang w:val="en-US" w:eastAsia="zh-CN"/>
        </w:rPr>
        <w:t>1.</w:t>
      </w:r>
      <w:r>
        <w:rPr>
          <w:rFonts w:hint="eastAsia" w:ascii="仿宋" w:hAnsi="仿宋" w:eastAsia="仿宋" w:cs="仿宋"/>
          <w:b w:val="0"/>
          <w:bCs/>
          <w:color w:val="auto"/>
          <w:sz w:val="24"/>
        </w:rPr>
        <w:t>时间：/至</w:t>
      </w:r>
      <w:r>
        <w:rPr>
          <w:rFonts w:hint="eastAsia" w:ascii="仿宋" w:hAnsi="仿宋" w:eastAsia="仿宋" w:cs="仿宋"/>
          <w:b w:val="0"/>
          <w:bCs/>
          <w:color w:val="auto"/>
          <w:sz w:val="24"/>
          <w:u w:val="single"/>
          <w:lang w:eastAsia="zh-CN"/>
        </w:rPr>
        <w:t>2024年8月16日</w:t>
      </w:r>
      <w:r>
        <w:rPr>
          <w:rFonts w:hint="eastAsia" w:ascii="仿宋" w:hAnsi="仿宋" w:eastAsia="仿宋" w:cs="仿宋"/>
          <w:b w:val="0"/>
          <w:bCs/>
          <w:color w:val="auto"/>
          <w:sz w:val="24"/>
        </w:rPr>
        <w:t>，每天上午00:00至12:00</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下午12:00至23:59（北京时间，线上获取法定节假日均可，线下获取文件法定节假日除外）</w:t>
      </w:r>
      <w:r>
        <w:rPr>
          <w:rFonts w:hint="eastAsia" w:ascii="仿宋" w:hAnsi="仿宋" w:eastAsia="仿宋" w:cs="仿宋"/>
          <w:b w:val="0"/>
          <w:bCs/>
          <w:color w:val="auto"/>
          <w:sz w:val="24"/>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val="en-US" w:eastAsia="zh-CN"/>
        </w:rPr>
        <w:t>2.</w:t>
      </w:r>
      <w:r>
        <w:rPr>
          <w:rFonts w:hint="eastAsia" w:ascii="仿宋" w:hAnsi="仿宋" w:eastAsia="仿宋" w:cs="仿宋"/>
          <w:b w:val="0"/>
          <w:bCs/>
          <w:color w:val="auto"/>
          <w:sz w:val="24"/>
        </w:rPr>
        <w:t>地点（网址）：</w:t>
      </w:r>
      <w:r>
        <w:rPr>
          <w:rFonts w:hint="eastAsia" w:ascii="仿宋" w:hAnsi="仿宋" w:eastAsia="仿宋" w:cs="仿宋"/>
          <w:b w:val="0"/>
          <w:bCs/>
          <w:color w:val="auto"/>
          <w:sz w:val="24"/>
          <w:lang w:eastAsia="zh-CN"/>
        </w:rPr>
        <w:t>乐采云</w:t>
      </w:r>
      <w:r>
        <w:rPr>
          <w:rFonts w:hint="eastAsia" w:ascii="仿宋" w:hAnsi="仿宋" w:eastAsia="仿宋" w:cs="仿宋"/>
          <w:b w:val="0"/>
          <w:bCs/>
          <w:color w:val="auto"/>
          <w:sz w:val="24"/>
        </w:rPr>
        <w:t>平台（https://www.</w:t>
      </w:r>
      <w:r>
        <w:rPr>
          <w:rFonts w:hint="eastAsia" w:ascii="仿宋" w:hAnsi="仿宋" w:eastAsia="仿宋" w:cs="仿宋"/>
          <w:b w:val="0"/>
          <w:bCs/>
          <w:color w:val="auto"/>
          <w:sz w:val="24"/>
          <w:lang w:eastAsia="zh-CN"/>
        </w:rPr>
        <w:t>lecaiyun.com</w:t>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3.</w:t>
      </w:r>
      <w:r>
        <w:rPr>
          <w:rFonts w:hint="eastAsia" w:ascii="仿宋" w:hAnsi="仿宋" w:eastAsia="仿宋" w:cs="仿宋"/>
          <w:b w:val="0"/>
          <w:bCs/>
          <w:color w:val="auto"/>
          <w:sz w:val="24"/>
        </w:rPr>
        <w:t>方式：供应商登录</w:t>
      </w:r>
      <w:r>
        <w:rPr>
          <w:rFonts w:hint="eastAsia" w:ascii="仿宋" w:hAnsi="仿宋" w:eastAsia="仿宋" w:cs="仿宋"/>
          <w:b w:val="0"/>
          <w:bCs/>
          <w:color w:val="auto"/>
          <w:sz w:val="24"/>
          <w:lang w:eastAsia="zh-CN"/>
        </w:rPr>
        <w:t>乐采云</w:t>
      </w:r>
      <w:r>
        <w:rPr>
          <w:rFonts w:hint="eastAsia" w:ascii="仿宋" w:hAnsi="仿宋" w:eastAsia="仿宋" w:cs="仿宋"/>
          <w:b w:val="0"/>
          <w:bCs/>
          <w:color w:val="auto"/>
          <w:sz w:val="24"/>
        </w:rPr>
        <w:t>平台https://www.</w:t>
      </w:r>
      <w:r>
        <w:rPr>
          <w:rFonts w:hint="eastAsia" w:ascii="仿宋" w:hAnsi="仿宋" w:eastAsia="仿宋" w:cs="仿宋"/>
          <w:b w:val="0"/>
          <w:bCs/>
          <w:color w:val="auto"/>
          <w:sz w:val="24"/>
          <w:lang w:eastAsia="zh-CN"/>
        </w:rPr>
        <w:t>lecaiyun.com</w:t>
      </w:r>
      <w:r>
        <w:rPr>
          <w:rFonts w:hint="eastAsia" w:ascii="仿宋" w:hAnsi="仿宋" w:eastAsia="仿宋" w:cs="仿宋"/>
          <w:b w:val="0"/>
          <w:bCs/>
          <w:color w:val="auto"/>
          <w:sz w:val="24"/>
        </w:rPr>
        <w:t xml:space="preserve">/在线申请获取采购文件（进入“项目采购”应用，在获取采购文件菜单中选择项目，申请获取采购文件）。 </w:t>
      </w:r>
    </w:p>
    <w:p>
      <w:pPr>
        <w:keepNext w:val="0"/>
        <w:keepLines w:val="0"/>
        <w:pageBreakBefore w:val="0"/>
        <w:widowControl w:val="0"/>
        <w:kinsoku/>
        <w:wordWrap/>
        <w:overflowPunct/>
        <w:topLinePunct w:val="0"/>
        <w:autoSpaceDE/>
        <w:autoSpaceDN/>
        <w:bidi w:val="0"/>
        <w:adjustRightInd/>
        <w:snapToGrid w:val="0"/>
        <w:ind w:firstLine="480"/>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lang w:val="en-US" w:eastAsia="zh-CN"/>
        </w:rPr>
        <w:t>4.</w:t>
      </w:r>
      <w:r>
        <w:rPr>
          <w:rFonts w:hint="eastAsia" w:ascii="仿宋" w:hAnsi="仿宋" w:eastAsia="仿宋" w:cs="仿宋"/>
          <w:b w:val="0"/>
          <w:bCs/>
          <w:color w:val="auto"/>
          <w:sz w:val="24"/>
        </w:rPr>
        <w:t>售价（元）：0</w:t>
      </w:r>
      <w:r>
        <w:rPr>
          <w:rFonts w:hint="eastAsia" w:ascii="仿宋" w:hAnsi="仿宋" w:eastAsia="仿宋" w:cs="仿宋"/>
          <w:b w:val="0"/>
          <w:bCs/>
          <w:color w:val="auto"/>
          <w:sz w:val="24"/>
          <w:lang w:eastAsia="zh-CN"/>
        </w:rPr>
        <w:t>。</w:t>
      </w:r>
    </w:p>
    <w:p>
      <w:pPr>
        <w:keepNext w:val="0"/>
        <w:keepLines w:val="0"/>
        <w:pageBreakBefore w:val="0"/>
        <w:widowControl w:val="0"/>
        <w:kinsoku/>
        <w:wordWrap/>
        <w:overflowPunct/>
        <w:topLinePunct w:val="0"/>
        <w:autoSpaceDE/>
        <w:autoSpaceDN/>
        <w:bidi w:val="0"/>
        <w:adjustRightInd/>
        <w:snapToGrid w:val="0"/>
        <w:ind w:firstLine="482"/>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提示：采购公告附件内的采购文件（或采购需求）仅供阅览使用，供应商只有在“乐采云平台”完成获取采购文件申请并下载了采购文件后才视作依法获取采购文件（法律法规所指的供应商获取采购文件时间以供应商完成获取采购文件申请后下载采购文件的时间为准）。</w:t>
      </w:r>
    </w:p>
    <w:p>
      <w:pPr>
        <w:keepNext w:val="0"/>
        <w:keepLines w:val="0"/>
        <w:pageBreakBefore w:val="0"/>
        <w:widowControl w:val="0"/>
        <w:kinsoku/>
        <w:wordWrap/>
        <w:overflowPunct/>
        <w:topLinePunct w:val="0"/>
        <w:autoSpaceDE/>
        <w:autoSpaceDN/>
        <w:bidi w:val="0"/>
        <w:adjustRightInd/>
        <w:snapToGrid w:val="0"/>
        <w:ind w:firstLine="482"/>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注：请供应商按上述要求获取采购文件，如未在“乐采云”系统内完成相关流程，引起的投标无效责任自负。</w:t>
      </w:r>
    </w:p>
    <w:p>
      <w:pPr>
        <w:keepNext w:val="0"/>
        <w:keepLines w:val="0"/>
        <w:pageBreakBefore w:val="0"/>
        <w:widowControl w:val="0"/>
        <w:kinsoku/>
        <w:wordWrap/>
        <w:overflowPunct/>
        <w:topLinePunct w:val="0"/>
        <w:autoSpaceDE/>
        <w:autoSpaceDN/>
        <w:bidi w:val="0"/>
        <w:adjustRightInd/>
        <w:snapToGrid w:val="0"/>
        <w:ind w:firstLine="482"/>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6.公告信息及更正补充公告请自行登录浙江政府采购网，在采购公告及更正公告页面中下载。</w:t>
      </w:r>
    </w:p>
    <w:p>
      <w:pPr>
        <w:keepNext w:val="0"/>
        <w:keepLines w:val="0"/>
        <w:pageBreakBefore w:val="0"/>
        <w:widowControl w:val="0"/>
        <w:kinsoku/>
        <w:wordWrap/>
        <w:overflowPunct/>
        <w:topLinePunct w:val="0"/>
        <w:autoSpaceDE/>
        <w:autoSpaceDN/>
        <w:bidi w:val="0"/>
        <w:adjustRightInd/>
        <w:snapToGrid w:val="0"/>
        <w:ind w:firstLine="482"/>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val="0"/>
        <w:ind w:firstLine="482"/>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1.提交投标文件截止时间：</w:t>
      </w:r>
      <w:r>
        <w:rPr>
          <w:rFonts w:hint="eastAsia" w:ascii="仿宋" w:hAnsi="仿宋" w:eastAsia="仿宋" w:cs="仿宋"/>
          <w:b w:val="0"/>
          <w:bCs w:val="0"/>
          <w:color w:val="auto"/>
          <w:sz w:val="24"/>
          <w:szCs w:val="24"/>
          <w:highlight w:val="none"/>
          <w:lang w:eastAsia="zh-CN"/>
        </w:rPr>
        <w:t>2024年8月16日09:00</w:t>
      </w:r>
      <w:r>
        <w:rPr>
          <w:rFonts w:hint="eastAsia" w:ascii="仿宋" w:hAnsi="仿宋" w:eastAsia="仿宋" w:cs="仿宋"/>
          <w:b w:val="0"/>
          <w:bCs w:val="0"/>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snapToGrid w:val="0"/>
        <w:ind w:firstLine="482"/>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2.投标地点（网址）：乐采云平台（https://www.lecaiyun.com/）</w:t>
      </w:r>
    </w:p>
    <w:p>
      <w:pPr>
        <w:keepNext w:val="0"/>
        <w:keepLines w:val="0"/>
        <w:pageBreakBefore w:val="0"/>
        <w:widowControl w:val="0"/>
        <w:kinsoku/>
        <w:wordWrap/>
        <w:overflowPunct/>
        <w:topLinePunct w:val="0"/>
        <w:autoSpaceDE/>
        <w:autoSpaceDN/>
        <w:bidi w:val="0"/>
        <w:adjustRightInd/>
        <w:snapToGrid w:val="0"/>
        <w:ind w:firstLine="482"/>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3.开标时间：</w:t>
      </w:r>
      <w:r>
        <w:rPr>
          <w:rFonts w:hint="eastAsia" w:ascii="仿宋" w:hAnsi="仿宋" w:eastAsia="仿宋" w:cs="仿宋"/>
          <w:b w:val="0"/>
          <w:bCs w:val="0"/>
          <w:color w:val="auto"/>
          <w:sz w:val="24"/>
          <w:szCs w:val="24"/>
          <w:highlight w:val="none"/>
          <w:lang w:eastAsia="zh-CN"/>
        </w:rPr>
        <w:t>2024年8月16日09:00</w:t>
      </w:r>
      <w:r>
        <w:rPr>
          <w:rFonts w:hint="eastAsia" w:ascii="仿宋" w:hAnsi="仿宋" w:eastAsia="仿宋" w:cs="仿宋"/>
          <w:b w:val="0"/>
          <w:bCs w:val="0"/>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snapToGrid w:val="0"/>
        <w:ind w:firstLine="482"/>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4.开标地点（网址）：</w:t>
      </w:r>
      <w:r>
        <w:rPr>
          <w:rFonts w:hint="eastAsia" w:ascii="仿宋" w:hAnsi="仿宋" w:eastAsia="仿宋" w:cs="仿宋"/>
          <w:color w:val="auto"/>
          <w:sz w:val="24"/>
          <w:szCs w:val="24"/>
          <w:highlight w:val="none"/>
          <w:lang w:eastAsia="zh-CN"/>
        </w:rPr>
        <w:t>嵊州市公共资源交易中心(官河南路699号国际会展中心北楼三楼)，在乐采云平台（https://www.lecaiyun.com/）上开启响应文件。</w:t>
      </w:r>
    </w:p>
    <w:p>
      <w:pPr>
        <w:snapToGrid w:val="0"/>
        <w:ind w:firstLine="482"/>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p>
    <w:p>
      <w:pPr>
        <w:snapToGrid w:val="0"/>
        <w:ind w:firstLine="482"/>
        <w:outlineLvl w:val="9"/>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自本公告发布之日起5个工作日。</w:t>
      </w:r>
    </w:p>
    <w:p>
      <w:pPr>
        <w:snapToGrid w:val="0"/>
        <w:ind w:firstLine="482"/>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六、其他补充事宜</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506" w:firstLineChars="201"/>
        <w:jc w:val="both"/>
        <w:textAlignment w:val="auto"/>
        <w:rPr>
          <w:rFonts w:hint="eastAsia" w:ascii="仿宋" w:hAnsi="仿宋" w:eastAsia="仿宋" w:cs="仿宋"/>
          <w:color w:val="auto"/>
          <w:spacing w:val="6"/>
          <w:kern w:val="1"/>
          <w:sz w:val="24"/>
          <w:szCs w:val="24"/>
          <w:highlight w:val="none"/>
          <w:lang w:val="en-US" w:eastAsia="zh-CN" w:bidi="ar-SA"/>
        </w:rPr>
      </w:pPr>
      <w:r>
        <w:rPr>
          <w:rFonts w:hint="eastAsia" w:ascii="仿宋" w:hAnsi="仿宋" w:eastAsia="仿宋" w:cs="仿宋"/>
          <w:color w:val="auto"/>
          <w:spacing w:val="6"/>
          <w:kern w:val="1"/>
          <w:sz w:val="24"/>
          <w:szCs w:val="24"/>
          <w:highlight w:val="none"/>
          <w:lang w:val="en-US" w:eastAsia="zh-CN" w:bidi="ar-SA"/>
        </w:rPr>
        <w:t>1.本项目通过“乐采云平台（www.lecaiyun.com）”实行在线投标响应（电子投标），供应商应先安装“乐采云电子交易客户端”，并按照本招标文件和“乐采云”的要求，通过“乐采云电子交易客户端”编制并加密投标文件。供应商未按规定加密的投标文件，“乐采云”将予以拒收。</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506" w:firstLineChars="201"/>
        <w:jc w:val="both"/>
        <w:textAlignment w:val="auto"/>
        <w:rPr>
          <w:rFonts w:hint="eastAsia" w:ascii="仿宋" w:hAnsi="仿宋" w:eastAsia="仿宋" w:cs="仿宋"/>
          <w:color w:val="auto"/>
          <w:spacing w:val="6"/>
          <w:kern w:val="1"/>
          <w:sz w:val="24"/>
          <w:szCs w:val="24"/>
          <w:highlight w:val="none"/>
          <w:lang w:val="en-US" w:eastAsia="zh-CN" w:bidi="ar-SA"/>
        </w:rPr>
      </w:pPr>
      <w:r>
        <w:rPr>
          <w:rFonts w:hint="eastAsia" w:ascii="仿宋" w:hAnsi="仿宋" w:eastAsia="仿宋" w:cs="仿宋"/>
          <w:color w:val="auto"/>
          <w:spacing w:val="6"/>
          <w:kern w:val="1"/>
          <w:sz w:val="24"/>
          <w:szCs w:val="24"/>
          <w:highlight w:val="none"/>
          <w:lang w:val="en-US" w:eastAsia="zh-CN" w:bidi="ar-SA"/>
        </w:rPr>
        <w:t>2.“乐采云电子交易客户端”请自行前往“浙江政府采购网-下载专区-电子交易客户端”进行下载；电子投标具体操作流程详见本公告附件《供应商项目采购-电子招投标操作指南》；通过“乐采云”参与在线投标时如遇平台技术问题详询95763。</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506" w:firstLineChars="201"/>
        <w:jc w:val="both"/>
        <w:textAlignment w:val="auto"/>
        <w:rPr>
          <w:rFonts w:hint="eastAsia" w:ascii="仿宋" w:hAnsi="仿宋" w:eastAsia="仿宋" w:cs="仿宋"/>
          <w:color w:val="auto"/>
          <w:spacing w:val="6"/>
          <w:kern w:val="1"/>
          <w:sz w:val="24"/>
          <w:szCs w:val="24"/>
          <w:highlight w:val="none"/>
          <w:lang w:val="en-US" w:eastAsia="zh-CN" w:bidi="ar-SA"/>
        </w:rPr>
      </w:pPr>
      <w:r>
        <w:rPr>
          <w:rFonts w:hint="eastAsia" w:ascii="仿宋" w:hAnsi="仿宋" w:eastAsia="仿宋" w:cs="仿宋"/>
          <w:color w:val="auto"/>
          <w:spacing w:val="6"/>
          <w:kern w:val="1"/>
          <w:sz w:val="24"/>
          <w:szCs w:val="24"/>
          <w:highlight w:val="none"/>
          <w:lang w:val="en-US" w:eastAsia="zh-CN" w:bidi="ar-SA"/>
        </w:rPr>
        <w:t>3.为确保网上操作合法、有效和安全，供应商应当在投标截止时间前完成在“乐采云平台”的身份认证，确保在电子投标过程中能够对相关数据电文进行加密和使用电子签章。使用“乐采云电子交易客户端”需要提前申领CA数字证书，申领流程请自行前往“浙江政府采购网-下载专区-电子交易客户端-CA驱动和申领流程”进行查阅；在使用乐采云投标客户端时，建议使用WIN7及以上操作系统。完成CA数字证书办理在资料齐全的情况下预计7个工作日左右，建议供应商获取招标文件后立即办理。</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506" w:firstLineChars="201"/>
        <w:jc w:val="both"/>
        <w:textAlignment w:val="auto"/>
        <w:rPr>
          <w:rFonts w:hint="eastAsia" w:ascii="仿宋" w:hAnsi="仿宋" w:eastAsia="仿宋" w:cs="仿宋"/>
          <w:color w:val="auto"/>
          <w:spacing w:val="6"/>
          <w:kern w:val="1"/>
          <w:sz w:val="24"/>
          <w:szCs w:val="24"/>
          <w:highlight w:val="none"/>
          <w:lang w:val="en-US" w:eastAsia="zh-CN" w:bidi="ar-SA"/>
        </w:rPr>
      </w:pPr>
      <w:r>
        <w:rPr>
          <w:rFonts w:hint="eastAsia" w:ascii="仿宋" w:hAnsi="仿宋" w:eastAsia="仿宋" w:cs="仿宋"/>
          <w:color w:val="auto"/>
          <w:spacing w:val="6"/>
          <w:kern w:val="1"/>
          <w:sz w:val="24"/>
          <w:szCs w:val="24"/>
          <w:highlight w:val="none"/>
          <w:lang w:val="en-US" w:eastAsia="zh-CN" w:bidi="ar-SA"/>
        </w:rPr>
        <w:t>4.投标供应商应当在投标截止时间前，将生成的“电子加密投标文件”上传至“乐采云平台”。投标截止时间以后上传递交的投标文件将被“乐采云平台”拒收。</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506" w:firstLineChars="201"/>
        <w:jc w:val="both"/>
        <w:textAlignment w:val="auto"/>
        <w:rPr>
          <w:rFonts w:hint="eastAsia" w:ascii="仿宋" w:hAnsi="仿宋" w:eastAsia="仿宋" w:cs="仿宋"/>
          <w:color w:val="auto"/>
          <w:spacing w:val="6"/>
          <w:kern w:val="1"/>
          <w:sz w:val="24"/>
          <w:szCs w:val="24"/>
          <w:highlight w:val="none"/>
          <w:lang w:val="en-US" w:eastAsia="zh-CN" w:bidi="ar-SA"/>
        </w:rPr>
      </w:pPr>
      <w:r>
        <w:rPr>
          <w:rFonts w:hint="eastAsia" w:ascii="仿宋" w:hAnsi="仿宋" w:eastAsia="仿宋" w:cs="仿宋"/>
          <w:color w:val="auto"/>
          <w:spacing w:val="6"/>
          <w:kern w:val="1"/>
          <w:sz w:val="24"/>
          <w:szCs w:val="24"/>
          <w:highlight w:val="none"/>
          <w:lang w:val="en-US" w:eastAsia="zh-CN" w:bidi="ar-SA"/>
        </w:rPr>
        <w:t>5.投标供应商在“乐采云平台”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506" w:firstLineChars="201"/>
        <w:jc w:val="both"/>
        <w:textAlignment w:val="auto"/>
        <w:rPr>
          <w:rFonts w:hint="eastAsia" w:ascii="仿宋" w:hAnsi="仿宋" w:eastAsia="仿宋" w:cs="仿宋"/>
          <w:color w:val="auto"/>
          <w:spacing w:val="6"/>
          <w:kern w:val="1"/>
          <w:sz w:val="24"/>
          <w:szCs w:val="24"/>
          <w:highlight w:val="none"/>
          <w:lang w:val="en-US" w:eastAsia="zh-CN" w:bidi="ar-SA"/>
        </w:rPr>
      </w:pPr>
      <w:r>
        <w:rPr>
          <w:rFonts w:hint="eastAsia" w:ascii="仿宋" w:hAnsi="仿宋" w:eastAsia="仿宋" w:cs="仿宋"/>
          <w:color w:val="auto"/>
          <w:spacing w:val="6"/>
          <w:kern w:val="1"/>
          <w:sz w:val="24"/>
          <w:szCs w:val="24"/>
          <w:highlight w:val="none"/>
          <w:lang w:val="en-US" w:eastAsia="zh-CN" w:bidi="ar-SA"/>
        </w:rPr>
        <w:t>6.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506" w:firstLineChars="201"/>
        <w:jc w:val="both"/>
        <w:textAlignment w:val="auto"/>
        <w:rPr>
          <w:rFonts w:hint="eastAsia" w:ascii="仿宋" w:hAnsi="仿宋" w:eastAsia="仿宋" w:cs="仿宋"/>
          <w:color w:val="auto"/>
          <w:spacing w:val="6"/>
          <w:kern w:val="1"/>
          <w:sz w:val="24"/>
          <w:szCs w:val="24"/>
          <w:highlight w:val="none"/>
          <w:lang w:val="en-US" w:eastAsia="zh-CN" w:bidi="ar-SA"/>
        </w:rPr>
      </w:pPr>
      <w:r>
        <w:rPr>
          <w:rFonts w:hint="eastAsia" w:ascii="仿宋" w:hAnsi="仿宋" w:eastAsia="仿宋" w:cs="仿宋"/>
          <w:color w:val="auto"/>
          <w:spacing w:val="6"/>
          <w:kern w:val="1"/>
          <w:sz w:val="24"/>
          <w:szCs w:val="24"/>
          <w:highlight w:val="none"/>
          <w:lang w:val="en-US" w:eastAsia="zh-CN" w:bidi="ar-SA"/>
        </w:rPr>
        <w:t>7.投标人依法获取招标文件后认为招标文件使自己的权益受到损害的，可以自收到招标文件之日（招标文件获取之日在招标文件公告期限届满之日后的以公告期限届满之日</w:t>
      </w:r>
      <w:r>
        <w:rPr>
          <w:rFonts w:hint="eastAsia" w:ascii="仿宋" w:hAnsi="仿宋" w:eastAsia="仿宋" w:cs="仿宋"/>
          <w:color w:val="auto"/>
          <w:spacing w:val="6"/>
          <w:kern w:val="1"/>
          <w:sz w:val="24"/>
          <w:szCs w:val="24"/>
          <w:highlight w:val="none"/>
          <w:lang w:val="zh-CN" w:eastAsia="zh-CN" w:bidi="ar-SA"/>
        </w:rPr>
        <w:t>为准，</w:t>
      </w:r>
      <w:r>
        <w:rPr>
          <w:rFonts w:hint="eastAsia" w:ascii="仿宋" w:hAnsi="仿宋" w:eastAsia="仿宋" w:cs="仿宋"/>
          <w:color w:val="auto"/>
          <w:spacing w:val="6"/>
          <w:kern w:val="1"/>
          <w:sz w:val="24"/>
          <w:szCs w:val="24"/>
          <w:highlight w:val="none"/>
          <w:lang w:val="en-US" w:eastAsia="zh-CN" w:bidi="ar-SA"/>
        </w:rPr>
        <w:t>即公告发布后的第6个工作日）起7个工作日内，以书面形式一次性向采购人和招标代理机构提出针对同一采购程序环节的质疑。质疑投标人对采购人、采购代理机构的答复不满意或者采购人、采购代理机构未在规定的时间内作出答复的，可以在答复期满后十五个工作日内向采购监督管理机构投诉。质疑函范本、投诉书范本请到浙江政府采购网下载专区下载。</w:t>
      </w:r>
    </w:p>
    <w:p>
      <w:pPr>
        <w:snapToGrid w:val="0"/>
        <w:ind w:left="0" w:leftChars="0"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、联系方式</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0"/>
        <w:textAlignment w:val="auto"/>
        <w:rPr>
          <w:rFonts w:hint="eastAsia" w:ascii="仿宋" w:hAnsi="仿宋" w:eastAsia="仿宋" w:cs="仿宋"/>
          <w:color w:val="auto"/>
          <w:kern w:val="1"/>
          <w:sz w:val="24"/>
          <w:szCs w:val="24"/>
          <w:highlight w:val="none"/>
        </w:rPr>
      </w:pPr>
      <w:bookmarkStart w:id="25" w:name="_Toc514938670"/>
      <w:r>
        <w:rPr>
          <w:rFonts w:hint="eastAsia" w:ascii="仿宋" w:hAnsi="仿宋" w:eastAsia="仿宋" w:cs="仿宋"/>
          <w:color w:val="auto"/>
          <w:kern w:val="1"/>
          <w:sz w:val="24"/>
          <w:szCs w:val="24"/>
          <w:highlight w:val="none"/>
        </w:rPr>
        <w:t xml:space="preserve">名    称：嵊州市益嘉配送有限公司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0"/>
        <w:textAlignment w:val="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地    址：嵊州市经济开发区经发路</w:t>
      </w:r>
      <w:r>
        <w:rPr>
          <w:rFonts w:hint="eastAsia" w:ascii="仿宋" w:hAnsi="仿宋" w:eastAsia="仿宋" w:cs="仿宋"/>
          <w:color w:val="auto"/>
          <w:kern w:val="1"/>
          <w:sz w:val="24"/>
          <w:szCs w:val="24"/>
          <w:highlight w:val="none"/>
          <w:lang w:val="en-US" w:eastAsia="zh-CN"/>
        </w:rPr>
        <w:t>198号</w:t>
      </w:r>
      <w:r>
        <w:rPr>
          <w:rFonts w:hint="eastAsia" w:ascii="仿宋" w:hAnsi="仿宋" w:eastAsia="仿宋" w:cs="仿宋"/>
          <w:color w:val="auto"/>
          <w:kern w:val="1"/>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0"/>
        <w:textAlignment w:val="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项目联系人（询问）：葛先生</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outlineLvl w:val="9"/>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项目联系方式（询问）：</w:t>
      </w:r>
      <w:r>
        <w:rPr>
          <w:rFonts w:hint="eastAsia" w:ascii="仿宋" w:hAnsi="仿宋" w:eastAsia="仿宋" w:cs="仿宋"/>
          <w:color w:val="auto"/>
          <w:kern w:val="1"/>
          <w:sz w:val="24"/>
          <w:szCs w:val="24"/>
          <w:highlight w:val="none"/>
          <w:lang w:val="en-US" w:eastAsia="zh-CN"/>
        </w:rPr>
        <w:t>0575-81390955</w:t>
      </w:r>
    </w:p>
    <w:p>
      <w:pPr>
        <w:pStyle w:val="2"/>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质疑联系人：周先生</w:t>
      </w:r>
    </w:p>
    <w:p>
      <w:pPr>
        <w:pStyle w:val="2"/>
        <w:keepNext w:val="0"/>
        <w:keepLines w:val="0"/>
        <w:pageBreakBefore w:val="0"/>
        <w:widowControl w:val="0"/>
        <w:kinsoku/>
        <w:wordWrap/>
        <w:overflowPunct/>
        <w:topLinePunct w:val="0"/>
        <w:autoSpaceDE/>
        <w:autoSpaceDN/>
        <w:bidi w:val="0"/>
        <w:adjustRightInd/>
        <w:spacing w:line="440" w:lineRule="exact"/>
        <w:textAlignment w:val="auto"/>
        <w:rPr>
          <w:rFonts w:hint="default" w:eastAsia="仿宋"/>
          <w:color w:val="auto"/>
          <w:lang w:val="en-US" w:eastAsia="zh-CN"/>
        </w:rPr>
      </w:pPr>
      <w:r>
        <w:rPr>
          <w:rFonts w:hint="eastAsia" w:ascii="仿宋" w:hAnsi="仿宋" w:eastAsia="仿宋" w:cs="仿宋"/>
          <w:color w:val="auto"/>
          <w:kern w:val="1"/>
          <w:sz w:val="24"/>
          <w:szCs w:val="24"/>
          <w:highlight w:val="none"/>
          <w:lang w:eastAsia="zh-CN"/>
        </w:rPr>
        <w:t>质疑联系方式：</w:t>
      </w:r>
      <w:r>
        <w:rPr>
          <w:rFonts w:hint="eastAsia" w:ascii="仿宋" w:hAnsi="仿宋" w:eastAsia="仿宋" w:cs="仿宋"/>
          <w:color w:val="auto"/>
          <w:kern w:val="1"/>
          <w:sz w:val="24"/>
          <w:szCs w:val="24"/>
          <w:highlight w:val="none"/>
          <w:lang w:val="en-US" w:eastAsia="zh-CN"/>
        </w:rPr>
        <w:t>0575-81390958</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outlineLvl w:val="9"/>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2.采购代理机构信息</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outlineLvl w:val="9"/>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rPr>
        <w:t>名    称：</w:t>
      </w:r>
      <w:r>
        <w:rPr>
          <w:rFonts w:hint="eastAsia" w:ascii="仿宋" w:hAnsi="仿宋" w:eastAsia="仿宋" w:cs="仿宋"/>
          <w:color w:val="auto"/>
          <w:kern w:val="1"/>
          <w:sz w:val="24"/>
          <w:szCs w:val="24"/>
          <w:highlight w:val="none"/>
          <w:lang w:eastAsia="zh-CN"/>
        </w:rPr>
        <w:t>绍兴平准招标代理有限公司</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outlineLvl w:val="9"/>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地    址：</w:t>
      </w:r>
      <w:r>
        <w:rPr>
          <w:rFonts w:hint="eastAsia" w:ascii="仿宋" w:hAnsi="仿宋" w:eastAsia="仿宋" w:cs="仿宋"/>
          <w:color w:val="auto"/>
          <w:kern w:val="1"/>
          <w:sz w:val="24"/>
          <w:szCs w:val="24"/>
          <w:highlight w:val="none"/>
          <w:lang w:eastAsia="zh-CN"/>
        </w:rPr>
        <w:t>嵊州市三江街道官河南路333号商会大厦十四层1407室</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outlineLvl w:val="9"/>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项目联系人（询问）：</w:t>
      </w:r>
      <w:r>
        <w:rPr>
          <w:rFonts w:hint="eastAsia" w:ascii="仿宋" w:hAnsi="仿宋" w:eastAsia="仿宋" w:cs="仿宋"/>
          <w:color w:val="auto"/>
          <w:kern w:val="1"/>
          <w:sz w:val="24"/>
          <w:szCs w:val="24"/>
          <w:highlight w:val="none"/>
          <w:lang w:val="en-US" w:eastAsia="zh-CN"/>
        </w:rPr>
        <w:t>陈</w:t>
      </w:r>
      <w:r>
        <w:rPr>
          <w:rFonts w:hint="eastAsia" w:ascii="仿宋" w:hAnsi="仿宋" w:eastAsia="仿宋" w:cs="仿宋"/>
          <w:color w:val="auto"/>
          <w:kern w:val="1"/>
          <w:sz w:val="24"/>
          <w:szCs w:val="24"/>
          <w:highlight w:val="none"/>
          <w:lang w:eastAsia="zh-CN"/>
        </w:rPr>
        <w:t>女士</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outlineLvl w:val="9"/>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rPr>
        <w:t>项目联系方式（询问）：</w:t>
      </w:r>
      <w:r>
        <w:rPr>
          <w:rFonts w:hint="eastAsia" w:ascii="仿宋" w:hAnsi="仿宋" w:eastAsia="仿宋" w:cs="仿宋"/>
          <w:color w:val="auto"/>
          <w:kern w:val="1"/>
          <w:sz w:val="24"/>
          <w:szCs w:val="24"/>
          <w:highlight w:val="none"/>
          <w:lang w:eastAsia="zh-CN"/>
        </w:rPr>
        <w:t>0575-83176688</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outlineLvl w:val="9"/>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质疑联系人：竺女士</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outlineLvl w:val="9"/>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eastAsia="zh-CN"/>
        </w:rPr>
        <w:t>质疑联系方式：0575-83176688</w:t>
      </w:r>
    </w:p>
    <w:p>
      <w:pPr>
        <w:keepNext w:val="0"/>
        <w:keepLines w:val="0"/>
        <w:pageBreakBefore w:val="0"/>
        <w:widowControl w:val="0"/>
        <w:kinsoku/>
        <w:wordWrap/>
        <w:overflowPunct/>
        <w:topLinePunct w:val="0"/>
        <w:autoSpaceDE/>
        <w:autoSpaceDN/>
        <w:bidi w:val="0"/>
        <w:adjustRightInd/>
        <w:snapToGrid w:val="0"/>
        <w:spacing w:line="440" w:lineRule="exact"/>
        <w:ind w:left="0" w:firstLine="480"/>
        <w:textAlignment w:val="auto"/>
        <w:outlineLvl w:val="9"/>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rPr>
        <w:t>3.</w:t>
      </w:r>
      <w:r>
        <w:rPr>
          <w:rFonts w:hint="eastAsia" w:ascii="仿宋" w:hAnsi="仿宋" w:eastAsia="仿宋" w:cs="仿宋"/>
          <w:color w:val="auto"/>
          <w:kern w:val="1"/>
          <w:sz w:val="24"/>
          <w:szCs w:val="24"/>
          <w:highlight w:val="none"/>
          <w:lang w:eastAsia="zh-CN"/>
        </w:rPr>
        <w:t>采购监督管理机构</w:t>
      </w:r>
    </w:p>
    <w:p>
      <w:pPr>
        <w:keepNext w:val="0"/>
        <w:keepLines w:val="0"/>
        <w:pageBreakBefore w:val="0"/>
        <w:widowControl w:val="0"/>
        <w:kinsoku/>
        <w:wordWrap/>
        <w:overflowPunct/>
        <w:topLinePunct w:val="0"/>
        <w:autoSpaceDE/>
        <w:autoSpaceDN/>
        <w:bidi w:val="0"/>
        <w:adjustRightInd/>
        <w:snapToGrid w:val="0"/>
        <w:spacing w:line="440" w:lineRule="exact"/>
        <w:ind w:left="0" w:firstLine="480"/>
        <w:textAlignment w:val="auto"/>
        <w:outlineLvl w:val="9"/>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名称：</w:t>
      </w:r>
      <w:r>
        <w:rPr>
          <w:rFonts w:hint="eastAsia" w:ascii="仿宋" w:hAnsi="仿宋" w:eastAsia="仿宋" w:cs="仿宋"/>
          <w:color w:val="auto"/>
          <w:kern w:val="1"/>
          <w:sz w:val="24"/>
          <w:highlight w:val="none"/>
        </w:rPr>
        <w:t>嵊州市商业发展集团有限公司</w:t>
      </w:r>
    </w:p>
    <w:p>
      <w:pPr>
        <w:keepNext w:val="0"/>
        <w:keepLines w:val="0"/>
        <w:pageBreakBefore w:val="0"/>
        <w:widowControl w:val="0"/>
        <w:kinsoku/>
        <w:wordWrap/>
        <w:overflowPunct/>
        <w:topLinePunct w:val="0"/>
        <w:autoSpaceDE/>
        <w:autoSpaceDN/>
        <w:bidi w:val="0"/>
        <w:adjustRightInd/>
        <w:snapToGrid w:val="0"/>
        <w:spacing w:line="440" w:lineRule="exact"/>
        <w:ind w:left="0" w:firstLine="480"/>
        <w:textAlignment w:val="auto"/>
        <w:outlineLvl w:val="9"/>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地址：</w:t>
      </w:r>
      <w:r>
        <w:rPr>
          <w:rFonts w:hint="eastAsia" w:ascii="仿宋" w:hAnsi="仿宋" w:eastAsia="仿宋" w:cs="仿宋"/>
          <w:color w:val="auto"/>
          <w:kern w:val="1"/>
          <w:sz w:val="24"/>
          <w:szCs w:val="24"/>
          <w:highlight w:val="none"/>
          <w:lang w:eastAsia="zh-CN"/>
        </w:rPr>
        <w:t>嵊州市官河南路</w:t>
      </w:r>
      <w:r>
        <w:rPr>
          <w:rFonts w:hint="eastAsia" w:ascii="仿宋" w:hAnsi="仿宋" w:eastAsia="仿宋" w:cs="仿宋"/>
          <w:color w:val="auto"/>
          <w:kern w:val="1"/>
          <w:sz w:val="24"/>
          <w:szCs w:val="24"/>
          <w:highlight w:val="none"/>
          <w:lang w:val="en-US" w:eastAsia="zh-CN"/>
        </w:rPr>
        <w:t>699号国际会展中心北门</w:t>
      </w:r>
    </w:p>
    <w:p>
      <w:pPr>
        <w:keepNext w:val="0"/>
        <w:keepLines w:val="0"/>
        <w:pageBreakBefore w:val="0"/>
        <w:widowControl w:val="0"/>
        <w:kinsoku/>
        <w:wordWrap/>
        <w:overflowPunct/>
        <w:topLinePunct w:val="0"/>
        <w:autoSpaceDE/>
        <w:autoSpaceDN/>
        <w:bidi w:val="0"/>
        <w:adjustRightInd/>
        <w:snapToGrid w:val="0"/>
        <w:spacing w:line="440" w:lineRule="exact"/>
        <w:ind w:left="0" w:firstLine="480"/>
        <w:textAlignment w:val="auto"/>
        <w:outlineLvl w:val="9"/>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联系人：</w:t>
      </w:r>
      <w:r>
        <w:rPr>
          <w:rFonts w:hint="eastAsia" w:ascii="仿宋" w:hAnsi="仿宋" w:eastAsia="仿宋" w:cs="仿宋"/>
          <w:color w:val="auto"/>
          <w:kern w:val="1"/>
          <w:sz w:val="24"/>
          <w:szCs w:val="24"/>
          <w:highlight w:val="none"/>
          <w:lang w:eastAsia="zh-CN"/>
        </w:rPr>
        <w:t>王先生</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0"/>
        <w:textAlignment w:val="auto"/>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监督投诉电话：</w:t>
      </w:r>
      <w:r>
        <w:rPr>
          <w:rFonts w:hint="eastAsia" w:ascii="仿宋" w:hAnsi="仿宋" w:eastAsia="仿宋" w:cs="仿宋"/>
          <w:color w:val="auto"/>
          <w:kern w:val="1"/>
          <w:sz w:val="24"/>
          <w:szCs w:val="24"/>
          <w:highlight w:val="none"/>
          <w:lang w:val="en-US" w:eastAsia="zh-CN"/>
        </w:rPr>
        <w:t>0575-83160158</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0"/>
        <w:textAlignment w:val="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若对项目采购电子交易系统操作有疑问，可登录</w:t>
      </w:r>
      <w:r>
        <w:rPr>
          <w:rFonts w:hint="eastAsia" w:ascii="仿宋" w:hAnsi="仿宋" w:eastAsia="仿宋" w:cs="仿宋"/>
          <w:color w:val="auto"/>
          <w:kern w:val="1"/>
          <w:sz w:val="24"/>
          <w:szCs w:val="24"/>
          <w:highlight w:val="none"/>
          <w:lang w:eastAsia="zh-CN"/>
        </w:rPr>
        <w:t>乐采云</w:t>
      </w:r>
      <w:r>
        <w:rPr>
          <w:rFonts w:hint="eastAsia" w:ascii="仿宋" w:hAnsi="仿宋" w:eastAsia="仿宋" w:cs="仿宋"/>
          <w:color w:val="auto"/>
          <w:kern w:val="1"/>
          <w:sz w:val="24"/>
          <w:szCs w:val="24"/>
          <w:highlight w:val="none"/>
        </w:rPr>
        <w:t>（https://www.lecaiyun.com/），点击右侧咨询小采，获取采小蜜智能服务管家帮助，或拨打</w:t>
      </w:r>
      <w:r>
        <w:rPr>
          <w:rFonts w:hint="eastAsia" w:ascii="仿宋" w:hAnsi="仿宋" w:eastAsia="仿宋" w:cs="仿宋"/>
          <w:color w:val="auto"/>
          <w:kern w:val="1"/>
          <w:sz w:val="24"/>
          <w:szCs w:val="24"/>
          <w:highlight w:val="none"/>
          <w:lang w:eastAsia="zh-CN"/>
        </w:rPr>
        <w:t>乐采云</w:t>
      </w:r>
      <w:r>
        <w:rPr>
          <w:rFonts w:hint="eastAsia" w:ascii="仿宋" w:hAnsi="仿宋" w:eastAsia="仿宋" w:cs="仿宋"/>
          <w:color w:val="auto"/>
          <w:kern w:val="1"/>
          <w:sz w:val="24"/>
          <w:szCs w:val="24"/>
          <w:highlight w:val="none"/>
        </w:rPr>
        <w:t>服务热线</w:t>
      </w:r>
      <w:r>
        <w:rPr>
          <w:rFonts w:hint="eastAsia" w:ascii="仿宋" w:hAnsi="仿宋" w:eastAsia="仿宋" w:cs="仿宋"/>
          <w:color w:val="auto"/>
          <w:kern w:val="1"/>
          <w:sz w:val="24"/>
          <w:szCs w:val="24"/>
          <w:highlight w:val="none"/>
          <w:lang w:val="en-US" w:eastAsia="zh-CN"/>
        </w:rPr>
        <w:t>95763</w:t>
      </w:r>
      <w:r>
        <w:rPr>
          <w:rFonts w:hint="eastAsia" w:ascii="仿宋" w:hAnsi="仿宋" w:eastAsia="仿宋" w:cs="仿宋"/>
          <w:color w:val="auto"/>
          <w:kern w:val="1"/>
          <w:sz w:val="24"/>
          <w:szCs w:val="24"/>
          <w:highlight w:val="none"/>
        </w:rPr>
        <w:t>获取热线服务帮助。</w:t>
      </w:r>
    </w:p>
    <w:p>
      <w:pPr>
        <w:pStyle w:val="5"/>
        <w:keepNext/>
        <w:keepLines/>
        <w:pageBreakBefore w:val="0"/>
        <w:widowControl w:val="0"/>
        <w:kinsoku/>
        <w:wordWrap/>
        <w:overflowPunct/>
        <w:topLinePunct w:val="0"/>
        <w:autoSpaceDE/>
        <w:autoSpaceDN/>
        <w:bidi w:val="0"/>
        <w:adjustRightInd/>
        <w:snapToGrid/>
        <w:spacing w:before="0"/>
        <w:jc w:val="center"/>
        <w:textAlignment w:val="auto"/>
        <w:rPr>
          <w:rFonts w:hint="eastAsia" w:ascii="仿宋" w:hAnsi="仿宋" w:eastAsia="仿宋" w:cs="仿宋"/>
          <w:b w:val="0"/>
          <w:bCs/>
          <w:color w:val="auto"/>
          <w:sz w:val="24"/>
          <w:szCs w:val="24"/>
          <w:highlight w:val="none"/>
        </w:rPr>
      </w:pPr>
      <w:bookmarkStart w:id="26" w:name="_Toc20437"/>
      <w:r>
        <w:rPr>
          <w:rFonts w:hint="eastAsia" w:ascii="仿宋" w:hAnsi="仿宋" w:eastAsia="仿宋" w:cs="仿宋"/>
          <w:b w:val="0"/>
          <w:bCs/>
          <w:color w:val="auto"/>
          <w:kern w:val="1"/>
          <w:sz w:val="24"/>
          <w:szCs w:val="24"/>
          <w:highlight w:val="none"/>
        </w:rPr>
        <w:t>CA问题联系电话（人工）：汇信CA 400-888-4636；天谷CA 400-087-8198。</w:t>
      </w:r>
      <w:bookmarkEnd w:id="26"/>
    </w:p>
    <w:p>
      <w:pPr>
        <w:rPr>
          <w:rFonts w:hint="eastAsia" w:ascii="仿宋" w:hAnsi="仿宋" w:eastAsia="仿宋" w:cs="仿宋"/>
          <w:color w:val="auto"/>
        </w:rPr>
      </w:pPr>
    </w:p>
    <w:p>
      <w:pPr>
        <w:pStyle w:val="4"/>
        <w:keepNext w:val="0"/>
        <w:keepLines w:val="0"/>
        <w:pageBreakBefore/>
        <w:widowControl/>
        <w:kinsoku/>
        <w:wordWrap/>
        <w:overflowPunct/>
        <w:topLinePunct w:val="0"/>
        <w:autoSpaceDE w:val="0"/>
        <w:autoSpaceDN w:val="0"/>
        <w:bidi w:val="0"/>
        <w:adjustRightInd/>
        <w:snapToGrid/>
        <w:spacing w:before="0" w:after="0" w:line="360" w:lineRule="auto"/>
        <w:ind w:left="0" w:firstLine="0"/>
        <w:textAlignment w:val="auto"/>
        <w:outlineLvl w:val="0"/>
        <w:rPr>
          <w:rFonts w:hint="eastAsia" w:ascii="仿宋" w:hAnsi="仿宋" w:eastAsia="仿宋" w:cs="仿宋"/>
          <w:b/>
          <w:color w:val="auto"/>
          <w:highlight w:val="none"/>
        </w:rPr>
      </w:pPr>
      <w:bookmarkStart w:id="27" w:name="_Toc11201"/>
      <w:r>
        <w:rPr>
          <w:rFonts w:hint="eastAsia" w:ascii="仿宋" w:hAnsi="仿宋" w:eastAsia="仿宋" w:cs="仿宋"/>
          <w:b/>
          <w:color w:val="auto"/>
          <w:highlight w:val="none"/>
        </w:rPr>
        <w:t>第二部分</w:t>
      </w:r>
      <w:r>
        <w:rPr>
          <w:rFonts w:hint="eastAsia" w:ascii="仿宋" w:hAnsi="仿宋" w:eastAsia="仿宋" w:cs="仿宋"/>
          <w:color w:val="auto"/>
          <w:szCs w:val="24"/>
          <w:highlight w:val="none"/>
        </w:rPr>
        <w:t xml:space="preserve"> </w:t>
      </w:r>
      <w:r>
        <w:rPr>
          <w:rFonts w:hint="eastAsia" w:ascii="仿宋" w:hAnsi="仿宋" w:eastAsia="仿宋" w:cs="仿宋"/>
          <w:b/>
          <w:color w:val="auto"/>
          <w:highlight w:val="none"/>
        </w:rPr>
        <w:t>投标须知</w:t>
      </w:r>
      <w:bookmarkEnd w:id="14"/>
      <w:bookmarkEnd w:id="15"/>
      <w:bookmarkEnd w:id="16"/>
      <w:bookmarkEnd w:id="17"/>
      <w:bookmarkEnd w:id="18"/>
      <w:bookmarkEnd w:id="19"/>
      <w:bookmarkEnd w:id="20"/>
      <w:bookmarkEnd w:id="21"/>
      <w:bookmarkEnd w:id="22"/>
      <w:bookmarkEnd w:id="23"/>
      <w:bookmarkEnd w:id="24"/>
      <w:bookmarkEnd w:id="25"/>
      <w:bookmarkEnd w:id="27"/>
    </w:p>
    <w:p>
      <w:pPr>
        <w:pStyle w:val="5"/>
        <w:keepNext/>
        <w:keepLines/>
        <w:pageBreakBefore w:val="0"/>
        <w:widowControl w:val="0"/>
        <w:kinsoku/>
        <w:wordWrap/>
        <w:overflowPunct/>
        <w:topLinePunct w:val="0"/>
        <w:autoSpaceDE/>
        <w:autoSpaceDN/>
        <w:bidi w:val="0"/>
        <w:adjustRightInd/>
        <w:snapToGrid/>
        <w:spacing w:before="0"/>
        <w:ind w:left="0" w:firstLine="0"/>
        <w:jc w:val="center"/>
        <w:textAlignment w:val="auto"/>
        <w:outlineLvl w:val="1"/>
        <w:rPr>
          <w:rFonts w:hint="eastAsia" w:ascii="仿宋" w:hAnsi="仿宋" w:eastAsia="仿宋" w:cs="仿宋"/>
          <w:color w:val="auto"/>
          <w:sz w:val="24"/>
          <w:szCs w:val="24"/>
          <w:highlight w:val="none"/>
        </w:rPr>
      </w:pPr>
      <w:bookmarkStart w:id="28" w:name="_Toc5478"/>
      <w:bookmarkStart w:id="29" w:name="_Toc340322164"/>
      <w:bookmarkStart w:id="30" w:name="_Toc383683531"/>
      <w:bookmarkStart w:id="31" w:name="_Toc514938671"/>
      <w:bookmarkStart w:id="32" w:name="_Toc384363120"/>
      <w:bookmarkStart w:id="33" w:name="_Toc340321909"/>
      <w:bookmarkStart w:id="34" w:name="_Toc304551310"/>
      <w:bookmarkStart w:id="35" w:name="_Toc348704823"/>
      <w:bookmarkStart w:id="36" w:name="_Toc248065036"/>
      <w:bookmarkStart w:id="37" w:name="_Toc226337758"/>
      <w:bookmarkStart w:id="38" w:name="_Toc339302125"/>
      <w:bookmarkStart w:id="39" w:name="_Toc341768536"/>
      <w:bookmarkStart w:id="40" w:name="_Toc348709929"/>
      <w:bookmarkStart w:id="41" w:name="_Toc180555917"/>
      <w:r>
        <w:rPr>
          <w:rFonts w:hint="eastAsia" w:ascii="仿宋" w:hAnsi="仿宋" w:eastAsia="仿宋" w:cs="仿宋"/>
          <w:color w:val="auto"/>
          <w:sz w:val="24"/>
          <w:szCs w:val="24"/>
          <w:highlight w:val="none"/>
        </w:rPr>
        <w:t>投标须知前附表</w:t>
      </w:r>
      <w:bookmarkEnd w:id="28"/>
      <w:bookmarkEnd w:id="29"/>
      <w:bookmarkEnd w:id="30"/>
      <w:bookmarkEnd w:id="31"/>
      <w:bookmarkEnd w:id="32"/>
      <w:bookmarkEnd w:id="33"/>
      <w:bookmarkEnd w:id="34"/>
      <w:bookmarkEnd w:id="35"/>
      <w:bookmarkEnd w:id="36"/>
      <w:bookmarkEnd w:id="37"/>
      <w:bookmarkEnd w:id="38"/>
      <w:bookmarkEnd w:id="39"/>
      <w:bookmarkEnd w:id="40"/>
      <w:bookmarkEnd w:id="41"/>
    </w:p>
    <w:tbl>
      <w:tblPr>
        <w:tblStyle w:val="24"/>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93"/>
        <w:gridCol w:w="7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0"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bCs w:val="0"/>
                <w:color w:val="auto"/>
                <w:sz w:val="24"/>
                <w:szCs w:val="24"/>
                <w:highlight w:val="none"/>
              </w:rPr>
            </w:pPr>
            <w:bookmarkStart w:id="42" w:name="_Toc510614920"/>
            <w:bookmarkStart w:id="43" w:name="_Toc473985733"/>
            <w:bookmarkStart w:id="44" w:name="_Toc180555918"/>
            <w:bookmarkStart w:id="45" w:name="_Toc330215254"/>
            <w:bookmarkStart w:id="46" w:name="_Toc340321910"/>
            <w:bookmarkStart w:id="47" w:name="_Toc504504523"/>
            <w:bookmarkStart w:id="48" w:name="_Toc339302126"/>
            <w:bookmarkStart w:id="49" w:name="_Toc330214827"/>
            <w:bookmarkStart w:id="50" w:name="_Toc381971526"/>
            <w:bookmarkStart w:id="51" w:name="_Toc226337759"/>
            <w:bookmarkStart w:id="52" w:name="_Toc514938672"/>
            <w:bookmarkStart w:id="53" w:name="_Toc330215452"/>
            <w:bookmarkStart w:id="54" w:name="_Toc26108"/>
            <w:bookmarkStart w:id="55" w:name="_Toc330212058"/>
            <w:bookmarkStart w:id="56" w:name="_Toc330214699"/>
            <w:bookmarkStart w:id="57" w:name="_Toc498451748"/>
            <w:bookmarkStart w:id="58" w:name="_Toc304551311"/>
            <w:bookmarkStart w:id="59" w:name="_Toc248065037"/>
            <w:bookmarkStart w:id="60" w:name="_Toc340322165"/>
            <w:r>
              <w:rPr>
                <w:rFonts w:hint="eastAsia" w:ascii="仿宋" w:hAnsi="仿宋" w:eastAsia="仿宋" w:cs="仿宋"/>
                <w:b/>
                <w:bCs w:val="0"/>
                <w:color w:val="auto"/>
                <w:sz w:val="24"/>
                <w:szCs w:val="24"/>
                <w:highlight w:val="none"/>
              </w:rPr>
              <w:t>序号</w:t>
            </w:r>
          </w:p>
        </w:tc>
        <w:tc>
          <w:tcPr>
            <w:tcW w:w="1493"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项目</w:t>
            </w:r>
          </w:p>
        </w:tc>
        <w:tc>
          <w:tcPr>
            <w:tcW w:w="7184"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编例内容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493"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项目名称</w:t>
            </w:r>
          </w:p>
        </w:tc>
        <w:tc>
          <w:tcPr>
            <w:tcW w:w="7184"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嵊州市益嘉配送有限公司（2024-2027）年大米采购项目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493"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项目编号</w:t>
            </w:r>
          </w:p>
        </w:tc>
        <w:tc>
          <w:tcPr>
            <w:tcW w:w="7184"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SXPZ-H20240603QXY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493"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采购内容</w:t>
            </w:r>
          </w:p>
        </w:tc>
        <w:tc>
          <w:tcPr>
            <w:tcW w:w="7184"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 xml:space="preserve">详见第三部分 </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4</w:t>
            </w:r>
          </w:p>
        </w:tc>
        <w:tc>
          <w:tcPr>
            <w:tcW w:w="1493"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投标有效期</w:t>
            </w:r>
          </w:p>
        </w:tc>
        <w:tc>
          <w:tcPr>
            <w:tcW w:w="7184"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投标截止时间后90天。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00"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5</w:t>
            </w:r>
          </w:p>
        </w:tc>
        <w:tc>
          <w:tcPr>
            <w:tcW w:w="1493"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投标报价</w:t>
            </w:r>
          </w:p>
        </w:tc>
        <w:tc>
          <w:tcPr>
            <w:tcW w:w="7184" w:type="dxa"/>
            <w:noWrap w:val="0"/>
            <w:vAlign w:val="center"/>
          </w:tcPr>
          <w:p>
            <w:pPr>
              <w:keepNext w:val="0"/>
              <w:keepLines w:val="0"/>
              <w:pageBreakBefore w:val="0"/>
              <w:tabs>
                <w:tab w:val="left" w:pos="3780"/>
              </w:tabs>
              <w:kinsoku/>
              <w:wordWrap/>
              <w:overflowPunct/>
              <w:topLinePunct w:val="0"/>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应以人民币报价</w:t>
            </w:r>
            <w:r>
              <w:rPr>
                <w:rFonts w:hint="eastAsia" w:ascii="仿宋" w:hAnsi="仿宋" w:eastAsia="仿宋" w:cs="仿宋"/>
                <w:color w:val="auto"/>
                <w:sz w:val="24"/>
                <w:szCs w:val="24"/>
                <w:highlight w:val="none"/>
                <w:lang w:eastAsia="zh-CN"/>
              </w:rPr>
              <w:t>；</w:t>
            </w:r>
          </w:p>
          <w:p>
            <w:pPr>
              <w:keepNext w:val="0"/>
              <w:keepLines w:val="0"/>
              <w:pageBreakBefore w:val="0"/>
              <w:tabs>
                <w:tab w:val="left" w:pos="3780"/>
              </w:tabs>
              <w:kinsoku/>
              <w:wordWrap/>
              <w:overflowPunct/>
              <w:topLinePunct w:val="0"/>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不论投标结果如何，投标人均应自行承担所有与投标有关的全部费用。</w:t>
            </w:r>
          </w:p>
          <w:p>
            <w:pPr>
              <w:pStyle w:val="32"/>
              <w:keepNext w:val="0"/>
              <w:keepLines w:val="0"/>
              <w:pageBreakBefore w:val="0"/>
              <w:kinsoku/>
              <w:wordWrap/>
              <w:overflowPunct/>
              <w:topLinePunct w:val="0"/>
              <w:bidi w:val="0"/>
              <w:snapToGrid/>
              <w:spacing w:line="440" w:lineRule="exact"/>
              <w:textAlignment w:val="auto"/>
              <w:rPr>
                <w:rFonts w:hint="eastAsia"/>
                <w:lang w:val="en-US" w:eastAsia="zh-CN"/>
              </w:rPr>
            </w:pPr>
            <w:r>
              <w:rPr>
                <w:rFonts w:hint="eastAsia" w:ascii="仿宋" w:hAnsi="仿宋" w:eastAsia="仿宋" w:cs="仿宋"/>
                <w:color w:val="auto"/>
                <w:kern w:val="2"/>
                <w:sz w:val="24"/>
                <w:szCs w:val="24"/>
                <w:highlight w:val="none"/>
                <w:lang w:val="en-US" w:eastAsia="zh-CN" w:bidi="ar-SA"/>
              </w:rPr>
              <w:t>3.本项目采用统一折扣率报价，结算价=基准价*中标折扣率</w:t>
            </w:r>
            <w:r>
              <w:rPr>
                <w:rFonts w:hint="eastAsia" w:ascii="仿宋" w:hAnsi="仿宋" w:eastAsia="仿宋" w:cs="仿宋"/>
                <w:color w:val="auto"/>
                <w:sz w:val="24"/>
                <w:szCs w:val="24"/>
                <w:lang w:val="en-US" w:eastAsia="zh-CN"/>
              </w:rPr>
              <w:t>*实际数量</w:t>
            </w:r>
            <w:r>
              <w:rPr>
                <w:rFonts w:hint="eastAsia" w:ascii="仿宋" w:hAnsi="仿宋" w:eastAsia="仿宋" w:cs="仿宋"/>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00"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6</w:t>
            </w:r>
          </w:p>
        </w:tc>
        <w:tc>
          <w:tcPr>
            <w:tcW w:w="1493"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信用记录</w:t>
            </w:r>
          </w:p>
        </w:tc>
        <w:tc>
          <w:tcPr>
            <w:tcW w:w="7184"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文件，通过“信用中国”网站（www.</w:t>
            </w:r>
            <w:r>
              <w:rPr>
                <w:rFonts w:hint="eastAsia" w:ascii="仿宋" w:hAnsi="仿宋" w:eastAsia="仿宋" w:cs="仿宋"/>
                <w:b w:val="0"/>
                <w:bCs/>
                <w:color w:val="auto"/>
                <w:sz w:val="24"/>
                <w:szCs w:val="24"/>
                <w:highlight w:val="none"/>
                <w:lang w:eastAsia="zh-CN"/>
              </w:rPr>
              <w:t>creditchina</w:t>
            </w:r>
            <w:r>
              <w:rPr>
                <w:rFonts w:hint="eastAsia" w:ascii="仿宋" w:hAnsi="仿宋" w:eastAsia="仿宋" w:cs="仿宋"/>
                <w:color w:val="auto"/>
                <w:sz w:val="24"/>
                <w:szCs w:val="24"/>
              </w:rPr>
              <w:t>.gov.cn）、中国政府采购网（www.ccgp.gov.cn），以开标当日网页查询记录为准。对列入失信被执行人、重大税收违法案件当事人名单、采购严重违法失信行为记录名单的供应商，</w:t>
            </w:r>
            <w:r>
              <w:rPr>
                <w:rFonts w:hint="eastAsia" w:ascii="仿宋" w:hAnsi="仿宋" w:eastAsia="仿宋" w:cs="仿宋"/>
                <w:b/>
                <w:color w:val="auto"/>
                <w:sz w:val="24"/>
                <w:szCs w:val="24"/>
              </w:rPr>
              <w:t>其投标将作无效标处理</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00"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7</w:t>
            </w:r>
          </w:p>
        </w:tc>
        <w:tc>
          <w:tcPr>
            <w:tcW w:w="1493"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转包与分包</w:t>
            </w:r>
          </w:p>
        </w:tc>
        <w:tc>
          <w:tcPr>
            <w:tcW w:w="7184"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bCs/>
                <w:color w:val="auto"/>
                <w:sz w:val="24"/>
              </w:rPr>
              <w:t>☑</w:t>
            </w:r>
            <w:r>
              <w:rPr>
                <w:rFonts w:hint="eastAsia" w:ascii="仿宋" w:hAnsi="仿宋" w:eastAsia="仿宋" w:cs="仿宋"/>
                <w:color w:val="auto"/>
                <w:sz w:val="24"/>
                <w:szCs w:val="24"/>
              </w:rPr>
              <w:t>不允许；</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color w:val="auto"/>
                <w:kern w:val="0"/>
                <w:sz w:val="24"/>
                <w:szCs w:val="24"/>
                <w:highlight w:val="none"/>
              </w:rPr>
            </w:pPr>
            <w:r>
              <w:rPr>
                <w:rFonts w:hint="eastAsia" w:ascii="仿宋" w:hAnsi="仿宋" w:eastAsia="仿宋" w:cs="仿宋"/>
                <w:bCs/>
                <w:color w:val="auto"/>
                <w:sz w:val="24"/>
              </w:rPr>
              <w:t>□</w:t>
            </w:r>
            <w:r>
              <w:rPr>
                <w:rFonts w:hint="eastAsia" w:ascii="仿宋" w:hAnsi="仿宋" w:eastAsia="仿宋" w:cs="仿宋"/>
                <w:color w:val="auto"/>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00"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8</w:t>
            </w:r>
          </w:p>
        </w:tc>
        <w:tc>
          <w:tcPr>
            <w:tcW w:w="1493"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现场踏勘</w:t>
            </w:r>
          </w:p>
        </w:tc>
        <w:tc>
          <w:tcPr>
            <w:tcW w:w="7184"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color w:val="auto"/>
                <w:sz w:val="24"/>
                <w:szCs w:val="24"/>
                <w:highlight w:val="none"/>
                <w:lang w:val="en-US" w:eastAsia="zh-CN"/>
              </w:rPr>
              <w:t>不集中组织。供应商</w:t>
            </w:r>
            <w:r>
              <w:rPr>
                <w:rFonts w:hint="eastAsia" w:ascii="仿宋" w:hAnsi="仿宋" w:eastAsia="仿宋" w:cs="仿宋"/>
                <w:color w:val="auto"/>
                <w:sz w:val="24"/>
                <w:szCs w:val="24"/>
                <w:highlight w:val="none"/>
              </w:rPr>
              <w:t>自行前往现场踏勘，因自身原因未进行实地踏勘的，成交后签订合同时和履约过程中，不得以不完全了解现场情况为由，提出任何形式的增加合同外造价或索赔的要求。</w:t>
            </w:r>
            <w:r>
              <w:rPr>
                <w:rFonts w:hint="eastAsia" w:ascii="仿宋" w:hAnsi="仿宋" w:eastAsia="仿宋" w:cs="仿宋"/>
                <w:color w:val="auto"/>
                <w:kern w:val="0"/>
                <w:sz w:val="24"/>
                <w:szCs w:val="24"/>
                <w:highlight w:val="none"/>
              </w:rPr>
              <w:t>踏勘期间发生的费用或意外导致伤亡等一切责任和损失均由</w:t>
            </w: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rPr>
              <w:t>自负</w:t>
            </w:r>
            <w:r>
              <w:rPr>
                <w:rFonts w:hint="eastAsia" w:ascii="仿宋" w:hAnsi="仿宋" w:eastAsia="仿宋" w:cs="仿宋"/>
                <w:b w:val="0"/>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00"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w:t>
            </w:r>
          </w:p>
        </w:tc>
        <w:tc>
          <w:tcPr>
            <w:tcW w:w="1493" w:type="dxa"/>
            <w:noWrap w:val="0"/>
            <w:vAlign w:val="center"/>
          </w:tcPr>
          <w:p>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2"/>
                <w:sz w:val="24"/>
                <w:szCs w:val="24"/>
                <w:lang w:val="en-US" w:eastAsia="zh-CN" w:bidi="ar-SA"/>
              </w:rPr>
              <w:t>样品</w:t>
            </w:r>
          </w:p>
        </w:tc>
        <w:tc>
          <w:tcPr>
            <w:tcW w:w="7184" w:type="dxa"/>
            <w:noWrap w:val="0"/>
            <w:vAlign w:val="center"/>
          </w:tcPr>
          <w:p>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仿宋" w:hAnsi="仿宋" w:eastAsia="仿宋" w:cs="仿宋"/>
                <w:b/>
                <w:color w:val="auto"/>
                <w:sz w:val="24"/>
              </w:rPr>
            </w:pPr>
            <w:r>
              <w:rPr>
                <w:rFonts w:hint="eastAsia" w:ascii="仿宋" w:hAnsi="仿宋" w:eastAsia="仿宋" w:cs="仿宋"/>
                <w:b/>
                <w:color w:val="auto"/>
                <w:sz w:val="24"/>
              </w:rPr>
              <w:t>样品提供：</w:t>
            </w:r>
          </w:p>
          <w:p>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B要求提供，</w:t>
            </w:r>
          </w:p>
          <w:p>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详见招标文件  </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详见招标文件</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否；</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2024年8月16日</w:t>
            </w:r>
            <w:r>
              <w:rPr>
                <w:rFonts w:hint="eastAsia" w:ascii="仿宋" w:hAnsi="仿宋" w:eastAsia="仿宋" w:cs="仿宋"/>
                <w:color w:val="auto"/>
                <w:sz w:val="24"/>
                <w:u w:val="single"/>
                <w:lang w:val="en-US" w:eastAsia="zh-CN"/>
              </w:rPr>
              <w:t>8</w:t>
            </w:r>
            <w:r>
              <w:rPr>
                <w:rFonts w:hint="eastAsia" w:ascii="仿宋" w:hAnsi="仿宋" w:eastAsia="仿宋" w:cs="仿宋"/>
                <w:color w:val="auto"/>
                <w:sz w:val="24"/>
                <w:u w:val="single"/>
              </w:rPr>
              <w:t>时</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w:t>
            </w:r>
            <w:r>
              <w:rPr>
                <w:rFonts w:hint="eastAsia" w:ascii="仿宋" w:hAnsi="仿宋" w:eastAsia="仿宋" w:cs="仿宋"/>
                <w:color w:val="auto"/>
                <w:sz w:val="24"/>
                <w:u w:val="single"/>
                <w:lang w:eastAsia="zh-CN"/>
              </w:rPr>
              <w:t>至2024年8月16日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时</w:t>
            </w:r>
            <w:r>
              <w:rPr>
                <w:rFonts w:hint="eastAsia" w:ascii="仿宋" w:hAnsi="仿宋" w:eastAsia="仿宋" w:cs="仿宋"/>
                <w:color w:val="auto"/>
                <w:sz w:val="24"/>
                <w:u w:val="single"/>
                <w:lang w:val="en-US" w:eastAsia="zh-CN"/>
              </w:rPr>
              <w:t>0</w:t>
            </w:r>
            <w:r>
              <w:rPr>
                <w:rFonts w:hint="eastAsia" w:ascii="仿宋" w:hAnsi="仿宋" w:eastAsia="仿宋" w:cs="仿宋"/>
                <w:color w:val="auto"/>
                <w:sz w:val="24"/>
                <w:u w:val="single"/>
              </w:rPr>
              <w:t>0分</w:t>
            </w:r>
            <w:r>
              <w:rPr>
                <w:rFonts w:hint="eastAsia" w:ascii="仿宋" w:hAnsi="仿宋" w:eastAsia="仿宋" w:cs="仿宋"/>
                <w:color w:val="auto"/>
                <w:sz w:val="24"/>
                <w:u w:val="single"/>
                <w:lang w:eastAsia="zh-CN"/>
              </w:rPr>
              <w:t>前</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b w:val="0"/>
                <w:bCs w:val="0"/>
                <w:color w:val="auto"/>
                <w:sz w:val="24"/>
                <w:szCs w:val="24"/>
                <w:highlight w:val="none"/>
                <w:u w:val="single"/>
              </w:rPr>
              <w:t>嵊州市公共资源交易中心(官河南路699号国际会展中心北楼三楼)</w:t>
            </w:r>
            <w:r>
              <w:rPr>
                <w:rFonts w:hint="eastAsia" w:ascii="仿宋" w:hAnsi="仿宋" w:eastAsia="仿宋" w:cs="仿宋"/>
                <w:color w:val="auto"/>
                <w:sz w:val="24"/>
                <w:u w:val="single"/>
              </w:rPr>
              <w:t>）</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竺女士</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0575-83176688</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仿宋" w:hAnsi="仿宋" w:eastAsia="仿宋" w:cs="仿宋"/>
                <w:color w:val="auto"/>
                <w:sz w:val="24"/>
              </w:rPr>
            </w:pPr>
            <w:r>
              <w:rPr>
                <w:rFonts w:hint="eastAsia" w:ascii="仿宋" w:hAnsi="仿宋" w:eastAsia="仿宋" w:cs="仿宋"/>
                <w:color w:val="auto"/>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10</w:t>
            </w:r>
          </w:p>
        </w:tc>
        <w:tc>
          <w:tcPr>
            <w:tcW w:w="1493"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投标保证金</w:t>
            </w:r>
          </w:p>
        </w:tc>
        <w:tc>
          <w:tcPr>
            <w:tcW w:w="7184"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投标保证金17万元电汇、转账、网上银行或保函形式）</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①公司名称: 绍兴平准招标代理有限公司</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开户银行:建设银行嵊州新城支行</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银行账号：33050165655009888888</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缴纳时间：在2024年8月15日16:00前将投标保证金以电汇、转账、网上银行形式汇入指定帐户，以实际到账时间为准。</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②保函包括银行保函、保险机构保证保险保单</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保函受益人（或被保险人）：(采购人名称)</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保函投保人：（投标人名称）</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保函的有效期：不得少于投标有效期（有效期为90天）</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保函递交时间：在2024年</w:t>
            </w:r>
            <w:r>
              <w:rPr>
                <w:rFonts w:hint="eastAsia" w:ascii="仿宋" w:hAnsi="仿宋" w:eastAsia="仿宋" w:cs="仿宋"/>
                <w:b w:val="0"/>
                <w:bCs/>
                <w:color w:val="auto"/>
                <w:sz w:val="24"/>
                <w:szCs w:val="24"/>
                <w:highlight w:val="none"/>
                <w:lang w:val="en-US" w:eastAsia="zh-CN"/>
              </w:rPr>
              <w:t>8</w:t>
            </w:r>
            <w:r>
              <w:rPr>
                <w:rFonts w:hint="eastAsia" w:ascii="仿宋" w:hAnsi="仿宋" w:eastAsia="仿宋" w:cs="仿宋"/>
                <w:b w:val="0"/>
                <w:bCs/>
                <w:color w:val="auto"/>
                <w:sz w:val="24"/>
                <w:szCs w:val="24"/>
                <w:highlight w:val="none"/>
                <w:lang w:eastAsia="zh-CN"/>
              </w:rPr>
              <w:t>月</w:t>
            </w:r>
            <w:r>
              <w:rPr>
                <w:rFonts w:hint="eastAsia" w:ascii="仿宋" w:hAnsi="仿宋" w:eastAsia="仿宋" w:cs="仿宋"/>
                <w:b w:val="0"/>
                <w:bCs/>
                <w:color w:val="auto"/>
                <w:sz w:val="24"/>
                <w:szCs w:val="24"/>
                <w:highlight w:val="none"/>
                <w:lang w:val="en-US" w:eastAsia="zh-CN"/>
              </w:rPr>
              <w:t>15</w:t>
            </w:r>
            <w:r>
              <w:rPr>
                <w:rFonts w:hint="eastAsia" w:ascii="仿宋" w:hAnsi="仿宋" w:eastAsia="仿宋" w:cs="仿宋"/>
                <w:b w:val="0"/>
                <w:bCs/>
                <w:color w:val="auto"/>
                <w:sz w:val="24"/>
                <w:szCs w:val="24"/>
                <w:highlight w:val="none"/>
                <w:lang w:eastAsia="zh-CN"/>
              </w:rPr>
              <w:t>日</w:t>
            </w:r>
            <w:r>
              <w:rPr>
                <w:rFonts w:hint="eastAsia" w:ascii="仿宋" w:hAnsi="仿宋" w:eastAsia="仿宋" w:cs="仿宋"/>
                <w:b w:val="0"/>
                <w:bCs/>
                <w:color w:val="auto"/>
                <w:sz w:val="24"/>
                <w:szCs w:val="24"/>
                <w:highlight w:val="none"/>
                <w:lang w:val="en-US" w:eastAsia="zh-CN"/>
              </w:rPr>
              <w:t>16:00</w:t>
            </w:r>
            <w:r>
              <w:rPr>
                <w:rFonts w:hint="eastAsia" w:ascii="仿宋" w:hAnsi="仿宋" w:eastAsia="仿宋" w:cs="仿宋"/>
                <w:b w:val="0"/>
                <w:bCs/>
                <w:color w:val="auto"/>
                <w:sz w:val="24"/>
                <w:szCs w:val="24"/>
                <w:highlight w:val="none"/>
                <w:lang w:eastAsia="zh-CN"/>
              </w:rPr>
              <w:t>前提交至代理机构，以</w:t>
            </w:r>
            <w:r>
              <w:rPr>
                <w:rFonts w:hint="eastAsia" w:ascii="仿宋" w:hAnsi="仿宋" w:eastAsia="仿宋" w:cs="仿宋"/>
                <w:b w:val="0"/>
                <w:bCs/>
                <w:color w:val="auto"/>
                <w:sz w:val="24"/>
                <w:szCs w:val="24"/>
                <w:highlight w:val="none"/>
                <w:lang w:val="en-US" w:eastAsia="zh-CN"/>
              </w:rPr>
              <w:t>代理</w:t>
            </w:r>
            <w:r>
              <w:rPr>
                <w:rFonts w:hint="eastAsia" w:ascii="仿宋" w:hAnsi="仿宋" w:eastAsia="仿宋" w:cs="仿宋"/>
                <w:b w:val="0"/>
                <w:bCs/>
                <w:color w:val="auto"/>
                <w:sz w:val="24"/>
                <w:szCs w:val="24"/>
                <w:highlight w:val="none"/>
                <w:lang w:eastAsia="zh-CN"/>
              </w:rPr>
              <w:t>实际签收时间为准。</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1.投标人须按规定提交投标保证金，否则，其投标将被视为无效。</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2.投标人有下列情形之一的，投标保证金将不予退还：</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（1）投标人在投标有效期内撤回投标文件的；</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（2）未按规定提交履约保证金的；</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（3）投标人在投标过程中弄虚作假，提供虚假材料的；</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（4）中标供应商无正当理由不与采购人签订合同的；</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（5）其他严重扰乱招投标程序的。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800"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1</w:t>
            </w:r>
          </w:p>
        </w:tc>
        <w:tc>
          <w:tcPr>
            <w:tcW w:w="1493"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质疑与</w:t>
            </w:r>
            <w:r>
              <w:rPr>
                <w:rFonts w:hint="eastAsia" w:ascii="仿宋" w:hAnsi="仿宋" w:eastAsia="仿宋" w:cs="仿宋"/>
                <w:b w:val="0"/>
                <w:bCs/>
                <w:color w:val="auto"/>
                <w:sz w:val="24"/>
                <w:szCs w:val="24"/>
                <w:highlight w:val="none"/>
                <w:lang w:val="en-US" w:eastAsia="zh-CN"/>
              </w:rPr>
              <w:t>投诉</w:t>
            </w:r>
          </w:p>
        </w:tc>
        <w:tc>
          <w:tcPr>
            <w:tcW w:w="7184"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color w:val="auto"/>
                <w:spacing w:val="6"/>
                <w:kern w:val="1"/>
                <w:sz w:val="24"/>
                <w:szCs w:val="24"/>
                <w:highlight w:val="none"/>
                <w:lang w:val="en-US" w:eastAsia="zh-CN" w:bidi="ar-SA"/>
              </w:rPr>
              <w:t>投标人依法获取招标文件后认为招标文件使自己的权益受到损害的</w:t>
            </w:r>
            <w:r>
              <w:rPr>
                <w:rFonts w:hint="eastAsia" w:ascii="仿宋" w:hAnsi="仿宋" w:eastAsia="仿宋" w:cs="仿宋"/>
                <w:b w:val="0"/>
                <w:bCs/>
                <w:color w:val="auto"/>
                <w:sz w:val="24"/>
                <w:szCs w:val="24"/>
                <w:highlight w:val="none"/>
                <w:lang w:eastAsia="zh-CN"/>
              </w:rPr>
              <w:t>，可以自收到招标文件之日（招标文件获取之日在招标文件公告期限届满之日后的以公告期限届满之日为准，即公告发布后的第6个工作日）起7个工作日内，以书面形式一次性向采购人和招标代理机构提出针对同一采购程序环节的质疑。质疑投标人对采购人、采购代理机构的答复不满意或者采购人、采购代理机构未在规定的时间内作出答复的，可以在答复期满后十五个工作日内向采购监督管理机构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00"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2</w:t>
            </w:r>
          </w:p>
        </w:tc>
        <w:tc>
          <w:tcPr>
            <w:tcW w:w="1493"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开标时间和地点</w:t>
            </w:r>
          </w:p>
        </w:tc>
        <w:tc>
          <w:tcPr>
            <w:tcW w:w="7184"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按“采购公告”规定。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3</w:t>
            </w:r>
          </w:p>
        </w:tc>
        <w:tc>
          <w:tcPr>
            <w:tcW w:w="1493"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投标截止时间</w:t>
            </w:r>
          </w:p>
        </w:tc>
        <w:tc>
          <w:tcPr>
            <w:tcW w:w="7184"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按“采购公告”规定。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0"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4</w:t>
            </w:r>
          </w:p>
        </w:tc>
        <w:tc>
          <w:tcPr>
            <w:tcW w:w="1493"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投标文件组成</w:t>
            </w:r>
          </w:p>
        </w:tc>
        <w:tc>
          <w:tcPr>
            <w:tcW w:w="7184"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由“资格证明文件”、“</w:t>
            </w:r>
            <w:r>
              <w:rPr>
                <w:rFonts w:hint="eastAsia" w:ascii="仿宋" w:hAnsi="仿宋" w:eastAsia="仿宋" w:cs="仿宋"/>
                <w:b w:val="0"/>
                <w:bCs/>
                <w:color w:val="auto"/>
                <w:sz w:val="24"/>
                <w:szCs w:val="24"/>
                <w:highlight w:val="none"/>
                <w:lang w:val="en-US" w:eastAsia="zh-CN"/>
              </w:rPr>
              <w:t>商务</w:t>
            </w:r>
            <w:r>
              <w:rPr>
                <w:rFonts w:hint="eastAsia" w:ascii="仿宋" w:hAnsi="仿宋" w:eastAsia="仿宋" w:cs="仿宋"/>
                <w:b w:val="0"/>
                <w:bCs/>
                <w:color w:val="auto"/>
                <w:sz w:val="24"/>
                <w:szCs w:val="24"/>
                <w:highlight w:val="none"/>
                <w:lang w:eastAsia="zh-CN"/>
              </w:rPr>
              <w:t>技术文件”和“报价文件”三个部分组成。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00"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5</w:t>
            </w:r>
          </w:p>
        </w:tc>
        <w:tc>
          <w:tcPr>
            <w:tcW w:w="1493"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投标文件的签章形式</w:t>
            </w:r>
          </w:p>
        </w:tc>
        <w:tc>
          <w:tcPr>
            <w:tcW w:w="7184"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bCs/>
                <w:color w:val="auto"/>
                <w:kern w:val="0"/>
                <w:sz w:val="24"/>
                <w:szCs w:val="24"/>
                <w:highlight w:val="yellow"/>
              </w:rPr>
            </w:pPr>
            <w:r>
              <w:rPr>
                <w:rFonts w:hint="eastAsia" w:ascii="仿宋" w:hAnsi="仿宋" w:eastAsia="仿宋" w:cs="仿宋"/>
                <w:b/>
                <w:color w:val="auto"/>
                <w:kern w:val="0"/>
                <w:sz w:val="24"/>
                <w:szCs w:val="24"/>
              </w:rPr>
              <w:t>☑</w:t>
            </w:r>
            <w:r>
              <w:rPr>
                <w:rFonts w:hint="eastAsia" w:ascii="仿宋" w:hAnsi="仿宋" w:eastAsia="仿宋" w:cs="仿宋"/>
                <w:b/>
                <w:color w:val="auto"/>
                <w:kern w:val="0"/>
                <w:sz w:val="24"/>
                <w:szCs w:val="24"/>
                <w:u w:val="single"/>
              </w:rPr>
              <w:t>电子签章</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按《第二部分 投标</w:t>
            </w:r>
            <w:r>
              <w:rPr>
                <w:rFonts w:hint="eastAsia" w:ascii="仿宋" w:hAnsi="仿宋" w:eastAsia="仿宋" w:cs="仿宋"/>
                <w:b w:val="0"/>
                <w:bCs/>
                <w:color w:val="auto"/>
                <w:sz w:val="24"/>
                <w:szCs w:val="24"/>
                <w:highlight w:val="none"/>
                <w:lang w:eastAsia="zh-CN"/>
              </w:rPr>
              <w:t>须知</w:t>
            </w:r>
            <w:r>
              <w:rPr>
                <w:rFonts w:hint="eastAsia" w:ascii="仿宋" w:hAnsi="仿宋" w:eastAsia="仿宋" w:cs="仿宋"/>
                <w:color w:val="auto"/>
                <w:sz w:val="24"/>
                <w:szCs w:val="24"/>
              </w:rPr>
              <w:t>》和《第六部分 投标文件格式》标注的要求进行盖章、签署（电子签章）。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00"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6</w:t>
            </w:r>
          </w:p>
        </w:tc>
        <w:tc>
          <w:tcPr>
            <w:tcW w:w="1493"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投标文件的形式</w:t>
            </w:r>
          </w:p>
        </w:tc>
        <w:tc>
          <w:tcPr>
            <w:tcW w:w="7184"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电子投标文件（包括“电子</w:t>
            </w:r>
            <w:r>
              <w:rPr>
                <w:rFonts w:hint="eastAsia" w:ascii="仿宋" w:hAnsi="仿宋" w:eastAsia="仿宋" w:cs="仿宋"/>
                <w:b w:val="0"/>
                <w:bCs/>
                <w:color w:val="auto"/>
                <w:sz w:val="24"/>
                <w:szCs w:val="24"/>
                <w:highlight w:val="none"/>
                <w:lang w:eastAsia="zh-CN"/>
              </w:rPr>
              <w:t>加密</w:t>
            </w:r>
            <w:r>
              <w:rPr>
                <w:rFonts w:hint="eastAsia" w:ascii="仿宋" w:hAnsi="仿宋" w:eastAsia="仿宋" w:cs="仿宋"/>
                <w:color w:val="auto"/>
                <w:kern w:val="0"/>
                <w:sz w:val="24"/>
                <w:szCs w:val="24"/>
                <w:highlight w:val="none"/>
              </w:rPr>
              <w:t>投标文件”和“备份投标文件”，在投标文件编制完成后同时生成）：</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（1）“电子加密投标文件”是指通过“</w:t>
            </w:r>
            <w:r>
              <w:rPr>
                <w:rFonts w:hint="eastAsia" w:ascii="仿宋" w:hAnsi="仿宋" w:eastAsia="仿宋" w:cs="仿宋"/>
                <w:color w:val="auto"/>
                <w:kern w:val="0"/>
                <w:sz w:val="24"/>
                <w:szCs w:val="24"/>
                <w:highlight w:val="none"/>
                <w:lang w:val="en-US" w:eastAsia="zh-CN"/>
              </w:rPr>
              <w:t>乐</w:t>
            </w:r>
            <w:r>
              <w:rPr>
                <w:rFonts w:hint="eastAsia" w:ascii="仿宋" w:hAnsi="仿宋" w:eastAsia="仿宋" w:cs="仿宋"/>
                <w:color w:val="auto"/>
                <w:kern w:val="0"/>
                <w:sz w:val="24"/>
                <w:szCs w:val="24"/>
                <w:highlight w:val="none"/>
              </w:rPr>
              <w:t>采云电子交易客户端”完成投标文件编制后生成并加密的数据电文形式的投标文件。</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（2）“备份投标文件”是指与“电子加密投标文件”同时生成的以介质（U盘）存储的数据电文形式的电子文件（备份标书），其他方式编制的备份投标文件视为无效备份投标文件。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00"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7</w:t>
            </w:r>
          </w:p>
        </w:tc>
        <w:tc>
          <w:tcPr>
            <w:tcW w:w="1493"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投标文件份数</w:t>
            </w:r>
          </w:p>
        </w:tc>
        <w:tc>
          <w:tcPr>
            <w:tcW w:w="7184"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“电子加密投标文件”：</w:t>
            </w:r>
            <w:r>
              <w:rPr>
                <w:rFonts w:hint="eastAsia" w:ascii="仿宋" w:hAnsi="仿宋" w:eastAsia="仿宋" w:cs="仿宋"/>
                <w:b w:val="0"/>
                <w:bCs/>
                <w:color w:val="auto"/>
                <w:sz w:val="24"/>
                <w:szCs w:val="24"/>
                <w:highlight w:val="none"/>
                <w:lang w:eastAsia="zh-CN"/>
              </w:rPr>
              <w:t>在线</w:t>
            </w:r>
            <w:r>
              <w:rPr>
                <w:rFonts w:hint="eastAsia" w:ascii="仿宋" w:hAnsi="仿宋" w:eastAsia="仿宋" w:cs="仿宋"/>
                <w:color w:val="auto"/>
                <w:kern w:val="0"/>
                <w:sz w:val="24"/>
                <w:szCs w:val="24"/>
                <w:highlight w:val="none"/>
              </w:rPr>
              <w:t>上传递交（一份）。</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（2）“备份投标文件”：密封包装后（</w:t>
            </w:r>
            <w:r>
              <w:rPr>
                <w:rFonts w:hint="eastAsia" w:ascii="仿宋" w:hAnsi="仿宋" w:eastAsia="仿宋" w:cs="仿宋"/>
                <w:color w:val="auto"/>
                <w:kern w:val="0"/>
                <w:sz w:val="24"/>
                <w:szCs w:val="24"/>
                <w:highlight w:val="none"/>
                <w:lang w:val="en-US" w:eastAsia="zh-CN"/>
              </w:rPr>
              <w:t>建议以</w:t>
            </w:r>
            <w:r>
              <w:rPr>
                <w:rFonts w:hint="eastAsia" w:ascii="仿宋" w:hAnsi="仿宋" w:eastAsia="仿宋" w:cs="仿宋"/>
                <w:color w:val="auto"/>
                <w:kern w:val="0"/>
                <w:sz w:val="24"/>
                <w:szCs w:val="24"/>
                <w:highlight w:val="none"/>
              </w:rPr>
              <w:t>EMS、顺丰邮寄等形式）投标截止时间前（送达时间以采购组织机构实际签收时间为准）送达（一份）（邮寄地址：</w:t>
            </w:r>
            <w:r>
              <w:rPr>
                <w:rFonts w:hint="eastAsia" w:ascii="仿宋" w:hAnsi="仿宋" w:eastAsia="仿宋" w:cs="仿宋"/>
                <w:color w:val="auto"/>
                <w:kern w:val="1"/>
                <w:sz w:val="24"/>
                <w:szCs w:val="24"/>
                <w:highlight w:val="none"/>
                <w:lang w:eastAsia="zh-CN"/>
              </w:rPr>
              <w:t>嵊州市三江街道官河南路333号商会大厦十四层1407室</w:t>
            </w:r>
            <w:r>
              <w:rPr>
                <w:rFonts w:hint="eastAsia" w:ascii="仿宋" w:hAnsi="仿宋" w:eastAsia="仿宋" w:cs="仿宋"/>
                <w:color w:val="auto"/>
                <w:kern w:val="1"/>
                <w:sz w:val="24"/>
                <w:szCs w:val="24"/>
                <w:highlight w:val="none"/>
                <w:lang w:val="en-US" w:eastAsia="zh-CN"/>
              </w:rPr>
              <w:t>，竺小</w:t>
            </w:r>
            <w:r>
              <w:rPr>
                <w:rFonts w:hint="eastAsia" w:ascii="仿宋" w:hAnsi="仿宋" w:eastAsia="仿宋" w:cs="仿宋"/>
                <w:bCs/>
                <w:color w:val="auto"/>
                <w:kern w:val="0"/>
                <w:sz w:val="24"/>
                <w:szCs w:val="24"/>
                <w:highlight w:val="none"/>
                <w:lang w:val="en-US" w:eastAsia="zh-CN"/>
              </w:rPr>
              <w:t>霞</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1"/>
                <w:sz w:val="24"/>
                <w:szCs w:val="24"/>
                <w:highlight w:val="none"/>
                <w:lang w:eastAsia="zh-CN"/>
              </w:rPr>
              <w:t>0575-83176688</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备份投标文件</w:t>
            </w:r>
            <w:r>
              <w:rPr>
                <w:rFonts w:hint="eastAsia" w:ascii="仿宋" w:hAnsi="仿宋" w:eastAsia="仿宋" w:cs="仿宋"/>
                <w:color w:val="auto"/>
                <w:kern w:val="0"/>
                <w:sz w:val="24"/>
                <w:szCs w:val="24"/>
                <w:highlight w:val="none"/>
              </w:rPr>
              <w:t>由投标人自愿提交，</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rPr>
              <w:t>文件不作强制性要求</w:t>
            </w:r>
            <w:r>
              <w:rPr>
                <w:rFonts w:hint="eastAsia" w:ascii="仿宋" w:hAnsi="仿宋" w:eastAsia="仿宋" w:cs="仿宋"/>
                <w:color w:val="auto"/>
                <w:kern w:val="0"/>
                <w:sz w:val="24"/>
                <w:szCs w:val="24"/>
                <w:highlight w:val="none"/>
                <w:lang w:eastAsia="zh-CN"/>
              </w:rPr>
              <w:t>）</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bidi="ar"/>
              </w:rPr>
              <w:t>注：如中标，中标人需提供纸质投标文件至少三份。内容需与电子投标文件完全一致，标明页码，如与电子投标文件不符将影响中标人领取中标通知书</w:t>
            </w:r>
            <w:r>
              <w:rPr>
                <w:rFonts w:hint="eastAsia" w:ascii="仿宋" w:hAnsi="仿宋" w:eastAsia="仿宋" w:cs="仿宋"/>
                <w:b/>
                <w:bCs/>
                <w:color w:val="auto"/>
                <w:kern w:val="0"/>
                <w:sz w:val="24"/>
                <w:szCs w:val="24"/>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00"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8</w:t>
            </w:r>
          </w:p>
        </w:tc>
        <w:tc>
          <w:tcPr>
            <w:tcW w:w="1493"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电子加密投标文件的上传、递交</w:t>
            </w:r>
          </w:p>
        </w:tc>
        <w:tc>
          <w:tcPr>
            <w:tcW w:w="7184"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1.投标供应商应在投标截止时间前将“电子加密投标文件”成功上传递交至“</w:t>
            </w:r>
            <w:r>
              <w:rPr>
                <w:rFonts w:hint="eastAsia" w:ascii="仿宋" w:hAnsi="仿宋" w:eastAsia="仿宋" w:cs="仿宋"/>
                <w:color w:val="auto"/>
                <w:kern w:val="0"/>
                <w:sz w:val="24"/>
                <w:szCs w:val="24"/>
                <w:highlight w:val="none"/>
                <w:lang w:val="en-US" w:eastAsia="zh-CN"/>
              </w:rPr>
              <w:t>乐采云平台</w:t>
            </w:r>
            <w:r>
              <w:rPr>
                <w:rFonts w:hint="eastAsia" w:ascii="仿宋" w:hAnsi="仿宋" w:eastAsia="仿宋" w:cs="仿宋"/>
                <w:color w:val="auto"/>
                <w:spacing w:val="6"/>
                <w:kern w:val="0"/>
                <w:sz w:val="24"/>
                <w:szCs w:val="24"/>
                <w:highlight w:val="none"/>
              </w:rPr>
              <w:t>（www.</w:t>
            </w:r>
            <w:r>
              <w:rPr>
                <w:rFonts w:hint="eastAsia" w:ascii="仿宋" w:hAnsi="仿宋" w:eastAsia="仿宋" w:cs="仿宋"/>
                <w:color w:val="auto"/>
                <w:spacing w:val="6"/>
                <w:kern w:val="0"/>
                <w:sz w:val="24"/>
                <w:szCs w:val="24"/>
                <w:highlight w:val="none"/>
                <w:lang w:eastAsia="zh-CN"/>
              </w:rPr>
              <w:t>lecaiyun.com）</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4"/>
                <w:szCs w:val="24"/>
                <w:highlight w:val="none"/>
              </w:rPr>
              <w:t>，否则投标无效。</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2.“电子加密</w:t>
            </w:r>
            <w:r>
              <w:rPr>
                <w:rFonts w:hint="eastAsia" w:ascii="仿宋" w:hAnsi="仿宋" w:eastAsia="仿宋" w:cs="仿宋"/>
                <w:b w:val="0"/>
                <w:bCs/>
                <w:color w:val="auto"/>
                <w:sz w:val="24"/>
                <w:szCs w:val="24"/>
                <w:highlight w:val="none"/>
                <w:lang w:eastAsia="zh-CN"/>
              </w:rPr>
              <w:t>投标</w:t>
            </w:r>
            <w:r>
              <w:rPr>
                <w:rFonts w:hint="eastAsia" w:ascii="仿宋" w:hAnsi="仿宋" w:eastAsia="仿宋" w:cs="仿宋"/>
                <w:color w:val="auto"/>
                <w:kern w:val="0"/>
                <w:sz w:val="24"/>
                <w:szCs w:val="24"/>
                <w:highlight w:val="none"/>
              </w:rPr>
              <w:t>文件”成功上传递交后，供应商可自行打印投标文件接收回执。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00"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9</w:t>
            </w:r>
          </w:p>
        </w:tc>
        <w:tc>
          <w:tcPr>
            <w:tcW w:w="1493"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电子加密投标文件的解密和异常情况处理</w:t>
            </w:r>
          </w:p>
        </w:tc>
        <w:tc>
          <w:tcPr>
            <w:tcW w:w="7184"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1.开标后，采购组织机构将向各投标供应商发出“电子加密投标文件”的解密通知，各投标供应商代表应当在接到解密通知后30分钟内自行完成“电子加密投标文件”的在线解密。</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2.通过“</w:t>
            </w:r>
            <w:r>
              <w:rPr>
                <w:rFonts w:hint="eastAsia" w:ascii="仿宋" w:hAnsi="仿宋" w:eastAsia="仿宋" w:cs="仿宋"/>
                <w:color w:val="auto"/>
                <w:spacing w:val="6"/>
                <w:kern w:val="0"/>
                <w:sz w:val="24"/>
                <w:szCs w:val="24"/>
                <w:highlight w:val="none"/>
                <w:lang w:val="en-US" w:eastAsia="zh-CN"/>
              </w:rPr>
              <w:t>乐采云平台</w:t>
            </w:r>
            <w:r>
              <w:rPr>
                <w:rFonts w:hint="eastAsia" w:ascii="仿宋" w:hAnsi="仿宋" w:eastAsia="仿宋" w:cs="仿宋"/>
                <w:color w:val="auto"/>
                <w:spacing w:val="6"/>
                <w:kern w:val="0"/>
                <w:sz w:val="24"/>
                <w:szCs w:val="24"/>
                <w:highlight w:val="none"/>
              </w:rPr>
              <w:t>（www.</w:t>
            </w:r>
            <w:r>
              <w:rPr>
                <w:rFonts w:hint="eastAsia" w:ascii="仿宋" w:hAnsi="仿宋" w:eastAsia="仿宋" w:cs="仿宋"/>
                <w:color w:val="auto"/>
                <w:spacing w:val="6"/>
                <w:kern w:val="0"/>
                <w:sz w:val="24"/>
                <w:szCs w:val="24"/>
                <w:highlight w:val="none"/>
                <w:lang w:eastAsia="zh-CN"/>
              </w:rPr>
              <w:t>lecaiyun.com）</w:t>
            </w:r>
            <w:r>
              <w:rPr>
                <w:rFonts w:hint="eastAsia" w:ascii="仿宋" w:hAnsi="仿宋" w:eastAsia="仿宋" w:cs="仿宋"/>
                <w:color w:val="auto"/>
                <w:kern w:val="0"/>
                <w:sz w:val="24"/>
                <w:szCs w:val="24"/>
                <w:highlight w:val="none"/>
              </w:rPr>
              <w:t>”成功上传递交的“电子加密投标文件”无法按时解密，投标供应商如按规定递交了“备份投标文件”的，以“备份投标文件”为依据（由采购组织机构按“</w:t>
            </w:r>
            <w:r>
              <w:rPr>
                <w:rFonts w:hint="eastAsia" w:ascii="仿宋" w:hAnsi="仿宋" w:eastAsia="仿宋" w:cs="仿宋"/>
                <w:color w:val="auto"/>
                <w:kern w:val="0"/>
                <w:sz w:val="24"/>
                <w:szCs w:val="24"/>
                <w:highlight w:val="none"/>
                <w:lang w:val="en-US" w:eastAsia="zh-CN"/>
              </w:rPr>
              <w:t>乐采云</w:t>
            </w:r>
            <w:r>
              <w:rPr>
                <w:rFonts w:hint="eastAsia" w:ascii="仿宋" w:hAnsi="仿宋" w:eastAsia="仿宋" w:cs="仿宋"/>
                <w:color w:val="auto"/>
                <w:kern w:val="0"/>
                <w:sz w:val="24"/>
                <w:szCs w:val="24"/>
                <w:highlight w:val="none"/>
              </w:rPr>
              <w:t>”操作规范将“备份投标文件”上传至“</w:t>
            </w:r>
            <w:r>
              <w:rPr>
                <w:rFonts w:hint="eastAsia" w:ascii="仿宋" w:hAnsi="仿宋" w:eastAsia="仿宋" w:cs="仿宋"/>
                <w:color w:val="auto"/>
                <w:kern w:val="0"/>
                <w:sz w:val="24"/>
                <w:szCs w:val="24"/>
                <w:highlight w:val="none"/>
                <w:lang w:val="en-US" w:eastAsia="zh-CN"/>
              </w:rPr>
              <w:t>乐采云平台</w:t>
            </w:r>
            <w:r>
              <w:rPr>
                <w:rFonts w:hint="eastAsia" w:ascii="仿宋" w:hAnsi="仿宋" w:eastAsia="仿宋" w:cs="仿宋"/>
                <w:color w:val="auto"/>
                <w:kern w:val="0"/>
                <w:sz w:val="24"/>
                <w:szCs w:val="24"/>
                <w:highlight w:val="none"/>
              </w:rPr>
              <w:t>”，上传成功后，“电子加密投标文件”自动失效），否则视为投标文件撤回。</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3.投标截止时间前，投标供应商仅递交了“备份投标文件”而未将电子加密投标文件上传至“</w:t>
            </w:r>
            <w:r>
              <w:rPr>
                <w:rFonts w:hint="eastAsia" w:ascii="仿宋" w:hAnsi="仿宋" w:eastAsia="仿宋" w:cs="仿宋"/>
                <w:color w:val="auto"/>
                <w:kern w:val="0"/>
                <w:sz w:val="24"/>
                <w:szCs w:val="24"/>
                <w:highlight w:val="none"/>
                <w:lang w:val="en-US" w:eastAsia="zh-CN"/>
              </w:rPr>
              <w:t>乐采云平台</w:t>
            </w:r>
            <w:r>
              <w:rPr>
                <w:rFonts w:hint="eastAsia" w:ascii="仿宋" w:hAnsi="仿宋" w:eastAsia="仿宋" w:cs="仿宋"/>
                <w:color w:val="auto"/>
                <w:kern w:val="0"/>
                <w:sz w:val="24"/>
                <w:szCs w:val="24"/>
                <w:highlight w:val="none"/>
              </w:rPr>
              <w:t>”的，投标无效。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0"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20</w:t>
            </w:r>
          </w:p>
        </w:tc>
        <w:tc>
          <w:tcPr>
            <w:tcW w:w="1493"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代理服务费</w:t>
            </w:r>
          </w:p>
        </w:tc>
        <w:tc>
          <w:tcPr>
            <w:tcW w:w="7184" w:type="dxa"/>
            <w:noWrap w:val="0"/>
            <w:vAlign w:val="center"/>
          </w:tcPr>
          <w:p>
            <w:pPr>
              <w:numPr>
                <w:ilvl w:val="0"/>
                <w:numId w:val="0"/>
              </w:numPr>
              <w:spacing w:line="440" w:lineRule="exact"/>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rPr>
              <w:t>本项目代理服务费</w:t>
            </w:r>
            <w:r>
              <w:rPr>
                <w:rFonts w:hint="eastAsia" w:ascii="仿宋" w:hAnsi="仿宋" w:eastAsia="仿宋" w:cs="仿宋"/>
                <w:color w:val="auto"/>
                <w:sz w:val="24"/>
                <w:highlight w:val="none"/>
                <w:lang w:val="en-US" w:eastAsia="zh-CN"/>
              </w:rPr>
              <w:t>按照以下标准收取（招标代理费按差额定率累进法计算）</w:t>
            </w:r>
            <w:r>
              <w:rPr>
                <w:rFonts w:hint="eastAsia" w:ascii="仿宋" w:hAnsi="仿宋" w:eastAsia="仿宋" w:cs="仿宋"/>
                <w:color w:val="auto"/>
                <w:sz w:val="24"/>
              </w:rPr>
              <w:t>：</w:t>
            </w:r>
          </w:p>
          <w:tbl>
            <w:tblPr>
              <w:tblStyle w:val="24"/>
              <w:tblW w:w="5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79"/>
              <w:gridCol w:w="2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keepNext w:val="0"/>
                    <w:keepLines w:val="0"/>
                    <w:widowControl/>
                    <w:suppressLineNumbers w:val="0"/>
                    <w:spacing w:line="44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服务类型金额（万元）        </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500-1000</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ind w:firstLine="0" w:firstLineChars="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1000-5000</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ind w:firstLine="0" w:firstLineChars="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ind w:firstLine="0" w:firstLineChars="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5000-10000</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ind w:firstLine="0" w:firstLineChars="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ind w:firstLine="0" w:firstLineChars="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10000-100000</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ind w:firstLine="0" w:firstLineChars="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ind w:firstLine="0" w:firstLineChars="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1000000以上</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ind w:firstLine="0" w:firstLineChars="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0.01%</w:t>
                  </w:r>
                </w:p>
              </w:tc>
            </w:tr>
          </w:tbl>
          <w:p>
            <w:pPr>
              <w:numPr>
                <w:ilvl w:val="0"/>
                <w:numId w:val="0"/>
              </w:numPr>
              <w:spacing w:line="440" w:lineRule="exact"/>
              <w:rPr>
                <w:rFonts w:hint="eastAsia" w:ascii="仿宋" w:hAnsi="仿宋" w:eastAsia="仿宋" w:cs="仿宋"/>
                <w:color w:val="auto"/>
                <w:sz w:val="24"/>
              </w:rPr>
            </w:pPr>
            <w:r>
              <w:rPr>
                <w:rFonts w:hint="eastAsia" w:ascii="仿宋" w:hAnsi="仿宋" w:eastAsia="仿宋" w:cs="仿宋"/>
                <w:color w:val="auto"/>
                <w:sz w:val="24"/>
              </w:rPr>
              <w:t>由中标人在领取中标通知书时支付；</w:t>
            </w:r>
          </w:p>
          <w:p>
            <w:pPr>
              <w:numPr>
                <w:ilvl w:val="0"/>
                <w:numId w:val="0"/>
              </w:num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.代理服务费以（转账或现金形式支付）转账账户 ：</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公司名称: </w:t>
            </w:r>
            <w:r>
              <w:rPr>
                <w:rFonts w:hint="eastAsia" w:ascii="仿宋" w:hAnsi="仿宋" w:eastAsia="仿宋" w:cs="仿宋"/>
                <w:color w:val="auto"/>
                <w:sz w:val="24"/>
                <w:szCs w:val="24"/>
                <w:lang w:eastAsia="zh-CN"/>
              </w:rPr>
              <w:t>绍兴平准</w:t>
            </w:r>
            <w:r>
              <w:rPr>
                <w:rFonts w:hint="eastAsia" w:ascii="仿宋" w:hAnsi="仿宋" w:eastAsia="仿宋" w:cs="仿宋"/>
                <w:b w:val="0"/>
                <w:bCs/>
                <w:color w:val="auto"/>
                <w:sz w:val="24"/>
                <w:szCs w:val="24"/>
                <w:highlight w:val="none"/>
                <w:lang w:eastAsia="zh-CN"/>
              </w:rPr>
              <w:t>招标</w:t>
            </w:r>
            <w:r>
              <w:rPr>
                <w:rFonts w:hint="eastAsia" w:ascii="仿宋" w:hAnsi="仿宋" w:eastAsia="仿宋" w:cs="仿宋"/>
                <w:color w:val="auto"/>
                <w:sz w:val="24"/>
                <w:szCs w:val="24"/>
                <w:lang w:eastAsia="zh-CN"/>
              </w:rPr>
              <w:t>代理有限公司</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开户行: 建设银行嵊州新城支行</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rPr>
              <w:t xml:space="preserve">账号: </w:t>
            </w:r>
            <w:r>
              <w:rPr>
                <w:rFonts w:hint="eastAsia" w:ascii="仿宋" w:hAnsi="仿宋" w:eastAsia="仿宋" w:cs="仿宋"/>
                <w:b w:val="0"/>
                <w:bCs/>
                <w:color w:val="auto"/>
                <w:sz w:val="24"/>
                <w:szCs w:val="24"/>
                <w:highlight w:val="none"/>
                <w:lang w:eastAsia="zh-CN"/>
              </w:rPr>
              <w:t>33050165655009888888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0"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21</w:t>
            </w:r>
          </w:p>
        </w:tc>
        <w:tc>
          <w:tcPr>
            <w:tcW w:w="1493"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讲标询标</w:t>
            </w:r>
          </w:p>
        </w:tc>
        <w:tc>
          <w:tcPr>
            <w:tcW w:w="7184"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如有需要，在评标时各投标人需准备并接受评委在线询标，开评标时需保持网络的通畅及在线。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0"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22</w:t>
            </w:r>
          </w:p>
        </w:tc>
        <w:tc>
          <w:tcPr>
            <w:tcW w:w="1493"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解释</w:t>
            </w:r>
          </w:p>
        </w:tc>
        <w:tc>
          <w:tcPr>
            <w:tcW w:w="7184" w:type="dxa"/>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凡涉及本</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rPr>
              <w:t>文件的</w:t>
            </w:r>
            <w:r>
              <w:rPr>
                <w:rFonts w:hint="eastAsia" w:ascii="仿宋" w:hAnsi="仿宋" w:eastAsia="仿宋" w:cs="仿宋"/>
                <w:b w:val="0"/>
                <w:bCs/>
                <w:color w:val="auto"/>
                <w:sz w:val="24"/>
                <w:szCs w:val="24"/>
                <w:highlight w:val="none"/>
                <w:lang w:eastAsia="zh-CN"/>
              </w:rPr>
              <w:t>解释权</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lang w:val="en-US" w:eastAsia="zh-CN"/>
              </w:rPr>
              <w:t>招标人和</w:t>
            </w:r>
            <w:r>
              <w:rPr>
                <w:rFonts w:hint="eastAsia" w:ascii="仿宋" w:hAnsi="仿宋" w:eastAsia="仿宋" w:cs="仿宋"/>
                <w:color w:val="auto"/>
                <w:kern w:val="0"/>
                <w:sz w:val="24"/>
                <w:szCs w:val="24"/>
                <w:highlight w:val="none"/>
              </w:rPr>
              <w:t>招标代理单位。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9477" w:type="dxa"/>
            <w:gridSpan w:val="3"/>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color w:val="auto"/>
                <w:kern w:val="0"/>
                <w:sz w:val="24"/>
                <w:szCs w:val="24"/>
                <w:highlight w:val="none"/>
              </w:rPr>
            </w:pPr>
            <w:bookmarkStart w:id="61" w:name="_Toc7408"/>
            <w:bookmarkStart w:id="62" w:name="_Toc13370"/>
            <w:bookmarkStart w:id="63" w:name="_Toc32679"/>
            <w:bookmarkStart w:id="64" w:name="_Toc1521"/>
            <w:bookmarkStart w:id="65" w:name="_Toc749"/>
            <w:bookmarkStart w:id="66" w:name="_Toc330215267"/>
            <w:bookmarkStart w:id="67" w:name="_Toc330214840"/>
            <w:bookmarkStart w:id="68" w:name="_Toc330214712"/>
            <w:bookmarkStart w:id="69" w:name="_Toc330215465"/>
            <w:bookmarkStart w:id="70" w:name="_Toc330212071"/>
            <w:bookmarkStart w:id="71" w:name="_Toc381971539"/>
            <w:r>
              <w:rPr>
                <w:rFonts w:hint="eastAsia" w:ascii="仿宋" w:hAnsi="仿宋" w:eastAsia="仿宋" w:cs="仿宋"/>
                <w:color w:val="auto"/>
                <w:kern w:val="0"/>
                <w:sz w:val="24"/>
                <w:szCs w:val="24"/>
                <w:highlight w:val="none"/>
                <w:lang w:val="en-US" w:eastAsia="zh-CN"/>
              </w:rPr>
              <w:t>注：中标候选人放弃中标资格或因质疑、投诉被取消中标资格或不能履行合同的，采购人重新组织招标。代理费及其他费用在投标保证金中扣除。</w:t>
            </w:r>
          </w:p>
        </w:tc>
      </w:t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一、总  则</w:t>
      </w:r>
      <w:bookmarkEnd w:id="61"/>
      <w:bookmarkEnd w:id="62"/>
      <w:bookmarkEnd w:id="63"/>
      <w:bookmarkEnd w:id="64"/>
      <w:bookmarkEnd w:id="65"/>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color w:val="auto"/>
          <w:sz w:val="24"/>
          <w:szCs w:val="24"/>
          <w:lang w:val="en-US" w:eastAsia="zh-CN"/>
        </w:rPr>
      </w:pPr>
      <w:bookmarkStart w:id="72" w:name="_Toc20757"/>
      <w:bookmarkStart w:id="73" w:name="_Toc330214700"/>
      <w:bookmarkStart w:id="74" w:name="_Toc330215453"/>
      <w:bookmarkStart w:id="75" w:name="_Toc330212059"/>
      <w:bookmarkStart w:id="76" w:name="_Toc330215255"/>
      <w:bookmarkStart w:id="77" w:name="_Toc504504524"/>
      <w:bookmarkStart w:id="78" w:name="_Toc381971527"/>
      <w:bookmarkStart w:id="79" w:name="_Toc330214828"/>
      <w:r>
        <w:rPr>
          <w:rFonts w:hint="eastAsia" w:ascii="仿宋" w:hAnsi="仿宋" w:eastAsia="仿宋" w:cs="仿宋"/>
          <w:b/>
          <w:color w:val="auto"/>
          <w:sz w:val="24"/>
          <w:szCs w:val="24"/>
          <w:highlight w:val="none"/>
        </w:rPr>
        <w:t xml:space="preserve">（一） </w:t>
      </w:r>
      <w:bookmarkEnd w:id="72"/>
      <w:bookmarkEnd w:id="73"/>
      <w:bookmarkEnd w:id="74"/>
      <w:bookmarkEnd w:id="75"/>
      <w:bookmarkEnd w:id="76"/>
      <w:bookmarkEnd w:id="77"/>
      <w:bookmarkEnd w:id="78"/>
      <w:bookmarkEnd w:id="79"/>
      <w:r>
        <w:rPr>
          <w:rFonts w:hint="eastAsia" w:ascii="仿宋" w:hAnsi="仿宋" w:eastAsia="仿宋" w:cs="仿宋"/>
          <w:b/>
          <w:color w:val="auto"/>
          <w:sz w:val="24"/>
          <w:szCs w:val="24"/>
          <w:highlight w:val="none"/>
        </w:rPr>
        <w:t>适用范围</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本招标文件</w:t>
      </w:r>
      <w:r>
        <w:rPr>
          <w:rFonts w:hint="eastAsia" w:ascii="仿宋" w:hAnsi="仿宋" w:eastAsia="仿宋" w:cs="仿宋"/>
          <w:color w:val="auto"/>
          <w:sz w:val="24"/>
          <w:szCs w:val="24"/>
          <w:lang w:val="en-US" w:eastAsia="zh-CN"/>
        </w:rPr>
        <w:t>适用于</w:t>
      </w:r>
      <w:r>
        <w:rPr>
          <w:rFonts w:hint="eastAsia" w:ascii="仿宋" w:hAnsi="仿宋" w:eastAsia="仿宋" w:cs="仿宋"/>
          <w:color w:val="auto"/>
          <w:sz w:val="24"/>
          <w:szCs w:val="24"/>
          <w:lang w:eastAsia="zh-CN"/>
        </w:rPr>
        <w:t>嵊州市益嘉配送有限公司（2024-2027）年大米采购项目</w:t>
      </w:r>
      <w:r>
        <w:rPr>
          <w:rFonts w:hint="eastAsia" w:ascii="仿宋" w:hAnsi="仿宋" w:eastAsia="仿宋" w:cs="仿宋"/>
          <w:bCs/>
          <w:iCs/>
          <w:color w:val="auto"/>
          <w:sz w:val="24"/>
          <w:szCs w:val="24"/>
          <w:lang w:eastAsia="zh-CN"/>
        </w:rPr>
        <w:t>（项目编号：SXPZ-H20240603QXY）</w:t>
      </w:r>
      <w:r>
        <w:rPr>
          <w:rFonts w:hint="eastAsia" w:ascii="仿宋" w:hAnsi="仿宋" w:eastAsia="仿宋" w:cs="仿宋"/>
          <w:color w:val="auto"/>
          <w:sz w:val="24"/>
          <w:szCs w:val="24"/>
        </w:rPr>
        <w:t>的招标、投标、评标、定标、验收、合同履约、付款等行为（</w:t>
      </w:r>
      <w:r>
        <w:rPr>
          <w:rFonts w:hint="eastAsia" w:ascii="仿宋" w:hAnsi="仿宋" w:eastAsia="仿宋" w:cs="仿宋"/>
          <w:color w:val="auto"/>
          <w:sz w:val="24"/>
          <w:szCs w:val="24"/>
          <w:lang w:eastAsia="zh-CN"/>
        </w:rPr>
        <w:t>法律法规</w:t>
      </w:r>
      <w:r>
        <w:rPr>
          <w:rFonts w:hint="eastAsia" w:ascii="仿宋" w:hAnsi="仿宋" w:eastAsia="仿宋" w:cs="仿宋"/>
          <w:color w:val="auto"/>
          <w:sz w:val="24"/>
          <w:szCs w:val="24"/>
        </w:rPr>
        <w:t>另有规定的，从其规定）。</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jc w:val="left"/>
        <w:textAlignment w:val="auto"/>
        <w:outlineLvl w:val="9"/>
        <w:rPr>
          <w:rFonts w:hint="eastAsia"/>
        </w:rPr>
      </w:pPr>
      <w:bookmarkStart w:id="80" w:name="_Toc330215454"/>
      <w:bookmarkStart w:id="81" w:name="_Toc29602"/>
      <w:bookmarkStart w:id="82" w:name="_Toc381971528"/>
      <w:bookmarkStart w:id="83" w:name="_Toc330214701"/>
      <w:bookmarkStart w:id="84" w:name="_Toc330214829"/>
      <w:bookmarkStart w:id="85" w:name="_Toc504504525"/>
      <w:bookmarkStart w:id="86" w:name="_Toc330215256"/>
      <w:bookmarkStart w:id="87" w:name="_Toc330212060"/>
      <w:r>
        <w:rPr>
          <w:rFonts w:hint="eastAsia" w:ascii="仿宋" w:hAnsi="仿宋" w:eastAsia="仿宋" w:cs="仿宋"/>
          <w:b/>
          <w:color w:val="auto"/>
          <w:kern w:val="2"/>
          <w:sz w:val="24"/>
          <w:szCs w:val="24"/>
          <w:lang w:val="en-US" w:eastAsia="zh-CN" w:bidi="ar-SA"/>
        </w:rPr>
        <w:t>（二）</w:t>
      </w:r>
      <w:r>
        <w:rPr>
          <w:rFonts w:hint="eastAsia" w:ascii="仿宋" w:hAnsi="仿宋" w:eastAsia="仿宋" w:cs="仿宋"/>
          <w:b/>
          <w:color w:val="auto"/>
          <w:sz w:val="24"/>
          <w:szCs w:val="24"/>
        </w:rPr>
        <w:t>定义</w:t>
      </w:r>
      <w:bookmarkEnd w:id="80"/>
      <w:bookmarkEnd w:id="81"/>
      <w:bookmarkEnd w:id="82"/>
      <w:bookmarkEnd w:id="83"/>
      <w:bookmarkEnd w:id="84"/>
      <w:bookmarkEnd w:id="85"/>
      <w:bookmarkEnd w:id="86"/>
      <w:bookmarkEnd w:id="87"/>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1.“采购人”是</w:t>
      </w:r>
      <w:r>
        <w:rPr>
          <w:rFonts w:hint="eastAsia" w:ascii="仿宋" w:hAnsi="仿宋" w:eastAsia="仿宋" w:cs="仿宋"/>
          <w:color w:val="auto"/>
          <w:sz w:val="24"/>
          <w:szCs w:val="24"/>
          <w:highlight w:val="none"/>
        </w:rPr>
        <w:t>指组织本次招标的招标单位(或采购人/采购单位)</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2.“采购代理机构”是</w:t>
      </w:r>
      <w:r>
        <w:rPr>
          <w:rFonts w:hint="eastAsia" w:ascii="仿宋" w:hAnsi="仿宋" w:eastAsia="仿宋" w:cs="仿宋"/>
          <w:color w:val="auto"/>
          <w:sz w:val="24"/>
          <w:highlight w:val="none"/>
        </w:rPr>
        <w:t>指招标公告中载明的本项目的采购代理机构</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3.“投标人”：是指响应招标、参加投标竞争的法人、其他组织或者自然人；</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color w:val="auto"/>
          <w:sz w:val="24"/>
          <w:szCs w:val="24"/>
        </w:rPr>
      </w:pPr>
      <w:r>
        <w:rPr>
          <w:rFonts w:hint="eastAsia" w:ascii="仿宋" w:hAnsi="仿宋" w:eastAsia="仿宋" w:cs="仿宋"/>
          <w:color w:val="auto"/>
          <w:sz w:val="24"/>
          <w:szCs w:val="24"/>
          <w:lang w:val="en-US" w:eastAsia="zh-CN"/>
        </w:rPr>
        <w:t>4.“中标单位”：是指经评标委员会推荐并经采购人确认的中标成交单位；</w:t>
      </w:r>
      <w:bookmarkStart w:id="88" w:name="_Toc504504526"/>
      <w:bookmarkStart w:id="89" w:name="_Toc330214832"/>
      <w:bookmarkStart w:id="90" w:name="_Toc330215457"/>
      <w:bookmarkStart w:id="91" w:name="_Toc330212063"/>
      <w:bookmarkStart w:id="92" w:name="_Toc330214704"/>
      <w:bookmarkStart w:id="93" w:name="_Toc330215259"/>
      <w:bookmarkStart w:id="94" w:name="_Toc381971531"/>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color w:val="auto"/>
          <w:sz w:val="24"/>
          <w:szCs w:val="24"/>
          <w:lang w:val="en-US" w:eastAsia="zh-CN"/>
        </w:rPr>
      </w:pPr>
      <w:bookmarkStart w:id="95" w:name="_Toc23561"/>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“项目”：是指</w:t>
      </w:r>
      <w:r>
        <w:rPr>
          <w:rFonts w:hint="eastAsia" w:ascii="仿宋" w:hAnsi="仿宋" w:eastAsia="仿宋" w:cs="仿宋"/>
          <w:b w:val="0"/>
          <w:bCs/>
          <w:color w:val="auto"/>
          <w:sz w:val="24"/>
          <w:szCs w:val="24"/>
          <w:lang w:eastAsia="zh-CN"/>
        </w:rPr>
        <w:t>投标人</w:t>
      </w:r>
      <w:r>
        <w:rPr>
          <w:rFonts w:hint="eastAsia" w:ascii="仿宋" w:hAnsi="仿宋" w:eastAsia="仿宋" w:cs="仿宋"/>
          <w:b w:val="0"/>
          <w:bCs/>
          <w:color w:val="auto"/>
          <w:sz w:val="24"/>
          <w:szCs w:val="24"/>
        </w:rPr>
        <w:t>按采购文件规定向采购人提供的货物或服务或工程</w:t>
      </w:r>
      <w:r>
        <w:rPr>
          <w:rFonts w:hint="eastAsia" w:ascii="仿宋" w:hAnsi="仿宋" w:eastAsia="仿宋" w:cs="仿宋"/>
          <w:b w:val="0"/>
          <w:bCs/>
          <w:color w:val="auto"/>
          <w:sz w:val="24"/>
          <w:szCs w:val="24"/>
          <w:lang w:eastAsia="zh-CN"/>
        </w:rPr>
        <w:t>；</w:t>
      </w:r>
      <w:bookmarkEnd w:id="95"/>
      <w:bookmarkStart w:id="96" w:name="_Toc32683"/>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6.特殊符号定义与说明</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 1 \* GB3 \* MERGEFORMAT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t>①</w:t>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t>标注“</w:t>
      </w:r>
      <w:r>
        <w:rPr>
          <w:rFonts w:hint="eastAsia" w:ascii="仿宋" w:hAnsi="仿宋" w:eastAsia="仿宋" w:cs="仿宋"/>
          <w:b w:val="0"/>
          <w:bCs w:val="0"/>
          <w:color w:val="auto"/>
          <w:sz w:val="24"/>
          <w:highlight w:val="none"/>
        </w:rPr>
        <w:t>★</w:t>
      </w:r>
      <w:r>
        <w:rPr>
          <w:rFonts w:hint="eastAsia" w:ascii="仿宋" w:hAnsi="仿宋" w:eastAsia="仿宋" w:cs="仿宋"/>
          <w:b w:val="0"/>
          <w:bCs/>
          <w:color w:val="auto"/>
          <w:sz w:val="24"/>
          <w:szCs w:val="24"/>
          <w:lang w:val="en-US" w:eastAsia="zh-CN"/>
        </w:rPr>
        <w:t>”号的内容：系指本项目的“实质性要求条款”，</w:t>
      </w:r>
      <w:r>
        <w:rPr>
          <w:rFonts w:hint="eastAsia" w:ascii="仿宋" w:hAnsi="仿宋" w:eastAsia="仿宋" w:cs="仿宋"/>
          <w:b w:val="0"/>
          <w:bCs/>
          <w:color w:val="auto"/>
          <w:sz w:val="24"/>
          <w:szCs w:val="24"/>
          <w:highlight w:val="none"/>
          <w:lang w:val="en-US" w:eastAsia="zh-CN"/>
        </w:rPr>
        <w:t>如任意一条打“</w:t>
      </w:r>
      <w:r>
        <w:rPr>
          <w:rFonts w:hint="eastAsia" w:ascii="仿宋" w:hAnsi="仿宋" w:eastAsia="仿宋" w:cs="仿宋"/>
          <w:b w:val="0"/>
          <w:bCs w:val="0"/>
          <w:color w:val="auto"/>
          <w:sz w:val="24"/>
          <w:highlight w:val="none"/>
        </w:rPr>
        <w:t>★</w:t>
      </w:r>
      <w:r>
        <w:rPr>
          <w:rFonts w:hint="eastAsia" w:ascii="仿宋" w:hAnsi="仿宋" w:eastAsia="仿宋" w:cs="仿宋"/>
          <w:b w:val="0"/>
          <w:bCs/>
          <w:color w:val="auto"/>
          <w:sz w:val="24"/>
          <w:szCs w:val="24"/>
          <w:highlight w:val="none"/>
          <w:lang w:val="en-US" w:eastAsia="zh-CN"/>
        </w:rPr>
        <w:t>”的指标出现负偏离视为实质性不响应招标文件要求，作无效投标处理；</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②标注“▲”号的内容：系指本项目的“重要指标”；</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 3 \* GB3 \* MERGEFORMAT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color w:val="auto"/>
          <w:sz w:val="24"/>
          <w:szCs w:val="24"/>
        </w:rPr>
        <w:t>③</w:t>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t>标注“</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szCs w:val="24"/>
          <w:lang w:val="en-US" w:eastAsia="zh-CN"/>
        </w:rPr>
        <w:t>”号的内容：系指“不适用本项目的要求”；</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④标注“</w:t>
      </w:r>
      <w:r>
        <w:rPr>
          <w:rFonts w:hint="eastAsia" w:ascii="仿宋" w:hAnsi="仿宋" w:eastAsia="仿宋" w:cs="仿宋"/>
          <w:color w:val="auto"/>
          <w:sz w:val="24"/>
          <w:lang w:eastAsia="zh-CN"/>
        </w:rPr>
        <w:t>☑</w:t>
      </w:r>
      <w:r>
        <w:rPr>
          <w:rFonts w:hint="eastAsia" w:ascii="仿宋" w:hAnsi="仿宋" w:eastAsia="仿宋" w:cs="仿宋"/>
          <w:b w:val="0"/>
          <w:bCs/>
          <w:color w:val="auto"/>
          <w:sz w:val="24"/>
          <w:szCs w:val="24"/>
          <w:lang w:val="en-US" w:eastAsia="zh-CN"/>
        </w:rPr>
        <w:t>”号的内容：系指“适用本项目的要求”。</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7.其他定义</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 1 \* GB3 \* MERGEFORMAT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t>①</w:t>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t>“书面形式”是合同书、信件、电报、电传、传真等可以有形地表现所载内容的形式。以电子数据交换、电子邮件等方式能够有形地表现所载内容，并可以随时调取查用的数据电文，视为书面形式。</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color w:val="auto"/>
          <w:sz w:val="24"/>
          <w:szCs w:val="24"/>
          <w:lang w:eastAsia="zh-CN"/>
        </w:rPr>
      </w:pPr>
      <w:r>
        <w:rPr>
          <w:rFonts w:hint="eastAsia" w:ascii="仿宋" w:hAnsi="仿宋" w:eastAsia="仿宋" w:cs="仿宋"/>
          <w:b w:val="0"/>
          <w:bCs/>
          <w:color w:val="auto"/>
          <w:sz w:val="24"/>
          <w:szCs w:val="24"/>
          <w:lang w:val="en-US" w:eastAsia="zh-CN"/>
        </w:rPr>
        <w:t>②</w:t>
      </w:r>
      <w:r>
        <w:rPr>
          <w:rFonts w:hint="eastAsia" w:ascii="仿宋" w:hAnsi="仿宋" w:eastAsia="仿宋" w:cs="仿宋"/>
          <w:b/>
          <w:color w:val="auto"/>
          <w:kern w:val="0"/>
          <w:sz w:val="24"/>
          <w:szCs w:val="24"/>
        </w:rPr>
        <w:t>“复制件”</w:t>
      </w:r>
      <w:r>
        <w:rPr>
          <w:rFonts w:hint="eastAsia" w:ascii="仿宋" w:hAnsi="仿宋" w:eastAsia="仿宋" w:cs="仿宋"/>
          <w:color w:val="auto"/>
          <w:kern w:val="0"/>
          <w:sz w:val="24"/>
          <w:szCs w:val="24"/>
        </w:rPr>
        <w:t>是指原件的复印件或扫描件</w:t>
      </w:r>
      <w:r>
        <w:rPr>
          <w:rFonts w:hint="eastAsia" w:ascii="仿宋" w:hAnsi="仿宋" w:eastAsia="仿宋" w:cs="仿宋"/>
          <w:color w:val="auto"/>
          <w:kern w:val="0"/>
          <w:sz w:val="24"/>
          <w:szCs w:val="24"/>
          <w:lang w:eastAsia="zh-CN"/>
        </w:rPr>
        <w:t>。</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（三）</w:t>
      </w:r>
      <w:bookmarkEnd w:id="88"/>
      <w:r>
        <w:rPr>
          <w:rFonts w:hint="eastAsia" w:ascii="仿宋" w:hAnsi="仿宋" w:eastAsia="仿宋" w:cs="仿宋"/>
          <w:b/>
          <w:color w:val="auto"/>
          <w:sz w:val="24"/>
          <w:szCs w:val="24"/>
        </w:rPr>
        <w:t>采购方式和采购组织类型</w:t>
      </w:r>
      <w:bookmarkEnd w:id="96"/>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采购方式</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本次招标采用公开招标方式进行。</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bookmarkStart w:id="97" w:name="_Toc504504527"/>
      <w:r>
        <w:rPr>
          <w:rFonts w:hint="eastAsia" w:ascii="仿宋" w:hAnsi="仿宋" w:eastAsia="仿宋" w:cs="仿宋"/>
          <w:b w:val="0"/>
          <w:bCs w:val="0"/>
          <w:color w:val="auto"/>
          <w:sz w:val="24"/>
          <w:szCs w:val="24"/>
          <w:lang w:val="en-US" w:eastAsia="zh-CN"/>
        </w:rPr>
        <w:t>2.采购组织类型：分散采购-分散委托中介。</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sz w:val="24"/>
          <w:szCs w:val="24"/>
          <w:highlight w:val="none"/>
        </w:rPr>
      </w:pPr>
      <w:bookmarkStart w:id="98" w:name="_Toc12449"/>
      <w:r>
        <w:rPr>
          <w:rFonts w:hint="eastAsia" w:ascii="仿宋" w:hAnsi="仿宋" w:eastAsia="仿宋" w:cs="仿宋"/>
          <w:b/>
          <w:color w:val="auto"/>
          <w:sz w:val="24"/>
          <w:szCs w:val="24"/>
          <w:highlight w:val="none"/>
        </w:rPr>
        <w:t>（四）投标委托</w:t>
      </w:r>
      <w:bookmarkEnd w:id="97"/>
      <w:bookmarkEnd w:id="98"/>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bookmarkStart w:id="99" w:name="_Toc504504528"/>
      <w:r>
        <w:rPr>
          <w:rFonts w:hint="eastAsia" w:ascii="仿宋" w:hAnsi="仿宋" w:eastAsia="仿宋" w:cs="仿宋"/>
          <w:b w:val="0"/>
          <w:bCs w:val="0"/>
          <w:color w:val="auto"/>
          <w:sz w:val="24"/>
          <w:szCs w:val="24"/>
          <w:highlight w:val="none"/>
          <w:lang w:val="en-US" w:eastAsia="zh-CN"/>
        </w:rPr>
        <w:t>投标人的法定代表人（单位负责人、自然人本人）可以授权其单位的其他在职员工全权代表其处理与本次投标有关的事项，但其授权代表必须持有法定代表人（单位负责人、自然人本人）出具的《授权委托书》（格式见第六部分 投标文件格式），《授权委托书》必须经法定代表人（单位负责人、自然人本人）签字（或盖章），否则视为无效授权（等同未提供）。</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sz w:val="24"/>
          <w:szCs w:val="24"/>
        </w:rPr>
      </w:pPr>
      <w:bookmarkStart w:id="100" w:name="_Toc17565"/>
      <w:r>
        <w:rPr>
          <w:rFonts w:hint="eastAsia" w:ascii="仿宋" w:hAnsi="仿宋" w:eastAsia="仿宋" w:cs="仿宋"/>
          <w:b/>
          <w:color w:val="auto"/>
          <w:sz w:val="24"/>
          <w:szCs w:val="24"/>
        </w:rPr>
        <w:t>（五）投标费用</w:t>
      </w:r>
      <w:bookmarkEnd w:id="99"/>
      <w:bookmarkEnd w:id="100"/>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bookmarkStart w:id="101" w:name="_Toc504504529"/>
      <w:r>
        <w:rPr>
          <w:rFonts w:hint="eastAsia" w:ascii="仿宋" w:hAnsi="仿宋" w:eastAsia="仿宋" w:cs="仿宋"/>
          <w:b w:val="0"/>
          <w:bCs w:val="0"/>
          <w:color w:val="auto"/>
          <w:sz w:val="24"/>
          <w:szCs w:val="24"/>
          <w:lang w:val="en-US" w:eastAsia="zh-CN"/>
        </w:rPr>
        <w:t>1.不论投标结果如何，投标人均应自行承担所有与投标有关的全部费用，采购代理机构概不负责。</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2.合同实施过程中，中标单位须与采购人积极配合。中标单位自行承担本次采购活动中所发生的全部费用。</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sz w:val="24"/>
          <w:szCs w:val="24"/>
        </w:rPr>
      </w:pPr>
      <w:bookmarkStart w:id="102" w:name="_Toc25795"/>
      <w:r>
        <w:rPr>
          <w:rFonts w:hint="eastAsia" w:ascii="仿宋" w:hAnsi="仿宋" w:eastAsia="仿宋" w:cs="仿宋"/>
          <w:b/>
          <w:color w:val="auto"/>
          <w:sz w:val="24"/>
          <w:szCs w:val="24"/>
        </w:rPr>
        <w:t>（六）联合体投标</w:t>
      </w:r>
      <w:bookmarkEnd w:id="101"/>
      <w:bookmarkEnd w:id="102"/>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本项目不接受联合体投标。</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sz w:val="24"/>
          <w:szCs w:val="24"/>
        </w:rPr>
      </w:pPr>
      <w:bookmarkStart w:id="103" w:name="_Toc15858"/>
      <w:bookmarkStart w:id="104" w:name="_Toc504504530"/>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）转包与分包</w:t>
      </w:r>
      <w:bookmarkEnd w:id="103"/>
      <w:bookmarkEnd w:id="104"/>
    </w:p>
    <w:bookmarkEnd w:id="89"/>
    <w:bookmarkEnd w:id="90"/>
    <w:bookmarkEnd w:id="91"/>
    <w:bookmarkEnd w:id="92"/>
    <w:bookmarkEnd w:id="93"/>
    <w:bookmarkEnd w:id="94"/>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bookmarkStart w:id="105" w:name="_Toc23476"/>
      <w:bookmarkStart w:id="106" w:name="_Toc504504532"/>
      <w:bookmarkStart w:id="107" w:name="_Toc330214706"/>
      <w:bookmarkStart w:id="108" w:name="_Toc330215261"/>
      <w:bookmarkStart w:id="109" w:name="_Toc330212065"/>
      <w:bookmarkStart w:id="110" w:name="_Toc330215459"/>
      <w:bookmarkStart w:id="111" w:name="_Toc381971533"/>
      <w:bookmarkStart w:id="112" w:name="_Toc330214834"/>
      <w:r>
        <w:rPr>
          <w:rFonts w:hint="eastAsia" w:ascii="仿宋" w:hAnsi="仿宋" w:eastAsia="仿宋" w:cs="仿宋"/>
          <w:b w:val="0"/>
          <w:bCs w:val="0"/>
          <w:color w:val="auto"/>
          <w:sz w:val="24"/>
          <w:szCs w:val="24"/>
          <w:lang w:val="en-US" w:eastAsia="zh-CN"/>
        </w:rPr>
        <w:t>本项目不接受转包与分包。</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八</w:t>
      </w:r>
      <w:r>
        <w:rPr>
          <w:rFonts w:hint="eastAsia" w:ascii="仿宋" w:hAnsi="仿宋" w:eastAsia="仿宋" w:cs="仿宋"/>
          <w:b/>
          <w:color w:val="auto"/>
          <w:sz w:val="24"/>
          <w:szCs w:val="24"/>
          <w:lang w:eastAsia="zh-CN"/>
        </w:rPr>
        <w:t>）</w:t>
      </w:r>
      <w:bookmarkEnd w:id="105"/>
      <w:r>
        <w:rPr>
          <w:rFonts w:hint="eastAsia" w:ascii="仿宋" w:hAnsi="仿宋" w:eastAsia="仿宋" w:cs="仿宋"/>
          <w:b/>
          <w:color w:val="auto"/>
          <w:sz w:val="24"/>
          <w:szCs w:val="24"/>
          <w:lang w:eastAsia="zh-CN"/>
        </w:rPr>
        <w:t>特殊供应商参加采购活动的规定</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根据</w:t>
      </w:r>
      <w:r>
        <w:rPr>
          <w:rFonts w:hint="eastAsia" w:ascii="仿宋" w:hAnsi="仿宋" w:eastAsia="仿宋" w:cs="仿宋"/>
          <w:bCs/>
          <w:color w:val="auto"/>
          <w:sz w:val="24"/>
          <w:szCs w:val="24"/>
          <w:lang w:val="en-US" w:eastAsia="zh-CN"/>
        </w:rPr>
        <w:t>相关文件</w:t>
      </w:r>
      <w:r>
        <w:rPr>
          <w:rFonts w:hint="eastAsia" w:ascii="仿宋" w:hAnsi="仿宋" w:eastAsia="仿宋" w:cs="仿宋"/>
          <w:bCs/>
          <w:color w:val="auto"/>
          <w:sz w:val="24"/>
          <w:szCs w:val="24"/>
        </w:rPr>
        <w:t>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w:t>
      </w:r>
      <w:r>
        <w:rPr>
          <w:rFonts w:hint="eastAsia" w:ascii="仿宋" w:hAnsi="仿宋" w:eastAsia="仿宋" w:cs="仿宋"/>
          <w:bCs/>
          <w:color w:val="auto"/>
          <w:sz w:val="24"/>
          <w:szCs w:val="24"/>
          <w:lang w:eastAsia="zh-CN"/>
        </w:rPr>
        <w:t>法定代表人（单位负责人、自然人本人）</w:t>
      </w:r>
      <w:r>
        <w:rPr>
          <w:rFonts w:hint="eastAsia" w:ascii="仿宋" w:hAnsi="仿宋" w:eastAsia="仿宋" w:cs="仿宋"/>
          <w:bCs/>
          <w:color w:val="auto"/>
          <w:sz w:val="24"/>
          <w:szCs w:val="24"/>
        </w:rPr>
        <w:t>签署的文件材料具有同等效力。</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sz w:val="24"/>
          <w:szCs w:val="24"/>
        </w:rPr>
      </w:pPr>
      <w:bookmarkStart w:id="113" w:name="_Toc17388"/>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九</w:t>
      </w:r>
      <w:r>
        <w:rPr>
          <w:rFonts w:hint="eastAsia" w:ascii="仿宋" w:hAnsi="仿宋" w:eastAsia="仿宋" w:cs="仿宋"/>
          <w:b/>
          <w:color w:val="auto"/>
          <w:sz w:val="24"/>
          <w:szCs w:val="24"/>
          <w:lang w:eastAsia="zh-CN"/>
        </w:rPr>
        <w:t>）</w:t>
      </w:r>
      <w:bookmarkStart w:id="114" w:name="_Toc15715"/>
      <w:r>
        <w:rPr>
          <w:rFonts w:hint="eastAsia" w:ascii="仿宋" w:hAnsi="仿宋" w:eastAsia="仿宋" w:cs="仿宋"/>
          <w:b/>
          <w:color w:val="auto"/>
          <w:sz w:val="24"/>
          <w:szCs w:val="24"/>
        </w:rPr>
        <w:t>关联</w:t>
      </w:r>
      <w:r>
        <w:rPr>
          <w:rFonts w:hint="eastAsia" w:ascii="仿宋" w:hAnsi="仿宋" w:eastAsia="仿宋" w:cs="仿宋"/>
          <w:b/>
          <w:color w:val="auto"/>
          <w:sz w:val="24"/>
          <w:szCs w:val="24"/>
          <w:lang w:eastAsia="zh-CN"/>
        </w:rPr>
        <w:t>投标人</w:t>
      </w:r>
      <w:r>
        <w:rPr>
          <w:rFonts w:hint="eastAsia" w:ascii="仿宋" w:hAnsi="仿宋" w:eastAsia="仿宋" w:cs="仿宋"/>
          <w:b/>
          <w:color w:val="auto"/>
          <w:sz w:val="24"/>
          <w:szCs w:val="24"/>
        </w:rPr>
        <w:t>投标限制</w:t>
      </w:r>
      <w:bookmarkEnd w:id="114"/>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本采购文件所称“关联企业”，是指存在关联关系的企业；“关联关系”的界定适用《中华人民共和国公司法</w:t>
      </w:r>
      <w:r>
        <w:rPr>
          <w:rFonts w:hint="eastAsia" w:ascii="仿宋" w:hAnsi="仿宋" w:eastAsia="仿宋" w:cs="仿宋"/>
          <w:bCs/>
          <w:color w:val="auto"/>
          <w:sz w:val="24"/>
          <w:szCs w:val="24"/>
          <w:lang w:eastAsia="zh-CN"/>
        </w:rPr>
        <w:t>》第</w:t>
      </w:r>
      <w:r>
        <w:rPr>
          <w:rFonts w:hint="eastAsia" w:ascii="仿宋" w:hAnsi="仿宋" w:eastAsia="仿宋" w:cs="仿宋"/>
          <w:bCs/>
          <w:color w:val="auto"/>
          <w:sz w:val="24"/>
          <w:szCs w:val="24"/>
        </w:rPr>
        <w:t>217条之规定。</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单位负责人为同一人或者存在直接控股、管理关系的不同</w:t>
      </w:r>
      <w:r>
        <w:rPr>
          <w:rFonts w:hint="eastAsia" w:ascii="仿宋" w:hAnsi="仿宋" w:eastAsia="仿宋" w:cs="仿宋"/>
          <w:bCs/>
          <w:color w:val="auto"/>
          <w:sz w:val="24"/>
          <w:szCs w:val="24"/>
          <w:lang w:eastAsia="zh-CN"/>
        </w:rPr>
        <w:t>投标人</w:t>
      </w:r>
      <w:r>
        <w:rPr>
          <w:rFonts w:hint="eastAsia" w:ascii="仿宋" w:hAnsi="仿宋" w:eastAsia="仿宋" w:cs="仿宋"/>
          <w:bCs/>
          <w:color w:val="auto"/>
          <w:sz w:val="24"/>
          <w:szCs w:val="24"/>
        </w:rPr>
        <w:t>参加同一合同项下的采购活动的，相关</w:t>
      </w:r>
      <w:r>
        <w:rPr>
          <w:rFonts w:hint="eastAsia" w:ascii="仿宋" w:hAnsi="仿宋" w:eastAsia="仿宋" w:cs="仿宋"/>
          <w:bCs/>
          <w:color w:val="auto"/>
          <w:sz w:val="24"/>
          <w:szCs w:val="24"/>
          <w:lang w:eastAsia="zh-CN"/>
        </w:rPr>
        <w:t>投标人</w:t>
      </w:r>
      <w:r>
        <w:rPr>
          <w:rFonts w:hint="eastAsia" w:ascii="仿宋" w:hAnsi="仿宋" w:eastAsia="仿宋" w:cs="仿宋"/>
          <w:bCs/>
          <w:color w:val="auto"/>
          <w:sz w:val="24"/>
          <w:szCs w:val="24"/>
        </w:rPr>
        <w:t>均作资格无效处理。</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不同</w:t>
      </w:r>
      <w:r>
        <w:rPr>
          <w:rFonts w:hint="eastAsia" w:ascii="仿宋" w:hAnsi="仿宋" w:eastAsia="仿宋" w:cs="仿宋"/>
          <w:bCs/>
          <w:color w:val="auto"/>
          <w:sz w:val="24"/>
          <w:szCs w:val="24"/>
          <w:lang w:eastAsia="zh-CN"/>
        </w:rPr>
        <w:t>投标人</w:t>
      </w:r>
      <w:r>
        <w:rPr>
          <w:rFonts w:hint="eastAsia" w:ascii="仿宋" w:hAnsi="仿宋" w:eastAsia="仿宋" w:cs="仿宋"/>
          <w:bCs/>
          <w:color w:val="auto"/>
          <w:sz w:val="24"/>
          <w:szCs w:val="24"/>
        </w:rPr>
        <w:t>之间存在以下利害关系并且存在影响采购公平竞争行为的，不得参加同一合同项下的采购活动，相关</w:t>
      </w:r>
      <w:r>
        <w:rPr>
          <w:rFonts w:hint="eastAsia" w:ascii="仿宋" w:hAnsi="仿宋" w:eastAsia="仿宋" w:cs="仿宋"/>
          <w:bCs/>
          <w:color w:val="auto"/>
          <w:sz w:val="24"/>
          <w:szCs w:val="24"/>
          <w:lang w:eastAsia="zh-CN"/>
        </w:rPr>
        <w:t>投标人</w:t>
      </w:r>
      <w:r>
        <w:rPr>
          <w:rFonts w:hint="eastAsia" w:ascii="仿宋" w:hAnsi="仿宋" w:eastAsia="仿宋" w:cs="仿宋"/>
          <w:bCs/>
          <w:color w:val="auto"/>
          <w:sz w:val="24"/>
          <w:szCs w:val="24"/>
        </w:rPr>
        <w:t>的投标均作无效处理：</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（1）法定代表人或负责人或实际控制人是夫妻关系；</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（2）法定代表人或负责人或实际控制人是直系血亲关系；</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（3）法定代表人或负责人或实际控制人存在三代以内旁系血亲关系；</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（4）法定代表人或负责人或实际控制人存在近姻亲关系；</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（5）法定代表人或负责人或实际控制人存在股份控制或实际控制关系；</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（6）存在共同直接或间接投资设立子公司、联营企业和合营企业情况；</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（7）存在分级代理或代销关系、同一生产制造商关系、管理关系、重要业务（占主营业务收入50%以上）或重要财务往来关系（如融资）等其他实质性控制关系。</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除单一来源采购项目外，为采购项目提供整体设计、规范编制或者项目管理、监理、检测等服务的</w:t>
      </w:r>
      <w:r>
        <w:rPr>
          <w:rFonts w:hint="eastAsia" w:ascii="仿宋" w:hAnsi="仿宋" w:eastAsia="仿宋" w:cs="仿宋"/>
          <w:bCs/>
          <w:color w:val="auto"/>
          <w:sz w:val="24"/>
          <w:szCs w:val="24"/>
          <w:lang w:eastAsia="zh-CN"/>
        </w:rPr>
        <w:t>投标人</w:t>
      </w:r>
      <w:r>
        <w:rPr>
          <w:rFonts w:hint="eastAsia" w:ascii="仿宋" w:hAnsi="仿宋" w:eastAsia="仿宋" w:cs="仿宋"/>
          <w:bCs/>
          <w:color w:val="auto"/>
          <w:sz w:val="24"/>
          <w:szCs w:val="24"/>
        </w:rPr>
        <w:t>，不得再参加该采购项目的其他采购活动，相关</w:t>
      </w:r>
      <w:r>
        <w:rPr>
          <w:rFonts w:hint="eastAsia" w:ascii="仿宋" w:hAnsi="仿宋" w:eastAsia="仿宋" w:cs="仿宋"/>
          <w:bCs/>
          <w:color w:val="auto"/>
          <w:sz w:val="24"/>
          <w:szCs w:val="24"/>
          <w:lang w:eastAsia="zh-CN"/>
        </w:rPr>
        <w:t>投标人</w:t>
      </w:r>
      <w:r>
        <w:rPr>
          <w:rFonts w:hint="eastAsia" w:ascii="仿宋" w:hAnsi="仿宋" w:eastAsia="仿宋" w:cs="仿宋"/>
          <w:bCs/>
          <w:color w:val="auto"/>
          <w:sz w:val="24"/>
          <w:szCs w:val="24"/>
        </w:rPr>
        <w:t>的投标作无效处理。</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4</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（综合评分法、单一产品采购项目适用）提供相同品牌产品且通过资格审查、符合性审查的不同</w:t>
      </w:r>
      <w:r>
        <w:rPr>
          <w:rFonts w:hint="eastAsia" w:ascii="仿宋" w:hAnsi="仿宋" w:eastAsia="仿宋" w:cs="仿宋"/>
          <w:bCs/>
          <w:color w:val="auto"/>
          <w:sz w:val="24"/>
          <w:szCs w:val="24"/>
          <w:lang w:eastAsia="zh-CN"/>
        </w:rPr>
        <w:t>投标人</w:t>
      </w:r>
      <w:r>
        <w:rPr>
          <w:rFonts w:hint="eastAsia" w:ascii="仿宋" w:hAnsi="仿宋" w:eastAsia="仿宋" w:cs="仿宋"/>
          <w:bCs/>
          <w:color w:val="auto"/>
          <w:sz w:val="24"/>
          <w:szCs w:val="24"/>
        </w:rPr>
        <w:t>参加同一合同项下投标的，按一家</w:t>
      </w:r>
      <w:r>
        <w:rPr>
          <w:rFonts w:hint="eastAsia" w:ascii="仿宋" w:hAnsi="仿宋" w:eastAsia="仿宋" w:cs="仿宋"/>
          <w:bCs/>
          <w:color w:val="auto"/>
          <w:sz w:val="24"/>
          <w:szCs w:val="24"/>
          <w:lang w:eastAsia="zh-CN"/>
        </w:rPr>
        <w:t>投标人</w:t>
      </w:r>
      <w:r>
        <w:rPr>
          <w:rFonts w:hint="eastAsia" w:ascii="仿宋" w:hAnsi="仿宋" w:eastAsia="仿宋" w:cs="仿宋"/>
          <w:bCs/>
          <w:color w:val="auto"/>
          <w:sz w:val="24"/>
          <w:szCs w:val="24"/>
        </w:rPr>
        <w:t>计算，评审后综合得分最高的同品牌</w:t>
      </w:r>
      <w:r>
        <w:rPr>
          <w:rFonts w:hint="eastAsia" w:ascii="仿宋" w:hAnsi="仿宋" w:eastAsia="仿宋" w:cs="仿宋"/>
          <w:bCs/>
          <w:color w:val="auto"/>
          <w:sz w:val="24"/>
          <w:szCs w:val="24"/>
          <w:lang w:eastAsia="zh-CN"/>
        </w:rPr>
        <w:t>投标人</w:t>
      </w:r>
      <w:r>
        <w:rPr>
          <w:rFonts w:hint="eastAsia" w:ascii="仿宋" w:hAnsi="仿宋" w:eastAsia="仿宋" w:cs="仿宋"/>
          <w:bCs/>
          <w:color w:val="auto"/>
          <w:sz w:val="24"/>
          <w:szCs w:val="24"/>
        </w:rPr>
        <w:t>获得</w:t>
      </w:r>
      <w:r>
        <w:rPr>
          <w:rFonts w:hint="eastAsia" w:ascii="仿宋" w:hAnsi="仿宋" w:eastAsia="仿宋" w:cs="仿宋"/>
          <w:bCs/>
          <w:color w:val="auto"/>
          <w:sz w:val="24"/>
          <w:szCs w:val="24"/>
          <w:lang w:eastAsia="zh-CN"/>
        </w:rPr>
        <w:t>中标单位</w:t>
      </w:r>
      <w:r>
        <w:rPr>
          <w:rFonts w:hint="eastAsia" w:ascii="仿宋" w:hAnsi="仿宋" w:eastAsia="仿宋" w:cs="仿宋"/>
          <w:bCs/>
          <w:color w:val="auto"/>
          <w:sz w:val="24"/>
          <w:szCs w:val="24"/>
        </w:rPr>
        <w:t>推荐资格；综合得分相同时，投标报价最低的</w:t>
      </w:r>
      <w:r>
        <w:rPr>
          <w:rFonts w:hint="eastAsia" w:ascii="仿宋" w:hAnsi="仿宋" w:eastAsia="仿宋" w:cs="仿宋"/>
          <w:bCs/>
          <w:color w:val="auto"/>
          <w:sz w:val="24"/>
          <w:szCs w:val="24"/>
          <w:lang w:eastAsia="zh-CN"/>
        </w:rPr>
        <w:t>投标人</w:t>
      </w:r>
      <w:r>
        <w:rPr>
          <w:rFonts w:hint="eastAsia" w:ascii="仿宋" w:hAnsi="仿宋" w:eastAsia="仿宋" w:cs="仿宋"/>
          <w:bCs/>
          <w:color w:val="auto"/>
          <w:sz w:val="24"/>
          <w:szCs w:val="24"/>
        </w:rPr>
        <w:t>获得</w:t>
      </w:r>
      <w:r>
        <w:rPr>
          <w:rFonts w:hint="eastAsia" w:ascii="仿宋" w:hAnsi="仿宋" w:eastAsia="仿宋" w:cs="仿宋"/>
          <w:bCs/>
          <w:color w:val="auto"/>
          <w:sz w:val="24"/>
          <w:szCs w:val="24"/>
          <w:lang w:eastAsia="zh-CN"/>
        </w:rPr>
        <w:t>中标单位</w:t>
      </w:r>
      <w:r>
        <w:rPr>
          <w:rFonts w:hint="eastAsia" w:ascii="仿宋" w:hAnsi="仿宋" w:eastAsia="仿宋" w:cs="仿宋"/>
          <w:bCs/>
          <w:color w:val="auto"/>
          <w:sz w:val="24"/>
          <w:szCs w:val="24"/>
        </w:rPr>
        <w:t>推荐资格；综合得分和投标报价均相同时，商务技术分最高的</w:t>
      </w:r>
      <w:r>
        <w:rPr>
          <w:rFonts w:hint="eastAsia" w:ascii="仿宋" w:hAnsi="仿宋" w:eastAsia="仿宋" w:cs="仿宋"/>
          <w:bCs/>
          <w:color w:val="auto"/>
          <w:sz w:val="24"/>
          <w:szCs w:val="24"/>
          <w:lang w:eastAsia="zh-CN"/>
        </w:rPr>
        <w:t>投标人</w:t>
      </w:r>
      <w:r>
        <w:rPr>
          <w:rFonts w:hint="eastAsia" w:ascii="仿宋" w:hAnsi="仿宋" w:eastAsia="仿宋" w:cs="仿宋"/>
          <w:bCs/>
          <w:color w:val="auto"/>
          <w:sz w:val="24"/>
          <w:szCs w:val="24"/>
        </w:rPr>
        <w:t>获得</w:t>
      </w:r>
      <w:r>
        <w:rPr>
          <w:rFonts w:hint="eastAsia" w:ascii="仿宋" w:hAnsi="仿宋" w:eastAsia="仿宋" w:cs="仿宋"/>
          <w:bCs/>
          <w:color w:val="auto"/>
          <w:sz w:val="24"/>
          <w:szCs w:val="24"/>
          <w:lang w:eastAsia="zh-CN"/>
        </w:rPr>
        <w:t>中标单位</w:t>
      </w:r>
      <w:r>
        <w:rPr>
          <w:rFonts w:hint="eastAsia" w:ascii="仿宋" w:hAnsi="仿宋" w:eastAsia="仿宋" w:cs="仿宋"/>
          <w:bCs/>
          <w:color w:val="auto"/>
          <w:sz w:val="24"/>
          <w:szCs w:val="24"/>
        </w:rPr>
        <w:t>推荐资格；综合得分、投标报价、商务技术分均相同时，由评标委员会按少数服从多数的原则，集体决定；其他同品牌</w:t>
      </w:r>
      <w:r>
        <w:rPr>
          <w:rFonts w:hint="eastAsia" w:ascii="仿宋" w:hAnsi="仿宋" w:eastAsia="仿宋" w:cs="仿宋"/>
          <w:bCs/>
          <w:color w:val="auto"/>
          <w:sz w:val="24"/>
          <w:szCs w:val="24"/>
          <w:lang w:eastAsia="zh-CN"/>
        </w:rPr>
        <w:t>投标人</w:t>
      </w:r>
      <w:r>
        <w:rPr>
          <w:rFonts w:hint="eastAsia" w:ascii="仿宋" w:hAnsi="仿宋" w:eastAsia="仿宋" w:cs="仿宋"/>
          <w:bCs/>
          <w:color w:val="auto"/>
          <w:sz w:val="24"/>
          <w:szCs w:val="24"/>
        </w:rPr>
        <w:t>不作为</w:t>
      </w:r>
      <w:r>
        <w:rPr>
          <w:rFonts w:hint="eastAsia" w:ascii="仿宋" w:hAnsi="仿宋" w:eastAsia="仿宋" w:cs="仿宋"/>
          <w:bCs/>
          <w:color w:val="auto"/>
          <w:sz w:val="24"/>
          <w:szCs w:val="24"/>
          <w:lang w:eastAsia="zh-CN"/>
        </w:rPr>
        <w:t>中标候选人</w:t>
      </w:r>
      <w:r>
        <w:rPr>
          <w:rFonts w:hint="eastAsia" w:ascii="仿宋" w:hAnsi="仿宋" w:eastAsia="仿宋" w:cs="仿宋"/>
          <w:bCs/>
          <w:color w:val="auto"/>
          <w:sz w:val="24"/>
          <w:szCs w:val="24"/>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5</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（综合评分法、非单一产品采购项目适用）通过资格审查、符合性审查的不同</w:t>
      </w:r>
      <w:r>
        <w:rPr>
          <w:rFonts w:hint="eastAsia" w:ascii="仿宋" w:hAnsi="仿宋" w:eastAsia="仿宋" w:cs="仿宋"/>
          <w:bCs/>
          <w:color w:val="auto"/>
          <w:sz w:val="24"/>
          <w:szCs w:val="24"/>
          <w:lang w:eastAsia="zh-CN"/>
        </w:rPr>
        <w:t>投标人</w:t>
      </w:r>
      <w:r>
        <w:rPr>
          <w:rFonts w:hint="eastAsia" w:ascii="仿宋" w:hAnsi="仿宋" w:eastAsia="仿宋" w:cs="仿宋"/>
          <w:bCs/>
          <w:color w:val="auto"/>
          <w:sz w:val="24"/>
          <w:szCs w:val="24"/>
        </w:rPr>
        <w:t>参加同一合同项下投标时，提供的核心产品品牌均相同的，按照</w:t>
      </w:r>
      <w:r>
        <w:rPr>
          <w:rFonts w:hint="eastAsia" w:ascii="仿宋" w:hAnsi="仿宋" w:eastAsia="仿宋" w:cs="仿宋"/>
          <w:bCs/>
          <w:color w:val="auto"/>
          <w:sz w:val="24"/>
          <w:szCs w:val="24"/>
          <w:lang w:val="en-US" w:eastAsia="zh-CN"/>
        </w:rPr>
        <w:t>上条</w:t>
      </w:r>
      <w:r>
        <w:rPr>
          <w:rFonts w:hint="eastAsia" w:ascii="仿宋" w:hAnsi="仿宋" w:eastAsia="仿宋" w:cs="仿宋"/>
          <w:bCs/>
          <w:color w:val="auto"/>
          <w:sz w:val="24"/>
          <w:szCs w:val="24"/>
        </w:rPr>
        <w:t>款处理</w:t>
      </w:r>
      <w:r>
        <w:rPr>
          <w:rFonts w:hint="eastAsia" w:ascii="仿宋" w:hAnsi="仿宋" w:eastAsia="仿宋" w:cs="仿宋"/>
          <w:bCs/>
          <w:color w:val="auto"/>
          <w:sz w:val="24"/>
          <w:szCs w:val="24"/>
          <w:lang w:eastAsia="zh-CN"/>
        </w:rPr>
        <w:t>。</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十</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质疑和投诉</w:t>
      </w:r>
      <w:bookmarkEnd w:id="106"/>
      <w:bookmarkEnd w:id="113"/>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1.投标人认为招标文件、招标过程或中标结果使自己的合法权益受到损害的，应当在知道或者应知其权益受到损害之日起七个工作日内，以书面形式</w:t>
      </w:r>
      <w:r>
        <w:rPr>
          <w:rFonts w:hint="eastAsia" w:ascii="仿宋" w:hAnsi="仿宋" w:eastAsia="仿宋" w:cs="仿宋"/>
          <w:bCs/>
          <w:color w:val="auto"/>
          <w:sz w:val="24"/>
          <w:szCs w:val="24"/>
          <w:highlight w:val="none"/>
          <w:lang w:val="en-US" w:eastAsia="zh-CN"/>
        </w:rPr>
        <w:t>一次性</w:t>
      </w:r>
      <w:r>
        <w:rPr>
          <w:rFonts w:hint="eastAsia" w:ascii="仿宋" w:hAnsi="仿宋" w:eastAsia="仿宋" w:cs="仿宋"/>
          <w:bCs/>
          <w:color w:val="auto"/>
          <w:sz w:val="24"/>
          <w:szCs w:val="24"/>
          <w:highlight w:val="none"/>
        </w:rPr>
        <w:t>向采购人、采购代理机构提出质疑。</w:t>
      </w:r>
      <w:r>
        <w:rPr>
          <w:rFonts w:hint="eastAsia" w:ascii="仿宋" w:hAnsi="仿宋" w:eastAsia="仿宋" w:cs="仿宋"/>
          <w:color w:val="auto"/>
          <w:sz w:val="24"/>
          <w:szCs w:val="24"/>
          <w:highlight w:val="none"/>
        </w:rPr>
        <w:t>投标人对招标采购单位的质疑答复不满意或者招标采购单位未在规定时间内作出答复的，可以在答复期满后十五个工作日内向同级采购监管部门投诉。</w:t>
      </w:r>
    </w:p>
    <w:p>
      <w:pPr>
        <w:keepNext w:val="0"/>
        <w:keepLines w:val="0"/>
        <w:pageBreakBefore w:val="0"/>
        <w:widowControl w:val="0"/>
        <w:kinsoku/>
        <w:wordWrap/>
        <w:overflowPunct/>
        <w:topLinePunct w:val="0"/>
        <w:autoSpaceDE/>
        <w:autoSpaceDN/>
        <w:bidi w:val="0"/>
        <w:spacing w:line="360" w:lineRule="auto"/>
        <w:ind w:firstLine="464" w:firstLineChars="200"/>
        <w:jc w:val="left"/>
        <w:textAlignment w:val="auto"/>
        <w:outlineLvl w:val="9"/>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eastAsia="zh-CN"/>
        </w:rPr>
        <w:t>上述所指“</w:t>
      </w:r>
      <w:r>
        <w:rPr>
          <w:rFonts w:hint="eastAsia" w:ascii="仿宋" w:hAnsi="仿宋" w:eastAsia="仿宋" w:cs="仿宋"/>
          <w:color w:val="auto"/>
          <w:spacing w:val="-4"/>
          <w:sz w:val="24"/>
          <w:szCs w:val="24"/>
          <w:highlight w:val="none"/>
        </w:rPr>
        <w:t>投标人应知其权益受到损害之日</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，是指：</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jc w:val="left"/>
        <w:textAlignment w:val="auto"/>
        <w:outlineLvl w:val="9"/>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（1）对采购文件提出质疑的，为获取采购文件之日或者采购文件公告期限届满之日（采购文件公告期限届满后获取采购文件的，以采购文件公告期限届满之日为准）；</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jc w:val="left"/>
        <w:textAlignment w:val="auto"/>
        <w:outlineLvl w:val="9"/>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rPr>
        <w:t>（2）对采购过程提出质疑的，为各采购程序环节结束之日</w:t>
      </w:r>
      <w:r>
        <w:rPr>
          <w:rFonts w:hint="eastAsia" w:ascii="仿宋" w:hAnsi="仿宋" w:eastAsia="仿宋" w:cs="仿宋"/>
          <w:color w:val="auto"/>
          <w:spacing w:val="-4"/>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jc w:val="left"/>
        <w:textAlignment w:val="auto"/>
        <w:outlineLvl w:val="9"/>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rPr>
        <w:t>（3）对中标或者成交结果提出质疑的，为中标或者成交结果公告期限届满之日</w:t>
      </w:r>
      <w:r>
        <w:rPr>
          <w:rFonts w:hint="eastAsia" w:ascii="仿宋" w:hAnsi="仿宋" w:eastAsia="仿宋" w:cs="仿宋"/>
          <w:color w:val="auto"/>
          <w:spacing w:val="-4"/>
          <w:sz w:val="24"/>
          <w:szCs w:val="24"/>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64" w:firstLineChars="200"/>
        <w:jc w:val="left"/>
        <w:textAlignment w:val="auto"/>
        <w:outlineLvl w:val="9"/>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rPr>
        <w:t>2.质疑、投诉应当采用书面形式（原件一式三份），经</w:t>
      </w:r>
      <w:r>
        <w:rPr>
          <w:rFonts w:hint="eastAsia" w:ascii="仿宋" w:hAnsi="仿宋" w:eastAsia="仿宋" w:cs="仿宋"/>
          <w:color w:val="auto"/>
          <w:spacing w:val="-4"/>
          <w:sz w:val="24"/>
          <w:szCs w:val="24"/>
          <w:highlight w:val="none"/>
          <w:lang w:eastAsia="zh-CN"/>
        </w:rPr>
        <w:t>法定代表人（单位负责人、自然人本人）（单位负责人、自然人本人）</w:t>
      </w:r>
      <w:r>
        <w:rPr>
          <w:rFonts w:hint="eastAsia" w:ascii="仿宋" w:hAnsi="仿宋" w:eastAsia="仿宋" w:cs="仿宋"/>
          <w:color w:val="auto"/>
          <w:spacing w:val="-4"/>
          <w:sz w:val="24"/>
          <w:szCs w:val="24"/>
          <w:highlight w:val="none"/>
        </w:rPr>
        <w:t>或其授权代表签署后加盖单位公章，质疑书、投诉书均应明确阐述采购文件、招标过程和中标结果中使自己合法权益受到损害的实质性内容，</w:t>
      </w:r>
      <w:r>
        <w:rPr>
          <w:rFonts w:hint="eastAsia" w:ascii="仿宋" w:hAnsi="仿宋" w:eastAsia="仿宋" w:cs="仿宋"/>
          <w:color w:val="auto"/>
          <w:spacing w:val="-4"/>
          <w:sz w:val="24"/>
          <w:szCs w:val="24"/>
          <w:highlight w:val="none"/>
          <w:lang w:eastAsia="zh-CN"/>
        </w:rPr>
        <w:t>投标人</w:t>
      </w:r>
      <w:r>
        <w:rPr>
          <w:rFonts w:hint="eastAsia" w:ascii="仿宋" w:hAnsi="仿宋" w:eastAsia="仿宋" w:cs="仿宋"/>
          <w:color w:val="auto"/>
          <w:spacing w:val="-4"/>
          <w:sz w:val="24"/>
          <w:szCs w:val="24"/>
          <w:highlight w:val="none"/>
        </w:rPr>
        <w:t>提出的质疑、投诉应当有明确的诉求（即通过质疑所要达到的具体目标）和必要的证明材料（即通过合法手段获得的能够证明</w:t>
      </w:r>
      <w:r>
        <w:rPr>
          <w:rFonts w:hint="eastAsia" w:ascii="仿宋" w:hAnsi="仿宋" w:eastAsia="仿宋" w:cs="仿宋"/>
          <w:color w:val="auto"/>
          <w:spacing w:val="-4"/>
          <w:sz w:val="24"/>
          <w:szCs w:val="24"/>
          <w:highlight w:val="none"/>
          <w:lang w:eastAsia="zh-CN"/>
        </w:rPr>
        <w:t>投标人</w:t>
      </w:r>
      <w:r>
        <w:rPr>
          <w:rFonts w:hint="eastAsia" w:ascii="仿宋" w:hAnsi="仿宋" w:eastAsia="仿宋" w:cs="仿宋"/>
          <w:color w:val="auto"/>
          <w:spacing w:val="-4"/>
          <w:sz w:val="24"/>
          <w:szCs w:val="24"/>
          <w:highlight w:val="none"/>
        </w:rPr>
        <w:t>的诉求成立的必要材料</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lang w:val="en-US" w:eastAsia="zh-CN"/>
        </w:rPr>
        <w:t>如相关事实、依据和证据及其来源或线索</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eastAsia="zh-CN"/>
        </w:rPr>
        <w:t xml:space="preserve">，便于有关单位调查、答复和处理, </w:t>
      </w:r>
      <w:r>
        <w:rPr>
          <w:rFonts w:hint="eastAsia" w:ascii="仿宋" w:hAnsi="仿宋" w:eastAsia="仿宋" w:cs="仿宋"/>
          <w:b/>
          <w:bCs/>
          <w:color w:val="auto"/>
          <w:spacing w:val="-4"/>
          <w:sz w:val="24"/>
          <w:szCs w:val="24"/>
          <w:highlight w:val="none"/>
          <w:lang w:eastAsia="zh-CN"/>
        </w:rPr>
        <w:t>质疑函不符合相关规定的，应在规定期限内补齐的，招标方自收到补齐材料之日起受理；逾期未补齐的，按自动撤回质疑处理。</w:t>
      </w:r>
    </w:p>
    <w:p>
      <w:pPr>
        <w:keepNext w:val="0"/>
        <w:keepLines w:val="0"/>
        <w:pageBreakBefore w:val="0"/>
        <w:widowControl w:val="0"/>
        <w:kinsoku/>
        <w:wordWrap/>
        <w:overflowPunct/>
        <w:topLinePunct w:val="0"/>
        <w:autoSpaceDE/>
        <w:autoSpaceDN/>
        <w:bidi w:val="0"/>
        <w:spacing w:line="360" w:lineRule="auto"/>
        <w:ind w:firstLine="464" w:firstLineChars="200"/>
        <w:jc w:val="left"/>
        <w:textAlignment w:val="auto"/>
        <w:outlineLvl w:val="9"/>
        <w:rPr>
          <w:rFonts w:hint="eastAsia" w:ascii="仿宋" w:hAnsi="仿宋" w:eastAsia="仿宋" w:cs="仿宋"/>
          <w:color w:val="auto"/>
          <w:spacing w:val="-4"/>
          <w:sz w:val="24"/>
          <w:szCs w:val="24"/>
          <w:highlight w:val="none"/>
        </w:rPr>
      </w:pPr>
      <w:bookmarkStart w:id="115" w:name="_Toc504504533"/>
      <w:bookmarkStart w:id="116" w:name="_Toc514938673"/>
      <w:bookmarkStart w:id="117" w:name="_Toc510614921"/>
      <w:r>
        <w:rPr>
          <w:rFonts w:hint="eastAsia" w:ascii="仿宋" w:hAnsi="仿宋" w:eastAsia="仿宋" w:cs="仿宋"/>
          <w:color w:val="auto"/>
          <w:spacing w:val="-4"/>
          <w:sz w:val="24"/>
          <w:szCs w:val="24"/>
          <w:highlight w:val="none"/>
        </w:rPr>
        <w:t>质疑函应当包括下列内容：</w:t>
      </w:r>
    </w:p>
    <w:p>
      <w:pPr>
        <w:keepNext w:val="0"/>
        <w:keepLines w:val="0"/>
        <w:pageBreakBefore w:val="0"/>
        <w:widowControl w:val="0"/>
        <w:kinsoku/>
        <w:wordWrap/>
        <w:overflowPunct/>
        <w:topLinePunct w:val="0"/>
        <w:autoSpaceDE/>
        <w:autoSpaceDN/>
        <w:bidi w:val="0"/>
        <w:spacing w:line="360" w:lineRule="auto"/>
        <w:ind w:firstLine="464" w:firstLineChars="200"/>
        <w:jc w:val="left"/>
        <w:textAlignment w:val="auto"/>
        <w:outlineLvl w:val="9"/>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（1）</w:t>
      </w:r>
      <w:r>
        <w:rPr>
          <w:rFonts w:hint="eastAsia" w:ascii="仿宋" w:hAnsi="仿宋" w:eastAsia="仿宋" w:cs="仿宋"/>
          <w:color w:val="auto"/>
          <w:spacing w:val="-4"/>
          <w:sz w:val="24"/>
          <w:szCs w:val="24"/>
          <w:highlight w:val="none"/>
          <w:lang w:eastAsia="zh-CN"/>
        </w:rPr>
        <w:t>投标人</w:t>
      </w:r>
      <w:r>
        <w:rPr>
          <w:rFonts w:hint="eastAsia" w:ascii="仿宋" w:hAnsi="仿宋" w:eastAsia="仿宋" w:cs="仿宋"/>
          <w:color w:val="auto"/>
          <w:spacing w:val="-4"/>
          <w:sz w:val="24"/>
          <w:szCs w:val="24"/>
          <w:highlight w:val="none"/>
        </w:rPr>
        <w:t>的姓名或者名称、地址、邮编、联系人及联系电话；</w:t>
      </w:r>
    </w:p>
    <w:p>
      <w:pPr>
        <w:keepNext w:val="0"/>
        <w:keepLines w:val="0"/>
        <w:pageBreakBefore w:val="0"/>
        <w:widowControl w:val="0"/>
        <w:kinsoku/>
        <w:wordWrap/>
        <w:overflowPunct/>
        <w:topLinePunct w:val="0"/>
        <w:autoSpaceDE/>
        <w:autoSpaceDN/>
        <w:bidi w:val="0"/>
        <w:spacing w:line="360" w:lineRule="auto"/>
        <w:ind w:firstLine="464" w:firstLineChars="200"/>
        <w:jc w:val="left"/>
        <w:textAlignment w:val="auto"/>
        <w:outlineLvl w:val="9"/>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（2）质疑项目的名称、编号；</w:t>
      </w:r>
    </w:p>
    <w:p>
      <w:pPr>
        <w:keepNext w:val="0"/>
        <w:keepLines w:val="0"/>
        <w:pageBreakBefore w:val="0"/>
        <w:widowControl w:val="0"/>
        <w:kinsoku/>
        <w:wordWrap/>
        <w:overflowPunct/>
        <w:topLinePunct w:val="0"/>
        <w:autoSpaceDE/>
        <w:autoSpaceDN/>
        <w:bidi w:val="0"/>
        <w:spacing w:line="360" w:lineRule="auto"/>
        <w:ind w:firstLine="464" w:firstLineChars="200"/>
        <w:jc w:val="left"/>
        <w:textAlignment w:val="auto"/>
        <w:outlineLvl w:val="9"/>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（3）具体、明确的质疑事项和与质疑事项相关的请求；</w:t>
      </w:r>
    </w:p>
    <w:p>
      <w:pPr>
        <w:keepNext w:val="0"/>
        <w:keepLines w:val="0"/>
        <w:pageBreakBefore w:val="0"/>
        <w:widowControl w:val="0"/>
        <w:kinsoku/>
        <w:wordWrap/>
        <w:overflowPunct/>
        <w:topLinePunct w:val="0"/>
        <w:autoSpaceDE/>
        <w:autoSpaceDN/>
        <w:bidi w:val="0"/>
        <w:spacing w:line="360" w:lineRule="auto"/>
        <w:ind w:firstLine="464" w:firstLineChars="200"/>
        <w:jc w:val="left"/>
        <w:textAlignment w:val="auto"/>
        <w:outlineLvl w:val="9"/>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（4）事实依据；</w:t>
      </w:r>
    </w:p>
    <w:p>
      <w:pPr>
        <w:keepNext w:val="0"/>
        <w:keepLines w:val="0"/>
        <w:pageBreakBefore w:val="0"/>
        <w:widowControl w:val="0"/>
        <w:kinsoku/>
        <w:wordWrap/>
        <w:overflowPunct/>
        <w:topLinePunct w:val="0"/>
        <w:autoSpaceDE/>
        <w:autoSpaceDN/>
        <w:bidi w:val="0"/>
        <w:spacing w:line="360" w:lineRule="auto"/>
        <w:ind w:firstLine="464" w:firstLineChars="200"/>
        <w:jc w:val="left"/>
        <w:textAlignment w:val="auto"/>
        <w:outlineLvl w:val="9"/>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（5）必要的法律依据；</w:t>
      </w:r>
    </w:p>
    <w:p>
      <w:pPr>
        <w:keepNext w:val="0"/>
        <w:keepLines w:val="0"/>
        <w:pageBreakBefore w:val="0"/>
        <w:widowControl w:val="0"/>
        <w:kinsoku/>
        <w:wordWrap/>
        <w:overflowPunct/>
        <w:topLinePunct w:val="0"/>
        <w:autoSpaceDE/>
        <w:autoSpaceDN/>
        <w:bidi w:val="0"/>
        <w:spacing w:line="360" w:lineRule="auto"/>
        <w:ind w:firstLine="464" w:firstLineChars="200"/>
        <w:jc w:val="left"/>
        <w:textAlignment w:val="auto"/>
        <w:outlineLvl w:val="9"/>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color w:val="auto"/>
          <w:spacing w:val="-4"/>
          <w:sz w:val="24"/>
          <w:szCs w:val="24"/>
          <w:highlight w:val="none"/>
        </w:rPr>
        <w:t>（6）提出质疑的日期。</w:t>
      </w:r>
      <w:bookmarkStart w:id="118" w:name="_Toc20090"/>
      <w:bookmarkStart w:id="119" w:name="_Toc4522"/>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3.供应商为自然人的，应当由本人签字并附上身份证明；供应商为法人或者其他组织的，应当由法定代表人（单位负责人、自然人本人）或者其授权代表签字或者盖章，并加盖公章。</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4.针对同一采购程序环节的质疑，投标人应在法定期限内一次性提出（即针对同一采购程序环节的质疑采购人或采购代理机构仅受理一次），逾期提出或针对同一采购程序环节多次提出的质疑将不予受理、答复。</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（十一）其他说明</w:t>
      </w:r>
      <w:bookmarkEnd w:id="118"/>
      <w:bookmarkEnd w:id="119"/>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1.投标人投标所使用的资格、信誉、荣誉、投标人业绩与企业认证必须为本法人所拥有。投标人投标所使用的项目实施人员可以为其控股公司的工作人员。在组织资格性审查、商务或技术评审时，属于投标人母公司（总机构）或者同一母公司下属的其他子公司（同一总机构下属的其他分支机构）的人员、业绩、荣誉、知识产权、项目案例等，不得作为该投标人的资信文件予以确认或审查通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b/>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2.投标人在投标活动中提供任何虚假材料或从事其他违法活动的，其投标无效，并报监管部门查处；中标后发现的，中标无效，并须依照相关规定双倍赔偿给采购人。且民事赔偿并不免除违法投标人的行政与刑事责任。</w:t>
      </w:r>
      <w:bookmarkStart w:id="120" w:name="_Toc10262"/>
      <w:bookmarkStart w:id="121" w:name="_Toc3616"/>
      <w:bookmarkStart w:id="122" w:name="_Toc19457"/>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sz w:val="24"/>
          <w:szCs w:val="24"/>
        </w:rPr>
      </w:pPr>
      <w:bookmarkStart w:id="123" w:name="_Toc30074"/>
      <w:r>
        <w:rPr>
          <w:rFonts w:hint="eastAsia" w:ascii="仿宋" w:hAnsi="仿宋" w:eastAsia="仿宋" w:cs="仿宋"/>
          <w:b/>
          <w:color w:val="auto"/>
          <w:kern w:val="0"/>
          <w:sz w:val="24"/>
          <w:szCs w:val="24"/>
          <w:lang w:val="en-US" w:eastAsia="zh-CN" w:bidi="ar-SA"/>
        </w:rPr>
        <w:t>（十二）采购项目需要落实的采购政策</w:t>
      </w:r>
      <w:bookmarkEnd w:id="123"/>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仿宋" w:hAnsi="仿宋" w:eastAsia="仿宋" w:cs="仿宋"/>
          <w:b w:val="0"/>
          <w:bCs/>
          <w:color w:val="auto"/>
          <w:kern w:val="0"/>
          <w:sz w:val="24"/>
          <w:szCs w:val="24"/>
          <w:lang w:val="en-US" w:eastAsia="zh-CN" w:bidi="ar-SA"/>
        </w:rPr>
      </w:pPr>
      <w:bookmarkStart w:id="124" w:name="_Toc17107"/>
      <w:bookmarkStart w:id="125" w:name="_Toc1655"/>
      <w:r>
        <w:rPr>
          <w:rFonts w:hint="eastAsia" w:ascii="仿宋" w:hAnsi="仿宋" w:eastAsia="仿宋" w:cs="仿宋"/>
          <w:bCs/>
          <w:color w:val="auto"/>
          <w:sz w:val="24"/>
          <w:szCs w:val="24"/>
        </w:rPr>
        <w:t>支持绿色发展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1.</w:t>
      </w:r>
      <w:r>
        <w:rPr>
          <w:rFonts w:hint="eastAsia" w:ascii="仿宋" w:hAnsi="仿宋" w:eastAsia="仿宋" w:cs="仿宋"/>
          <w:bCs/>
          <w:color w:val="auto"/>
          <w:sz w:val="24"/>
          <w:szCs w:val="24"/>
        </w:rPr>
        <w:t>采购人拟采购的产品</w:t>
      </w:r>
      <w:r>
        <w:rPr>
          <w:rFonts w:hint="eastAsia" w:ascii="仿宋" w:hAnsi="仿宋" w:eastAsia="仿宋" w:cs="仿宋"/>
          <w:bCs/>
          <w:color w:val="auto"/>
          <w:sz w:val="24"/>
          <w:szCs w:val="24"/>
          <w:lang w:val="en-US" w:eastAsia="zh-CN"/>
        </w:rPr>
        <w:t>若</w:t>
      </w:r>
      <w:r>
        <w:rPr>
          <w:rFonts w:hint="eastAsia" w:ascii="仿宋" w:hAnsi="仿宋" w:eastAsia="仿宋" w:cs="仿宋"/>
          <w:bCs/>
          <w:color w:val="auto"/>
          <w:sz w:val="24"/>
          <w:szCs w:val="24"/>
        </w:rPr>
        <w:t>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val="0"/>
          <w:bCs/>
          <w:color w:val="auto"/>
          <w:sz w:val="24"/>
          <w:szCs w:val="24"/>
        </w:rPr>
        <w:t>采购人拟采购的产品若属于政府强制采购的节能产品品目清单范围的，投标人未按招标文件要求提供国家确定的认证机构出具的、处于有效期之内的节能产品认证证书的，投标无效。</w:t>
      </w:r>
    </w:p>
    <w:p>
      <w:pPr>
        <w:pStyle w:val="14"/>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修缮、装修类项目采购建材的，采购人应将绿色建筑和绿色建材性能、指标等作为实质性条件纳入招标文件和合同。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sz w:val="24"/>
          <w:szCs w:val="24"/>
        </w:rPr>
        <w:t>3</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快递包装政府采购需求标准（试行）》。</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1"/>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二、 招标文件</w:t>
      </w:r>
      <w:bookmarkEnd w:id="107"/>
      <w:bookmarkEnd w:id="108"/>
      <w:bookmarkEnd w:id="109"/>
      <w:bookmarkEnd w:id="110"/>
      <w:bookmarkEnd w:id="111"/>
      <w:bookmarkEnd w:id="112"/>
      <w:bookmarkEnd w:id="115"/>
      <w:bookmarkEnd w:id="116"/>
      <w:bookmarkEnd w:id="117"/>
      <w:bookmarkEnd w:id="120"/>
      <w:bookmarkEnd w:id="121"/>
      <w:bookmarkEnd w:id="122"/>
      <w:bookmarkEnd w:id="124"/>
      <w:bookmarkEnd w:id="125"/>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9"/>
        <w:rPr>
          <w:rFonts w:hint="eastAsia" w:ascii="仿宋" w:hAnsi="仿宋" w:eastAsia="仿宋" w:cs="仿宋"/>
          <w:b/>
          <w:color w:val="auto"/>
          <w:sz w:val="24"/>
          <w:szCs w:val="24"/>
        </w:rPr>
      </w:pPr>
      <w:bookmarkStart w:id="126" w:name="_Toc504504534"/>
      <w:bookmarkStart w:id="127" w:name="_Toc381971534"/>
      <w:bookmarkStart w:id="128" w:name="_Toc30317"/>
      <w:bookmarkStart w:id="129" w:name="_Toc330214707"/>
      <w:bookmarkStart w:id="130" w:name="_Toc330215460"/>
      <w:bookmarkStart w:id="131" w:name="_Toc330214835"/>
      <w:bookmarkStart w:id="132" w:name="_Toc330215262"/>
      <w:bookmarkStart w:id="133" w:name="_Toc330212066"/>
      <w:r>
        <w:rPr>
          <w:rFonts w:hint="eastAsia" w:ascii="仿宋" w:hAnsi="仿宋" w:eastAsia="仿宋" w:cs="仿宋"/>
          <w:b/>
          <w:color w:val="auto"/>
          <w:sz w:val="24"/>
          <w:szCs w:val="24"/>
        </w:rPr>
        <w:t>（一）招标文件的构成</w:t>
      </w:r>
      <w:bookmarkEnd w:id="126"/>
      <w:bookmarkEnd w:id="127"/>
      <w:bookmarkEnd w:id="128"/>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本招标文件由以下部</w:t>
      </w:r>
      <w:r>
        <w:rPr>
          <w:rFonts w:hint="eastAsia" w:ascii="仿宋" w:hAnsi="仿宋" w:eastAsia="仿宋" w:cs="仿宋"/>
          <w:color w:val="auto"/>
          <w:sz w:val="24"/>
          <w:szCs w:val="24"/>
          <w:lang w:val="en-US" w:eastAsia="zh-CN"/>
        </w:rPr>
        <w:t>分</w:t>
      </w:r>
      <w:r>
        <w:rPr>
          <w:rFonts w:hint="eastAsia" w:ascii="仿宋" w:hAnsi="仿宋" w:eastAsia="仿宋" w:cs="仿宋"/>
          <w:color w:val="auto"/>
          <w:sz w:val="24"/>
          <w:szCs w:val="24"/>
        </w:rPr>
        <w:t>组成：</w:t>
      </w:r>
      <w:bookmarkEnd w:id="129"/>
      <w:bookmarkEnd w:id="130"/>
      <w:bookmarkEnd w:id="131"/>
      <w:bookmarkEnd w:id="132"/>
      <w:bookmarkEnd w:id="133"/>
    </w:p>
    <w:p>
      <w:pPr>
        <w:keepNext w:val="0"/>
        <w:keepLines w:val="0"/>
        <w:pageBreakBefore w:val="0"/>
        <w:widowControl w:val="0"/>
        <w:tabs>
          <w:tab w:val="right" w:leader="dot" w:pos="8478"/>
        </w:tabs>
        <w:kinsoku/>
        <w:wordWrap/>
        <w:overflowPunct/>
        <w:topLinePunct w:val="0"/>
        <w:autoSpaceDE/>
        <w:autoSpaceDN/>
        <w:bidi w:val="0"/>
        <w:adjustRightInd/>
        <w:spacing w:after="0" w:line="360" w:lineRule="auto"/>
        <w:ind w:firstLine="480" w:firstLineChars="200"/>
        <w:jc w:val="left"/>
        <w:textAlignment w:val="auto"/>
        <w:outlineLvl w:val="9"/>
        <w:rPr>
          <w:rFonts w:hint="eastAsia" w:ascii="仿宋" w:hAnsi="仿宋" w:eastAsia="仿宋" w:cs="仿宋"/>
          <w:b w:val="0"/>
          <w:caps w:val="0"/>
          <w:color w:val="auto"/>
          <w:kern w:val="2"/>
          <w:sz w:val="24"/>
          <w:szCs w:val="24"/>
          <w:lang w:val="en-US" w:eastAsia="zh-CN" w:bidi="ar-SA"/>
        </w:rPr>
      </w:pPr>
      <w:r>
        <w:rPr>
          <w:rFonts w:hint="eastAsia" w:ascii="仿宋" w:hAnsi="仿宋" w:eastAsia="仿宋" w:cs="仿宋"/>
          <w:b w:val="0"/>
          <w:caps w:val="0"/>
          <w:color w:val="auto"/>
          <w:kern w:val="2"/>
          <w:sz w:val="24"/>
          <w:szCs w:val="24"/>
          <w:lang w:val="en-US" w:eastAsia="zh-CN" w:bidi="ar-SA"/>
        </w:rPr>
        <w:fldChar w:fldCharType="begin"/>
      </w:r>
      <w:r>
        <w:rPr>
          <w:rFonts w:hint="eastAsia" w:ascii="仿宋" w:hAnsi="仿宋" w:eastAsia="仿宋" w:cs="仿宋"/>
          <w:b w:val="0"/>
          <w:caps w:val="0"/>
          <w:color w:val="auto"/>
          <w:kern w:val="2"/>
          <w:sz w:val="24"/>
          <w:szCs w:val="24"/>
          <w:lang w:val="en-US" w:eastAsia="zh-CN" w:bidi="ar-SA"/>
        </w:rPr>
        <w:instrText xml:space="preserve"> HYPERLINK \l "_Toc443642941" </w:instrText>
      </w:r>
      <w:r>
        <w:rPr>
          <w:rFonts w:hint="eastAsia" w:ascii="仿宋" w:hAnsi="仿宋" w:eastAsia="仿宋" w:cs="仿宋"/>
          <w:b w:val="0"/>
          <w:caps w:val="0"/>
          <w:color w:val="auto"/>
          <w:kern w:val="2"/>
          <w:sz w:val="24"/>
          <w:szCs w:val="24"/>
          <w:lang w:val="en-US" w:eastAsia="zh-CN" w:bidi="ar-SA"/>
        </w:rPr>
        <w:fldChar w:fldCharType="separate"/>
      </w:r>
      <w:r>
        <w:rPr>
          <w:rFonts w:hint="eastAsia" w:ascii="仿宋" w:hAnsi="仿宋" w:eastAsia="仿宋" w:cs="仿宋"/>
          <w:b w:val="0"/>
          <w:caps w:val="0"/>
          <w:color w:val="auto"/>
          <w:kern w:val="2"/>
          <w:sz w:val="24"/>
          <w:szCs w:val="24"/>
          <w:lang w:val="en-US" w:eastAsia="zh-CN" w:bidi="ar-SA"/>
        </w:rPr>
        <w:t>1.公开招标采购公告</w:t>
      </w:r>
      <w:r>
        <w:rPr>
          <w:rFonts w:hint="eastAsia" w:ascii="仿宋" w:hAnsi="仿宋" w:eastAsia="仿宋" w:cs="仿宋"/>
          <w:b w:val="0"/>
          <w:caps w:val="0"/>
          <w:color w:val="auto"/>
          <w:kern w:val="2"/>
          <w:sz w:val="24"/>
          <w:szCs w:val="24"/>
          <w:lang w:val="en-US" w:eastAsia="zh-CN" w:bidi="ar-SA"/>
        </w:rPr>
        <w:fldChar w:fldCharType="end"/>
      </w:r>
      <w:r>
        <w:rPr>
          <w:rFonts w:hint="eastAsia" w:ascii="仿宋" w:hAnsi="仿宋" w:eastAsia="仿宋" w:cs="仿宋"/>
          <w:b w:val="0"/>
          <w:caps w:val="0"/>
          <w:color w:val="auto"/>
          <w:kern w:val="2"/>
          <w:sz w:val="24"/>
          <w:szCs w:val="24"/>
          <w:lang w:val="en-US" w:eastAsia="zh-CN" w:bidi="ar-SA"/>
        </w:rPr>
        <w:t>；</w:t>
      </w:r>
    </w:p>
    <w:p>
      <w:pPr>
        <w:keepNext w:val="0"/>
        <w:keepLines w:val="0"/>
        <w:pageBreakBefore w:val="0"/>
        <w:widowControl w:val="0"/>
        <w:tabs>
          <w:tab w:val="right" w:leader="dot" w:pos="8478"/>
        </w:tabs>
        <w:kinsoku/>
        <w:wordWrap/>
        <w:overflowPunct/>
        <w:topLinePunct w:val="0"/>
        <w:autoSpaceDE/>
        <w:autoSpaceDN/>
        <w:bidi w:val="0"/>
        <w:adjustRightInd/>
        <w:spacing w:after="0" w:line="360" w:lineRule="auto"/>
        <w:ind w:firstLine="480" w:firstLineChars="200"/>
        <w:jc w:val="left"/>
        <w:textAlignment w:val="auto"/>
        <w:outlineLvl w:val="9"/>
        <w:rPr>
          <w:rFonts w:hint="eastAsia" w:ascii="仿宋" w:hAnsi="仿宋" w:eastAsia="仿宋" w:cs="仿宋"/>
          <w:b w:val="0"/>
          <w:caps w:val="0"/>
          <w:color w:val="auto"/>
          <w:kern w:val="2"/>
          <w:sz w:val="24"/>
          <w:szCs w:val="24"/>
          <w:lang w:val="en-US" w:eastAsia="zh-CN" w:bidi="ar-SA"/>
        </w:rPr>
      </w:pPr>
      <w:r>
        <w:rPr>
          <w:rFonts w:hint="eastAsia" w:ascii="仿宋" w:hAnsi="仿宋" w:eastAsia="仿宋" w:cs="仿宋"/>
          <w:b w:val="0"/>
          <w:caps w:val="0"/>
          <w:color w:val="auto"/>
          <w:kern w:val="2"/>
          <w:sz w:val="24"/>
          <w:szCs w:val="24"/>
          <w:lang w:val="en-US" w:eastAsia="zh-CN" w:bidi="ar-SA"/>
        </w:rPr>
        <w:fldChar w:fldCharType="begin"/>
      </w:r>
      <w:r>
        <w:rPr>
          <w:rFonts w:hint="eastAsia" w:ascii="仿宋" w:hAnsi="仿宋" w:eastAsia="仿宋" w:cs="仿宋"/>
          <w:b w:val="0"/>
          <w:caps w:val="0"/>
          <w:color w:val="auto"/>
          <w:kern w:val="2"/>
          <w:sz w:val="24"/>
          <w:szCs w:val="24"/>
          <w:lang w:val="en-US" w:eastAsia="zh-CN" w:bidi="ar-SA"/>
        </w:rPr>
        <w:instrText xml:space="preserve"> HYPERLINK \l "_Toc443642942" </w:instrText>
      </w:r>
      <w:r>
        <w:rPr>
          <w:rFonts w:hint="eastAsia" w:ascii="仿宋" w:hAnsi="仿宋" w:eastAsia="仿宋" w:cs="仿宋"/>
          <w:b w:val="0"/>
          <w:caps w:val="0"/>
          <w:color w:val="auto"/>
          <w:kern w:val="2"/>
          <w:sz w:val="24"/>
          <w:szCs w:val="24"/>
          <w:lang w:val="en-US" w:eastAsia="zh-CN" w:bidi="ar-SA"/>
        </w:rPr>
        <w:fldChar w:fldCharType="separate"/>
      </w:r>
      <w:r>
        <w:rPr>
          <w:rFonts w:hint="eastAsia" w:ascii="仿宋" w:hAnsi="仿宋" w:eastAsia="仿宋" w:cs="仿宋"/>
          <w:b w:val="0"/>
          <w:caps w:val="0"/>
          <w:color w:val="auto"/>
          <w:kern w:val="2"/>
          <w:sz w:val="24"/>
          <w:szCs w:val="24"/>
          <w:lang w:val="en-US" w:eastAsia="zh-CN" w:bidi="ar-SA"/>
        </w:rPr>
        <w:t>2.投标须知</w:t>
      </w:r>
      <w:r>
        <w:rPr>
          <w:rFonts w:hint="eastAsia" w:ascii="仿宋" w:hAnsi="仿宋" w:eastAsia="仿宋" w:cs="仿宋"/>
          <w:b w:val="0"/>
          <w:caps w:val="0"/>
          <w:color w:val="auto"/>
          <w:kern w:val="2"/>
          <w:sz w:val="24"/>
          <w:szCs w:val="24"/>
          <w:lang w:val="en-US" w:eastAsia="zh-CN" w:bidi="ar-SA"/>
        </w:rPr>
        <w:fldChar w:fldCharType="end"/>
      </w:r>
      <w:r>
        <w:rPr>
          <w:rFonts w:hint="eastAsia" w:ascii="仿宋" w:hAnsi="仿宋" w:eastAsia="仿宋" w:cs="仿宋"/>
          <w:b w:val="0"/>
          <w:caps w:val="0"/>
          <w:color w:val="auto"/>
          <w:kern w:val="2"/>
          <w:sz w:val="24"/>
          <w:szCs w:val="24"/>
          <w:lang w:val="en-US" w:eastAsia="zh-CN" w:bidi="ar-SA"/>
        </w:rPr>
        <w:t>；</w:t>
      </w:r>
    </w:p>
    <w:p>
      <w:pPr>
        <w:keepNext w:val="0"/>
        <w:keepLines w:val="0"/>
        <w:pageBreakBefore w:val="0"/>
        <w:widowControl w:val="0"/>
        <w:tabs>
          <w:tab w:val="right" w:leader="dot" w:pos="8478"/>
        </w:tabs>
        <w:kinsoku/>
        <w:wordWrap/>
        <w:overflowPunct/>
        <w:topLinePunct w:val="0"/>
        <w:autoSpaceDE/>
        <w:autoSpaceDN/>
        <w:bidi w:val="0"/>
        <w:adjustRightInd/>
        <w:spacing w:after="0" w:line="360" w:lineRule="auto"/>
        <w:ind w:firstLine="480" w:firstLineChars="200"/>
        <w:jc w:val="left"/>
        <w:textAlignment w:val="auto"/>
        <w:outlineLvl w:val="9"/>
        <w:rPr>
          <w:rFonts w:hint="eastAsia" w:ascii="仿宋" w:hAnsi="仿宋" w:eastAsia="仿宋" w:cs="仿宋"/>
          <w:b w:val="0"/>
          <w:caps w:val="0"/>
          <w:color w:val="auto"/>
          <w:kern w:val="2"/>
          <w:sz w:val="24"/>
          <w:szCs w:val="24"/>
          <w:lang w:val="en-US" w:eastAsia="zh-CN" w:bidi="ar-SA"/>
        </w:rPr>
      </w:pPr>
      <w:r>
        <w:rPr>
          <w:rFonts w:hint="eastAsia" w:ascii="仿宋" w:hAnsi="仿宋" w:eastAsia="仿宋" w:cs="仿宋"/>
          <w:b w:val="0"/>
          <w:caps w:val="0"/>
          <w:color w:val="auto"/>
          <w:kern w:val="2"/>
          <w:sz w:val="24"/>
          <w:szCs w:val="24"/>
          <w:lang w:val="en-US" w:eastAsia="zh-CN" w:bidi="ar-SA"/>
        </w:rPr>
        <w:fldChar w:fldCharType="begin"/>
      </w:r>
      <w:r>
        <w:rPr>
          <w:rFonts w:hint="eastAsia" w:ascii="仿宋" w:hAnsi="仿宋" w:eastAsia="仿宋" w:cs="仿宋"/>
          <w:b w:val="0"/>
          <w:caps w:val="0"/>
          <w:color w:val="auto"/>
          <w:kern w:val="2"/>
          <w:sz w:val="24"/>
          <w:szCs w:val="24"/>
          <w:lang w:val="en-US" w:eastAsia="zh-CN" w:bidi="ar-SA"/>
        </w:rPr>
        <w:instrText xml:space="preserve"> HYPERLINK \l "_Toc443642950" </w:instrText>
      </w:r>
      <w:r>
        <w:rPr>
          <w:rFonts w:hint="eastAsia" w:ascii="仿宋" w:hAnsi="仿宋" w:eastAsia="仿宋" w:cs="仿宋"/>
          <w:b w:val="0"/>
          <w:caps w:val="0"/>
          <w:color w:val="auto"/>
          <w:kern w:val="2"/>
          <w:sz w:val="24"/>
          <w:szCs w:val="24"/>
          <w:lang w:val="en-US" w:eastAsia="zh-CN" w:bidi="ar-SA"/>
        </w:rPr>
        <w:fldChar w:fldCharType="separate"/>
      </w:r>
      <w:r>
        <w:rPr>
          <w:rFonts w:hint="eastAsia" w:ascii="仿宋" w:hAnsi="仿宋" w:eastAsia="仿宋" w:cs="仿宋"/>
          <w:b w:val="0"/>
          <w:caps w:val="0"/>
          <w:color w:val="auto"/>
          <w:kern w:val="2"/>
          <w:sz w:val="24"/>
          <w:szCs w:val="24"/>
          <w:lang w:val="en-US" w:eastAsia="zh-CN" w:bidi="ar-SA"/>
        </w:rPr>
        <w:t>3.采购需求</w:t>
      </w:r>
      <w:r>
        <w:rPr>
          <w:rFonts w:hint="eastAsia" w:ascii="仿宋" w:hAnsi="仿宋" w:eastAsia="仿宋" w:cs="仿宋"/>
          <w:b w:val="0"/>
          <w:caps w:val="0"/>
          <w:color w:val="auto"/>
          <w:kern w:val="2"/>
          <w:sz w:val="24"/>
          <w:szCs w:val="24"/>
          <w:lang w:val="en-US" w:eastAsia="zh-CN" w:bidi="ar-SA"/>
        </w:rPr>
        <w:fldChar w:fldCharType="end"/>
      </w:r>
      <w:r>
        <w:rPr>
          <w:rFonts w:hint="eastAsia" w:ascii="仿宋" w:hAnsi="仿宋" w:eastAsia="仿宋" w:cs="仿宋"/>
          <w:b w:val="0"/>
          <w:caps w:val="0"/>
          <w:color w:val="auto"/>
          <w:kern w:val="2"/>
          <w:sz w:val="24"/>
          <w:szCs w:val="24"/>
          <w:lang w:val="en-US" w:eastAsia="zh-CN" w:bidi="ar-SA"/>
        </w:rPr>
        <w:t>；</w:t>
      </w:r>
    </w:p>
    <w:p>
      <w:pPr>
        <w:keepNext w:val="0"/>
        <w:keepLines w:val="0"/>
        <w:pageBreakBefore w:val="0"/>
        <w:widowControl w:val="0"/>
        <w:tabs>
          <w:tab w:val="right" w:leader="dot" w:pos="8478"/>
        </w:tabs>
        <w:kinsoku/>
        <w:wordWrap/>
        <w:overflowPunct/>
        <w:topLinePunct w:val="0"/>
        <w:autoSpaceDE/>
        <w:autoSpaceDN/>
        <w:bidi w:val="0"/>
        <w:adjustRightInd/>
        <w:spacing w:after="0" w:line="360" w:lineRule="auto"/>
        <w:ind w:firstLine="480" w:firstLineChars="200"/>
        <w:jc w:val="left"/>
        <w:textAlignment w:val="auto"/>
        <w:outlineLvl w:val="9"/>
        <w:rPr>
          <w:rFonts w:hint="eastAsia" w:ascii="仿宋" w:hAnsi="仿宋" w:eastAsia="仿宋" w:cs="仿宋"/>
          <w:b w:val="0"/>
          <w:caps w:val="0"/>
          <w:color w:val="auto"/>
          <w:kern w:val="2"/>
          <w:sz w:val="24"/>
          <w:szCs w:val="24"/>
          <w:lang w:val="en-US" w:eastAsia="zh-CN" w:bidi="ar-SA"/>
        </w:rPr>
      </w:pPr>
      <w:r>
        <w:rPr>
          <w:rFonts w:hint="eastAsia" w:ascii="仿宋" w:hAnsi="仿宋" w:eastAsia="仿宋" w:cs="仿宋"/>
          <w:b w:val="0"/>
          <w:caps w:val="0"/>
          <w:color w:val="auto"/>
          <w:kern w:val="2"/>
          <w:sz w:val="24"/>
          <w:szCs w:val="24"/>
          <w:lang w:val="en-US" w:eastAsia="zh-CN" w:bidi="ar-SA"/>
        </w:rPr>
        <w:fldChar w:fldCharType="begin"/>
      </w:r>
      <w:r>
        <w:rPr>
          <w:rFonts w:hint="eastAsia" w:ascii="仿宋" w:hAnsi="仿宋" w:eastAsia="仿宋" w:cs="仿宋"/>
          <w:b w:val="0"/>
          <w:caps w:val="0"/>
          <w:color w:val="auto"/>
          <w:kern w:val="2"/>
          <w:sz w:val="24"/>
          <w:szCs w:val="24"/>
          <w:lang w:val="en-US" w:eastAsia="zh-CN" w:bidi="ar-SA"/>
        </w:rPr>
        <w:instrText xml:space="preserve"> HYPERLINK \l "_Toc443642961" </w:instrText>
      </w:r>
      <w:r>
        <w:rPr>
          <w:rFonts w:hint="eastAsia" w:ascii="仿宋" w:hAnsi="仿宋" w:eastAsia="仿宋" w:cs="仿宋"/>
          <w:b w:val="0"/>
          <w:caps w:val="0"/>
          <w:color w:val="auto"/>
          <w:kern w:val="2"/>
          <w:sz w:val="24"/>
          <w:szCs w:val="24"/>
          <w:lang w:val="en-US" w:eastAsia="zh-CN" w:bidi="ar-SA"/>
        </w:rPr>
        <w:fldChar w:fldCharType="separate"/>
      </w:r>
      <w:r>
        <w:rPr>
          <w:rFonts w:hint="eastAsia" w:ascii="仿宋" w:hAnsi="仿宋" w:eastAsia="仿宋" w:cs="仿宋"/>
          <w:b w:val="0"/>
          <w:caps w:val="0"/>
          <w:color w:val="auto"/>
          <w:kern w:val="2"/>
          <w:sz w:val="24"/>
          <w:szCs w:val="24"/>
          <w:lang w:val="en-US" w:eastAsia="zh-CN" w:bidi="ar-SA"/>
        </w:rPr>
        <w:t>4.评标办法</w:t>
      </w:r>
      <w:r>
        <w:rPr>
          <w:rFonts w:hint="eastAsia" w:ascii="仿宋" w:hAnsi="仿宋" w:eastAsia="仿宋" w:cs="仿宋"/>
          <w:b w:val="0"/>
          <w:caps w:val="0"/>
          <w:color w:val="auto"/>
          <w:kern w:val="2"/>
          <w:sz w:val="24"/>
          <w:szCs w:val="24"/>
          <w:lang w:val="en-US" w:eastAsia="zh-CN" w:bidi="ar-SA"/>
        </w:rPr>
        <w:fldChar w:fldCharType="end"/>
      </w:r>
      <w:r>
        <w:rPr>
          <w:rFonts w:hint="eastAsia" w:ascii="仿宋" w:hAnsi="仿宋" w:eastAsia="仿宋" w:cs="仿宋"/>
          <w:b w:val="0"/>
          <w:caps w:val="0"/>
          <w:color w:val="auto"/>
          <w:kern w:val="2"/>
          <w:sz w:val="24"/>
          <w:szCs w:val="24"/>
          <w:lang w:val="en-US" w:eastAsia="zh-CN" w:bidi="ar-SA"/>
        </w:rPr>
        <w:t>；</w:t>
      </w:r>
    </w:p>
    <w:p>
      <w:pPr>
        <w:keepNext w:val="0"/>
        <w:keepLines w:val="0"/>
        <w:pageBreakBefore w:val="0"/>
        <w:widowControl w:val="0"/>
        <w:tabs>
          <w:tab w:val="right" w:leader="dot" w:pos="8478"/>
        </w:tabs>
        <w:kinsoku/>
        <w:wordWrap/>
        <w:overflowPunct/>
        <w:topLinePunct w:val="0"/>
        <w:autoSpaceDE/>
        <w:autoSpaceDN/>
        <w:bidi w:val="0"/>
        <w:adjustRightInd/>
        <w:spacing w:after="0" w:line="360" w:lineRule="auto"/>
        <w:ind w:firstLine="480" w:firstLineChars="200"/>
        <w:jc w:val="left"/>
        <w:textAlignment w:val="auto"/>
        <w:outlineLvl w:val="9"/>
        <w:rPr>
          <w:rFonts w:hint="eastAsia" w:ascii="仿宋" w:hAnsi="仿宋" w:eastAsia="仿宋" w:cs="仿宋"/>
          <w:b w:val="0"/>
          <w:caps w:val="0"/>
          <w:color w:val="auto"/>
          <w:kern w:val="2"/>
          <w:sz w:val="24"/>
          <w:szCs w:val="24"/>
          <w:lang w:val="en-US" w:eastAsia="zh-CN" w:bidi="ar-SA"/>
        </w:rPr>
      </w:pPr>
      <w:r>
        <w:rPr>
          <w:rFonts w:hint="eastAsia" w:ascii="仿宋" w:hAnsi="仿宋" w:eastAsia="仿宋" w:cs="仿宋"/>
          <w:b w:val="0"/>
          <w:caps w:val="0"/>
          <w:color w:val="auto"/>
          <w:kern w:val="2"/>
          <w:sz w:val="24"/>
          <w:szCs w:val="24"/>
          <w:lang w:val="en-US" w:eastAsia="zh-CN" w:bidi="ar-SA"/>
        </w:rPr>
        <w:fldChar w:fldCharType="begin"/>
      </w:r>
      <w:r>
        <w:rPr>
          <w:rFonts w:hint="eastAsia" w:ascii="仿宋" w:hAnsi="仿宋" w:eastAsia="仿宋" w:cs="仿宋"/>
          <w:b w:val="0"/>
          <w:caps w:val="0"/>
          <w:color w:val="auto"/>
          <w:kern w:val="2"/>
          <w:sz w:val="24"/>
          <w:szCs w:val="24"/>
          <w:lang w:val="en-US" w:eastAsia="zh-CN" w:bidi="ar-SA"/>
        </w:rPr>
        <w:instrText xml:space="preserve"> HYPERLINK \l "_Toc443642971" </w:instrText>
      </w:r>
      <w:r>
        <w:rPr>
          <w:rFonts w:hint="eastAsia" w:ascii="仿宋" w:hAnsi="仿宋" w:eastAsia="仿宋" w:cs="仿宋"/>
          <w:b w:val="0"/>
          <w:caps w:val="0"/>
          <w:color w:val="auto"/>
          <w:kern w:val="2"/>
          <w:sz w:val="24"/>
          <w:szCs w:val="24"/>
          <w:lang w:val="en-US" w:eastAsia="zh-CN" w:bidi="ar-SA"/>
        </w:rPr>
        <w:fldChar w:fldCharType="separate"/>
      </w:r>
      <w:r>
        <w:rPr>
          <w:rFonts w:hint="eastAsia" w:ascii="仿宋" w:hAnsi="仿宋" w:eastAsia="仿宋" w:cs="仿宋"/>
          <w:b w:val="0"/>
          <w:caps w:val="0"/>
          <w:color w:val="auto"/>
          <w:kern w:val="2"/>
          <w:sz w:val="24"/>
          <w:szCs w:val="24"/>
          <w:lang w:val="en-US" w:eastAsia="zh-CN" w:bidi="ar-SA"/>
        </w:rPr>
        <w:t>5.合同主要条款</w:t>
      </w:r>
      <w:r>
        <w:rPr>
          <w:rFonts w:hint="eastAsia" w:ascii="仿宋" w:hAnsi="仿宋" w:eastAsia="仿宋" w:cs="仿宋"/>
          <w:b w:val="0"/>
          <w:caps w:val="0"/>
          <w:color w:val="auto"/>
          <w:kern w:val="2"/>
          <w:sz w:val="24"/>
          <w:szCs w:val="24"/>
          <w:lang w:val="en-US" w:eastAsia="zh-CN" w:bidi="ar-SA"/>
        </w:rPr>
        <w:fldChar w:fldCharType="end"/>
      </w:r>
      <w:r>
        <w:rPr>
          <w:rFonts w:hint="eastAsia" w:ascii="仿宋" w:hAnsi="仿宋" w:eastAsia="仿宋" w:cs="仿宋"/>
          <w:b w:val="0"/>
          <w:caps w:val="0"/>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6.投标文件格式</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color w:val="auto"/>
          <w:sz w:val="24"/>
          <w:szCs w:val="24"/>
          <w:lang w:val="en-US" w:eastAsia="zh-CN"/>
        </w:rPr>
      </w:pPr>
      <w:bookmarkStart w:id="134" w:name="_Toc330212067"/>
      <w:bookmarkStart w:id="135" w:name="_Toc330215461"/>
      <w:bookmarkStart w:id="136" w:name="_Toc381971535"/>
      <w:bookmarkStart w:id="137" w:name="_Toc330214708"/>
      <w:bookmarkStart w:id="138" w:name="_Toc330214836"/>
      <w:bookmarkStart w:id="139" w:name="_Toc504504535"/>
      <w:bookmarkStart w:id="140" w:name="_Toc330215263"/>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招标文件</w:t>
      </w:r>
      <w:r>
        <w:rPr>
          <w:rFonts w:hint="eastAsia" w:ascii="仿宋" w:hAnsi="仿宋" w:eastAsia="仿宋" w:cs="仿宋"/>
          <w:color w:val="auto"/>
          <w:sz w:val="24"/>
          <w:szCs w:val="24"/>
          <w:lang w:val="en-US" w:eastAsia="zh-CN"/>
        </w:rPr>
        <w:t>的澄清、修改文件（如有，另附）。</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sz w:val="24"/>
          <w:szCs w:val="24"/>
        </w:rPr>
      </w:pPr>
      <w:bookmarkStart w:id="141" w:name="_Toc14386"/>
      <w:r>
        <w:rPr>
          <w:rFonts w:hint="eastAsia" w:ascii="仿宋" w:hAnsi="仿宋" w:eastAsia="仿宋" w:cs="仿宋"/>
          <w:b/>
          <w:color w:val="auto"/>
          <w:sz w:val="24"/>
          <w:szCs w:val="24"/>
        </w:rPr>
        <w:t>（二）投标人的风险</w:t>
      </w:r>
      <w:bookmarkEnd w:id="134"/>
      <w:bookmarkEnd w:id="135"/>
      <w:bookmarkEnd w:id="136"/>
      <w:bookmarkEnd w:id="137"/>
      <w:bookmarkEnd w:id="138"/>
      <w:bookmarkEnd w:id="139"/>
      <w:bookmarkEnd w:id="140"/>
      <w:bookmarkEnd w:id="141"/>
    </w:p>
    <w:p>
      <w:pPr>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投标人没有按照招标文件要求提供全部资料，或者投标人没有对招标文件在各方面作出实质性响应是投标人的风险，并可能导致其投标被拒绝。</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sz w:val="24"/>
          <w:szCs w:val="24"/>
        </w:rPr>
      </w:pPr>
      <w:bookmarkStart w:id="142" w:name="_Toc381971536"/>
      <w:bookmarkStart w:id="143" w:name="_Toc330215264"/>
      <w:bookmarkStart w:id="144" w:name="_Toc330214837"/>
      <w:bookmarkStart w:id="145" w:name="_Toc330214709"/>
      <w:bookmarkStart w:id="146" w:name="_Toc29072"/>
      <w:bookmarkStart w:id="147" w:name="_Toc330212068"/>
      <w:bookmarkStart w:id="148" w:name="_Toc504504536"/>
      <w:bookmarkStart w:id="149" w:name="_Toc330215462"/>
      <w:r>
        <w:rPr>
          <w:rFonts w:hint="eastAsia" w:ascii="仿宋" w:hAnsi="仿宋" w:eastAsia="仿宋" w:cs="仿宋"/>
          <w:b/>
          <w:color w:val="auto"/>
          <w:sz w:val="24"/>
          <w:szCs w:val="24"/>
        </w:rPr>
        <w:t>（三）招标文件的澄清与修改</w:t>
      </w:r>
      <w:bookmarkEnd w:id="142"/>
      <w:bookmarkEnd w:id="143"/>
      <w:bookmarkEnd w:id="144"/>
      <w:bookmarkEnd w:id="145"/>
      <w:bookmarkEnd w:id="146"/>
      <w:bookmarkEnd w:id="147"/>
      <w:bookmarkEnd w:id="148"/>
      <w:bookmarkEnd w:id="149"/>
      <w:r>
        <w:rPr>
          <w:rFonts w:hint="eastAsia" w:ascii="仿宋" w:hAnsi="仿宋" w:eastAsia="仿宋" w:cs="仿宋"/>
          <w:b/>
          <w:color w:val="auto"/>
          <w:sz w:val="24"/>
          <w:szCs w:val="24"/>
        </w:rPr>
        <w:t xml:space="preserve"> </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color w:val="auto"/>
          <w:sz w:val="24"/>
          <w:szCs w:val="24"/>
        </w:rPr>
      </w:pPr>
      <w:bookmarkStart w:id="150" w:name="_Toc381971537"/>
      <w:r>
        <w:rPr>
          <w:rFonts w:hint="eastAsia" w:ascii="仿宋" w:hAnsi="仿宋" w:eastAsia="仿宋" w:cs="仿宋"/>
          <w:color w:val="auto"/>
          <w:sz w:val="24"/>
          <w:szCs w:val="24"/>
        </w:rPr>
        <w:t>1.投标人应认真阅读本</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，发现其中有误或有要求不合理的，投标人必须在</w:t>
      </w:r>
      <w:r>
        <w:rPr>
          <w:rFonts w:hint="eastAsia" w:ascii="仿宋" w:hAnsi="仿宋" w:eastAsia="仿宋" w:cs="仿宋"/>
          <w:color w:val="auto"/>
          <w:sz w:val="24"/>
          <w:szCs w:val="24"/>
          <w:lang w:val="en-US" w:eastAsia="zh-CN"/>
        </w:rPr>
        <w:t>规定的</w:t>
      </w:r>
      <w:r>
        <w:rPr>
          <w:rFonts w:hint="eastAsia" w:ascii="仿宋" w:hAnsi="仿宋" w:eastAsia="仿宋" w:cs="仿宋"/>
          <w:color w:val="auto"/>
          <w:sz w:val="24"/>
          <w:szCs w:val="24"/>
        </w:rPr>
        <w:t>答疑与澄清截止时间前以书面形式要求招标采购单位澄清。</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2.招标采购单位必须以书面形式答复投标人要求澄清的问题。</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3.采购机构对</w:t>
      </w:r>
      <w:r>
        <w:rPr>
          <w:rFonts w:hint="eastAsia" w:ascii="仿宋" w:hAnsi="仿宋" w:eastAsia="仿宋" w:cs="仿宋"/>
          <w:color w:val="auto"/>
          <w:spacing w:val="6"/>
          <w:kern w:val="1"/>
          <w:sz w:val="24"/>
          <w:szCs w:val="24"/>
          <w:highlight w:val="none"/>
          <w:lang w:val="en-US" w:eastAsia="zh-CN" w:bidi="ar-SA"/>
        </w:rPr>
        <w:t>招标文件</w:t>
      </w:r>
      <w:r>
        <w:rPr>
          <w:rFonts w:hint="eastAsia" w:ascii="仿宋" w:hAnsi="仿宋" w:eastAsia="仿宋" w:cs="仿宋"/>
          <w:color w:val="auto"/>
          <w:sz w:val="24"/>
          <w:szCs w:val="24"/>
          <w:lang w:val="en-US" w:eastAsia="zh-CN"/>
        </w:rPr>
        <w:t>进行澄清或修改的，将同时通过电子交易平台通知已获取</w:t>
      </w:r>
      <w:r>
        <w:rPr>
          <w:rFonts w:hint="eastAsia" w:ascii="仿宋" w:hAnsi="仿宋" w:eastAsia="仿宋" w:cs="仿宋"/>
          <w:color w:val="auto"/>
          <w:spacing w:val="6"/>
          <w:kern w:val="1"/>
          <w:sz w:val="24"/>
          <w:szCs w:val="24"/>
          <w:highlight w:val="none"/>
          <w:lang w:val="en-US" w:eastAsia="zh-CN" w:bidi="ar-SA"/>
        </w:rPr>
        <w:t>招标文件</w:t>
      </w:r>
      <w:r>
        <w:rPr>
          <w:rFonts w:hint="eastAsia" w:ascii="仿宋" w:hAnsi="仿宋" w:eastAsia="仿宋" w:cs="仿宋"/>
          <w:color w:val="auto"/>
          <w:sz w:val="24"/>
          <w:szCs w:val="24"/>
          <w:lang w:val="en-US" w:eastAsia="zh-CN"/>
        </w:rPr>
        <w:t>的潜在投标人。依法应当公告的，将按规定公告，同时视情况延长投标截止时间和开标时间。</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pacing w:val="6"/>
          <w:kern w:val="1"/>
          <w:sz w:val="24"/>
          <w:szCs w:val="24"/>
          <w:highlight w:val="none"/>
          <w:lang w:val="en-US" w:eastAsia="zh-CN" w:bidi="ar-SA"/>
        </w:rPr>
        <w:t>招标文件</w:t>
      </w:r>
      <w:r>
        <w:rPr>
          <w:rFonts w:hint="eastAsia" w:ascii="仿宋" w:hAnsi="仿宋" w:eastAsia="仿宋" w:cs="仿宋"/>
          <w:color w:val="auto"/>
          <w:sz w:val="24"/>
          <w:szCs w:val="24"/>
        </w:rPr>
        <w:t>澄清、答复、修改、补充的内容为</w:t>
      </w:r>
      <w:r>
        <w:rPr>
          <w:rFonts w:hint="eastAsia" w:ascii="仿宋" w:hAnsi="仿宋" w:eastAsia="仿宋" w:cs="仿宋"/>
          <w:color w:val="auto"/>
          <w:spacing w:val="6"/>
          <w:kern w:val="1"/>
          <w:sz w:val="24"/>
          <w:szCs w:val="24"/>
          <w:highlight w:val="none"/>
          <w:lang w:val="en-US" w:eastAsia="zh-CN" w:bidi="ar-SA"/>
        </w:rPr>
        <w:t>招标文件</w:t>
      </w:r>
      <w:r>
        <w:rPr>
          <w:rFonts w:hint="eastAsia" w:ascii="仿宋" w:hAnsi="仿宋" w:eastAsia="仿宋" w:cs="仿宋"/>
          <w:color w:val="auto"/>
          <w:sz w:val="24"/>
          <w:szCs w:val="24"/>
        </w:rPr>
        <w:t>的组成部分。当</w:t>
      </w:r>
      <w:r>
        <w:rPr>
          <w:rFonts w:hint="eastAsia" w:ascii="仿宋" w:hAnsi="仿宋" w:eastAsia="仿宋" w:cs="仿宋"/>
          <w:color w:val="auto"/>
          <w:spacing w:val="6"/>
          <w:kern w:val="1"/>
          <w:sz w:val="24"/>
          <w:szCs w:val="24"/>
          <w:highlight w:val="none"/>
          <w:lang w:val="en-US" w:eastAsia="zh-CN" w:bidi="ar-SA"/>
        </w:rPr>
        <w:t>招标文件</w:t>
      </w:r>
      <w:r>
        <w:rPr>
          <w:rFonts w:hint="eastAsia" w:ascii="仿宋" w:hAnsi="仿宋" w:eastAsia="仿宋" w:cs="仿宋"/>
          <w:color w:val="auto"/>
          <w:sz w:val="24"/>
          <w:szCs w:val="24"/>
        </w:rPr>
        <w:t>与</w:t>
      </w:r>
      <w:r>
        <w:rPr>
          <w:rFonts w:hint="eastAsia" w:ascii="仿宋" w:hAnsi="仿宋" w:eastAsia="仿宋" w:cs="仿宋"/>
          <w:color w:val="auto"/>
          <w:spacing w:val="6"/>
          <w:kern w:val="1"/>
          <w:sz w:val="24"/>
          <w:szCs w:val="24"/>
          <w:highlight w:val="none"/>
          <w:lang w:val="en-US" w:eastAsia="zh-CN" w:bidi="ar-SA"/>
        </w:rPr>
        <w:t>招标文件</w:t>
      </w:r>
      <w:r>
        <w:rPr>
          <w:rFonts w:hint="eastAsia" w:ascii="仿宋" w:hAnsi="仿宋" w:eastAsia="仿宋" w:cs="仿宋"/>
          <w:color w:val="auto"/>
          <w:sz w:val="24"/>
          <w:szCs w:val="24"/>
        </w:rPr>
        <w:t>的答复、澄清、修改、补充通知就同一内容的表述不一致时，以最后发出的书面文件为准。</w:t>
      </w:r>
    </w:p>
    <w:p>
      <w:pPr>
        <w:keepNext w:val="0"/>
        <w:keepLines w:val="0"/>
        <w:pageBreakBefore w:val="0"/>
        <w:widowControl w:val="0"/>
        <w:kinsoku/>
        <w:wordWrap/>
        <w:overflowPunct/>
        <w:topLinePunct w:val="0"/>
        <w:autoSpaceDE/>
        <w:autoSpaceDN/>
        <w:bidi w:val="0"/>
        <w:snapToGrid w:val="0"/>
        <w:spacing w:after="0" w:line="360" w:lineRule="auto"/>
        <w:ind w:firstLine="482" w:firstLineChars="200"/>
        <w:jc w:val="left"/>
        <w:textAlignment w:val="auto"/>
        <w:outlineLvl w:val="1"/>
        <w:rPr>
          <w:rFonts w:hint="eastAsia" w:ascii="仿宋" w:hAnsi="仿宋" w:eastAsia="仿宋" w:cs="仿宋"/>
          <w:b/>
          <w:color w:val="auto"/>
          <w:kern w:val="0"/>
          <w:sz w:val="24"/>
          <w:szCs w:val="24"/>
          <w:lang w:val="en-US" w:eastAsia="zh-CN" w:bidi="ar-SA"/>
        </w:rPr>
      </w:pPr>
      <w:bookmarkStart w:id="151" w:name="_Toc514938674"/>
      <w:bookmarkStart w:id="152" w:name="_Toc504504537"/>
      <w:bookmarkStart w:id="153" w:name="_Toc510614922"/>
      <w:bookmarkStart w:id="154" w:name="_Toc15827"/>
      <w:bookmarkStart w:id="155" w:name="_Toc28241"/>
      <w:bookmarkStart w:id="156" w:name="_Toc29660"/>
      <w:bookmarkStart w:id="157" w:name="_Toc22105"/>
      <w:bookmarkStart w:id="158" w:name="_Toc11442"/>
      <w:r>
        <w:rPr>
          <w:rFonts w:hint="eastAsia" w:ascii="仿宋" w:hAnsi="仿宋" w:eastAsia="仿宋" w:cs="仿宋"/>
          <w:b/>
          <w:color w:val="auto"/>
          <w:kern w:val="0"/>
          <w:sz w:val="24"/>
          <w:szCs w:val="24"/>
          <w:lang w:val="en-US" w:eastAsia="zh-CN" w:bidi="ar-SA"/>
        </w:rPr>
        <w:t>三、</w:t>
      </w:r>
      <w:bookmarkEnd w:id="150"/>
      <w:bookmarkEnd w:id="151"/>
      <w:bookmarkEnd w:id="152"/>
      <w:bookmarkEnd w:id="153"/>
      <w:r>
        <w:rPr>
          <w:rFonts w:hint="eastAsia" w:ascii="仿宋" w:hAnsi="仿宋" w:eastAsia="仿宋" w:cs="仿宋"/>
          <w:b/>
          <w:color w:val="auto"/>
          <w:kern w:val="0"/>
          <w:sz w:val="24"/>
          <w:szCs w:val="24"/>
          <w:lang w:val="en-US" w:eastAsia="zh-CN" w:bidi="ar-SA"/>
        </w:rPr>
        <w:t>投标文件</w:t>
      </w:r>
      <w:bookmarkEnd w:id="154"/>
      <w:bookmarkEnd w:id="155"/>
      <w:bookmarkEnd w:id="156"/>
      <w:bookmarkEnd w:id="157"/>
      <w:bookmarkEnd w:id="158"/>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sz w:val="24"/>
          <w:szCs w:val="24"/>
        </w:rPr>
      </w:pPr>
      <w:bookmarkStart w:id="159" w:name="_Toc10652"/>
      <w:bookmarkStart w:id="160" w:name="_Toc177824876"/>
      <w:bookmarkStart w:id="161" w:name="_Toc177824943"/>
      <w:bookmarkStart w:id="162" w:name="_Toc177825124"/>
      <w:bookmarkStart w:id="163" w:name="_Toc177870546"/>
      <w:r>
        <w:rPr>
          <w:rFonts w:hint="eastAsia" w:ascii="仿宋" w:hAnsi="仿宋" w:eastAsia="仿宋" w:cs="仿宋"/>
          <w:b/>
          <w:color w:val="auto"/>
          <w:sz w:val="24"/>
          <w:szCs w:val="24"/>
        </w:rPr>
        <w:t>（一）投标文件的形式</w:t>
      </w:r>
      <w:bookmarkEnd w:id="159"/>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投标文件的形式：电子加密投标文件（是指通过“</w:t>
      </w:r>
      <w:r>
        <w:rPr>
          <w:rFonts w:hint="eastAsia" w:ascii="仿宋" w:hAnsi="仿宋" w:eastAsia="仿宋" w:cs="仿宋"/>
          <w:color w:val="auto"/>
          <w:sz w:val="24"/>
          <w:szCs w:val="24"/>
          <w:lang w:val="en-US" w:eastAsia="zh-CN"/>
        </w:rPr>
        <w:t>乐</w:t>
      </w:r>
      <w:r>
        <w:rPr>
          <w:rFonts w:hint="eastAsia" w:ascii="仿宋" w:hAnsi="仿宋" w:eastAsia="仿宋" w:cs="仿宋"/>
          <w:color w:val="auto"/>
          <w:sz w:val="24"/>
          <w:szCs w:val="24"/>
        </w:rPr>
        <w:t>采云电子交易客户端</w:t>
      </w:r>
      <w:r>
        <w:rPr>
          <w:rFonts w:hint="eastAsia" w:ascii="仿宋" w:hAnsi="仿宋" w:eastAsia="仿宋" w:cs="仿宋"/>
          <w:b w:val="0"/>
          <w:bCs w:val="0"/>
          <w:color w:val="auto"/>
          <w:sz w:val="24"/>
          <w:szCs w:val="24"/>
          <w:lang w:eastAsia="zh-CN"/>
        </w:rPr>
        <w:t>”完成投标文件编制后生成并加密的数据电文形式的投标文件）。</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sz w:val="24"/>
          <w:szCs w:val="24"/>
        </w:rPr>
      </w:pPr>
      <w:bookmarkStart w:id="164" w:name="_Toc23313"/>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投标文件的组成</w:t>
      </w:r>
      <w:bookmarkEnd w:id="160"/>
      <w:bookmarkEnd w:id="161"/>
      <w:bookmarkEnd w:id="162"/>
      <w:bookmarkEnd w:id="163"/>
      <w:bookmarkEnd w:id="164"/>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投标文件由</w:t>
      </w:r>
      <w:r>
        <w:rPr>
          <w:rFonts w:hint="eastAsia" w:ascii="仿宋" w:hAnsi="仿宋" w:eastAsia="仿宋" w:cs="仿宋"/>
          <w:b/>
          <w:color w:val="auto"/>
          <w:sz w:val="24"/>
          <w:szCs w:val="24"/>
          <w:lang w:eastAsia="zh-CN"/>
        </w:rPr>
        <w:t>资格文件</w:t>
      </w:r>
      <w:r>
        <w:rPr>
          <w:rFonts w:hint="eastAsia" w:ascii="仿宋" w:hAnsi="仿宋" w:eastAsia="仿宋" w:cs="仿宋"/>
          <w:color w:val="auto"/>
          <w:sz w:val="24"/>
          <w:szCs w:val="24"/>
        </w:rPr>
        <w:t>、</w:t>
      </w:r>
      <w:r>
        <w:rPr>
          <w:rFonts w:hint="eastAsia" w:ascii="仿宋" w:hAnsi="仿宋" w:eastAsia="仿宋" w:cs="仿宋"/>
          <w:b/>
          <w:color w:val="auto"/>
          <w:sz w:val="24"/>
          <w:szCs w:val="24"/>
          <w:lang w:eastAsia="zh-CN"/>
        </w:rPr>
        <w:t>商务技术</w:t>
      </w:r>
      <w:r>
        <w:rPr>
          <w:rFonts w:hint="eastAsia" w:ascii="仿宋" w:hAnsi="仿宋" w:eastAsia="仿宋" w:cs="仿宋"/>
          <w:b/>
          <w:color w:val="auto"/>
          <w:sz w:val="24"/>
          <w:szCs w:val="24"/>
        </w:rPr>
        <w:t>文件、报价文件</w:t>
      </w:r>
      <w:r>
        <w:rPr>
          <w:rFonts w:hint="eastAsia" w:ascii="仿宋" w:hAnsi="仿宋" w:eastAsia="仿宋" w:cs="仿宋"/>
          <w:color w:val="auto"/>
          <w:sz w:val="24"/>
          <w:szCs w:val="24"/>
        </w:rPr>
        <w:t>组成。</w:t>
      </w:r>
      <w:r>
        <w:rPr>
          <w:rFonts w:hint="eastAsia" w:ascii="仿宋" w:hAnsi="仿宋" w:eastAsia="仿宋" w:cs="仿宋"/>
          <w:color w:val="auto"/>
          <w:sz w:val="24"/>
        </w:rPr>
        <w:t>其中电子投标文件中所</w:t>
      </w:r>
      <w:r>
        <w:rPr>
          <w:rFonts w:hint="eastAsia" w:ascii="仿宋" w:hAnsi="仿宋" w:eastAsia="仿宋" w:cs="仿宋"/>
          <w:color w:val="auto"/>
          <w:sz w:val="24"/>
          <w:lang w:eastAsia="zh-CN"/>
        </w:rPr>
        <w:t>需</w:t>
      </w:r>
      <w:r>
        <w:rPr>
          <w:rFonts w:hint="eastAsia" w:ascii="仿宋" w:hAnsi="仿宋" w:eastAsia="仿宋" w:cs="仿宋"/>
          <w:color w:val="auto"/>
          <w:sz w:val="24"/>
        </w:rPr>
        <w:t>加盖公章部分均采用CA签章。</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lang w:bidi="ar"/>
        </w:rPr>
        <w:t>1.资格文件目录</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 w:val="0"/>
          <w:bCs/>
          <w:color w:val="auto"/>
          <w:sz w:val="24"/>
          <w:szCs w:val="21"/>
        </w:rPr>
        <w:t>营业执照</w:t>
      </w:r>
      <w:r>
        <w:rPr>
          <w:rFonts w:hint="eastAsia" w:ascii="仿宋" w:hAnsi="仿宋" w:eastAsia="仿宋" w:cs="仿宋"/>
          <w:color w:val="auto"/>
          <w:sz w:val="24"/>
          <w:szCs w:val="21"/>
        </w:rPr>
        <w:t>(或事业法人登记证书</w:t>
      </w:r>
      <w:r>
        <w:rPr>
          <w:rFonts w:hint="eastAsia" w:ascii="仿宋" w:hAnsi="仿宋" w:eastAsia="仿宋" w:cs="仿宋"/>
          <w:color w:val="auto"/>
          <w:sz w:val="24"/>
          <w:szCs w:val="21"/>
          <w:lang w:eastAsia="zh-CN"/>
        </w:rPr>
        <w:t>或其他</w:t>
      </w:r>
      <w:r>
        <w:rPr>
          <w:rFonts w:hint="eastAsia" w:ascii="仿宋" w:hAnsi="仿宋" w:eastAsia="仿宋" w:cs="仿宋"/>
          <w:color w:val="auto"/>
          <w:sz w:val="24"/>
          <w:szCs w:val="21"/>
        </w:rPr>
        <w:t>工商等登记证明材料；自然人参与采购，提供身份证)扫描件加盖CA签章；</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提供自采购公告发布之日起至投标文件递交截止日内任意时间的“信用中国”网站（www.creditchina.gov.cn）、中国政府采购网（www.ccgp.gov.cn）投标人信用查询网页截图。（以开标当日采购人或由采购人委托的评审小组核实的查询结果为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color w:val="auto"/>
          <w:sz w:val="24"/>
          <w:lang w:eastAsia="zh-CN" w:bidi="ar"/>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法定代表人（单位负责人、自然人本人）</w:t>
      </w:r>
      <w:r>
        <w:rPr>
          <w:rFonts w:hint="eastAsia" w:ascii="仿宋" w:hAnsi="仿宋" w:eastAsia="仿宋" w:cs="仿宋"/>
          <w:color w:val="auto"/>
          <w:sz w:val="24"/>
          <w:szCs w:val="24"/>
        </w:rPr>
        <w:t>身份证明书、</w:t>
      </w:r>
      <w:r>
        <w:rPr>
          <w:rFonts w:hint="eastAsia" w:ascii="仿宋" w:hAnsi="仿宋" w:eastAsia="仿宋" w:cs="仿宋"/>
          <w:color w:val="auto"/>
          <w:sz w:val="24"/>
          <w:szCs w:val="24"/>
          <w:lang w:eastAsia="zh-CN"/>
        </w:rPr>
        <w:t>授权委托书</w:t>
      </w:r>
      <w:r>
        <w:rPr>
          <w:rFonts w:hint="eastAsia" w:ascii="仿宋" w:hAnsi="仿宋" w:eastAsia="仿宋" w:cs="仿宋"/>
          <w:color w:val="auto"/>
          <w:sz w:val="24"/>
          <w:szCs w:val="24"/>
        </w:rPr>
        <w:t>及授权代理人有效身份证明（若委托）(格式见附件)</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color w:val="auto"/>
          <w:sz w:val="24"/>
          <w:lang w:bidi="ar"/>
        </w:rPr>
      </w:pP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4</w:t>
      </w:r>
      <w:r>
        <w:rPr>
          <w:rFonts w:hint="eastAsia" w:ascii="仿宋" w:hAnsi="仿宋" w:eastAsia="仿宋" w:cs="仿宋"/>
          <w:color w:val="auto"/>
          <w:sz w:val="24"/>
          <w:lang w:eastAsia="zh-CN" w:bidi="ar"/>
        </w:rPr>
        <w:t>）符合参加政企采购活动应当具备的一般条件的承诺函（格式见附件）；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color w:val="auto"/>
          <w:sz w:val="24"/>
          <w:lang w:bidi="ar"/>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r>
        <w:rPr>
          <w:rFonts w:hint="eastAsia" w:ascii="仿宋" w:hAnsi="仿宋" w:eastAsia="仿宋" w:cs="仿宋"/>
          <w:color w:val="auto"/>
          <w:kern w:val="0"/>
          <w:sz w:val="24"/>
        </w:rPr>
        <w:t>单位负责人为同一人或者存在直接控股、管理关系的不同供应商，不得参加同一合同项下的采购活动（开标后提供《政企采购活动现场确认声明书》</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PDF格式</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，发送至邮箱</w:t>
      </w:r>
      <w:r>
        <w:rPr>
          <w:rFonts w:hint="eastAsia" w:ascii="仿宋" w:hAnsi="仿宋" w:eastAsia="仿宋" w:cs="仿宋"/>
          <w:color w:val="auto"/>
          <w:kern w:val="0"/>
          <w:sz w:val="24"/>
          <w:szCs w:val="22"/>
          <w:lang w:val="en-US" w:eastAsia="zh-CN"/>
        </w:rPr>
        <w:t>1132452991</w:t>
      </w:r>
      <w:r>
        <w:rPr>
          <w:rFonts w:hint="eastAsia" w:ascii="仿宋" w:hAnsi="仿宋" w:eastAsia="仿宋" w:cs="仿宋"/>
          <w:color w:val="auto"/>
          <w:kern w:val="0"/>
          <w:sz w:val="24"/>
          <w:lang w:eastAsia="zh-CN"/>
        </w:rPr>
        <w:t>@qq.com</w:t>
      </w:r>
      <w:r>
        <w:rPr>
          <w:rFonts w:hint="eastAsia" w:ascii="仿宋" w:hAnsi="仿宋" w:eastAsia="仿宋" w:cs="仿宋"/>
          <w:color w:val="auto"/>
          <w:kern w:val="0"/>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color w:val="auto"/>
          <w:sz w:val="24"/>
          <w:lang w:bidi="ar"/>
        </w:rPr>
      </w:pPr>
      <w:r>
        <w:rPr>
          <w:rFonts w:hint="eastAsia" w:ascii="仿宋" w:hAnsi="仿宋" w:eastAsia="仿宋" w:cs="仿宋"/>
          <w:color w:val="auto"/>
          <w:sz w:val="24"/>
          <w:lang w:bidi="ar"/>
        </w:rPr>
        <w:t>（</w:t>
      </w:r>
      <w:r>
        <w:rPr>
          <w:rFonts w:hint="eastAsia" w:ascii="仿宋" w:hAnsi="仿宋" w:eastAsia="仿宋" w:cs="仿宋"/>
          <w:color w:val="auto"/>
          <w:sz w:val="24"/>
          <w:lang w:val="en-US" w:eastAsia="zh-CN" w:bidi="ar"/>
        </w:rPr>
        <w:t>6</w:t>
      </w:r>
      <w:r>
        <w:rPr>
          <w:rFonts w:hint="eastAsia" w:ascii="仿宋" w:hAnsi="仿宋" w:eastAsia="仿宋" w:cs="仿宋"/>
          <w:color w:val="auto"/>
          <w:sz w:val="24"/>
          <w:lang w:bidi="ar"/>
        </w:rPr>
        <w:t>）提供采购公告中符合</w:t>
      </w:r>
      <w:r>
        <w:rPr>
          <w:rFonts w:hint="eastAsia" w:ascii="仿宋" w:hAnsi="仿宋" w:eastAsia="仿宋" w:cs="仿宋"/>
          <w:bCs/>
          <w:color w:val="auto"/>
          <w:sz w:val="24"/>
          <w:lang w:bidi="ar"/>
        </w:rPr>
        <w:t>特定条件要求的有效的其他资质复印件并加盖公司公章及</w:t>
      </w:r>
      <w:r>
        <w:rPr>
          <w:rFonts w:hint="eastAsia" w:ascii="仿宋" w:hAnsi="仿宋" w:eastAsia="仿宋" w:cs="仿宋"/>
          <w:color w:val="auto"/>
          <w:sz w:val="24"/>
          <w:lang w:bidi="ar"/>
        </w:rPr>
        <w:t>需要说明的资料。</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jc w:val="left"/>
        <w:textAlignment w:val="auto"/>
        <w:outlineLvl w:val="9"/>
        <w:rPr>
          <w:rFonts w:hint="eastAsia" w:ascii="仿宋" w:hAnsi="仿宋" w:eastAsia="仿宋" w:cs="仿宋"/>
          <w:b/>
          <w:bCs/>
          <w:color w:val="auto"/>
          <w:sz w:val="24"/>
          <w:szCs w:val="24"/>
          <w:lang w:bidi="ar"/>
        </w:rPr>
      </w:pPr>
      <w:r>
        <w:rPr>
          <w:rFonts w:hint="eastAsia" w:ascii="仿宋" w:hAnsi="仿宋" w:eastAsia="仿宋" w:cs="仿宋"/>
          <w:b/>
          <w:bCs/>
          <w:color w:val="auto"/>
          <w:sz w:val="24"/>
          <w:szCs w:val="24"/>
          <w:lang w:bidi="ar"/>
        </w:rPr>
        <w:t>2.</w:t>
      </w:r>
      <w:r>
        <w:rPr>
          <w:rFonts w:hint="eastAsia" w:ascii="仿宋" w:hAnsi="仿宋" w:eastAsia="仿宋" w:cs="仿宋"/>
          <w:b/>
          <w:bCs/>
          <w:color w:val="auto"/>
          <w:sz w:val="24"/>
          <w:szCs w:val="24"/>
          <w:lang w:eastAsia="zh-CN" w:bidi="ar"/>
        </w:rPr>
        <w:t>商务技术</w:t>
      </w:r>
      <w:r>
        <w:rPr>
          <w:rFonts w:hint="eastAsia" w:ascii="仿宋" w:hAnsi="仿宋" w:eastAsia="仿宋" w:cs="仿宋"/>
          <w:b/>
          <w:bCs/>
          <w:color w:val="auto"/>
          <w:sz w:val="24"/>
          <w:szCs w:val="24"/>
          <w:lang w:bidi="ar"/>
        </w:rPr>
        <w:t>文件目录</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outlineLvl w:val="9"/>
        <w:rPr>
          <w:rFonts w:hint="eastAsia" w:ascii="仿宋" w:hAnsi="仿宋" w:eastAsia="仿宋" w:cs="仿宋"/>
          <w:bCs/>
          <w:color w:val="auto"/>
          <w:sz w:val="24"/>
          <w:lang w:bidi="ar"/>
        </w:rPr>
      </w:pPr>
      <w:r>
        <w:rPr>
          <w:rFonts w:hint="eastAsia" w:ascii="仿宋" w:hAnsi="仿宋" w:eastAsia="仿宋" w:cs="仿宋"/>
          <w:bCs/>
          <w:color w:val="auto"/>
          <w:sz w:val="24"/>
          <w:lang w:bidi="ar"/>
        </w:rPr>
        <w:t>（1）评分索引表</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格式见附件</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outlineLvl w:val="9"/>
        <w:rPr>
          <w:rFonts w:hint="eastAsia" w:ascii="仿宋" w:hAnsi="仿宋" w:eastAsia="仿宋" w:cs="仿宋"/>
          <w:bCs/>
          <w:color w:val="auto"/>
          <w:sz w:val="24"/>
          <w:lang w:bidi="ar"/>
        </w:rPr>
      </w:pPr>
      <w:r>
        <w:rPr>
          <w:rFonts w:hint="eastAsia" w:ascii="仿宋" w:hAnsi="仿宋" w:eastAsia="仿宋" w:cs="仿宋"/>
          <w:bCs/>
          <w:color w:val="auto"/>
          <w:sz w:val="24"/>
          <w:lang w:bidi="ar"/>
        </w:rPr>
        <w:t>（2）</w:t>
      </w:r>
      <w:r>
        <w:rPr>
          <w:rFonts w:hint="eastAsia" w:ascii="仿宋" w:hAnsi="仿宋" w:eastAsia="仿宋" w:cs="仿宋"/>
          <w:color w:val="auto"/>
          <w:sz w:val="24"/>
          <w:szCs w:val="21"/>
        </w:rPr>
        <w:t>营业执照(或事业法人登记证书</w:t>
      </w:r>
      <w:r>
        <w:rPr>
          <w:rFonts w:hint="eastAsia" w:ascii="仿宋" w:hAnsi="仿宋" w:eastAsia="仿宋" w:cs="仿宋"/>
          <w:color w:val="auto"/>
          <w:sz w:val="24"/>
          <w:szCs w:val="21"/>
          <w:lang w:eastAsia="zh-CN"/>
        </w:rPr>
        <w:t>或其他</w:t>
      </w:r>
      <w:r>
        <w:rPr>
          <w:rFonts w:hint="eastAsia" w:ascii="仿宋" w:hAnsi="仿宋" w:eastAsia="仿宋" w:cs="仿宋"/>
          <w:color w:val="auto"/>
          <w:sz w:val="24"/>
          <w:szCs w:val="21"/>
        </w:rPr>
        <w:t>工商等登记证明材料；自然人参与采购，提供身份证)扫描件加盖CA签章；</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outlineLvl w:val="9"/>
        <w:rPr>
          <w:rFonts w:hint="eastAsia" w:ascii="仿宋" w:hAnsi="仿宋" w:eastAsia="仿宋" w:cs="仿宋"/>
          <w:bCs/>
          <w:color w:val="auto"/>
          <w:sz w:val="24"/>
          <w:lang w:bidi="ar"/>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bCs/>
          <w:color w:val="auto"/>
          <w:sz w:val="24"/>
          <w:lang w:bidi="ar"/>
        </w:rPr>
        <w:t>投标函（格式见附件）；</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）投标人须提供法定代表人（单位负责人、自然人本人）身份证明书、法人授权</w:t>
      </w:r>
      <w:r>
        <w:rPr>
          <w:rFonts w:hint="eastAsia" w:ascii="仿宋" w:hAnsi="仿宋" w:eastAsia="仿宋" w:cs="仿宋"/>
          <w:color w:val="auto"/>
          <w:sz w:val="24"/>
          <w:szCs w:val="24"/>
          <w:lang w:val="en-US" w:eastAsia="zh-CN"/>
        </w:rPr>
        <w:t>委托</w:t>
      </w:r>
      <w:r>
        <w:rPr>
          <w:rFonts w:hint="eastAsia" w:ascii="仿宋" w:hAnsi="仿宋" w:eastAsia="仿宋" w:cs="仿宋"/>
          <w:color w:val="auto"/>
          <w:sz w:val="24"/>
          <w:szCs w:val="24"/>
        </w:rPr>
        <w:t>书（若委托）(格式见附件)；</w:t>
      </w:r>
    </w:p>
    <w:p>
      <w:pPr>
        <w:keepNext w:val="0"/>
        <w:keepLines w:val="0"/>
        <w:pageBreakBefore w:val="0"/>
        <w:widowControl w:val="0"/>
        <w:tabs>
          <w:tab w:val="left" w:pos="3315"/>
        </w:tabs>
        <w:kinsoku/>
        <w:wordWrap/>
        <w:overflowPunct/>
        <w:topLinePunct w:val="0"/>
        <w:autoSpaceDE/>
        <w:autoSpaceDN/>
        <w:bidi w:val="0"/>
        <w:adjustRightInd/>
        <w:snapToGrid w:val="0"/>
        <w:spacing w:line="360" w:lineRule="auto"/>
        <w:ind w:right="0" w:firstLine="480" w:firstLineChars="200"/>
        <w:jc w:val="left"/>
        <w:textAlignment w:val="auto"/>
        <w:outlineLvl w:val="9"/>
        <w:rPr>
          <w:rFonts w:hint="eastAsia" w:ascii="仿宋" w:hAnsi="仿宋" w:eastAsia="仿宋" w:cs="仿宋"/>
          <w:bCs/>
          <w:color w:val="auto"/>
          <w:sz w:val="24"/>
          <w:szCs w:val="24"/>
          <w:lang w:bidi="ar"/>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投标人基本情况</w:t>
      </w:r>
      <w:r>
        <w:rPr>
          <w:rFonts w:hint="eastAsia" w:ascii="仿宋" w:hAnsi="仿宋" w:eastAsia="仿宋" w:cs="仿宋"/>
          <w:color w:val="auto"/>
          <w:sz w:val="24"/>
          <w:szCs w:val="24"/>
          <w:lang w:val="en-US" w:eastAsia="zh-CN"/>
        </w:rPr>
        <w:t>表</w:t>
      </w:r>
      <w:r>
        <w:rPr>
          <w:rFonts w:hint="eastAsia" w:ascii="仿宋" w:hAnsi="仿宋" w:eastAsia="仿宋" w:cs="仿宋"/>
          <w:color w:val="auto"/>
          <w:sz w:val="24"/>
          <w:szCs w:val="24"/>
        </w:rPr>
        <w:t>（格式见附件）；</w:t>
      </w:r>
    </w:p>
    <w:p>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left"/>
        <w:textAlignment w:val="auto"/>
        <w:outlineLvl w:val="9"/>
        <w:rPr>
          <w:rFonts w:hint="eastAsia" w:ascii="仿宋" w:hAnsi="仿宋" w:eastAsia="仿宋" w:cs="仿宋"/>
          <w:bCs/>
          <w:color w:val="auto"/>
          <w:sz w:val="24"/>
          <w:szCs w:val="24"/>
          <w:lang w:bidi="ar"/>
        </w:rPr>
      </w:pPr>
      <w:r>
        <w:rPr>
          <w:rFonts w:hint="eastAsia" w:ascii="仿宋" w:hAnsi="仿宋" w:eastAsia="仿宋" w:cs="仿宋"/>
          <w:bCs/>
          <w:color w:val="auto"/>
          <w:sz w:val="24"/>
          <w:szCs w:val="24"/>
          <w:lang w:bidi="ar"/>
        </w:rPr>
        <w:t>（</w:t>
      </w:r>
      <w:r>
        <w:rPr>
          <w:rFonts w:hint="eastAsia" w:ascii="仿宋" w:hAnsi="仿宋" w:eastAsia="仿宋" w:cs="仿宋"/>
          <w:bCs/>
          <w:color w:val="auto"/>
          <w:sz w:val="24"/>
          <w:szCs w:val="24"/>
          <w:lang w:val="en-US" w:eastAsia="zh-CN" w:bidi="ar"/>
        </w:rPr>
        <w:t>6</w:t>
      </w:r>
      <w:r>
        <w:rPr>
          <w:rFonts w:hint="eastAsia" w:ascii="仿宋" w:hAnsi="仿宋" w:eastAsia="仿宋" w:cs="仿宋"/>
          <w:bCs/>
          <w:color w:val="auto"/>
          <w:sz w:val="24"/>
          <w:szCs w:val="24"/>
          <w:lang w:bidi="ar"/>
        </w:rPr>
        <w:t>）资信及商务响应表</w:t>
      </w:r>
      <w:r>
        <w:rPr>
          <w:rFonts w:hint="eastAsia" w:ascii="仿宋" w:hAnsi="仿宋" w:eastAsia="仿宋" w:cs="仿宋"/>
          <w:color w:val="auto"/>
          <w:sz w:val="24"/>
          <w:szCs w:val="24"/>
        </w:rPr>
        <w:t>（格式见附件）</w:t>
      </w:r>
      <w:r>
        <w:rPr>
          <w:rFonts w:hint="eastAsia" w:ascii="仿宋" w:hAnsi="仿宋" w:eastAsia="仿宋" w:cs="仿宋"/>
          <w:bCs/>
          <w:color w:val="auto"/>
          <w:sz w:val="24"/>
          <w:szCs w:val="24"/>
          <w:lang w:bidi="ar"/>
        </w:rPr>
        <w:t>；</w:t>
      </w:r>
    </w:p>
    <w:p>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left"/>
        <w:textAlignment w:val="auto"/>
        <w:outlineLvl w:val="9"/>
        <w:rPr>
          <w:rFonts w:hint="eastAsia" w:ascii="仿宋" w:hAnsi="仿宋" w:eastAsia="仿宋" w:cs="仿宋"/>
          <w:bCs/>
          <w:color w:val="auto"/>
          <w:sz w:val="24"/>
          <w:szCs w:val="24"/>
          <w:highlight w:val="none"/>
          <w:lang w:bidi="ar"/>
        </w:rPr>
      </w:pPr>
      <w:r>
        <w:rPr>
          <w:rFonts w:hint="eastAsia" w:ascii="仿宋" w:hAnsi="仿宋" w:eastAsia="仿宋" w:cs="仿宋"/>
          <w:bCs/>
          <w:color w:val="auto"/>
          <w:sz w:val="24"/>
          <w:szCs w:val="24"/>
          <w:lang w:bidi="ar"/>
        </w:rPr>
        <w:t>（</w:t>
      </w:r>
      <w:r>
        <w:rPr>
          <w:rFonts w:hint="eastAsia" w:ascii="仿宋" w:hAnsi="仿宋" w:eastAsia="仿宋" w:cs="仿宋"/>
          <w:bCs/>
          <w:color w:val="auto"/>
          <w:sz w:val="24"/>
          <w:szCs w:val="24"/>
          <w:lang w:val="en-US" w:eastAsia="zh-CN" w:bidi="ar"/>
        </w:rPr>
        <w:t>7</w:t>
      </w:r>
      <w:r>
        <w:rPr>
          <w:rFonts w:hint="eastAsia" w:ascii="仿宋" w:hAnsi="仿宋" w:eastAsia="仿宋" w:cs="仿宋"/>
          <w:bCs/>
          <w:color w:val="auto"/>
          <w:sz w:val="24"/>
          <w:szCs w:val="24"/>
          <w:lang w:bidi="ar"/>
        </w:rPr>
        <w:t>）</w:t>
      </w:r>
      <w:r>
        <w:rPr>
          <w:rFonts w:hint="eastAsia" w:ascii="仿宋" w:hAnsi="仿宋" w:eastAsia="仿宋" w:cs="仿宋"/>
          <w:bCs/>
          <w:color w:val="auto"/>
          <w:sz w:val="24"/>
          <w:szCs w:val="24"/>
          <w:highlight w:val="none"/>
          <w:lang w:bidi="ar"/>
        </w:rPr>
        <w:t>技术响应表（格式见附件）；</w:t>
      </w:r>
    </w:p>
    <w:p>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left"/>
        <w:textAlignment w:val="auto"/>
        <w:outlineLvl w:val="9"/>
        <w:rPr>
          <w:rFonts w:hint="eastAsia" w:ascii="仿宋" w:hAnsi="仿宋" w:eastAsia="仿宋" w:cs="仿宋"/>
          <w:bCs/>
          <w:color w:val="auto"/>
          <w:sz w:val="24"/>
          <w:szCs w:val="24"/>
          <w:lang w:bidi="ar"/>
        </w:rPr>
      </w:pPr>
      <w:r>
        <w:rPr>
          <w:rFonts w:hint="eastAsia" w:ascii="仿宋" w:hAnsi="仿宋" w:eastAsia="仿宋" w:cs="仿宋"/>
          <w:bCs/>
          <w:color w:val="auto"/>
          <w:sz w:val="24"/>
          <w:szCs w:val="24"/>
          <w:highlight w:val="none"/>
          <w:lang w:eastAsia="zh-CN" w:bidi="ar"/>
        </w:rPr>
        <w:t>（</w:t>
      </w:r>
      <w:r>
        <w:rPr>
          <w:rFonts w:hint="eastAsia" w:ascii="仿宋" w:hAnsi="仿宋" w:eastAsia="仿宋" w:cs="仿宋"/>
          <w:bCs/>
          <w:color w:val="auto"/>
          <w:sz w:val="24"/>
          <w:szCs w:val="24"/>
          <w:highlight w:val="none"/>
          <w:lang w:val="en-US" w:eastAsia="zh-CN" w:bidi="ar"/>
        </w:rPr>
        <w:t>8</w:t>
      </w:r>
      <w:r>
        <w:rPr>
          <w:rFonts w:hint="eastAsia" w:ascii="仿宋" w:hAnsi="仿宋" w:eastAsia="仿宋" w:cs="仿宋"/>
          <w:bCs/>
          <w:color w:val="auto"/>
          <w:sz w:val="24"/>
          <w:szCs w:val="24"/>
          <w:highlight w:val="none"/>
          <w:lang w:eastAsia="zh-CN" w:bidi="ar"/>
        </w:rPr>
        <w:t>）</w:t>
      </w:r>
      <w:r>
        <w:rPr>
          <w:rFonts w:hint="eastAsia" w:ascii="仿宋" w:hAnsi="仿宋" w:eastAsia="仿宋" w:cs="仿宋"/>
          <w:bCs/>
          <w:color w:val="auto"/>
          <w:sz w:val="24"/>
          <w:szCs w:val="24"/>
          <w:lang w:eastAsia="zh-CN" w:bidi="ar"/>
        </w:rPr>
        <w:t>安全</w:t>
      </w:r>
      <w:r>
        <w:rPr>
          <w:rFonts w:hint="eastAsia" w:ascii="仿宋" w:hAnsi="仿宋" w:eastAsia="仿宋" w:cs="仿宋"/>
          <w:bCs/>
          <w:color w:val="auto"/>
          <w:sz w:val="24"/>
          <w:szCs w:val="24"/>
          <w:lang w:val="en-US" w:eastAsia="zh-CN" w:bidi="ar"/>
        </w:rPr>
        <w:t>证明</w:t>
      </w:r>
      <w:r>
        <w:rPr>
          <w:rFonts w:hint="eastAsia" w:ascii="仿宋" w:hAnsi="仿宋" w:eastAsia="仿宋" w:cs="仿宋"/>
          <w:color w:val="auto"/>
          <w:sz w:val="24"/>
          <w:szCs w:val="24"/>
        </w:rPr>
        <w:t>（</w:t>
      </w:r>
      <w:r>
        <w:rPr>
          <w:rFonts w:hint="eastAsia" w:ascii="仿宋" w:hAnsi="仿宋" w:eastAsia="仿宋" w:cs="仿宋"/>
          <w:bCs/>
          <w:color w:val="auto"/>
          <w:sz w:val="24"/>
          <w:szCs w:val="24"/>
          <w:highlight w:val="none"/>
          <w:lang w:bidi="ar"/>
        </w:rPr>
        <w:t>格式自拟</w:t>
      </w:r>
      <w:r>
        <w:rPr>
          <w:rFonts w:hint="eastAsia" w:ascii="仿宋" w:hAnsi="仿宋" w:eastAsia="仿宋" w:cs="仿宋"/>
          <w:color w:val="auto"/>
          <w:sz w:val="24"/>
          <w:szCs w:val="24"/>
        </w:rPr>
        <w:t>）</w:t>
      </w:r>
      <w:r>
        <w:rPr>
          <w:rFonts w:hint="eastAsia" w:ascii="仿宋" w:hAnsi="仿宋" w:eastAsia="仿宋" w:cs="仿宋"/>
          <w:bCs/>
          <w:color w:val="auto"/>
          <w:sz w:val="24"/>
          <w:szCs w:val="24"/>
          <w:lang w:bidi="ar"/>
        </w:rPr>
        <w:t>；</w:t>
      </w:r>
    </w:p>
    <w:p>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left"/>
        <w:textAlignment w:val="auto"/>
        <w:outlineLvl w:val="9"/>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highlight w:val="none"/>
          <w:lang w:bidi="ar"/>
        </w:rPr>
        <w:t>（</w:t>
      </w:r>
      <w:r>
        <w:rPr>
          <w:rFonts w:hint="eastAsia" w:ascii="仿宋" w:hAnsi="仿宋" w:eastAsia="仿宋" w:cs="仿宋"/>
          <w:bCs/>
          <w:color w:val="auto"/>
          <w:sz w:val="24"/>
          <w:szCs w:val="24"/>
          <w:highlight w:val="none"/>
          <w:lang w:val="en-US" w:eastAsia="zh-CN" w:bidi="ar"/>
        </w:rPr>
        <w:t>9</w:t>
      </w:r>
      <w:r>
        <w:rPr>
          <w:rFonts w:hint="eastAsia" w:ascii="仿宋" w:hAnsi="仿宋" w:eastAsia="仿宋" w:cs="仿宋"/>
          <w:bCs/>
          <w:color w:val="auto"/>
          <w:sz w:val="24"/>
          <w:szCs w:val="24"/>
          <w:highlight w:val="none"/>
          <w:lang w:bidi="ar"/>
        </w:rPr>
        <w:t>）</w:t>
      </w:r>
      <w:r>
        <w:rPr>
          <w:rFonts w:hint="eastAsia" w:ascii="仿宋" w:hAnsi="仿宋" w:eastAsia="仿宋" w:cs="仿宋"/>
          <w:bCs/>
          <w:color w:val="auto"/>
          <w:sz w:val="24"/>
          <w:szCs w:val="24"/>
          <w:highlight w:val="none"/>
          <w:lang w:eastAsia="zh-CN" w:bidi="ar"/>
        </w:rPr>
        <w:t>认证证书</w:t>
      </w:r>
      <w:r>
        <w:rPr>
          <w:rFonts w:hint="eastAsia" w:ascii="仿宋" w:hAnsi="仿宋" w:eastAsia="仿宋" w:cs="仿宋"/>
          <w:bCs/>
          <w:color w:val="auto"/>
          <w:sz w:val="24"/>
          <w:szCs w:val="24"/>
          <w:highlight w:val="none"/>
          <w:lang w:bidi="ar"/>
        </w:rPr>
        <w:t>（格式自拟）；</w:t>
      </w:r>
    </w:p>
    <w:p>
      <w:pPr>
        <w:keepNext w:val="0"/>
        <w:keepLines w:val="0"/>
        <w:pageBreakBefore w:val="0"/>
        <w:widowControl w:val="0"/>
        <w:kinsoku/>
        <w:wordWrap/>
        <w:overflowPunct/>
        <w:topLinePunct w:val="0"/>
        <w:autoSpaceDE/>
        <w:autoSpaceDN/>
        <w:bidi w:val="0"/>
        <w:ind w:firstLine="480"/>
        <w:textAlignment w:val="auto"/>
        <w:outlineLvl w:val="9"/>
        <w:rPr>
          <w:rFonts w:hint="eastAsia" w:ascii="仿宋" w:hAnsi="仿宋" w:eastAsia="仿宋" w:cs="仿宋"/>
          <w:bCs/>
          <w:color w:val="auto"/>
          <w:sz w:val="24"/>
          <w:szCs w:val="24"/>
          <w:highlight w:val="none"/>
          <w:lang w:bidi="ar"/>
        </w:rPr>
      </w:pPr>
      <w:r>
        <w:rPr>
          <w:rFonts w:hint="eastAsia" w:ascii="仿宋" w:hAnsi="仿宋" w:eastAsia="仿宋" w:cs="仿宋"/>
          <w:bCs/>
          <w:color w:val="auto"/>
          <w:sz w:val="24"/>
          <w:szCs w:val="24"/>
          <w:highlight w:val="none"/>
          <w:lang w:bidi="ar"/>
        </w:rPr>
        <w:t>（</w:t>
      </w:r>
      <w:r>
        <w:rPr>
          <w:rFonts w:hint="eastAsia" w:ascii="仿宋" w:hAnsi="仿宋" w:eastAsia="仿宋" w:cs="仿宋"/>
          <w:bCs/>
          <w:color w:val="auto"/>
          <w:sz w:val="24"/>
          <w:szCs w:val="24"/>
          <w:highlight w:val="none"/>
          <w:lang w:val="en-US" w:eastAsia="zh-CN" w:bidi="ar"/>
        </w:rPr>
        <w:t>10</w:t>
      </w:r>
      <w:r>
        <w:rPr>
          <w:rFonts w:hint="eastAsia" w:ascii="仿宋" w:hAnsi="仿宋" w:eastAsia="仿宋" w:cs="仿宋"/>
          <w:bCs/>
          <w:color w:val="auto"/>
          <w:sz w:val="24"/>
          <w:szCs w:val="24"/>
          <w:highlight w:val="none"/>
          <w:lang w:bidi="ar"/>
        </w:rPr>
        <w:t>）同类业绩（格式见附件）；</w:t>
      </w:r>
    </w:p>
    <w:p>
      <w:pPr>
        <w:keepNext w:val="0"/>
        <w:keepLines w:val="0"/>
        <w:pageBreakBefore w:val="0"/>
        <w:widowControl w:val="0"/>
        <w:kinsoku/>
        <w:wordWrap/>
        <w:overflowPunct/>
        <w:topLinePunct w:val="0"/>
        <w:autoSpaceDE/>
        <w:autoSpaceDN/>
        <w:bidi w:val="0"/>
        <w:ind w:firstLine="480"/>
        <w:textAlignment w:val="auto"/>
        <w:outlineLvl w:val="9"/>
        <w:rPr>
          <w:rFonts w:hint="eastAsia" w:ascii="仿宋" w:hAnsi="仿宋" w:eastAsia="仿宋" w:cs="仿宋"/>
          <w:bCs/>
          <w:color w:val="auto"/>
          <w:sz w:val="24"/>
          <w:szCs w:val="24"/>
          <w:highlight w:val="none"/>
          <w:lang w:bidi="ar"/>
        </w:rPr>
      </w:pPr>
      <w:r>
        <w:rPr>
          <w:rFonts w:hint="eastAsia" w:ascii="仿宋" w:hAnsi="仿宋" w:eastAsia="仿宋" w:cs="仿宋"/>
          <w:bCs/>
          <w:color w:val="auto"/>
          <w:sz w:val="24"/>
          <w:szCs w:val="24"/>
          <w:highlight w:val="none"/>
          <w:lang w:bidi="ar"/>
        </w:rPr>
        <w:t>（1</w:t>
      </w:r>
      <w:r>
        <w:rPr>
          <w:rFonts w:hint="eastAsia" w:ascii="仿宋" w:hAnsi="仿宋" w:eastAsia="仿宋" w:cs="仿宋"/>
          <w:bCs/>
          <w:color w:val="auto"/>
          <w:sz w:val="24"/>
          <w:szCs w:val="24"/>
          <w:highlight w:val="none"/>
          <w:lang w:val="en-US" w:eastAsia="zh-CN" w:bidi="ar"/>
        </w:rPr>
        <w:t>1</w:t>
      </w:r>
      <w:r>
        <w:rPr>
          <w:rFonts w:hint="eastAsia" w:ascii="仿宋" w:hAnsi="仿宋" w:eastAsia="仿宋" w:cs="仿宋"/>
          <w:bCs/>
          <w:color w:val="auto"/>
          <w:sz w:val="24"/>
          <w:szCs w:val="24"/>
          <w:highlight w:val="none"/>
          <w:lang w:bidi="ar"/>
        </w:rPr>
        <w:t>）</w:t>
      </w:r>
      <w:r>
        <w:rPr>
          <w:rFonts w:hint="eastAsia" w:ascii="仿宋" w:hAnsi="仿宋" w:eastAsia="仿宋" w:cs="仿宋"/>
          <w:bCs/>
          <w:color w:val="auto"/>
          <w:sz w:val="24"/>
          <w:szCs w:val="24"/>
          <w:lang w:eastAsia="zh-CN" w:bidi="ar"/>
        </w:rPr>
        <w:t>人员配备</w:t>
      </w:r>
      <w:r>
        <w:rPr>
          <w:rFonts w:hint="eastAsia" w:ascii="仿宋" w:hAnsi="仿宋" w:eastAsia="仿宋" w:cs="仿宋"/>
          <w:bCs/>
          <w:color w:val="auto"/>
          <w:sz w:val="24"/>
          <w:szCs w:val="24"/>
          <w:highlight w:val="none"/>
          <w:lang w:bidi="ar"/>
        </w:rPr>
        <w:t>（格式</w:t>
      </w:r>
      <w:r>
        <w:rPr>
          <w:rFonts w:hint="eastAsia" w:ascii="仿宋" w:hAnsi="仿宋" w:eastAsia="仿宋" w:cs="仿宋"/>
          <w:bCs/>
          <w:color w:val="auto"/>
          <w:sz w:val="24"/>
          <w:szCs w:val="24"/>
          <w:highlight w:val="none"/>
          <w:lang w:eastAsia="zh-CN" w:bidi="ar"/>
        </w:rPr>
        <w:t>自拟</w:t>
      </w:r>
      <w:r>
        <w:rPr>
          <w:rFonts w:hint="eastAsia" w:ascii="仿宋" w:hAnsi="仿宋" w:eastAsia="仿宋" w:cs="仿宋"/>
          <w:bCs/>
          <w:color w:val="auto"/>
          <w:sz w:val="24"/>
          <w:szCs w:val="24"/>
          <w:highlight w:val="none"/>
          <w:lang w:bidi="ar"/>
        </w:rPr>
        <w:t>）；</w:t>
      </w:r>
    </w:p>
    <w:p>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left"/>
        <w:textAlignment w:val="auto"/>
        <w:outlineLvl w:val="9"/>
        <w:rPr>
          <w:rFonts w:hint="eastAsia" w:ascii="仿宋" w:hAnsi="仿宋" w:eastAsia="仿宋" w:cs="仿宋"/>
          <w:bCs/>
          <w:color w:val="auto"/>
          <w:sz w:val="24"/>
          <w:szCs w:val="24"/>
          <w:lang w:bidi="ar"/>
        </w:rPr>
      </w:pPr>
      <w:r>
        <w:rPr>
          <w:rFonts w:hint="eastAsia" w:ascii="仿宋" w:hAnsi="仿宋" w:eastAsia="仿宋" w:cs="仿宋"/>
          <w:bCs/>
          <w:color w:val="auto"/>
          <w:sz w:val="24"/>
          <w:szCs w:val="24"/>
          <w:highlight w:val="none"/>
          <w:lang w:bidi="ar"/>
        </w:rPr>
        <w:t>（1</w:t>
      </w:r>
      <w:r>
        <w:rPr>
          <w:rFonts w:hint="eastAsia" w:ascii="仿宋" w:hAnsi="仿宋" w:eastAsia="仿宋" w:cs="仿宋"/>
          <w:bCs/>
          <w:color w:val="auto"/>
          <w:sz w:val="24"/>
          <w:szCs w:val="24"/>
          <w:highlight w:val="none"/>
          <w:lang w:val="en-US" w:eastAsia="zh-CN" w:bidi="ar"/>
        </w:rPr>
        <w:t>2</w:t>
      </w:r>
      <w:r>
        <w:rPr>
          <w:rFonts w:hint="eastAsia" w:ascii="仿宋" w:hAnsi="仿宋" w:eastAsia="仿宋" w:cs="仿宋"/>
          <w:bCs/>
          <w:color w:val="auto"/>
          <w:sz w:val="24"/>
          <w:szCs w:val="24"/>
          <w:highlight w:val="none"/>
          <w:lang w:bidi="ar"/>
        </w:rPr>
        <w:t>）</w:t>
      </w:r>
      <w:r>
        <w:rPr>
          <w:rFonts w:hint="eastAsia" w:ascii="仿宋" w:hAnsi="仿宋" w:eastAsia="仿宋" w:cs="仿宋"/>
          <w:bCs/>
          <w:color w:val="auto"/>
          <w:sz w:val="24"/>
          <w:szCs w:val="24"/>
          <w:lang w:eastAsia="zh-CN" w:bidi="ar"/>
        </w:rPr>
        <w:t>供货能力</w:t>
      </w:r>
      <w:r>
        <w:rPr>
          <w:rFonts w:hint="eastAsia" w:ascii="仿宋" w:hAnsi="仿宋" w:eastAsia="仿宋" w:cs="仿宋"/>
          <w:bCs/>
          <w:color w:val="auto"/>
          <w:sz w:val="24"/>
          <w:szCs w:val="24"/>
          <w:highlight w:val="none"/>
          <w:lang w:bidi="ar"/>
        </w:rPr>
        <w:t>（格式自拟）；</w:t>
      </w:r>
    </w:p>
    <w:p>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left"/>
        <w:textAlignment w:val="auto"/>
        <w:outlineLvl w:val="9"/>
        <w:rPr>
          <w:rFonts w:hint="eastAsia" w:ascii="仿宋" w:hAnsi="仿宋" w:eastAsia="仿宋" w:cs="仿宋"/>
          <w:bCs/>
          <w:color w:val="auto"/>
          <w:sz w:val="24"/>
          <w:szCs w:val="24"/>
          <w:highlight w:val="none"/>
          <w:lang w:bidi="ar"/>
        </w:rPr>
      </w:pPr>
      <w:r>
        <w:rPr>
          <w:rFonts w:hint="eastAsia" w:ascii="仿宋" w:hAnsi="仿宋" w:eastAsia="仿宋" w:cs="仿宋"/>
          <w:bCs/>
          <w:color w:val="auto"/>
          <w:sz w:val="24"/>
          <w:szCs w:val="24"/>
          <w:lang w:eastAsia="zh-CN" w:bidi="ar"/>
        </w:rPr>
        <w:t>（</w:t>
      </w:r>
      <w:r>
        <w:rPr>
          <w:rFonts w:hint="eastAsia" w:ascii="仿宋" w:hAnsi="仿宋" w:eastAsia="仿宋" w:cs="仿宋"/>
          <w:bCs/>
          <w:color w:val="auto"/>
          <w:sz w:val="24"/>
          <w:szCs w:val="24"/>
          <w:lang w:val="en-US" w:eastAsia="zh-CN" w:bidi="ar"/>
        </w:rPr>
        <w:t>13</w:t>
      </w:r>
      <w:r>
        <w:rPr>
          <w:rFonts w:hint="eastAsia" w:ascii="仿宋" w:hAnsi="仿宋" w:eastAsia="仿宋" w:cs="仿宋"/>
          <w:bCs/>
          <w:color w:val="auto"/>
          <w:sz w:val="24"/>
          <w:szCs w:val="24"/>
          <w:lang w:eastAsia="zh-CN" w:bidi="ar"/>
        </w:rPr>
        <w:t>）</w:t>
      </w:r>
      <w:r>
        <w:rPr>
          <w:rFonts w:hint="eastAsia" w:ascii="仿宋" w:hAnsi="仿宋" w:eastAsia="仿宋" w:cs="仿宋"/>
          <w:bCs/>
          <w:color w:val="auto"/>
          <w:kern w:val="28"/>
          <w:sz w:val="24"/>
          <w:szCs w:val="24"/>
          <w:lang w:val="en-US" w:eastAsia="zh-CN"/>
        </w:rPr>
        <w:t>产品溯源</w:t>
      </w:r>
      <w:r>
        <w:rPr>
          <w:rFonts w:hint="eastAsia" w:ascii="仿宋" w:hAnsi="仿宋" w:eastAsia="仿宋" w:cs="仿宋"/>
          <w:bCs/>
          <w:color w:val="auto"/>
          <w:sz w:val="24"/>
          <w:szCs w:val="24"/>
          <w:highlight w:val="none"/>
          <w:lang w:bidi="ar"/>
        </w:rPr>
        <w:t>（格式自拟）；</w:t>
      </w:r>
    </w:p>
    <w:p>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left"/>
        <w:textAlignment w:val="auto"/>
        <w:outlineLvl w:val="9"/>
        <w:rPr>
          <w:rFonts w:hint="eastAsia" w:ascii="仿宋" w:hAnsi="仿宋" w:eastAsia="仿宋" w:cs="仿宋"/>
          <w:bCs/>
          <w:color w:val="auto"/>
          <w:sz w:val="24"/>
          <w:szCs w:val="24"/>
          <w:highlight w:val="none"/>
          <w:lang w:bidi="ar"/>
        </w:rPr>
      </w:pPr>
      <w:r>
        <w:rPr>
          <w:rFonts w:hint="eastAsia" w:ascii="仿宋" w:hAnsi="仿宋" w:eastAsia="仿宋" w:cs="仿宋"/>
          <w:bCs/>
          <w:color w:val="auto"/>
          <w:kern w:val="28"/>
          <w:sz w:val="24"/>
          <w:szCs w:val="24"/>
          <w:lang w:val="en-US" w:eastAsia="zh-CN"/>
        </w:rPr>
        <w:t>（14）仓储能力</w:t>
      </w:r>
      <w:r>
        <w:rPr>
          <w:rFonts w:hint="eastAsia" w:ascii="仿宋" w:hAnsi="仿宋" w:eastAsia="仿宋" w:cs="仿宋"/>
          <w:bCs/>
          <w:color w:val="auto"/>
          <w:sz w:val="24"/>
          <w:szCs w:val="24"/>
          <w:highlight w:val="none"/>
          <w:lang w:bidi="ar"/>
        </w:rPr>
        <w:t>（格式自拟）；</w:t>
      </w:r>
    </w:p>
    <w:p>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left"/>
        <w:textAlignment w:val="auto"/>
        <w:outlineLvl w:val="9"/>
        <w:rPr>
          <w:rFonts w:hint="eastAsia" w:ascii="仿宋" w:hAnsi="仿宋" w:eastAsia="仿宋" w:cs="仿宋"/>
          <w:bCs/>
          <w:color w:val="auto"/>
          <w:sz w:val="24"/>
          <w:szCs w:val="24"/>
          <w:highlight w:val="none"/>
          <w:lang w:bidi="ar"/>
        </w:rPr>
      </w:pPr>
      <w:r>
        <w:rPr>
          <w:rFonts w:hint="eastAsia" w:ascii="仿宋" w:hAnsi="仿宋" w:eastAsia="仿宋" w:cs="仿宋"/>
          <w:bCs/>
          <w:color w:val="auto"/>
          <w:kern w:val="28"/>
          <w:sz w:val="24"/>
          <w:szCs w:val="24"/>
          <w:lang w:val="en-US" w:eastAsia="zh-CN"/>
        </w:rPr>
        <w:t>（15）投标产品</w:t>
      </w:r>
      <w:r>
        <w:rPr>
          <w:rFonts w:hint="eastAsia" w:ascii="仿宋" w:hAnsi="仿宋" w:eastAsia="仿宋" w:cs="仿宋"/>
          <w:bCs/>
          <w:color w:val="auto"/>
          <w:sz w:val="24"/>
          <w:szCs w:val="24"/>
          <w:highlight w:val="none"/>
          <w:lang w:bidi="ar"/>
        </w:rPr>
        <w:t>（格式自拟）；</w:t>
      </w:r>
    </w:p>
    <w:p>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left"/>
        <w:textAlignment w:val="auto"/>
        <w:outlineLvl w:val="9"/>
        <w:rPr>
          <w:rFonts w:hint="eastAsia" w:ascii="仿宋" w:hAnsi="仿宋" w:eastAsia="仿宋" w:cs="仿宋"/>
          <w:bCs/>
          <w:color w:val="auto"/>
          <w:sz w:val="24"/>
          <w:szCs w:val="24"/>
          <w:highlight w:val="none"/>
          <w:lang w:bidi="ar"/>
        </w:rPr>
      </w:pPr>
      <w:r>
        <w:rPr>
          <w:rFonts w:hint="eastAsia" w:ascii="仿宋" w:hAnsi="仿宋" w:eastAsia="仿宋" w:cs="仿宋"/>
          <w:bCs/>
          <w:color w:val="auto"/>
          <w:kern w:val="28"/>
          <w:sz w:val="24"/>
          <w:szCs w:val="24"/>
          <w:lang w:val="en-US" w:eastAsia="zh-CN"/>
        </w:rPr>
        <w:t>（16）</w:t>
      </w:r>
      <w:r>
        <w:rPr>
          <w:rFonts w:hint="eastAsia" w:ascii="仿宋" w:hAnsi="仿宋" w:eastAsia="仿宋" w:cs="仿宋"/>
          <w:bCs/>
          <w:color w:val="auto"/>
          <w:sz w:val="24"/>
          <w:szCs w:val="24"/>
          <w:lang w:eastAsia="zh-CN" w:bidi="ar"/>
        </w:rPr>
        <w:t>食品安全责任险</w:t>
      </w:r>
      <w:r>
        <w:rPr>
          <w:rFonts w:hint="eastAsia" w:ascii="仿宋" w:hAnsi="仿宋" w:eastAsia="仿宋" w:cs="仿宋"/>
          <w:bCs/>
          <w:color w:val="auto"/>
          <w:sz w:val="24"/>
          <w:szCs w:val="24"/>
          <w:highlight w:val="none"/>
          <w:lang w:bidi="ar"/>
        </w:rPr>
        <w:t>（格式自拟）；</w:t>
      </w:r>
    </w:p>
    <w:p>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w:t>
      </w:r>
      <w:r>
        <w:rPr>
          <w:rFonts w:hint="eastAsia" w:ascii="仿宋" w:hAnsi="仿宋" w:eastAsia="仿宋" w:cs="仿宋"/>
          <w:snapToGrid w:val="0"/>
          <w:color w:val="auto"/>
          <w:kern w:val="0"/>
          <w:sz w:val="24"/>
          <w:szCs w:val="24"/>
          <w:highlight w:val="none"/>
          <w:lang w:eastAsia="zh-CN"/>
        </w:rPr>
        <w:t>内部管理制度</w:t>
      </w:r>
      <w:r>
        <w:rPr>
          <w:rFonts w:hint="eastAsia" w:ascii="仿宋" w:hAnsi="仿宋" w:eastAsia="仿宋" w:cs="仿宋"/>
          <w:bCs/>
          <w:color w:val="auto"/>
          <w:sz w:val="24"/>
          <w:szCs w:val="24"/>
          <w:highlight w:val="none"/>
          <w:lang w:bidi="ar"/>
        </w:rPr>
        <w:t>（格式自拟）；</w:t>
      </w:r>
    </w:p>
    <w:p>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）供货实施方案</w:t>
      </w:r>
      <w:r>
        <w:rPr>
          <w:rFonts w:hint="eastAsia" w:ascii="仿宋" w:hAnsi="仿宋" w:eastAsia="仿宋" w:cs="仿宋"/>
          <w:bCs/>
          <w:color w:val="auto"/>
          <w:sz w:val="24"/>
          <w:szCs w:val="24"/>
          <w:highlight w:val="none"/>
          <w:lang w:bidi="ar"/>
        </w:rPr>
        <w:t>（格式自拟）；</w:t>
      </w:r>
    </w:p>
    <w:p>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left"/>
        <w:textAlignment w:val="auto"/>
        <w:outlineLvl w:val="9"/>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19</w:t>
      </w:r>
      <w:r>
        <w:rPr>
          <w:rFonts w:hint="eastAsia" w:ascii="仿宋" w:hAnsi="仿宋" w:eastAsia="仿宋" w:cs="仿宋"/>
          <w:snapToGrid w:val="0"/>
          <w:color w:val="auto"/>
          <w:kern w:val="0"/>
          <w:sz w:val="24"/>
          <w:szCs w:val="24"/>
          <w:highlight w:val="none"/>
          <w:lang w:eastAsia="zh-CN"/>
        </w:rPr>
        <w:t>）突发事件应急处理方案（格式自拟）；</w:t>
      </w:r>
    </w:p>
    <w:p>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left"/>
        <w:textAlignment w:val="auto"/>
        <w:outlineLvl w:val="9"/>
        <w:rPr>
          <w:rFonts w:hint="eastAsia" w:ascii="仿宋" w:hAnsi="仿宋" w:eastAsia="仿宋" w:cs="仿宋"/>
          <w:bCs/>
          <w:color w:val="auto"/>
          <w:kern w:val="28"/>
          <w:sz w:val="24"/>
          <w:szCs w:val="24"/>
          <w:lang w:val="en-US"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20</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bCs/>
          <w:color w:val="auto"/>
          <w:kern w:val="28"/>
          <w:sz w:val="24"/>
          <w:szCs w:val="24"/>
          <w:lang w:val="en-US" w:eastAsia="zh-CN"/>
        </w:rPr>
        <w:t>服务方案（格式自拟）；</w:t>
      </w:r>
    </w:p>
    <w:p>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left"/>
        <w:textAlignment w:val="auto"/>
        <w:outlineLvl w:val="9"/>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（21）售后服务方案（格式自拟）；</w:t>
      </w:r>
    </w:p>
    <w:p>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left"/>
        <w:textAlignment w:val="auto"/>
        <w:outlineLvl w:val="9"/>
        <w:rPr>
          <w:rFonts w:hint="eastAsia" w:ascii="仿宋" w:hAnsi="仿宋" w:eastAsia="仿宋" w:cs="仿宋"/>
          <w:b w:val="0"/>
          <w:bCs/>
          <w:color w:val="auto"/>
          <w:sz w:val="24"/>
        </w:rPr>
      </w:pPr>
      <w:r>
        <w:rPr>
          <w:rFonts w:hint="eastAsia" w:ascii="仿宋" w:hAnsi="仿宋" w:eastAsia="仿宋" w:cs="仿宋"/>
          <w:bCs/>
          <w:color w:val="auto"/>
          <w:kern w:val="28"/>
          <w:sz w:val="24"/>
          <w:szCs w:val="24"/>
          <w:lang w:val="en-US" w:eastAsia="zh-CN"/>
        </w:rPr>
        <w:t>（22）</w:t>
      </w:r>
      <w:r>
        <w:rPr>
          <w:rFonts w:hint="eastAsia" w:ascii="仿宋" w:hAnsi="仿宋" w:eastAsia="仿宋" w:cs="仿宋"/>
          <w:b w:val="0"/>
          <w:bCs/>
          <w:color w:val="auto"/>
          <w:sz w:val="24"/>
        </w:rPr>
        <w:t>投标人认为与</w:t>
      </w:r>
      <w:r>
        <w:rPr>
          <w:rFonts w:hint="eastAsia" w:ascii="仿宋" w:hAnsi="仿宋" w:eastAsia="仿宋" w:cs="仿宋"/>
          <w:b w:val="0"/>
          <w:bCs/>
          <w:color w:val="auto"/>
          <w:sz w:val="24"/>
          <w:lang w:val="en-US" w:eastAsia="zh-CN"/>
        </w:rPr>
        <w:t>招标文件或</w:t>
      </w:r>
      <w:r>
        <w:rPr>
          <w:rFonts w:hint="eastAsia" w:ascii="仿宋" w:hAnsi="仿宋" w:eastAsia="仿宋" w:cs="仿宋"/>
          <w:b w:val="0"/>
          <w:bCs/>
          <w:color w:val="auto"/>
          <w:sz w:val="24"/>
        </w:rPr>
        <w:t>评分有关的需要提供的其他资料</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若有</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lang w:bidi="ar"/>
        </w:rPr>
        <w:t>3.报价文件</w:t>
      </w:r>
      <w:bookmarkEnd w:id="66"/>
      <w:bookmarkEnd w:id="67"/>
      <w:bookmarkEnd w:id="68"/>
      <w:bookmarkEnd w:id="69"/>
      <w:bookmarkEnd w:id="70"/>
      <w:bookmarkEnd w:id="71"/>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（1）开标一览表（格式见附件）；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（2）投标人针对报价需要说明的其他文件和说明（</w:t>
      </w:r>
      <w:r>
        <w:rPr>
          <w:rFonts w:hint="eastAsia" w:ascii="仿宋" w:hAnsi="仿宋" w:eastAsia="仿宋" w:cs="仿宋"/>
          <w:b w:val="0"/>
          <w:bCs/>
          <w:color w:val="auto"/>
          <w:sz w:val="24"/>
          <w:lang w:val="en-US" w:eastAsia="zh-CN"/>
        </w:rPr>
        <w:t>若有</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outlineLvl w:val="9"/>
        <w:rPr>
          <w:rFonts w:hint="eastAsia" w:ascii="仿宋" w:hAnsi="仿宋" w:eastAsia="仿宋" w:cs="仿宋"/>
          <w:b/>
          <w:bCs/>
          <w:color w:val="auto"/>
          <w:sz w:val="24"/>
          <w:szCs w:val="20"/>
        </w:rPr>
      </w:pPr>
      <w:r>
        <w:rPr>
          <w:rFonts w:hint="eastAsia" w:ascii="仿宋" w:hAnsi="仿宋" w:eastAsia="仿宋" w:cs="仿宋"/>
          <w:b/>
          <w:bCs/>
          <w:color w:val="auto"/>
          <w:sz w:val="24"/>
          <w:szCs w:val="20"/>
        </w:rPr>
        <w:t>注：</w:t>
      </w:r>
      <w:r>
        <w:rPr>
          <w:rFonts w:hint="eastAsia" w:ascii="仿宋" w:hAnsi="仿宋" w:eastAsia="仿宋" w:cs="仿宋"/>
          <w:b/>
          <w:bCs/>
          <w:color w:val="auto"/>
          <w:sz w:val="24"/>
          <w:szCs w:val="20"/>
          <w:lang w:eastAsia="zh-CN"/>
        </w:rPr>
        <w:t>授权委托书</w:t>
      </w:r>
      <w:r>
        <w:rPr>
          <w:rFonts w:hint="eastAsia" w:ascii="仿宋" w:hAnsi="仿宋" w:eastAsia="仿宋" w:cs="仿宋"/>
          <w:b/>
          <w:bCs/>
          <w:color w:val="auto"/>
          <w:sz w:val="24"/>
          <w:szCs w:val="20"/>
        </w:rPr>
        <w:t>、投标函必须由</w:t>
      </w:r>
      <w:r>
        <w:rPr>
          <w:rFonts w:hint="eastAsia" w:ascii="仿宋" w:hAnsi="仿宋" w:eastAsia="仿宋" w:cs="仿宋"/>
          <w:b/>
          <w:bCs/>
          <w:color w:val="auto"/>
          <w:sz w:val="24"/>
          <w:szCs w:val="20"/>
          <w:lang w:eastAsia="zh-CN"/>
        </w:rPr>
        <w:t>法定代表人（单位负责人、自然人本人）</w:t>
      </w:r>
      <w:r>
        <w:rPr>
          <w:rFonts w:hint="eastAsia" w:ascii="仿宋" w:hAnsi="仿宋" w:eastAsia="仿宋" w:cs="仿宋"/>
          <w:b/>
          <w:bCs/>
          <w:color w:val="auto"/>
          <w:sz w:val="24"/>
          <w:szCs w:val="20"/>
        </w:rPr>
        <w:t>签名</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或盖章</w:t>
      </w:r>
      <w:r>
        <w:rPr>
          <w:rFonts w:hint="eastAsia" w:ascii="仿宋" w:hAnsi="仿宋" w:eastAsia="仿宋" w:cs="仿宋"/>
          <w:b/>
          <w:bCs/>
          <w:color w:val="auto"/>
          <w:highlight w:val="none"/>
          <w:lang w:eastAsia="zh-CN"/>
        </w:rPr>
        <w:t>）</w:t>
      </w:r>
      <w:r>
        <w:rPr>
          <w:rFonts w:hint="eastAsia" w:ascii="仿宋" w:hAnsi="仿宋" w:eastAsia="仿宋" w:cs="仿宋"/>
          <w:b/>
          <w:bCs/>
          <w:color w:val="auto"/>
          <w:sz w:val="24"/>
          <w:szCs w:val="20"/>
        </w:rPr>
        <w:t>并加盖单位公章，签章不齐的视同未提供；</w:t>
      </w:r>
      <w:r>
        <w:rPr>
          <w:rFonts w:hint="eastAsia" w:ascii="仿宋" w:hAnsi="仿宋" w:eastAsia="仿宋" w:cs="仿宋"/>
          <w:b/>
          <w:bCs/>
          <w:color w:val="auto"/>
          <w:sz w:val="24"/>
          <w:szCs w:val="24"/>
        </w:rPr>
        <w:t>其中《资格文件》和《商务技术文件》中不得出现本项目投标报价，否则投标无效。</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sz w:val="24"/>
          <w:szCs w:val="24"/>
        </w:rPr>
      </w:pPr>
      <w:bookmarkStart w:id="165" w:name="_Toc29670"/>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三</w:t>
      </w:r>
      <w:r>
        <w:rPr>
          <w:rFonts w:hint="eastAsia" w:ascii="仿宋" w:hAnsi="仿宋" w:eastAsia="仿宋" w:cs="仿宋"/>
          <w:b/>
          <w:color w:val="auto"/>
          <w:sz w:val="24"/>
          <w:szCs w:val="24"/>
        </w:rPr>
        <w:t>）投标文件的编制</w:t>
      </w:r>
      <w:bookmarkEnd w:id="165"/>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rPr>
        <w:t>本项目通过“</w:t>
      </w:r>
      <w:r>
        <w:rPr>
          <w:rFonts w:hint="eastAsia" w:ascii="仿宋" w:hAnsi="仿宋" w:eastAsia="仿宋" w:cs="仿宋"/>
          <w:b w:val="0"/>
          <w:bCs/>
          <w:color w:val="auto"/>
          <w:sz w:val="24"/>
          <w:szCs w:val="24"/>
          <w:lang w:val="en-US" w:eastAsia="zh-CN"/>
        </w:rPr>
        <w:t>乐采云平台</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u w:val="none"/>
        </w:rPr>
        <w:t>（网址：</w:t>
      </w:r>
      <w:r>
        <w:rPr>
          <w:rFonts w:hint="eastAsia" w:ascii="仿宋" w:hAnsi="仿宋" w:eastAsia="仿宋" w:cs="仿宋"/>
          <w:b w:val="0"/>
          <w:bCs/>
          <w:color w:val="auto"/>
          <w:sz w:val="24"/>
          <w:szCs w:val="24"/>
          <w:u w:val="none"/>
        </w:rPr>
        <w:fldChar w:fldCharType="begin"/>
      </w:r>
      <w:r>
        <w:rPr>
          <w:rFonts w:hint="eastAsia" w:ascii="仿宋" w:hAnsi="仿宋" w:eastAsia="仿宋" w:cs="仿宋"/>
          <w:b w:val="0"/>
          <w:bCs/>
          <w:color w:val="auto"/>
          <w:sz w:val="24"/>
          <w:szCs w:val="24"/>
          <w:u w:val="none"/>
        </w:rPr>
        <w:instrText xml:space="preserve"> HYPERLINK "http://www.zcygov.cn）实行电子交易（在线投标响应）。供应商参加本项目电子交易应当安装\“政采云电子交易客户端\”，并按照本采购文件和\“政府采购云平台\”的要求编制并加密投标文件。供应商未按规定加密的投标文件，\“政府采购云平台\”将予以拒收。" </w:instrText>
      </w:r>
      <w:r>
        <w:rPr>
          <w:rFonts w:hint="eastAsia" w:ascii="仿宋" w:hAnsi="仿宋" w:eastAsia="仿宋" w:cs="仿宋"/>
          <w:b w:val="0"/>
          <w:bCs/>
          <w:color w:val="auto"/>
          <w:sz w:val="24"/>
          <w:szCs w:val="24"/>
          <w:u w:val="none"/>
        </w:rPr>
        <w:fldChar w:fldCharType="separate"/>
      </w:r>
      <w:r>
        <w:rPr>
          <w:rFonts w:hint="eastAsia" w:ascii="仿宋" w:hAnsi="仿宋" w:eastAsia="仿宋" w:cs="仿宋"/>
          <w:color w:val="auto"/>
          <w:kern w:val="1"/>
          <w:sz w:val="24"/>
          <w:szCs w:val="24"/>
          <w:highlight w:val="none"/>
        </w:rPr>
        <w:t>https://www.lecaiyun.com/</w:t>
      </w:r>
      <w:r>
        <w:rPr>
          <w:rStyle w:val="30"/>
          <w:rFonts w:hint="eastAsia" w:ascii="仿宋" w:hAnsi="仿宋" w:eastAsia="仿宋" w:cs="仿宋"/>
          <w:b w:val="0"/>
          <w:bCs/>
          <w:color w:val="auto"/>
          <w:sz w:val="24"/>
          <w:szCs w:val="24"/>
          <w:u w:val="none"/>
        </w:rPr>
        <w:t>）实行电子交易（在线投标响应）。</w:t>
      </w:r>
      <w:r>
        <w:rPr>
          <w:rStyle w:val="30"/>
          <w:rFonts w:hint="eastAsia" w:ascii="仿宋" w:hAnsi="仿宋" w:eastAsia="仿宋" w:cs="仿宋"/>
          <w:b w:val="0"/>
          <w:bCs/>
          <w:color w:val="auto"/>
          <w:sz w:val="24"/>
          <w:szCs w:val="24"/>
          <w:u w:val="none"/>
          <w:lang w:eastAsia="zh-CN"/>
        </w:rPr>
        <w:t>投标人</w:t>
      </w:r>
      <w:r>
        <w:rPr>
          <w:rStyle w:val="30"/>
          <w:rFonts w:hint="eastAsia" w:ascii="仿宋" w:hAnsi="仿宋" w:eastAsia="仿宋" w:cs="仿宋"/>
          <w:b w:val="0"/>
          <w:bCs/>
          <w:color w:val="auto"/>
          <w:sz w:val="24"/>
          <w:szCs w:val="24"/>
          <w:u w:val="none"/>
        </w:rPr>
        <w:t>参加本项目电子交易应当安装“</w:t>
      </w:r>
      <w:r>
        <w:rPr>
          <w:rFonts w:hint="eastAsia" w:ascii="仿宋" w:hAnsi="仿宋" w:eastAsia="仿宋" w:cs="仿宋"/>
          <w:color w:val="auto"/>
          <w:sz w:val="24"/>
          <w:szCs w:val="24"/>
          <w:lang w:val="en-US" w:eastAsia="zh-CN"/>
        </w:rPr>
        <w:t>乐</w:t>
      </w:r>
      <w:r>
        <w:rPr>
          <w:rFonts w:hint="eastAsia" w:ascii="仿宋" w:hAnsi="仿宋" w:eastAsia="仿宋" w:cs="仿宋"/>
          <w:color w:val="auto"/>
          <w:sz w:val="24"/>
          <w:szCs w:val="24"/>
        </w:rPr>
        <w:t>采云电子交易客户端</w:t>
      </w:r>
      <w:r>
        <w:rPr>
          <w:rStyle w:val="30"/>
          <w:rFonts w:hint="eastAsia" w:ascii="仿宋" w:hAnsi="仿宋" w:eastAsia="仿宋" w:cs="仿宋"/>
          <w:b w:val="0"/>
          <w:bCs/>
          <w:color w:val="auto"/>
          <w:sz w:val="24"/>
          <w:szCs w:val="24"/>
          <w:u w:val="none"/>
        </w:rPr>
        <w:t>”，并按照本采购文件和“</w:t>
      </w:r>
      <w:r>
        <w:rPr>
          <w:rStyle w:val="30"/>
          <w:rFonts w:hint="eastAsia" w:ascii="仿宋" w:hAnsi="仿宋" w:eastAsia="仿宋" w:cs="仿宋"/>
          <w:b w:val="0"/>
          <w:bCs/>
          <w:color w:val="auto"/>
          <w:sz w:val="24"/>
          <w:szCs w:val="24"/>
          <w:u w:val="none"/>
          <w:lang w:val="en-US" w:eastAsia="zh-CN"/>
        </w:rPr>
        <w:t>乐采云平台</w:t>
      </w:r>
      <w:r>
        <w:rPr>
          <w:rStyle w:val="30"/>
          <w:rFonts w:hint="eastAsia" w:ascii="仿宋" w:hAnsi="仿宋" w:eastAsia="仿宋" w:cs="仿宋"/>
          <w:b w:val="0"/>
          <w:bCs/>
          <w:color w:val="auto"/>
          <w:sz w:val="24"/>
          <w:szCs w:val="24"/>
          <w:u w:val="none"/>
        </w:rPr>
        <w:t>”的要求编制并加密投标文件。</w:t>
      </w:r>
      <w:r>
        <w:rPr>
          <w:rStyle w:val="30"/>
          <w:rFonts w:hint="eastAsia" w:ascii="仿宋" w:hAnsi="仿宋" w:eastAsia="仿宋" w:cs="仿宋"/>
          <w:b w:val="0"/>
          <w:bCs/>
          <w:color w:val="auto"/>
          <w:sz w:val="24"/>
          <w:szCs w:val="24"/>
          <w:u w:val="none"/>
          <w:lang w:eastAsia="zh-CN"/>
        </w:rPr>
        <w:t>投标人</w:t>
      </w:r>
      <w:r>
        <w:rPr>
          <w:rStyle w:val="30"/>
          <w:rFonts w:hint="eastAsia" w:ascii="仿宋" w:hAnsi="仿宋" w:eastAsia="仿宋" w:cs="仿宋"/>
          <w:b w:val="0"/>
          <w:bCs/>
          <w:color w:val="auto"/>
          <w:sz w:val="24"/>
          <w:szCs w:val="24"/>
          <w:u w:val="none"/>
        </w:rPr>
        <w:t>未按规定加密的投标文件，“</w:t>
      </w:r>
      <w:r>
        <w:rPr>
          <w:rStyle w:val="30"/>
          <w:rFonts w:hint="eastAsia" w:ascii="仿宋" w:hAnsi="仿宋" w:eastAsia="仿宋" w:cs="仿宋"/>
          <w:b w:val="0"/>
          <w:bCs/>
          <w:color w:val="auto"/>
          <w:sz w:val="24"/>
          <w:szCs w:val="24"/>
          <w:u w:val="none"/>
          <w:lang w:val="en-US" w:eastAsia="zh-CN"/>
        </w:rPr>
        <w:t>乐采云平台</w:t>
      </w:r>
      <w:r>
        <w:rPr>
          <w:rStyle w:val="30"/>
          <w:rFonts w:hint="eastAsia" w:ascii="仿宋" w:hAnsi="仿宋" w:eastAsia="仿宋" w:cs="仿宋"/>
          <w:b w:val="0"/>
          <w:bCs/>
          <w:color w:val="auto"/>
          <w:sz w:val="24"/>
          <w:szCs w:val="24"/>
          <w:u w:val="none"/>
        </w:rPr>
        <w:t>”将予以拒收。</w:t>
      </w:r>
      <w:r>
        <w:rPr>
          <w:rFonts w:hint="eastAsia" w:ascii="仿宋" w:hAnsi="仿宋" w:eastAsia="仿宋" w:cs="仿宋"/>
          <w:b w:val="0"/>
          <w:bCs/>
          <w:color w:val="auto"/>
          <w:sz w:val="24"/>
          <w:szCs w:val="24"/>
          <w:u w:val="none"/>
        </w:rPr>
        <w:fldChar w:fldCharType="end"/>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2.投标文件内容不完整、编排混乱导致投标文件被误读、漏读或者查找不到相关内容的，是投标人的责任。</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3.投标文件因字迹潦草或表达不清所引起的后果由投标人负责。</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color w:val="auto"/>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没有按照本章节文件目录要求提供全部资料，或者没有仔细阅读采购文件，或者没有对采购文件在各方面的要求作出实质性响应是</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的风险，由此造成的一切后果由</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自行承担。</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sz w:val="24"/>
          <w:szCs w:val="24"/>
        </w:rPr>
      </w:pPr>
      <w:bookmarkStart w:id="166" w:name="_Toc21758"/>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四</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投标文件的语言及计量</w:t>
      </w:r>
      <w:bookmarkEnd w:id="166"/>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1.投标文件以及投标人与招标方就有关投标事宜的所有来往函电，均应以中文汉语书写。除签名、盖章、专用名称等特殊情形外，以中文汉语以外的文字表述的投标文件视同未提供。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2.投标计量单位，招标文件已有明确规定的，使用招标文件规定的计量单位；招标文件没有规定的，应采用中华人民共和国法定计量单位（货币单位：人民币元），否则视同未响应。</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sz w:val="24"/>
          <w:szCs w:val="24"/>
        </w:rPr>
      </w:pPr>
      <w:bookmarkStart w:id="167" w:name="_Toc504504539"/>
      <w:bookmarkStart w:id="168" w:name="_Toc21857"/>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五</w:t>
      </w:r>
      <w:r>
        <w:rPr>
          <w:rFonts w:hint="eastAsia" w:ascii="仿宋" w:hAnsi="仿宋" w:eastAsia="仿宋" w:cs="仿宋"/>
          <w:b/>
          <w:color w:val="auto"/>
          <w:sz w:val="24"/>
          <w:szCs w:val="24"/>
        </w:rPr>
        <w:t>）投标报价</w:t>
      </w:r>
      <w:bookmarkEnd w:id="167"/>
      <w:bookmarkEnd w:id="168"/>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1.投标报价应按招标文件中相关附表格式填写。</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投标报价是完成本项目服务内容和要求所产生的所有费用，包括但不限于提供货物价款、人员的劳务费用、加工费、装卸车费、途中运输费、检测、验收费（含第三方）、利润、管理费、保险费、税金、政策性文件规定等其他所有交付采购人可能产生的相关费用、产品的售后服务费及代理服务费等一切相关服务的所有费用。</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3.投标文件只允许有一个报价，有选择的报价将不予接受（作无效标处理）。</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4.投标人应充分考虑因各种原因可能发生的费用。对没有填报的费用，招标人认为所有费用已包含在总价中，除合同条款另有规定外，不得进行调整。</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5.投标报价必须合理，经评委认定为明显不合理的报价将被</w:t>
      </w:r>
      <w:r>
        <w:rPr>
          <w:rFonts w:hint="eastAsia" w:ascii="仿宋" w:hAnsi="仿宋" w:eastAsia="仿宋" w:cs="仿宋"/>
          <w:b/>
          <w:color w:val="auto"/>
          <w:sz w:val="24"/>
          <w:szCs w:val="24"/>
          <w:lang w:val="en-US" w:eastAsia="zh-CN"/>
        </w:rPr>
        <w:t>作无效标处理</w:t>
      </w:r>
      <w:r>
        <w:rPr>
          <w:rFonts w:hint="eastAsia" w:ascii="仿宋" w:hAnsi="仿宋" w:eastAsia="仿宋" w:cs="仿宋"/>
          <w:b/>
          <w:color w:val="auto"/>
          <w:sz w:val="24"/>
          <w:szCs w:val="24"/>
        </w:rPr>
        <w:t>。</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sz w:val="24"/>
          <w:szCs w:val="24"/>
        </w:rPr>
      </w:pPr>
      <w:bookmarkStart w:id="169" w:name="_Toc13798"/>
      <w:bookmarkStart w:id="170" w:name="_Toc504504540"/>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）投标文件的有效期</w:t>
      </w:r>
      <w:bookmarkEnd w:id="169"/>
      <w:bookmarkEnd w:id="170"/>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1.自投标截止日起90天内投标文件应保持有效。有效期不足的投标文件将被拒绝。</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2.在特殊情况下，采购人可与</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协商延长投标文件的有效期，协商过程以书面形式进行</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可拒绝接受延期要求，同意延长有效期的</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不能修改投标文件；</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中标单位</w:t>
      </w:r>
      <w:r>
        <w:rPr>
          <w:rFonts w:hint="eastAsia" w:ascii="仿宋" w:hAnsi="仿宋" w:eastAsia="仿宋" w:cs="仿宋"/>
          <w:color w:val="auto"/>
          <w:sz w:val="24"/>
          <w:szCs w:val="24"/>
        </w:rPr>
        <w:t>的投标文件自开标之日起至合同履行完毕止均应保持有效。</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sz w:val="24"/>
          <w:szCs w:val="24"/>
        </w:rPr>
      </w:pPr>
      <w:bookmarkStart w:id="171" w:name="_Toc18748"/>
      <w:bookmarkStart w:id="172" w:name="_Toc504504549"/>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w:t>
      </w:r>
      <w:bookmarkEnd w:id="171"/>
      <w:bookmarkEnd w:id="172"/>
      <w:r>
        <w:rPr>
          <w:rFonts w:hint="eastAsia" w:ascii="仿宋" w:hAnsi="仿宋" w:eastAsia="仿宋" w:cs="仿宋"/>
          <w:b/>
          <w:color w:val="auto"/>
          <w:sz w:val="24"/>
          <w:szCs w:val="24"/>
        </w:rPr>
        <w:t xml:space="preserve">投标文件的签署、盖章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b/>
          <w:color w:val="auto"/>
          <w:kern w:val="0"/>
          <w:sz w:val="24"/>
          <w:szCs w:val="24"/>
        </w:rPr>
      </w:pPr>
      <w:bookmarkStart w:id="173" w:name="_Toc504504558"/>
      <w:bookmarkStart w:id="174" w:name="_Toc8886"/>
      <w:r>
        <w:rPr>
          <w:rFonts w:hint="eastAsia" w:ascii="仿宋" w:hAnsi="仿宋" w:eastAsia="仿宋" w:cs="仿宋"/>
          <w:b w:val="0"/>
          <w:bCs/>
          <w:color w:val="auto"/>
          <w:kern w:val="0"/>
          <w:sz w:val="24"/>
          <w:szCs w:val="24"/>
        </w:rPr>
        <w:t>1</w:t>
      </w:r>
      <w:r>
        <w:rPr>
          <w:rFonts w:hint="eastAsia" w:ascii="仿宋" w:hAnsi="仿宋" w:eastAsia="仿宋" w:cs="仿宋"/>
          <w:b w:val="0"/>
          <w:bCs/>
          <w:color w:val="auto"/>
          <w:kern w:val="0"/>
          <w:sz w:val="24"/>
          <w:szCs w:val="24"/>
          <w:lang w:val="en-US" w:eastAsia="zh-CN"/>
        </w:rPr>
        <w:t>.</w:t>
      </w:r>
      <w:r>
        <w:rPr>
          <w:rFonts w:hint="eastAsia" w:ascii="仿宋" w:hAnsi="仿宋" w:eastAsia="仿宋" w:cs="仿宋"/>
          <w:b w:val="0"/>
          <w:bCs/>
          <w:color w:val="auto"/>
          <w:kern w:val="0"/>
          <w:sz w:val="24"/>
          <w:szCs w:val="24"/>
        </w:rPr>
        <w:t>《投标文件》应当按照</w:t>
      </w:r>
      <w:r>
        <w:rPr>
          <w:rFonts w:hint="eastAsia" w:ascii="仿宋" w:hAnsi="仿宋" w:eastAsia="仿宋" w:cs="仿宋"/>
          <w:b w:val="0"/>
          <w:bCs/>
          <w:color w:val="auto"/>
          <w:sz w:val="24"/>
          <w:szCs w:val="24"/>
        </w:rPr>
        <w:t>《第二</w:t>
      </w:r>
      <w:r>
        <w:rPr>
          <w:rFonts w:hint="eastAsia" w:ascii="仿宋" w:hAnsi="仿宋" w:eastAsia="仿宋" w:cs="仿宋"/>
          <w:b w:val="0"/>
          <w:bCs/>
          <w:color w:val="auto"/>
          <w:sz w:val="24"/>
          <w:szCs w:val="24"/>
          <w:lang w:val="en-US" w:eastAsia="zh-CN"/>
        </w:rPr>
        <w:t>部分</w:t>
      </w:r>
      <w:r>
        <w:rPr>
          <w:rFonts w:hint="eastAsia" w:ascii="仿宋" w:hAnsi="仿宋" w:eastAsia="仿宋" w:cs="仿宋"/>
          <w:b w:val="0"/>
          <w:bCs/>
          <w:color w:val="auto"/>
          <w:sz w:val="24"/>
          <w:szCs w:val="24"/>
        </w:rPr>
        <w:t xml:space="preserve"> 投标须知》规定和</w:t>
      </w:r>
      <w:r>
        <w:rPr>
          <w:rFonts w:hint="eastAsia" w:ascii="仿宋" w:hAnsi="仿宋" w:eastAsia="仿宋" w:cs="仿宋"/>
          <w:b w:val="0"/>
          <w:bCs/>
          <w:color w:val="auto"/>
          <w:kern w:val="0"/>
          <w:sz w:val="24"/>
          <w:szCs w:val="24"/>
        </w:rPr>
        <w:t>《第六</w:t>
      </w:r>
      <w:r>
        <w:rPr>
          <w:rFonts w:hint="eastAsia" w:ascii="仿宋" w:hAnsi="仿宋" w:eastAsia="仿宋" w:cs="仿宋"/>
          <w:b w:val="0"/>
          <w:bCs/>
          <w:color w:val="auto"/>
          <w:kern w:val="0"/>
          <w:sz w:val="24"/>
          <w:szCs w:val="24"/>
          <w:lang w:val="en-US" w:eastAsia="zh-CN"/>
        </w:rPr>
        <w:t>部分</w:t>
      </w:r>
      <w:r>
        <w:rPr>
          <w:rFonts w:hint="eastAsia" w:ascii="仿宋" w:hAnsi="仿宋" w:eastAsia="仿宋" w:cs="仿宋"/>
          <w:b w:val="0"/>
          <w:bCs/>
          <w:color w:val="auto"/>
          <w:kern w:val="0"/>
          <w:sz w:val="24"/>
          <w:szCs w:val="24"/>
        </w:rPr>
        <w:t xml:space="preserve"> 投标文件格式》</w:t>
      </w:r>
      <w:r>
        <w:rPr>
          <w:rFonts w:hint="eastAsia" w:ascii="仿宋" w:hAnsi="仿宋" w:eastAsia="仿宋" w:cs="仿宋"/>
          <w:b w:val="0"/>
          <w:bCs/>
          <w:color w:val="auto"/>
          <w:sz w:val="24"/>
          <w:szCs w:val="24"/>
        </w:rPr>
        <w:t>要求进行盖章、签署</w:t>
      </w:r>
      <w:r>
        <w:rPr>
          <w:rFonts w:hint="eastAsia" w:ascii="仿宋" w:hAnsi="仿宋" w:eastAsia="仿宋" w:cs="仿宋"/>
          <w:b w:val="0"/>
          <w:bCs/>
          <w:color w:val="auto"/>
          <w:kern w:val="0"/>
          <w:sz w:val="24"/>
          <w:szCs w:val="24"/>
        </w:rPr>
        <w:t>。</w:t>
      </w:r>
      <w:r>
        <w:rPr>
          <w:rFonts w:hint="eastAsia" w:ascii="仿宋" w:hAnsi="仿宋" w:eastAsia="仿宋" w:cs="仿宋"/>
          <w:b w:val="0"/>
          <w:bCs/>
          <w:color w:val="auto"/>
          <w:kern w:val="0"/>
          <w:sz w:val="24"/>
          <w:szCs w:val="24"/>
          <w:u w:val="single"/>
        </w:rPr>
        <w:t>投标人的投标文件未按照招标文件要求签署、盖章的，或招标文件要求应当提供而未提供的，投标无效</w:t>
      </w:r>
      <w:r>
        <w:rPr>
          <w:rFonts w:hint="eastAsia" w:ascii="仿宋" w:hAnsi="仿宋" w:eastAsia="仿宋" w:cs="仿宋"/>
          <w:b w:val="0"/>
          <w:bCs/>
          <w:color w:val="auto"/>
          <w:kern w:val="0"/>
          <w:sz w:val="24"/>
          <w:szCs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b/>
          <w:color w:val="auto"/>
          <w:kern w:val="0"/>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为确保网上操作合法、有效和安全，投标人应当在投标截止时间前完成在“</w:t>
      </w:r>
      <w:r>
        <w:rPr>
          <w:rFonts w:hint="eastAsia" w:ascii="仿宋" w:hAnsi="仿宋" w:eastAsia="仿宋" w:cs="仿宋"/>
          <w:color w:val="auto"/>
          <w:sz w:val="24"/>
          <w:szCs w:val="24"/>
          <w:lang w:val="en-US" w:eastAsia="zh-CN"/>
        </w:rPr>
        <w:t>乐采云</w:t>
      </w:r>
      <w:r>
        <w:rPr>
          <w:rFonts w:hint="eastAsia" w:ascii="仿宋" w:hAnsi="仿宋" w:eastAsia="仿宋" w:cs="仿宋"/>
          <w:color w:val="auto"/>
          <w:sz w:val="24"/>
          <w:szCs w:val="24"/>
        </w:rPr>
        <w:t>”的身份认证，确保在电子投标过程中能够对相关数据电文进行加密和使用电子签名。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3.招标文件对投标文件签署、盖章的要求适用于电子签名。</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sz w:val="24"/>
        </w:rPr>
      </w:pP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八</w:t>
      </w:r>
      <w:r>
        <w:rPr>
          <w:rFonts w:hint="eastAsia" w:ascii="仿宋" w:hAnsi="仿宋" w:eastAsia="仿宋" w:cs="仿宋"/>
          <w:b/>
          <w:color w:val="auto"/>
          <w:sz w:val="24"/>
          <w:szCs w:val="24"/>
        </w:rPr>
        <w:t>）</w:t>
      </w:r>
      <w:bookmarkEnd w:id="173"/>
      <w:r>
        <w:rPr>
          <w:rFonts w:hint="eastAsia" w:ascii="仿宋" w:hAnsi="仿宋" w:eastAsia="仿宋" w:cs="仿宋"/>
          <w:b/>
          <w:color w:val="auto"/>
          <w:sz w:val="24"/>
        </w:rPr>
        <w:t>投标文件的包装、递交、修改和撤回</w:t>
      </w:r>
      <w:bookmarkEnd w:id="174"/>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szCs w:val="22"/>
        </w:rPr>
        <w:t xml:space="preserve"> </w:t>
      </w:r>
      <w:r>
        <w:rPr>
          <w:rFonts w:hint="eastAsia" w:ascii="仿宋" w:hAnsi="仿宋" w:eastAsia="仿宋" w:cs="仿宋"/>
          <w:color w:val="auto"/>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rPr>
        <w:t>2.采购人和采购代理机构可通过修改招标文件酌情延长投标截止日期，在此情况下，投标人的所有权利和义务以及投标人的投标截止日期均应以延长后新的截止日期为准。</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sz w:val="24"/>
          <w:szCs w:val="24"/>
        </w:rPr>
      </w:pPr>
      <w:bookmarkStart w:id="175" w:name="_Toc504504559"/>
      <w:bookmarkStart w:id="176" w:name="_Toc1351"/>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九</w:t>
      </w:r>
      <w:r>
        <w:rPr>
          <w:rFonts w:hint="eastAsia" w:ascii="仿宋" w:hAnsi="仿宋" w:eastAsia="仿宋" w:cs="仿宋"/>
          <w:b/>
          <w:color w:val="auto"/>
          <w:sz w:val="24"/>
          <w:szCs w:val="24"/>
        </w:rPr>
        <w:t>）投标无效的情形</w:t>
      </w:r>
      <w:bookmarkEnd w:id="175"/>
      <w:bookmarkEnd w:id="176"/>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1.在资格审查时，如发现下列情形之一的，投标文件将被视为无效：</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（1）资格证明文件不全的，或者不符合招标文件标明的资格要求的；</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（2）电子投标文件解密失败的，且未在规定时间内提交备份投标文件的；</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（3）未按照招标文件规定的要求签署、盖章的。</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2.在符合性审查时，如发现下列情形之一的，投标文件将被视为无效：</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（1）投标文件无法定代表人或授权代表签字，或授权代理人未经有效授权的；</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（2）投标文件未按照招标文件规定的要求签署、盖章的；</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（3）投标有效期、服务期、付款方式等商务条款不能满足招标文件要求的；</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（4）不响应或者擅自改变招标文件要求或者投标文件有采购人不能接受的附加条件的；</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（5）未提供或未如实提供投标产品（货物）技术性能、参数的，或者虚假投标的。</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3.在技术评审时，如发现下列情形之一的，投标文件将被视为无效：</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（1）资格文件、商务技术文件内有商务报价出现的；</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（2）投标文件没有对本采购文件作出实质性响应的，或不满足（不响应）本采购文件中标注“</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lang w:val="en-US" w:eastAsia="zh-CN" w:bidi="ar-SA"/>
        </w:rPr>
        <w:t>”的实质性要求条款的，或存在采购文件中明确规定的其他无效标情形的；</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（3）明显不符合招标文件要求的规格型号、质量标准，或者与招标文件中的技术指标、主要功能项目发生实质性偏离的；</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（4）投标技术方案不明确，存在一个或一个以上备选（替代）投标方案的；</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（5）与其他参加本次投标投标人的投标文件（技术文件）的文字表述内容相同连续20行以上或者差错相同2处以上的。</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（6）采购人拟采购的产品如属于品目清单范围内的强制采购品目的，供应商未能在响应文件中提供国家确定的认证机构出具的、处于有效期之内的该产品节能产品、环境标志产品认证证书。</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4.在价格评审时，如发现下列情形之一的，投标文件将被视为无效：</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auto"/>
          <w:kern w:val="0"/>
          <w:sz w:val="24"/>
          <w:szCs w:val="24"/>
          <w:lang w:val="en-US" w:eastAsia="zh-CN" w:bidi="ar-SA"/>
        </w:rPr>
        <w:t>（1）</w:t>
      </w:r>
      <w:r>
        <w:rPr>
          <w:rFonts w:hint="eastAsia" w:ascii="仿宋" w:hAnsi="仿宋" w:eastAsia="仿宋" w:cs="仿宋"/>
          <w:color w:val="000000" w:themeColor="text1"/>
          <w:kern w:val="0"/>
          <w:sz w:val="24"/>
          <w:szCs w:val="24"/>
          <w:lang w:val="en-US" w:eastAsia="zh-CN" w:bidi="ar-SA"/>
          <w14:textFill>
            <w14:solidFill>
              <w14:schemeClr w14:val="tx1"/>
            </w14:solidFill>
          </w14:textFill>
        </w:rPr>
        <w:t>投标文件存在一个或一个以上备选（替代）投标方案的；</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（2）未按照采购文件标明的币种报价的，或者投标报价涵盖的内容不符合采购文件要求的；</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（3）报价出现前后不一致时拒绝按照采购文件规定的错误修正原则进行修正的；</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（4）投标报价具有选择性，开标记录载明的报价与《投标文件》承诺价格不一致且拒绝按照采购文件规定的原则进行修订的；</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（5）报价超过采购文件中规定的预算金额或者最高限价（单价最高限价）的；</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（6）投标文件组成内容不齐全，本采购文件规定必须提供而未提供的（属于资格审查范围的除外）；</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（7）投标文件未按本招标文件的要求进行盖章或签署的；</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（8）评标委员会认为投标人的报价明显低于其他通过符合性审查的投标人的报价有可能影响产品质量或者不能诚信履约时，投标人不能在规定的时间证明其报价合理性的。  </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（9）不响应或擅自改变本采购文件要求或投标文件含有采购人不能接受的附加条件的。                                                                                      </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5.法律法规、规章（适用本市的）及省级以上规范性文件（适用本市的）规定的其他无效情形。</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sz w:val="24"/>
          <w:szCs w:val="24"/>
        </w:rPr>
      </w:pPr>
      <w:bookmarkStart w:id="177" w:name="_Toc21580"/>
      <w:bookmarkStart w:id="178" w:name="_Toc504504560"/>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十</w:t>
      </w:r>
      <w:r>
        <w:rPr>
          <w:rFonts w:hint="eastAsia" w:ascii="仿宋" w:hAnsi="仿宋" w:eastAsia="仿宋" w:cs="仿宋"/>
          <w:b/>
          <w:color w:val="auto"/>
          <w:sz w:val="24"/>
          <w:szCs w:val="24"/>
        </w:rPr>
        <w:t>）</w:t>
      </w:r>
      <w:bookmarkStart w:id="179" w:name="_Toc107820050"/>
      <w:bookmarkStart w:id="180" w:name="_Toc170792769"/>
      <w:r>
        <w:rPr>
          <w:rFonts w:hint="eastAsia" w:ascii="仿宋" w:hAnsi="仿宋" w:eastAsia="仿宋" w:cs="仿宋"/>
          <w:b/>
          <w:color w:val="auto"/>
          <w:sz w:val="24"/>
          <w:szCs w:val="24"/>
        </w:rPr>
        <w:t>废标的情形</w:t>
      </w:r>
      <w:bookmarkEnd w:id="177"/>
      <w:bookmarkEnd w:id="178"/>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bookmarkStart w:id="181" w:name="_Toc504504561"/>
      <w:bookmarkStart w:id="182" w:name="_Toc504504486"/>
      <w:r>
        <w:rPr>
          <w:rFonts w:hint="eastAsia" w:ascii="仿宋" w:hAnsi="仿宋" w:eastAsia="仿宋" w:cs="仿宋"/>
          <w:color w:val="auto"/>
          <w:kern w:val="0"/>
          <w:sz w:val="24"/>
          <w:szCs w:val="24"/>
          <w:lang w:val="en-US" w:eastAsia="zh-CN" w:bidi="ar-SA"/>
        </w:rPr>
        <w:t>在招标采购中，出现下列情形之一的，应予废标：</w:t>
      </w:r>
      <w:bookmarkEnd w:id="181"/>
      <w:bookmarkEnd w:id="182"/>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bookmarkStart w:id="183" w:name="_Toc504504562"/>
      <w:bookmarkStart w:id="184" w:name="_Toc504504487"/>
      <w:r>
        <w:rPr>
          <w:rFonts w:hint="eastAsia" w:ascii="仿宋" w:hAnsi="仿宋" w:eastAsia="仿宋" w:cs="仿宋"/>
          <w:color w:val="auto"/>
          <w:kern w:val="0"/>
          <w:sz w:val="24"/>
          <w:szCs w:val="24"/>
          <w:lang w:val="en-US" w:eastAsia="zh-CN" w:bidi="ar-SA"/>
        </w:rPr>
        <w:t>1.符合专业条件的投标人或者对招标文件作实质性响应的投标人不足三家的；</w:t>
      </w:r>
      <w:bookmarkEnd w:id="183"/>
      <w:bookmarkEnd w:id="184"/>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bookmarkStart w:id="185" w:name="_Toc504504563"/>
      <w:bookmarkStart w:id="186" w:name="_Toc504504488"/>
      <w:r>
        <w:rPr>
          <w:rFonts w:hint="eastAsia" w:ascii="仿宋" w:hAnsi="仿宋" w:eastAsia="仿宋" w:cs="仿宋"/>
          <w:color w:val="auto"/>
          <w:kern w:val="0"/>
          <w:sz w:val="24"/>
          <w:szCs w:val="24"/>
          <w:lang w:val="en-US" w:eastAsia="zh-CN" w:bidi="ar-SA"/>
        </w:rPr>
        <w:t>2.出现影响采购公正的违法、违规行为的；</w:t>
      </w:r>
      <w:bookmarkEnd w:id="185"/>
      <w:bookmarkEnd w:id="186"/>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bookmarkStart w:id="187" w:name="_Toc504504489"/>
      <w:bookmarkStart w:id="188" w:name="_Toc504504564"/>
      <w:r>
        <w:rPr>
          <w:rFonts w:hint="eastAsia" w:ascii="仿宋" w:hAnsi="仿宋" w:eastAsia="仿宋" w:cs="仿宋"/>
          <w:color w:val="auto"/>
          <w:kern w:val="0"/>
          <w:sz w:val="24"/>
          <w:szCs w:val="24"/>
          <w:lang w:val="en-US" w:eastAsia="zh-CN" w:bidi="ar-SA"/>
        </w:rPr>
        <w:t>3.投标人的报价均超过了采购预算，采购人不能支付的；</w:t>
      </w:r>
      <w:bookmarkEnd w:id="187"/>
      <w:bookmarkEnd w:id="188"/>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bookmarkStart w:id="189" w:name="_Toc504504565"/>
      <w:bookmarkStart w:id="190" w:name="_Toc504504490"/>
      <w:r>
        <w:rPr>
          <w:rFonts w:hint="eastAsia" w:ascii="仿宋" w:hAnsi="仿宋" w:eastAsia="仿宋" w:cs="仿宋"/>
          <w:color w:val="auto"/>
          <w:kern w:val="0"/>
          <w:sz w:val="24"/>
          <w:szCs w:val="24"/>
          <w:lang w:val="en-US" w:eastAsia="zh-CN" w:bidi="ar-SA"/>
        </w:rPr>
        <w:t>4.因重大变故，采购任务取消的。</w:t>
      </w:r>
      <w:bookmarkEnd w:id="189"/>
      <w:bookmarkEnd w:id="190"/>
    </w:p>
    <w:bookmarkEnd w:id="179"/>
    <w:bookmarkEnd w:id="180"/>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1"/>
        <w:rPr>
          <w:rFonts w:hint="eastAsia" w:ascii="仿宋" w:hAnsi="仿宋" w:eastAsia="仿宋" w:cs="仿宋"/>
          <w:b/>
          <w:color w:val="auto"/>
          <w:kern w:val="0"/>
          <w:sz w:val="24"/>
          <w:szCs w:val="24"/>
          <w:lang w:val="en-US" w:eastAsia="zh-CN" w:bidi="ar-SA"/>
        </w:rPr>
      </w:pPr>
      <w:bookmarkStart w:id="191" w:name="_Toc510614923"/>
      <w:bookmarkStart w:id="192" w:name="_Toc30722"/>
      <w:bookmarkStart w:id="193" w:name="_Toc504504566"/>
      <w:bookmarkStart w:id="194" w:name="_Toc514938675"/>
      <w:bookmarkStart w:id="195" w:name="_Toc16508"/>
      <w:bookmarkStart w:id="196" w:name="_Toc5242"/>
      <w:bookmarkStart w:id="197" w:name="_Toc24651"/>
      <w:bookmarkStart w:id="198" w:name="_Toc9050"/>
      <w:bookmarkStart w:id="199" w:name="_Toc26036"/>
      <w:bookmarkStart w:id="200" w:name="_Toc13192"/>
      <w:bookmarkStart w:id="201" w:name="_Toc20767"/>
      <w:bookmarkStart w:id="202" w:name="_Toc531267758"/>
      <w:bookmarkStart w:id="203" w:name="_Toc33014423"/>
      <w:bookmarkStart w:id="204" w:name="_Toc514938677"/>
      <w:bookmarkStart w:id="205" w:name="_Toc504504573"/>
      <w:bookmarkStart w:id="206" w:name="_Toc510614925"/>
      <w:r>
        <w:rPr>
          <w:rFonts w:hint="eastAsia" w:ascii="仿宋" w:hAnsi="仿宋" w:eastAsia="仿宋" w:cs="仿宋"/>
          <w:b/>
          <w:color w:val="auto"/>
          <w:kern w:val="0"/>
          <w:sz w:val="24"/>
          <w:szCs w:val="24"/>
          <w:lang w:val="en-US" w:eastAsia="zh-CN" w:bidi="ar-SA"/>
        </w:rPr>
        <w:t>四、</w:t>
      </w:r>
      <w:bookmarkEnd w:id="191"/>
      <w:bookmarkEnd w:id="192"/>
      <w:bookmarkEnd w:id="193"/>
      <w:bookmarkEnd w:id="194"/>
      <w:bookmarkEnd w:id="195"/>
      <w:bookmarkEnd w:id="196"/>
      <w:r>
        <w:rPr>
          <w:rFonts w:hint="eastAsia" w:ascii="仿宋" w:hAnsi="仿宋" w:eastAsia="仿宋" w:cs="仿宋"/>
          <w:b/>
          <w:color w:val="auto"/>
          <w:kern w:val="0"/>
          <w:sz w:val="24"/>
          <w:szCs w:val="24"/>
          <w:lang w:val="en-US" w:eastAsia="zh-CN" w:bidi="ar-SA"/>
        </w:rPr>
        <w:t>开标、资格审查与信用信息查询</w:t>
      </w:r>
      <w:bookmarkEnd w:id="197"/>
      <w:bookmarkEnd w:id="198"/>
    </w:p>
    <w:p>
      <w:pPr>
        <w:keepNext w:val="0"/>
        <w:keepLines w:val="0"/>
        <w:pageBreakBefore w:val="0"/>
        <w:widowControl w:val="0"/>
        <w:kinsoku/>
        <w:wordWrap/>
        <w:overflowPunct/>
        <w:topLinePunct w:val="0"/>
        <w:autoSpaceDE/>
        <w:autoSpaceDN/>
        <w:bidi w:val="0"/>
        <w:spacing w:line="360" w:lineRule="auto"/>
        <w:ind w:firstLine="480"/>
        <w:jc w:val="left"/>
        <w:textAlignment w:val="auto"/>
        <w:outlineLvl w:val="9"/>
        <w:rPr>
          <w:rFonts w:hint="eastAsia" w:ascii="仿宋" w:hAnsi="仿宋" w:eastAsia="仿宋" w:cs="仿宋"/>
          <w:color w:val="auto"/>
          <w:sz w:val="24"/>
          <w:szCs w:val="24"/>
        </w:rPr>
      </w:pPr>
      <w:bookmarkStart w:id="207" w:name="_Toc15293"/>
      <w:bookmarkStart w:id="208" w:name="_Toc531267757"/>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开标流程</w:t>
      </w:r>
    </w:p>
    <w:p>
      <w:pPr>
        <w:keepNext w:val="0"/>
        <w:keepLines w:val="0"/>
        <w:pageBreakBefore w:val="0"/>
        <w:widowControl w:val="0"/>
        <w:kinsoku/>
        <w:wordWrap/>
        <w:overflowPunct/>
        <w:topLinePunct w:val="0"/>
        <w:autoSpaceDE/>
        <w:autoSpaceDN/>
        <w:bidi w:val="0"/>
        <w:spacing w:line="360" w:lineRule="auto"/>
        <w:ind w:firstLine="480"/>
        <w:jc w:val="left"/>
        <w:textAlignment w:val="auto"/>
        <w:outlineLvl w:val="9"/>
        <w:rPr>
          <w:rFonts w:hint="eastAsia" w:ascii="仿宋" w:hAnsi="仿宋" w:eastAsia="仿宋" w:cs="仿宋"/>
          <w:color w:val="auto"/>
          <w:kern w:val="0"/>
          <w:sz w:val="24"/>
        </w:rPr>
      </w:pPr>
      <w:r>
        <w:rPr>
          <w:rFonts w:hint="eastAsia" w:ascii="仿宋" w:hAnsi="仿宋" w:eastAsia="仿宋" w:cs="仿宋"/>
          <w:color w:val="auto"/>
          <w:kern w:val="0"/>
          <w:sz w:val="24"/>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w:t>
      </w:r>
      <w:r>
        <w:rPr>
          <w:rFonts w:hint="eastAsia" w:ascii="仿宋" w:hAnsi="仿宋" w:eastAsia="仿宋" w:cs="仿宋"/>
          <w:color w:val="auto"/>
          <w:kern w:val="0"/>
          <w:sz w:val="24"/>
          <w:lang w:val="en-US" w:eastAsia="zh-CN"/>
        </w:rPr>
        <w:t>乐采云平台</w:t>
      </w:r>
      <w:r>
        <w:rPr>
          <w:rFonts w:hint="eastAsia" w:ascii="仿宋" w:hAnsi="仿宋" w:eastAsia="仿宋" w:cs="仿宋"/>
          <w:color w:val="auto"/>
          <w:kern w:val="0"/>
          <w:sz w:val="24"/>
        </w:rPr>
        <w:t>”操作规范将备份投标文件上传至“</w:t>
      </w:r>
      <w:r>
        <w:rPr>
          <w:rFonts w:hint="eastAsia" w:ascii="仿宋" w:hAnsi="仿宋" w:eastAsia="仿宋" w:cs="仿宋"/>
          <w:color w:val="auto"/>
          <w:kern w:val="0"/>
          <w:sz w:val="24"/>
          <w:lang w:val="en-US" w:eastAsia="zh-CN"/>
        </w:rPr>
        <w:t>乐采云平台</w:t>
      </w:r>
      <w:r>
        <w:rPr>
          <w:rFonts w:hint="eastAsia" w:ascii="仿宋" w:hAnsi="仿宋" w:eastAsia="仿宋" w:cs="仿宋"/>
          <w:color w:val="auto"/>
          <w:kern w:val="0"/>
          <w:sz w:val="24"/>
        </w:rPr>
        <w:t>”，上传成功后，“电子加密投标文件”自动失效；</w:t>
      </w:r>
    </w:p>
    <w:p>
      <w:pPr>
        <w:keepNext w:val="0"/>
        <w:keepLines w:val="0"/>
        <w:pageBreakBefore w:val="0"/>
        <w:widowControl w:val="0"/>
        <w:kinsoku/>
        <w:wordWrap/>
        <w:overflowPunct/>
        <w:topLinePunct w:val="0"/>
        <w:autoSpaceDE/>
        <w:autoSpaceDN/>
        <w:bidi w:val="0"/>
        <w:spacing w:line="360" w:lineRule="auto"/>
        <w:ind w:firstLine="480"/>
        <w:jc w:val="left"/>
        <w:textAlignment w:val="auto"/>
        <w:outlineLvl w:val="9"/>
        <w:rPr>
          <w:rFonts w:hint="eastAsia" w:ascii="仿宋" w:hAnsi="仿宋" w:eastAsia="仿宋" w:cs="仿宋"/>
          <w:color w:val="auto"/>
          <w:kern w:val="0"/>
          <w:sz w:val="24"/>
        </w:rPr>
      </w:pPr>
      <w:r>
        <w:rPr>
          <w:rFonts w:hint="eastAsia" w:ascii="仿宋" w:hAnsi="仿宋" w:eastAsia="仿宋" w:cs="仿宋"/>
          <w:color w:val="auto"/>
          <w:kern w:val="0"/>
          <w:sz w:val="24"/>
        </w:rPr>
        <w:t>（2）投标文件解密结束，各投标人组织签署《政企采购活动现场确认声明书》，格式见附件，填写完毕后发送至邮箱</w:t>
      </w:r>
      <w:r>
        <w:rPr>
          <w:rFonts w:hint="eastAsia" w:ascii="仿宋" w:hAnsi="仿宋" w:eastAsia="仿宋" w:cs="仿宋"/>
          <w:color w:val="auto"/>
          <w:kern w:val="0"/>
          <w:sz w:val="24"/>
          <w:szCs w:val="22"/>
          <w:lang w:val="en-US" w:eastAsia="zh-CN"/>
        </w:rPr>
        <w:t>1132452991</w:t>
      </w:r>
      <w:r>
        <w:rPr>
          <w:rFonts w:hint="eastAsia" w:ascii="仿宋" w:hAnsi="仿宋" w:eastAsia="仿宋" w:cs="仿宋"/>
          <w:color w:val="auto"/>
          <w:kern w:val="0"/>
          <w:sz w:val="24"/>
          <w:lang w:eastAsia="zh-CN"/>
        </w:rPr>
        <w:t>@qq.com</w:t>
      </w:r>
      <w:r>
        <w:rPr>
          <w:rFonts w:hint="eastAsia" w:ascii="仿宋" w:hAnsi="仿宋" w:eastAsia="仿宋" w:cs="仿宋"/>
          <w:color w:val="auto"/>
          <w:kern w:val="0"/>
          <w:sz w:val="24"/>
        </w:rPr>
        <w:t>；</w:t>
      </w:r>
    </w:p>
    <w:p>
      <w:pPr>
        <w:keepNext w:val="0"/>
        <w:keepLines w:val="0"/>
        <w:pageBreakBefore w:val="0"/>
        <w:widowControl w:val="0"/>
        <w:kinsoku/>
        <w:wordWrap/>
        <w:overflowPunct/>
        <w:topLinePunct w:val="0"/>
        <w:autoSpaceDE/>
        <w:autoSpaceDN/>
        <w:bidi w:val="0"/>
        <w:spacing w:line="360" w:lineRule="auto"/>
        <w:ind w:firstLine="480"/>
        <w:jc w:val="left"/>
        <w:textAlignment w:val="auto"/>
        <w:outlineLvl w:val="9"/>
        <w:rPr>
          <w:rFonts w:hint="eastAsia" w:ascii="仿宋" w:hAnsi="仿宋" w:eastAsia="仿宋" w:cs="仿宋"/>
          <w:color w:val="auto"/>
          <w:kern w:val="0"/>
          <w:sz w:val="24"/>
        </w:rPr>
      </w:pPr>
      <w:r>
        <w:rPr>
          <w:rFonts w:hint="eastAsia" w:ascii="仿宋" w:hAnsi="仿宋" w:eastAsia="仿宋" w:cs="仿宋"/>
          <w:color w:val="auto"/>
          <w:kern w:val="0"/>
          <w:sz w:val="24"/>
        </w:rPr>
        <w:t>（3）开启标书信息（资格文件、商务技术文件）。标书信息开启后，首先由采购人或采购代理机构依法对投标人的资格文件进行审查，审查投标人的资格符合情况。资格审查合格的投标人数量不足三家的，项目不再进行评审；</w:t>
      </w:r>
    </w:p>
    <w:p>
      <w:pPr>
        <w:keepNext w:val="0"/>
        <w:keepLines w:val="0"/>
        <w:pageBreakBefore w:val="0"/>
        <w:widowControl w:val="0"/>
        <w:kinsoku/>
        <w:wordWrap/>
        <w:overflowPunct/>
        <w:topLinePunct w:val="0"/>
        <w:autoSpaceDE/>
        <w:autoSpaceDN/>
        <w:bidi w:val="0"/>
        <w:spacing w:line="360" w:lineRule="auto"/>
        <w:ind w:firstLine="480"/>
        <w:jc w:val="left"/>
        <w:textAlignment w:val="auto"/>
        <w:outlineLvl w:val="9"/>
        <w:rPr>
          <w:rFonts w:hint="eastAsia" w:ascii="仿宋" w:hAnsi="仿宋" w:eastAsia="仿宋" w:cs="仿宋"/>
          <w:color w:val="auto"/>
          <w:kern w:val="0"/>
          <w:sz w:val="24"/>
        </w:rPr>
      </w:pPr>
      <w:r>
        <w:rPr>
          <w:rFonts w:hint="eastAsia" w:ascii="仿宋" w:hAnsi="仿宋" w:eastAsia="仿宋" w:cs="仿宋"/>
          <w:color w:val="auto"/>
          <w:kern w:val="0"/>
          <w:sz w:val="24"/>
        </w:rPr>
        <w:t>（4）开启资格审查通过的投标人的商务技术文件进入符合性审查、商务技术评审；</w:t>
      </w:r>
    </w:p>
    <w:p>
      <w:pPr>
        <w:keepNext w:val="0"/>
        <w:keepLines w:val="0"/>
        <w:pageBreakBefore w:val="0"/>
        <w:widowControl w:val="0"/>
        <w:kinsoku/>
        <w:wordWrap/>
        <w:overflowPunct/>
        <w:topLinePunct w:val="0"/>
        <w:autoSpaceDE/>
        <w:autoSpaceDN/>
        <w:bidi w:val="0"/>
        <w:spacing w:line="360" w:lineRule="auto"/>
        <w:ind w:firstLine="480"/>
        <w:jc w:val="left"/>
        <w:textAlignment w:val="auto"/>
        <w:outlineLvl w:val="9"/>
        <w:rPr>
          <w:rFonts w:hint="eastAsia" w:ascii="仿宋" w:hAnsi="仿宋" w:eastAsia="仿宋" w:cs="仿宋"/>
          <w:color w:val="auto"/>
          <w:kern w:val="0"/>
          <w:sz w:val="24"/>
        </w:rPr>
      </w:pPr>
      <w:r>
        <w:rPr>
          <w:rFonts w:hint="eastAsia" w:ascii="仿宋" w:hAnsi="仿宋" w:eastAsia="仿宋" w:cs="仿宋"/>
          <w:color w:val="auto"/>
          <w:kern w:val="0"/>
          <w:sz w:val="24"/>
        </w:rPr>
        <w:t>（5）商务技术评审结束后，宣告商务技术评审无效投标人名称及理由；公布经商务技术评审的有效投标人名单，同时公布其商务技术得分情况。</w:t>
      </w:r>
    </w:p>
    <w:p>
      <w:pPr>
        <w:keepNext w:val="0"/>
        <w:keepLines w:val="0"/>
        <w:pageBreakBefore w:val="0"/>
        <w:widowControl w:val="0"/>
        <w:kinsoku/>
        <w:wordWrap/>
        <w:overflowPunct/>
        <w:topLinePunct w:val="0"/>
        <w:autoSpaceDE/>
        <w:autoSpaceDN/>
        <w:bidi w:val="0"/>
        <w:spacing w:line="360" w:lineRule="auto"/>
        <w:ind w:firstLine="48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（6）开启有效投标人的《报价文件》，同时当场制作开标记录表，由投标人代表、唱标人、记录人和现场监督员在开标记录表上签字确认（电子交易项目投标人通过“</w:t>
      </w:r>
      <w:r>
        <w:rPr>
          <w:rFonts w:hint="eastAsia" w:ascii="仿宋" w:hAnsi="仿宋" w:eastAsia="仿宋" w:cs="仿宋"/>
          <w:color w:val="auto"/>
          <w:kern w:val="0"/>
          <w:sz w:val="24"/>
          <w:szCs w:val="24"/>
          <w:lang w:val="en-US" w:eastAsia="zh-CN"/>
        </w:rPr>
        <w:t>乐采云</w:t>
      </w:r>
      <w:r>
        <w:rPr>
          <w:rFonts w:hint="eastAsia" w:ascii="仿宋" w:hAnsi="仿宋" w:eastAsia="仿宋" w:cs="仿宋"/>
          <w:color w:val="auto"/>
          <w:kern w:val="0"/>
          <w:sz w:val="24"/>
          <w:szCs w:val="24"/>
        </w:rPr>
        <w:t>平台在线确认”），投标人不予确认的应说明理由，否则视为无异议。唱标结束后，由评标委员会对报价的合理性、准确性等进行审查核实。</w:t>
      </w:r>
    </w:p>
    <w:p>
      <w:pPr>
        <w:keepNext w:val="0"/>
        <w:keepLines w:val="0"/>
        <w:pageBreakBefore w:val="0"/>
        <w:widowControl w:val="0"/>
        <w:kinsoku/>
        <w:wordWrap/>
        <w:overflowPunct/>
        <w:topLinePunct w:val="0"/>
        <w:autoSpaceDE/>
        <w:autoSpaceDN/>
        <w:bidi w:val="0"/>
        <w:spacing w:line="360" w:lineRule="auto"/>
        <w:ind w:firstLine="48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（7）在系统上公布评审结果。</w:t>
      </w:r>
    </w:p>
    <w:p>
      <w:pPr>
        <w:keepNext w:val="0"/>
        <w:keepLines w:val="0"/>
        <w:pageBreakBefore w:val="0"/>
        <w:widowControl w:val="0"/>
        <w:kinsoku/>
        <w:wordWrap/>
        <w:overflowPunct/>
        <w:topLinePunct w:val="0"/>
        <w:autoSpaceDE/>
        <w:autoSpaceDN/>
        <w:bidi w:val="0"/>
        <w:spacing w:line="360" w:lineRule="auto"/>
        <w:ind w:firstLine="482"/>
        <w:jc w:val="left"/>
        <w:textAlignment w:val="auto"/>
        <w:outlineLvl w:val="9"/>
        <w:rPr>
          <w:rFonts w:hint="eastAsia" w:ascii="仿宋" w:hAnsi="仿宋" w:eastAsia="仿宋" w:cs="仿宋"/>
          <w:b/>
          <w:color w:val="auto"/>
          <w:kern w:val="0"/>
          <w:sz w:val="24"/>
        </w:rPr>
      </w:pPr>
      <w:r>
        <w:rPr>
          <w:rFonts w:hint="eastAsia" w:ascii="仿宋" w:hAnsi="仿宋" w:eastAsia="仿宋" w:cs="仿宋"/>
          <w:b/>
          <w:color w:val="auto"/>
          <w:kern w:val="0"/>
          <w:sz w:val="24"/>
        </w:rPr>
        <w:t>特别说明：</w:t>
      </w:r>
    </w:p>
    <w:p>
      <w:pPr>
        <w:keepNext w:val="0"/>
        <w:keepLines w:val="0"/>
        <w:pageBreakBefore w:val="0"/>
        <w:widowControl w:val="0"/>
        <w:numPr>
          <w:ilvl w:val="0"/>
          <w:numId w:val="0"/>
        </w:numPr>
        <w:kinsoku/>
        <w:wordWrap/>
        <w:overflowPunct/>
        <w:topLinePunct w:val="0"/>
        <w:autoSpaceDE/>
        <w:autoSpaceDN/>
        <w:bidi w:val="0"/>
        <w:spacing w:line="360" w:lineRule="auto"/>
        <w:ind w:firstLine="480"/>
        <w:jc w:val="left"/>
        <w:textAlignment w:val="auto"/>
        <w:outlineLvl w:val="9"/>
        <w:rPr>
          <w:rFonts w:hint="eastAsia" w:ascii="仿宋" w:hAnsi="仿宋" w:eastAsia="仿宋" w:cs="仿宋"/>
          <w:bCs/>
          <w:color w:val="auto"/>
          <w:kern w:val="0"/>
          <w:sz w:val="24"/>
        </w:rPr>
      </w:pPr>
      <w:r>
        <w:rPr>
          <w:rFonts w:hint="eastAsia" w:ascii="仿宋" w:hAnsi="仿宋" w:eastAsia="仿宋" w:cs="仿宋"/>
          <w:bCs/>
          <w:color w:val="auto"/>
          <w:kern w:val="0"/>
          <w:sz w:val="24"/>
          <w:szCs w:val="22"/>
          <w:lang w:val="en-US" w:eastAsia="zh-CN" w:bidi="ar-SA"/>
        </w:rPr>
        <w:t>1.</w:t>
      </w:r>
      <w:r>
        <w:rPr>
          <w:rFonts w:hint="eastAsia" w:ascii="仿宋" w:hAnsi="仿宋" w:eastAsia="仿宋" w:cs="仿宋"/>
          <w:bCs/>
          <w:color w:val="auto"/>
          <w:kern w:val="0"/>
          <w:sz w:val="24"/>
        </w:rPr>
        <w:t>如遇“</w:t>
      </w:r>
      <w:r>
        <w:rPr>
          <w:rFonts w:hint="eastAsia" w:ascii="仿宋" w:hAnsi="仿宋" w:eastAsia="仿宋" w:cs="仿宋"/>
          <w:bCs/>
          <w:color w:val="auto"/>
          <w:kern w:val="0"/>
          <w:sz w:val="24"/>
          <w:lang w:val="en-US" w:eastAsia="zh-CN"/>
        </w:rPr>
        <w:t>乐采云</w:t>
      </w:r>
      <w:r>
        <w:rPr>
          <w:rFonts w:hint="eastAsia" w:ascii="仿宋" w:hAnsi="仿宋" w:eastAsia="仿宋" w:cs="仿宋"/>
          <w:bCs/>
          <w:color w:val="auto"/>
          <w:kern w:val="0"/>
          <w:sz w:val="24"/>
        </w:rPr>
        <w:t>”电子化开标或评审程序调整的，按调整后程序执行。</w:t>
      </w:r>
    </w:p>
    <w:p>
      <w:pPr>
        <w:keepNext w:val="0"/>
        <w:keepLines w:val="0"/>
        <w:pageBreakBefore w:val="0"/>
        <w:widowControl w:val="0"/>
        <w:kinsoku/>
        <w:wordWrap/>
        <w:overflowPunct/>
        <w:topLinePunct w:val="0"/>
        <w:autoSpaceDE/>
        <w:autoSpaceDN/>
        <w:bidi w:val="0"/>
        <w:spacing w:line="360" w:lineRule="auto"/>
        <w:ind w:firstLine="480"/>
        <w:jc w:val="left"/>
        <w:textAlignment w:val="auto"/>
        <w:outlineLvl w:val="9"/>
        <w:rPr>
          <w:rFonts w:hint="eastAsia" w:ascii="仿宋" w:hAnsi="仿宋" w:eastAsia="仿宋" w:cs="仿宋"/>
          <w:bCs/>
          <w:color w:val="auto"/>
          <w:kern w:val="0"/>
          <w:sz w:val="24"/>
        </w:rPr>
      </w:pPr>
      <w:r>
        <w:rPr>
          <w:rFonts w:hint="eastAsia" w:ascii="仿宋" w:hAnsi="仿宋" w:eastAsia="仿宋" w:cs="仿宋"/>
          <w:bCs/>
          <w:color w:val="auto"/>
          <w:kern w:val="0"/>
          <w:sz w:val="24"/>
        </w:rPr>
        <w:t>2.开标过程中需要相关当事人进行签字或盖章确认的材料将通过“</w:t>
      </w:r>
      <w:r>
        <w:rPr>
          <w:rFonts w:hint="eastAsia" w:ascii="仿宋" w:hAnsi="仿宋" w:eastAsia="仿宋" w:cs="仿宋"/>
          <w:bCs/>
          <w:color w:val="auto"/>
          <w:kern w:val="0"/>
          <w:sz w:val="24"/>
          <w:lang w:val="en-US" w:eastAsia="zh-CN"/>
        </w:rPr>
        <w:t>乐采云</w:t>
      </w:r>
      <w:r>
        <w:rPr>
          <w:rFonts w:hint="eastAsia" w:ascii="仿宋" w:hAnsi="仿宋" w:eastAsia="仿宋" w:cs="仿宋"/>
          <w:bCs/>
          <w:color w:val="auto"/>
          <w:kern w:val="0"/>
          <w:sz w:val="24"/>
        </w:rPr>
        <w:t>”进行，若因“</w:t>
      </w:r>
      <w:r>
        <w:rPr>
          <w:rFonts w:hint="eastAsia" w:ascii="仿宋" w:hAnsi="仿宋" w:eastAsia="仿宋" w:cs="仿宋"/>
          <w:bCs/>
          <w:color w:val="auto"/>
          <w:kern w:val="0"/>
          <w:sz w:val="24"/>
          <w:lang w:val="en-US" w:eastAsia="zh-CN"/>
        </w:rPr>
        <w:t>乐采云</w:t>
      </w:r>
      <w:r>
        <w:rPr>
          <w:rFonts w:hint="eastAsia" w:ascii="仿宋" w:hAnsi="仿宋" w:eastAsia="仿宋" w:cs="仿宋"/>
          <w:bCs/>
          <w:color w:val="auto"/>
          <w:kern w:val="0"/>
          <w:sz w:val="24"/>
        </w:rPr>
        <w:t>”技术问题无法进行签字或盖章确认的，采购组织机构将通过邮件、传真等形式予以确认。</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采购代理机构按照招标文件规定的时间通过电子交易平台组织开标，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投标人不足3家的，不得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2</w:t>
      </w: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auto"/>
          <w:sz w:val="24"/>
          <w:szCs w:val="24"/>
        </w:rPr>
        <w:t>开标时，电子交易平台按开标时间自动提取所有投标文件。采购组织机构依托电子交易平台发起开始解密指令，投标人按照平台提示和招标文件的规定在【</w:t>
      </w:r>
      <w:r>
        <w:rPr>
          <w:rFonts w:hint="eastAsia" w:ascii="仿宋" w:hAnsi="仿宋" w:eastAsia="仿宋" w:cs="仿宋"/>
          <w:b/>
          <w:i w:val="0"/>
          <w:iCs w:val="0"/>
          <w:color w:val="auto"/>
          <w:sz w:val="24"/>
          <w:szCs w:val="24"/>
          <w:u w:val="single"/>
        </w:rPr>
        <w:t>30分钟</w:t>
      </w:r>
      <w:r>
        <w:rPr>
          <w:rFonts w:hint="eastAsia" w:ascii="仿宋" w:hAnsi="仿宋" w:eastAsia="仿宋" w:cs="仿宋"/>
          <w:i w:val="0"/>
          <w:iCs w:val="0"/>
          <w:color w:val="auto"/>
          <w:sz w:val="24"/>
          <w:szCs w:val="24"/>
        </w:rPr>
        <w:t>】内完成在线解密。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color w:val="auto"/>
          <w:kern w:val="0"/>
          <w:sz w:val="24"/>
          <w:szCs w:val="24"/>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资格审查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kern w:val="0"/>
          <w:sz w:val="24"/>
          <w:szCs w:val="24"/>
        </w:rPr>
        <w:t>开标后，采购人或采购代理机构依据法律法规和招标文件的规定，对投标人的资格符合性进行审查。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en-US" w:eastAsia="zh-CN"/>
        </w:rPr>
        <w:t>2.</w:t>
      </w:r>
      <w:r>
        <w:rPr>
          <w:rFonts w:hint="eastAsia" w:ascii="仿宋" w:hAnsi="仿宋" w:eastAsia="仿宋" w:cs="仿宋"/>
          <w:b/>
          <w:color w:val="auto"/>
          <w:kern w:val="0"/>
          <w:sz w:val="24"/>
          <w:szCs w:val="24"/>
          <w:u w:val="single"/>
        </w:rPr>
        <w:t>投标人未按招标文件要求提交与“申请人的资格要求”的条件相应的有效资格证明材料的，视为投标人不具备招标文件中规定的资格要求，其投标无效</w:t>
      </w:r>
      <w:r>
        <w:rPr>
          <w:rFonts w:hint="eastAsia" w:ascii="仿宋" w:hAnsi="仿宋" w:eastAsia="仿宋" w:cs="仿宋"/>
          <w:b/>
          <w:color w:val="auto"/>
          <w:kern w:val="0"/>
          <w:sz w:val="24"/>
          <w:szCs w:val="24"/>
        </w:rPr>
        <w:t>，</w:t>
      </w:r>
      <w:r>
        <w:rPr>
          <w:rFonts w:hint="eastAsia" w:ascii="仿宋" w:hAnsi="仿宋" w:eastAsia="仿宋" w:cs="仿宋"/>
          <w:color w:val="auto"/>
          <w:kern w:val="0"/>
          <w:sz w:val="24"/>
          <w:szCs w:val="24"/>
        </w:rPr>
        <w:t>并不再将其商务技术文件、报价文件提交给评标委员会进行后续评审。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对未通过资格审查的投标人，采购人或采购代理机构告知其未通过的原因。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4.资格审查合格的投标人不足3家的，不再进行评标。</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信用信息查询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1.信用信息查询渠道及截止时间：采购人或采购代理机构将在资格审查时通过“信用中国”网站(www.creditchina.gov.cn)、中国政府采购网(www.ccgp.gov.cn)渠道查询投标人接受资格审查时的信用记录。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2.信用信息查询记录和证据留存的具体方式：现场查询的投标人的信用记录、查询结果经确认后将与采购文件一起存档。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3.信用信息的使用规则：</w:t>
      </w:r>
      <w:r>
        <w:rPr>
          <w:rFonts w:hint="eastAsia" w:ascii="仿宋" w:hAnsi="仿宋" w:eastAsia="仿宋" w:cs="仿宋"/>
          <w:b/>
          <w:color w:val="auto"/>
          <w:kern w:val="0"/>
          <w:sz w:val="24"/>
          <w:szCs w:val="24"/>
          <w:lang w:val="en-US" w:eastAsia="zh-CN" w:bidi="ar-SA"/>
        </w:rPr>
        <w:t>经查询列入失信被执行人名单、重大税收违法案件当事人名单、采购严重违法失信行为记录名单的投标人将被拒绝参与采购活动</w:t>
      </w:r>
      <w:r>
        <w:rPr>
          <w:rFonts w:hint="eastAsia" w:ascii="仿宋" w:hAnsi="仿宋" w:eastAsia="仿宋" w:cs="仿宋"/>
          <w:color w:val="auto"/>
          <w:kern w:val="0"/>
          <w:sz w:val="24"/>
          <w:szCs w:val="24"/>
          <w:lang w:val="en-US" w:eastAsia="zh-CN" w:bidi="ar-SA"/>
        </w:rPr>
        <w:t>。</w:t>
      </w:r>
    </w:p>
    <w:p>
      <w:pPr>
        <w:keepNext w:val="0"/>
        <w:keepLines w:val="0"/>
        <w:pageBreakBefore w:val="0"/>
        <w:widowControl w:val="0"/>
        <w:kinsoku/>
        <w:wordWrap/>
        <w:overflowPunct/>
        <w:topLinePunct w:val="0"/>
        <w:autoSpaceDE/>
        <w:autoSpaceDN/>
        <w:bidi w:val="0"/>
        <w:spacing w:line="360" w:lineRule="auto"/>
        <w:ind w:firstLine="480"/>
        <w:jc w:val="left"/>
        <w:textAlignment w:val="auto"/>
        <w:outlineLvl w:val="9"/>
        <w:rPr>
          <w:rFonts w:hint="eastAsia" w:ascii="仿宋" w:hAnsi="仿宋" w:eastAsia="仿宋" w:cs="仿宋"/>
          <w:bCs/>
          <w:color w:val="auto"/>
          <w:kern w:val="0"/>
          <w:sz w:val="24"/>
        </w:rPr>
      </w:pPr>
      <w:r>
        <w:rPr>
          <w:rFonts w:hint="eastAsia" w:ascii="仿宋" w:hAnsi="仿宋" w:eastAsia="仿宋" w:cs="仿宋"/>
          <w:color w:val="auto"/>
          <w:kern w:val="0"/>
          <w:sz w:val="24"/>
          <w:szCs w:val="24"/>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color w:val="auto"/>
          <w:sz w:val="24"/>
          <w:szCs w:val="24"/>
        </w:rPr>
        <w:t>。</w:t>
      </w:r>
      <w:bookmarkEnd w:id="207"/>
    </w:p>
    <w:p>
      <w:pPr>
        <w:keepNext w:val="0"/>
        <w:keepLines w:val="0"/>
        <w:pageBreakBefore w:val="0"/>
        <w:widowControl w:val="0"/>
        <w:kinsoku/>
        <w:wordWrap/>
        <w:overflowPunct/>
        <w:topLinePunct w:val="0"/>
        <w:autoSpaceDE/>
        <w:autoSpaceDN/>
        <w:bidi w:val="0"/>
        <w:snapToGrid w:val="0"/>
        <w:spacing w:line="360" w:lineRule="auto"/>
        <w:ind w:firstLine="482"/>
        <w:jc w:val="left"/>
        <w:textAlignment w:val="auto"/>
        <w:outlineLvl w:val="9"/>
        <w:rPr>
          <w:rFonts w:hint="eastAsia" w:ascii="仿宋" w:hAnsi="仿宋" w:eastAsia="仿宋" w:cs="仿宋"/>
          <w:b/>
          <w:color w:val="auto"/>
          <w:sz w:val="24"/>
        </w:rPr>
      </w:pPr>
      <w:bookmarkStart w:id="209" w:name="_Toc29888"/>
      <w:r>
        <w:rPr>
          <w:rFonts w:hint="eastAsia" w:ascii="仿宋" w:hAnsi="仿宋" w:eastAsia="仿宋" w:cs="仿宋"/>
          <w:b/>
          <w:color w:val="auto"/>
          <w:sz w:val="24"/>
        </w:rPr>
        <w:t>（</w:t>
      </w:r>
      <w:r>
        <w:rPr>
          <w:rFonts w:hint="eastAsia" w:ascii="仿宋" w:hAnsi="仿宋" w:eastAsia="仿宋" w:cs="仿宋"/>
          <w:b/>
          <w:color w:val="auto"/>
          <w:sz w:val="24"/>
          <w:lang w:val="en-US" w:eastAsia="zh-CN"/>
        </w:rPr>
        <w:t>五</w:t>
      </w:r>
      <w:r>
        <w:rPr>
          <w:rFonts w:hint="eastAsia" w:ascii="仿宋" w:hAnsi="仿宋" w:eastAsia="仿宋" w:cs="仿宋"/>
          <w:b/>
          <w:color w:val="auto"/>
          <w:sz w:val="24"/>
        </w:rPr>
        <w:t>）情况说明</w:t>
      </w:r>
      <w:bookmarkEnd w:id="209"/>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本项目采用电子招投标开标及评审程序，但有以下情形之一的，按以下情况处理：</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若投标人在规定时间内无法解密或解密失败，绍兴平准招标代理有限公司将开启解密失败的投标人递交的以介质存储的数据电文形式的备份投标文件，上传至乐采云平台项目采购模块，以完成开标，电子投标文件自动失效。</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1）电子交易平台发生故障而无法登录访问的； </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2）电子交易平台应用或数据库出现错误，不能进行正常操作的；</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3）电子交易平台发现严重安全漏洞，有潜在泄密危险的；</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4）病毒发作导致不能进行正常操作的； </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5）其他无法保证电子交易的公平、公正和安全的情况。</w:t>
      </w:r>
    </w:p>
    <w:bookmarkEnd w:id="208"/>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1"/>
        <w:rPr>
          <w:rFonts w:hint="eastAsia" w:ascii="仿宋" w:hAnsi="仿宋" w:eastAsia="仿宋" w:cs="仿宋"/>
          <w:b/>
          <w:color w:val="auto"/>
          <w:kern w:val="0"/>
          <w:sz w:val="24"/>
          <w:szCs w:val="24"/>
          <w:lang w:val="en-US" w:eastAsia="zh-CN" w:bidi="ar-SA"/>
        </w:rPr>
      </w:pPr>
      <w:bookmarkStart w:id="210" w:name="_Toc710"/>
      <w:bookmarkStart w:id="211" w:name="_Toc29223"/>
      <w:r>
        <w:rPr>
          <w:rFonts w:hint="eastAsia" w:ascii="仿宋" w:hAnsi="仿宋" w:eastAsia="仿宋" w:cs="仿宋"/>
          <w:b/>
          <w:color w:val="auto"/>
          <w:kern w:val="0"/>
          <w:sz w:val="24"/>
          <w:szCs w:val="24"/>
          <w:lang w:val="en-US" w:eastAsia="zh-CN" w:bidi="ar-SA"/>
        </w:rPr>
        <w:t>五、评标</w:t>
      </w:r>
      <w:bookmarkEnd w:id="199"/>
      <w:bookmarkEnd w:id="200"/>
      <w:bookmarkEnd w:id="201"/>
      <w:bookmarkEnd w:id="202"/>
      <w:bookmarkEnd w:id="203"/>
      <w:bookmarkEnd w:id="210"/>
      <w:bookmarkEnd w:id="211"/>
    </w:p>
    <w:bookmarkEnd w:id="204"/>
    <w:bookmarkEnd w:id="205"/>
    <w:bookmarkEnd w:id="206"/>
    <w:p>
      <w:pPr>
        <w:keepNext w:val="0"/>
        <w:keepLines w:val="0"/>
        <w:pageBreakBefore w:val="0"/>
        <w:widowControl w:val="0"/>
        <w:kinsoku/>
        <w:wordWrap/>
        <w:overflowPunct/>
        <w:topLinePunct w:val="0"/>
        <w:autoSpaceDE/>
        <w:autoSpaceDN/>
        <w:bidi w:val="0"/>
        <w:snapToGrid w:val="0"/>
        <w:spacing w:line="360" w:lineRule="auto"/>
        <w:ind w:firstLine="482"/>
        <w:jc w:val="left"/>
        <w:textAlignment w:val="auto"/>
        <w:outlineLvl w:val="9"/>
        <w:rPr>
          <w:rFonts w:hint="eastAsia" w:ascii="仿宋" w:hAnsi="仿宋" w:eastAsia="仿宋" w:cs="仿宋"/>
          <w:b/>
          <w:color w:val="auto"/>
          <w:sz w:val="24"/>
          <w:szCs w:val="20"/>
        </w:rPr>
      </w:pPr>
      <w:bookmarkStart w:id="212" w:name="_Toc31030"/>
      <w:bookmarkStart w:id="213" w:name="_Toc514938678"/>
      <w:bookmarkStart w:id="214" w:name="_Toc3505"/>
      <w:bookmarkStart w:id="215" w:name="_Toc192"/>
      <w:bookmarkStart w:id="216" w:name="_Toc504504574"/>
      <w:bookmarkStart w:id="217" w:name="_Toc19032"/>
      <w:bookmarkStart w:id="218" w:name="_Toc510614926"/>
      <w:r>
        <w:rPr>
          <w:rFonts w:hint="eastAsia" w:ascii="仿宋" w:hAnsi="仿宋" w:eastAsia="仿宋" w:cs="仿宋"/>
          <w:b/>
          <w:color w:val="auto"/>
          <w:sz w:val="24"/>
          <w:szCs w:val="20"/>
        </w:rPr>
        <w:t>（一）组建评标委员会</w:t>
      </w:r>
      <w:bookmarkEnd w:id="212"/>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仿宋" w:hAnsi="仿宋" w:eastAsia="仿宋" w:cs="仿宋"/>
          <w:color w:val="auto"/>
          <w:kern w:val="0"/>
          <w:sz w:val="24"/>
          <w:szCs w:val="24"/>
        </w:rPr>
      </w:pPr>
      <w:bookmarkStart w:id="219" w:name="_Toc25549"/>
      <w:r>
        <w:rPr>
          <w:rFonts w:hint="eastAsia" w:ascii="仿宋" w:hAnsi="仿宋" w:eastAsia="仿宋" w:cs="仿宋"/>
          <w:color w:val="auto"/>
          <w:kern w:val="0"/>
          <w:sz w:val="24"/>
          <w:szCs w:val="24"/>
        </w:rPr>
        <w:t>1.评标工作由评标委员会负责。评标委员会按有关规定产生。评标委员会由采购人代表和评审专家组成，成员人数为7人，其中采购人代表为1人。</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2.评标委员会成员名单在评审结果（采购结果）公告前保密。</w:t>
      </w:r>
    </w:p>
    <w:p>
      <w:pPr>
        <w:keepNext w:val="0"/>
        <w:keepLines w:val="0"/>
        <w:pageBreakBefore w:val="0"/>
        <w:widowControl w:val="0"/>
        <w:kinsoku/>
        <w:wordWrap/>
        <w:overflowPunct/>
        <w:topLinePunct w:val="0"/>
        <w:autoSpaceDE/>
        <w:autoSpaceDN/>
        <w:bidi w:val="0"/>
        <w:snapToGrid w:val="0"/>
        <w:spacing w:line="360" w:lineRule="auto"/>
        <w:ind w:firstLine="482"/>
        <w:jc w:val="left"/>
        <w:textAlignment w:val="auto"/>
        <w:outlineLvl w:val="9"/>
        <w:rPr>
          <w:rFonts w:hint="eastAsia" w:ascii="仿宋" w:hAnsi="仿宋" w:eastAsia="仿宋" w:cs="仿宋"/>
          <w:b/>
          <w:color w:val="auto"/>
          <w:sz w:val="24"/>
          <w:szCs w:val="20"/>
        </w:rPr>
      </w:pPr>
      <w:r>
        <w:rPr>
          <w:rFonts w:hint="eastAsia" w:ascii="仿宋" w:hAnsi="仿宋" w:eastAsia="仿宋" w:cs="仿宋"/>
          <w:b/>
          <w:color w:val="auto"/>
          <w:sz w:val="24"/>
          <w:szCs w:val="20"/>
        </w:rPr>
        <w:t>（二）评标的方式</w:t>
      </w:r>
      <w:bookmarkEnd w:id="219"/>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本项目采用不公开方式评标，评标的依据为招标文件和投标文件。</w:t>
      </w:r>
    </w:p>
    <w:p>
      <w:pPr>
        <w:keepNext w:val="0"/>
        <w:keepLines w:val="0"/>
        <w:pageBreakBefore w:val="0"/>
        <w:widowControl w:val="0"/>
        <w:kinsoku/>
        <w:wordWrap/>
        <w:overflowPunct/>
        <w:topLinePunct w:val="0"/>
        <w:autoSpaceDE/>
        <w:autoSpaceDN/>
        <w:bidi w:val="0"/>
        <w:snapToGrid w:val="0"/>
        <w:spacing w:line="360" w:lineRule="auto"/>
        <w:ind w:firstLine="482"/>
        <w:jc w:val="left"/>
        <w:textAlignment w:val="auto"/>
        <w:outlineLvl w:val="9"/>
        <w:rPr>
          <w:rFonts w:hint="eastAsia" w:ascii="仿宋" w:hAnsi="仿宋" w:eastAsia="仿宋" w:cs="仿宋"/>
          <w:b/>
          <w:color w:val="auto"/>
          <w:sz w:val="24"/>
          <w:szCs w:val="20"/>
        </w:rPr>
      </w:pPr>
      <w:bookmarkStart w:id="220" w:name="_Toc27665"/>
      <w:r>
        <w:rPr>
          <w:rFonts w:hint="eastAsia" w:ascii="仿宋" w:hAnsi="仿宋" w:eastAsia="仿宋" w:cs="仿宋"/>
          <w:b/>
          <w:color w:val="auto"/>
          <w:sz w:val="24"/>
          <w:szCs w:val="20"/>
        </w:rPr>
        <w:t>（三）评标委员会的职责</w:t>
      </w:r>
      <w:bookmarkEnd w:id="220"/>
    </w:p>
    <w:p>
      <w:pPr>
        <w:keepNext w:val="0"/>
        <w:keepLines w:val="0"/>
        <w:pageBreakBefore w:val="0"/>
        <w:widowControl w:val="0"/>
        <w:kinsoku/>
        <w:wordWrap/>
        <w:overflowPunct/>
        <w:topLinePunct w:val="0"/>
        <w:autoSpaceDE/>
        <w:autoSpaceDN/>
        <w:bidi w:val="0"/>
        <w:spacing w:line="360" w:lineRule="auto"/>
        <w:ind w:firstLine="482"/>
        <w:textAlignment w:val="auto"/>
        <w:outlineLvl w:val="9"/>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评标委员会负责具体评审事务，并独立履行下列职责：</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（1）审查、评价投标文件是否符合采购文件的资信、技术等实质性要求；</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（2）要求投标人对投标文件有关事项作出澄清或者说明；</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（3）对投标文件进行比较和评价；</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（4）确定中标候选人名单，以及根据采购人委托直接确定中标单位；</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（5）向采购人、采购代理机构或者有关部门报告评审中发现的违法行为。</w:t>
      </w:r>
    </w:p>
    <w:p>
      <w:pPr>
        <w:keepNext w:val="0"/>
        <w:keepLines w:val="0"/>
        <w:pageBreakBefore w:val="0"/>
        <w:widowControl w:val="0"/>
        <w:kinsoku/>
        <w:wordWrap/>
        <w:overflowPunct/>
        <w:topLinePunct w:val="0"/>
        <w:autoSpaceDE/>
        <w:autoSpaceDN/>
        <w:bidi w:val="0"/>
        <w:snapToGrid w:val="0"/>
        <w:spacing w:line="360" w:lineRule="auto"/>
        <w:ind w:firstLine="482"/>
        <w:jc w:val="left"/>
        <w:textAlignment w:val="auto"/>
        <w:outlineLvl w:val="9"/>
        <w:rPr>
          <w:rFonts w:hint="eastAsia" w:ascii="仿宋" w:hAnsi="仿宋" w:eastAsia="仿宋" w:cs="仿宋"/>
          <w:b/>
          <w:color w:val="auto"/>
          <w:sz w:val="24"/>
          <w:szCs w:val="20"/>
        </w:rPr>
      </w:pPr>
      <w:r>
        <w:rPr>
          <w:rFonts w:hint="eastAsia" w:ascii="仿宋" w:hAnsi="仿宋" w:eastAsia="仿宋" w:cs="仿宋"/>
          <w:b/>
          <w:color w:val="auto"/>
          <w:sz w:val="24"/>
          <w:szCs w:val="20"/>
        </w:rPr>
        <w:t>（四）评审原则</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1.评审原则：评标委员会按照客观、公正、审慎、择优的原则，根据采购文件规定的评审程序、评审方法和评审标准进行独立评审。</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2.评审工作将依据采购文件、投标文件及采购文件中事先已列明的内容进行。</w:t>
      </w:r>
    </w:p>
    <w:p>
      <w:pPr>
        <w:keepNext w:val="0"/>
        <w:keepLines w:val="0"/>
        <w:pageBreakBefore w:val="0"/>
        <w:widowControl w:val="0"/>
        <w:kinsoku/>
        <w:wordWrap/>
        <w:overflowPunct/>
        <w:topLinePunct w:val="0"/>
        <w:autoSpaceDE/>
        <w:autoSpaceDN/>
        <w:bidi w:val="0"/>
        <w:snapToGrid w:val="0"/>
        <w:spacing w:line="360" w:lineRule="auto"/>
        <w:ind w:firstLine="482"/>
        <w:jc w:val="left"/>
        <w:textAlignment w:val="auto"/>
        <w:outlineLvl w:val="9"/>
        <w:rPr>
          <w:rFonts w:hint="eastAsia" w:ascii="仿宋" w:hAnsi="仿宋" w:eastAsia="仿宋" w:cs="仿宋"/>
          <w:b/>
          <w:color w:val="auto"/>
          <w:sz w:val="24"/>
          <w:szCs w:val="20"/>
        </w:rPr>
      </w:pPr>
      <w:r>
        <w:rPr>
          <w:rFonts w:hint="eastAsia" w:ascii="仿宋" w:hAnsi="仿宋" w:eastAsia="仿宋" w:cs="仿宋"/>
          <w:b/>
          <w:color w:val="auto"/>
          <w:sz w:val="24"/>
          <w:szCs w:val="20"/>
        </w:rPr>
        <w:t>（五）评审意见的争议处理</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评标委员会成员对需要共同认定的事项存在争议的，按照少数服从多数的原则作出结论。持不同意见的评标委员会成员应当在评审报告上签署不同意见及理由，否则视为同意评审报告。</w:t>
      </w:r>
    </w:p>
    <w:p>
      <w:pPr>
        <w:keepNext w:val="0"/>
        <w:keepLines w:val="0"/>
        <w:pageBreakBefore w:val="0"/>
        <w:widowControl w:val="0"/>
        <w:kinsoku/>
        <w:wordWrap/>
        <w:overflowPunct/>
        <w:topLinePunct w:val="0"/>
        <w:autoSpaceDE/>
        <w:autoSpaceDN/>
        <w:bidi w:val="0"/>
        <w:snapToGrid w:val="0"/>
        <w:spacing w:line="360" w:lineRule="auto"/>
        <w:ind w:firstLine="482"/>
        <w:jc w:val="left"/>
        <w:textAlignment w:val="auto"/>
        <w:outlineLvl w:val="9"/>
        <w:rPr>
          <w:rFonts w:hint="eastAsia" w:ascii="仿宋" w:hAnsi="仿宋" w:eastAsia="仿宋" w:cs="仿宋"/>
          <w:b/>
          <w:color w:val="auto"/>
          <w:sz w:val="24"/>
          <w:szCs w:val="20"/>
        </w:rPr>
      </w:pPr>
      <w:r>
        <w:rPr>
          <w:rFonts w:hint="eastAsia" w:ascii="仿宋" w:hAnsi="仿宋" w:eastAsia="仿宋" w:cs="仿宋"/>
          <w:b/>
          <w:color w:val="auto"/>
          <w:sz w:val="24"/>
          <w:szCs w:val="20"/>
        </w:rPr>
        <w:t>（六）评委纪律</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评标委员会成员必须严格遵守保密规定，不得泄露评审的有关情况，任何单位和个人不得干扰、影响评标的正常进行，评标委员会成员不得私下与投标人接触，不得出现采购活动现场组织管理办法中规定的其他禁止行为。</w:t>
      </w:r>
    </w:p>
    <w:p>
      <w:pPr>
        <w:keepNext w:val="0"/>
        <w:keepLines w:val="0"/>
        <w:pageBreakBefore w:val="0"/>
        <w:widowControl w:val="0"/>
        <w:kinsoku/>
        <w:wordWrap/>
        <w:overflowPunct/>
        <w:topLinePunct w:val="0"/>
        <w:autoSpaceDE/>
        <w:autoSpaceDN/>
        <w:bidi w:val="0"/>
        <w:snapToGrid w:val="0"/>
        <w:spacing w:line="360" w:lineRule="auto"/>
        <w:ind w:firstLine="482"/>
        <w:jc w:val="left"/>
        <w:textAlignment w:val="auto"/>
        <w:outlineLvl w:val="9"/>
        <w:rPr>
          <w:rFonts w:hint="eastAsia" w:ascii="仿宋" w:hAnsi="仿宋" w:eastAsia="仿宋" w:cs="仿宋"/>
          <w:b/>
          <w:color w:val="auto"/>
          <w:sz w:val="24"/>
          <w:szCs w:val="20"/>
        </w:rPr>
      </w:pPr>
      <w:bookmarkStart w:id="221" w:name="_Toc33194395"/>
      <w:bookmarkStart w:id="222" w:name="_Toc24550044"/>
      <w:r>
        <w:rPr>
          <w:rFonts w:hint="eastAsia" w:ascii="仿宋" w:hAnsi="仿宋" w:eastAsia="仿宋" w:cs="仿宋"/>
          <w:b/>
          <w:color w:val="auto"/>
          <w:sz w:val="24"/>
          <w:szCs w:val="20"/>
        </w:rPr>
        <w:t>（七）评审流程及内容</w:t>
      </w:r>
      <w:bookmarkEnd w:id="221"/>
      <w:bookmarkEnd w:id="222"/>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本项目具体的评审事务由评标委员会负责，评审流程及内容如下：</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1. 评审前准备</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1.1由评审专家推选评审小组组长，采购人代表不得担任评审小组组长。</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2.投标文件的初步审查、符合性审查</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对所有通过资格审查的投标人的投标文件进行初步审查，审查、评价投标文件是否符合采购文件的资信、技术、服务等实质性要求。</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2.1评标委员会首先对所有通过资格审查的投标人的投标文件进行符合性审查，审查每份投标文件是否实质上响应了采购文件的要求（实质性响应的投标文件是指投标文件符合采购文件规定的实质性内容、条件和规定）。</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3.投标文件的澄清、说明或补正</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3.1对于投标文件中含义不明确、同类问题表述不一致或者有明显文字和计算错误的内容，评标委员会将以书面形式（或通过“</w:t>
      </w:r>
      <w:r>
        <w:rPr>
          <w:rFonts w:hint="eastAsia" w:ascii="仿宋" w:hAnsi="仿宋" w:eastAsia="仿宋" w:cs="仿宋"/>
          <w:color w:val="auto"/>
          <w:sz w:val="24"/>
          <w:szCs w:val="20"/>
          <w:lang w:val="en-US" w:eastAsia="zh-CN"/>
        </w:rPr>
        <w:t>乐采云平台</w:t>
      </w:r>
      <w:r>
        <w:rPr>
          <w:rFonts w:hint="eastAsia" w:ascii="仿宋" w:hAnsi="仿宋" w:eastAsia="仿宋" w:cs="仿宋"/>
          <w:color w:val="auto"/>
          <w:sz w:val="24"/>
          <w:szCs w:val="20"/>
        </w:rPr>
        <w:t>”在线询标）的形式要求投标人在规定的时间内作出必要的澄清、说明或者补正，投标人澄清、说明或补正。</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3.2评标过程中评标委员会对投标人提出质询或要求投标人书面确认的（或通过“</w:t>
      </w:r>
      <w:r>
        <w:rPr>
          <w:rFonts w:hint="eastAsia" w:ascii="仿宋" w:hAnsi="仿宋" w:eastAsia="仿宋" w:cs="仿宋"/>
          <w:color w:val="auto"/>
          <w:sz w:val="24"/>
          <w:szCs w:val="20"/>
          <w:lang w:val="en-US" w:eastAsia="zh-CN"/>
        </w:rPr>
        <w:t>乐采云平台</w:t>
      </w:r>
      <w:r>
        <w:rPr>
          <w:rFonts w:hint="eastAsia" w:ascii="仿宋" w:hAnsi="仿宋" w:eastAsia="仿宋" w:cs="仿宋"/>
          <w:color w:val="auto"/>
          <w:sz w:val="24"/>
          <w:szCs w:val="20"/>
        </w:rPr>
        <w:t>”在线答复），采用书面形式（PDF格式）提交并加盖公章，或者由</w:t>
      </w:r>
      <w:r>
        <w:rPr>
          <w:rFonts w:hint="eastAsia" w:ascii="仿宋" w:hAnsi="仿宋" w:eastAsia="仿宋" w:cs="仿宋"/>
          <w:color w:val="auto"/>
          <w:sz w:val="24"/>
          <w:szCs w:val="20"/>
          <w:lang w:eastAsia="zh-CN"/>
        </w:rPr>
        <w:t>法定代表人（单位负责人、自然人本人）</w:t>
      </w:r>
      <w:r>
        <w:rPr>
          <w:rFonts w:hint="eastAsia" w:ascii="仿宋" w:hAnsi="仿宋" w:eastAsia="仿宋" w:cs="仿宋"/>
          <w:color w:val="auto"/>
          <w:sz w:val="24"/>
          <w:szCs w:val="20"/>
        </w:rPr>
        <w:t>或其授权的代表签字，在规定时间内予以书面（PDF格式）回复或确认，若因</w:t>
      </w:r>
      <w:r>
        <w:rPr>
          <w:rFonts w:hint="eastAsia" w:ascii="仿宋" w:hAnsi="仿宋" w:eastAsia="仿宋" w:cs="仿宋"/>
          <w:color w:val="auto"/>
          <w:kern w:val="0"/>
          <w:sz w:val="24"/>
        </w:rPr>
        <w:t>CA锁等原因无法上传，</w:t>
      </w:r>
      <w:r>
        <w:rPr>
          <w:rFonts w:hint="eastAsia" w:ascii="仿宋" w:hAnsi="仿宋" w:eastAsia="仿宋" w:cs="仿宋"/>
          <w:color w:val="auto"/>
          <w:sz w:val="24"/>
          <w:szCs w:val="20"/>
        </w:rPr>
        <w:t>在专家限定时间内</w:t>
      </w:r>
      <w:r>
        <w:rPr>
          <w:rFonts w:hint="eastAsia" w:ascii="仿宋" w:hAnsi="仿宋" w:eastAsia="仿宋" w:cs="仿宋"/>
          <w:color w:val="auto"/>
          <w:kern w:val="0"/>
          <w:sz w:val="24"/>
        </w:rPr>
        <w:t>可将线下材料</w:t>
      </w:r>
      <w:r>
        <w:rPr>
          <w:rFonts w:hint="eastAsia" w:ascii="仿宋" w:hAnsi="仿宋" w:eastAsia="仿宋" w:cs="仿宋"/>
          <w:color w:val="auto"/>
          <w:sz w:val="24"/>
          <w:szCs w:val="20"/>
        </w:rPr>
        <w:t>（PDF格式）</w:t>
      </w:r>
      <w:r>
        <w:rPr>
          <w:rFonts w:hint="eastAsia" w:ascii="仿宋" w:hAnsi="仿宋" w:eastAsia="仿宋" w:cs="仿宋"/>
          <w:color w:val="auto"/>
          <w:kern w:val="0"/>
          <w:sz w:val="24"/>
        </w:rPr>
        <w:t>发送到采购代理机构邮箱，由采购代理机构上传。</w:t>
      </w:r>
      <w:r>
        <w:rPr>
          <w:rFonts w:hint="eastAsia" w:ascii="仿宋" w:hAnsi="仿宋" w:eastAsia="仿宋" w:cs="仿宋"/>
          <w:color w:val="auto"/>
          <w:sz w:val="24"/>
          <w:szCs w:val="20"/>
        </w:rPr>
        <w:t>否则视为不予回复或确认，评标委员会有权拒绝该投标文件，澄清、说明或者补正不得超出投标文件的范围或者改变投标文件的实质性内容。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3.3上述询标、澄清、说明和补正工作如因客观原因无法通过“</w:t>
      </w:r>
      <w:r>
        <w:rPr>
          <w:rFonts w:hint="eastAsia" w:ascii="仿宋" w:hAnsi="仿宋" w:eastAsia="仿宋" w:cs="仿宋"/>
          <w:color w:val="auto"/>
          <w:sz w:val="24"/>
          <w:szCs w:val="20"/>
          <w:lang w:val="en-US" w:eastAsia="zh-CN"/>
        </w:rPr>
        <w:t>乐采云</w:t>
      </w:r>
      <w:r>
        <w:rPr>
          <w:rFonts w:hint="eastAsia" w:ascii="仿宋" w:hAnsi="仿宋" w:eastAsia="仿宋" w:cs="仿宋"/>
          <w:color w:val="auto"/>
          <w:sz w:val="24"/>
          <w:szCs w:val="20"/>
        </w:rPr>
        <w:t>”在线进行的，将采用书面（含邮件）形式进行。</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4.投标文件的错误修正</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4.1《投标文件》如果出现计算或表达上的错误，修正错误的原则如下：</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（2）《投标文件》的大写金额和小写金额不一致的，以大写金额为准；</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（3）单价金额小数点或者百分比有明显错位的，应以开标一览表（报价表）的总价为准，并修改单价；</w:t>
      </w:r>
    </w:p>
    <w:p>
      <w:pPr>
        <w:keepNext w:val="0"/>
        <w:keepLines w:val="0"/>
        <w:pageBreakBefore w:val="0"/>
        <w:widowControl w:val="0"/>
        <w:kinsoku/>
        <w:wordWrap/>
        <w:overflowPunct/>
        <w:topLinePunct w:val="0"/>
        <w:autoSpaceDE/>
        <w:autoSpaceDN/>
        <w:bidi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（4）总价金额与按单价汇总金额不一致的，以单价金额计算结果为准。</w:t>
      </w:r>
    </w:p>
    <w:p>
      <w:pPr>
        <w:keepNext w:val="0"/>
        <w:keepLines w:val="0"/>
        <w:pageBreakBefore w:val="0"/>
        <w:widowControl w:val="0"/>
        <w:kinsoku/>
        <w:wordWrap/>
        <w:overflowPunct/>
        <w:topLinePunct w:val="0"/>
        <w:autoSpaceDE/>
        <w:autoSpaceDN/>
        <w:bidi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（5）若</w:t>
      </w:r>
      <w:r>
        <w:rPr>
          <w:rFonts w:hint="eastAsia" w:ascii="仿宋" w:hAnsi="仿宋" w:eastAsia="仿宋" w:cs="仿宋"/>
          <w:color w:val="auto"/>
          <w:kern w:val="0"/>
          <w:sz w:val="24"/>
        </w:rPr>
        <w:t>在报价文件上传的报价和报价一览表里填写的报价不一致时，以投标人上传的报价文件为准，由采购代理机构经办人对投标人报价进行修正。</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仿宋" w:hAnsi="仿宋" w:eastAsia="仿宋" w:cs="仿宋"/>
          <w:color w:val="auto"/>
          <w:sz w:val="24"/>
          <w:szCs w:val="20"/>
        </w:rPr>
      </w:pPr>
      <w:r>
        <w:rPr>
          <w:rFonts w:hint="eastAsia" w:ascii="仿宋" w:hAnsi="仿宋" w:eastAsia="仿宋" w:cs="仿宋"/>
          <w:color w:val="auto"/>
          <w:sz w:val="24"/>
          <w:szCs w:val="20"/>
        </w:rPr>
        <w:t>4.2对不同文字文本《投标文件》的解释发生异议的，以中文文本为准。</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szCs w:val="20"/>
        </w:rPr>
        <w:t>同时出现两种以上不一致的，按照前款规定的顺序修正。修正后的报价按照经投标人加盖CA签章，由</w:t>
      </w:r>
      <w:r>
        <w:rPr>
          <w:rFonts w:hint="eastAsia" w:ascii="仿宋" w:hAnsi="仿宋" w:eastAsia="仿宋" w:cs="仿宋"/>
          <w:color w:val="auto"/>
          <w:sz w:val="24"/>
          <w:szCs w:val="20"/>
          <w:lang w:eastAsia="zh-CN"/>
        </w:rPr>
        <w:t>法定代表人（单位负责人、自然人本人）</w:t>
      </w:r>
      <w:r>
        <w:rPr>
          <w:rFonts w:hint="eastAsia" w:ascii="仿宋" w:hAnsi="仿宋" w:eastAsia="仿宋" w:cs="仿宋"/>
          <w:color w:val="auto"/>
          <w:sz w:val="24"/>
          <w:szCs w:val="20"/>
        </w:rPr>
        <w:t>或其授权的代表签字确认后产生约束力，投标人不确认的，其投标无效。</w:t>
      </w:r>
    </w:p>
    <w:p>
      <w:pPr>
        <w:keepNext w:val="0"/>
        <w:keepLines w:val="0"/>
        <w:pageBreakBefore w:val="0"/>
        <w:widowControl w:val="0"/>
        <w:kinsoku/>
        <w:wordWrap/>
        <w:overflowPunct/>
        <w:topLinePunct w:val="0"/>
        <w:autoSpaceDE/>
        <w:autoSpaceDN/>
        <w:bidi w:val="0"/>
        <w:snapToGrid w:val="0"/>
        <w:spacing w:after="0" w:line="360" w:lineRule="auto"/>
        <w:ind w:left="0" w:leftChars="0" w:firstLine="480" w:firstLineChars="200"/>
        <w:jc w:val="both"/>
        <w:textAlignment w:val="auto"/>
        <w:outlineLvl w:val="9"/>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（八）投标文件的评估、比较、评分</w:t>
      </w:r>
    </w:p>
    <w:p>
      <w:pPr>
        <w:keepNext w:val="0"/>
        <w:keepLines w:val="0"/>
        <w:pageBreakBefore w:val="0"/>
        <w:widowControl w:val="0"/>
        <w:kinsoku/>
        <w:wordWrap/>
        <w:overflowPunct/>
        <w:topLinePunct w:val="0"/>
        <w:autoSpaceDE/>
        <w:autoSpaceDN/>
        <w:bidi w:val="0"/>
        <w:snapToGrid w:val="0"/>
        <w:spacing w:after="0" w:line="360" w:lineRule="auto"/>
        <w:ind w:left="0" w:leftChars="0" w:firstLine="480" w:firstLineChars="200"/>
        <w:jc w:val="both"/>
        <w:textAlignment w:val="auto"/>
        <w:outlineLvl w:val="9"/>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1.评标委员会应当按照采购文件中规定的评审方法和标准，对符合性审查合格的投标文件进行商务和技术评估，综合比较与评价。评标时，评标委员会各成员将独立对每个供应商的投标文件进行评价，并汇总每个供应商的得分。评审细则详见“评标办法”。</w:t>
      </w:r>
    </w:p>
    <w:p>
      <w:pPr>
        <w:keepNext w:val="0"/>
        <w:keepLines w:val="0"/>
        <w:pageBreakBefore w:val="0"/>
        <w:widowControl w:val="0"/>
        <w:kinsoku/>
        <w:wordWrap/>
        <w:overflowPunct/>
        <w:topLinePunct w:val="0"/>
        <w:autoSpaceDE/>
        <w:autoSpaceDN/>
        <w:bidi w:val="0"/>
        <w:snapToGrid w:val="0"/>
        <w:spacing w:after="0" w:line="360" w:lineRule="auto"/>
        <w:ind w:left="0" w:leftChars="0" w:firstLine="480" w:firstLineChars="200"/>
        <w:jc w:val="both"/>
        <w:textAlignment w:val="auto"/>
        <w:outlineLvl w:val="9"/>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keepNext w:val="0"/>
        <w:keepLines w:val="0"/>
        <w:pageBreakBefore w:val="0"/>
        <w:widowControl w:val="0"/>
        <w:tabs>
          <w:tab w:val="left" w:pos="630"/>
        </w:tabs>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（九）评标办法</w:t>
      </w:r>
    </w:p>
    <w:p>
      <w:pPr>
        <w:keepNext w:val="0"/>
        <w:keepLines w:val="0"/>
        <w:pageBreakBefore w:val="0"/>
        <w:widowControl w:val="0"/>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color w:val="auto"/>
          <w:sz w:val="24"/>
          <w:szCs w:val="24"/>
        </w:rPr>
        <w:t>本项目评标办法是</w:t>
      </w:r>
      <w:r>
        <w:rPr>
          <w:rFonts w:hint="eastAsia" w:ascii="仿宋" w:hAnsi="仿宋" w:eastAsia="仿宋" w:cs="仿宋"/>
          <w:color w:val="auto"/>
          <w:sz w:val="24"/>
          <w:szCs w:val="24"/>
          <w:u w:val="single"/>
        </w:rPr>
        <w:t>综合评分法</w:t>
      </w:r>
      <w:r>
        <w:rPr>
          <w:rFonts w:hint="eastAsia" w:ascii="仿宋" w:hAnsi="仿宋" w:eastAsia="仿宋" w:cs="仿宋"/>
          <w:color w:val="auto"/>
          <w:sz w:val="24"/>
          <w:szCs w:val="24"/>
        </w:rPr>
        <w:t>，具体评标内容及评分标准等详见《第四部分</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评标办法及评分标准》。</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jc w:val="both"/>
        <w:textAlignment w:val="auto"/>
        <w:outlineLvl w:val="9"/>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（十）评标特殊情况处理（如有）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color w:val="auto"/>
          <w:sz w:val="24"/>
          <w:szCs w:val="28"/>
        </w:rPr>
      </w:pPr>
      <w:r>
        <w:rPr>
          <w:rFonts w:hint="eastAsia" w:ascii="仿宋" w:hAnsi="仿宋" w:eastAsia="仿宋" w:cs="仿宋"/>
          <w:b/>
          <w:color w:val="auto"/>
          <w:sz w:val="24"/>
          <w:szCs w:val="28"/>
          <w:lang w:val="en-US" w:eastAsia="zh-CN"/>
        </w:rPr>
        <w:t>1.</w:t>
      </w:r>
      <w:r>
        <w:rPr>
          <w:rFonts w:hint="eastAsia" w:ascii="仿宋" w:hAnsi="仿宋" w:eastAsia="仿宋" w:cs="仿宋"/>
          <w:b/>
          <w:color w:val="auto"/>
          <w:sz w:val="24"/>
          <w:szCs w:val="28"/>
        </w:rPr>
        <w:t>评标结果修改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color w:val="auto"/>
          <w:sz w:val="24"/>
          <w:szCs w:val="28"/>
        </w:rPr>
      </w:pPr>
      <w:r>
        <w:rPr>
          <w:rFonts w:hint="eastAsia" w:ascii="仿宋" w:hAnsi="仿宋" w:eastAsia="仿宋" w:cs="仿宋"/>
          <w:b/>
          <w:color w:val="auto"/>
          <w:sz w:val="24"/>
          <w:szCs w:val="28"/>
        </w:rPr>
        <w:t>评标报告签署前，评标结果经复核发现存在以下情形之一的，评标委员会将当场修改评标结果，并在评标报告中记载：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8"/>
        </w:rPr>
      </w:pPr>
      <w:r>
        <w:rPr>
          <w:rFonts w:hint="eastAsia" w:ascii="仿宋" w:hAnsi="仿宋" w:eastAsia="仿宋" w:cs="仿宋"/>
          <w:color w:val="auto"/>
          <w:sz w:val="24"/>
          <w:szCs w:val="28"/>
        </w:rPr>
        <w:t>（1）分值汇总计算错误的；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8"/>
        </w:rPr>
      </w:pPr>
      <w:r>
        <w:rPr>
          <w:rFonts w:hint="eastAsia" w:ascii="仿宋" w:hAnsi="仿宋" w:eastAsia="仿宋" w:cs="仿宋"/>
          <w:color w:val="auto"/>
          <w:sz w:val="24"/>
          <w:szCs w:val="28"/>
        </w:rPr>
        <w:t>（2）分项评分超出评分标准范围的；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8"/>
        </w:rPr>
      </w:pPr>
      <w:r>
        <w:rPr>
          <w:rFonts w:hint="eastAsia" w:ascii="仿宋" w:hAnsi="仿宋" w:eastAsia="仿宋" w:cs="仿宋"/>
          <w:color w:val="auto"/>
          <w:sz w:val="24"/>
          <w:szCs w:val="28"/>
        </w:rPr>
        <w:t>（3）评标委员会成员对客观评审因素评分不一致的；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8"/>
        </w:rPr>
      </w:pPr>
      <w:r>
        <w:rPr>
          <w:rFonts w:hint="eastAsia" w:ascii="仿宋" w:hAnsi="仿宋" w:eastAsia="仿宋" w:cs="仿宋"/>
          <w:color w:val="auto"/>
          <w:sz w:val="24"/>
          <w:szCs w:val="28"/>
        </w:rPr>
        <w:t>（4）经评标委员会认定评分畸高、畸低的。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color w:val="auto"/>
          <w:sz w:val="24"/>
        </w:rPr>
      </w:pPr>
      <w:r>
        <w:rPr>
          <w:rFonts w:hint="eastAsia" w:ascii="仿宋" w:hAnsi="仿宋" w:eastAsia="仿宋" w:cs="仿宋"/>
          <w:b/>
          <w:color w:val="auto"/>
          <w:sz w:val="24"/>
          <w:szCs w:val="28"/>
        </w:rPr>
        <w:t>除上述情形外，任何人不得修改评标结果。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color w:val="auto"/>
          <w:sz w:val="24"/>
        </w:rPr>
      </w:pPr>
      <w:r>
        <w:rPr>
          <w:rFonts w:hint="eastAsia" w:ascii="仿宋" w:hAnsi="仿宋" w:eastAsia="仿宋" w:cs="仿宋"/>
          <w:b/>
          <w:color w:val="auto"/>
          <w:sz w:val="24"/>
        </w:rPr>
        <w:t>2.重新评审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color w:val="auto"/>
          <w:sz w:val="24"/>
        </w:rPr>
      </w:pPr>
      <w:r>
        <w:rPr>
          <w:rFonts w:hint="eastAsia" w:ascii="仿宋" w:hAnsi="仿宋" w:eastAsia="仿宋" w:cs="仿宋"/>
          <w:b/>
          <w:color w:val="auto"/>
          <w:sz w:val="24"/>
        </w:rPr>
        <w:t>评标报告签署后，采购人或者采购代理机构发现存在下列情形之一的，将组织原评标委员会进行重新评审，重新评审改变评标结果的，将书面报告</w:t>
      </w:r>
      <w:r>
        <w:rPr>
          <w:rFonts w:hint="eastAsia" w:ascii="仿宋" w:hAnsi="仿宋" w:eastAsia="仿宋" w:cs="仿宋"/>
          <w:b/>
          <w:color w:val="auto"/>
          <w:sz w:val="24"/>
          <w:lang w:eastAsia="zh-CN"/>
        </w:rPr>
        <w:t>采购监督管理机构</w:t>
      </w:r>
      <w:r>
        <w:rPr>
          <w:rFonts w:hint="eastAsia" w:ascii="仿宋" w:hAnsi="仿宋" w:eastAsia="仿宋" w:cs="仿宋"/>
          <w:b/>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8"/>
        </w:rPr>
      </w:pPr>
      <w:r>
        <w:rPr>
          <w:rFonts w:hint="eastAsia" w:ascii="仿宋" w:hAnsi="仿宋" w:eastAsia="仿宋" w:cs="仿宋"/>
          <w:color w:val="auto"/>
          <w:sz w:val="24"/>
          <w:szCs w:val="28"/>
        </w:rPr>
        <w:t>（1）分值汇总计算错误的；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8"/>
        </w:rPr>
      </w:pPr>
      <w:r>
        <w:rPr>
          <w:rFonts w:hint="eastAsia" w:ascii="仿宋" w:hAnsi="仿宋" w:eastAsia="仿宋" w:cs="仿宋"/>
          <w:color w:val="auto"/>
          <w:sz w:val="24"/>
          <w:szCs w:val="28"/>
        </w:rPr>
        <w:t>（2）分项评分超出评分标准范围的；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8"/>
        </w:rPr>
      </w:pPr>
      <w:r>
        <w:rPr>
          <w:rFonts w:hint="eastAsia" w:ascii="仿宋" w:hAnsi="仿宋" w:eastAsia="仿宋" w:cs="仿宋"/>
          <w:color w:val="auto"/>
          <w:sz w:val="24"/>
          <w:szCs w:val="28"/>
        </w:rPr>
        <w:t>（3）评标委员会成员对客观评审因素评分不一致的；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szCs w:val="28"/>
        </w:rPr>
        <w:t>（4）经评标委员会认定评分畸高、畸低的。</w:t>
      </w:r>
    </w:p>
    <w:p>
      <w:pPr>
        <w:keepNext w:val="0"/>
        <w:keepLines w:val="0"/>
        <w:pageBreakBefore w:val="0"/>
        <w:widowControl w:val="0"/>
        <w:kinsoku/>
        <w:wordWrap/>
        <w:overflowPunct/>
        <w:topLinePunct w:val="0"/>
        <w:autoSpaceDE/>
        <w:autoSpaceDN/>
        <w:bidi w:val="0"/>
        <w:snapToGrid w:val="0"/>
        <w:spacing w:after="0" w:line="360" w:lineRule="auto"/>
        <w:ind w:left="0" w:leftChars="0" w:firstLine="480" w:firstLineChars="200"/>
        <w:jc w:val="both"/>
        <w:textAlignment w:val="auto"/>
        <w:outlineLvl w:val="9"/>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（十一）推荐中标候选供应商</w:t>
      </w:r>
    </w:p>
    <w:p>
      <w:pPr>
        <w:keepNext w:val="0"/>
        <w:keepLines w:val="0"/>
        <w:pageBreakBefore w:val="0"/>
        <w:widowControl w:val="0"/>
        <w:kinsoku/>
        <w:wordWrap/>
        <w:overflowPunct/>
        <w:topLinePunct w:val="0"/>
        <w:autoSpaceDE/>
        <w:autoSpaceDN/>
        <w:bidi w:val="0"/>
        <w:snapToGrid w:val="0"/>
        <w:spacing w:after="0" w:line="360" w:lineRule="auto"/>
        <w:ind w:left="0" w:leftChars="0" w:firstLine="480" w:firstLineChars="200"/>
        <w:jc w:val="both"/>
        <w:textAlignment w:val="auto"/>
        <w:outlineLvl w:val="9"/>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评标结果汇总完毕后，评标委员会将向采购人推荐投标文件满足采购文件全部实质性要求且按照评审因素的量化指标评审得分排列第一的投标供应商为中标候选供应商。</w:t>
      </w:r>
    </w:p>
    <w:p>
      <w:pPr>
        <w:keepNext w:val="0"/>
        <w:keepLines w:val="0"/>
        <w:pageBreakBefore w:val="0"/>
        <w:widowControl w:val="0"/>
        <w:kinsoku/>
        <w:wordWrap/>
        <w:overflowPunct/>
        <w:topLinePunct w:val="0"/>
        <w:autoSpaceDE/>
        <w:autoSpaceDN/>
        <w:bidi w:val="0"/>
        <w:snapToGrid w:val="0"/>
        <w:spacing w:after="0" w:line="360" w:lineRule="auto"/>
        <w:ind w:left="0" w:leftChars="0" w:firstLine="480" w:firstLineChars="200"/>
        <w:jc w:val="both"/>
        <w:textAlignment w:val="auto"/>
        <w:outlineLvl w:val="9"/>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（十二）起草、签署评审报告</w:t>
      </w:r>
    </w:p>
    <w:p>
      <w:pPr>
        <w:keepNext w:val="0"/>
        <w:keepLines w:val="0"/>
        <w:pageBreakBefore w:val="0"/>
        <w:widowControl w:val="0"/>
        <w:kinsoku/>
        <w:wordWrap/>
        <w:overflowPunct/>
        <w:topLinePunct w:val="0"/>
        <w:autoSpaceDE/>
        <w:autoSpaceDN/>
        <w:bidi w:val="0"/>
        <w:snapToGrid w:val="0"/>
        <w:spacing w:after="0" w:line="360" w:lineRule="auto"/>
        <w:ind w:left="0" w:leftChars="0" w:firstLine="480" w:firstLineChars="200"/>
        <w:jc w:val="both"/>
        <w:textAlignment w:val="auto"/>
        <w:outlineLvl w:val="9"/>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评审结束后，评标委员会将通过“乐采云”起草评标报告，评标委员会成员应当在评标报告上签字（或加注电子签章），对自己的评审意见承担法律责任。对评标报告有异议的，应当在评标报告上签署不同意见，并说明理由，否则视为同意评标报告。</w:t>
      </w:r>
    </w:p>
    <w:p>
      <w:pPr>
        <w:keepNext w:val="0"/>
        <w:keepLines w:val="0"/>
        <w:pageBreakBefore w:val="0"/>
        <w:widowControl w:val="0"/>
        <w:kinsoku/>
        <w:wordWrap/>
        <w:overflowPunct/>
        <w:topLinePunct w:val="0"/>
        <w:autoSpaceDE/>
        <w:autoSpaceDN/>
        <w:bidi w:val="0"/>
        <w:snapToGrid w:val="0"/>
        <w:spacing w:after="0" w:line="360" w:lineRule="auto"/>
        <w:ind w:left="0" w:leftChars="0" w:firstLine="480" w:firstLineChars="200"/>
        <w:jc w:val="both"/>
        <w:textAlignment w:val="auto"/>
        <w:outlineLvl w:val="9"/>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（十三）评标内容的保密</w:t>
      </w:r>
    </w:p>
    <w:p>
      <w:pPr>
        <w:keepNext w:val="0"/>
        <w:keepLines w:val="0"/>
        <w:pageBreakBefore w:val="0"/>
        <w:widowControl w:val="0"/>
        <w:kinsoku/>
        <w:wordWrap/>
        <w:overflowPunct/>
        <w:topLinePunct w:val="0"/>
        <w:autoSpaceDE/>
        <w:autoSpaceDN/>
        <w:bidi w:val="0"/>
        <w:snapToGrid w:val="0"/>
        <w:spacing w:after="0" w:line="360" w:lineRule="auto"/>
        <w:ind w:left="0" w:leftChars="0" w:firstLine="480" w:firstLineChars="200"/>
        <w:jc w:val="both"/>
        <w:textAlignment w:val="auto"/>
        <w:outlineLvl w:val="9"/>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1.公开开标后，直到宣布中标单位止，凡属于审查、澄清、评价和比较投标的所有资料，都不应向供应商或与评标无关的其他人泄露。</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2.在投标文件的审查、澄清、评价和比较以及确定中标人过程中，供应商对采购人和评标机构施加影响的任何行为，都将导致取消资格。</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1"/>
        <w:rPr>
          <w:rFonts w:hint="eastAsia" w:ascii="仿宋" w:hAnsi="仿宋" w:eastAsia="仿宋" w:cs="仿宋"/>
          <w:b/>
          <w:color w:val="auto"/>
          <w:kern w:val="0"/>
          <w:sz w:val="24"/>
          <w:szCs w:val="24"/>
          <w:lang w:val="en-US" w:eastAsia="zh-CN" w:bidi="ar-SA"/>
        </w:rPr>
      </w:pPr>
      <w:bookmarkStart w:id="223" w:name="_Toc23557"/>
      <w:bookmarkStart w:id="224" w:name="_Toc30134"/>
      <w:r>
        <w:rPr>
          <w:rFonts w:hint="eastAsia" w:ascii="仿宋" w:hAnsi="仿宋" w:eastAsia="仿宋" w:cs="仿宋"/>
          <w:b/>
          <w:color w:val="auto"/>
          <w:kern w:val="0"/>
          <w:sz w:val="24"/>
          <w:szCs w:val="24"/>
          <w:lang w:val="en-US" w:eastAsia="zh-CN" w:bidi="ar-SA"/>
        </w:rPr>
        <w:t>六、定标</w:t>
      </w:r>
      <w:bookmarkEnd w:id="213"/>
      <w:bookmarkEnd w:id="214"/>
      <w:bookmarkEnd w:id="215"/>
      <w:bookmarkEnd w:id="216"/>
      <w:bookmarkEnd w:id="217"/>
      <w:bookmarkEnd w:id="218"/>
      <w:bookmarkEnd w:id="223"/>
      <w:bookmarkEnd w:id="224"/>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val="0"/>
          <w:color w:val="auto"/>
          <w:sz w:val="24"/>
          <w:szCs w:val="24"/>
        </w:rPr>
      </w:pPr>
      <w:bookmarkStart w:id="225" w:name="_Toc7357"/>
      <w:bookmarkStart w:id="226" w:name="_Toc534621006"/>
      <w:bookmarkStart w:id="227" w:name="_Toc504504575"/>
      <w:bookmarkStart w:id="228" w:name="_Toc514938679"/>
      <w:bookmarkStart w:id="229" w:name="_Toc510614927"/>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lang w:val="en-US" w:eastAsia="zh-CN"/>
        </w:rPr>
        <w:t>一</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rPr>
        <w:t>采购结果确认（确定</w:t>
      </w:r>
      <w:r>
        <w:rPr>
          <w:rFonts w:hint="eastAsia" w:ascii="仿宋" w:hAnsi="仿宋" w:eastAsia="仿宋" w:cs="仿宋"/>
          <w:b/>
          <w:bCs w:val="0"/>
          <w:color w:val="auto"/>
          <w:sz w:val="24"/>
          <w:szCs w:val="24"/>
          <w:lang w:eastAsia="zh-CN"/>
        </w:rPr>
        <w:t>中标单位</w:t>
      </w:r>
      <w:r>
        <w:rPr>
          <w:rFonts w:hint="eastAsia" w:ascii="仿宋" w:hAnsi="仿宋" w:eastAsia="仿宋" w:cs="仿宋"/>
          <w:b/>
          <w:bCs w:val="0"/>
          <w:color w:val="auto"/>
          <w:sz w:val="24"/>
          <w:szCs w:val="24"/>
        </w:rPr>
        <w:t>）</w:t>
      </w:r>
      <w:bookmarkEnd w:id="225"/>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本项目由采购人根据评标委员会提交的《评审报告》，通过“</w:t>
      </w:r>
      <w:r>
        <w:rPr>
          <w:rFonts w:hint="eastAsia" w:ascii="仿宋" w:hAnsi="仿宋" w:eastAsia="仿宋" w:cs="仿宋"/>
          <w:bCs/>
          <w:color w:val="auto"/>
          <w:sz w:val="24"/>
          <w:szCs w:val="24"/>
          <w:lang w:val="en-US" w:eastAsia="zh-CN"/>
        </w:rPr>
        <w:t>乐采云</w:t>
      </w:r>
      <w:r>
        <w:rPr>
          <w:rFonts w:hint="eastAsia" w:ascii="仿宋" w:hAnsi="仿宋" w:eastAsia="仿宋" w:cs="仿宋"/>
          <w:bCs/>
          <w:color w:val="auto"/>
          <w:sz w:val="24"/>
          <w:szCs w:val="24"/>
        </w:rPr>
        <w:t>”依法确认采购结果、确定</w:t>
      </w:r>
      <w:r>
        <w:rPr>
          <w:rFonts w:hint="eastAsia" w:ascii="仿宋" w:hAnsi="仿宋" w:eastAsia="仿宋" w:cs="仿宋"/>
          <w:bCs/>
          <w:color w:val="auto"/>
          <w:sz w:val="24"/>
          <w:szCs w:val="24"/>
          <w:lang w:eastAsia="zh-CN"/>
        </w:rPr>
        <w:t>中标单位</w:t>
      </w:r>
      <w:r>
        <w:rPr>
          <w:rFonts w:hint="eastAsia" w:ascii="仿宋" w:hAnsi="仿宋" w:eastAsia="仿宋" w:cs="仿宋"/>
          <w:bCs/>
          <w:color w:val="auto"/>
          <w:sz w:val="24"/>
          <w:szCs w:val="24"/>
        </w:rPr>
        <w:t>。具体流程如下：</w:t>
      </w:r>
    </w:p>
    <w:p>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480" w:firstLineChars="200"/>
        <w:jc w:val="both"/>
        <w:textAlignment w:val="auto"/>
        <w:outlineLvl w:val="9"/>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本项目由评标委员会推荐中标候选人，采购代理机构在评标结束后2个工作日内将评审报告交采购人确认。</w:t>
      </w:r>
      <w:bookmarkEnd w:id="226"/>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outlineLvl w:val="9"/>
        <w:rPr>
          <w:rFonts w:hint="eastAsia" w:ascii="仿宋" w:hAnsi="仿宋" w:eastAsia="仿宋" w:cs="仿宋"/>
          <w:bCs/>
          <w:color w:val="auto"/>
          <w:kern w:val="0"/>
          <w:sz w:val="24"/>
          <w:szCs w:val="24"/>
          <w:lang w:val="en-US" w:eastAsia="zh-CN" w:bidi="ar-SA"/>
        </w:rPr>
      </w:pPr>
      <w:bookmarkStart w:id="230" w:name="_Toc534621007"/>
      <w:r>
        <w:rPr>
          <w:rFonts w:hint="eastAsia" w:ascii="仿宋" w:hAnsi="仿宋" w:eastAsia="仿宋" w:cs="仿宋"/>
          <w:bCs/>
          <w:color w:val="auto"/>
          <w:kern w:val="0"/>
          <w:sz w:val="24"/>
          <w:szCs w:val="24"/>
          <w:lang w:val="en-US" w:eastAsia="zh-CN" w:bidi="ar-SA"/>
        </w:rPr>
        <w:t>2.采购人应当自收到评审报告之日起5个工作日内，在评审报告确定的中标候选人名单中按顺序确定中标单位，或者采购人委托评标委员会在评审报告确定的中标候选人名单中按顺序确定中标单位。采购人在收到评审报告5个工作日内未按评审报告推荐的中标候选人顺序确定中标单位，又不能说明合法理由的，视同按评审报告推荐的顺序确定排名第一的中标候选人为中标单位。</w:t>
      </w:r>
      <w:bookmarkEnd w:id="230"/>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Cs/>
          <w:color w:val="auto"/>
          <w:sz w:val="24"/>
          <w:szCs w:val="24"/>
        </w:rPr>
      </w:pPr>
      <w:bookmarkStart w:id="231" w:name="_Toc534621008"/>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.采购人及采购组织机构不对评审结果做任何解释。</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lang w:val="en-US" w:eastAsia="zh-CN"/>
        </w:rPr>
        <w:t>二</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rPr>
        <w:t>采购结果公告和中标通知书签发</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采购结果经采购人确认后，</w:t>
      </w:r>
      <w:r>
        <w:rPr>
          <w:rFonts w:hint="eastAsia" w:ascii="仿宋" w:hAnsi="仿宋" w:eastAsia="仿宋" w:cs="仿宋"/>
          <w:bCs/>
          <w:color w:val="auto"/>
          <w:sz w:val="24"/>
          <w:szCs w:val="24"/>
          <w:lang w:eastAsia="zh-CN"/>
        </w:rPr>
        <w:t>采购代理机构</w:t>
      </w:r>
      <w:r>
        <w:rPr>
          <w:rFonts w:hint="eastAsia" w:ascii="仿宋" w:hAnsi="仿宋" w:eastAsia="仿宋" w:cs="仿宋"/>
          <w:bCs/>
          <w:color w:val="auto"/>
          <w:sz w:val="24"/>
          <w:szCs w:val="24"/>
        </w:rPr>
        <w:t>将于2个工作日内在浙江政府采购网上发布中标公告，并向中标方签发书面《中标通知书》。</w:t>
      </w:r>
      <w:bookmarkEnd w:id="231"/>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2.中标公告期限为1个工作日；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3.中标通知书发出后，中标单位无正当理由不得放弃中标。</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1"/>
        <w:rPr>
          <w:rFonts w:hint="eastAsia" w:ascii="仿宋" w:hAnsi="仿宋" w:eastAsia="仿宋" w:cs="仿宋"/>
          <w:b/>
          <w:color w:val="auto"/>
          <w:kern w:val="0"/>
          <w:sz w:val="24"/>
          <w:szCs w:val="24"/>
          <w:lang w:val="en-US" w:eastAsia="zh-CN" w:bidi="ar-SA"/>
        </w:rPr>
      </w:pPr>
      <w:bookmarkStart w:id="232" w:name="_Toc4306"/>
      <w:bookmarkStart w:id="233" w:name="_Toc25778"/>
      <w:bookmarkStart w:id="234" w:name="_Toc9872"/>
      <w:bookmarkStart w:id="235" w:name="_Toc25600"/>
      <w:bookmarkStart w:id="236" w:name="_Toc10334"/>
      <w:r>
        <w:rPr>
          <w:rFonts w:hint="eastAsia" w:ascii="仿宋" w:hAnsi="仿宋" w:eastAsia="仿宋" w:cs="仿宋"/>
          <w:b/>
          <w:color w:val="auto"/>
          <w:kern w:val="0"/>
          <w:sz w:val="24"/>
          <w:szCs w:val="24"/>
          <w:lang w:val="en-US" w:eastAsia="zh-CN" w:bidi="ar-SA"/>
        </w:rPr>
        <w:t>七、合同授予</w:t>
      </w:r>
      <w:bookmarkEnd w:id="227"/>
      <w:bookmarkEnd w:id="228"/>
      <w:bookmarkEnd w:id="229"/>
      <w:bookmarkEnd w:id="232"/>
      <w:bookmarkEnd w:id="233"/>
      <w:bookmarkEnd w:id="234"/>
      <w:bookmarkEnd w:id="235"/>
      <w:bookmarkEnd w:id="236"/>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sz w:val="24"/>
          <w:szCs w:val="24"/>
        </w:rPr>
      </w:pPr>
      <w:bookmarkStart w:id="237" w:name="_Toc504504576"/>
      <w:bookmarkStart w:id="238" w:name="_Toc27652"/>
      <w:r>
        <w:rPr>
          <w:rFonts w:hint="eastAsia" w:ascii="仿宋" w:hAnsi="仿宋" w:eastAsia="仿宋" w:cs="仿宋"/>
          <w:b/>
          <w:color w:val="auto"/>
          <w:sz w:val="24"/>
          <w:szCs w:val="24"/>
        </w:rPr>
        <w:t>（一）签订合同</w:t>
      </w:r>
      <w:bookmarkEnd w:id="237"/>
      <w:bookmarkEnd w:id="238"/>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中标单位</w:t>
      </w:r>
      <w:r>
        <w:rPr>
          <w:rFonts w:hint="eastAsia" w:ascii="仿宋" w:hAnsi="仿宋" w:eastAsia="仿宋" w:cs="仿宋"/>
          <w:color w:val="auto"/>
          <w:sz w:val="24"/>
          <w:szCs w:val="24"/>
        </w:rPr>
        <w:t>应当在《中标通知书》发出之日起30日内持《中标通知书》与采购人签订《采购合同》。</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所签订的合同不得对采购文件确定的事项和中标单位投标文件作实质性修改。采购代理机构将根据采购人的委托，对合同内容进行审查，如发现与采购结果和投标承诺内容不一致的，将予以纠正。</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both"/>
        <w:textAlignment w:val="auto"/>
        <w:outlineLvl w:val="9"/>
        <w:rPr>
          <w:rFonts w:hint="eastAsia" w:ascii="仿宋" w:hAnsi="仿宋" w:eastAsia="仿宋" w:cs="仿宋"/>
          <w:b/>
          <w:bCs/>
          <w:color w:val="auto"/>
          <w:kern w:val="0"/>
          <w:sz w:val="24"/>
          <w:szCs w:val="24"/>
          <w:highlight w:val="none"/>
          <w:lang w:val="en-US" w:eastAsia="zh-CN" w:bidi="ar-SA"/>
        </w:rPr>
      </w:pPr>
      <w:bookmarkStart w:id="239" w:name="_Toc504504577"/>
      <w:r>
        <w:rPr>
          <w:rFonts w:hint="eastAsia" w:ascii="仿宋" w:hAnsi="仿宋" w:eastAsia="仿宋" w:cs="仿宋"/>
          <w:b/>
          <w:color w:val="auto"/>
          <w:kern w:val="0"/>
          <w:sz w:val="24"/>
          <w:szCs w:val="24"/>
          <w:lang w:val="en-US" w:eastAsia="zh-CN" w:bidi="ar-SA"/>
        </w:rPr>
        <w:t>（二）</w:t>
      </w:r>
      <w:bookmarkEnd w:id="239"/>
      <w:bookmarkStart w:id="240" w:name="_Toc514938680"/>
      <w:bookmarkStart w:id="241" w:name="_Toc504504579"/>
      <w:bookmarkStart w:id="242" w:name="_Toc510614928"/>
      <w:r>
        <w:rPr>
          <w:rFonts w:hint="eastAsia" w:ascii="仿宋" w:hAnsi="仿宋" w:eastAsia="仿宋" w:cs="仿宋"/>
          <w:b/>
          <w:bCs/>
          <w:color w:val="auto"/>
          <w:kern w:val="0"/>
          <w:sz w:val="24"/>
          <w:szCs w:val="24"/>
          <w:highlight w:val="none"/>
          <w:lang w:val="en-US" w:eastAsia="zh-CN" w:bidi="ar-SA"/>
        </w:rPr>
        <w:t>合同备案</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1.中标单位应当自采购合同签订之日起3个工作日内，将采购合同原件报绍兴平准招标代理有限公司备案。</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outlineLvl w:val="9"/>
        <w:rPr>
          <w:rFonts w:hint="eastAsia" w:ascii="仿宋" w:hAnsi="仿宋" w:eastAsia="仿宋" w:cs="仿宋"/>
          <w:color w:val="auto"/>
          <w:kern w:val="0"/>
          <w:sz w:val="24"/>
          <w:szCs w:val="24"/>
          <w:highlight w:val="none"/>
          <w:lang w:val="en-US" w:eastAsia="zh-CN" w:bidi="ar-SA"/>
        </w:rPr>
      </w:pPr>
      <w:bookmarkStart w:id="243" w:name="_Toc19035"/>
      <w:r>
        <w:rPr>
          <w:rFonts w:hint="eastAsia" w:ascii="仿宋" w:hAnsi="仿宋" w:eastAsia="仿宋" w:cs="仿宋"/>
          <w:color w:val="auto"/>
          <w:kern w:val="0"/>
          <w:sz w:val="24"/>
          <w:szCs w:val="24"/>
          <w:highlight w:val="none"/>
          <w:lang w:val="en-US" w:eastAsia="zh-CN" w:bidi="ar-SA"/>
        </w:rPr>
        <w:t>2.未领取中标通知书，采购双方自行签订的合同不予备案。</w:t>
      </w:r>
      <w:bookmarkEnd w:id="243"/>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9"/>
        <w:rPr>
          <w:rFonts w:hint="eastAsia" w:ascii="仿宋" w:hAnsi="仿宋" w:eastAsia="仿宋" w:cs="仿宋"/>
          <w:b/>
          <w:color w:val="auto"/>
          <w:kern w:val="0"/>
          <w:sz w:val="24"/>
          <w:szCs w:val="24"/>
          <w:lang w:val="en-US" w:eastAsia="zh-CN" w:bidi="ar-SA"/>
        </w:rPr>
      </w:pPr>
      <w:bookmarkStart w:id="244" w:name="_Toc6260"/>
      <w:bookmarkStart w:id="245" w:name="_Toc272"/>
      <w:bookmarkStart w:id="246" w:name="_Toc30386"/>
      <w:r>
        <w:rPr>
          <w:rFonts w:hint="eastAsia" w:ascii="仿宋" w:hAnsi="仿宋" w:eastAsia="仿宋" w:cs="仿宋"/>
          <w:b/>
          <w:color w:val="auto"/>
          <w:kern w:val="0"/>
          <w:sz w:val="24"/>
          <w:szCs w:val="24"/>
          <w:lang w:val="en-US" w:eastAsia="zh-CN" w:bidi="ar-SA"/>
        </w:rPr>
        <w:t>（三）履约担保（履约保证金）</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color w:val="auto"/>
          <w:kern w:val="0"/>
          <w:sz w:val="24"/>
          <w:szCs w:val="24"/>
          <w:lang w:val="en-US" w:eastAsia="zh-CN" w:bidi="ar-SA"/>
        </w:rPr>
      </w:pPr>
      <w:r>
        <w:rPr>
          <w:rFonts w:hint="eastAsia" w:ascii="仿宋" w:hAnsi="仿宋" w:eastAsia="仿宋" w:cs="仿宋"/>
          <w:b w:val="0"/>
          <w:bCs/>
          <w:color w:val="auto"/>
          <w:kern w:val="0"/>
          <w:sz w:val="24"/>
          <w:szCs w:val="24"/>
          <w:highlight w:val="none"/>
          <w:lang w:val="en-US" w:eastAsia="zh-CN" w:bidi="ar-SA"/>
        </w:rPr>
        <w:t>按照招标文件相关规定缴纳</w:t>
      </w:r>
      <w:r>
        <w:rPr>
          <w:rFonts w:hint="eastAsia" w:ascii="仿宋" w:hAnsi="仿宋" w:eastAsia="仿宋" w:cs="仿宋"/>
          <w:b w:val="0"/>
          <w:bCs/>
          <w:color w:val="auto"/>
          <w:kern w:val="0"/>
          <w:sz w:val="24"/>
          <w:szCs w:val="24"/>
          <w:lang w:val="en-US" w:eastAsia="zh-CN" w:bidi="ar-SA"/>
        </w:rPr>
        <w:t>。</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1"/>
        <w:rPr>
          <w:rFonts w:hint="eastAsia" w:ascii="仿宋" w:hAnsi="仿宋" w:eastAsia="仿宋" w:cs="仿宋"/>
          <w:b/>
          <w:color w:val="auto"/>
          <w:kern w:val="0"/>
          <w:sz w:val="24"/>
          <w:szCs w:val="24"/>
          <w:lang w:val="en-US" w:eastAsia="zh-CN" w:bidi="ar-SA"/>
        </w:rPr>
      </w:pPr>
      <w:bookmarkStart w:id="247" w:name="_Toc6805"/>
      <w:bookmarkStart w:id="248" w:name="_Toc23710"/>
      <w:r>
        <w:rPr>
          <w:rFonts w:hint="eastAsia" w:ascii="仿宋" w:hAnsi="仿宋" w:eastAsia="仿宋" w:cs="仿宋"/>
          <w:b/>
          <w:color w:val="auto"/>
          <w:kern w:val="0"/>
          <w:sz w:val="24"/>
          <w:szCs w:val="24"/>
          <w:lang w:val="en-US" w:eastAsia="zh-CN" w:bidi="ar-SA"/>
        </w:rPr>
        <w:t>八、款项的结算</w:t>
      </w:r>
      <w:bookmarkEnd w:id="240"/>
      <w:bookmarkEnd w:id="241"/>
      <w:bookmarkEnd w:id="242"/>
      <w:bookmarkEnd w:id="244"/>
      <w:bookmarkEnd w:id="245"/>
      <w:bookmarkEnd w:id="246"/>
      <w:bookmarkEnd w:id="247"/>
      <w:bookmarkEnd w:id="248"/>
    </w:p>
    <w:p>
      <w:pPr>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按照</w:t>
      </w:r>
      <w:r>
        <w:rPr>
          <w:rFonts w:hint="eastAsia" w:ascii="仿宋" w:hAnsi="仿宋" w:eastAsia="仿宋" w:cs="仿宋"/>
          <w:color w:val="auto"/>
          <w:sz w:val="24"/>
          <w:szCs w:val="24"/>
          <w:lang w:val="en-US" w:eastAsia="zh-CN"/>
        </w:rPr>
        <w:t>招标文件相</w:t>
      </w:r>
      <w:r>
        <w:rPr>
          <w:rFonts w:hint="eastAsia" w:ascii="仿宋" w:hAnsi="仿宋" w:eastAsia="仿宋" w:cs="仿宋"/>
          <w:color w:val="auto"/>
          <w:sz w:val="24"/>
          <w:szCs w:val="24"/>
        </w:rPr>
        <w:t>关规定结算。</w:t>
      </w:r>
    </w:p>
    <w:p>
      <w:pPr>
        <w:rPr>
          <w:rFonts w:hint="eastAsia" w:ascii="仿宋" w:hAnsi="仿宋" w:eastAsia="仿宋" w:cs="仿宋"/>
          <w:b/>
          <w:color w:val="auto"/>
          <w:sz w:val="36"/>
          <w:szCs w:val="36"/>
          <w:highlight w:val="none"/>
        </w:rPr>
      </w:pPr>
      <w:bookmarkStart w:id="249" w:name="_Toc18104"/>
      <w:r>
        <w:rPr>
          <w:rFonts w:hint="eastAsia" w:ascii="仿宋" w:hAnsi="仿宋" w:eastAsia="仿宋" w:cs="仿宋"/>
          <w:b/>
          <w:color w:val="auto"/>
          <w:sz w:val="36"/>
          <w:szCs w:val="36"/>
          <w:highlight w:val="none"/>
        </w:rPr>
        <w:br w:type="page"/>
      </w:r>
    </w:p>
    <w:p>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color w:val="auto"/>
          <w:sz w:val="36"/>
          <w:szCs w:val="36"/>
          <w:highlight w:val="none"/>
        </w:rPr>
        <w:t>第三部分 采购需求</w:t>
      </w:r>
      <w:bookmarkEnd w:id="249"/>
    </w:p>
    <w:p>
      <w:pPr>
        <w:keepNext w:val="0"/>
        <w:keepLines w:val="0"/>
        <w:pageBreakBefore w:val="0"/>
        <w:kinsoku/>
        <w:wordWrap/>
        <w:overflowPunct/>
        <w:topLinePunct w:val="0"/>
        <w:bidi w:val="0"/>
        <w:spacing w:line="360" w:lineRule="auto"/>
        <w:ind w:firstLine="482" w:firstLineChars="200"/>
        <w:rPr>
          <w:rFonts w:hint="eastAsia" w:ascii="仿宋" w:hAnsi="仿宋" w:eastAsia="仿宋" w:cs="仿宋"/>
          <w:b/>
          <w:color w:val="auto"/>
          <w:sz w:val="24"/>
          <w:szCs w:val="24"/>
          <w:highlight w:val="none"/>
        </w:rPr>
      </w:pPr>
      <w:bookmarkStart w:id="250" w:name="_Toc465774040"/>
      <w:bookmarkStart w:id="251" w:name="_Toc22296"/>
      <w:bookmarkStart w:id="252" w:name="_Toc297662418"/>
      <w:bookmarkStart w:id="253" w:name="_Toc148453844"/>
      <w:bookmarkStart w:id="254" w:name="_Toc148453847"/>
      <w:bookmarkStart w:id="255" w:name="_Toc226337802"/>
      <w:bookmarkStart w:id="256" w:name="_Toc149016131"/>
      <w:bookmarkStart w:id="257" w:name="_Toc180555960"/>
      <w:bookmarkStart w:id="258" w:name="_Toc304551332"/>
      <w:bookmarkStart w:id="259" w:name="_Toc248065080"/>
      <w:r>
        <w:rPr>
          <w:rFonts w:hint="eastAsia" w:ascii="仿宋" w:hAnsi="仿宋" w:eastAsia="仿宋" w:cs="仿宋"/>
          <w:b/>
          <w:color w:val="auto"/>
          <w:sz w:val="24"/>
          <w:szCs w:val="24"/>
          <w:highlight w:val="none"/>
        </w:rPr>
        <w:t>一、项目概况</w:t>
      </w:r>
    </w:p>
    <w:p>
      <w:pPr>
        <w:keepNext w:val="0"/>
        <w:keepLines w:val="0"/>
        <w:pageBreakBefore w:val="0"/>
        <w:widowControl w:val="0"/>
        <w:kinsoku/>
        <w:wordWrap/>
        <w:overflowPunct/>
        <w:topLinePunct w:val="0"/>
        <w:bidi w:val="0"/>
        <w:adjustRightInd w:val="0"/>
        <w:snapToGrid w:val="0"/>
        <w:spacing w:before="0"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1.本次招标的内容是嵊州市益嘉配送有限公司（2024-2027）年大米采购项目。</w:t>
      </w:r>
    </w:p>
    <w:p>
      <w:pPr>
        <w:keepNext w:val="0"/>
        <w:keepLines w:val="0"/>
        <w:pageBreakBefore w:val="0"/>
        <w:widowControl w:val="0"/>
        <w:kinsoku/>
        <w:wordWrap/>
        <w:overflowPunct/>
        <w:topLinePunct w:val="0"/>
        <w:bidi w:val="0"/>
        <w:adjustRightInd w:val="0"/>
        <w:snapToGrid w:val="0"/>
        <w:spacing w:before="0"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2.服务期（供货期）：自合同签订之日起三个完整年度，合同一年一签，具体以签订合同时间为准，合同履行期内若发生重大食品安全问题，中标单位须承担相应责任，同时招标人有权终止合同。</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供货期内的最终采购金额以采购人实际需要数量为准,采购人不保证供货期限内的最低采购数量或金额。</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b w:val="0"/>
          <w:bCs/>
          <w:color w:val="auto"/>
          <w:sz w:val="24"/>
          <w:szCs w:val="24"/>
          <w:highlight w:val="none"/>
          <w:lang w:val="en-US" w:eastAsia="zh-CN"/>
        </w:rPr>
        <w:t>配送</w:t>
      </w:r>
      <w:r>
        <w:rPr>
          <w:rFonts w:hint="eastAsia" w:ascii="仿宋" w:hAnsi="仿宋" w:eastAsia="仿宋" w:cs="宋体"/>
          <w:color w:val="auto"/>
          <w:sz w:val="24"/>
          <w:szCs w:val="24"/>
        </w:rPr>
        <w:t>地点：嵊州市益嘉配送有限公司</w:t>
      </w:r>
    </w:p>
    <w:tbl>
      <w:tblPr>
        <w:tblStyle w:val="25"/>
        <w:tblpPr w:leftFromText="180" w:rightFromText="180" w:vertAnchor="text" w:horzAnchor="page" w:tblpX="1349" w:tblpY="363"/>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66"/>
        <w:gridCol w:w="1866"/>
        <w:gridCol w:w="925"/>
        <w:gridCol w:w="763"/>
        <w:gridCol w:w="2000"/>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3" w:type="dxa"/>
            <w:noWrap w:val="0"/>
            <w:vAlign w:val="center"/>
          </w:tcPr>
          <w:p>
            <w:pPr>
              <w:pStyle w:val="53"/>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标项</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标项名称</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规格（kg/袋）</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rPr>
              <w:t>数量</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rPr>
              <w:t>单位</w:t>
            </w: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val="0"/>
                <w:color w:val="0000FF"/>
                <w:sz w:val="24"/>
                <w:szCs w:val="24"/>
                <w:highlight w:val="none"/>
                <w:vertAlign w:val="baseline"/>
              </w:rPr>
            </w:pPr>
            <w:r>
              <w:rPr>
                <w:rFonts w:hint="eastAsia" w:ascii="仿宋" w:hAnsi="仿宋" w:eastAsia="仿宋" w:cs="仿宋"/>
                <w:b w:val="0"/>
                <w:bCs w:val="0"/>
                <w:color w:val="auto"/>
                <w:sz w:val="24"/>
                <w:szCs w:val="24"/>
                <w:highlight w:val="none"/>
              </w:rPr>
              <w:t>预算金额</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pPr>
              <w:pStyle w:val="53"/>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w:t>
            </w:r>
          </w:p>
        </w:tc>
        <w:tc>
          <w:tcPr>
            <w:tcW w:w="1866" w:type="dxa"/>
            <w:noWrap w:val="0"/>
            <w:vAlign w:val="top"/>
          </w:tcPr>
          <w:p>
            <w:pPr>
              <w:keepNext w:val="0"/>
              <w:keepLines w:val="0"/>
              <w:pageBreakBefore w:val="0"/>
              <w:kinsoku/>
              <w:wordWrap/>
              <w:overflowPunct/>
              <w:topLinePunct w:val="0"/>
              <w:bidi w:val="0"/>
              <w:spacing w:line="360" w:lineRule="auto"/>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东北大米</w:t>
            </w:r>
          </w:p>
        </w:tc>
        <w:tc>
          <w:tcPr>
            <w:tcW w:w="1866" w:type="dxa"/>
            <w:noWrap w:val="0"/>
            <w:vAlign w:val="top"/>
          </w:tcPr>
          <w:p>
            <w:pPr>
              <w:keepNext w:val="0"/>
              <w:keepLines w:val="0"/>
              <w:pageBreakBefore w:val="0"/>
              <w:kinsoku/>
              <w:wordWrap/>
              <w:overflowPunct/>
              <w:topLinePunct w:val="0"/>
              <w:bidi w:val="0"/>
              <w:spacing w:line="360" w:lineRule="auto"/>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25kg</w:t>
            </w:r>
          </w:p>
        </w:tc>
        <w:tc>
          <w:tcPr>
            <w:tcW w:w="925" w:type="dxa"/>
            <w:noWrap w:val="0"/>
            <w:vAlign w:val="center"/>
          </w:tcPr>
          <w:p>
            <w:pPr>
              <w:pStyle w:val="53"/>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w:t>
            </w:r>
          </w:p>
        </w:tc>
        <w:tc>
          <w:tcPr>
            <w:tcW w:w="763" w:type="dxa"/>
            <w:noWrap w:val="0"/>
            <w:vAlign w:val="center"/>
          </w:tcPr>
          <w:p>
            <w:pPr>
              <w:pStyle w:val="53"/>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年</w:t>
            </w:r>
          </w:p>
        </w:tc>
        <w:tc>
          <w:tcPr>
            <w:tcW w:w="2000" w:type="dxa"/>
            <w:noWrap w:val="0"/>
            <w:vAlign w:val="top"/>
          </w:tcPr>
          <w:p>
            <w:pPr>
              <w:pStyle w:val="53"/>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1700万元</w:t>
            </w:r>
          </w:p>
        </w:tc>
        <w:tc>
          <w:tcPr>
            <w:tcW w:w="937" w:type="dxa"/>
            <w:noWrap w:val="0"/>
            <w:vAlign w:val="top"/>
          </w:tcPr>
          <w:p>
            <w:pPr>
              <w:pStyle w:val="53"/>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b w:val="0"/>
                <w:bCs w:val="0"/>
                <w:color w:val="auto"/>
                <w:sz w:val="24"/>
                <w:szCs w:val="24"/>
                <w:highlight w:val="none"/>
                <w:vertAlign w:val="baseline"/>
              </w:rPr>
            </w:pPr>
          </w:p>
        </w:tc>
      </w:tr>
    </w:tbl>
    <w:p>
      <w:pPr>
        <w:pStyle w:val="53"/>
        <w:keepNext w:val="0"/>
        <w:keepLines w:val="0"/>
        <w:pageBreakBefore w:val="0"/>
        <w:kinsoku/>
        <w:wordWrap/>
        <w:overflowPunct/>
        <w:topLinePunct w:val="0"/>
        <w:bidi w:val="0"/>
        <w:adjustRightInd w:val="0"/>
        <w:snapToGrid w:val="0"/>
        <w:spacing w:before="0" w:line="360" w:lineRule="auto"/>
        <w:ind w:firstLine="48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kern w:val="2"/>
          <w:sz w:val="24"/>
          <w:szCs w:val="24"/>
          <w:highlight w:val="none"/>
          <w:lang w:val="en-US" w:eastAsia="zh-CN" w:bidi="ar-SA"/>
        </w:rPr>
        <w:t>二、采购</w:t>
      </w:r>
      <w:r>
        <w:rPr>
          <w:rFonts w:hint="eastAsia" w:ascii="仿宋" w:hAnsi="仿宋" w:eastAsia="仿宋" w:cs="仿宋"/>
          <w:b/>
          <w:color w:val="auto"/>
          <w:sz w:val="24"/>
          <w:szCs w:val="24"/>
          <w:highlight w:val="none"/>
          <w:lang w:val="en-US" w:eastAsia="zh-CN"/>
        </w:rPr>
        <w:t>要求：</w:t>
      </w:r>
    </w:p>
    <w:p>
      <w:pPr>
        <w:keepNext w:val="0"/>
        <w:keepLines w:val="0"/>
        <w:pageBreakBefore w:val="0"/>
        <w:widowControl w:val="0"/>
        <w:kinsoku/>
        <w:wordWrap/>
        <w:overflowPunct/>
        <w:topLinePunct w:val="0"/>
        <w:bidi w:val="0"/>
        <w:adjustRightInd w:val="0"/>
        <w:snapToGrid w:val="0"/>
        <w:spacing w:before="0" w:line="360" w:lineRule="auto"/>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1.中标人所提供的食材必须符合相关的卫生、食品安全、环保等国家标准。</w:t>
      </w:r>
    </w:p>
    <w:p>
      <w:pPr>
        <w:keepNext w:val="0"/>
        <w:keepLines w:val="0"/>
        <w:pageBreakBefore w:val="0"/>
        <w:widowControl w:val="0"/>
        <w:kinsoku/>
        <w:wordWrap/>
        <w:overflowPunct/>
        <w:topLinePunct w:val="0"/>
        <w:bidi w:val="0"/>
        <w:adjustRightInd w:val="0"/>
        <w:snapToGrid w:val="0"/>
        <w:spacing w:before="0" w:line="360" w:lineRule="auto"/>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2.所有预包装食品要求经过SC许可，每批次送货时须提供产品合格证。</w:t>
      </w:r>
    </w:p>
    <w:p>
      <w:pPr>
        <w:keepNext w:val="0"/>
        <w:keepLines w:val="0"/>
        <w:pageBreakBefore w:val="0"/>
        <w:widowControl w:val="0"/>
        <w:kinsoku/>
        <w:wordWrap/>
        <w:overflowPunct/>
        <w:topLinePunct w:val="0"/>
        <w:bidi w:val="0"/>
        <w:adjustRightInd w:val="0"/>
        <w:snapToGrid w:val="0"/>
        <w:spacing w:before="0" w:line="360" w:lineRule="auto"/>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3.供货产品技术指标和质量要求：</w:t>
      </w:r>
    </w:p>
    <w:p>
      <w:pPr>
        <w:keepNext w:val="0"/>
        <w:keepLines w:val="0"/>
        <w:pageBreakBefore w:val="0"/>
        <w:widowControl w:val="0"/>
        <w:kinsoku/>
        <w:wordWrap/>
        <w:overflowPunct/>
        <w:topLinePunct w:val="0"/>
        <w:bidi w:val="0"/>
        <w:adjustRightInd w:val="0"/>
        <w:snapToGrid w:val="0"/>
        <w:spacing w:before="0" w:line="360" w:lineRule="auto"/>
        <w:ind w:firstLine="480" w:firstLineChars="200"/>
        <w:jc w:val="both"/>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3.1</w:t>
      </w:r>
      <w:r>
        <w:rPr>
          <w:rFonts w:hint="eastAsia" w:ascii="仿宋" w:hAnsi="仿宋" w:eastAsia="仿宋" w:cs="仿宋"/>
          <w:b w:val="0"/>
          <w:bCs w:val="0"/>
          <w:color w:val="auto"/>
          <w:sz w:val="24"/>
          <w:szCs w:val="24"/>
          <w:highlight w:val="none"/>
          <w:lang w:eastAsia="zh-CN"/>
        </w:rPr>
        <w:t>米类必须使用无毒</w:t>
      </w:r>
      <w:r>
        <w:rPr>
          <w:rFonts w:hint="eastAsia" w:ascii="仿宋" w:hAnsi="仿宋" w:eastAsia="仿宋" w:cs="仿宋"/>
          <w:b w:val="0"/>
          <w:bCs w:val="0"/>
          <w:color w:val="auto"/>
          <w:sz w:val="24"/>
          <w:szCs w:val="24"/>
          <w:highlight w:val="none"/>
          <w:lang w:val="en-US" w:eastAsia="zh-CN"/>
        </w:rPr>
        <w:t>无害</w:t>
      </w:r>
      <w:r>
        <w:rPr>
          <w:rFonts w:hint="eastAsia" w:ascii="仿宋" w:hAnsi="仿宋" w:eastAsia="仿宋" w:cs="仿宋"/>
          <w:b w:val="0"/>
          <w:bCs w:val="0"/>
          <w:color w:val="auto"/>
          <w:sz w:val="24"/>
          <w:szCs w:val="24"/>
          <w:highlight w:val="none"/>
          <w:lang w:eastAsia="zh-CN"/>
        </w:rPr>
        <w:t>编织袋包装，须是本年度或上一年度出产的稻谷生产的新米；米必须符合GB2707-2005标准，具有SC编号；必须是当年或当期新米，米质纯，无杂质，达到国家一级标准，无黄粒、霉粒，水分小于14.5%；按配送批次提供</w:t>
      </w:r>
      <w:r>
        <w:rPr>
          <w:rFonts w:hint="eastAsia" w:ascii="仿宋" w:hAnsi="仿宋" w:eastAsia="仿宋" w:cs="仿宋"/>
          <w:b w:val="0"/>
          <w:bCs w:val="0"/>
          <w:color w:val="auto"/>
          <w:sz w:val="24"/>
          <w:szCs w:val="24"/>
          <w:highlight w:val="none"/>
          <w:lang w:val="en-US" w:eastAsia="zh-CN"/>
        </w:rPr>
        <w:t>同一批次的</w:t>
      </w:r>
      <w:r>
        <w:rPr>
          <w:rFonts w:hint="eastAsia" w:ascii="仿宋" w:hAnsi="仿宋" w:eastAsia="仿宋" w:cs="仿宋"/>
          <w:b w:val="0"/>
          <w:bCs w:val="0"/>
          <w:color w:val="auto"/>
          <w:sz w:val="24"/>
          <w:szCs w:val="24"/>
          <w:highlight w:val="none"/>
          <w:lang w:eastAsia="zh-CN"/>
        </w:rPr>
        <w:t>检测报告。</w:t>
      </w:r>
    </w:p>
    <w:p>
      <w:pPr>
        <w:adjustRightInd w:val="0"/>
        <w:snapToGrid w:val="0"/>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3.2</w:t>
      </w:r>
      <w:r>
        <w:rPr>
          <w:rFonts w:hint="eastAsia" w:ascii="仿宋" w:hAnsi="仿宋" w:eastAsia="仿宋" w:cs="仿宋"/>
          <w:b w:val="0"/>
          <w:bCs w:val="0"/>
          <w:color w:val="auto"/>
          <w:sz w:val="24"/>
          <w:szCs w:val="24"/>
          <w:highlight w:val="none"/>
          <w:lang w:eastAsia="zh-CN"/>
        </w:rPr>
        <w:t>所供米须为大型超市常见品牌产品，必须从正规渠道购入，有明确的生产厂家、品牌、质保期、生产日期、批号、安全标识等，并能顺利追溯源头。</w:t>
      </w:r>
    </w:p>
    <w:p>
      <w:pPr>
        <w:bidi w:val="0"/>
        <w:rPr>
          <w:rFonts w:hint="eastAsia" w:ascii="仿宋" w:hAnsi="仿宋" w:eastAsia="仿宋" w:cs="仿宋"/>
          <w:b/>
          <w:color w:val="auto"/>
          <w:kern w:val="2"/>
          <w:sz w:val="24"/>
          <w:szCs w:val="24"/>
          <w:highlight w:val="none"/>
          <w:lang w:val="en-US" w:eastAsia="zh-CN" w:bidi="ar-SA"/>
        </w:rPr>
      </w:pPr>
      <w:bookmarkStart w:id="260" w:name="_Toc5628"/>
      <w:r>
        <w:rPr>
          <w:rFonts w:hint="eastAsia" w:ascii="仿宋" w:hAnsi="仿宋" w:eastAsia="仿宋" w:cs="仿宋"/>
          <w:b/>
          <w:bCs w:val="0"/>
          <w:color w:val="auto"/>
          <w:sz w:val="24"/>
          <w:szCs w:val="24"/>
          <w:highlight w:val="none"/>
          <w:lang w:val="en-US" w:eastAsia="zh-CN"/>
        </w:rPr>
        <w:t>三、</w:t>
      </w:r>
      <w:r>
        <w:rPr>
          <w:rFonts w:hint="eastAsia" w:ascii="仿宋" w:hAnsi="仿宋" w:eastAsia="仿宋" w:cs="仿宋"/>
          <w:b/>
          <w:color w:val="auto"/>
          <w:kern w:val="2"/>
          <w:sz w:val="24"/>
          <w:szCs w:val="24"/>
          <w:highlight w:val="none"/>
          <w:lang w:val="en-US" w:eastAsia="zh-CN" w:bidi="ar-SA"/>
        </w:rPr>
        <w:t>样品</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1.开标时需提供以下样品：</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要求提供两包真空包装大米（约500g），其中一包真空包装做封存样品。</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2.样品递交地点：</w:t>
      </w:r>
      <w:r>
        <w:rPr>
          <w:rFonts w:hint="eastAsia" w:ascii="仿宋" w:hAnsi="仿宋" w:eastAsia="仿宋" w:cs="仿宋"/>
          <w:color w:val="auto"/>
          <w:sz w:val="24"/>
          <w:szCs w:val="24"/>
        </w:rPr>
        <w:t>嵊州市公共资源交易中心(官河南路699号国际会展中心北楼三楼)</w:t>
      </w:r>
      <w:r>
        <w:rPr>
          <w:rFonts w:hint="eastAsia" w:ascii="仿宋" w:hAnsi="仿宋" w:eastAsia="仿宋" w:cs="仿宋"/>
          <w:color w:val="auto"/>
          <w:sz w:val="24"/>
          <w:szCs w:val="24"/>
          <w:lang w:val="en-US" w:eastAsia="zh-CN"/>
        </w:rPr>
        <w:t>；提供样品的时间：2024年8月16日8时30分至2024年8月16日9时00分，逾期不接受样品。根据时间安排，独立将样品在规定时间内送至样品指定区域。</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3.所有提供的样品不能出现投标人的名称、品牌等信息，不能去除商标的应进行遮挡。供应商须对送达的样品进行遮蔽，若因样品未有效遮蔽而导致样品信息泄露，供应商样品分按零分处理。</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4.投标样品为投标资料的一部分，如提供的样品规格不符或未提供样品（样品不齐全），样品分按零分处理； </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样品”的处理：评标结束后，预中标单位的样品将由采购人封存作为货物验收的实物质量验收标准，之后所提供的产品应按样品提供，如不按样品提供，采购人有权终止合同；未中标供应商的样品须在评标结束三个工作日内自行取回。若未在规定时间内取回，视为自动放弃，采购人、代理机构自行处置未取回的样品，不承担损坏、遗失等保管责任。样品的制作、运输、安装和保管样品所发生的一切费用由投标人自理。由于大米的特殊性质，封存样品需退换，要求中标单位在签订合同时提供同质同包装的当年所做的新米作为封存样品的替代品。</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四、服务要求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1.中标人</w:t>
      </w:r>
      <w:r>
        <w:rPr>
          <w:rFonts w:hint="eastAsia" w:ascii="仿宋" w:hAnsi="仿宋" w:eastAsia="仿宋" w:cs="仿宋"/>
          <w:bCs/>
          <w:color w:val="auto"/>
          <w:sz w:val="24"/>
          <w:highlight w:val="none"/>
        </w:rPr>
        <w:t>须有</w:t>
      </w:r>
      <w:r>
        <w:rPr>
          <w:rFonts w:hint="eastAsia" w:ascii="仿宋" w:hAnsi="仿宋" w:eastAsia="仿宋" w:cs="仿宋"/>
          <w:bCs/>
          <w:color w:val="auto"/>
          <w:sz w:val="24"/>
          <w:highlight w:val="none"/>
          <w:lang w:val="en-US" w:eastAsia="zh-CN"/>
        </w:rPr>
        <w:t>固定</w:t>
      </w:r>
      <w:r>
        <w:rPr>
          <w:rFonts w:hint="eastAsia" w:ascii="仿宋" w:hAnsi="仿宋" w:eastAsia="仿宋" w:cs="仿宋"/>
          <w:bCs/>
          <w:color w:val="auto"/>
          <w:sz w:val="24"/>
          <w:highlight w:val="none"/>
        </w:rPr>
        <w:t>服务人员与</w:t>
      </w:r>
      <w:r>
        <w:rPr>
          <w:rFonts w:hint="eastAsia" w:ascii="仿宋" w:hAnsi="仿宋" w:eastAsia="仿宋" w:cs="仿宋"/>
          <w:bCs/>
          <w:color w:val="auto"/>
          <w:sz w:val="24"/>
          <w:highlight w:val="none"/>
          <w:lang w:val="en-US" w:eastAsia="zh-CN"/>
        </w:rPr>
        <w:t>采购</w:t>
      </w:r>
      <w:r>
        <w:rPr>
          <w:rFonts w:hint="eastAsia" w:ascii="仿宋" w:hAnsi="仿宋" w:eastAsia="仿宋" w:cs="仿宋"/>
          <w:bCs/>
          <w:color w:val="auto"/>
          <w:sz w:val="24"/>
          <w:highlight w:val="none"/>
        </w:rPr>
        <w:t>人对接，负责日常信息的传递和配送协调工作，并满足日常所需物资的配送</w:t>
      </w:r>
      <w:r>
        <w:rPr>
          <w:rFonts w:hint="eastAsia" w:ascii="仿宋" w:hAnsi="仿宋" w:eastAsia="仿宋" w:cs="仿宋"/>
          <w:bCs/>
          <w:color w:val="auto"/>
          <w:sz w:val="2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2.中标人应当按照采购人提供的订单要求，在每日按采购人要求在指定时间将所需食材送至配送中心库房。遇有紧急配送任务时，中标人须按照采购人的电话通知要求送到。</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3.中标人应固定有送货驾驶员和送货车辆。配送人员应具备有效的健康证。人员、车辆一经固定，无特殊理由不能临时变更，如更换须事先征得采购人审查同意并提供健康体检证复印件备案。</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接触有毒有害物质、日晒、雨淋，注意通风散热。</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5.将订单内所需货物送到采购人指定地点后,双方就货物的品种、质量、数量、价格进行确认后填写交货清单,经验收合格后完成交付。</w:t>
      </w:r>
      <w:r>
        <w:rPr>
          <w:rFonts w:hint="eastAsia" w:ascii="仿宋" w:hAnsi="仿宋" w:eastAsia="仿宋" w:cs="仿宋"/>
          <w:bCs/>
          <w:color w:val="auto"/>
          <w:sz w:val="24"/>
          <w:highlight w:val="none"/>
        </w:rPr>
        <w:t>重量以双方核准的净重过磅数为准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客户单位验收</w:t>
      </w:r>
      <w:r>
        <w:rPr>
          <w:rFonts w:hint="eastAsia" w:ascii="仿宋" w:hAnsi="仿宋" w:eastAsia="仿宋" w:cs="仿宋"/>
          <w:bCs/>
          <w:color w:val="auto"/>
          <w:sz w:val="24"/>
          <w:highlight w:val="none"/>
        </w:rPr>
        <w:t>签字确认作为结算凭证</w:t>
      </w:r>
      <w:r>
        <w:rPr>
          <w:rFonts w:hint="eastAsia" w:ascii="仿宋" w:hAnsi="仿宋" w:eastAsia="仿宋" w:cs="仿宋"/>
          <w:bCs/>
          <w:color w:val="auto"/>
          <w:sz w:val="2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四、食品安全要求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1.若因中标人原因，造成采购人场所内公共性食品安全危机的，中标人应负全部责任，并承担由此造成的经济损失及可能发生的刑事责任。</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2.中标人在供货期间，各类产品因不符合要求，出现质量问题负责退换货。问题严重的将终止合同、停止供货，并由中标人承担由此造成的全部经济损失及责任。</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cyan"/>
          <w:lang w:val="en-US" w:eastAsia="zh-CN"/>
        </w:rPr>
      </w:pPr>
      <w:r>
        <w:rPr>
          <w:rFonts w:hint="eastAsia" w:ascii="仿宋" w:hAnsi="仿宋" w:eastAsia="仿宋" w:cs="仿宋"/>
          <w:b w:val="0"/>
          <w:bCs/>
          <w:color w:val="auto"/>
          <w:sz w:val="24"/>
          <w:szCs w:val="24"/>
          <w:highlight w:val="none"/>
          <w:lang w:val="en-US" w:eastAsia="zh-CN"/>
        </w:rPr>
        <w:t>3.中标人在供货期间，如发生质量纠纷时采购人须对被投诉食材进行定量检测，不论检测结果如何，因检测产生的相关费用须由中标单位承担。</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五、中标人的管理要求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1.中标人有以下行为，经调查属实的，采购人将立即解除相关供应合同：</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1.1弄虚作假，提供虚假材料取得中标供应资格的；</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1.2经营情况发生重大变更，已经不具备承接中标供应项目能力的；</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1.3无正当理由拒绝履行合同向采购人供货的；</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1.4有行贿、给回扣等不正当竞争行为的；</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1.5因所供货物质量原因导致发生食品安全事故的；</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1.6所供应货物存在故意假冒伪劣行为的；</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1.7有其它违法违纪行为的。</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必须依据国家有关法律法规要求建立健全各项管理制度，保证食品安全，有明确的食品安全责任人。因所供货物质量原因导致发生食品安全事故，除解除合同、扣除全部履约保证金外，中标人还需赔偿采购人救治经费及误工损失。</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3.中标人应严格按招标要求（含品种、质量等）供应，不得变更供应商品，否则，采购人有权退货。</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4.采购人按合同对商品进行严格验收，对不符合规格要求的商品，中标人必须无条件退货或更换。</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strike w:val="0"/>
          <w:dstrike w:val="0"/>
          <w:color w:val="auto"/>
          <w:sz w:val="24"/>
          <w:szCs w:val="24"/>
          <w:highlight w:val="none"/>
          <w:lang w:val="en-US" w:eastAsia="zh-CN"/>
        </w:rPr>
        <w:t>5.因生产商原因停产、改变生产规格的，中标供应商凭生产商证明告知采购人，采购人经市场调查确认，选择替换品种、规格与供应商协商定价后确认更换的品种、规格、价格。</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6.中标人须按供应商品的销售额开具增值税发票。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食品溯源要求。食品供应链必须明确，所有食品的来源必须清晰，来源应当是受到地方政府部门监管的流通市场或具有相关资质的厂家生产，生产食品的源头与中标人要有固定的合法的供应关系。中标人应保存以下资料：</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7.1中标人与供货企业的销售合同；</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7.2供货企业的送货单和销售发票；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FF0000"/>
          <w:sz w:val="24"/>
          <w:szCs w:val="24"/>
          <w:highlight w:val="none"/>
          <w:lang w:val="en-US" w:eastAsia="zh-CN"/>
        </w:rPr>
      </w:pPr>
      <w:r>
        <w:rPr>
          <w:rFonts w:hint="eastAsia" w:ascii="仿宋" w:hAnsi="仿宋" w:eastAsia="仿宋" w:cs="仿宋"/>
          <w:b w:val="0"/>
          <w:bCs/>
          <w:color w:val="auto"/>
          <w:sz w:val="24"/>
          <w:szCs w:val="24"/>
          <w:highlight w:val="none"/>
          <w:lang w:val="en-US" w:eastAsia="zh-CN"/>
        </w:rPr>
        <w:t>7.3中标人与采购方的采购合同及送货单据、销售发票。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六、其他要求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1.中标单位必须文明服务，服务过程中发生的一切安全事故均由中标单位自理，与采购人无关。</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2.所供的物品必须符合《中华人民共和国食品安全法》要求</w:t>
      </w:r>
      <w:r>
        <w:rPr>
          <w:rFonts w:hint="eastAsia" w:ascii="仿宋" w:hAnsi="仿宋" w:eastAsia="仿宋" w:cs="仿宋"/>
          <w:color w:val="auto"/>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3.中标单位需承诺所供的物品必须符合国家有关标准，保证无异味、无变质，如不符合投标文件所描述的质量标准，必须退货并承担违约责任。</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4.所供商品必须符合国家行业生产及经营标准，货真价实，均能提供相应批次的合格检验证明。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5.投标货物必须各项技术指标完全符合国家有关质量检测、环保标准及产品出厂标准。</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6.投标人必须负责货物的运输、质量检测等工作，所产生的费用由投标人负责。</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7.中标单位不得将中标项目转包、分包，否则采购人有权单方终止合同,由此产生的一切经济损失由中标单位自行承担。</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8.中标单位除不可抗力，不得因其他任何理由延迟送货；采购人如遇特殊情况需推迟送货，应提前通知中标单位。因中标单位原因延误交货日期的（采购人要求推迟的除外），采购人有权自行采购，并由中标单位承担由此产生的一切损失和费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9.采购人按合同对商品进行认真验收，对不符合规格要求的商品，供应商必须无条件退货；中标单位未能履行招标文件和合同所定事项, 或供应不合格的、假冒伪劣、以次充好的商品，采购人退货后将记录在案，除要承担因此产生的一切损失和费用外，情节严重的可取消其供应资格。</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如因所供产品质量或品质问题造成人员身体不适、身体伤害及经济损失的，须由中标单位立即（在2小时内）派专人到现场妥善处理，做好安抚工作和善后事宜，并承担所产生的一切费用、赔偿由此发生的一切经济损失。</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11.本次投标折扣率中标后不作调整。合同执行期间，中标人因价格因素而放弃履行合同的，须以书面形式向采购人提出申请，采购人可视情解除与该中标人的合同，中标人已交纳的履约保证金不予退还。中标人若无故拒绝履行合同的，采购人将扣除其全部履约保证金，并将其不诚信行为列入“黑名单”管理。</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12.不论以何种形式进行供货，中标人都必须按照其在投标文件中做出的服务承诺履行相关义务。</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bCs/>
          <w:color w:val="auto"/>
          <w:sz w:val="24"/>
          <w:highlight w:val="none"/>
          <w:lang w:val="en-US" w:eastAsia="zh-CN"/>
        </w:rPr>
        <w:t>七、违约责任</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宋体"/>
          <w:sz w:val="24"/>
          <w:szCs w:val="24"/>
        </w:rPr>
        <w:t>当中标人出现以下行为时，视为违约：</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由于中标人工作失误，未能及时通知采购人导致配送不能按时到达，造成采购人损失的，由中标人负责承担有关责任，视情扣除履约保证金</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000元至</w:t>
      </w:r>
      <w:r>
        <w:rPr>
          <w:rFonts w:hint="eastAsia" w:ascii="仿宋" w:hAnsi="仿宋" w:eastAsia="仿宋" w:cs="仿宋"/>
          <w:b w:val="0"/>
          <w:bCs w:val="0"/>
          <w:color w:val="auto"/>
          <w:sz w:val="24"/>
          <w:highlight w:val="none"/>
          <w:lang w:val="en-US" w:eastAsia="zh-CN"/>
        </w:rPr>
        <w:t>10</w:t>
      </w:r>
      <w:r>
        <w:rPr>
          <w:rFonts w:hint="eastAsia" w:ascii="仿宋" w:hAnsi="仿宋" w:eastAsia="仿宋" w:cs="仿宋"/>
          <w:b w:val="0"/>
          <w:bCs w:val="0"/>
          <w:color w:val="auto"/>
          <w:sz w:val="24"/>
          <w:highlight w:val="none"/>
        </w:rPr>
        <w:t>000元。（遇自然灾害等不可抗拒原因时除外）</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2.中标人配送的</w:t>
      </w:r>
      <w:r>
        <w:rPr>
          <w:rFonts w:hint="eastAsia" w:ascii="仿宋" w:hAnsi="仿宋" w:eastAsia="仿宋" w:cs="仿宋"/>
          <w:b w:val="0"/>
          <w:bCs w:val="0"/>
          <w:strike w:val="0"/>
          <w:dstrike w:val="0"/>
          <w:color w:val="auto"/>
          <w:sz w:val="24"/>
          <w:highlight w:val="none"/>
          <w:lang w:val="en-US" w:eastAsia="zh-CN"/>
        </w:rPr>
        <w:t>大米类</w:t>
      </w:r>
      <w:r>
        <w:rPr>
          <w:rFonts w:hint="eastAsia" w:ascii="仿宋" w:hAnsi="仿宋" w:eastAsia="仿宋" w:cs="仿宋"/>
          <w:b w:val="0"/>
          <w:bCs w:val="0"/>
          <w:color w:val="auto"/>
          <w:sz w:val="24"/>
          <w:highlight w:val="none"/>
          <w:lang w:val="en-US" w:eastAsia="zh-CN"/>
        </w:rPr>
        <w:t>采购渠道不正规，经采购人检查发现，第一次扣除中标人履约保证金1000元；第二次扣除中标人履约保证金5000元并取消中标人的配送资格。若被相关部门查取则直接取消中标人的配送资格并扣除履约保证金。</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strike/>
          <w:dstrike w:val="0"/>
          <w:color w:val="auto"/>
          <w:sz w:val="24"/>
          <w:highlight w:val="none"/>
          <w:lang w:val="en-US" w:eastAsia="zh-CN"/>
        </w:rPr>
      </w:pPr>
      <w:r>
        <w:rPr>
          <w:rFonts w:hint="eastAsia" w:ascii="仿宋" w:hAnsi="仿宋" w:eastAsia="仿宋" w:cs="仿宋"/>
          <w:b w:val="0"/>
          <w:bCs w:val="0"/>
          <w:color w:val="auto"/>
          <w:sz w:val="24"/>
          <w:highlight w:val="none"/>
          <w:lang w:val="en-US" w:eastAsia="zh-CN"/>
        </w:rPr>
        <w:t>3.中标人提供的大米不新鲜，采购人有权提出退换；供应商提供的食品不符合采购人需要或缺斤少两</w:t>
      </w:r>
      <w:r>
        <w:rPr>
          <w:rFonts w:hint="eastAsia" w:ascii="仿宋" w:hAnsi="仿宋" w:eastAsia="仿宋" w:cs="仿宋"/>
          <w:b w:val="0"/>
          <w:bCs w:val="0"/>
          <w:strike w:val="0"/>
          <w:dstrike w:val="0"/>
          <w:color w:val="auto"/>
          <w:sz w:val="24"/>
          <w:highlight w:val="none"/>
          <w:lang w:val="en-US" w:eastAsia="zh-CN"/>
        </w:rPr>
        <w:t>，</w:t>
      </w:r>
      <w:r>
        <w:rPr>
          <w:rFonts w:hint="eastAsia" w:ascii="仿宋" w:hAnsi="仿宋" w:eastAsia="仿宋" w:cs="仿宋"/>
          <w:b w:val="0"/>
          <w:bCs w:val="0"/>
          <w:color w:val="auto"/>
          <w:sz w:val="24"/>
          <w:highlight w:val="none"/>
          <w:lang w:val="en-US" w:eastAsia="zh-CN"/>
        </w:rPr>
        <w:t>采购人有权要求在规定时间内补足数量或按实际重量结算付款。</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宋体"/>
          <w:sz w:val="24"/>
          <w:szCs w:val="24"/>
        </w:rPr>
        <w:t>如中标人合同期内累计出现问题次数2次以上，采购人有权扣除中标人履约保证金</w:t>
      </w:r>
      <w:r>
        <w:rPr>
          <w:rFonts w:hint="eastAsia" w:ascii="仿宋" w:hAnsi="仿宋" w:eastAsia="仿宋" w:cs="宋体"/>
          <w:sz w:val="24"/>
          <w:szCs w:val="24"/>
          <w:lang w:val="en-US" w:eastAsia="zh-CN"/>
        </w:rPr>
        <w:t>10</w:t>
      </w:r>
      <w:r>
        <w:rPr>
          <w:rFonts w:hint="eastAsia" w:ascii="仿宋" w:hAnsi="仿宋" w:eastAsia="仿宋" w:cs="宋体"/>
          <w:sz w:val="24"/>
          <w:szCs w:val="24"/>
        </w:rPr>
        <w:t>00元；合同期内累计次数达4次以上，采购人有权扣除中标人履约保证金2000元；合同期内内累计次数达6次以上，采购人有权扣除中标人履约保证金5000元，并取消配送资格，责任由中标人承担。</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napToGrid w:val="0"/>
          <w:color w:val="auto"/>
          <w:kern w:val="0"/>
          <w:sz w:val="24"/>
          <w:szCs w:val="24"/>
          <w:highlight w:val="none"/>
          <w:lang w:val="en-US" w:eastAsia="zh-CN"/>
        </w:rPr>
      </w:pPr>
      <w:r>
        <w:rPr>
          <w:rFonts w:hint="eastAsia" w:ascii="仿宋" w:hAnsi="仿宋" w:eastAsia="仿宋" w:cs="仿宋"/>
          <w:b w:val="0"/>
          <w:bCs w:val="0"/>
          <w:color w:val="auto"/>
          <w:sz w:val="24"/>
          <w:highlight w:val="none"/>
          <w:lang w:val="en-US" w:eastAsia="zh-CN"/>
        </w:rPr>
        <w:t>4.</w:t>
      </w:r>
      <w:r>
        <w:rPr>
          <w:rFonts w:hint="eastAsia" w:ascii="仿宋" w:hAnsi="仿宋" w:eastAsia="仿宋" w:cs="宋体"/>
          <w:sz w:val="24"/>
          <w:szCs w:val="24"/>
        </w:rPr>
        <w:t>中标人配送的食品存在安全问题，导致采购人发生群体性食物中毒事故，由中标人承担所有事故责任与费用，</w:t>
      </w:r>
      <w:r>
        <w:rPr>
          <w:rFonts w:hint="eastAsia" w:ascii="仿宋" w:hAnsi="仿宋" w:eastAsia="仿宋" w:cs="宋体"/>
          <w:sz w:val="24"/>
          <w:szCs w:val="24"/>
          <w:lang w:eastAsia="zh-CN"/>
        </w:rPr>
        <w:t>扣除</w:t>
      </w:r>
      <w:r>
        <w:rPr>
          <w:rFonts w:hint="eastAsia" w:ascii="仿宋" w:hAnsi="仿宋" w:eastAsia="仿宋" w:cs="宋体"/>
          <w:sz w:val="24"/>
          <w:szCs w:val="24"/>
        </w:rPr>
        <w:t>履约保证金</w:t>
      </w:r>
      <w:r>
        <w:rPr>
          <w:rFonts w:hint="eastAsia" w:ascii="仿宋" w:hAnsi="仿宋" w:eastAsia="仿宋" w:cs="仿宋"/>
          <w:snapToGrid w:val="0"/>
          <w:color w:val="auto"/>
          <w:kern w:val="0"/>
          <w:sz w:val="24"/>
          <w:szCs w:val="24"/>
          <w:highlight w:val="none"/>
          <w:lang w:val="en-US" w:eastAsia="zh-CN"/>
        </w:rPr>
        <w:t>5000元</w:t>
      </w:r>
      <w:r>
        <w:rPr>
          <w:rFonts w:hint="eastAsia" w:ascii="仿宋" w:hAnsi="仿宋" w:eastAsia="仿宋" w:cs="宋体"/>
          <w:sz w:val="24"/>
          <w:szCs w:val="24"/>
        </w:rPr>
        <w:t>，取消配送资格。造成严重后果的，采购人将依法提起诉讼，追究中标人法律责任。中标人配送的食品有腐烂变质现象，经采购人核查情况属实后，在立即无偿退换的基础上，第一次由采购人向中标人提出警告，第二次采购人有权扣除中标人履约保证金2000元；</w:t>
      </w:r>
      <w:r>
        <w:rPr>
          <w:rFonts w:hint="eastAsia" w:ascii="仿宋" w:hAnsi="仿宋" w:eastAsia="仿宋" w:cs="仿宋"/>
          <w:b/>
          <w:bCs/>
          <w:snapToGrid w:val="0"/>
          <w:color w:val="auto"/>
          <w:kern w:val="0"/>
          <w:sz w:val="24"/>
          <w:szCs w:val="24"/>
          <w:highlight w:val="none"/>
          <w:lang w:val="en-US" w:eastAsia="zh-CN"/>
        </w:rPr>
        <w:t>第三次采购人有权扣除中标人履约保证金5000元并终止合同。</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采购人有权对配送价格进行抽查考核，如发现中标人采取欺骗、隐瞒、虚报等手段，故意抬高食品配送价格，使其配送价格高于以投标文件规定的基准价进行中标折扣后的价格，采购人有权提出按中标折扣后的价格重新结算。并在发现问题时，第一次由采购人向中标人提出警告，第二次采购人有权扣除中标人履约保证金2000元；第三次采购人有权扣除中标人履约保证金5000元，并取消配送资格。</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6.中标人运输食品的车辆未按要求的，发现一次扣除履约保证金1000元，以此类推。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宋体"/>
          <w:sz w:val="24"/>
          <w:szCs w:val="24"/>
          <w:lang w:val="en-US" w:eastAsia="zh-CN"/>
        </w:rPr>
        <w:t>7.</w:t>
      </w:r>
      <w:r>
        <w:rPr>
          <w:rFonts w:hint="eastAsia" w:ascii="仿宋" w:hAnsi="仿宋" w:eastAsia="仿宋" w:cs="宋体"/>
          <w:sz w:val="24"/>
          <w:szCs w:val="24"/>
        </w:rPr>
        <w:t>中标人配送达不到采购人要求，采购人对中标人下达整改通知书，并进行具体指导，如中标人无法达到采购人要求，采购人有权随时取消中标人配送资格，并</w:t>
      </w:r>
      <w:r>
        <w:rPr>
          <w:rFonts w:hint="eastAsia" w:ascii="仿宋" w:hAnsi="仿宋" w:eastAsia="仿宋" w:cs="宋体"/>
          <w:sz w:val="24"/>
          <w:szCs w:val="24"/>
          <w:lang w:eastAsia="zh-CN"/>
        </w:rPr>
        <w:t>扣除</w:t>
      </w:r>
      <w:r>
        <w:rPr>
          <w:rFonts w:hint="eastAsia" w:ascii="仿宋" w:hAnsi="仿宋" w:eastAsia="仿宋" w:cs="宋体"/>
          <w:sz w:val="24"/>
          <w:szCs w:val="24"/>
        </w:rPr>
        <w:t>其履约保证金。</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val="0"/>
          <w:bCs w:val="0"/>
          <w:color w:val="auto"/>
          <w:sz w:val="24"/>
          <w:highlight w:val="none"/>
        </w:rPr>
        <w:t>★</w:t>
      </w:r>
      <w:r>
        <w:rPr>
          <w:rFonts w:hint="eastAsia" w:ascii="仿宋" w:hAnsi="仿宋" w:eastAsia="仿宋" w:cs="仿宋"/>
          <w:b/>
          <w:bCs/>
          <w:color w:val="auto"/>
          <w:sz w:val="24"/>
          <w:highlight w:val="none"/>
          <w:lang w:val="en-US" w:eastAsia="zh-CN"/>
        </w:rPr>
        <w:t>八、</w:t>
      </w:r>
      <w:r>
        <w:rPr>
          <w:rFonts w:hint="eastAsia" w:ascii="仿宋" w:hAnsi="仿宋" w:eastAsia="仿宋" w:cs="仿宋"/>
          <w:b/>
          <w:bCs w:val="0"/>
          <w:color w:val="auto"/>
          <w:sz w:val="24"/>
          <w:szCs w:val="24"/>
          <w:highlight w:val="none"/>
          <w:lang w:val="en-US" w:eastAsia="zh-CN"/>
        </w:rPr>
        <w:t>商务条款</w:t>
      </w:r>
    </w:p>
    <w:tbl>
      <w:tblPr>
        <w:tblStyle w:val="25"/>
        <w:tblW w:w="891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7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服务期及地点</w:t>
            </w:r>
          </w:p>
        </w:tc>
        <w:tc>
          <w:tcPr>
            <w:tcW w:w="76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服务期：自合同签订之日起三个完整年度，合同一年一签，具体以签订合同时间为准，合同履行期内若发生重大食品安全问题，中标单位须承担相应责任，同时招标人有权终止合同。</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服务地点：</w:t>
            </w:r>
            <w:r>
              <w:rPr>
                <w:rFonts w:hint="eastAsia" w:ascii="仿宋" w:hAnsi="仿宋" w:eastAsia="仿宋" w:cs="宋体"/>
                <w:color w:val="auto"/>
                <w:sz w:val="24"/>
                <w:szCs w:val="24"/>
              </w:rPr>
              <w:t>嵊州市益嘉配送有限公司</w:t>
            </w:r>
            <w:r>
              <w:rPr>
                <w:rFonts w:hint="eastAsia" w:ascii="仿宋" w:hAnsi="仿宋" w:eastAsia="仿宋"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结算依据</w:t>
            </w:r>
          </w:p>
        </w:tc>
        <w:tc>
          <w:tcPr>
            <w:tcW w:w="7620"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中标人须遵守采购规则，价格以嵊州市教育局每周五公布的商品指导价作为下周配送商品的基准价，（基准价*中标折扣率）作为本单位配送商品的结算价，即今后结算依据。（若嵊州市教育局假期期间未及时公布指导价，则按最新一期价格作为基准价结算）</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若采购的食材在嵊州市教育局指导价公告中没有参考报价的，则根据绍兴E价通（http://jgjg.sx.gov.cn/）、嵊州市江滨市场和杭州世纪联华嵊州国贸商城店本周五公布的商品市场平均价作为本单位下周配送商品的基准价结合折扣率进行结算。</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3.若绍兴E价通（http://jgjg.sx.gov.cn/）、嵊州市江滨市场和杭州世纪联华嵊州国贸商城店没有参考报价的，以乐采云平台电子卖场本周五公布同品均价作为本单位下周配送商品的基准价结合折扣率进行结算。</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bCs w:val="0"/>
                <w:color w:val="auto"/>
                <w:sz w:val="24"/>
                <w:szCs w:val="24"/>
                <w:highlight w:val="none"/>
                <w:lang w:val="en-US" w:eastAsia="zh-CN"/>
              </w:rPr>
              <w:t>在服务期限内中标报价折扣率固定不变。</w:t>
            </w:r>
            <w:r>
              <w:rPr>
                <w:rFonts w:hint="eastAsia" w:ascii="仿宋" w:hAnsi="仿宋" w:eastAsia="仿宋" w:cs="仿宋"/>
                <w:b w:val="0"/>
                <w:bCs/>
                <w:color w:val="auto"/>
                <w:sz w:val="24"/>
                <w:szCs w:val="24"/>
                <w:highlight w:val="none"/>
                <w:lang w:val="en-US" w:eastAsia="zh-CN"/>
              </w:rPr>
              <w:t>报价包括但不限于提供货物价款、人员的劳务费用、加工费、装卸车费、途中运输费、检测、验收费（含第三方）、利润、管理费、保险费、税金、政策性文件规定等其他所有交付采购人可能产生的相关费用、产品的售后服务费及代理服务费等一切相关服务的所有费用。</w:t>
            </w:r>
          </w:p>
          <w:p>
            <w:pPr>
              <w:pStyle w:val="2"/>
              <w:spacing w:line="440" w:lineRule="exact"/>
              <w:ind w:firstLine="0" w:firstLineChars="0"/>
              <w:rPr>
                <w:rFonts w:hint="default"/>
                <w:lang w:val="en-US" w:eastAsia="zh-CN"/>
              </w:rPr>
            </w:pPr>
            <w:r>
              <w:rPr>
                <w:rFonts w:hint="eastAsia" w:ascii="仿宋" w:hAnsi="仿宋" w:eastAsia="仿宋" w:cs="仿宋"/>
                <w:bCs/>
                <w:color w:val="auto"/>
                <w:kern w:val="2"/>
                <w:sz w:val="24"/>
                <w:szCs w:val="24"/>
                <w:highlight w:val="none"/>
                <w:lang w:val="en-US" w:eastAsia="zh-CN"/>
              </w:rPr>
              <w:t>注：三年结算总价不得超过预算价。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付款方式</w:t>
            </w:r>
          </w:p>
        </w:tc>
        <w:tc>
          <w:tcPr>
            <w:tcW w:w="7620"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bidi="ar-SA"/>
              </w:rPr>
            </w:pPr>
            <w:r>
              <w:rPr>
                <w:rFonts w:hint="eastAsia" w:ascii="仿宋" w:hAnsi="仿宋" w:eastAsia="仿宋" w:cs="宋体"/>
                <w:sz w:val="24"/>
                <w:szCs w:val="24"/>
                <w:lang w:val="en-US" w:eastAsia="zh-CN"/>
              </w:rPr>
              <w:t>中标单位</w:t>
            </w:r>
            <w:r>
              <w:rPr>
                <w:rFonts w:hint="eastAsia" w:ascii="仿宋" w:hAnsi="仿宋" w:eastAsia="仿宋" w:cs="宋体"/>
                <w:sz w:val="24"/>
                <w:szCs w:val="24"/>
              </w:rPr>
              <w:t>有对公账户，能实现非现金交易。</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bidi="ar-SA"/>
              </w:rPr>
              <w:t>1.</w:t>
            </w:r>
            <w:r>
              <w:rPr>
                <w:rFonts w:hint="eastAsia" w:ascii="仿宋" w:hAnsi="仿宋" w:eastAsia="仿宋" w:cs="仿宋"/>
                <w:bCs/>
                <w:color w:val="auto"/>
                <w:kern w:val="28"/>
                <w:sz w:val="24"/>
                <w:szCs w:val="24"/>
                <w:lang w:val="en-US" w:eastAsia="zh-CN"/>
              </w:rPr>
              <w:t>合同货款及费用的结算：由中标单位凭供货清单(详细的物品结算清单及结算依据)及正式的税务发票，并与采购人的收货清单核对无误后，在次月10日前向采购人申请结算。</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bCs/>
                <w:color w:val="auto"/>
                <w:kern w:val="28"/>
                <w:sz w:val="24"/>
                <w:szCs w:val="24"/>
                <w:lang w:val="en-US" w:eastAsia="zh-CN"/>
              </w:rPr>
              <w:t>2.</w:t>
            </w:r>
            <w:r>
              <w:rPr>
                <w:rFonts w:hint="eastAsia" w:ascii="仿宋" w:hAnsi="仿宋" w:eastAsia="仿宋" w:cs="仿宋"/>
                <w:color w:val="auto"/>
                <w:kern w:val="0"/>
                <w:sz w:val="24"/>
                <w:szCs w:val="24"/>
                <w:highlight w:val="none"/>
              </w:rPr>
              <w:t>结算额度：当月产生的货款将于次月25号（遇有节假日顺延）前结清。在年底或年初所产生的资金拨付不及时，有可能影响货款的及时结算，应属正常情况</w:t>
            </w:r>
            <w:r>
              <w:rPr>
                <w:rFonts w:hint="eastAsia" w:ascii="仿宋" w:hAnsi="仿宋" w:eastAsia="仿宋" w:cs="仿宋"/>
                <w:color w:val="auto"/>
                <w:kern w:val="0"/>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default" w:ascii="仿宋" w:hAnsi="仿宋" w:eastAsia="仿宋" w:cs="仿宋"/>
                <w:bCs/>
                <w:color w:val="auto"/>
                <w:kern w:val="28"/>
                <w:sz w:val="24"/>
                <w:szCs w:val="24"/>
                <w:lang w:val="en-US"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合同价款的结算方式：每月结算价=基准</w:t>
            </w:r>
            <w:r>
              <w:rPr>
                <w:rFonts w:hint="eastAsia" w:ascii="仿宋" w:hAnsi="仿宋" w:eastAsia="仿宋" w:cs="仿宋"/>
                <w:color w:val="auto"/>
                <w:kern w:val="0"/>
                <w:sz w:val="24"/>
                <w:szCs w:val="24"/>
                <w:highlight w:val="none"/>
                <w:lang w:val="en-US" w:eastAsia="zh-CN"/>
              </w:rPr>
              <w:t>价</w:t>
            </w:r>
            <w:r>
              <w:rPr>
                <w:rFonts w:hint="eastAsia" w:ascii="仿宋" w:hAnsi="仿宋" w:eastAsia="仿宋" w:cs="仿宋"/>
                <w:color w:val="auto"/>
                <w:kern w:val="0"/>
                <w:sz w:val="24"/>
                <w:szCs w:val="24"/>
                <w:highlight w:val="none"/>
              </w:rPr>
              <w:t>×中标折扣率×实际数量。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发票要求</w:t>
            </w:r>
          </w:p>
        </w:tc>
        <w:tc>
          <w:tcPr>
            <w:tcW w:w="76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1.中标单位应在采购人支付费用前，依据相应的金额，向采购人提供足额且符合采购人要求的税务发票。采购人在收到中标单位提供的发票后在合同约定的时间支付相应款项，否则采购人有权延迟支付相应费用而不被视为违约，亦无须承担任何违约责任。</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2.本项目合同签署的成交供应商名称与发票开具单位及收款单位一致，中标单位不得以其他理由在合同执行过程中要求调整发票开具单位或收款单位（依法变更单位名称除外），否则视为中标单位违约并自行承担相关责任，且须承担由此对采购人造成的一切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履约保证金</w:t>
            </w:r>
          </w:p>
        </w:tc>
        <w:tc>
          <w:tcPr>
            <w:tcW w:w="7620" w:type="dxa"/>
            <w:noWrap w:val="0"/>
            <w:vAlign w:val="top"/>
          </w:tcPr>
          <w:p>
            <w:pPr>
              <w:widowControl/>
              <w:spacing w:line="440" w:lineRule="exact"/>
              <w:ind w:firstLine="0" w:firstLineChars="0"/>
              <w:rPr>
                <w:rFonts w:hint="default"/>
                <w:lang w:val="en-US" w:eastAsia="zh-CN"/>
              </w:rPr>
            </w:pPr>
            <w:r>
              <w:rPr>
                <w:rFonts w:hint="eastAsia" w:ascii="仿宋" w:hAnsi="仿宋" w:eastAsia="仿宋" w:cs="仿宋"/>
                <w:bCs/>
                <w:color w:val="auto"/>
                <w:kern w:val="28"/>
                <w:sz w:val="24"/>
                <w:szCs w:val="24"/>
                <w:lang w:val="en-US" w:eastAsia="zh-CN"/>
              </w:rPr>
              <w:t>中标通知书发出后10个工作日内，各中标单位需向采购人缴纳履约保证金17万元，服务期满后无违约问题15个工作日内无息退回。</w:t>
            </w:r>
            <w:r>
              <w:rPr>
                <w:rFonts w:hint="eastAsia" w:ascii="仿宋" w:hAnsi="仿宋" w:eastAsia="仿宋" w:cs="仿宋"/>
                <w:bCs/>
                <w:color w:val="auto"/>
                <w:kern w:val="28"/>
                <w:sz w:val="24"/>
                <w:szCs w:val="24"/>
                <w:highlight w:val="none"/>
                <w:u w:val="single"/>
                <w:lang w:val="en-US" w:eastAsia="zh-CN"/>
              </w:rPr>
              <w:t>如中标单位违约，采购人有权在履约保证金中将相关金额扣除。中标单位在收到采购人通知后7日内补足至原履约保证金金额。保证金不足以弥补采购人损失的，采购人可继续要求中标单位承担赔偿损失的责任。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验收</w:t>
            </w:r>
          </w:p>
        </w:tc>
        <w:tc>
          <w:tcPr>
            <w:tcW w:w="76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 w:val="0"/>
                <w:bCs/>
                <w:color w:val="auto"/>
                <w:sz w:val="24"/>
                <w:szCs w:val="24"/>
                <w:highlight w:val="none"/>
                <w:lang w:val="en-US" w:eastAsia="zh-CN"/>
              </w:rPr>
              <w:t>提供的产品符合</w:t>
            </w:r>
            <w:r>
              <w:rPr>
                <w:rFonts w:hint="eastAsia" w:ascii="仿宋" w:hAnsi="仿宋" w:eastAsia="仿宋" w:cs="仿宋"/>
                <w:bCs/>
                <w:color w:val="auto"/>
                <w:sz w:val="24"/>
                <w:highlight w:val="none"/>
              </w:rPr>
              <w:t>采购需求和合同约定</w:t>
            </w:r>
            <w:r>
              <w:rPr>
                <w:rFonts w:hint="eastAsia" w:ascii="仿宋" w:hAnsi="仿宋" w:eastAsia="仿宋" w:cs="仿宋"/>
                <w:b w:val="0"/>
                <w:bCs/>
                <w:color w:val="auto"/>
                <w:kern w:val="28"/>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（一）验收流程</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1）卸货前的检查。验收人员卸货前应对场地和验收设备做好准备，并对货物的外观质量进行初步了解。</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食品运输必须采用符合食品安全要求的外包装和运输工具，车厢内保持清洁和定期消毒，无异味。食品应清洁，无损伤、腐烂现象，外包装完整，无寄生虫或已受虫害现象。</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2)采取当场验收的方式，验收人认真检查物资的质量。中标人可提供票证原件的留原件，原件只有一份而无法提供给采购人的查验原件后索取复印件归档留存。</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3）逐一对食品进行验收，送货员、验收人联签。</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4)抽查发现食品安全质量问题的处理：</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对存在食品质量问题当日所送同批次产品全部退货，如大米中发现虫蛀结块挂丝、腐败变质，霉变、杂质超标等。如发生两次以上食品质量的问题，采购人有权终止合同。</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若抽查未发现问题，按储藏要求储藏后在加工食用前发现产品质量问题的，应立即通知采购人，将问题产品退货处理。</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5)其余无法出具相关票证的货物退货处理。</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6）验收记录</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分别建立米类验收登记本。每次验收的物资均记录物资名称、数量、验收情况、票证索取等事项，并由中标人送货人签名确认。</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（二）退（补）货流程</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对不符合采购要求的物资由验收人员提出退（补）货申请。如双方对质量或重量有争议的可送具有检验资质的部门检测；对数量不足或退货的，责成中标人以不影响伙食供应为前提尽快补送。</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（三）中标人供应情况记录</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建立中标人供应情况记录本，详细记录供应情况及相关的意见和建议。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食品安全责任</w:t>
            </w:r>
          </w:p>
        </w:tc>
        <w:tc>
          <w:tcPr>
            <w:tcW w:w="76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中标单位对所提供商品的安全质量负责，并承担因质量问题的引起的一切法律责任以及赔偿责任。签订合同后，中标单位需购买食品安全责任险。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其他</w:t>
            </w:r>
          </w:p>
        </w:tc>
        <w:tc>
          <w:tcPr>
            <w:tcW w:w="7620"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bidi="ar-SA"/>
              </w:rPr>
              <w:t>1.</w:t>
            </w:r>
            <w:r>
              <w:rPr>
                <w:rFonts w:hint="eastAsia" w:ascii="仿宋" w:hAnsi="仿宋" w:eastAsia="仿宋" w:cs="仿宋"/>
                <w:bCs/>
                <w:color w:val="auto"/>
                <w:kern w:val="28"/>
                <w:sz w:val="24"/>
                <w:szCs w:val="24"/>
                <w:lang w:val="en-US" w:eastAsia="zh-CN"/>
              </w:rPr>
              <w:t>招标人保留因政府政策性调整或规划调整等原因对上述所列招标内容作调整的权利,中标人须无条件接受招标人的调整。</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default" w:ascii="仿宋" w:hAnsi="仿宋" w:eastAsia="仿宋" w:cs="仿宋"/>
                <w:bCs/>
                <w:color w:val="auto"/>
                <w:kern w:val="28"/>
                <w:sz w:val="24"/>
                <w:szCs w:val="24"/>
                <w:lang w:val="en-US" w:eastAsia="zh-CN" w:bidi="ar-SA"/>
              </w:rPr>
            </w:pPr>
            <w:r>
              <w:rPr>
                <w:rFonts w:hint="default" w:ascii="仿宋" w:hAnsi="仿宋" w:eastAsia="仿宋" w:cs="仿宋"/>
                <w:bCs/>
                <w:color w:val="auto"/>
                <w:kern w:val="28"/>
                <w:sz w:val="24"/>
                <w:szCs w:val="24"/>
                <w:lang w:val="en-US" w:eastAsia="zh-CN" w:bidi="ar-SA"/>
              </w:rPr>
              <w:t>2.如采购人因政策变动或上级要求，中标人的服务需采购人自行完成，</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default" w:ascii="仿宋" w:hAnsi="仿宋" w:eastAsia="仿宋" w:cs="仿宋"/>
                <w:bCs/>
                <w:color w:val="auto"/>
                <w:kern w:val="28"/>
                <w:sz w:val="24"/>
                <w:szCs w:val="24"/>
                <w:lang w:val="en-US" w:eastAsia="zh-CN" w:bidi="ar-SA"/>
              </w:rPr>
            </w:pPr>
            <w:r>
              <w:rPr>
                <w:rFonts w:hint="default" w:ascii="仿宋" w:hAnsi="仿宋" w:eastAsia="仿宋" w:cs="仿宋"/>
                <w:bCs/>
                <w:color w:val="auto"/>
                <w:kern w:val="28"/>
                <w:sz w:val="24"/>
                <w:szCs w:val="24"/>
                <w:lang w:val="en-US" w:eastAsia="zh-CN" w:bidi="ar-SA"/>
              </w:rPr>
              <w:t>采购人有权提前一个月通知中标人终止合同，中标人应无条件服从。</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default"/>
                <w:lang w:val="en-US" w:eastAsia="zh-CN"/>
              </w:rPr>
            </w:pPr>
            <w:r>
              <w:rPr>
                <w:rFonts w:hint="default" w:ascii="仿宋" w:hAnsi="仿宋" w:eastAsia="仿宋" w:cs="仿宋"/>
                <w:bCs/>
                <w:color w:val="auto"/>
                <w:kern w:val="28"/>
                <w:sz w:val="24"/>
                <w:szCs w:val="24"/>
                <w:lang w:val="en-US" w:eastAsia="zh-CN" w:bidi="ar-SA"/>
              </w:rPr>
              <w:t>3.履约期间发生的安全与意外事件由中标人承担一切责任(经济和法律)，与采购人无关。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考核</w:t>
            </w:r>
          </w:p>
        </w:tc>
        <w:tc>
          <w:tcPr>
            <w:tcW w:w="76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中标单位需要接受采购人的考核，</w:t>
            </w:r>
            <w:r>
              <w:rPr>
                <w:rFonts w:hint="eastAsia" w:ascii="仿宋" w:hAnsi="仿宋" w:eastAsia="仿宋" w:cs="仿宋"/>
                <w:bCs/>
                <w:color w:val="auto"/>
                <w:kern w:val="28"/>
                <w:sz w:val="24"/>
                <w:szCs w:val="24"/>
                <w:highlight w:val="none"/>
                <w:lang w:val="en-US" w:eastAsia="zh-CN"/>
              </w:rPr>
              <w:t>具体考核办法另拟</w:t>
            </w:r>
            <w:r>
              <w:rPr>
                <w:rFonts w:hint="eastAsia" w:ascii="仿宋" w:hAnsi="仿宋" w:eastAsia="仿宋" w:cs="仿宋"/>
                <w:bCs/>
                <w:color w:val="auto"/>
                <w:kern w:val="28"/>
                <w:sz w:val="24"/>
                <w:szCs w:val="24"/>
                <w:lang w:val="en-US" w:eastAsia="zh-CN"/>
              </w:rPr>
              <w:t>。</w:t>
            </w:r>
          </w:p>
        </w:tc>
      </w:tr>
    </w:tbl>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p>
      <w:pPr>
        <w:spacing w:line="240" w:lineRule="auto"/>
        <w:ind w:firstLine="0" w:firstLineChars="0"/>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评标办法</w:t>
      </w:r>
      <w:bookmarkEnd w:id="250"/>
      <w:bookmarkEnd w:id="251"/>
      <w:bookmarkEnd w:id="252"/>
      <w:bookmarkEnd w:id="260"/>
    </w:p>
    <w:p>
      <w:pPr>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根据有关规定及此项目的实际情况，遵循公平、公正、科学择优的原则，特制定本办法。</w:t>
      </w:r>
    </w:p>
    <w:p>
      <w:pPr>
        <w:ind w:firstLine="482"/>
        <w:outlineLvl w:val="1"/>
        <w:rPr>
          <w:rFonts w:hint="eastAsia" w:ascii="仿宋" w:hAnsi="仿宋" w:eastAsia="仿宋" w:cs="仿宋"/>
          <w:b/>
          <w:color w:val="auto"/>
          <w:sz w:val="24"/>
          <w:szCs w:val="24"/>
          <w:highlight w:val="none"/>
        </w:rPr>
      </w:pPr>
      <w:bookmarkStart w:id="261" w:name="_Toc23895"/>
      <w:bookmarkStart w:id="262" w:name="_Toc22707"/>
      <w:bookmarkStart w:id="263" w:name="_Toc297662419"/>
      <w:r>
        <w:rPr>
          <w:rFonts w:hint="eastAsia" w:ascii="仿宋" w:hAnsi="仿宋" w:eastAsia="仿宋" w:cs="仿宋"/>
          <w:b/>
          <w:color w:val="auto"/>
          <w:sz w:val="24"/>
          <w:szCs w:val="24"/>
          <w:highlight w:val="none"/>
        </w:rPr>
        <w:t>一、评标组织</w:t>
      </w:r>
      <w:bookmarkEnd w:id="261"/>
      <w:bookmarkEnd w:id="262"/>
      <w:bookmarkEnd w:id="263"/>
    </w:p>
    <w:p>
      <w:pPr>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1.评标工作由评标委员会负责。评标委员会按有关规定产生。评标委员会由采购人代表和评审专家组成，成员人数为7人，其中采购人代表为1人。</w:t>
      </w:r>
    </w:p>
    <w:p>
      <w:pPr>
        <w:ind w:firstLine="482"/>
        <w:outlineLvl w:val="1"/>
        <w:rPr>
          <w:rFonts w:hint="eastAsia" w:ascii="仿宋" w:hAnsi="仿宋" w:eastAsia="仿宋" w:cs="仿宋"/>
          <w:b/>
          <w:color w:val="auto"/>
          <w:sz w:val="24"/>
          <w:szCs w:val="24"/>
          <w:highlight w:val="none"/>
        </w:rPr>
      </w:pPr>
      <w:bookmarkStart w:id="264" w:name="_Toc297662420"/>
      <w:bookmarkStart w:id="265" w:name="_Toc11215"/>
      <w:bookmarkStart w:id="266" w:name="_Toc5959"/>
      <w:r>
        <w:rPr>
          <w:rFonts w:hint="eastAsia" w:ascii="仿宋" w:hAnsi="仿宋" w:eastAsia="仿宋" w:cs="仿宋"/>
          <w:b/>
          <w:color w:val="auto"/>
          <w:sz w:val="24"/>
          <w:szCs w:val="24"/>
          <w:highlight w:val="none"/>
        </w:rPr>
        <w:t>二、评标方法</w:t>
      </w:r>
      <w:bookmarkEnd w:id="264"/>
      <w:bookmarkEnd w:id="265"/>
      <w:bookmarkEnd w:id="266"/>
    </w:p>
    <w:p>
      <w:pPr>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综合评分法。开标后，</w:t>
      </w:r>
      <w:r>
        <w:rPr>
          <w:rFonts w:hint="eastAsia" w:ascii="仿宋" w:hAnsi="仿宋" w:eastAsia="仿宋" w:cs="仿宋"/>
          <w:color w:val="auto"/>
          <w:sz w:val="24"/>
          <w:szCs w:val="20"/>
        </w:rPr>
        <w:t>评标委员会首先对所有通过资格审查的投标人的投标文件进行符合性审查</w:t>
      </w:r>
      <w:r>
        <w:rPr>
          <w:rFonts w:hint="eastAsia" w:ascii="仿宋" w:hAnsi="仿宋" w:eastAsia="仿宋" w:cs="仿宋"/>
          <w:color w:val="auto"/>
          <w:sz w:val="24"/>
          <w:szCs w:val="24"/>
          <w:highlight w:val="none"/>
        </w:rPr>
        <w:t>，凡投标人</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投标文件完整性、合法性存在欠缺的，或投标文件实质性内容和关键格式严重不符合有关规定和不响应招标文件要求的</w:t>
      </w:r>
      <w:r>
        <w:rPr>
          <w:rFonts w:hint="eastAsia" w:ascii="仿宋" w:hAnsi="仿宋" w:eastAsia="仿宋" w:cs="仿宋"/>
          <w:strike w:val="0"/>
          <w:dstrike w:val="0"/>
          <w:color w:val="auto"/>
          <w:sz w:val="24"/>
          <w:szCs w:val="24"/>
          <w:highlight w:val="none"/>
        </w:rPr>
        <w:t>，作为无效标予以废除，不进入评议打分范围</w:t>
      </w:r>
      <w:r>
        <w:rPr>
          <w:rFonts w:hint="eastAsia" w:ascii="仿宋" w:hAnsi="仿宋" w:eastAsia="仿宋" w:cs="仿宋"/>
          <w:strike w:val="0"/>
          <w:color w:val="auto"/>
          <w:sz w:val="24"/>
          <w:szCs w:val="24"/>
          <w:highlight w:val="none"/>
        </w:rPr>
        <w:t>。</w:t>
      </w:r>
    </w:p>
    <w:p>
      <w:pPr>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评标委员会以审标、询标为基础依据，对投标文件及投标人分别进行分析评议，由评委独立评议计分，取汇总后的算术平均值。</w:t>
      </w:r>
    </w:p>
    <w:p>
      <w:pPr>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的综合得分为技术资信部分、价格部分评分的总计（指定专人进行计算和复核，四舍五入法，保留两位小数），中标候选资格按评标得分由高到低顺序排列，得分相同的，按投标报价由低到高顺序排列；得分且投标报价相同的，按技术商务得分由高到低排列。排名第一的投标人为中标候选人。 </w:t>
      </w:r>
    </w:p>
    <w:p>
      <w:pPr>
        <w:ind w:firstLine="482"/>
        <w:outlineLvl w:val="1"/>
        <w:rPr>
          <w:rFonts w:hint="eastAsia" w:ascii="仿宋" w:hAnsi="仿宋" w:eastAsia="仿宋" w:cs="仿宋"/>
          <w:b/>
          <w:color w:val="auto"/>
          <w:sz w:val="24"/>
          <w:szCs w:val="24"/>
          <w:highlight w:val="none"/>
        </w:rPr>
      </w:pPr>
      <w:bookmarkStart w:id="267" w:name="_Toc27428"/>
      <w:bookmarkStart w:id="268" w:name="_Toc297662421"/>
      <w:bookmarkStart w:id="269" w:name="_Toc4514"/>
      <w:r>
        <w:rPr>
          <w:rFonts w:hint="eastAsia" w:ascii="仿宋" w:hAnsi="仿宋" w:eastAsia="仿宋" w:cs="仿宋"/>
          <w:b/>
          <w:color w:val="auto"/>
          <w:sz w:val="24"/>
          <w:szCs w:val="24"/>
          <w:highlight w:val="none"/>
        </w:rPr>
        <w:t>三、定标办法</w:t>
      </w:r>
      <w:bookmarkEnd w:id="267"/>
      <w:bookmarkEnd w:id="268"/>
      <w:bookmarkEnd w:id="269"/>
    </w:p>
    <w:p>
      <w:pPr>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评标结束后，采购人根据评标委员会提交的评标报告和推荐意见，对进入候选的投标人进行最终审查。终审后根据推荐的候选中标人情况确定中标人。最低报价不是中标的唯一保证。</w:t>
      </w:r>
    </w:p>
    <w:p>
      <w:pPr>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整个评标过程应严格保密，评标委员会成员及工作人员应严格遵守纪律，不得</w:t>
      </w:r>
      <w:r>
        <w:rPr>
          <w:rFonts w:hint="eastAsia" w:ascii="仿宋" w:hAnsi="仿宋" w:eastAsia="仿宋" w:cs="仿宋"/>
          <w:color w:val="auto"/>
          <w:sz w:val="24"/>
          <w:szCs w:val="24"/>
          <w:highlight w:val="none"/>
          <w:lang w:eastAsia="zh-CN"/>
        </w:rPr>
        <w:t>泄露</w:t>
      </w:r>
      <w:r>
        <w:rPr>
          <w:rFonts w:hint="eastAsia" w:ascii="仿宋" w:hAnsi="仿宋" w:eastAsia="仿宋" w:cs="仿宋"/>
          <w:color w:val="auto"/>
          <w:sz w:val="24"/>
          <w:szCs w:val="24"/>
          <w:highlight w:val="none"/>
        </w:rPr>
        <w:t xml:space="preserve">任何评标信息。 </w:t>
      </w:r>
    </w:p>
    <w:p>
      <w:pPr>
        <w:ind w:firstLine="482"/>
        <w:outlineLvl w:val="1"/>
        <w:rPr>
          <w:rFonts w:hint="eastAsia" w:ascii="仿宋" w:hAnsi="仿宋" w:eastAsia="仿宋" w:cs="仿宋"/>
          <w:b/>
          <w:color w:val="auto"/>
          <w:sz w:val="24"/>
          <w:szCs w:val="24"/>
          <w:highlight w:val="none"/>
        </w:rPr>
      </w:pPr>
      <w:bookmarkStart w:id="270" w:name="_Toc5490"/>
      <w:r>
        <w:rPr>
          <w:rFonts w:hint="eastAsia" w:ascii="仿宋" w:hAnsi="仿宋" w:eastAsia="仿宋" w:cs="仿宋"/>
          <w:b/>
          <w:color w:val="auto"/>
          <w:sz w:val="24"/>
          <w:szCs w:val="24"/>
          <w:highlight w:val="none"/>
        </w:rPr>
        <w:t>四、分值的计算</w:t>
      </w:r>
      <w:bookmarkEnd w:id="270"/>
    </w:p>
    <w:p>
      <w:pPr>
        <w:ind w:firstLine="480"/>
        <w:outlineLvl w:val="9"/>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资信及技术分=评标委员会所有成员评分合计数/评标委员会组成人员数</w:t>
      </w:r>
    </w:p>
    <w:p>
      <w:pPr>
        <w:ind w:firstLine="480"/>
        <w:outlineLvl w:val="9"/>
        <w:rPr>
          <w:rFonts w:hint="eastAsia" w:ascii="仿宋" w:hAnsi="仿宋" w:eastAsia="仿宋" w:cs="仿宋"/>
          <w:b/>
          <w:color w:val="auto"/>
          <w:sz w:val="24"/>
          <w:szCs w:val="24"/>
          <w:highlight w:val="none"/>
        </w:rPr>
      </w:pPr>
      <w:r>
        <w:rPr>
          <w:rFonts w:hint="eastAsia" w:ascii="仿宋" w:hAnsi="仿宋" w:eastAsia="仿宋" w:cs="仿宋"/>
          <w:color w:val="auto"/>
          <w:kern w:val="1"/>
          <w:sz w:val="24"/>
          <w:szCs w:val="24"/>
          <w:highlight w:val="none"/>
        </w:rPr>
        <w:t>投标人评标综合得分=价格分+资信及技术分</w:t>
      </w:r>
      <w:bookmarkStart w:id="271" w:name="_Toc381971563"/>
      <w:bookmarkEnd w:id="271"/>
      <w:bookmarkStart w:id="272" w:name="_Toc446245388"/>
      <w:bookmarkEnd w:id="272"/>
    </w:p>
    <w:p>
      <w:pPr>
        <w:keepNext w:val="0"/>
        <w:keepLines w:val="0"/>
        <w:pageBreakBefore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b/>
          <w:color w:val="auto"/>
          <w:sz w:val="24"/>
          <w:szCs w:val="24"/>
          <w:highlight w:val="none"/>
        </w:rPr>
      </w:pPr>
      <w:bookmarkStart w:id="273" w:name="_Toc25606"/>
      <w:r>
        <w:rPr>
          <w:rFonts w:hint="eastAsia" w:ascii="仿宋" w:hAnsi="仿宋" w:eastAsia="仿宋" w:cs="仿宋"/>
          <w:b/>
          <w:color w:val="auto"/>
          <w:sz w:val="24"/>
          <w:szCs w:val="24"/>
          <w:highlight w:val="none"/>
        </w:rPr>
        <w:t>五、评标内容及标准</w:t>
      </w:r>
      <w:bookmarkEnd w:id="273"/>
    </w:p>
    <w:bookmarkEnd w:id="253"/>
    <w:bookmarkEnd w:id="254"/>
    <w:bookmarkEnd w:id="255"/>
    <w:bookmarkEnd w:id="256"/>
    <w:bookmarkEnd w:id="257"/>
    <w:bookmarkEnd w:id="258"/>
    <w:bookmarkEnd w:id="259"/>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color w:val="auto"/>
          <w:kern w:val="1"/>
          <w:sz w:val="24"/>
          <w:szCs w:val="24"/>
          <w:highlight w:val="none"/>
        </w:rPr>
      </w:pPr>
      <w:r>
        <w:rPr>
          <w:rFonts w:hint="eastAsia" w:ascii="仿宋" w:hAnsi="仿宋" w:eastAsia="仿宋" w:cs="仿宋"/>
          <w:b/>
          <w:bCs/>
          <w:color w:val="auto"/>
          <w:kern w:val="1"/>
          <w:sz w:val="24"/>
          <w:szCs w:val="24"/>
          <w:highlight w:val="none"/>
        </w:rPr>
        <w:t>1.</w:t>
      </w:r>
      <w:r>
        <w:rPr>
          <w:rFonts w:hint="eastAsia" w:ascii="仿宋" w:hAnsi="仿宋" w:eastAsia="仿宋" w:cs="仿宋"/>
          <w:b/>
          <w:bCs/>
          <w:color w:val="auto"/>
          <w:kern w:val="1"/>
          <w:sz w:val="24"/>
          <w:szCs w:val="24"/>
        </w:rPr>
        <w:t>资信及技术分</w:t>
      </w:r>
      <w:r>
        <w:rPr>
          <w:rFonts w:hint="eastAsia" w:ascii="仿宋" w:hAnsi="仿宋" w:eastAsia="仿宋" w:cs="仿宋"/>
          <w:b/>
          <w:bCs/>
          <w:color w:val="auto"/>
          <w:kern w:val="1"/>
          <w:sz w:val="24"/>
          <w:szCs w:val="24"/>
          <w:highlight w:val="none"/>
        </w:rPr>
        <w:t>（</w:t>
      </w:r>
      <w:r>
        <w:rPr>
          <w:rFonts w:hint="eastAsia" w:ascii="仿宋" w:hAnsi="仿宋" w:eastAsia="仿宋" w:cs="仿宋"/>
          <w:b/>
          <w:bCs/>
          <w:color w:val="auto"/>
          <w:kern w:val="1"/>
          <w:sz w:val="24"/>
          <w:szCs w:val="24"/>
          <w:highlight w:val="none"/>
          <w:lang w:val="en-US" w:eastAsia="zh-CN"/>
        </w:rPr>
        <w:t>70</w:t>
      </w:r>
      <w:r>
        <w:rPr>
          <w:rFonts w:hint="eastAsia" w:ascii="仿宋" w:hAnsi="仿宋" w:eastAsia="仿宋" w:cs="仿宋"/>
          <w:b/>
          <w:bCs/>
          <w:color w:val="auto"/>
          <w:kern w:val="1"/>
          <w:sz w:val="24"/>
          <w:szCs w:val="24"/>
          <w:highlight w:val="none"/>
        </w:rPr>
        <w:t>分）</w:t>
      </w:r>
    </w:p>
    <w:tbl>
      <w:tblPr>
        <w:tblStyle w:val="24"/>
        <w:tblW w:w="48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306"/>
        <w:gridCol w:w="6156"/>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blHeader/>
          <w:jc w:val="center"/>
        </w:trPr>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val="0"/>
                <w:color w:val="auto"/>
                <w:kern w:val="28"/>
                <w:sz w:val="24"/>
                <w:szCs w:val="24"/>
                <w:lang w:val="en-US" w:eastAsia="zh-CN"/>
              </w:rPr>
            </w:pPr>
            <w:r>
              <w:rPr>
                <w:rFonts w:hint="eastAsia" w:ascii="仿宋" w:hAnsi="仿宋" w:eastAsia="仿宋" w:cs="仿宋"/>
                <w:b/>
                <w:bCs w:val="0"/>
                <w:color w:val="auto"/>
                <w:kern w:val="28"/>
                <w:sz w:val="24"/>
                <w:szCs w:val="24"/>
                <w:lang w:val="en-US" w:eastAsia="zh-CN"/>
              </w:rPr>
              <w:t>序号</w:t>
            </w:r>
          </w:p>
        </w:tc>
        <w:tc>
          <w:tcPr>
            <w:tcW w:w="7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val="0"/>
                <w:color w:val="auto"/>
                <w:kern w:val="28"/>
                <w:sz w:val="24"/>
                <w:szCs w:val="24"/>
                <w:lang w:val="en-US" w:eastAsia="zh-CN"/>
              </w:rPr>
            </w:pPr>
            <w:r>
              <w:rPr>
                <w:rFonts w:hint="eastAsia" w:ascii="仿宋" w:hAnsi="仿宋" w:eastAsia="仿宋" w:cs="仿宋"/>
                <w:b/>
                <w:bCs w:val="0"/>
                <w:color w:val="auto"/>
                <w:kern w:val="28"/>
                <w:sz w:val="24"/>
                <w:szCs w:val="24"/>
                <w:lang w:val="en-US" w:eastAsia="zh-CN"/>
              </w:rPr>
              <w:t>评审项目</w:t>
            </w:r>
          </w:p>
        </w:tc>
        <w:tc>
          <w:tcPr>
            <w:tcW w:w="3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val="0"/>
                <w:color w:val="auto"/>
                <w:kern w:val="28"/>
                <w:sz w:val="24"/>
                <w:szCs w:val="24"/>
                <w:lang w:val="en-US" w:eastAsia="zh-CN"/>
              </w:rPr>
            </w:pPr>
            <w:r>
              <w:rPr>
                <w:rFonts w:hint="eastAsia" w:ascii="仿宋" w:hAnsi="仿宋" w:eastAsia="仿宋" w:cs="仿宋"/>
                <w:b/>
                <w:bCs w:val="0"/>
                <w:color w:val="auto"/>
                <w:kern w:val="28"/>
                <w:sz w:val="24"/>
                <w:szCs w:val="24"/>
                <w:lang w:val="en-US" w:eastAsia="zh-CN"/>
              </w:rPr>
              <w:t>评分内容和标准</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val="0"/>
                <w:color w:val="auto"/>
                <w:kern w:val="28"/>
                <w:sz w:val="24"/>
                <w:szCs w:val="24"/>
                <w:lang w:val="en-US" w:eastAsia="zh-CN"/>
              </w:rPr>
            </w:pPr>
            <w:r>
              <w:rPr>
                <w:rFonts w:hint="eastAsia" w:ascii="仿宋" w:hAnsi="仿宋" w:eastAsia="仿宋" w:cs="仿宋"/>
                <w:b/>
                <w:bCs w:val="0"/>
                <w:color w:val="auto"/>
                <w:kern w:val="28"/>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52"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1</w:t>
            </w:r>
          </w:p>
        </w:tc>
        <w:tc>
          <w:tcPr>
            <w:tcW w:w="736"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安全证明</w:t>
            </w:r>
          </w:p>
        </w:tc>
        <w:tc>
          <w:tcPr>
            <w:tcW w:w="347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投标人于2021年1月至2024年1月内未发生重大食品安全事故得3分。</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highlight w:val="none"/>
                <w:lang w:val="en-US" w:eastAsia="zh-CN"/>
              </w:rPr>
              <w:t>提供属地市场监督管理局证明文件扫描件或经营主体专用信用报告（替代有无违法记录证明专用版）扫描件并加盖CA签章。</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52"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bidi="ar-SA"/>
              </w:rPr>
            </w:pPr>
            <w:r>
              <w:rPr>
                <w:rFonts w:hint="eastAsia" w:ascii="仿宋" w:hAnsi="仿宋" w:eastAsia="仿宋" w:cs="仿宋"/>
                <w:bCs/>
                <w:color w:val="auto"/>
                <w:kern w:val="28"/>
                <w:sz w:val="24"/>
                <w:szCs w:val="24"/>
                <w:lang w:val="en-US" w:eastAsia="zh-CN"/>
              </w:rPr>
              <w:t>2</w:t>
            </w:r>
          </w:p>
        </w:tc>
        <w:tc>
          <w:tcPr>
            <w:tcW w:w="736"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认证证书</w:t>
            </w:r>
          </w:p>
        </w:tc>
        <w:tc>
          <w:tcPr>
            <w:tcW w:w="347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投标人具有质量管理体系认证证书得1.5分，投标人具有食品安全管理体系认证证书的得1.5分。</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提供证书扫描件并加盖CA签章。</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352"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bidi="ar-SA"/>
              </w:rPr>
            </w:pPr>
            <w:r>
              <w:rPr>
                <w:rFonts w:hint="eastAsia" w:ascii="仿宋" w:hAnsi="仿宋" w:eastAsia="仿宋" w:cs="仿宋"/>
                <w:bCs/>
                <w:color w:val="auto"/>
                <w:kern w:val="28"/>
                <w:sz w:val="24"/>
                <w:szCs w:val="24"/>
                <w:lang w:val="en-US" w:eastAsia="zh-CN"/>
              </w:rPr>
              <w:t>3</w:t>
            </w:r>
          </w:p>
        </w:tc>
        <w:tc>
          <w:tcPr>
            <w:tcW w:w="736"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同类业绩</w:t>
            </w:r>
          </w:p>
        </w:tc>
        <w:tc>
          <w:tcPr>
            <w:tcW w:w="347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投标人自2021年1月1日（以合同签订时间或发票开具时间为准）以来承接过学校或机关事业或国企单位同类产品供货合同的，每提供一个得1分，最高得2分。</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default"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提供合同或正规税务发票扫描件并加盖CA签章。</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bidi="ar-SA"/>
              </w:rPr>
            </w:pPr>
            <w:r>
              <w:rPr>
                <w:rFonts w:hint="eastAsia" w:ascii="仿宋" w:hAnsi="仿宋" w:eastAsia="仿宋" w:cs="仿宋"/>
                <w:bCs/>
                <w:color w:val="auto"/>
                <w:kern w:val="28"/>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52" w:type="pct"/>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4</w:t>
            </w:r>
          </w:p>
        </w:tc>
        <w:tc>
          <w:tcPr>
            <w:tcW w:w="736"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人员配备</w:t>
            </w:r>
          </w:p>
        </w:tc>
        <w:tc>
          <w:tcPr>
            <w:tcW w:w="347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投标人拟投入本项目的负责人：同时具有食品安全管理员证书和健康证的得2分。</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提供有效期内的证件扫描件及</w:t>
            </w:r>
            <w:r>
              <w:rPr>
                <w:rFonts w:hint="eastAsia" w:ascii="仿宋" w:hAnsi="仿宋" w:eastAsia="仿宋" w:cs="仿宋"/>
                <w:bCs/>
                <w:color w:val="auto"/>
                <w:kern w:val="28"/>
                <w:sz w:val="24"/>
                <w:highlight w:val="none"/>
              </w:rPr>
              <w:t>人员</w:t>
            </w:r>
            <w:r>
              <w:rPr>
                <w:rFonts w:hint="eastAsia" w:ascii="仿宋" w:hAnsi="仿宋" w:eastAsia="仿宋" w:cs="仿宋"/>
                <w:bCs/>
                <w:color w:val="auto"/>
                <w:kern w:val="28"/>
                <w:sz w:val="24"/>
                <w:szCs w:val="24"/>
                <w:highlight w:val="none"/>
                <w:lang w:val="en-US" w:eastAsia="zh-CN"/>
              </w:rPr>
              <w:t>在本单位5-7月的</w:t>
            </w:r>
            <w:r>
              <w:rPr>
                <w:rFonts w:hint="eastAsia" w:ascii="仿宋" w:hAnsi="仿宋" w:eastAsia="仿宋" w:cs="仿宋"/>
                <w:bCs/>
                <w:color w:val="auto"/>
                <w:kern w:val="28"/>
                <w:sz w:val="24"/>
                <w:highlight w:val="none"/>
              </w:rPr>
              <w:t>社保缴纳证明</w:t>
            </w:r>
            <w:r>
              <w:rPr>
                <w:rFonts w:hint="eastAsia" w:ascii="仿宋" w:hAnsi="仿宋" w:eastAsia="仿宋" w:cs="仿宋"/>
                <w:bCs/>
                <w:color w:val="auto"/>
                <w:kern w:val="28"/>
                <w:sz w:val="24"/>
                <w:highlight w:val="none"/>
                <w:lang w:eastAsia="zh-CN"/>
              </w:rPr>
              <w:t>。</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35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bidi="ar-SA"/>
              </w:rPr>
            </w:pPr>
          </w:p>
        </w:tc>
        <w:tc>
          <w:tcPr>
            <w:tcW w:w="736"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rPr>
            </w:pPr>
          </w:p>
        </w:tc>
        <w:tc>
          <w:tcPr>
            <w:tcW w:w="347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投标人拟投入本项目人员（除项目负责人外）：具有健康证的每人得1分，最高得2分。</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提供有效期内的证件扫描件及</w:t>
            </w:r>
            <w:r>
              <w:rPr>
                <w:rFonts w:hint="eastAsia" w:ascii="仿宋" w:hAnsi="仿宋" w:eastAsia="仿宋" w:cs="仿宋"/>
                <w:bCs/>
                <w:color w:val="auto"/>
                <w:kern w:val="28"/>
                <w:sz w:val="24"/>
                <w:highlight w:val="none"/>
              </w:rPr>
              <w:t>人员</w:t>
            </w:r>
            <w:r>
              <w:rPr>
                <w:rFonts w:hint="eastAsia" w:ascii="仿宋" w:hAnsi="仿宋" w:eastAsia="仿宋" w:cs="仿宋"/>
                <w:bCs/>
                <w:color w:val="auto"/>
                <w:kern w:val="28"/>
                <w:sz w:val="24"/>
                <w:szCs w:val="24"/>
                <w:highlight w:val="none"/>
                <w:lang w:val="en-US" w:eastAsia="zh-CN"/>
              </w:rPr>
              <w:t>在本单位5-7月的</w:t>
            </w:r>
            <w:r>
              <w:rPr>
                <w:rFonts w:hint="eastAsia" w:ascii="仿宋" w:hAnsi="仿宋" w:eastAsia="仿宋" w:cs="仿宋"/>
                <w:bCs/>
                <w:color w:val="auto"/>
                <w:kern w:val="28"/>
                <w:sz w:val="24"/>
                <w:highlight w:val="none"/>
              </w:rPr>
              <w:t>社保缴纳证明</w:t>
            </w:r>
            <w:r>
              <w:rPr>
                <w:rFonts w:hint="eastAsia" w:ascii="仿宋" w:hAnsi="仿宋" w:eastAsia="仿宋" w:cs="仿宋"/>
                <w:bCs/>
                <w:color w:val="auto"/>
                <w:kern w:val="28"/>
                <w:sz w:val="24"/>
                <w:highlight w:val="none"/>
                <w:lang w:eastAsia="zh-CN"/>
              </w:rPr>
              <w:t>。</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352"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bidi="ar-SA"/>
              </w:rPr>
            </w:pPr>
            <w:r>
              <w:rPr>
                <w:rFonts w:hint="eastAsia" w:ascii="仿宋" w:hAnsi="仿宋" w:eastAsia="仿宋" w:cs="仿宋"/>
                <w:bCs/>
                <w:color w:val="auto"/>
                <w:kern w:val="28"/>
                <w:sz w:val="24"/>
                <w:szCs w:val="24"/>
                <w:lang w:val="en-US" w:eastAsia="zh-CN"/>
              </w:rPr>
              <w:t>5</w:t>
            </w:r>
          </w:p>
        </w:tc>
        <w:tc>
          <w:tcPr>
            <w:tcW w:w="736"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供货能力</w:t>
            </w:r>
          </w:p>
        </w:tc>
        <w:tc>
          <w:tcPr>
            <w:tcW w:w="34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投标人拥有自有谷物种植农场，具备生产及供货能力，农场具备营业执照，自有农场超过500亩得2分，每增加200亩得1分，最高得4分。</w:t>
            </w:r>
          </w:p>
          <w:p>
            <w:pPr>
              <w:keepNext w:val="0"/>
              <w:keepLines w:val="0"/>
              <w:pageBreakBefore w:val="0"/>
              <w:kinsoku/>
              <w:wordWrap/>
              <w:overflowPunct/>
              <w:topLinePunct w:val="0"/>
              <w:autoSpaceDE/>
              <w:autoSpaceDN/>
              <w:bidi w:val="0"/>
              <w:adjustRightInd/>
              <w:snapToGrid/>
              <w:spacing w:line="440" w:lineRule="exact"/>
              <w:ind w:firstLine="0" w:firstLineChars="0"/>
              <w:jc w:val="both"/>
              <w:textAlignment w:val="auto"/>
              <w:rPr>
                <w:rFonts w:hint="default" w:ascii="仿宋" w:hAnsi="仿宋" w:eastAsia="仿宋" w:cs="仿宋"/>
                <w:bCs/>
                <w:color w:val="auto"/>
                <w:kern w:val="28"/>
                <w:sz w:val="24"/>
                <w:szCs w:val="24"/>
                <w:lang w:val="en-US" w:eastAsia="zh-CN"/>
              </w:rPr>
            </w:pPr>
            <w:r>
              <w:rPr>
                <w:rFonts w:hint="eastAsia" w:ascii="仿宋" w:hAnsi="仿宋" w:eastAsia="仿宋" w:cs="仿宋"/>
                <w:snapToGrid w:val="0"/>
                <w:color w:val="auto"/>
                <w:kern w:val="0"/>
                <w:sz w:val="24"/>
                <w:szCs w:val="24"/>
                <w:highlight w:val="none"/>
                <w:lang w:val="en-US" w:eastAsia="zh-CN"/>
              </w:rPr>
              <w:t>（投标文件中提供土地承包协议扫描件加盖投标人公章）</w:t>
            </w:r>
          </w:p>
        </w:tc>
        <w:tc>
          <w:tcPr>
            <w:tcW w:w="440"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352"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bidi="ar-SA"/>
              </w:rPr>
            </w:pPr>
            <w:r>
              <w:rPr>
                <w:rFonts w:hint="eastAsia" w:ascii="仿宋" w:hAnsi="仿宋" w:eastAsia="仿宋" w:cs="仿宋"/>
                <w:bCs/>
                <w:color w:val="auto"/>
                <w:kern w:val="28"/>
                <w:sz w:val="24"/>
                <w:szCs w:val="24"/>
                <w:lang w:val="en-US" w:eastAsia="zh-CN"/>
              </w:rPr>
              <w:t>6</w:t>
            </w:r>
          </w:p>
        </w:tc>
        <w:tc>
          <w:tcPr>
            <w:tcW w:w="736"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产品溯源</w:t>
            </w:r>
          </w:p>
        </w:tc>
        <w:tc>
          <w:tcPr>
            <w:tcW w:w="34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投标人或关联企业有谷物种植农场具备规范化、数字化等管理特点，农场产品可溯源，以保障食品安全和营养。</w:t>
            </w:r>
          </w:p>
          <w:p>
            <w:pPr>
              <w:keepNext w:val="0"/>
              <w:keepLines w:val="0"/>
              <w:pageBreakBefore w:val="0"/>
              <w:kinsoku/>
              <w:wordWrap/>
              <w:overflowPunct/>
              <w:topLinePunct w:val="0"/>
              <w:autoSpaceDE/>
              <w:autoSpaceDN/>
              <w:bidi w:val="0"/>
              <w:adjustRightInd/>
              <w:snapToGrid/>
              <w:spacing w:line="440" w:lineRule="exact"/>
              <w:ind w:firstLine="0" w:firstLineChars="0"/>
              <w:jc w:val="both"/>
              <w:textAlignment w:val="auto"/>
              <w:rPr>
                <w:rFonts w:hint="default"/>
                <w:color w:val="auto"/>
                <w:lang w:val="en-US" w:eastAsia="zh-CN"/>
              </w:rPr>
            </w:pPr>
            <w:r>
              <w:rPr>
                <w:rFonts w:hint="eastAsia" w:ascii="仿宋" w:hAnsi="仿宋" w:eastAsia="仿宋" w:cs="仿宋"/>
                <w:snapToGrid w:val="0"/>
                <w:color w:val="auto"/>
                <w:kern w:val="0"/>
                <w:sz w:val="24"/>
                <w:szCs w:val="24"/>
                <w:highlight w:val="none"/>
                <w:lang w:val="en-US" w:eastAsia="zh-CN"/>
              </w:rPr>
              <w:t>（投标文件中提供相关共建农场的证明材料，未提供不得分）</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52"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bidi="ar-SA"/>
              </w:rPr>
            </w:pPr>
            <w:r>
              <w:rPr>
                <w:rFonts w:hint="eastAsia" w:ascii="仿宋" w:hAnsi="仿宋" w:eastAsia="仿宋" w:cs="仿宋"/>
                <w:bCs/>
                <w:color w:val="auto"/>
                <w:kern w:val="28"/>
                <w:sz w:val="24"/>
                <w:szCs w:val="24"/>
                <w:lang w:val="en-US" w:eastAsia="zh-CN"/>
              </w:rPr>
              <w:t>7</w:t>
            </w:r>
          </w:p>
        </w:tc>
        <w:tc>
          <w:tcPr>
            <w:tcW w:w="736"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仓储能力</w:t>
            </w:r>
          </w:p>
        </w:tc>
        <w:tc>
          <w:tcPr>
            <w:tcW w:w="34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投标人具备标准的粮食仓储仓库，库容超过1000吨的得3分，超过700吨的得2分，超过500吨的得1分。</w:t>
            </w:r>
          </w:p>
          <w:p>
            <w:pPr>
              <w:keepNext w:val="0"/>
              <w:keepLines w:val="0"/>
              <w:pageBreakBefore w:val="0"/>
              <w:kinsoku/>
              <w:wordWrap/>
              <w:overflowPunct/>
              <w:topLinePunct w:val="0"/>
              <w:autoSpaceDE/>
              <w:autoSpaceDN/>
              <w:bidi w:val="0"/>
              <w:adjustRightInd/>
              <w:snapToGrid/>
              <w:spacing w:line="440" w:lineRule="exact"/>
              <w:ind w:firstLine="0" w:firstLineChars="0"/>
              <w:jc w:val="both"/>
              <w:textAlignment w:val="auto"/>
              <w:rPr>
                <w:rFonts w:hint="default"/>
                <w:color w:val="auto"/>
                <w:lang w:val="en-US" w:eastAsia="zh-CN"/>
              </w:rPr>
            </w:pPr>
            <w:r>
              <w:rPr>
                <w:rFonts w:hint="eastAsia" w:ascii="仿宋" w:hAnsi="仿宋" w:eastAsia="仿宋" w:cs="仿宋"/>
                <w:snapToGrid w:val="0"/>
                <w:color w:val="auto"/>
                <w:kern w:val="0"/>
                <w:sz w:val="24"/>
                <w:szCs w:val="24"/>
                <w:highlight w:val="none"/>
                <w:lang w:val="en-US" w:eastAsia="zh-CN"/>
              </w:rPr>
              <w:t>（投标文件中提供相关仓库房产或租赁协议证明材料，未提供不得分）</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352"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bidi="ar-SA"/>
              </w:rPr>
            </w:pPr>
            <w:r>
              <w:rPr>
                <w:rFonts w:hint="eastAsia" w:ascii="仿宋" w:hAnsi="仿宋" w:eastAsia="仿宋" w:cs="仿宋"/>
                <w:bCs/>
                <w:color w:val="auto"/>
                <w:kern w:val="28"/>
                <w:sz w:val="24"/>
                <w:szCs w:val="24"/>
                <w:lang w:val="en-US" w:eastAsia="zh-CN" w:bidi="ar-SA"/>
              </w:rPr>
              <w:t>8</w:t>
            </w:r>
          </w:p>
        </w:tc>
        <w:tc>
          <w:tcPr>
            <w:tcW w:w="736"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投标产品</w:t>
            </w:r>
          </w:p>
        </w:tc>
        <w:tc>
          <w:tcPr>
            <w:tcW w:w="34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所投产品的生产商第三方（具有CMA或CNAS）检测机构食品标准检测报告的得3分。</w:t>
            </w:r>
          </w:p>
          <w:p>
            <w:pPr>
              <w:keepNext w:val="0"/>
              <w:keepLines w:val="0"/>
              <w:pageBreakBefore w:val="0"/>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（投标文件中提供相关证明材料扫描件加盖投标人公章，未提供不得分）</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52"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bidi="ar-SA"/>
              </w:rPr>
            </w:pPr>
            <w:r>
              <w:rPr>
                <w:rFonts w:hint="eastAsia" w:ascii="仿宋" w:hAnsi="仿宋" w:eastAsia="仿宋" w:cs="仿宋"/>
                <w:bCs/>
                <w:color w:val="auto"/>
                <w:kern w:val="28"/>
                <w:sz w:val="24"/>
                <w:szCs w:val="24"/>
                <w:lang w:val="en-US" w:eastAsia="zh-CN" w:bidi="ar-SA"/>
              </w:rPr>
              <w:t>9</w:t>
            </w:r>
          </w:p>
        </w:tc>
        <w:tc>
          <w:tcPr>
            <w:tcW w:w="73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bidi="ar-SA"/>
              </w:rPr>
            </w:pPr>
            <w:r>
              <w:rPr>
                <w:rFonts w:hint="eastAsia" w:ascii="仿宋" w:hAnsi="仿宋" w:eastAsia="仿宋" w:cs="仿宋"/>
                <w:bCs/>
                <w:color w:val="auto"/>
                <w:kern w:val="28"/>
                <w:sz w:val="24"/>
                <w:szCs w:val="24"/>
                <w:lang w:val="en-US" w:eastAsia="zh-CN"/>
              </w:rPr>
              <w:t>食品安全责任险</w:t>
            </w:r>
          </w:p>
        </w:tc>
        <w:tc>
          <w:tcPr>
            <w:tcW w:w="34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投标人投保食品安全责任保险（有效期内）的且保额在100万（含）以下的得1分，每增加50万元得1分，本项最高得4分。</w:t>
            </w:r>
          </w:p>
          <w:p>
            <w:pPr>
              <w:keepNext w:val="0"/>
              <w:keepLines w:val="0"/>
              <w:pageBreakBefore w:val="0"/>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bidi="ar-SA"/>
              </w:rPr>
            </w:pPr>
            <w:r>
              <w:rPr>
                <w:rFonts w:hint="eastAsia" w:ascii="仿宋" w:hAnsi="仿宋" w:eastAsia="仿宋" w:cs="仿宋"/>
                <w:snapToGrid w:val="0"/>
                <w:color w:val="auto"/>
                <w:kern w:val="0"/>
                <w:sz w:val="24"/>
                <w:szCs w:val="24"/>
                <w:highlight w:val="none"/>
                <w:lang w:val="en-US" w:eastAsia="zh-CN"/>
              </w:rPr>
              <w:t>提供保单扫</w:t>
            </w:r>
            <w:bookmarkStart w:id="280" w:name="_GoBack"/>
            <w:bookmarkEnd w:id="280"/>
            <w:r>
              <w:rPr>
                <w:rFonts w:hint="eastAsia" w:ascii="仿宋" w:hAnsi="仿宋" w:eastAsia="仿宋" w:cs="仿宋"/>
                <w:snapToGrid w:val="0"/>
                <w:color w:val="auto"/>
                <w:kern w:val="0"/>
                <w:sz w:val="24"/>
                <w:szCs w:val="24"/>
                <w:highlight w:val="none"/>
                <w:lang w:val="en-US" w:eastAsia="zh-CN"/>
              </w:rPr>
              <w:t>描件并加盖CA签章，不提供不得分。</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bidi="ar-SA"/>
              </w:rPr>
            </w:pPr>
            <w:r>
              <w:rPr>
                <w:rFonts w:hint="eastAsia" w:ascii="仿宋" w:hAnsi="仿宋" w:eastAsia="仿宋" w:cs="仿宋"/>
                <w:bCs/>
                <w:color w:val="auto"/>
                <w:kern w:val="28"/>
                <w:sz w:val="24"/>
                <w:szCs w:val="24"/>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52"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bidi="ar-SA"/>
              </w:rPr>
            </w:pPr>
            <w:r>
              <w:rPr>
                <w:rFonts w:hint="eastAsia" w:ascii="仿宋" w:hAnsi="仿宋" w:eastAsia="仿宋" w:cs="仿宋"/>
                <w:bCs/>
                <w:color w:val="auto"/>
                <w:kern w:val="28"/>
                <w:sz w:val="24"/>
                <w:szCs w:val="24"/>
                <w:lang w:val="en-US" w:eastAsia="zh-CN" w:bidi="ar-SA"/>
              </w:rPr>
              <w:t>10</w:t>
            </w:r>
          </w:p>
        </w:tc>
        <w:tc>
          <w:tcPr>
            <w:tcW w:w="73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内部管理制度</w:t>
            </w:r>
          </w:p>
        </w:tc>
        <w:tc>
          <w:tcPr>
            <w:tcW w:w="347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①采购管理制度（0-2分）；</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②卫生管理制度（0-2分）；</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③岗位职责制度（0-2分）。</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52"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bidi="ar-SA"/>
              </w:rPr>
            </w:pPr>
            <w:r>
              <w:rPr>
                <w:rFonts w:hint="eastAsia" w:ascii="仿宋" w:hAnsi="仿宋" w:eastAsia="仿宋" w:cs="仿宋"/>
                <w:bCs/>
                <w:color w:val="auto"/>
                <w:kern w:val="28"/>
                <w:sz w:val="24"/>
                <w:szCs w:val="24"/>
                <w:lang w:val="en-US" w:eastAsia="zh-CN"/>
              </w:rPr>
              <w:t>11</w:t>
            </w:r>
          </w:p>
        </w:tc>
        <w:tc>
          <w:tcPr>
            <w:tcW w:w="73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供货实施</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方案</w:t>
            </w:r>
          </w:p>
        </w:tc>
        <w:tc>
          <w:tcPr>
            <w:tcW w:w="347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①质量保证方案（0-5分）；</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②项目配送组织方案、配送实施方法（0-2分）；</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③产品配送确保按时配送进度计划和确保时效性（0-2分）。</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52"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bidi="ar-SA"/>
              </w:rPr>
            </w:pPr>
            <w:r>
              <w:rPr>
                <w:rFonts w:hint="eastAsia" w:ascii="仿宋" w:hAnsi="仿宋" w:eastAsia="仿宋" w:cs="仿宋"/>
                <w:bCs/>
                <w:color w:val="auto"/>
                <w:kern w:val="28"/>
                <w:sz w:val="24"/>
                <w:szCs w:val="24"/>
                <w:lang w:val="en-US" w:eastAsia="zh-CN"/>
              </w:rPr>
              <w:t>12</w:t>
            </w:r>
          </w:p>
        </w:tc>
        <w:tc>
          <w:tcPr>
            <w:tcW w:w="73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突发事件应急处理方案</w:t>
            </w:r>
          </w:p>
        </w:tc>
        <w:tc>
          <w:tcPr>
            <w:tcW w:w="347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①临时突发性特殊采购（0-2分）；</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color w:val="auto"/>
                <w:lang w:val="en-US" w:eastAsia="zh-CN"/>
              </w:rPr>
            </w:pPr>
            <w:r>
              <w:rPr>
                <w:rFonts w:hint="eastAsia" w:ascii="仿宋" w:hAnsi="仿宋" w:eastAsia="仿宋" w:cs="仿宋"/>
                <w:bCs/>
                <w:color w:val="auto"/>
                <w:kern w:val="28"/>
                <w:sz w:val="24"/>
                <w:szCs w:val="24"/>
                <w:highlight w:val="none"/>
                <w:lang w:val="en-US" w:eastAsia="zh-CN"/>
              </w:rPr>
              <w:t>②</w:t>
            </w:r>
            <w:r>
              <w:rPr>
                <w:rFonts w:hint="eastAsia" w:ascii="仿宋" w:hAnsi="仿宋" w:eastAsia="仿宋" w:cs="仿宋"/>
                <w:bCs/>
                <w:color w:val="auto"/>
                <w:kern w:val="28"/>
                <w:sz w:val="24"/>
                <w:szCs w:val="24"/>
                <w:lang w:val="en-US" w:eastAsia="zh-CN"/>
              </w:rPr>
              <w:t>特殊天气（如台风、暴雨、大雾）供货保障（0-2分）。</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352"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bidi="ar-SA"/>
              </w:rPr>
            </w:pPr>
            <w:r>
              <w:rPr>
                <w:rFonts w:hint="eastAsia" w:ascii="仿宋" w:hAnsi="仿宋" w:eastAsia="仿宋" w:cs="仿宋"/>
                <w:bCs/>
                <w:color w:val="auto"/>
                <w:kern w:val="28"/>
                <w:sz w:val="24"/>
                <w:szCs w:val="24"/>
                <w:lang w:val="en-US" w:eastAsia="zh-CN" w:bidi="ar-SA"/>
              </w:rPr>
              <w:t>13</w:t>
            </w:r>
          </w:p>
        </w:tc>
        <w:tc>
          <w:tcPr>
            <w:tcW w:w="73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服务方案</w:t>
            </w:r>
          </w:p>
        </w:tc>
        <w:tc>
          <w:tcPr>
            <w:tcW w:w="34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①服从采购人管理方案（0-1分）；</w:t>
            </w:r>
          </w:p>
          <w:p>
            <w:pPr>
              <w:keepNext w:val="0"/>
              <w:keepLines w:val="0"/>
              <w:pageBreakBefore w:val="0"/>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snapToGrid w:val="0"/>
                <w:color w:val="auto"/>
                <w:kern w:val="0"/>
                <w:sz w:val="24"/>
                <w:szCs w:val="24"/>
                <w:highlight w:val="none"/>
                <w:lang w:val="en-US" w:eastAsia="zh-CN"/>
              </w:rPr>
              <w:t>②文明经营（0-1分）。</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52"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bidi="ar-SA"/>
              </w:rPr>
            </w:pPr>
            <w:r>
              <w:rPr>
                <w:rFonts w:hint="eastAsia" w:ascii="仿宋" w:hAnsi="仿宋" w:eastAsia="仿宋" w:cs="仿宋"/>
                <w:bCs/>
                <w:color w:val="auto"/>
                <w:kern w:val="28"/>
                <w:sz w:val="24"/>
                <w:szCs w:val="24"/>
                <w:lang w:val="en-US" w:eastAsia="zh-CN" w:bidi="ar-SA"/>
              </w:rPr>
              <w:t>14</w:t>
            </w:r>
          </w:p>
        </w:tc>
        <w:tc>
          <w:tcPr>
            <w:tcW w:w="736" w:type="pct"/>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售后服务方案</w:t>
            </w:r>
          </w:p>
        </w:tc>
        <w:tc>
          <w:tcPr>
            <w:tcW w:w="347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①售后服务保证措施（0-2分）；</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②退货、换货服务方案（0-2分）；</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color w:val="auto"/>
                <w:lang w:val="en-US" w:eastAsia="zh-CN"/>
              </w:rPr>
            </w:pPr>
            <w:r>
              <w:rPr>
                <w:rFonts w:hint="eastAsia" w:ascii="仿宋" w:hAnsi="仿宋" w:eastAsia="仿宋" w:cs="仿宋"/>
                <w:bCs/>
                <w:color w:val="auto"/>
                <w:kern w:val="28"/>
                <w:sz w:val="24"/>
                <w:szCs w:val="24"/>
                <w:lang w:val="en-US" w:eastAsia="zh-CN"/>
              </w:rPr>
              <w:t>③承诺补货、退货、换货响应送到时间0.5小时内（含）得3分；1小时内（含）得2分；2个小时内（含）得1分；2小时外不得分。（需提供承诺方案）</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bidi="ar-SA"/>
              </w:rPr>
            </w:pPr>
            <w:r>
              <w:rPr>
                <w:rFonts w:hint="eastAsia" w:ascii="仿宋" w:hAnsi="仿宋" w:eastAsia="仿宋" w:cs="仿宋"/>
                <w:bCs/>
                <w:color w:val="auto"/>
                <w:kern w:val="28"/>
                <w:sz w:val="24"/>
                <w:szCs w:val="24"/>
                <w:lang w:val="en-US" w:eastAsia="zh-CN" w:bidi="ar-SA"/>
              </w:rPr>
              <w:t>15</w:t>
            </w:r>
          </w:p>
        </w:tc>
        <w:tc>
          <w:tcPr>
            <w:tcW w:w="736" w:type="pct"/>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样品</w:t>
            </w:r>
          </w:p>
        </w:tc>
        <w:tc>
          <w:tcPr>
            <w:tcW w:w="3470" w:type="pc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根据供应商提供的样品进行评审：</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①色泽（0-2分）；</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②水分（0-2分）；</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③气味（0-2分）；</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④碎米率（0-2分）；</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color w:val="auto"/>
                <w:lang w:val="en-US" w:eastAsia="zh-CN"/>
              </w:rPr>
            </w:pPr>
            <w:r>
              <w:rPr>
                <w:rFonts w:hint="eastAsia" w:ascii="仿宋" w:hAnsi="仿宋" w:eastAsia="仿宋" w:cs="仿宋"/>
                <w:bCs/>
                <w:color w:val="auto"/>
                <w:kern w:val="28"/>
                <w:sz w:val="24"/>
                <w:szCs w:val="24"/>
                <w:lang w:val="en-US" w:eastAsia="zh-CN"/>
              </w:rPr>
              <w:t>⑤互混率（0-2分）。</w:t>
            </w:r>
          </w:p>
        </w:tc>
        <w:tc>
          <w:tcPr>
            <w:tcW w:w="440"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pPr>
            <w:r>
              <w:rPr>
                <w:rFonts w:hint="eastAsia" w:ascii="仿宋" w:hAnsi="仿宋" w:eastAsia="仿宋" w:cs="仿宋"/>
                <w:bCs/>
                <w:color w:val="auto"/>
                <w:kern w:val="28"/>
                <w:sz w:val="24"/>
                <w:szCs w:val="24"/>
                <w:lang w:val="en-US" w:eastAsia="zh-CN"/>
              </w:rPr>
              <w:t>0-10</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Cs/>
                <w:color w:val="auto"/>
                <w:kern w:val="28"/>
                <w:sz w:val="24"/>
                <w:szCs w:val="24"/>
                <w:lang w:val="en-US" w:eastAsia="zh-CN"/>
              </w:rPr>
            </w:pPr>
          </w:p>
        </w:tc>
      </w:tr>
    </w:tbl>
    <w:p>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kern w:val="1"/>
          <w:sz w:val="24"/>
          <w:szCs w:val="24"/>
          <w:highlight w:val="none"/>
        </w:rPr>
        <w:t>价格分</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评标基准价：以有效投标</w:t>
      </w:r>
      <w:r>
        <w:rPr>
          <w:rFonts w:hint="eastAsia" w:ascii="仿宋" w:hAnsi="仿宋" w:eastAsia="仿宋" w:cs="仿宋"/>
          <w:color w:val="auto"/>
          <w:sz w:val="24"/>
          <w:szCs w:val="24"/>
          <w:highlight w:val="none"/>
          <w:lang w:val="en-US" w:eastAsia="zh-CN"/>
        </w:rPr>
        <w:t>价中</w:t>
      </w:r>
      <w:r>
        <w:rPr>
          <w:rFonts w:hint="eastAsia" w:ascii="仿宋" w:hAnsi="仿宋" w:eastAsia="仿宋" w:cs="仿宋"/>
          <w:color w:val="auto"/>
          <w:sz w:val="24"/>
          <w:szCs w:val="24"/>
          <w:highlight w:val="none"/>
        </w:rPr>
        <w:t>的最低</w:t>
      </w:r>
      <w:r>
        <w:rPr>
          <w:rFonts w:hint="eastAsia" w:ascii="仿宋" w:hAnsi="仿宋" w:eastAsia="仿宋" w:cs="仿宋"/>
          <w:color w:val="auto"/>
          <w:sz w:val="24"/>
          <w:szCs w:val="24"/>
          <w:highlight w:val="none"/>
          <w:lang w:val="en-US" w:eastAsia="zh-CN"/>
        </w:rPr>
        <w:t>折扣率</w:t>
      </w:r>
      <w:r>
        <w:rPr>
          <w:rFonts w:hint="eastAsia" w:ascii="仿宋" w:hAnsi="仿宋" w:eastAsia="仿宋" w:cs="仿宋"/>
          <w:color w:val="auto"/>
          <w:sz w:val="24"/>
          <w:szCs w:val="24"/>
          <w:highlight w:val="none"/>
        </w:rPr>
        <w:t>为评标基准价，其价格分为满分。其他投标人的价格分统一按照下列公式计算：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投标报价得分=(评标基准价／投标报价)×价格权值×100</w:t>
      </w:r>
    </w:p>
    <w:p>
      <w:pPr>
        <w:pStyle w:val="48"/>
        <w:keepNext w:val="0"/>
        <w:keepLines w:val="0"/>
        <w:pageBreakBefore w:val="0"/>
        <w:tabs>
          <w:tab w:val="left" w:pos="-142"/>
          <w:tab w:val="left" w:pos="0"/>
          <w:tab w:val="left" w:pos="390"/>
          <w:tab w:val="left" w:pos="454"/>
        </w:tabs>
        <w:kinsoku/>
        <w:wordWrap/>
        <w:overflowPunct/>
        <w:topLinePunct w:val="0"/>
        <w:autoSpaceDE/>
        <w:autoSpaceDN/>
        <w:bidi w:val="0"/>
        <w:adjustRightInd/>
        <w:snapToGrid/>
        <w:spacing w:after="0" w:afterLines="0" w:line="360" w:lineRule="auto"/>
        <w:ind w:left="0" w:firstLine="480" w:firstLineChars="200"/>
        <w:textAlignment w:val="auto"/>
        <w:outlineLvl w:val="9"/>
        <w:rPr>
          <w:rFonts w:hint="eastAsia" w:ascii="仿宋" w:hAnsi="仿宋" w:eastAsia="仿宋" w:cs="仿宋"/>
          <w:b w:val="0"/>
          <w:bCs/>
          <w:color w:val="auto"/>
          <w:szCs w:val="24"/>
          <w:highlight w:val="none"/>
          <w:lang w:eastAsia="zh-CN"/>
        </w:rPr>
      </w:pPr>
      <w:r>
        <w:rPr>
          <w:rFonts w:hint="eastAsia" w:ascii="仿宋" w:hAnsi="仿宋" w:eastAsia="仿宋" w:cs="仿宋"/>
          <w:b w:val="0"/>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eastAsia="仿宋" w:cs="仿宋"/>
          <w:b w:val="0"/>
          <w:bCs/>
          <w:color w:val="auto"/>
          <w:szCs w:val="24"/>
          <w:highlight w:val="none"/>
        </w:rPr>
        <w:t>，并在评审报告中说明</w:t>
      </w:r>
      <w:r>
        <w:rPr>
          <w:rFonts w:hint="eastAsia" w:ascii="仿宋" w:hAnsi="仿宋" w:eastAsia="仿宋" w:cs="仿宋"/>
          <w:b w:val="0"/>
          <w:bCs/>
          <w:color w:val="auto"/>
          <w:szCs w:val="24"/>
          <w:highlight w:val="none"/>
          <w:lang w:eastAsia="zh-CN"/>
        </w:rPr>
        <w:t>。</w:t>
      </w:r>
    </w:p>
    <w:p>
      <w:pPr>
        <w:pStyle w:val="48"/>
        <w:keepNext w:val="0"/>
        <w:keepLines w:val="0"/>
        <w:pageBreakBefore w:val="0"/>
        <w:tabs>
          <w:tab w:val="left" w:pos="-142"/>
          <w:tab w:val="left" w:pos="0"/>
        </w:tabs>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仿宋" w:hAnsi="仿宋" w:eastAsia="仿宋" w:cs="仿宋"/>
          <w:b w:val="0"/>
          <w:bCs/>
          <w:color w:val="auto"/>
          <w:szCs w:val="24"/>
          <w:highlight w:val="none"/>
          <w:lang w:eastAsia="zh-CN"/>
        </w:rPr>
      </w:pPr>
      <w:r>
        <w:rPr>
          <w:rFonts w:hint="eastAsia" w:ascii="仿宋" w:hAnsi="仿宋" w:eastAsia="仿宋" w:cs="仿宋"/>
          <w:snapToGrid w:val="0"/>
          <w:color w:val="auto"/>
          <w:kern w:val="0"/>
          <w:sz w:val="24"/>
          <w:szCs w:val="24"/>
          <w:highlight w:val="none"/>
          <w:lang w:val="en-US" w:eastAsia="zh-CN" w:bidi="ar-SA"/>
        </w:rPr>
        <w:t>本项目风险控制价为80%（折扣率）</w:t>
      </w:r>
      <w:r>
        <w:rPr>
          <w:rFonts w:hint="eastAsia" w:ascii="仿宋" w:hAnsi="仿宋" w:eastAsia="仿宋" w:cs="仿宋"/>
          <w:b w:val="0"/>
          <w:bCs/>
          <w:color w:val="auto"/>
          <w:szCs w:val="24"/>
          <w:highlight w:val="none"/>
          <w:lang w:eastAsia="zh-CN"/>
        </w:rPr>
        <w:t>，若中标人低于该风险控制价中标的，中标人必须额外补交中标价净值与风险控制价之差额，中标人不提交的视为放弃中标。在风险控制价的基础上，</w:t>
      </w:r>
      <w:r>
        <w:rPr>
          <w:rFonts w:hint="eastAsia" w:ascii="仿宋" w:hAnsi="仿宋" w:eastAsia="仿宋" w:cs="仿宋"/>
          <w:snapToGrid w:val="0"/>
          <w:color w:val="auto"/>
          <w:kern w:val="0"/>
          <w:sz w:val="24"/>
          <w:szCs w:val="24"/>
          <w:highlight w:val="none"/>
          <w:lang w:val="en-US" w:eastAsia="zh-CN" w:bidi="ar-SA"/>
        </w:rPr>
        <w:t>每下降1%，缴纳差额保证金17万元</w:t>
      </w:r>
      <w:r>
        <w:rPr>
          <w:rFonts w:hint="eastAsia" w:ascii="仿宋" w:hAnsi="仿宋" w:eastAsia="仿宋" w:cs="仿宋"/>
          <w:b w:val="0"/>
          <w:bCs/>
          <w:color w:val="auto"/>
          <w:szCs w:val="24"/>
          <w:highlight w:val="none"/>
          <w:lang w:eastAsia="zh-CN"/>
        </w:rPr>
        <w:t>不足1%按1%计算。保证金待项目履约完成后7个工作日内无息退还。差额保证金待项目完成后</w:t>
      </w:r>
      <w:r>
        <w:rPr>
          <w:rFonts w:hint="default" w:ascii="仿宋" w:hAnsi="仿宋" w:eastAsia="仿宋" w:cs="仿宋"/>
          <w:b w:val="0"/>
          <w:bCs/>
          <w:color w:val="auto"/>
          <w:szCs w:val="24"/>
          <w:highlight w:val="none"/>
          <w:lang w:val="en-US" w:eastAsia="zh-CN"/>
        </w:rPr>
        <w:t>7</w:t>
      </w:r>
      <w:r>
        <w:rPr>
          <w:rFonts w:hint="eastAsia" w:ascii="仿宋" w:hAnsi="仿宋" w:eastAsia="仿宋" w:cs="仿宋"/>
          <w:b w:val="0"/>
          <w:bCs/>
          <w:color w:val="auto"/>
          <w:szCs w:val="24"/>
          <w:highlight w:val="none"/>
          <w:lang w:eastAsia="zh-CN"/>
        </w:rPr>
        <w:t>个工作日内无息退还。（差额保证金应在中标通知书发出后</w:t>
      </w:r>
      <w:r>
        <w:rPr>
          <w:rFonts w:hint="eastAsia" w:ascii="仿宋" w:hAnsi="仿宋" w:eastAsia="仿宋" w:cs="仿宋"/>
          <w:b w:val="0"/>
          <w:bCs/>
          <w:color w:val="auto"/>
          <w:szCs w:val="24"/>
          <w:highlight w:val="none"/>
          <w:lang w:val="en-US" w:eastAsia="zh-CN"/>
        </w:rPr>
        <w:t>10</w:t>
      </w:r>
      <w:r>
        <w:rPr>
          <w:rFonts w:hint="eastAsia" w:ascii="仿宋" w:hAnsi="仿宋" w:eastAsia="仿宋" w:cs="仿宋"/>
          <w:b w:val="0"/>
          <w:bCs/>
          <w:color w:val="auto"/>
          <w:szCs w:val="24"/>
          <w:highlight w:val="none"/>
          <w:lang w:eastAsia="zh-CN"/>
        </w:rPr>
        <w:t>个工作日内交至采购单位，以现金、电汇、转账等方式交纳。)</w:t>
      </w:r>
    </w:p>
    <w:p>
      <w:pPr>
        <w:rPr>
          <w:rFonts w:hint="eastAsia" w:ascii="仿宋" w:hAnsi="仿宋" w:eastAsia="仿宋" w:cs="仿宋"/>
          <w:b w:val="0"/>
          <w:bCs/>
          <w:color w:val="auto"/>
          <w:szCs w:val="24"/>
          <w:highlight w:val="none"/>
          <w:lang w:eastAsia="zh-CN"/>
        </w:rPr>
      </w:pPr>
      <w:r>
        <w:rPr>
          <w:rFonts w:hint="eastAsia" w:ascii="仿宋" w:hAnsi="仿宋" w:eastAsia="仿宋" w:cs="仿宋"/>
          <w:b w:val="0"/>
          <w:bCs/>
          <w:color w:val="auto"/>
          <w:szCs w:val="24"/>
          <w:highlight w:val="none"/>
          <w:lang w:eastAsia="zh-CN"/>
        </w:rPr>
        <w:br w:type="page"/>
      </w:r>
    </w:p>
    <w:p>
      <w:pPr>
        <w:spacing w:line="360" w:lineRule="auto"/>
        <w:jc w:val="center"/>
        <w:outlineLvl w:val="0"/>
        <w:rPr>
          <w:rFonts w:hint="eastAsia" w:ascii="仿宋" w:hAnsi="仿宋" w:eastAsia="仿宋" w:cs="仿宋"/>
          <w:b/>
          <w:color w:val="auto"/>
          <w:sz w:val="36"/>
          <w:szCs w:val="36"/>
        </w:rPr>
      </w:pPr>
      <w:bookmarkStart w:id="274" w:name="_Toc4674"/>
      <w:r>
        <w:rPr>
          <w:rFonts w:hint="eastAsia" w:ascii="仿宋" w:hAnsi="仿宋" w:eastAsia="仿宋" w:cs="仿宋"/>
          <w:b/>
          <w:color w:val="auto"/>
          <w:sz w:val="36"/>
          <w:szCs w:val="36"/>
        </w:rPr>
        <w:t>第五部分 拟签订的合同文本</w:t>
      </w:r>
      <w:bookmarkEnd w:id="274"/>
    </w:p>
    <w:p>
      <w:pPr>
        <w:spacing w:line="480" w:lineRule="auto"/>
        <w:jc w:val="center"/>
        <w:rPr>
          <w:rFonts w:hint="eastAsia" w:ascii="仿宋" w:hAnsi="仿宋" w:eastAsia="仿宋" w:cs="仿宋"/>
          <w:b/>
          <w:color w:val="auto"/>
          <w:sz w:val="28"/>
          <w:szCs w:val="28"/>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24"/>
        </w:rPr>
      </w:pPr>
    </w:p>
    <w:p>
      <w:pPr>
        <w:spacing w:line="480" w:lineRule="auto"/>
        <w:jc w:val="center"/>
        <w:outlineLvl w:val="9"/>
        <w:rPr>
          <w:rFonts w:hint="eastAsia" w:ascii="仿宋" w:hAnsi="仿宋" w:eastAsia="仿宋" w:cs="仿宋"/>
          <w:b/>
          <w:color w:val="auto"/>
          <w:sz w:val="36"/>
          <w:szCs w:val="36"/>
        </w:rPr>
      </w:pPr>
      <w:r>
        <w:rPr>
          <w:rFonts w:hint="eastAsia" w:ascii="仿宋" w:hAnsi="仿宋" w:eastAsia="仿宋" w:cs="仿宋"/>
          <w:b/>
          <w:color w:val="auto"/>
          <w:sz w:val="36"/>
          <w:szCs w:val="36"/>
        </w:rPr>
        <w:t>采购合同参考范本</w:t>
      </w:r>
    </w:p>
    <w:p>
      <w:pPr>
        <w:pStyle w:val="55"/>
        <w:outlineLvl w:val="9"/>
        <w:rPr>
          <w:rFonts w:hint="eastAsia" w:ascii="仿宋" w:hAnsi="仿宋" w:eastAsia="仿宋" w:cs="仿宋"/>
          <w:color w:val="auto"/>
          <w:szCs w:val="24"/>
        </w:rPr>
      </w:pPr>
    </w:p>
    <w:p>
      <w:pPr>
        <w:pStyle w:val="55"/>
        <w:outlineLvl w:val="9"/>
        <w:rPr>
          <w:rFonts w:hint="eastAsia" w:ascii="仿宋" w:hAnsi="仿宋" w:eastAsia="仿宋" w:cs="仿宋"/>
          <w:color w:val="auto"/>
          <w:szCs w:val="24"/>
        </w:rPr>
      </w:pPr>
    </w:p>
    <w:p>
      <w:pPr>
        <w:pStyle w:val="55"/>
        <w:jc w:val="center"/>
        <w:outlineLvl w:val="9"/>
        <w:rPr>
          <w:rFonts w:hint="eastAsia" w:ascii="仿宋" w:hAnsi="仿宋" w:eastAsia="仿宋" w:cs="仿宋"/>
          <w:color w:val="auto"/>
          <w:szCs w:val="24"/>
        </w:rPr>
      </w:pPr>
    </w:p>
    <w:p>
      <w:pPr>
        <w:pStyle w:val="55"/>
        <w:outlineLvl w:val="9"/>
        <w:rPr>
          <w:rFonts w:hint="eastAsia" w:ascii="仿宋" w:hAnsi="仿宋" w:eastAsia="仿宋" w:cs="仿宋"/>
          <w:color w:val="auto"/>
          <w:szCs w:val="24"/>
        </w:rPr>
      </w:pPr>
    </w:p>
    <w:p>
      <w:pPr>
        <w:pStyle w:val="55"/>
        <w:outlineLvl w:val="9"/>
        <w:rPr>
          <w:rFonts w:hint="eastAsia" w:ascii="仿宋" w:hAnsi="仿宋" w:eastAsia="仿宋" w:cs="仿宋"/>
          <w:color w:val="auto"/>
          <w:szCs w:val="24"/>
        </w:rPr>
      </w:pPr>
    </w:p>
    <w:p>
      <w:pPr>
        <w:spacing w:before="120" w:line="22" w:lineRule="atLeast"/>
        <w:outlineLvl w:val="9"/>
        <w:rPr>
          <w:rFonts w:hint="eastAsia" w:ascii="仿宋" w:hAnsi="仿宋" w:eastAsia="仿宋" w:cs="仿宋"/>
          <w:color w:val="auto"/>
          <w:sz w:val="24"/>
        </w:rPr>
      </w:pPr>
    </w:p>
    <w:p>
      <w:pPr>
        <w:spacing w:before="120" w:line="22" w:lineRule="atLeast"/>
        <w:ind w:left="960"/>
        <w:outlineLvl w:val="9"/>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pPr>
        <w:pStyle w:val="56"/>
        <w:spacing w:before="120" w:line="22" w:lineRule="atLeast"/>
        <w:outlineLvl w:val="9"/>
        <w:rPr>
          <w:rFonts w:hint="eastAsia" w:ascii="仿宋" w:hAnsi="仿宋" w:eastAsia="仿宋" w:cs="仿宋"/>
          <w:color w:val="auto"/>
          <w:szCs w:val="24"/>
        </w:rPr>
      </w:pPr>
    </w:p>
    <w:p>
      <w:pPr>
        <w:pStyle w:val="56"/>
        <w:spacing w:before="120" w:line="22" w:lineRule="atLeast"/>
        <w:outlineLvl w:val="9"/>
        <w:rPr>
          <w:rFonts w:hint="eastAsia" w:ascii="仿宋" w:hAnsi="仿宋" w:eastAsia="仿宋" w:cs="仿宋"/>
          <w:color w:val="auto"/>
          <w:szCs w:val="24"/>
        </w:rPr>
      </w:pPr>
    </w:p>
    <w:p>
      <w:pPr>
        <w:outlineLvl w:val="9"/>
        <w:rPr>
          <w:rFonts w:hint="eastAsia" w:ascii="仿宋" w:hAnsi="仿宋" w:eastAsia="仿宋" w:cs="仿宋"/>
          <w:color w:val="auto"/>
          <w:sz w:val="24"/>
        </w:rPr>
      </w:pPr>
    </w:p>
    <w:p>
      <w:pPr>
        <w:spacing w:before="120" w:line="22" w:lineRule="atLeast"/>
        <w:ind w:left="960"/>
        <w:outlineLvl w:val="9"/>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pPr>
        <w:spacing w:before="120" w:line="22" w:lineRule="atLeast"/>
        <w:outlineLvl w:val="9"/>
        <w:rPr>
          <w:rFonts w:hint="eastAsia" w:ascii="仿宋" w:hAnsi="仿宋" w:eastAsia="仿宋" w:cs="仿宋"/>
          <w:color w:val="auto"/>
          <w:sz w:val="24"/>
        </w:rPr>
      </w:pPr>
    </w:p>
    <w:p>
      <w:pPr>
        <w:spacing w:before="120" w:line="22" w:lineRule="atLeast"/>
        <w:ind w:left="960"/>
        <w:outlineLvl w:val="9"/>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before="120" w:line="22" w:lineRule="atLeast"/>
        <w:outlineLvl w:val="9"/>
        <w:rPr>
          <w:rFonts w:hint="eastAsia" w:ascii="仿宋" w:hAnsi="仿宋" w:eastAsia="仿宋" w:cs="仿宋"/>
          <w:color w:val="auto"/>
          <w:sz w:val="24"/>
        </w:rPr>
      </w:pPr>
    </w:p>
    <w:p>
      <w:pPr>
        <w:spacing w:before="120" w:line="22" w:lineRule="atLeast"/>
        <w:ind w:firstLine="1440" w:firstLineChars="600"/>
        <w:outlineLvl w:val="9"/>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before="120" w:line="22" w:lineRule="atLeast"/>
        <w:outlineLvl w:val="9"/>
        <w:rPr>
          <w:rFonts w:hint="eastAsia" w:ascii="仿宋" w:hAnsi="仿宋" w:eastAsia="仿宋" w:cs="仿宋"/>
          <w:color w:val="auto"/>
          <w:sz w:val="24"/>
        </w:rPr>
      </w:pPr>
    </w:p>
    <w:p>
      <w:pPr>
        <w:pageBreakBefore w:val="0"/>
        <w:widowControl w:val="0"/>
        <w:tabs>
          <w:tab w:val="left" w:pos="478"/>
        </w:tabs>
        <w:autoSpaceDE/>
        <w:autoSpaceDN/>
        <w:spacing w:line="360" w:lineRule="auto"/>
        <w:ind w:left="659" w:leftChars="314" w:firstLine="828" w:firstLineChars="345"/>
        <w:jc w:val="both"/>
        <w:outlineLvl w:val="9"/>
        <w:rPr>
          <w:rFonts w:hint="eastAsia" w:ascii="仿宋" w:hAnsi="仿宋" w:eastAsia="仿宋" w:cs="仿宋"/>
          <w:color w:val="auto"/>
          <w:sz w:val="24"/>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ageBreakBefore w:val="0"/>
        <w:widowControl w:val="0"/>
        <w:tabs>
          <w:tab w:val="left" w:pos="478"/>
        </w:tabs>
        <w:autoSpaceDE/>
        <w:autoSpaceDN/>
        <w:spacing w:line="360" w:lineRule="auto"/>
        <w:ind w:firstLine="0"/>
        <w:outlineLvl w:val="9"/>
        <w:rPr>
          <w:rFonts w:hint="eastAsia" w:ascii="仿宋" w:hAnsi="仿宋" w:eastAsia="仿宋" w:cs="仿宋"/>
          <w:color w:val="auto"/>
          <w:sz w:val="24"/>
        </w:rPr>
      </w:pPr>
    </w:p>
    <w:p>
      <w:pPr>
        <w:pStyle w:val="14"/>
        <w:adjustRightInd w:val="0"/>
        <w:snapToGrid w:val="0"/>
        <w:spacing w:before="120" w:after="120" w:line="360" w:lineRule="auto"/>
        <w:ind w:firstLine="400" w:firstLineChars="200"/>
        <w:jc w:val="center"/>
        <w:outlineLvl w:val="9"/>
        <w:rPr>
          <w:rFonts w:hint="eastAsia" w:ascii="仿宋" w:hAnsi="仿宋" w:eastAsia="仿宋" w:cs="仿宋"/>
          <w:color w:val="auto"/>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hd w:val="clear" w:color="auto" w:fill="auto"/>
        <w:spacing w:line="360" w:lineRule="auto"/>
        <w:ind w:firstLine="480" w:firstLineChars="200"/>
        <w:rPr>
          <w:rFonts w:hint="eastAsia" w:ascii="仿宋" w:hAnsi="仿宋" w:eastAsia="仿宋" w:cs="仿宋"/>
          <w:color w:val="auto"/>
          <w:sz w:val="24"/>
          <w:highlight w:val="none"/>
        </w:rPr>
      </w:pPr>
      <w:bookmarkStart w:id="275" w:name="_Toc1479"/>
      <w:r>
        <w:rPr>
          <w:rFonts w:hint="eastAsia" w:ascii="仿宋" w:hAnsi="仿宋" w:eastAsia="仿宋" w:cs="仿宋"/>
          <w:color w:val="auto"/>
          <w:sz w:val="24"/>
          <w:highlight w:val="none"/>
        </w:rPr>
        <w:t xml:space="preserve">甲方：（招标人）                                                                   </w:t>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乙方：（中标人）                          </w:t>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 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   月   日    采购（项目编号：    ）招标结果和</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要求，并依照《中华人民共和国</w:t>
      </w:r>
      <w:r>
        <w:rPr>
          <w:rFonts w:hint="eastAsia" w:ascii="仿宋" w:hAnsi="仿宋" w:eastAsia="仿宋" w:cs="仿宋"/>
          <w:color w:val="auto"/>
          <w:sz w:val="24"/>
          <w:highlight w:val="none"/>
          <w:lang w:val="zh-CN"/>
        </w:rPr>
        <w:t>民法典</w:t>
      </w:r>
      <w:r>
        <w:rPr>
          <w:rFonts w:hint="eastAsia" w:ascii="仿宋" w:hAnsi="仿宋" w:eastAsia="仿宋" w:cs="仿宋"/>
          <w:color w:val="auto"/>
          <w:sz w:val="24"/>
          <w:highlight w:val="none"/>
        </w:rPr>
        <w:t>》及其他行政法律、法规的规定，同时在平等、公平、诚实和信用的原则下，经双方协商一致，订立本合同。</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2" w:firstLineChars="200"/>
        <w:textAlignment w:val="auto"/>
        <w:outlineLvl w:val="9"/>
        <w:rPr>
          <w:rFonts w:hint="eastAsia" w:ascii="仿宋" w:hAnsi="仿宋" w:eastAsia="仿宋" w:cs="仿宋"/>
          <w:b/>
          <w:bCs/>
          <w:color w:val="auto"/>
          <w:kern w:val="0"/>
          <w:sz w:val="24"/>
        </w:rPr>
      </w:pPr>
      <w:r>
        <w:rPr>
          <w:rFonts w:hint="eastAsia" w:ascii="仿宋" w:hAnsi="仿宋" w:eastAsia="仿宋" w:cs="仿宋"/>
          <w:b/>
          <w:bCs/>
          <w:color w:val="auto"/>
          <w:kern w:val="0"/>
          <w:sz w:val="24"/>
          <w:lang w:val="en-US" w:eastAsia="zh-CN"/>
        </w:rPr>
        <w:t>一、</w:t>
      </w: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rPr>
        <w:t>内容</w:t>
      </w:r>
    </w:p>
    <w:p>
      <w:pPr>
        <w:keepNext w:val="0"/>
        <w:keepLines w:val="0"/>
        <w:pageBreakBefore w:val="0"/>
        <w:widowControl w:val="0"/>
        <w:kinsoku/>
        <w:wordWrap/>
        <w:overflowPunct/>
        <w:topLinePunct w:val="0"/>
        <w:bidi w:val="0"/>
        <w:adjustRightInd w:val="0"/>
        <w:snapToGrid w:val="0"/>
        <w:spacing w:before="0"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1.1</w:t>
      </w:r>
      <w:r>
        <w:rPr>
          <w:rFonts w:hint="eastAsia" w:ascii="仿宋" w:hAnsi="仿宋" w:eastAsia="仿宋" w:cs="仿宋"/>
          <w:color w:val="auto"/>
          <w:kern w:val="2"/>
          <w:sz w:val="24"/>
          <w:szCs w:val="24"/>
          <w:highlight w:val="none"/>
          <w:lang w:val="en-US" w:eastAsia="zh-CN" w:bidi="ar-SA"/>
        </w:rPr>
        <w:t>采购货物明细</w:t>
      </w:r>
    </w:p>
    <w:tbl>
      <w:tblPr>
        <w:tblStyle w:val="25"/>
        <w:tblW w:w="884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65"/>
        <w:gridCol w:w="780"/>
        <w:gridCol w:w="885"/>
        <w:gridCol w:w="960"/>
        <w:gridCol w:w="1290"/>
        <w:gridCol w:w="1440"/>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序号</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标项名称</w:t>
            </w:r>
          </w:p>
        </w:tc>
        <w:tc>
          <w:tcPr>
            <w:tcW w:w="780" w:type="dxa"/>
            <w:noWrap w:val="0"/>
            <w:vAlign w:val="center"/>
          </w:tcPr>
          <w:p>
            <w:pPr>
              <w:widowControl w:val="0"/>
              <w:tabs>
                <w:tab w:val="left" w:pos="208"/>
              </w:tabs>
              <w:spacing w:line="360" w:lineRule="auto"/>
              <w:ind w:left="0" w:leftChars="0" w:firstLine="0" w:firstLineChars="0"/>
              <w:jc w:val="both"/>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规格</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rPr>
              <w:t>数量</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rPr>
              <w:t>单位</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rPr>
              <w:t>预算金额（万元）</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折扣率</w:t>
            </w:r>
          </w:p>
        </w:tc>
        <w:tc>
          <w:tcPr>
            <w:tcW w:w="63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p>
        </w:tc>
        <w:tc>
          <w:tcPr>
            <w:tcW w:w="1965" w:type="dxa"/>
            <w:noWrap w:val="0"/>
            <w:vAlign w:val="top"/>
          </w:tcPr>
          <w:p>
            <w:pPr>
              <w:keepNext w:val="0"/>
              <w:keepLines w:val="0"/>
              <w:pageBreakBefore w:val="0"/>
              <w:kinsoku/>
              <w:wordWrap/>
              <w:overflowPunct/>
              <w:topLinePunct w:val="0"/>
              <w:bidi w:val="0"/>
              <w:spacing w:line="360" w:lineRule="auto"/>
              <w:ind w:firstLine="0" w:firstLineChars="0"/>
              <w:jc w:val="center"/>
              <w:rPr>
                <w:rFonts w:hint="eastAsia" w:ascii="仿宋" w:hAnsi="仿宋" w:eastAsia="仿宋" w:cs="仿宋"/>
                <w:color w:val="auto"/>
                <w:kern w:val="0"/>
                <w:sz w:val="24"/>
                <w:szCs w:val="24"/>
                <w:highlight w:val="none"/>
                <w:lang w:val="en-US" w:eastAsia="zh-CN" w:bidi="ar-SA"/>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default" w:ascii="仿宋" w:hAnsi="仿宋" w:eastAsia="仿宋" w:cs="仿宋"/>
                <w:b w:val="0"/>
                <w:bCs w:val="0"/>
                <w:color w:val="auto"/>
                <w:kern w:val="2"/>
                <w:sz w:val="24"/>
                <w:szCs w:val="24"/>
                <w:highlight w:val="none"/>
                <w:vertAlign w:val="baseline"/>
                <w:lang w:val="en-US" w:eastAsia="zh-CN" w:bidi="ar-SA"/>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p>
        </w:tc>
        <w:tc>
          <w:tcPr>
            <w:tcW w:w="1290" w:type="dxa"/>
            <w:noWrap w:val="0"/>
            <w:vAlign w:val="top"/>
          </w:tcPr>
          <w:p>
            <w:pPr>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p>
        </w:tc>
        <w:tc>
          <w:tcPr>
            <w:tcW w:w="1440" w:type="dxa"/>
            <w:noWrap w:val="0"/>
            <w:vAlign w:val="top"/>
          </w:tcPr>
          <w:p>
            <w:pPr>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p>
        </w:tc>
        <w:tc>
          <w:tcPr>
            <w:tcW w:w="636" w:type="dxa"/>
            <w:noWrap w:val="0"/>
            <w:vAlign w:val="top"/>
          </w:tcPr>
          <w:p>
            <w:pPr>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p>
        </w:tc>
      </w:tr>
    </w:tbl>
    <w:p>
      <w:pPr>
        <w:keepNext w:val="0"/>
        <w:keepLines w:val="0"/>
        <w:pageBreakBefore w:val="0"/>
        <w:widowControl w:val="0"/>
        <w:kinsoku/>
        <w:wordWrap/>
        <w:overflowPunct/>
        <w:topLinePunct w:val="0"/>
        <w:bidi w:val="0"/>
        <w:adjustRightInd w:val="0"/>
        <w:snapToGrid w:val="0"/>
        <w:spacing w:before="0"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1.2</w:t>
      </w:r>
      <w:r>
        <w:rPr>
          <w:rFonts w:hint="eastAsia" w:ascii="仿宋" w:hAnsi="仿宋" w:eastAsia="仿宋" w:cs="仿宋"/>
          <w:color w:val="auto"/>
          <w:kern w:val="2"/>
          <w:sz w:val="24"/>
          <w:szCs w:val="24"/>
          <w:highlight w:val="none"/>
          <w:lang w:val="en-US" w:eastAsia="zh-CN" w:bidi="ar-SA"/>
        </w:rPr>
        <w:t>服务期（供货期）：自合同签订之日起三个完整年度，合同一年一签，具体以签订合同时间为准，合同履行期内若发生重大食品安全问题，乙方须承担相应责任，同时招标人有权终止合同。</w:t>
      </w:r>
    </w:p>
    <w:p>
      <w:pPr>
        <w:keepNext w:val="0"/>
        <w:keepLines w:val="0"/>
        <w:pageBreakBefore w:val="0"/>
        <w:widowControl w:val="0"/>
        <w:kinsoku/>
        <w:wordWrap/>
        <w:overflowPunct/>
        <w:topLinePunct w:val="0"/>
        <w:bidi w:val="0"/>
        <w:adjustRightInd w:val="0"/>
        <w:snapToGrid w:val="0"/>
        <w:spacing w:before="0" w:line="360" w:lineRule="auto"/>
        <w:ind w:firstLine="480" w:firstLineChars="200"/>
        <w:jc w:val="both"/>
        <w:rPr>
          <w:rFonts w:hint="eastAsia" w:ascii="仿宋" w:hAnsi="仿宋" w:eastAsia="仿宋" w:cs="仿宋"/>
          <w:b w:val="0"/>
          <w:bCs/>
          <w:color w:val="auto"/>
          <w:sz w:val="24"/>
          <w:szCs w:val="24"/>
          <w:highlight w:val="none"/>
        </w:rPr>
      </w:pPr>
      <w:r>
        <w:rPr>
          <w:rFonts w:hint="eastAsia" w:ascii="仿宋" w:hAnsi="仿宋" w:eastAsia="仿宋" w:cs="仿宋"/>
          <w:color w:val="auto"/>
          <w:kern w:val="2"/>
          <w:sz w:val="24"/>
          <w:szCs w:val="24"/>
          <w:highlight w:val="none"/>
          <w:lang w:val="en-US" w:eastAsia="zh-CN" w:bidi="ar-SA"/>
        </w:rPr>
        <w:t>1.3</w:t>
      </w:r>
      <w:r>
        <w:rPr>
          <w:rFonts w:hint="eastAsia" w:ascii="仿宋" w:hAnsi="仿宋" w:eastAsia="仿宋" w:cs="仿宋"/>
          <w:b w:val="0"/>
          <w:bCs/>
          <w:color w:val="auto"/>
          <w:sz w:val="24"/>
          <w:szCs w:val="24"/>
          <w:highlight w:val="none"/>
        </w:rPr>
        <w:t>供货期内的最终采购金额以</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实际需要数量为准,</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不保证供货期限内的最低采购数量或金额。</w:t>
      </w:r>
    </w:p>
    <w:p>
      <w:pPr>
        <w:keepNext w:val="0"/>
        <w:keepLines w:val="0"/>
        <w:pageBreakBefore w:val="0"/>
        <w:widowControl w:val="0"/>
        <w:kinsoku/>
        <w:wordWrap/>
        <w:overflowPunct/>
        <w:topLinePunct w:val="0"/>
        <w:bidi w:val="0"/>
        <w:adjustRightInd w:val="0"/>
        <w:snapToGrid w:val="0"/>
        <w:spacing w:before="0" w:line="360" w:lineRule="auto"/>
        <w:ind w:firstLine="480" w:firstLineChars="200"/>
        <w:jc w:val="both"/>
        <w:rPr>
          <w:rFonts w:hint="eastAsia" w:ascii="仿宋" w:hAnsi="仿宋" w:eastAsia="仿宋" w:cs="宋体"/>
          <w:color w:val="auto"/>
          <w:sz w:val="24"/>
          <w:szCs w:val="24"/>
        </w:rPr>
      </w:pPr>
      <w:r>
        <w:rPr>
          <w:rFonts w:hint="eastAsia" w:ascii="仿宋" w:hAnsi="仿宋" w:eastAsia="仿宋" w:cs="仿宋"/>
          <w:b w:val="0"/>
          <w:bCs/>
          <w:color w:val="auto"/>
          <w:sz w:val="24"/>
          <w:szCs w:val="24"/>
          <w:highlight w:val="none"/>
          <w:lang w:val="en-US" w:eastAsia="zh-CN"/>
        </w:rPr>
        <w:t>1.4配送</w:t>
      </w:r>
      <w:r>
        <w:rPr>
          <w:rFonts w:hint="eastAsia" w:ascii="仿宋" w:hAnsi="仿宋" w:eastAsia="仿宋" w:cs="宋体"/>
          <w:color w:val="auto"/>
          <w:sz w:val="24"/>
          <w:szCs w:val="24"/>
        </w:rPr>
        <w:t>地点：嵊州市益嘉配送有限公司</w:t>
      </w:r>
    </w:p>
    <w:p>
      <w:pPr>
        <w:pStyle w:val="53"/>
        <w:keepNext w:val="0"/>
        <w:keepLines w:val="0"/>
        <w:pageBreakBefore w:val="0"/>
        <w:kinsoku/>
        <w:wordWrap/>
        <w:overflowPunct/>
        <w:topLinePunct w:val="0"/>
        <w:bidi w:val="0"/>
        <w:adjustRightInd w:val="0"/>
        <w:snapToGrid w:val="0"/>
        <w:spacing w:before="0" w:line="360" w:lineRule="auto"/>
        <w:ind w:firstLine="48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kern w:val="2"/>
          <w:sz w:val="24"/>
          <w:szCs w:val="24"/>
          <w:highlight w:val="none"/>
          <w:lang w:val="en-US" w:eastAsia="zh-CN" w:bidi="ar-SA"/>
        </w:rPr>
        <w:t>二、采购</w:t>
      </w:r>
      <w:r>
        <w:rPr>
          <w:rFonts w:hint="eastAsia" w:ascii="仿宋" w:hAnsi="仿宋" w:eastAsia="仿宋" w:cs="仿宋"/>
          <w:b/>
          <w:color w:val="auto"/>
          <w:sz w:val="24"/>
          <w:szCs w:val="24"/>
          <w:highlight w:val="none"/>
          <w:lang w:val="en-US" w:eastAsia="zh-CN"/>
        </w:rPr>
        <w:t>要求：</w:t>
      </w:r>
    </w:p>
    <w:p>
      <w:pPr>
        <w:keepNext w:val="0"/>
        <w:keepLines w:val="0"/>
        <w:pageBreakBefore w:val="0"/>
        <w:widowControl w:val="0"/>
        <w:kinsoku/>
        <w:wordWrap/>
        <w:overflowPunct/>
        <w:topLinePunct w:val="0"/>
        <w:bidi w:val="0"/>
        <w:adjustRightInd w:val="0"/>
        <w:snapToGrid w:val="0"/>
        <w:spacing w:before="0" w:line="360" w:lineRule="auto"/>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1.乙方所提供的食材必须符合相关的卫生、食品安全、环保等国家标准。</w:t>
      </w:r>
    </w:p>
    <w:p>
      <w:pPr>
        <w:keepNext w:val="0"/>
        <w:keepLines w:val="0"/>
        <w:pageBreakBefore w:val="0"/>
        <w:widowControl w:val="0"/>
        <w:kinsoku/>
        <w:wordWrap/>
        <w:overflowPunct/>
        <w:topLinePunct w:val="0"/>
        <w:bidi w:val="0"/>
        <w:adjustRightInd w:val="0"/>
        <w:snapToGrid w:val="0"/>
        <w:spacing w:before="0" w:line="360" w:lineRule="auto"/>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2.所有预包装食品要求经过SC许可，每批次送货时须提供产品合格证。</w:t>
      </w:r>
    </w:p>
    <w:p>
      <w:pPr>
        <w:keepNext w:val="0"/>
        <w:keepLines w:val="0"/>
        <w:pageBreakBefore w:val="0"/>
        <w:widowControl w:val="0"/>
        <w:kinsoku/>
        <w:wordWrap/>
        <w:overflowPunct/>
        <w:topLinePunct w:val="0"/>
        <w:bidi w:val="0"/>
        <w:adjustRightInd w:val="0"/>
        <w:snapToGrid w:val="0"/>
        <w:spacing w:before="0" w:line="360" w:lineRule="auto"/>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3.供货产品技术指标和质量要求：</w:t>
      </w:r>
    </w:p>
    <w:p>
      <w:pPr>
        <w:keepNext w:val="0"/>
        <w:keepLines w:val="0"/>
        <w:pageBreakBefore w:val="0"/>
        <w:widowControl w:val="0"/>
        <w:kinsoku/>
        <w:wordWrap/>
        <w:overflowPunct/>
        <w:topLinePunct w:val="0"/>
        <w:bidi w:val="0"/>
        <w:adjustRightInd w:val="0"/>
        <w:snapToGrid w:val="0"/>
        <w:spacing w:before="0" w:line="360" w:lineRule="auto"/>
        <w:ind w:firstLine="480" w:firstLineChars="200"/>
        <w:jc w:val="both"/>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3.1</w:t>
      </w:r>
      <w:r>
        <w:rPr>
          <w:rFonts w:hint="eastAsia" w:ascii="仿宋" w:hAnsi="仿宋" w:eastAsia="仿宋" w:cs="仿宋"/>
          <w:b w:val="0"/>
          <w:bCs w:val="0"/>
          <w:color w:val="auto"/>
          <w:sz w:val="24"/>
          <w:szCs w:val="24"/>
          <w:highlight w:val="none"/>
          <w:lang w:eastAsia="zh-CN"/>
        </w:rPr>
        <w:t>米类必须使用无毒</w:t>
      </w:r>
      <w:r>
        <w:rPr>
          <w:rFonts w:hint="eastAsia" w:ascii="仿宋" w:hAnsi="仿宋" w:eastAsia="仿宋" w:cs="仿宋"/>
          <w:b w:val="0"/>
          <w:bCs w:val="0"/>
          <w:color w:val="auto"/>
          <w:sz w:val="24"/>
          <w:szCs w:val="24"/>
          <w:highlight w:val="none"/>
          <w:lang w:val="en-US" w:eastAsia="zh-CN"/>
        </w:rPr>
        <w:t>无害</w:t>
      </w:r>
      <w:r>
        <w:rPr>
          <w:rFonts w:hint="eastAsia" w:ascii="仿宋" w:hAnsi="仿宋" w:eastAsia="仿宋" w:cs="仿宋"/>
          <w:b w:val="0"/>
          <w:bCs w:val="0"/>
          <w:color w:val="auto"/>
          <w:sz w:val="24"/>
          <w:szCs w:val="24"/>
          <w:highlight w:val="none"/>
          <w:lang w:eastAsia="zh-CN"/>
        </w:rPr>
        <w:t>编织袋包装，须是本年度或上一年度出产的稻谷生产的新米；米必须符合GB2707-2005标准，具有SC编号；必须是当年或当期新米，米质纯，无杂质，达到国家一级标准，无黄粒、霉粒，水分小于14.5%；按配送批次提供</w:t>
      </w:r>
      <w:r>
        <w:rPr>
          <w:rFonts w:hint="eastAsia" w:ascii="仿宋" w:hAnsi="仿宋" w:eastAsia="仿宋" w:cs="仿宋"/>
          <w:b w:val="0"/>
          <w:bCs w:val="0"/>
          <w:color w:val="auto"/>
          <w:sz w:val="24"/>
          <w:szCs w:val="24"/>
          <w:highlight w:val="none"/>
          <w:lang w:val="en-US" w:eastAsia="zh-CN"/>
        </w:rPr>
        <w:t>同一批次的</w:t>
      </w:r>
      <w:r>
        <w:rPr>
          <w:rFonts w:hint="eastAsia" w:ascii="仿宋" w:hAnsi="仿宋" w:eastAsia="仿宋" w:cs="仿宋"/>
          <w:b w:val="0"/>
          <w:bCs w:val="0"/>
          <w:color w:val="auto"/>
          <w:sz w:val="24"/>
          <w:szCs w:val="24"/>
          <w:highlight w:val="none"/>
          <w:lang w:eastAsia="zh-CN"/>
        </w:rPr>
        <w:t>检测报告。根据甲方需求提供产品的质量合格证明文件。</w:t>
      </w:r>
    </w:p>
    <w:p>
      <w:pPr>
        <w:keepNext w:val="0"/>
        <w:keepLines w:val="0"/>
        <w:pageBreakBefore w:val="0"/>
        <w:widowControl w:val="0"/>
        <w:kinsoku/>
        <w:wordWrap/>
        <w:overflowPunct/>
        <w:topLinePunct w:val="0"/>
        <w:bidi w:val="0"/>
        <w:adjustRightInd w:val="0"/>
        <w:snapToGrid w:val="0"/>
        <w:spacing w:before="0" w:line="360" w:lineRule="auto"/>
        <w:ind w:firstLine="480" w:firstLineChars="200"/>
        <w:jc w:val="both"/>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3.2</w:t>
      </w:r>
      <w:r>
        <w:rPr>
          <w:rFonts w:hint="eastAsia" w:ascii="仿宋" w:hAnsi="仿宋" w:eastAsia="仿宋" w:cs="仿宋"/>
          <w:b w:val="0"/>
          <w:bCs w:val="0"/>
          <w:color w:val="auto"/>
          <w:sz w:val="24"/>
          <w:szCs w:val="24"/>
          <w:highlight w:val="none"/>
          <w:lang w:eastAsia="zh-CN"/>
        </w:rPr>
        <w:t>所供米须为大型超市常见品牌产品，必须从正规渠道购入，有明确的生产厂家、品牌、质保期、生产日期、批号、安全标识等，并能顺利追溯源头。</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三、服务要求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1.乙方</w:t>
      </w:r>
      <w:r>
        <w:rPr>
          <w:rFonts w:hint="eastAsia" w:ascii="仿宋" w:hAnsi="仿宋" w:eastAsia="仿宋" w:cs="仿宋"/>
          <w:bCs/>
          <w:color w:val="auto"/>
          <w:sz w:val="24"/>
          <w:highlight w:val="none"/>
        </w:rPr>
        <w:t>须有</w:t>
      </w:r>
      <w:r>
        <w:rPr>
          <w:rFonts w:hint="eastAsia" w:ascii="仿宋" w:hAnsi="仿宋" w:eastAsia="仿宋" w:cs="仿宋"/>
          <w:bCs/>
          <w:color w:val="auto"/>
          <w:sz w:val="24"/>
          <w:highlight w:val="none"/>
          <w:lang w:val="en-US" w:eastAsia="zh-CN"/>
        </w:rPr>
        <w:t>固定</w:t>
      </w:r>
      <w:r>
        <w:rPr>
          <w:rFonts w:hint="eastAsia" w:ascii="仿宋" w:hAnsi="仿宋" w:eastAsia="仿宋" w:cs="仿宋"/>
          <w:bCs/>
          <w:color w:val="auto"/>
          <w:sz w:val="24"/>
          <w:highlight w:val="none"/>
        </w:rPr>
        <w:t>服务人员与</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对接，负责日常信息的传递和配送协调工作，并满足日常所需物资的配送</w:t>
      </w:r>
      <w:r>
        <w:rPr>
          <w:rFonts w:hint="eastAsia" w:ascii="仿宋" w:hAnsi="仿宋" w:eastAsia="仿宋" w:cs="仿宋"/>
          <w:bCs/>
          <w:color w:val="auto"/>
          <w:sz w:val="2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2.乙方应当按照甲方提供的订单要求，在每日按甲方要求在指定时间将所需食材送至配送中心库房。遇有紧急配送任务时，乙方须按照甲方的电话通知要求送到。</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3.乙方应固定有送货驾驶员和送货车辆。配送人员应具备有效的健康证。人员、车辆一经固定，无特殊理由不能临时变更，如更换须事先征得甲方审查同意并提供健康体检证复印件备案。</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接触有毒有害物质、日晒、雨淋，注意通风散热。</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5.将订单内所需货物送到甲方指定地点后,双方就货物的品种、质量、数量、价格进行确认后填写交货清单,经验收合格后完成交付。</w:t>
      </w:r>
      <w:r>
        <w:rPr>
          <w:rFonts w:hint="eastAsia" w:ascii="仿宋" w:hAnsi="仿宋" w:eastAsia="仿宋" w:cs="仿宋"/>
          <w:bCs/>
          <w:color w:val="auto"/>
          <w:sz w:val="24"/>
          <w:highlight w:val="none"/>
        </w:rPr>
        <w:t>重量以双方核准的净重过磅数为准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客户单位验收</w:t>
      </w:r>
      <w:r>
        <w:rPr>
          <w:rFonts w:hint="eastAsia" w:ascii="仿宋" w:hAnsi="仿宋" w:eastAsia="仿宋" w:cs="仿宋"/>
          <w:bCs/>
          <w:color w:val="auto"/>
          <w:sz w:val="24"/>
          <w:highlight w:val="none"/>
        </w:rPr>
        <w:t>签字确认作为结算凭证</w:t>
      </w:r>
      <w:r>
        <w:rPr>
          <w:rFonts w:hint="eastAsia" w:ascii="仿宋" w:hAnsi="仿宋" w:eastAsia="仿宋" w:cs="仿宋"/>
          <w:bCs/>
          <w:color w:val="auto"/>
          <w:sz w:val="2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四、食品安全要求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1.若因乙方原因，造成甲方场所内公共性食品安全危机的，乙方应负全部责任，并承担由此造成的经济损失及可能发生的刑事责任。</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2.乙方在供货期间，各类产品因不符合要求，出现质量问题负责退换货。问题严重的将终止合同、停止供货，并由乙方承担由此造成的全部经济损失及责任。</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cyan"/>
          <w:lang w:val="en-US" w:eastAsia="zh-CN"/>
        </w:rPr>
      </w:pPr>
      <w:r>
        <w:rPr>
          <w:rFonts w:hint="eastAsia" w:ascii="仿宋" w:hAnsi="仿宋" w:eastAsia="仿宋" w:cs="仿宋"/>
          <w:b w:val="0"/>
          <w:bCs/>
          <w:color w:val="auto"/>
          <w:sz w:val="24"/>
          <w:szCs w:val="24"/>
          <w:highlight w:val="none"/>
          <w:lang w:val="en-US" w:eastAsia="zh-CN"/>
        </w:rPr>
        <w:t>3.乙方在供货期间，如发生质量纠纷时甲方须对被投诉食材进行定量检测，不论检测结果如何，因检测产生的相关费用须由乙方承担。</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五、乙方的管理要求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1.乙方有以下行为，经调查属实的，甲方将立即解除相关供应合同：</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1.1弄虚作假，提供虚假材料取得中标供应资格的；</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1.2经营情况发生重大变更，已经不具备承接中标供应项目能力的；</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1.3无正当理由拒绝履行合同向甲方供货的；</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1.4有行贿、给回扣等不正当竞争行为的；</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1.5因所供货物质量原因导致发生食品安全事故的；</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1.6所供应货物存在故意假冒伪劣行为的；</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1.7有其它违法违纪行为的。</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必须依据国家有关法律法规要求建立健全各项管理制度，保证食品安全，有明确的食品安全责任人。因所供货物质量原因导致发生食品安全事故，除解除合同、扣除全部履约保证金外，乙方还需赔偿甲方救治经费及误工损失。</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3.乙方应严格按招标要求（含品种、质量等）供应，不得变更供应商品，否则，甲方有权退货。</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4.甲方按合同对商品进行严格验收，对不符合规格要求的商品，乙方必须无条件退货或更换。</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strike w:val="0"/>
          <w:dstrike w:val="0"/>
          <w:color w:val="auto"/>
          <w:sz w:val="24"/>
          <w:szCs w:val="24"/>
          <w:highlight w:val="none"/>
          <w:lang w:val="en-US" w:eastAsia="zh-CN"/>
        </w:rPr>
        <w:t>5.因生产商原因停产、改变生产规格的，中标供应商凭生产商证明告知甲方，甲方经市场调查确认，选择替换品种、规格与供应商协商定价后确认更换的品种、规格、价格。</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6.乙方须按供应商品的销售额开具增值税发票。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食品溯源要求。食品供应链必须明确，所有食品的来源必须清晰，来源应当是受到地方政府部门监管的流通市场或具有相关资质的厂家生产，生产食品的源头与乙方要有固定的合法的供应关系。乙方应保存以下资料：</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7.1乙方与供货企业的销售合同；</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7.2供货企业的送货单和销售发票；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FF0000"/>
          <w:sz w:val="24"/>
          <w:szCs w:val="24"/>
          <w:highlight w:val="none"/>
          <w:lang w:val="en-US" w:eastAsia="zh-CN"/>
        </w:rPr>
      </w:pPr>
      <w:r>
        <w:rPr>
          <w:rFonts w:hint="eastAsia" w:ascii="仿宋" w:hAnsi="仿宋" w:eastAsia="仿宋" w:cs="仿宋"/>
          <w:b w:val="0"/>
          <w:bCs/>
          <w:color w:val="auto"/>
          <w:sz w:val="24"/>
          <w:szCs w:val="24"/>
          <w:highlight w:val="none"/>
          <w:lang w:val="en-US" w:eastAsia="zh-CN"/>
        </w:rPr>
        <w:t>7.3乙方与采购方的采购合同及送货单据、销售发票。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六、供应物品的报价</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1.乙方须遵守采购规则，价格以嵊州市教育局每周五公布的商品指导价作为下周配送商品的基准价，（基准价*中标折扣率）作为本单位配送商品的结算价，即今后结算依据。</w:t>
      </w:r>
      <w:r>
        <w:rPr>
          <w:rFonts w:hint="eastAsia" w:ascii="仿宋" w:hAnsi="仿宋" w:eastAsia="仿宋" w:cs="仿宋"/>
          <w:color w:val="auto"/>
          <w:kern w:val="0"/>
          <w:sz w:val="24"/>
          <w:szCs w:val="24"/>
          <w:lang w:val="en-US" w:eastAsia="zh-CN" w:bidi="ar-SA"/>
        </w:rPr>
        <w:t>（若嵊州市教育局假期期间未及时公布指导价，则按最新一期价格作为基准价结算）</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若采购的食材在嵊州市教育局指导价公告中没有参考报价的，则根据绍兴E价通（http://jgjg.sx.gov.cn/）、嵊州市江滨市场和杭州世纪联华嵊州国贸商城店本周五公布的商品市场平均价作为本单位下周配送商品的基准价结合折扣进行结算。</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3.若绍兴E价通（http://jgjg.sx.gov.cn/）、嵊州市江滨市场和杭州世纪联华嵊州国贸商城店没有参考报价的，以乐采云平台电子卖场本周五公布同品均价作为本单位下周配送商品的基准价结合折扣进行结算。</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bCs w:val="0"/>
          <w:color w:val="auto"/>
          <w:sz w:val="24"/>
          <w:szCs w:val="24"/>
          <w:highlight w:val="none"/>
          <w:lang w:val="en-US" w:eastAsia="zh-CN"/>
        </w:rPr>
        <w:t>在服务期限内中标报价折扣率固定不变。</w:t>
      </w:r>
      <w:r>
        <w:rPr>
          <w:rFonts w:hint="eastAsia" w:ascii="仿宋" w:hAnsi="仿宋" w:eastAsia="仿宋" w:cs="仿宋"/>
          <w:b w:val="0"/>
          <w:bCs/>
          <w:color w:val="auto"/>
          <w:sz w:val="24"/>
          <w:szCs w:val="24"/>
          <w:highlight w:val="none"/>
          <w:lang w:val="en-US" w:eastAsia="zh-CN"/>
        </w:rPr>
        <w:t>报价包括但不限于提供货物价款、人员的劳务费用、加工费、装卸车费、途中运输费、检测、验收费（含第三方）、利润、管理费、保险费、税金、政策性文件规定等其他所有交付甲方可能产生的相关费用、产品的售后服务费及代理服务费等一切相关服务的所有费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注：三年结算价不得超过预算价。</w:t>
      </w:r>
    </w:p>
    <w:p>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firstLine="482"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七、其他要求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1.乙方必须文明服务，服务过程中发生的一切安全事故均由乙方自理，与甲方无关。</w:t>
      </w:r>
    </w:p>
    <w:p>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2.所供的物品必须符合《中华人民共和国食品安全法》要求</w:t>
      </w:r>
      <w:r>
        <w:rPr>
          <w:rFonts w:hint="eastAsia" w:ascii="仿宋" w:hAnsi="仿宋" w:eastAsia="仿宋" w:cs="仿宋"/>
          <w:color w:val="auto"/>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3.乙方需承诺所供的物品必须符合国家有关标准，保证无异味、无变质，如不符合投标文件所描述的质量标准，必须退货并承担违约责任。</w:t>
      </w:r>
    </w:p>
    <w:p>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firstLine="480"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4.所供商品必须符合国家行业生产及经营标准，货真价实，均能提供相应批次的合格检验证明。</w:t>
      </w:r>
    </w:p>
    <w:p>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5.投标货物必须各项技术指标完全符合国家有关质量检测、环保标准及产品出厂标准。</w:t>
      </w:r>
    </w:p>
    <w:p>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6.乙方必须负责货物的运输、质量检测等工作，所产生的费用由乙方负责。</w:t>
      </w:r>
    </w:p>
    <w:p>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7.乙方不得将中标项目转包、分包，否则甲方有权单方终止合同,由此产生的一切经济损失由乙方自行承担。</w:t>
      </w:r>
    </w:p>
    <w:p>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8.乙方除不可抗力，不得因其他任何理由延迟送货；甲方如遇特殊情况需推迟送货，应提前通知乙方。因乙方原因延误交货日期的（甲方要求推迟的除外），甲方有权自行采购，并由乙方承担由此产生的一切损失和费用。</w:t>
      </w:r>
    </w:p>
    <w:p>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9.甲方按合同对商品进行认真验收，对不符合规格要求的商品，供应商必须无条件退货；乙方未能履行招标文件和合同所定事项, 或供应不合格的、假冒伪劣、以次充好的商品，甲方退货后将记录在案，除要承担因此产生的一切损失和费用外，情节严重的可取消其供应资格。</w:t>
      </w:r>
    </w:p>
    <w:p>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如因所供产品质量或品质问题造成人员身体不适、身体伤害及经济损失的，须由乙方立即（在2小时内）派专人到现场妥善处理，做好安抚工作和善后事宜，并承担所产生的一切费用、赔偿由此发生的一切经济损失。</w:t>
      </w:r>
    </w:p>
    <w:p>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11.本次投标折扣率中标后不作调整。合同执行期间，乙方因价格因素而放弃履行合同的，须以书面形式向甲方提出申请，甲方可视情解除与该乙方的合同，乙方已交纳的履约保证金不予退还。乙方若无故拒绝履行合同的，甲方将扣除其全部履约保证金，并将其不诚信行为列入“黑名单”管理。</w:t>
      </w:r>
    </w:p>
    <w:p>
      <w:pPr>
        <w:pStyle w:val="2"/>
        <w:spacing w:line="440" w:lineRule="exac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12.不论以何种形式进行供货，乙方都必须按照其在投标文件中做出的服务承诺履行相关义务。</w:t>
      </w:r>
    </w:p>
    <w:p>
      <w:pPr>
        <w:pStyle w:val="2"/>
        <w:spacing w:line="440" w:lineRule="exac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13.甲方保留因政府政策性调整或规划调整等原因对上述所列招标内容作调整的权利,乙方须无条件接受招标人的调整。</w:t>
      </w:r>
    </w:p>
    <w:p>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firstLine="482" w:firstLineChars="200"/>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bCs/>
          <w:color w:val="auto"/>
          <w:sz w:val="24"/>
          <w:highlight w:val="none"/>
          <w:lang w:val="en-US" w:eastAsia="zh-CN"/>
        </w:rPr>
        <w:t>八、违约责任</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当乙方出现以下行为时，视为违约：</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1.由于乙方工作失误，未能及时通知甲方导致配送不能按时到达，造成甲方损失的，由乙方负责承担有关责任，视情扣除履约保证金5000元至10000元。（遇自然灾害等不可抗拒原因时除外）</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乙方配送的大米类采购渠道不正规，经甲方检查发现，第一次扣除乙方履约保证金1000元；第二次扣除乙方履约保证金5000元并取消乙方的配送资格。若被相关部门查取则直接取消乙方的配送资格并扣除履约保证金。</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3.乙方提供的大米不新鲜，甲方有权提出退换；供应商提供的食品不符合甲方需要或缺斤少两，甲方有权要求在规定时间内补足数量或按实际重量结算付款。</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如乙方合同期内累计出现问题次数2次以上，甲方有权扣除乙方履约保证金1000元；合同期内累计次数达4次以上，甲方有权扣除乙方履约保证金2000元；合同期内内累计次数达6次以上，甲方有权扣除乙方履约保证金5000元，并取消配送资格，责任由乙方承担。</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color w:val="0000FF"/>
          <w:sz w:val="24"/>
          <w:highlight w:val="none"/>
          <w:lang w:val="en-US" w:eastAsia="zh-CN"/>
        </w:rPr>
      </w:pPr>
      <w:r>
        <w:rPr>
          <w:rFonts w:hint="eastAsia" w:ascii="仿宋" w:hAnsi="仿宋" w:eastAsia="仿宋" w:cs="仿宋"/>
          <w:b w:val="0"/>
          <w:bCs w:val="0"/>
          <w:color w:val="auto"/>
          <w:sz w:val="24"/>
          <w:highlight w:val="none"/>
          <w:lang w:val="en-US" w:eastAsia="zh-CN"/>
        </w:rPr>
        <w:t>4.乙方配送的食品存在卫生安全问题，导致甲方发生群体性食物中毒事故，由乙方承担所有事故责任与费用，扣除履约保证金5000元，取消配送资格。造成严重后果的，甲方将依法提起诉讼，追究乙方法律责任。乙方配送的食品有腐烂变质现象，经甲方核查情况属实后，在立即无偿退换的基础上，第一次由甲方向乙方提出警告，第二次甲方有权扣除乙方履约保证金2000元；</w:t>
      </w:r>
      <w:r>
        <w:rPr>
          <w:rFonts w:hint="eastAsia" w:ascii="仿宋" w:hAnsi="仿宋" w:eastAsia="仿宋" w:cs="仿宋"/>
          <w:b/>
          <w:bCs/>
          <w:snapToGrid w:val="0"/>
          <w:color w:val="auto"/>
          <w:kern w:val="0"/>
          <w:sz w:val="24"/>
          <w:szCs w:val="24"/>
          <w:highlight w:val="none"/>
          <w:lang w:val="en-US" w:eastAsia="zh-CN"/>
        </w:rPr>
        <w:t>第三次甲方有权扣除乙方履约保证金5000元并终止合同</w:t>
      </w:r>
      <w:r>
        <w:rPr>
          <w:rFonts w:hint="eastAsia" w:ascii="仿宋" w:hAnsi="仿宋" w:eastAsia="仿宋" w:cs="宋体"/>
          <w:b/>
          <w:bCs/>
          <w:color w:val="auto"/>
          <w:sz w:val="24"/>
          <w:szCs w:val="24"/>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甲方有权对配送价格进行抽查考核，如发现乙方采取欺骗、隐瞒、虚报等手段，故意抬高食品配送价格，使其配送价格高于以投标文件规定的基准价进行中标折扣后的价格，甲方有权提出按中标折扣后的价格重新结算。并在发现问题时，第一次由甲方向乙方提出警告，第二次甲方有权扣除乙方履约保证金2000元；第三次甲方有权扣除乙方履约保证金5000元，并取消配送资格。</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6.乙方运输食品的车辆未按要求的，发现一次扣除履约保证金1000元，以此类推。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宋体"/>
          <w:sz w:val="24"/>
          <w:szCs w:val="24"/>
          <w:lang w:val="en-US" w:eastAsia="zh-CN"/>
        </w:rPr>
        <w:t>7.</w:t>
      </w:r>
      <w:r>
        <w:rPr>
          <w:rFonts w:hint="eastAsia" w:ascii="仿宋" w:hAnsi="仿宋" w:eastAsia="仿宋" w:cs="宋体"/>
          <w:sz w:val="24"/>
          <w:szCs w:val="24"/>
          <w:lang w:eastAsia="zh-CN"/>
        </w:rPr>
        <w:t>乙方</w:t>
      </w:r>
      <w:r>
        <w:rPr>
          <w:rFonts w:hint="eastAsia" w:ascii="仿宋" w:hAnsi="仿宋" w:eastAsia="仿宋" w:cs="宋体"/>
          <w:sz w:val="24"/>
          <w:szCs w:val="24"/>
        </w:rPr>
        <w:t>配送达不到</w:t>
      </w:r>
      <w:r>
        <w:rPr>
          <w:rFonts w:hint="eastAsia" w:ascii="仿宋" w:hAnsi="仿宋" w:eastAsia="仿宋" w:cs="宋体"/>
          <w:sz w:val="24"/>
          <w:szCs w:val="24"/>
          <w:lang w:eastAsia="zh-CN"/>
        </w:rPr>
        <w:t>甲方</w:t>
      </w:r>
      <w:r>
        <w:rPr>
          <w:rFonts w:hint="eastAsia" w:ascii="仿宋" w:hAnsi="仿宋" w:eastAsia="仿宋" w:cs="宋体"/>
          <w:sz w:val="24"/>
          <w:szCs w:val="24"/>
        </w:rPr>
        <w:t>要求，</w:t>
      </w:r>
      <w:r>
        <w:rPr>
          <w:rFonts w:hint="eastAsia" w:ascii="仿宋" w:hAnsi="仿宋" w:eastAsia="仿宋" w:cs="宋体"/>
          <w:sz w:val="24"/>
          <w:szCs w:val="24"/>
          <w:lang w:eastAsia="zh-CN"/>
        </w:rPr>
        <w:t>甲方</w:t>
      </w:r>
      <w:r>
        <w:rPr>
          <w:rFonts w:hint="eastAsia" w:ascii="仿宋" w:hAnsi="仿宋" w:eastAsia="仿宋" w:cs="宋体"/>
          <w:sz w:val="24"/>
          <w:szCs w:val="24"/>
        </w:rPr>
        <w:t>对</w:t>
      </w:r>
      <w:r>
        <w:rPr>
          <w:rFonts w:hint="eastAsia" w:ascii="仿宋" w:hAnsi="仿宋" w:eastAsia="仿宋" w:cs="宋体"/>
          <w:sz w:val="24"/>
          <w:szCs w:val="24"/>
          <w:lang w:eastAsia="zh-CN"/>
        </w:rPr>
        <w:t>乙方</w:t>
      </w:r>
      <w:r>
        <w:rPr>
          <w:rFonts w:hint="eastAsia" w:ascii="仿宋" w:hAnsi="仿宋" w:eastAsia="仿宋" w:cs="宋体"/>
          <w:sz w:val="24"/>
          <w:szCs w:val="24"/>
        </w:rPr>
        <w:t>下达整改通知书，并进行具体指导，如</w:t>
      </w:r>
      <w:r>
        <w:rPr>
          <w:rFonts w:hint="eastAsia" w:ascii="仿宋" w:hAnsi="仿宋" w:eastAsia="仿宋" w:cs="宋体"/>
          <w:sz w:val="24"/>
          <w:szCs w:val="24"/>
          <w:lang w:eastAsia="zh-CN"/>
        </w:rPr>
        <w:t>乙方</w:t>
      </w:r>
      <w:r>
        <w:rPr>
          <w:rFonts w:hint="eastAsia" w:ascii="仿宋" w:hAnsi="仿宋" w:eastAsia="仿宋" w:cs="宋体"/>
          <w:sz w:val="24"/>
          <w:szCs w:val="24"/>
        </w:rPr>
        <w:t>无法达到</w:t>
      </w:r>
      <w:r>
        <w:rPr>
          <w:rFonts w:hint="eastAsia" w:ascii="仿宋" w:hAnsi="仿宋" w:eastAsia="仿宋" w:cs="宋体"/>
          <w:sz w:val="24"/>
          <w:szCs w:val="24"/>
          <w:lang w:eastAsia="zh-CN"/>
        </w:rPr>
        <w:t>甲方</w:t>
      </w:r>
      <w:r>
        <w:rPr>
          <w:rFonts w:hint="eastAsia" w:ascii="仿宋" w:hAnsi="仿宋" w:eastAsia="仿宋" w:cs="宋体"/>
          <w:sz w:val="24"/>
          <w:szCs w:val="24"/>
        </w:rPr>
        <w:t>要求，</w:t>
      </w:r>
      <w:r>
        <w:rPr>
          <w:rFonts w:hint="eastAsia" w:ascii="仿宋" w:hAnsi="仿宋" w:eastAsia="仿宋" w:cs="宋体"/>
          <w:sz w:val="24"/>
          <w:szCs w:val="24"/>
          <w:lang w:eastAsia="zh-CN"/>
        </w:rPr>
        <w:t>甲方</w:t>
      </w:r>
      <w:r>
        <w:rPr>
          <w:rFonts w:hint="eastAsia" w:ascii="仿宋" w:hAnsi="仿宋" w:eastAsia="仿宋" w:cs="宋体"/>
          <w:sz w:val="24"/>
          <w:szCs w:val="24"/>
        </w:rPr>
        <w:t>有权随时取消</w:t>
      </w:r>
      <w:r>
        <w:rPr>
          <w:rFonts w:hint="eastAsia" w:ascii="仿宋" w:hAnsi="仿宋" w:eastAsia="仿宋" w:cs="宋体"/>
          <w:sz w:val="24"/>
          <w:szCs w:val="24"/>
          <w:lang w:eastAsia="zh-CN"/>
        </w:rPr>
        <w:t>乙方</w:t>
      </w:r>
      <w:r>
        <w:rPr>
          <w:rFonts w:hint="eastAsia" w:ascii="仿宋" w:hAnsi="仿宋" w:eastAsia="仿宋" w:cs="宋体"/>
          <w:sz w:val="24"/>
          <w:szCs w:val="24"/>
        </w:rPr>
        <w:t>配送资格，并</w:t>
      </w:r>
      <w:r>
        <w:rPr>
          <w:rFonts w:hint="eastAsia" w:ascii="仿宋" w:hAnsi="仿宋" w:eastAsia="仿宋" w:cs="宋体"/>
          <w:sz w:val="24"/>
          <w:szCs w:val="24"/>
          <w:lang w:eastAsia="zh-CN"/>
        </w:rPr>
        <w:t>扣除</w:t>
      </w:r>
      <w:r>
        <w:rPr>
          <w:rFonts w:hint="eastAsia" w:ascii="仿宋" w:hAnsi="仿宋" w:eastAsia="仿宋" w:cs="宋体"/>
          <w:sz w:val="24"/>
          <w:szCs w:val="24"/>
        </w:rPr>
        <w:t>其履约保证金。</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九、验收要求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 w:val="0"/>
          <w:bCs/>
          <w:color w:val="auto"/>
          <w:sz w:val="24"/>
          <w:szCs w:val="24"/>
          <w:highlight w:val="none"/>
          <w:lang w:val="en-US" w:eastAsia="zh-CN"/>
        </w:rPr>
        <w:t>提供的产品符合</w:t>
      </w:r>
      <w:r>
        <w:rPr>
          <w:rFonts w:hint="eastAsia" w:ascii="仿宋" w:hAnsi="仿宋" w:eastAsia="仿宋" w:cs="仿宋"/>
          <w:bCs/>
          <w:color w:val="auto"/>
          <w:sz w:val="24"/>
          <w:highlight w:val="none"/>
        </w:rPr>
        <w:t>采购需求和合同约定</w:t>
      </w:r>
      <w:r>
        <w:rPr>
          <w:rFonts w:hint="eastAsia" w:ascii="仿宋" w:hAnsi="仿宋" w:eastAsia="仿宋" w:cs="仿宋"/>
          <w:b w:val="0"/>
          <w:bCs/>
          <w:color w:val="auto"/>
          <w:kern w:val="28"/>
          <w:sz w:val="24"/>
          <w:szCs w:val="24"/>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bCs/>
          <w:color w:val="auto"/>
          <w:sz w:val="24"/>
          <w:highlight w:val="none"/>
        </w:rPr>
        <w:t>（一）验收流程</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1）卸货前的检查。验收人员卸货前应对场地和验收设备做好准备，并对货物的外观质量进行初步了解。</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食品运输必须采用符合食品安全要求的外包装和运输工具，车厢内保持清洁和定期消毒，无异味。食品应清洁，无损伤、腐烂现象，外包装完整，无寄生虫或已受虫害现象。</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2)采取当场验收的方式，验收人认真检查物资的质量。</w:t>
      </w:r>
      <w:r>
        <w:rPr>
          <w:rFonts w:hint="eastAsia" w:ascii="仿宋" w:hAnsi="仿宋" w:eastAsia="仿宋" w:cs="仿宋"/>
          <w:b w:val="0"/>
          <w:bCs w:val="0"/>
          <w:color w:val="auto"/>
          <w:sz w:val="24"/>
          <w:highlight w:val="none"/>
          <w:lang w:eastAsia="zh-CN"/>
        </w:rPr>
        <w:t>乙方</w:t>
      </w:r>
      <w:r>
        <w:rPr>
          <w:rFonts w:hint="eastAsia" w:ascii="仿宋" w:hAnsi="仿宋" w:eastAsia="仿宋" w:cs="仿宋"/>
          <w:b w:val="0"/>
          <w:bCs w:val="0"/>
          <w:color w:val="auto"/>
          <w:sz w:val="24"/>
          <w:highlight w:val="none"/>
        </w:rPr>
        <w:t>可提供票证原件的留原件，原件只有一份而无法提供给</w:t>
      </w:r>
      <w:r>
        <w:rPr>
          <w:rFonts w:hint="eastAsia" w:ascii="仿宋" w:hAnsi="仿宋" w:eastAsia="仿宋" w:cs="仿宋"/>
          <w:b w:val="0"/>
          <w:bCs w:val="0"/>
          <w:color w:val="auto"/>
          <w:sz w:val="24"/>
          <w:highlight w:val="none"/>
          <w:lang w:eastAsia="zh-CN"/>
        </w:rPr>
        <w:t>甲方</w:t>
      </w:r>
      <w:r>
        <w:rPr>
          <w:rFonts w:hint="eastAsia" w:ascii="仿宋" w:hAnsi="仿宋" w:eastAsia="仿宋" w:cs="仿宋"/>
          <w:b w:val="0"/>
          <w:bCs w:val="0"/>
          <w:color w:val="auto"/>
          <w:sz w:val="24"/>
          <w:highlight w:val="none"/>
        </w:rPr>
        <w:t>的查验原件后索取复印件归档留存。</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3）逐一对食品进行验收，送货员、验收人联签。</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4)抽查发现食品安全质量问题的处理：</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color w:val="auto"/>
          <w:sz w:val="24"/>
          <w:highlight w:val="none"/>
          <w:lang w:eastAsia="zh-CN"/>
        </w:rPr>
      </w:pPr>
      <w:r>
        <w:rPr>
          <w:rFonts w:hint="eastAsia" w:ascii="仿宋" w:hAnsi="仿宋" w:eastAsia="仿宋" w:cs="仿宋"/>
          <w:b w:val="0"/>
          <w:bCs w:val="0"/>
          <w:color w:val="auto"/>
          <w:sz w:val="24"/>
          <w:highlight w:val="none"/>
        </w:rPr>
        <w:t>对存在食品质量问题当日所送同批次产品全部退货，</w:t>
      </w:r>
      <w:r>
        <w:rPr>
          <w:rFonts w:hint="eastAsia" w:ascii="仿宋" w:hAnsi="仿宋" w:eastAsia="仿宋" w:cs="仿宋"/>
          <w:b w:val="0"/>
          <w:bCs w:val="0"/>
          <w:strike w:val="0"/>
          <w:dstrike w:val="0"/>
          <w:color w:val="auto"/>
          <w:sz w:val="24"/>
          <w:highlight w:val="none"/>
        </w:rPr>
        <w:t>如大米中发现虫蛀结块挂丝、</w:t>
      </w:r>
      <w:r>
        <w:rPr>
          <w:rFonts w:hint="eastAsia" w:ascii="仿宋" w:hAnsi="仿宋" w:eastAsia="仿宋" w:cs="仿宋"/>
          <w:b w:val="0"/>
          <w:bCs w:val="0"/>
          <w:strike w:val="0"/>
          <w:dstrike w:val="0"/>
          <w:color w:val="auto"/>
          <w:sz w:val="24"/>
          <w:highlight w:val="none"/>
          <w:lang w:eastAsia="zh-CN"/>
        </w:rPr>
        <w:t>腐败变质，霉变</w:t>
      </w:r>
      <w:r>
        <w:rPr>
          <w:rFonts w:hint="eastAsia" w:ascii="仿宋" w:hAnsi="仿宋" w:eastAsia="仿宋" w:cs="仿宋"/>
          <w:b w:val="0"/>
          <w:bCs w:val="0"/>
          <w:strike w:val="0"/>
          <w:dstrike w:val="0"/>
          <w:color w:val="auto"/>
          <w:sz w:val="24"/>
          <w:highlight w:val="none"/>
        </w:rPr>
        <w:t>、杂质超标</w:t>
      </w:r>
      <w:r>
        <w:rPr>
          <w:rFonts w:hint="eastAsia" w:ascii="仿宋" w:hAnsi="仿宋" w:eastAsia="仿宋" w:cs="仿宋"/>
          <w:b w:val="0"/>
          <w:bCs w:val="0"/>
          <w:color w:val="auto"/>
          <w:sz w:val="24"/>
          <w:highlight w:val="none"/>
        </w:rPr>
        <w:t>等。</w:t>
      </w:r>
      <w:r>
        <w:rPr>
          <w:rFonts w:hint="eastAsia" w:ascii="仿宋" w:hAnsi="仿宋" w:eastAsia="仿宋" w:cs="仿宋"/>
          <w:b/>
          <w:bCs/>
          <w:color w:val="auto"/>
          <w:sz w:val="24"/>
          <w:highlight w:val="none"/>
          <w:lang w:eastAsia="zh-CN"/>
        </w:rPr>
        <w:t>如发生两次以上食品质量的问题，甲方有权终止合同。</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若抽查未发现问题，按储藏要求储藏后在加工食用前发现产品质量问题的，应立即通知</w:t>
      </w:r>
      <w:r>
        <w:rPr>
          <w:rFonts w:hint="eastAsia" w:ascii="仿宋" w:hAnsi="仿宋" w:eastAsia="仿宋" w:cs="仿宋"/>
          <w:b w:val="0"/>
          <w:bCs w:val="0"/>
          <w:color w:val="auto"/>
          <w:sz w:val="24"/>
          <w:highlight w:val="none"/>
          <w:lang w:val="en-US" w:eastAsia="zh-CN"/>
        </w:rPr>
        <w:t>甲方</w:t>
      </w:r>
      <w:r>
        <w:rPr>
          <w:rFonts w:hint="eastAsia" w:ascii="仿宋" w:hAnsi="仿宋" w:eastAsia="仿宋" w:cs="仿宋"/>
          <w:b w:val="0"/>
          <w:bCs w:val="0"/>
          <w:color w:val="auto"/>
          <w:sz w:val="24"/>
          <w:highlight w:val="none"/>
        </w:rPr>
        <w:t>，将问题产品退货处理。</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5)其余无法出具相关票证的货物退货处理。</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6</w:t>
      </w:r>
      <w:r>
        <w:rPr>
          <w:rFonts w:hint="eastAsia" w:ascii="仿宋" w:hAnsi="仿宋" w:eastAsia="仿宋" w:cs="仿宋"/>
          <w:b w:val="0"/>
          <w:bCs w:val="0"/>
          <w:color w:val="auto"/>
          <w:sz w:val="24"/>
          <w:highlight w:val="none"/>
        </w:rPr>
        <w:t>）验收记录</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分别建立</w:t>
      </w:r>
      <w:r>
        <w:rPr>
          <w:rFonts w:hint="eastAsia" w:ascii="仿宋" w:hAnsi="仿宋" w:eastAsia="仿宋" w:cs="仿宋"/>
          <w:b w:val="0"/>
          <w:bCs w:val="0"/>
          <w:color w:val="auto"/>
          <w:sz w:val="24"/>
          <w:highlight w:val="none"/>
          <w:lang w:eastAsia="zh-CN"/>
        </w:rPr>
        <w:t>米类</w:t>
      </w:r>
      <w:r>
        <w:rPr>
          <w:rFonts w:hint="eastAsia" w:ascii="仿宋" w:hAnsi="仿宋" w:eastAsia="仿宋" w:cs="仿宋"/>
          <w:b w:val="0"/>
          <w:bCs w:val="0"/>
          <w:color w:val="auto"/>
          <w:sz w:val="24"/>
          <w:highlight w:val="none"/>
        </w:rPr>
        <w:t>验收登记本。每次验收的物资均记录物资名称、数量、验收情况、票证索取等事项，并由</w:t>
      </w:r>
      <w:r>
        <w:rPr>
          <w:rFonts w:hint="eastAsia" w:ascii="仿宋" w:hAnsi="仿宋" w:eastAsia="仿宋" w:cs="仿宋"/>
          <w:b w:val="0"/>
          <w:bCs w:val="0"/>
          <w:color w:val="auto"/>
          <w:sz w:val="24"/>
          <w:highlight w:val="none"/>
          <w:lang w:eastAsia="zh-CN"/>
        </w:rPr>
        <w:t>乙方</w:t>
      </w:r>
      <w:r>
        <w:rPr>
          <w:rFonts w:hint="eastAsia" w:ascii="仿宋" w:hAnsi="仿宋" w:eastAsia="仿宋" w:cs="仿宋"/>
          <w:b w:val="0"/>
          <w:bCs w:val="0"/>
          <w:color w:val="auto"/>
          <w:sz w:val="24"/>
          <w:highlight w:val="none"/>
        </w:rPr>
        <w:t>送货人签名确认。</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bCs/>
          <w:color w:val="auto"/>
          <w:sz w:val="24"/>
          <w:highlight w:val="none"/>
        </w:rPr>
        <w:t>（二）退（补）货流程</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对不符合采购要求的物资由验收人员提出退（补）货申请。如双方对质量或重量有争议的可送具有检验资质的部门检测；对数量不足或退货的，责成</w:t>
      </w:r>
      <w:r>
        <w:rPr>
          <w:rFonts w:hint="eastAsia" w:ascii="仿宋" w:hAnsi="仿宋" w:eastAsia="仿宋" w:cs="仿宋"/>
          <w:b w:val="0"/>
          <w:bCs w:val="0"/>
          <w:color w:val="auto"/>
          <w:sz w:val="24"/>
          <w:highlight w:val="none"/>
          <w:lang w:eastAsia="zh-CN"/>
        </w:rPr>
        <w:t>乙方</w:t>
      </w:r>
      <w:r>
        <w:rPr>
          <w:rFonts w:hint="eastAsia" w:ascii="仿宋" w:hAnsi="仿宋" w:eastAsia="仿宋" w:cs="仿宋"/>
          <w:b w:val="0"/>
          <w:bCs w:val="0"/>
          <w:color w:val="auto"/>
          <w:sz w:val="24"/>
          <w:highlight w:val="none"/>
        </w:rPr>
        <w:t>以不影响伙食供应为前提尽快补送。</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bCs/>
          <w:color w:val="auto"/>
          <w:sz w:val="24"/>
          <w:highlight w:val="none"/>
        </w:rPr>
        <w:t>（三）</w:t>
      </w:r>
      <w:r>
        <w:rPr>
          <w:rFonts w:hint="eastAsia" w:ascii="仿宋" w:hAnsi="仿宋" w:eastAsia="仿宋" w:cs="仿宋"/>
          <w:b/>
          <w:bCs/>
          <w:color w:val="auto"/>
          <w:sz w:val="24"/>
          <w:highlight w:val="none"/>
          <w:lang w:eastAsia="zh-CN"/>
        </w:rPr>
        <w:t>乙方</w:t>
      </w:r>
      <w:r>
        <w:rPr>
          <w:rFonts w:hint="eastAsia" w:ascii="仿宋" w:hAnsi="仿宋" w:eastAsia="仿宋" w:cs="仿宋"/>
          <w:b/>
          <w:bCs/>
          <w:color w:val="auto"/>
          <w:sz w:val="24"/>
          <w:highlight w:val="none"/>
        </w:rPr>
        <w:t>供应情况记录</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建立</w:t>
      </w:r>
      <w:r>
        <w:rPr>
          <w:rFonts w:hint="eastAsia" w:ascii="仿宋" w:hAnsi="仿宋" w:eastAsia="仿宋" w:cs="仿宋"/>
          <w:b w:val="0"/>
          <w:bCs w:val="0"/>
          <w:color w:val="auto"/>
          <w:sz w:val="24"/>
          <w:highlight w:val="none"/>
          <w:lang w:eastAsia="zh-CN"/>
        </w:rPr>
        <w:t>乙方</w:t>
      </w:r>
      <w:r>
        <w:rPr>
          <w:rFonts w:hint="eastAsia" w:ascii="仿宋" w:hAnsi="仿宋" w:eastAsia="仿宋" w:cs="仿宋"/>
          <w:b w:val="0"/>
          <w:bCs w:val="0"/>
          <w:color w:val="auto"/>
          <w:sz w:val="24"/>
          <w:highlight w:val="none"/>
        </w:rPr>
        <w:t>供应情况记录本，详细记录供应情况及相关的意见和建议。</w:t>
      </w:r>
    </w:p>
    <w:p>
      <w:pPr>
        <w:keepNext w:val="0"/>
        <w:keepLines w:val="0"/>
        <w:pageBreakBefore w:val="0"/>
        <w:widowControl w:val="0"/>
        <w:numPr>
          <w:ilvl w:val="0"/>
          <w:numId w:val="0"/>
        </w:numPr>
        <w:kinsoku/>
        <w:wordWrap/>
        <w:overflowPunct/>
        <w:topLinePunct w:val="0"/>
        <w:bidi w:val="0"/>
        <w:adjustRightInd w:val="0"/>
        <w:snapToGrid w:val="0"/>
        <w:spacing w:before="0" w:line="440" w:lineRule="exact"/>
        <w:ind w:firstLine="482" w:firstLineChars="200"/>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lang w:val="en-US" w:eastAsia="zh-CN" w:bidi="ar-SA"/>
        </w:rPr>
        <w:t>十、付款方式及</w:t>
      </w:r>
      <w:r>
        <w:rPr>
          <w:rFonts w:hint="eastAsia" w:ascii="仿宋" w:hAnsi="仿宋" w:eastAsia="仿宋" w:cs="仿宋"/>
          <w:b/>
          <w:bCs/>
          <w:color w:val="auto"/>
          <w:kern w:val="2"/>
          <w:sz w:val="24"/>
          <w:szCs w:val="24"/>
          <w:highlight w:val="none"/>
          <w:lang w:val="en-US" w:eastAsia="zh-CN" w:bidi="ar-SA"/>
        </w:rPr>
        <w:t>履约保证金</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
          <w:bCs w:val="0"/>
          <w:color w:val="auto"/>
          <w:kern w:val="28"/>
          <w:sz w:val="24"/>
          <w:szCs w:val="24"/>
          <w:lang w:val="en-US" w:eastAsia="zh-CN"/>
        </w:rPr>
        <w:t>付款方式</w:t>
      </w:r>
      <w:r>
        <w:rPr>
          <w:rFonts w:hint="eastAsia" w:ascii="仿宋" w:hAnsi="仿宋" w:eastAsia="仿宋" w:cs="仿宋"/>
          <w:bCs/>
          <w:color w:val="auto"/>
          <w:kern w:val="28"/>
          <w:sz w:val="24"/>
          <w:szCs w:val="24"/>
          <w:lang w:val="en-US" w:eastAsia="zh-CN"/>
        </w:rPr>
        <w:t>：</w:t>
      </w:r>
      <w:r>
        <w:rPr>
          <w:rFonts w:hint="eastAsia" w:ascii="仿宋" w:hAnsi="仿宋" w:eastAsia="仿宋" w:cs="仿宋"/>
          <w:bCs/>
          <w:color w:val="auto"/>
          <w:kern w:val="28"/>
          <w:sz w:val="24"/>
          <w:szCs w:val="24"/>
          <w:lang w:val="en-US" w:eastAsia="zh-CN" w:bidi="ar-SA"/>
        </w:rPr>
        <w:t>1.</w:t>
      </w:r>
      <w:r>
        <w:rPr>
          <w:rFonts w:hint="eastAsia" w:ascii="仿宋" w:hAnsi="仿宋" w:eastAsia="仿宋" w:cs="仿宋"/>
          <w:bCs/>
          <w:color w:val="auto"/>
          <w:kern w:val="28"/>
          <w:sz w:val="24"/>
          <w:szCs w:val="24"/>
          <w:lang w:val="en-US" w:eastAsia="zh-CN"/>
        </w:rPr>
        <w:t>合同货款及费用的结算：由乙方凭供货清单(详细的物品结算清单及结算依据)及正式的税务发票，并与甲方的收货清单核对无误后，在次月10日前向采购人申请结算。</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bCs/>
          <w:color w:val="auto"/>
          <w:kern w:val="28"/>
          <w:sz w:val="24"/>
          <w:szCs w:val="24"/>
          <w:lang w:val="en-US" w:eastAsia="zh-CN"/>
        </w:rPr>
        <w:t>2.</w:t>
      </w:r>
      <w:r>
        <w:rPr>
          <w:rFonts w:hint="eastAsia" w:ascii="仿宋" w:hAnsi="仿宋" w:eastAsia="仿宋" w:cs="仿宋"/>
          <w:color w:val="auto"/>
          <w:kern w:val="0"/>
          <w:sz w:val="24"/>
          <w:szCs w:val="24"/>
          <w:highlight w:val="none"/>
        </w:rPr>
        <w:t>结算额度：当月产生的货款将于次月25号（遇有节假日顺延）前结清。在年底或年初所产生的资金拨付不及时，有可能影响货款的及时结算，应属正常情况</w:t>
      </w:r>
      <w:r>
        <w:rPr>
          <w:rFonts w:hint="eastAsia" w:ascii="仿宋" w:hAnsi="仿宋" w:eastAsia="仿宋" w:cs="仿宋"/>
          <w:color w:val="auto"/>
          <w:kern w:val="0"/>
          <w:sz w:val="24"/>
          <w:szCs w:val="24"/>
          <w:highlight w:val="none"/>
          <w:lang w:eastAsia="zh-CN"/>
        </w:rPr>
        <w:t>。</w:t>
      </w:r>
    </w:p>
    <w:p>
      <w:pPr>
        <w:pStyle w:val="9"/>
        <w:keepNext w:val="0"/>
        <w:keepLines w:val="0"/>
        <w:pageBreakBefore w:val="0"/>
        <w:numPr>
          <w:ilvl w:val="-1"/>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合同价款的结算方式：每月结算价=基准</w:t>
      </w:r>
      <w:r>
        <w:rPr>
          <w:rFonts w:hint="eastAsia" w:ascii="仿宋" w:hAnsi="仿宋" w:eastAsia="仿宋" w:cs="仿宋"/>
          <w:color w:val="auto"/>
          <w:kern w:val="0"/>
          <w:sz w:val="24"/>
          <w:szCs w:val="24"/>
          <w:highlight w:val="none"/>
          <w:lang w:val="en-US" w:eastAsia="zh-CN"/>
        </w:rPr>
        <w:t>价</w:t>
      </w:r>
      <w:r>
        <w:rPr>
          <w:rFonts w:hint="eastAsia" w:ascii="仿宋" w:hAnsi="仿宋" w:eastAsia="仿宋" w:cs="仿宋"/>
          <w:color w:val="auto"/>
          <w:kern w:val="0"/>
          <w:sz w:val="24"/>
          <w:szCs w:val="24"/>
          <w:highlight w:val="none"/>
        </w:rPr>
        <w:t>×中标折扣率×实际数量。</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
          <w:bCs/>
          <w:color w:val="auto"/>
          <w:kern w:val="0"/>
          <w:sz w:val="24"/>
          <w:szCs w:val="24"/>
          <w:highlight w:val="none"/>
          <w:lang w:eastAsia="zh-CN"/>
        </w:rPr>
        <w:t>发票要求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bCs/>
          <w:color w:val="auto"/>
          <w:kern w:val="28"/>
          <w:sz w:val="24"/>
          <w:szCs w:val="24"/>
          <w:lang w:val="en-US" w:eastAsia="zh-CN"/>
        </w:rPr>
        <w:t>1.乙方应在甲方支付费用前，依据相应的金额，向甲方提供足额且符合甲方要求的税务发票。甲方在收到乙方提供的发票后在合同约定的时间支付相应款项，否则甲方有权延迟支付相应费用而不被视为违约，亦无须承担任何违约责任。</w:t>
      </w:r>
    </w:p>
    <w:p>
      <w:pPr>
        <w:pStyle w:val="9"/>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bidi="ar-SA"/>
        </w:rPr>
        <w:t>2.</w:t>
      </w:r>
      <w:r>
        <w:rPr>
          <w:rFonts w:hint="eastAsia" w:ascii="仿宋" w:hAnsi="仿宋" w:eastAsia="仿宋" w:cs="仿宋"/>
          <w:bCs/>
          <w:color w:val="auto"/>
          <w:kern w:val="28"/>
          <w:sz w:val="24"/>
          <w:szCs w:val="24"/>
          <w:lang w:val="en-US" w:eastAsia="zh-CN"/>
        </w:rPr>
        <w:t>本项目合同签署的乙方名称与发票开具单位及收款单位一致，乙方不得以其他理由在合同执行过程中要求调整发票开具单位或收款单位（依法变更单位名称除外），否则视为乙方违约并自行承担相关责任，且须承担由此对甲方造成的一切损失。</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textAlignment w:val="auto"/>
        <w:rPr>
          <w:rFonts w:hint="eastAsia"/>
          <w:lang w:val="en-US" w:eastAsia="zh-CN"/>
        </w:rPr>
      </w:pPr>
      <w:r>
        <w:rPr>
          <w:rFonts w:hint="eastAsia" w:ascii="仿宋" w:hAnsi="仿宋" w:eastAsia="仿宋" w:cs="仿宋"/>
          <w:b/>
          <w:bCs w:val="0"/>
          <w:color w:val="auto"/>
          <w:kern w:val="28"/>
          <w:sz w:val="24"/>
          <w:szCs w:val="24"/>
          <w:lang w:val="en-US" w:eastAsia="zh-CN"/>
        </w:rPr>
        <w:t>履约保证金：</w:t>
      </w:r>
      <w:r>
        <w:rPr>
          <w:rFonts w:hint="eastAsia" w:ascii="仿宋" w:hAnsi="仿宋" w:eastAsia="仿宋" w:cs="仿宋"/>
          <w:bCs/>
          <w:color w:val="auto"/>
          <w:kern w:val="28"/>
          <w:sz w:val="24"/>
          <w:szCs w:val="24"/>
          <w:lang w:val="en-US" w:eastAsia="zh-CN"/>
        </w:rPr>
        <w:t>中标通知书发出后10个工作日内，乙方需向甲方缴纳17万元的履约保证金，服务期满后无违约问题15个工作日内无息退回。</w:t>
      </w:r>
    </w:p>
    <w:p>
      <w:pPr>
        <w:pStyle w:val="9"/>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b/>
          <w:bCs/>
          <w:lang w:val="en-US" w:eastAsia="zh-CN"/>
        </w:rPr>
      </w:pPr>
      <w:r>
        <w:rPr>
          <w:rFonts w:hint="eastAsia" w:ascii="仿宋" w:hAnsi="仿宋" w:eastAsia="仿宋" w:cs="仿宋"/>
          <w:b/>
          <w:bCs/>
          <w:color w:val="auto"/>
          <w:kern w:val="2"/>
          <w:sz w:val="24"/>
          <w:szCs w:val="24"/>
          <w:highlight w:val="none"/>
          <w:lang w:val="en-US" w:eastAsia="zh-CN" w:bidi="ar-SA"/>
        </w:rPr>
        <w:t>十一、食品安全责任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kern w:val="0"/>
          <w:sz w:val="24"/>
          <w:lang w:val="en-US" w:eastAsia="zh-CN"/>
        </w:rPr>
      </w:pPr>
      <w:r>
        <w:rPr>
          <w:rFonts w:hint="eastAsia" w:ascii="仿宋" w:hAnsi="仿宋" w:eastAsia="仿宋" w:cs="仿宋"/>
          <w:bCs/>
          <w:color w:val="auto"/>
          <w:kern w:val="28"/>
          <w:sz w:val="24"/>
          <w:szCs w:val="24"/>
          <w:lang w:val="en-US" w:eastAsia="zh-CN"/>
        </w:rPr>
        <w:t>乙方对所提供商品的安全质量负责，并承担因质量问题的引起的一切法律责任以及赔偿责任。签订合同后，乙方需购买食品安全责任险。</w:t>
      </w:r>
    </w:p>
    <w:p>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十二、其他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1.甲方保留因政府政策性调整或规划调整等原因对上述所列招标内容作调整的权利,乙方须无条件接受招标人的调整。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Cs/>
          <w:color w:val="auto"/>
          <w:kern w:val="28"/>
          <w:sz w:val="24"/>
          <w:szCs w:val="24"/>
          <w:lang w:val="en-US" w:eastAsia="zh-CN"/>
        </w:rPr>
      </w:pPr>
      <w:r>
        <w:rPr>
          <w:rFonts w:hint="default" w:ascii="仿宋" w:hAnsi="仿宋" w:eastAsia="仿宋" w:cs="仿宋"/>
          <w:bCs/>
          <w:color w:val="auto"/>
          <w:kern w:val="28"/>
          <w:sz w:val="24"/>
          <w:szCs w:val="24"/>
          <w:lang w:val="en-US" w:eastAsia="zh-CN"/>
        </w:rPr>
        <w:t>2.如</w:t>
      </w:r>
      <w:r>
        <w:rPr>
          <w:rFonts w:hint="eastAsia" w:ascii="仿宋" w:hAnsi="仿宋" w:eastAsia="仿宋" w:cs="仿宋"/>
          <w:bCs/>
          <w:color w:val="auto"/>
          <w:kern w:val="28"/>
          <w:sz w:val="24"/>
          <w:szCs w:val="24"/>
          <w:lang w:val="en-US" w:eastAsia="zh-CN"/>
        </w:rPr>
        <w:t>甲方</w:t>
      </w:r>
      <w:r>
        <w:rPr>
          <w:rFonts w:hint="default" w:ascii="仿宋" w:hAnsi="仿宋" w:eastAsia="仿宋" w:cs="仿宋"/>
          <w:bCs/>
          <w:color w:val="auto"/>
          <w:kern w:val="28"/>
          <w:sz w:val="24"/>
          <w:szCs w:val="24"/>
          <w:lang w:val="en-US" w:eastAsia="zh-CN"/>
        </w:rPr>
        <w:t>因政策变动或上级要求，</w:t>
      </w:r>
      <w:r>
        <w:rPr>
          <w:rFonts w:hint="eastAsia" w:ascii="仿宋" w:hAnsi="仿宋" w:eastAsia="仿宋" w:cs="仿宋"/>
          <w:bCs/>
          <w:color w:val="auto"/>
          <w:kern w:val="28"/>
          <w:sz w:val="24"/>
          <w:szCs w:val="24"/>
          <w:lang w:val="en-US" w:eastAsia="zh-CN"/>
        </w:rPr>
        <w:t>乙方</w:t>
      </w:r>
      <w:r>
        <w:rPr>
          <w:rFonts w:hint="default" w:ascii="仿宋" w:hAnsi="仿宋" w:eastAsia="仿宋" w:cs="仿宋"/>
          <w:bCs/>
          <w:color w:val="auto"/>
          <w:kern w:val="28"/>
          <w:sz w:val="24"/>
          <w:szCs w:val="24"/>
          <w:lang w:val="en-US" w:eastAsia="zh-CN"/>
        </w:rPr>
        <w:t>的服务需采购人自行完成，</w:t>
      </w:r>
      <w:r>
        <w:rPr>
          <w:rFonts w:hint="eastAsia" w:ascii="仿宋" w:hAnsi="仿宋" w:eastAsia="仿宋" w:cs="仿宋"/>
          <w:bCs/>
          <w:color w:val="auto"/>
          <w:kern w:val="28"/>
          <w:sz w:val="24"/>
          <w:szCs w:val="24"/>
          <w:lang w:val="en-US" w:eastAsia="zh-CN"/>
        </w:rPr>
        <w:t>甲方</w:t>
      </w:r>
      <w:r>
        <w:rPr>
          <w:rFonts w:hint="default" w:ascii="仿宋" w:hAnsi="仿宋" w:eastAsia="仿宋" w:cs="仿宋"/>
          <w:bCs/>
          <w:color w:val="auto"/>
          <w:kern w:val="28"/>
          <w:sz w:val="24"/>
          <w:szCs w:val="24"/>
          <w:lang w:val="en-US" w:eastAsia="zh-CN"/>
        </w:rPr>
        <w:t>有权提前一个月通知</w:t>
      </w:r>
      <w:r>
        <w:rPr>
          <w:rFonts w:hint="eastAsia" w:ascii="仿宋" w:hAnsi="仿宋" w:eastAsia="仿宋" w:cs="仿宋"/>
          <w:bCs/>
          <w:color w:val="auto"/>
          <w:kern w:val="28"/>
          <w:sz w:val="24"/>
          <w:szCs w:val="24"/>
          <w:lang w:val="en-US" w:eastAsia="zh-CN"/>
        </w:rPr>
        <w:t>乙方</w:t>
      </w:r>
      <w:r>
        <w:rPr>
          <w:rFonts w:hint="default" w:ascii="仿宋" w:hAnsi="仿宋" w:eastAsia="仿宋" w:cs="仿宋"/>
          <w:bCs/>
          <w:color w:val="auto"/>
          <w:kern w:val="28"/>
          <w:sz w:val="24"/>
          <w:szCs w:val="24"/>
          <w:lang w:val="en-US" w:eastAsia="zh-CN"/>
        </w:rPr>
        <w:t>终止合同，</w:t>
      </w:r>
      <w:r>
        <w:rPr>
          <w:rFonts w:hint="eastAsia" w:ascii="仿宋" w:hAnsi="仿宋" w:eastAsia="仿宋" w:cs="仿宋"/>
          <w:bCs/>
          <w:color w:val="auto"/>
          <w:kern w:val="28"/>
          <w:sz w:val="24"/>
          <w:szCs w:val="24"/>
          <w:lang w:val="en-US" w:eastAsia="zh-CN"/>
        </w:rPr>
        <w:t>乙方</w:t>
      </w:r>
      <w:r>
        <w:rPr>
          <w:rFonts w:hint="default" w:ascii="仿宋" w:hAnsi="仿宋" w:eastAsia="仿宋" w:cs="仿宋"/>
          <w:bCs/>
          <w:color w:val="auto"/>
          <w:kern w:val="28"/>
          <w:sz w:val="24"/>
          <w:szCs w:val="24"/>
          <w:lang w:val="en-US" w:eastAsia="zh-CN"/>
        </w:rPr>
        <w:t>应无条件服从。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auto"/>
          <w:kern w:val="28"/>
          <w:sz w:val="24"/>
          <w:szCs w:val="24"/>
          <w:lang w:val="en-US" w:eastAsia="zh-CN"/>
        </w:rPr>
      </w:pPr>
      <w:r>
        <w:rPr>
          <w:rFonts w:hint="default" w:ascii="仿宋" w:hAnsi="仿宋" w:eastAsia="仿宋" w:cs="仿宋"/>
          <w:bCs/>
          <w:color w:val="auto"/>
          <w:kern w:val="28"/>
          <w:sz w:val="24"/>
          <w:szCs w:val="24"/>
          <w:lang w:val="en-US" w:eastAsia="zh-CN"/>
        </w:rPr>
        <w:t>3.履约期间发生的安全与意外事件由</w:t>
      </w:r>
      <w:r>
        <w:rPr>
          <w:rFonts w:hint="eastAsia" w:ascii="仿宋" w:hAnsi="仿宋" w:eastAsia="仿宋" w:cs="仿宋"/>
          <w:bCs/>
          <w:color w:val="auto"/>
          <w:kern w:val="28"/>
          <w:sz w:val="24"/>
          <w:szCs w:val="24"/>
          <w:lang w:val="en-US" w:eastAsia="zh-CN"/>
        </w:rPr>
        <w:t>乙方</w:t>
      </w:r>
      <w:r>
        <w:rPr>
          <w:rFonts w:hint="default" w:ascii="仿宋" w:hAnsi="仿宋" w:eastAsia="仿宋" w:cs="仿宋"/>
          <w:bCs/>
          <w:color w:val="auto"/>
          <w:kern w:val="28"/>
          <w:sz w:val="24"/>
          <w:szCs w:val="24"/>
          <w:lang w:val="en-US" w:eastAsia="zh-CN"/>
        </w:rPr>
        <w:t>承担一切责任(经济和法律)，与</w:t>
      </w:r>
      <w:r>
        <w:rPr>
          <w:rFonts w:hint="eastAsia" w:ascii="仿宋" w:hAnsi="仿宋" w:eastAsia="仿宋" w:cs="仿宋"/>
          <w:bCs/>
          <w:color w:val="auto"/>
          <w:kern w:val="28"/>
          <w:sz w:val="24"/>
          <w:szCs w:val="24"/>
          <w:lang w:val="en-US" w:eastAsia="zh-CN"/>
        </w:rPr>
        <w:t>甲方</w:t>
      </w:r>
      <w:r>
        <w:rPr>
          <w:rFonts w:hint="default" w:ascii="仿宋" w:hAnsi="仿宋" w:eastAsia="仿宋" w:cs="仿宋"/>
          <w:bCs/>
          <w:color w:val="auto"/>
          <w:kern w:val="28"/>
          <w:sz w:val="24"/>
          <w:szCs w:val="24"/>
          <w:lang w:val="en-US" w:eastAsia="zh-CN"/>
        </w:rPr>
        <w:t>无关。</w:t>
      </w:r>
    </w:p>
    <w:p>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lang w:eastAsia="zh-CN"/>
        </w:rPr>
        <w:t>十三、</w:t>
      </w:r>
      <w:r>
        <w:rPr>
          <w:rFonts w:hint="eastAsia" w:ascii="仿宋" w:hAnsi="仿宋" w:eastAsia="仿宋" w:cs="仿宋"/>
          <w:b/>
          <w:bCs/>
          <w:color w:val="auto"/>
          <w:kern w:val="0"/>
          <w:sz w:val="24"/>
          <w:highlight w:val="none"/>
          <w:lang w:val="en-US" w:eastAsia="zh-CN"/>
        </w:rPr>
        <w:t>考核</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Cs/>
          <w:color w:val="auto"/>
          <w:kern w:val="28"/>
          <w:sz w:val="24"/>
          <w:szCs w:val="24"/>
          <w:highlight w:val="none"/>
          <w:lang w:val="en-US" w:eastAsia="zh-CN"/>
        </w:rPr>
        <w:t>乙方需要接受甲方的考核，具体考核办法另拟。</w:t>
      </w:r>
    </w:p>
    <w:p>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rPr>
      </w:pPr>
      <w:r>
        <w:rPr>
          <w:rFonts w:hint="eastAsia" w:ascii="仿宋" w:hAnsi="仿宋" w:eastAsia="仿宋" w:cs="仿宋"/>
          <w:b/>
          <w:bCs/>
          <w:color w:val="auto"/>
          <w:kern w:val="0"/>
          <w:sz w:val="24"/>
          <w:lang w:eastAsia="zh-CN"/>
        </w:rPr>
        <w:t>十四、</w:t>
      </w:r>
      <w:r>
        <w:rPr>
          <w:rFonts w:hint="eastAsia" w:ascii="仿宋" w:hAnsi="仿宋" w:eastAsia="仿宋" w:cs="仿宋"/>
          <w:b/>
          <w:bCs/>
          <w:color w:val="auto"/>
          <w:kern w:val="0"/>
          <w:sz w:val="24"/>
        </w:rPr>
        <w:t>税费</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kern w:val="0"/>
          <w:sz w:val="24"/>
        </w:rPr>
      </w:pPr>
      <w:r>
        <w:rPr>
          <w:rFonts w:hint="eastAsia" w:ascii="仿宋" w:hAnsi="仿宋" w:eastAsia="仿宋" w:cs="仿宋"/>
          <w:color w:val="auto"/>
          <w:kern w:val="0"/>
          <w:sz w:val="24"/>
        </w:rPr>
        <w:t>本合同执行中相关的一切税费均由乙方负担。</w:t>
      </w:r>
    </w:p>
    <w:p>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rPr>
      </w:pPr>
      <w:r>
        <w:rPr>
          <w:rFonts w:hint="eastAsia" w:ascii="仿宋" w:hAnsi="仿宋" w:eastAsia="仿宋" w:cs="仿宋"/>
          <w:b/>
          <w:bCs/>
          <w:color w:val="auto"/>
          <w:kern w:val="0"/>
          <w:sz w:val="24"/>
        </w:rPr>
        <w:t>十</w:t>
      </w:r>
      <w:r>
        <w:rPr>
          <w:rFonts w:hint="eastAsia" w:ascii="仿宋" w:hAnsi="仿宋" w:eastAsia="仿宋" w:cs="仿宋"/>
          <w:b/>
          <w:bCs/>
          <w:color w:val="auto"/>
          <w:kern w:val="0"/>
          <w:sz w:val="24"/>
          <w:lang w:val="en-US" w:eastAsia="zh-CN"/>
        </w:rPr>
        <w:t>五</w:t>
      </w:r>
      <w:r>
        <w:rPr>
          <w:rFonts w:hint="eastAsia" w:ascii="仿宋" w:hAnsi="仿宋" w:eastAsia="仿宋" w:cs="仿宋"/>
          <w:b/>
          <w:bCs/>
          <w:color w:val="auto"/>
          <w:kern w:val="0"/>
          <w:sz w:val="24"/>
        </w:rPr>
        <w:t>、不可抗力事件处理</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kern w:val="0"/>
          <w:sz w:val="24"/>
        </w:rPr>
      </w:pPr>
      <w:r>
        <w:rPr>
          <w:rFonts w:hint="eastAsia" w:ascii="仿宋" w:hAnsi="仿宋" w:eastAsia="仿宋" w:cs="仿宋"/>
          <w:color w:val="auto"/>
          <w:kern w:val="0"/>
          <w:sz w:val="24"/>
        </w:rPr>
        <w:t>1.在合同有效期内，任何一方因不可抗力事件导致不能履行合同，则合同履行期可延长，其延长期与不可抗力影响期相同。</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kern w:val="0"/>
          <w:sz w:val="24"/>
        </w:rPr>
      </w:pPr>
      <w:r>
        <w:rPr>
          <w:rFonts w:hint="eastAsia" w:ascii="仿宋" w:hAnsi="仿宋" w:eastAsia="仿宋" w:cs="仿宋"/>
          <w:color w:val="auto"/>
          <w:kern w:val="0"/>
          <w:sz w:val="24"/>
        </w:rPr>
        <w:t>2.不可抗力事件发生后，应立即通知对方，并寄送有关权威机构出具的证明。</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bCs/>
          <w:color w:val="auto"/>
          <w:kern w:val="0"/>
          <w:sz w:val="24"/>
        </w:rPr>
      </w:pPr>
      <w:r>
        <w:rPr>
          <w:rFonts w:hint="eastAsia" w:ascii="仿宋" w:hAnsi="仿宋" w:eastAsia="仿宋" w:cs="仿宋"/>
          <w:color w:val="auto"/>
          <w:kern w:val="0"/>
          <w:sz w:val="24"/>
        </w:rPr>
        <w:t>3.不可抗力事件延续120天以上，双方应通过友好协商，确定是否继续履行合同。</w:t>
      </w:r>
    </w:p>
    <w:p>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rPr>
      </w:pPr>
      <w:r>
        <w:rPr>
          <w:rFonts w:hint="eastAsia" w:ascii="仿宋" w:hAnsi="仿宋" w:eastAsia="仿宋" w:cs="仿宋"/>
          <w:b/>
          <w:bCs/>
          <w:color w:val="auto"/>
          <w:kern w:val="0"/>
          <w:sz w:val="24"/>
          <w:lang w:val="en-US" w:eastAsia="zh-CN"/>
        </w:rPr>
        <w:t>十六</w:t>
      </w:r>
      <w:r>
        <w:rPr>
          <w:rFonts w:hint="eastAsia" w:ascii="仿宋" w:hAnsi="仿宋" w:eastAsia="仿宋" w:cs="仿宋"/>
          <w:b/>
          <w:bCs/>
          <w:color w:val="auto"/>
          <w:kern w:val="0"/>
          <w:sz w:val="24"/>
        </w:rPr>
        <w:t>、合同争议的解决</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本合同履行过程中发生的任何争议，双方当事人均可通过和解或者调解解决;不愿和解、调解或者和解、调解不成的，可以选择以下第__条款规定的方式解决:</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1.将争议提交甲方所在地仲裁委员会依申请仲裁时其现行有效的仲裁规则裁决:</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2.向甲方所在地人民法院起诉。</w:t>
      </w:r>
    </w:p>
    <w:p>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val="0"/>
          <w:bCs w:val="0"/>
          <w:color w:val="auto"/>
          <w:kern w:val="0"/>
          <w:sz w:val="24"/>
        </w:rPr>
      </w:pPr>
      <w:r>
        <w:rPr>
          <w:rFonts w:hint="eastAsia" w:ascii="仿宋" w:hAnsi="仿宋" w:eastAsia="仿宋" w:cs="仿宋"/>
          <w:b/>
          <w:bCs/>
          <w:color w:val="auto"/>
          <w:kern w:val="0"/>
          <w:sz w:val="24"/>
          <w:lang w:val="en-US" w:eastAsia="zh-CN"/>
        </w:rPr>
        <w:t>十七</w:t>
      </w:r>
      <w:r>
        <w:rPr>
          <w:rFonts w:hint="eastAsia" w:ascii="仿宋" w:hAnsi="仿宋" w:eastAsia="仿宋" w:cs="仿宋"/>
          <w:b/>
          <w:bCs/>
          <w:color w:val="auto"/>
          <w:kern w:val="0"/>
          <w:sz w:val="24"/>
        </w:rPr>
        <w:t>、合同生效</w:t>
      </w:r>
    </w:p>
    <w:p>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lang w:val="en-US" w:eastAsia="zh-CN"/>
        </w:rPr>
        <w:t>1.</w:t>
      </w:r>
      <w:r>
        <w:rPr>
          <w:rFonts w:hint="eastAsia" w:ascii="仿宋" w:hAnsi="仿宋" w:eastAsia="仿宋" w:cs="仿宋"/>
          <w:b w:val="0"/>
          <w:bCs w:val="0"/>
          <w:color w:val="auto"/>
          <w:kern w:val="0"/>
          <w:sz w:val="24"/>
        </w:rPr>
        <w:t>合同经双方法定代表人或授权代表签字并加盖单位公章后生效。</w:t>
      </w:r>
    </w:p>
    <w:p>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2.合同执行中涉及采购资金和采购内容修改或补充的，须经</w:t>
      </w:r>
      <w:r>
        <w:rPr>
          <w:rFonts w:hint="eastAsia" w:ascii="仿宋" w:hAnsi="仿宋" w:eastAsia="仿宋" w:cs="仿宋"/>
          <w:b w:val="0"/>
          <w:bCs w:val="0"/>
          <w:color w:val="auto"/>
          <w:kern w:val="0"/>
          <w:sz w:val="24"/>
          <w:lang w:val="en-US" w:eastAsia="zh-CN"/>
        </w:rPr>
        <w:t>相关</w:t>
      </w:r>
      <w:r>
        <w:rPr>
          <w:rFonts w:hint="eastAsia" w:ascii="仿宋" w:hAnsi="仿宋" w:eastAsia="仿宋" w:cs="仿宋"/>
          <w:b w:val="0"/>
          <w:bCs w:val="0"/>
          <w:color w:val="auto"/>
          <w:kern w:val="0"/>
          <w:sz w:val="24"/>
        </w:rPr>
        <w:t>部门审批，并</w:t>
      </w:r>
      <w:r>
        <w:rPr>
          <w:rFonts w:hint="eastAsia" w:ascii="仿宋" w:hAnsi="仿宋" w:eastAsia="仿宋" w:cs="仿宋"/>
          <w:b w:val="0"/>
          <w:bCs w:val="0"/>
          <w:color w:val="auto"/>
          <w:kern w:val="0"/>
          <w:sz w:val="24"/>
          <w:lang w:eastAsia="zh-CN"/>
        </w:rPr>
        <w:t>签订</w:t>
      </w:r>
      <w:r>
        <w:rPr>
          <w:rFonts w:hint="eastAsia" w:ascii="仿宋" w:hAnsi="仿宋" w:eastAsia="仿宋" w:cs="仿宋"/>
          <w:b w:val="0"/>
          <w:bCs w:val="0"/>
          <w:color w:val="auto"/>
          <w:kern w:val="0"/>
          <w:sz w:val="24"/>
        </w:rPr>
        <w:t>书面补充协议报采购监督管理部门备案，方可作为主合同不可分割的一部分。</w:t>
      </w:r>
    </w:p>
    <w:p>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3.本合同未尽事宜，遵照《民法典》有关条文执行。</w:t>
      </w:r>
    </w:p>
    <w:p>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lang w:val="en-US" w:eastAsia="zh-CN"/>
        </w:rPr>
        <w:t>4</w:t>
      </w:r>
      <w:r>
        <w:rPr>
          <w:rFonts w:hint="eastAsia" w:ascii="仿宋" w:hAnsi="仿宋" w:eastAsia="仿宋" w:cs="仿宋"/>
          <w:b w:val="0"/>
          <w:bCs w:val="0"/>
          <w:color w:val="auto"/>
          <w:kern w:val="0"/>
          <w:sz w:val="24"/>
        </w:rPr>
        <w:t>.本合同</w:t>
      </w:r>
      <w:r>
        <w:rPr>
          <w:rFonts w:hint="eastAsia" w:ascii="仿宋" w:hAnsi="仿宋" w:eastAsia="仿宋" w:cs="仿宋"/>
          <w:b w:val="0"/>
          <w:bCs w:val="0"/>
          <w:color w:val="auto"/>
          <w:kern w:val="0"/>
          <w:sz w:val="24"/>
          <w:lang w:val="en-US" w:eastAsia="zh-CN"/>
        </w:rPr>
        <w:t>一式五份</w:t>
      </w:r>
      <w:r>
        <w:rPr>
          <w:rFonts w:hint="eastAsia" w:ascii="仿宋" w:hAnsi="仿宋" w:eastAsia="仿宋" w:cs="仿宋"/>
          <w:b w:val="0"/>
          <w:bCs w:val="0"/>
          <w:color w:val="auto"/>
          <w:kern w:val="0"/>
          <w:sz w:val="24"/>
        </w:rPr>
        <w:t>，具有同等法律效力，甲乙双方各执</w:t>
      </w:r>
      <w:r>
        <w:rPr>
          <w:rFonts w:hint="eastAsia" w:ascii="仿宋" w:hAnsi="仿宋" w:eastAsia="仿宋" w:cs="仿宋"/>
          <w:b w:val="0"/>
          <w:bCs w:val="0"/>
          <w:color w:val="auto"/>
          <w:kern w:val="0"/>
          <w:sz w:val="24"/>
          <w:lang w:val="en-US" w:eastAsia="zh-CN"/>
        </w:rPr>
        <w:t>二</w:t>
      </w:r>
      <w:r>
        <w:rPr>
          <w:rFonts w:hint="eastAsia" w:ascii="仿宋" w:hAnsi="仿宋" w:eastAsia="仿宋" w:cs="仿宋"/>
          <w:b w:val="0"/>
          <w:bCs w:val="0"/>
          <w:color w:val="auto"/>
          <w:kern w:val="0"/>
          <w:sz w:val="24"/>
        </w:rPr>
        <w:t>份，代理机构一份。</w:t>
      </w:r>
    </w:p>
    <w:p>
      <w:pPr>
        <w:pStyle w:val="14"/>
        <w:keepNext w:val="0"/>
        <w:keepLines w:val="0"/>
        <w:pageBreakBefore w:val="0"/>
        <w:widowControl w:val="0"/>
        <w:kinsoku/>
        <w:wordWrap/>
        <w:overflowPunct/>
        <w:topLinePunct w:val="0"/>
        <w:autoSpaceDE/>
        <w:autoSpaceDN/>
        <w:bidi w:val="0"/>
        <w:adjustRightInd/>
        <w:snapToGrid w:val="0"/>
        <w:spacing w:before="0" w:beforeLines="500" w:after="0" w:afterLines="0" w:line="48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                                   乙方： </w:t>
      </w:r>
    </w:p>
    <w:p>
      <w:pPr>
        <w:pStyle w:val="14"/>
        <w:keepNext w:val="0"/>
        <w:keepLines w:val="0"/>
        <w:pageBreakBefore w:val="0"/>
        <w:widowControl w:val="0"/>
        <w:kinsoku/>
        <w:wordWrap/>
        <w:overflowPunct/>
        <w:topLinePunct w:val="0"/>
        <w:autoSpaceDE/>
        <w:autoSpaceDN/>
        <w:bidi w:val="0"/>
        <w:adjustRightInd/>
        <w:snapToGrid w:val="0"/>
        <w:spacing w:before="0" w:beforeLines="0" w:after="0" w:afterLines="0" w:line="48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地址： </w:t>
      </w:r>
    </w:p>
    <w:p>
      <w:pPr>
        <w:pStyle w:val="14"/>
        <w:keepNext w:val="0"/>
        <w:keepLines w:val="0"/>
        <w:pageBreakBefore w:val="0"/>
        <w:widowControl w:val="0"/>
        <w:kinsoku/>
        <w:wordWrap/>
        <w:overflowPunct/>
        <w:topLinePunct w:val="0"/>
        <w:autoSpaceDE/>
        <w:autoSpaceDN/>
        <w:bidi w:val="0"/>
        <w:adjustRightInd/>
        <w:snapToGrid w:val="0"/>
        <w:spacing w:before="0" w:beforeLines="0" w:after="0" w:afterLines="0" w:line="48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法定（授权）代表人：                     法定（授权）代表人：</w:t>
      </w:r>
    </w:p>
    <w:p>
      <w:pPr>
        <w:pStyle w:val="14"/>
        <w:keepNext w:val="0"/>
        <w:keepLines w:val="0"/>
        <w:pageBreakBefore w:val="0"/>
        <w:widowControl w:val="0"/>
        <w:kinsoku/>
        <w:wordWrap/>
        <w:overflowPunct/>
        <w:topLinePunct w:val="0"/>
        <w:autoSpaceDE/>
        <w:autoSpaceDN/>
        <w:bidi w:val="0"/>
        <w:adjustRightInd/>
        <w:snapToGrid w:val="0"/>
        <w:spacing w:before="0" w:beforeLines="0" w:after="0" w:afterLines="0" w:line="48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pPr>
        <w:pStyle w:val="14"/>
        <w:keepNext w:val="0"/>
        <w:keepLines w:val="0"/>
        <w:pageBreakBefore w:val="0"/>
        <w:widowControl w:val="0"/>
        <w:kinsoku/>
        <w:wordWrap/>
        <w:overflowPunct/>
        <w:topLinePunct w:val="0"/>
        <w:autoSpaceDE/>
        <w:autoSpaceDN/>
        <w:bidi w:val="0"/>
        <w:adjustRightInd/>
        <w:snapToGrid w:val="0"/>
        <w:spacing w:before="0" w:beforeLines="0" w:after="0" w:afterLines="0" w:line="48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账号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账号</w:t>
      </w:r>
      <w:r>
        <w:rPr>
          <w:rFonts w:hint="eastAsia" w:ascii="仿宋" w:hAnsi="仿宋" w:eastAsia="仿宋" w:cs="仿宋"/>
          <w:color w:val="auto"/>
          <w:sz w:val="24"/>
          <w:szCs w:val="24"/>
          <w:highlight w:val="none"/>
        </w:rPr>
        <w:t>：</w:t>
      </w:r>
    </w:p>
    <w:p>
      <w:pPr>
        <w:pStyle w:val="13"/>
        <w:shd w:val="clear" w:color="auto" w:fill="auto"/>
        <w:snapToGrid w:val="0"/>
        <w:spacing w:line="360" w:lineRule="auto"/>
        <w:ind w:firstLine="0" w:firstLineChars="0"/>
        <w:jc w:val="center"/>
        <w:rPr>
          <w:rFonts w:hint="eastAsia" w:ascii="仿宋" w:hAnsi="仿宋" w:eastAsia="仿宋" w:cs="仿宋"/>
          <w:b/>
          <w:color w:val="auto"/>
          <w:sz w:val="36"/>
          <w:szCs w:val="20"/>
          <w:highlight w:val="none"/>
          <w:lang w:val="en-US"/>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签字日期：      年  月  日               签字日期：      年</w:t>
      </w:r>
      <w:r>
        <w:rPr>
          <w:rFonts w:hint="eastAsia" w:ascii="仿宋" w:hAnsi="仿宋" w:eastAsia="仿宋" w:cs="仿宋"/>
          <w:color w:val="auto"/>
          <w:sz w:val="24"/>
          <w:szCs w:val="24"/>
          <w:highlight w:val="none"/>
          <w:lang w:val="en-US" w:eastAsia="zh-CN"/>
        </w:rPr>
        <w:t xml:space="preserve">   月   日</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color w:val="auto"/>
          <w:sz w:val="24"/>
          <w:szCs w:val="24"/>
          <w:highlight w:val="none"/>
        </w:rPr>
      </w:pPr>
    </w:p>
    <w:bookmarkEnd w:id="275"/>
    <w:p>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pPr>
        <w:pStyle w:val="14"/>
        <w:snapToGrid w:val="0"/>
        <w:spacing w:line="360" w:lineRule="auto"/>
        <w:ind w:left="61" w:leftChars="29" w:firstLine="452" w:firstLineChars="125"/>
        <w:jc w:val="center"/>
        <w:outlineLvl w:val="0"/>
        <w:rPr>
          <w:rFonts w:hint="eastAsia" w:ascii="仿宋" w:hAnsi="仿宋" w:eastAsia="仿宋" w:cs="仿宋"/>
          <w:b/>
          <w:color w:val="auto"/>
          <w:highlight w:val="none"/>
        </w:rPr>
      </w:pPr>
      <w:bookmarkStart w:id="276" w:name="_Toc29273"/>
      <w:r>
        <w:rPr>
          <w:rFonts w:hint="eastAsia" w:ascii="仿宋" w:hAnsi="仿宋" w:eastAsia="仿宋" w:cs="仿宋"/>
          <w:b/>
          <w:color w:val="auto"/>
          <w:sz w:val="36"/>
          <w:szCs w:val="36"/>
          <w:highlight w:val="none"/>
        </w:rPr>
        <w:t>第六部分 投标文件格式</w:t>
      </w:r>
      <w:bookmarkEnd w:id="276"/>
    </w:p>
    <w:p>
      <w:pPr>
        <w:spacing w:before="120" w:beforeLines="50" w:after="50"/>
        <w:ind w:right="600" w:firstLine="562"/>
        <w:outlineLvl w:val="9"/>
        <w:rPr>
          <w:rFonts w:hint="eastAsia" w:ascii="仿宋" w:hAnsi="仿宋" w:eastAsia="仿宋" w:cs="仿宋"/>
          <w:b/>
          <w:color w:val="auto"/>
          <w:sz w:val="28"/>
          <w:szCs w:val="28"/>
          <w:highlight w:val="none"/>
        </w:rPr>
      </w:pPr>
      <w:bookmarkStart w:id="277" w:name="_Toc517896534"/>
      <w:bookmarkStart w:id="278" w:name="_Toc13239043"/>
      <w:r>
        <w:rPr>
          <w:rFonts w:hint="eastAsia" w:ascii="仿宋" w:hAnsi="仿宋" w:eastAsia="仿宋" w:cs="仿宋"/>
          <w:b/>
          <w:color w:val="auto"/>
          <w:sz w:val="28"/>
          <w:szCs w:val="28"/>
          <w:highlight w:val="none"/>
        </w:rPr>
        <w:t>附件1：</w:t>
      </w:r>
      <w:bookmarkEnd w:id="277"/>
      <w:bookmarkEnd w:id="278"/>
    </w:p>
    <w:p>
      <w:pPr>
        <w:snapToGrid w:val="0"/>
        <w:spacing w:before="50" w:after="50"/>
        <w:ind w:left="0" w:leftChars="0" w:firstLine="0" w:firstLineChars="0"/>
        <w:jc w:val="cente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评分索引表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1510"/>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0" w:type="dxa"/>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10" w:type="dxa"/>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w:t>
            </w:r>
          </w:p>
        </w:tc>
        <w:tc>
          <w:tcPr>
            <w:tcW w:w="1510" w:type="dxa"/>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评分方法</w:t>
            </w:r>
          </w:p>
        </w:tc>
        <w:tc>
          <w:tcPr>
            <w:tcW w:w="1510" w:type="dxa"/>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1510" w:type="dxa"/>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对应页码</w:t>
            </w:r>
          </w:p>
        </w:tc>
        <w:tc>
          <w:tcPr>
            <w:tcW w:w="1510" w:type="dxa"/>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c>
          <w:tcPr>
            <w:tcW w:w="1510" w:type="dxa"/>
          </w:tcPr>
          <w:p>
            <w:pPr>
              <w:snapToGrid w:val="0"/>
              <w:spacing w:before="50" w:after="50"/>
              <w:jc w:val="left"/>
              <w:outlineLvl w:val="9"/>
              <w:rPr>
                <w:rFonts w:hint="eastAsia" w:ascii="仿宋" w:hAnsi="仿宋" w:eastAsia="仿宋" w:cs="仿宋"/>
                <w:b/>
                <w:color w:val="auto"/>
                <w:sz w:val="28"/>
                <w:szCs w:val="28"/>
                <w:highlight w:val="none"/>
                <w:vertAlign w:val="baseline"/>
              </w:rPr>
            </w:pPr>
          </w:p>
        </w:tc>
      </w:tr>
    </w:tbl>
    <w:p>
      <w:pPr>
        <w:spacing w:before="120" w:beforeLines="50" w:after="50"/>
        <w:ind w:right="600" w:firstLine="562"/>
        <w:outlineLvl w:val="9"/>
        <w:rPr>
          <w:rFonts w:hint="eastAsia" w:ascii="仿宋" w:hAnsi="仿宋" w:eastAsia="仿宋" w:cs="仿宋"/>
          <w:b/>
          <w:color w:val="auto"/>
          <w:sz w:val="28"/>
          <w:szCs w:val="28"/>
          <w:highlight w:val="none"/>
        </w:rPr>
      </w:pPr>
      <w:r>
        <w:rPr>
          <w:rFonts w:hint="eastAsia" w:ascii="仿宋" w:hAnsi="仿宋" w:eastAsia="仿宋" w:cs="仿宋"/>
          <w:b w:val="0"/>
          <w:bCs/>
          <w:color w:val="auto"/>
          <w:sz w:val="24"/>
          <w:szCs w:val="24"/>
          <w:highlight w:val="none"/>
        </w:rPr>
        <w:t>对应</w:t>
      </w:r>
      <w:r>
        <w:rPr>
          <w:rFonts w:hint="eastAsia" w:ascii="仿宋" w:hAnsi="仿宋" w:eastAsia="仿宋" w:cs="仿宋"/>
          <w:b w:val="0"/>
          <w:bCs/>
          <w:color w:val="auto"/>
          <w:sz w:val="24"/>
          <w:szCs w:val="24"/>
          <w:highlight w:val="none"/>
          <w:lang w:val="en-US" w:eastAsia="zh-CN"/>
        </w:rPr>
        <w:t>第四章</w:t>
      </w:r>
      <w:r>
        <w:rPr>
          <w:rFonts w:hint="eastAsia" w:ascii="仿宋" w:hAnsi="仿宋" w:eastAsia="仿宋" w:cs="仿宋"/>
          <w:b w:val="0"/>
          <w:bCs/>
          <w:color w:val="auto"/>
          <w:sz w:val="24"/>
          <w:szCs w:val="24"/>
          <w:highlight w:val="none"/>
        </w:rPr>
        <w:t>评审办法及评审标准（报价除外）</w:t>
      </w: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附件2：</w:t>
      </w:r>
    </w:p>
    <w:p>
      <w:pPr>
        <w:snapToGrid w:val="0"/>
        <w:spacing w:before="50" w:after="50"/>
        <w:ind w:firstLine="562"/>
        <w:jc w:val="cente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投标函</w:t>
      </w:r>
    </w:p>
    <w:p>
      <w:pPr>
        <w:snapToGrid w:val="0"/>
        <w:spacing w:before="120" w:beforeLines="50" w:after="50"/>
        <w:ind w:firstLine="480"/>
        <w:outlineLvl w:val="9"/>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eastAsia="zh-CN"/>
        </w:rPr>
        <w:t>嵊州市益嘉配送有限公司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绍兴平准招标代理有限公司</w:t>
      </w:r>
    </w:p>
    <w:p>
      <w:pPr>
        <w:snapToGrid w:val="0"/>
        <w:spacing w:before="120" w:beforeLines="50" w:after="50"/>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rPr>
        <w:t>系中华人民共和国合法企业，经营地址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napToGrid w:val="0"/>
        <w:spacing w:before="120" w:beforeLines="50" w:after="50"/>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rPr>
        <w:t>的法定代表人，我方愿意参加贵方组织的</w:t>
      </w:r>
      <w:r>
        <w:rPr>
          <w:rFonts w:hint="eastAsia" w:ascii="仿宋" w:hAnsi="仿宋" w:eastAsia="仿宋" w:cs="仿宋"/>
          <w:color w:val="auto"/>
          <w:sz w:val="24"/>
          <w:szCs w:val="24"/>
          <w:highlight w:val="none"/>
          <w:u w:val="single"/>
        </w:rPr>
        <w:t>（招标项目名称）（编号为：    ）</w:t>
      </w:r>
      <w:r>
        <w:rPr>
          <w:rFonts w:hint="eastAsia" w:ascii="仿宋" w:hAnsi="仿宋" w:eastAsia="仿宋" w:cs="仿宋"/>
          <w:color w:val="auto"/>
          <w:sz w:val="24"/>
          <w:szCs w:val="24"/>
          <w:highlight w:val="none"/>
        </w:rPr>
        <w:t>的投标，为此，我方就本次投标有关事项郑重声明如下：</w:t>
      </w:r>
    </w:p>
    <w:p>
      <w:pPr>
        <w:snapToGrid w:val="0"/>
        <w:spacing w:before="120" w:beforeLines="50" w:after="50"/>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1.投标方已详细审查全部招标文件，同意招标文件的各项要求。</w:t>
      </w:r>
    </w:p>
    <w:p>
      <w:pPr>
        <w:snapToGrid w:val="0"/>
        <w:spacing w:before="120" w:beforeLines="50" w:after="50"/>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2.我方向贵方提交的所有投标文件、资料都是准确的和真实的。</w:t>
      </w:r>
    </w:p>
    <w:p>
      <w:pPr>
        <w:snapToGrid w:val="0"/>
        <w:spacing w:before="120" w:beforeLines="50" w:after="50"/>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3.若中标，我方将按招标文件规定履行合同责任和义务。</w:t>
      </w:r>
    </w:p>
    <w:p>
      <w:pPr>
        <w:snapToGrid w:val="0"/>
        <w:spacing w:before="120" w:beforeLines="50" w:after="50"/>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4.我方不是采购人的附属机构；在获知本项目采购信息后，与采购人聘请的为此项目提供咨询服务的公司及其附属机构没有任何联系。</w:t>
      </w:r>
    </w:p>
    <w:p>
      <w:pPr>
        <w:snapToGrid w:val="0"/>
        <w:spacing w:before="120" w:beforeLines="50" w:after="50"/>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5.投标书自开标日起有效期为90天。</w:t>
      </w:r>
    </w:p>
    <w:p>
      <w:pPr>
        <w:snapToGrid w:val="0"/>
        <w:spacing w:before="120" w:beforeLines="50" w:after="50"/>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6.以上事项如有虚假或隐瞒，我方愿意承担一切后果，并不再寻求任何旨在减轻或免除法律责任的辩解。</w:t>
      </w:r>
    </w:p>
    <w:p>
      <w:pPr>
        <w:pStyle w:val="22"/>
        <w:widowControl w:val="0"/>
        <w:tabs>
          <w:tab w:val="left" w:pos="939"/>
        </w:tabs>
        <w:snapToGrid w:val="0"/>
        <w:spacing w:before="0" w:line="360" w:lineRule="auto"/>
        <w:ind w:left="315" w:leftChars="150" w:firstLine="480" w:firstLineChars="200"/>
        <w:jc w:val="both"/>
        <w:outlineLvl w:val="9"/>
        <w:rPr>
          <w:rFonts w:hint="eastAsia" w:ascii="仿宋" w:hAnsi="仿宋" w:eastAsia="仿宋" w:cs="仿宋"/>
          <w:color w:val="auto"/>
          <w:kern w:val="2"/>
          <w:highlight w:val="none"/>
        </w:rPr>
      </w:pPr>
    </w:p>
    <w:p>
      <w:pPr>
        <w:pStyle w:val="49"/>
        <w:snapToGrid w:val="0"/>
        <w:spacing w:before="120" w:beforeLines="50" w:line="360" w:lineRule="auto"/>
        <w:ind w:firstLine="480" w:firstLineChars="200"/>
        <w:outlineLvl w:val="9"/>
        <w:rPr>
          <w:rFonts w:hint="eastAsia" w:ascii="仿宋" w:hAnsi="仿宋" w:eastAsia="仿宋" w:cs="仿宋"/>
          <w:color w:val="auto"/>
          <w:szCs w:val="24"/>
          <w:highlight w:val="none"/>
        </w:rPr>
      </w:pPr>
    </w:p>
    <w:p>
      <w:pPr>
        <w:snapToGrid w:val="0"/>
        <w:spacing w:before="120" w:beforeLines="50" w:after="50"/>
        <w:ind w:right="600" w:firstLine="48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法定代表人签名（或</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日 期：</w:t>
      </w:r>
      <w:r>
        <w:rPr>
          <w:rFonts w:hint="eastAsia" w:ascii="仿宋" w:hAnsi="仿宋" w:eastAsia="仿宋" w:cs="仿宋"/>
          <w:color w:val="auto"/>
          <w:sz w:val="24"/>
          <w:szCs w:val="24"/>
          <w:highlight w:val="none"/>
          <w:u w:val="single"/>
        </w:rPr>
        <w:t xml:space="preserve">          </w:t>
      </w:r>
    </w:p>
    <w:p>
      <w:pPr>
        <w:snapToGrid w:val="0"/>
        <w:spacing w:before="120" w:beforeLines="50"/>
        <w:ind w:firstLine="480"/>
        <w:outlineLvl w:val="9"/>
        <w:rPr>
          <w:rFonts w:hint="eastAsia" w:ascii="仿宋" w:hAnsi="仿宋" w:eastAsia="仿宋" w:cs="仿宋"/>
          <w:color w:val="auto"/>
          <w:sz w:val="24"/>
          <w:szCs w:val="24"/>
          <w:highlight w:val="none"/>
          <w:u w:val="single"/>
        </w:rPr>
      </w:pPr>
    </w:p>
    <w:p>
      <w:pPr>
        <w:snapToGrid w:val="0"/>
        <w:spacing w:before="120" w:beforeLines="50" w:after="50"/>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napToGrid w:val="0"/>
        <w:spacing w:before="120" w:beforeLines="50" w:after="50"/>
        <w:ind w:right="600" w:firstLine="562"/>
        <w:outlineLvl w:val="9"/>
        <w:rPr>
          <w:rFonts w:hint="eastAsia" w:ascii="仿宋" w:hAnsi="仿宋" w:eastAsia="仿宋" w:cs="仿宋"/>
          <w:b/>
          <w:color w:val="auto"/>
          <w:sz w:val="28"/>
          <w:szCs w:val="28"/>
          <w:highlight w:val="none"/>
        </w:rPr>
      </w:pPr>
    </w:p>
    <w:p>
      <w:pPr>
        <w:spacing w:before="120" w:beforeLines="50" w:after="50"/>
        <w:ind w:left="0" w:leftChars="0" w:right="600" w:firstLine="0" w:firstLineChars="0"/>
        <w:outlineLvl w:val="9"/>
        <w:rPr>
          <w:rFonts w:hint="eastAsia" w:ascii="仿宋" w:hAnsi="仿宋" w:eastAsia="仿宋" w:cs="仿宋"/>
          <w:b/>
          <w:color w:val="auto"/>
          <w:sz w:val="28"/>
          <w:szCs w:val="28"/>
          <w:highlight w:val="none"/>
        </w:rPr>
      </w:pPr>
      <w:r>
        <w:rPr>
          <w:rFonts w:hint="eastAsia" w:ascii="仿宋" w:hAnsi="仿宋" w:eastAsia="仿宋" w:cs="仿宋"/>
          <w:color w:val="auto"/>
          <w:sz w:val="30"/>
          <w:szCs w:val="30"/>
          <w:highlight w:val="none"/>
        </w:rPr>
        <w:br w:type="page"/>
      </w:r>
      <w:r>
        <w:rPr>
          <w:rFonts w:hint="eastAsia" w:ascii="仿宋" w:hAnsi="仿宋" w:eastAsia="仿宋" w:cs="仿宋"/>
          <w:b/>
          <w:color w:val="auto"/>
          <w:sz w:val="28"/>
          <w:szCs w:val="28"/>
          <w:highlight w:val="none"/>
        </w:rPr>
        <w:t>附件3：</w:t>
      </w:r>
    </w:p>
    <w:p>
      <w:pPr>
        <w:snapToGrid w:val="0"/>
        <w:spacing w:before="50" w:after="50"/>
        <w:ind w:firstLine="562"/>
        <w:jc w:val="center"/>
        <w:outlineLvl w:val="9"/>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法定代表人授权委托书</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若委托</w:t>
      </w:r>
      <w:r>
        <w:rPr>
          <w:rFonts w:hint="eastAsia" w:ascii="仿宋" w:hAnsi="仿宋" w:eastAsia="仿宋" w:cs="仿宋"/>
          <w:b/>
          <w:color w:val="auto"/>
          <w:sz w:val="28"/>
          <w:szCs w:val="28"/>
          <w:highlight w:val="none"/>
          <w:lang w:eastAsia="zh-CN"/>
        </w:rPr>
        <w:t>）</w:t>
      </w:r>
    </w:p>
    <w:p>
      <w:pPr>
        <w:snapToGrid w:val="0"/>
        <w:spacing w:before="120" w:beforeLines="50" w:after="50"/>
        <w:ind w:firstLine="480"/>
        <w:outlineLvl w:val="9"/>
        <w:rPr>
          <w:rFonts w:hint="eastAsia" w:ascii="仿宋" w:hAnsi="仿宋" w:eastAsia="仿宋" w:cs="仿宋"/>
          <w:b/>
          <w:color w:val="auto"/>
          <w:sz w:val="24"/>
          <w:szCs w:val="24"/>
          <w:highlight w:val="none"/>
          <w:u w:val="single"/>
        </w:rPr>
      </w:pPr>
      <w:r>
        <w:rPr>
          <w:rFonts w:hint="eastAsia" w:ascii="仿宋" w:hAnsi="仿宋" w:eastAsia="仿宋" w:cs="仿宋"/>
          <w:color w:val="auto"/>
          <w:sz w:val="24"/>
          <w:szCs w:val="24"/>
          <w:highlight w:val="none"/>
          <w:u w:val="single"/>
          <w:lang w:eastAsia="zh-CN"/>
        </w:rPr>
        <w:t>嵊州市益嘉配送有限公司、绍兴平准招标代理有限公司</w:t>
      </w:r>
      <w:r>
        <w:rPr>
          <w:rFonts w:hint="eastAsia" w:ascii="仿宋" w:hAnsi="仿宋" w:eastAsia="仿宋" w:cs="仿宋"/>
          <w:bCs/>
          <w:color w:val="auto"/>
          <w:sz w:val="30"/>
          <w:szCs w:val="30"/>
          <w:highlight w:val="none"/>
        </w:rPr>
        <w:t>：</w:t>
      </w:r>
    </w:p>
    <w:p>
      <w:pPr>
        <w:snapToGrid w:val="0"/>
        <w:spacing w:before="120" w:beforeLines="50" w:after="50"/>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（投标人名称）的法定代表人，现授权委托本单位在职职工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（姓名）为全权代表，以我方的名义参加项目编号：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项目的投标活动，并代表我方全权办理针对上述项目的投标、开标、评标、签约等具体事务和签署相关文件。我方对全权代表的签名事项负全部责任。</w:t>
      </w:r>
    </w:p>
    <w:p>
      <w:pPr>
        <w:snapToGrid w:val="0"/>
        <w:spacing w:before="120" w:beforeLines="50" w:after="50"/>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在撤销授权的书面通知以前，本授权书一直有效。全权代表在授权书有效期内签署的所有文件不因授权的撤销而失效。</w:t>
      </w:r>
    </w:p>
    <w:p>
      <w:pPr>
        <w:snapToGrid w:val="0"/>
        <w:spacing w:before="120" w:beforeLines="50" w:after="50"/>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全权代表无转委托权，特此委托。</w:t>
      </w:r>
    </w:p>
    <w:p>
      <w:pPr>
        <w:snapToGrid w:val="0"/>
        <w:spacing w:before="120" w:beforeLines="50" w:after="50"/>
        <w:ind w:firstLine="480"/>
        <w:outlineLvl w:val="9"/>
        <w:rPr>
          <w:rFonts w:hint="eastAsia" w:ascii="仿宋" w:hAnsi="仿宋" w:eastAsia="仿宋" w:cs="仿宋"/>
          <w:color w:val="auto"/>
          <w:sz w:val="24"/>
          <w:szCs w:val="24"/>
          <w:highlight w:val="none"/>
        </w:rPr>
      </w:pPr>
    </w:p>
    <w:p>
      <w:pPr>
        <w:snapToGrid w:val="0"/>
        <w:spacing w:before="120" w:beforeLines="50" w:after="50"/>
        <w:ind w:firstLine="480"/>
        <w:outlineLvl w:val="9"/>
        <w:rPr>
          <w:rFonts w:hint="eastAsia" w:ascii="仿宋" w:hAnsi="仿宋" w:eastAsia="仿宋" w:cs="仿宋"/>
          <w:color w:val="auto"/>
          <w:sz w:val="24"/>
          <w:szCs w:val="24"/>
          <w:highlight w:val="none"/>
        </w:rPr>
      </w:pPr>
    </w:p>
    <w:p>
      <w:pPr>
        <w:snapToGrid w:val="0"/>
        <w:spacing w:before="120" w:beforeLines="50" w:after="50"/>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全权代表签名（或</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napToGrid w:val="0"/>
        <w:spacing w:before="120" w:beforeLines="50" w:after="50"/>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全权代表身份证号码：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napToGrid w:val="0"/>
        <w:spacing w:before="120" w:beforeLines="50" w:after="50"/>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法定代表人签名（或</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pPr>
        <w:snapToGrid w:val="0"/>
        <w:spacing w:before="120" w:beforeLines="50" w:after="50"/>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附：法人身份证复印件及授权人身份证复印件。</w:t>
      </w:r>
    </w:p>
    <w:p>
      <w:pPr>
        <w:snapToGrid w:val="0"/>
        <w:spacing w:before="120" w:beforeLines="50" w:after="50"/>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before="120" w:beforeLines="50" w:after="50"/>
        <w:ind w:firstLine="480"/>
        <w:outlineLvl w:val="9"/>
        <w:rPr>
          <w:rFonts w:hint="eastAsia" w:ascii="仿宋" w:hAnsi="仿宋" w:eastAsia="仿宋" w:cs="仿宋"/>
          <w:color w:val="auto"/>
          <w:sz w:val="24"/>
          <w:szCs w:val="24"/>
          <w:highlight w:val="none"/>
        </w:rPr>
      </w:pPr>
    </w:p>
    <w:p>
      <w:pPr>
        <w:snapToGrid w:val="0"/>
        <w:spacing w:before="120" w:beforeLines="50" w:after="50"/>
        <w:ind w:firstLine="48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投标人全称（公章）：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日  期：</w:t>
      </w:r>
      <w:r>
        <w:rPr>
          <w:rFonts w:hint="eastAsia" w:ascii="仿宋" w:hAnsi="仿宋" w:eastAsia="仿宋" w:cs="仿宋"/>
          <w:color w:val="auto"/>
          <w:sz w:val="24"/>
          <w:szCs w:val="24"/>
          <w:highlight w:val="none"/>
          <w:u w:val="single"/>
        </w:rPr>
        <w:t xml:space="preserve">     </w:t>
      </w:r>
    </w:p>
    <w:p>
      <w:pPr>
        <w:spacing w:before="120" w:beforeLines="50" w:after="50"/>
        <w:ind w:left="0" w:leftChars="0" w:right="600" w:firstLine="0" w:firstLineChars="0"/>
        <w:outlineLvl w:val="9"/>
        <w:rPr>
          <w:rFonts w:hint="eastAsia" w:ascii="仿宋" w:hAnsi="仿宋" w:eastAsia="仿宋" w:cs="仿宋"/>
          <w:color w:val="auto"/>
          <w:kern w:val="0"/>
          <w:szCs w:val="21"/>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附件4：</w:t>
      </w:r>
    </w:p>
    <w:p>
      <w:pPr>
        <w:ind w:firstLine="562"/>
        <w:jc w:val="cente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法定代表人（单位负责人、自然人本人）身份证明书</w:t>
      </w:r>
    </w:p>
    <w:p>
      <w:pPr>
        <w:ind w:firstLine="480"/>
        <w:jc w:val="center"/>
        <w:outlineLvl w:val="9"/>
        <w:rPr>
          <w:rFonts w:hint="eastAsia" w:ascii="仿宋" w:hAnsi="仿宋" w:eastAsia="仿宋" w:cs="仿宋"/>
          <w:color w:val="auto"/>
          <w:sz w:val="24"/>
          <w:szCs w:val="21"/>
          <w:highlight w:val="none"/>
        </w:rPr>
      </w:pPr>
    </w:p>
    <w:p>
      <w:pPr>
        <w:ind w:left="611" w:leftChars="291" w:firstLine="48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单位名称：</w:t>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 xml:space="preserve"> </w:t>
      </w:r>
    </w:p>
    <w:p>
      <w:pPr>
        <w:ind w:left="609" w:leftChars="290" w:firstLine="48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单位性质：</w:t>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 xml:space="preserve"> </w:t>
      </w:r>
    </w:p>
    <w:p>
      <w:pPr>
        <w:ind w:left="609" w:leftChars="290" w:firstLine="48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地    址：</w:t>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 xml:space="preserve"> </w:t>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 xml:space="preserve"> </w:t>
      </w:r>
    </w:p>
    <w:p>
      <w:pPr>
        <w:ind w:left="609" w:leftChars="290" w:firstLine="480"/>
        <w:outlineLvl w:val="9"/>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成立时间：</w:t>
      </w:r>
      <w:r>
        <w:rPr>
          <w:rFonts w:hint="eastAsia" w:ascii="仿宋" w:hAnsi="仿宋" w:eastAsia="仿宋" w:cs="仿宋"/>
          <w:color w:val="auto"/>
          <w:sz w:val="24"/>
          <w:szCs w:val="21"/>
          <w:highlight w:val="none"/>
          <w:u w:val="single"/>
        </w:rPr>
        <w:t xml:space="preserve">      年      月      日</w:t>
      </w:r>
    </w:p>
    <w:p>
      <w:pPr>
        <w:ind w:left="609" w:leftChars="290" w:firstLine="48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经营期限：</w:t>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ab/>
      </w:r>
    </w:p>
    <w:p>
      <w:pPr>
        <w:ind w:left="609" w:leftChars="290" w:firstLine="480"/>
        <w:outlineLvl w:val="9"/>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姓    名：</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u w:val="single"/>
          <w:lang w:val="en-US" w:eastAsia="zh-CN"/>
        </w:rPr>
        <w:t xml:space="preserve">    </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 xml:space="preserve"> 性别</w:t>
      </w:r>
      <w:r>
        <w:rPr>
          <w:rFonts w:hint="eastAsia" w:ascii="仿宋" w:hAnsi="仿宋" w:eastAsia="仿宋" w:cs="仿宋"/>
          <w:color w:val="auto"/>
          <w:sz w:val="24"/>
          <w:szCs w:val="21"/>
          <w:highlight w:val="none"/>
          <w:u w:val="none"/>
        </w:rPr>
        <w:t>：</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年龄：</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职务：</w:t>
      </w:r>
      <w:r>
        <w:rPr>
          <w:rFonts w:hint="eastAsia" w:ascii="仿宋" w:hAnsi="仿宋" w:eastAsia="仿宋" w:cs="仿宋"/>
          <w:color w:val="auto"/>
          <w:sz w:val="24"/>
          <w:szCs w:val="21"/>
          <w:highlight w:val="none"/>
          <w:u w:val="single"/>
        </w:rPr>
        <w:tab/>
      </w:r>
      <w:r>
        <w:rPr>
          <w:rFonts w:hint="eastAsia" w:ascii="仿宋" w:hAnsi="仿宋" w:eastAsia="仿宋" w:cs="仿宋"/>
          <w:color w:val="auto"/>
          <w:sz w:val="24"/>
          <w:szCs w:val="21"/>
          <w:highlight w:val="none"/>
          <w:u w:val="single"/>
        </w:rPr>
        <w:tab/>
      </w:r>
    </w:p>
    <w:p>
      <w:pPr>
        <w:ind w:left="609" w:leftChars="290" w:firstLine="48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系</w:t>
      </w:r>
      <w:r>
        <w:rPr>
          <w:rFonts w:hint="eastAsia" w:ascii="仿宋" w:hAnsi="仿宋" w:eastAsia="仿宋" w:cs="仿宋"/>
          <w:color w:val="auto"/>
          <w:sz w:val="24"/>
          <w:szCs w:val="21"/>
          <w:highlight w:val="none"/>
          <w:u w:val="single"/>
        </w:rPr>
        <w:t xml:space="preserve">          （投标人名称）                 </w:t>
      </w:r>
      <w:r>
        <w:rPr>
          <w:rFonts w:hint="eastAsia" w:ascii="仿宋" w:hAnsi="仿宋" w:eastAsia="仿宋" w:cs="仿宋"/>
          <w:color w:val="auto"/>
          <w:sz w:val="24"/>
          <w:szCs w:val="21"/>
          <w:highlight w:val="none"/>
        </w:rPr>
        <w:t>的法定代表人。</w:t>
      </w:r>
    </w:p>
    <w:p>
      <w:pPr>
        <w:ind w:left="610" w:firstLine="480"/>
        <w:outlineLvl w:val="9"/>
        <w:rPr>
          <w:rFonts w:hint="eastAsia" w:ascii="仿宋" w:hAnsi="仿宋" w:eastAsia="仿宋" w:cs="仿宋"/>
          <w:color w:val="auto"/>
          <w:sz w:val="24"/>
          <w:szCs w:val="21"/>
          <w:highlight w:val="none"/>
        </w:rPr>
      </w:pPr>
    </w:p>
    <w:p>
      <w:pPr>
        <w:ind w:left="609" w:leftChars="290" w:firstLine="48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特此证明。</w:t>
      </w:r>
    </w:p>
    <w:p>
      <w:pPr>
        <w:tabs>
          <w:tab w:val="left" w:pos="720"/>
          <w:tab w:val="left" w:pos="900"/>
        </w:tabs>
        <w:ind w:left="560" w:firstLine="480"/>
        <w:outlineLvl w:val="9"/>
        <w:rPr>
          <w:rFonts w:hint="eastAsia" w:ascii="仿宋" w:hAnsi="仿宋" w:eastAsia="仿宋" w:cs="仿宋"/>
          <w:color w:val="auto"/>
          <w:sz w:val="24"/>
          <w:szCs w:val="21"/>
          <w:highlight w:val="none"/>
        </w:rPr>
      </w:pPr>
    </w:p>
    <w:p>
      <w:pPr>
        <w:tabs>
          <w:tab w:val="left" w:pos="720"/>
          <w:tab w:val="left" w:pos="900"/>
        </w:tabs>
        <w:ind w:left="5040" w:leftChars="2400" w:firstLine="480"/>
        <w:outlineLvl w:val="9"/>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w:t>
      </w:r>
      <w:r>
        <w:rPr>
          <w:rFonts w:hint="eastAsia" w:ascii="仿宋" w:hAnsi="仿宋" w:eastAsia="仿宋" w:cs="仿宋"/>
          <w:color w:val="auto"/>
          <w:sz w:val="24"/>
          <w:szCs w:val="21"/>
          <w:highlight w:val="none"/>
          <w:u w:val="single"/>
        </w:rPr>
        <w:t xml:space="preserve">    （盖章）        </w:t>
      </w:r>
    </w:p>
    <w:p>
      <w:pPr>
        <w:tabs>
          <w:tab w:val="left" w:pos="720"/>
          <w:tab w:val="left" w:pos="900"/>
        </w:tabs>
        <w:ind w:left="5040" w:leftChars="2400" w:firstLine="48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4"/>
          <w:highlight w:val="none"/>
        </w:rPr>
        <w:t>法定代表人签名（或</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rPr>
        <w:t>）：</w:t>
      </w:r>
    </w:p>
    <w:p>
      <w:pPr>
        <w:tabs>
          <w:tab w:val="left" w:pos="720"/>
          <w:tab w:val="left" w:pos="900"/>
        </w:tabs>
        <w:ind w:left="5040" w:leftChars="2400" w:firstLine="48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日  期：    年    月   日</w:t>
      </w:r>
    </w:p>
    <w:p>
      <w:pPr>
        <w:widowControl/>
        <w:ind w:firstLine="480"/>
        <w:jc w:val="left"/>
        <w:outlineLvl w:val="9"/>
        <w:rPr>
          <w:rFonts w:hint="eastAsia" w:ascii="仿宋" w:hAnsi="仿宋" w:eastAsia="仿宋" w:cs="仿宋"/>
          <w:color w:val="auto"/>
          <w:sz w:val="24"/>
          <w:szCs w:val="24"/>
          <w:highlight w:val="none"/>
          <w:u w:val="single"/>
        </w:rPr>
      </w:pPr>
    </w:p>
    <w:p>
      <w:pPr>
        <w:widowControl/>
        <w:ind w:firstLine="480"/>
        <w:jc w:val="left"/>
        <w:outlineLvl w:val="9"/>
        <w:rPr>
          <w:rFonts w:hint="eastAsia" w:ascii="仿宋" w:hAnsi="仿宋" w:eastAsia="仿宋" w:cs="仿宋"/>
          <w:color w:val="auto"/>
          <w:sz w:val="24"/>
          <w:szCs w:val="24"/>
          <w:highlight w:val="none"/>
          <w:u w:val="single"/>
        </w:rPr>
        <w:sectPr>
          <w:headerReference r:id="rId11" w:type="default"/>
          <w:footerReference r:id="rId12" w:type="default"/>
          <w:pgSz w:w="11906" w:h="16838"/>
          <w:pgMar w:top="1558" w:right="1531" w:bottom="468" w:left="1531" w:header="851" w:footer="851" w:gutter="0"/>
          <w:pgNumType w:fmt="decimal" w:chapStyle="1" w:chapSep="colon"/>
          <w:cols w:space="720" w:num="1"/>
        </w:sectPr>
      </w:pPr>
    </w:p>
    <w:p>
      <w:pPr>
        <w:spacing w:before="120" w:beforeLines="50" w:after="50"/>
        <w:ind w:left="0" w:leftChars="0" w:right="600" w:firstLine="0" w:firstLineChars="0"/>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附件5：</w:t>
      </w:r>
    </w:p>
    <w:p>
      <w:pPr>
        <w:snapToGrid w:val="0"/>
        <w:spacing w:before="50" w:after="50"/>
        <w:ind w:firstLine="562"/>
        <w:jc w:val="cente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资信及商务响应表</w:t>
      </w:r>
    </w:p>
    <w:p>
      <w:pPr>
        <w:ind w:firstLine="420"/>
        <w:outlineLvl w:val="9"/>
        <w:rPr>
          <w:rFonts w:hint="eastAsia" w:ascii="仿宋" w:hAnsi="仿宋" w:eastAsia="仿宋" w:cs="仿宋"/>
          <w:bCs/>
          <w:color w:val="auto"/>
          <w:szCs w:val="21"/>
          <w:highlight w:val="none"/>
        </w:rPr>
      </w:pPr>
      <w:r>
        <w:rPr>
          <w:rFonts w:hint="eastAsia" w:ascii="仿宋" w:hAnsi="仿宋" w:eastAsia="仿宋" w:cs="仿宋"/>
          <w:color w:val="auto"/>
          <w:sz w:val="24"/>
          <w:szCs w:val="24"/>
          <w:highlight w:val="none"/>
        </w:rPr>
        <w:t xml:space="preserve">项目名称：                                           </w:t>
      </w:r>
      <w:r>
        <w:rPr>
          <w:rFonts w:hint="eastAsia" w:ascii="仿宋" w:hAnsi="仿宋" w:eastAsia="仿宋" w:cs="仿宋"/>
          <w:color w:val="auto"/>
          <w:sz w:val="24"/>
          <w:szCs w:val="28"/>
          <w:highlight w:val="none"/>
        </w:rPr>
        <w:t>项目编号：</w:t>
      </w:r>
      <w:r>
        <w:rPr>
          <w:rFonts w:hint="eastAsia" w:ascii="仿宋" w:hAnsi="仿宋" w:eastAsia="仿宋" w:cs="仿宋"/>
          <w:color w:val="auto"/>
          <w:sz w:val="24"/>
          <w:szCs w:val="24"/>
          <w:highlight w:val="none"/>
        </w:rPr>
        <w:t xml:space="preserve">          </w:t>
      </w:r>
    </w:p>
    <w:tbl>
      <w:tblPr>
        <w:tblStyle w:val="24"/>
        <w:tblW w:w="78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7"/>
        <w:gridCol w:w="1867"/>
        <w:gridCol w:w="1903"/>
        <w:gridCol w:w="15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名称</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招标文件要求</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投标文件响应</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投标有效期</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供货要求</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质量要求</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验收</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结算依据</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付款方式</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发票要求</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r>
    </w:tbl>
    <w:p>
      <w:pPr>
        <w:ind w:left="0" w:leftChars="0" w:right="-21" w:rightChars="-1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未填写</w:t>
      </w:r>
      <w:r>
        <w:rPr>
          <w:rFonts w:hint="eastAsia" w:ascii="仿宋" w:hAnsi="仿宋" w:eastAsia="仿宋" w:cs="仿宋"/>
          <w:color w:val="auto"/>
          <w:sz w:val="24"/>
          <w:szCs w:val="24"/>
          <w:highlight w:val="none"/>
        </w:rPr>
        <w:t>此表将视为投标人完全响应及满足招标文件要求。</w:t>
      </w:r>
    </w:p>
    <w:p>
      <w:pPr>
        <w:snapToGrid w:val="0"/>
        <w:spacing w:before="120" w:beforeLines="50"/>
        <w:outlineLvl w:val="9"/>
        <w:rPr>
          <w:rFonts w:hint="eastAsia" w:ascii="仿宋" w:hAnsi="仿宋" w:eastAsia="仿宋" w:cs="仿宋"/>
          <w:color w:val="auto"/>
          <w:sz w:val="24"/>
          <w:szCs w:val="24"/>
          <w:highlight w:val="none"/>
        </w:rPr>
      </w:pPr>
    </w:p>
    <w:p>
      <w:pPr>
        <w:ind w:right="-21" w:rightChars="-10" w:firstLine="480"/>
        <w:jc w:val="righ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pPr>
        <w:ind w:right="-21" w:rightChars="-10" w:firstLine="480"/>
        <w:jc w:val="righ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法定代表人或委托代理人（签字或盖章）：</w:t>
      </w:r>
    </w:p>
    <w:p>
      <w:pPr>
        <w:ind w:firstLine="480"/>
        <w:jc w:val="right"/>
        <w:outlineLvl w:val="9"/>
        <w:rPr>
          <w:rFonts w:hint="eastAsia" w:ascii="仿宋" w:hAnsi="仿宋" w:eastAsia="仿宋" w:cs="仿宋"/>
          <w:color w:val="auto"/>
          <w:kern w:val="0"/>
          <w:szCs w:val="21"/>
          <w:highlight w:val="none"/>
        </w:rPr>
      </w:pPr>
      <w:r>
        <w:rPr>
          <w:rFonts w:hint="eastAsia" w:ascii="仿宋" w:hAnsi="仿宋" w:eastAsia="仿宋" w:cs="仿宋"/>
          <w:color w:val="auto"/>
          <w:sz w:val="24"/>
          <w:szCs w:val="24"/>
          <w:highlight w:val="none"/>
        </w:rPr>
        <w:t>日    期：</w:t>
      </w:r>
    </w:p>
    <w:p>
      <w:pPr>
        <w:spacing w:before="120" w:beforeLines="50" w:after="50"/>
        <w:ind w:left="0" w:leftChars="0" w:right="600" w:firstLine="0" w:firstLineChars="0"/>
        <w:outlineLvl w:val="9"/>
        <w:rPr>
          <w:rFonts w:hint="eastAsia" w:ascii="仿宋" w:hAnsi="仿宋" w:eastAsia="仿宋" w:cs="仿宋"/>
          <w:b/>
          <w:color w:val="auto"/>
          <w:sz w:val="28"/>
          <w:szCs w:val="28"/>
          <w:highlight w:val="none"/>
        </w:rPr>
      </w:pPr>
      <w:r>
        <w:rPr>
          <w:rFonts w:hint="eastAsia" w:ascii="仿宋" w:hAnsi="仿宋" w:eastAsia="仿宋" w:cs="仿宋"/>
          <w:color w:val="auto"/>
          <w:sz w:val="30"/>
          <w:szCs w:val="30"/>
          <w:highlight w:val="none"/>
        </w:rPr>
        <w:br w:type="page"/>
      </w:r>
      <w:r>
        <w:rPr>
          <w:rFonts w:hint="eastAsia" w:ascii="仿宋" w:hAnsi="仿宋" w:eastAsia="仿宋" w:cs="仿宋"/>
          <w:b/>
          <w:color w:val="auto"/>
          <w:sz w:val="28"/>
          <w:szCs w:val="28"/>
          <w:highlight w:val="none"/>
        </w:rPr>
        <w:t>附件6：</w:t>
      </w:r>
    </w:p>
    <w:p>
      <w:pPr>
        <w:snapToGrid w:val="0"/>
        <w:spacing w:before="120" w:beforeLines="50" w:after="50"/>
        <w:ind w:left="0" w:leftChars="0" w:firstLine="0" w:firstLineChars="0"/>
        <w:jc w:val="cente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技术响应表</w:t>
      </w:r>
    </w:p>
    <w:p>
      <w:pPr>
        <w:ind w:firstLine="480"/>
        <w:outlineLvl w:val="9"/>
        <w:rPr>
          <w:rFonts w:hint="eastAsia" w:ascii="仿宋" w:hAnsi="仿宋" w:eastAsia="仿宋" w:cs="仿宋"/>
          <w:bCs/>
          <w:color w:val="auto"/>
          <w:szCs w:val="21"/>
          <w:highlight w:val="none"/>
        </w:rPr>
      </w:pPr>
      <w:r>
        <w:rPr>
          <w:rFonts w:hint="eastAsia" w:ascii="仿宋" w:hAnsi="仿宋" w:eastAsia="仿宋" w:cs="仿宋"/>
          <w:color w:val="auto"/>
          <w:sz w:val="24"/>
          <w:szCs w:val="24"/>
          <w:highlight w:val="none"/>
        </w:rPr>
        <w:t xml:space="preserve">项目名称：                                           项目编号：         </w:t>
      </w:r>
    </w:p>
    <w:tbl>
      <w:tblPr>
        <w:tblStyle w:val="24"/>
        <w:tblW w:w="86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44"/>
        <w:gridCol w:w="1867"/>
        <w:gridCol w:w="1903"/>
        <w:gridCol w:w="1191"/>
        <w:gridCol w:w="15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名称</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招标文件要求</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投标文件响应</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偏离情况</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r>
    </w:tbl>
    <w:p>
      <w:pPr>
        <w:ind w:left="0" w:leftChars="0" w:right="-21" w:rightChars="-1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投标人应根据</w:t>
      </w:r>
      <w:r>
        <w:rPr>
          <w:rFonts w:hint="eastAsia" w:ascii="仿宋" w:hAnsi="仿宋" w:eastAsia="仿宋" w:cs="仿宋"/>
          <w:color w:val="auto"/>
          <w:sz w:val="24"/>
          <w:szCs w:val="24"/>
          <w:highlight w:val="none"/>
          <w:lang w:val="en-US" w:eastAsia="zh-CN"/>
        </w:rPr>
        <w:t>产品的技术参数</w:t>
      </w:r>
      <w:r>
        <w:rPr>
          <w:rFonts w:hint="eastAsia" w:ascii="仿宋" w:hAnsi="仿宋" w:eastAsia="仿宋" w:cs="仿宋"/>
          <w:color w:val="auto"/>
          <w:sz w:val="24"/>
          <w:szCs w:val="24"/>
          <w:highlight w:val="none"/>
        </w:rPr>
        <w:t>的性能指标、对照招标文件要求在“偏离情况”栏注明“正偏离”、“负偏离”或“无偏离”。</w:t>
      </w:r>
    </w:p>
    <w:p>
      <w:pPr>
        <w:snapToGrid/>
        <w:spacing w:before="0" w:after="0"/>
        <w:ind w:right="-21" w:rightChars="-10" w:firstLine="480"/>
        <w:jc w:val="left"/>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2"/>
          <w:sz w:val="24"/>
          <w:szCs w:val="24"/>
          <w:highlight w:val="none"/>
          <w:lang w:val="en-US" w:eastAsia="zh-CN"/>
        </w:rPr>
        <w:t>2.未填写此表将视为投标人完全响应及满足招标文件要求。</w:t>
      </w:r>
    </w:p>
    <w:p>
      <w:pPr>
        <w:snapToGrid w:val="0"/>
        <w:spacing w:before="50" w:after="50"/>
        <w:ind w:firstLine="0" w:firstLineChars="0"/>
        <w:jc w:val="left"/>
        <w:outlineLvl w:val="9"/>
        <w:rPr>
          <w:rFonts w:hint="eastAsia" w:ascii="仿宋" w:hAnsi="仿宋" w:eastAsia="仿宋" w:cs="仿宋"/>
          <w:color w:val="auto"/>
          <w:spacing w:val="20"/>
          <w:sz w:val="24"/>
          <w:szCs w:val="24"/>
          <w:highlight w:val="none"/>
        </w:rPr>
      </w:pPr>
    </w:p>
    <w:p>
      <w:pPr>
        <w:ind w:right="-21" w:rightChars="-10" w:firstLine="480"/>
        <w:jc w:val="left"/>
        <w:outlineLvl w:val="9"/>
        <w:rPr>
          <w:rFonts w:hint="eastAsia" w:ascii="仿宋" w:hAnsi="仿宋" w:eastAsia="仿宋" w:cs="仿宋"/>
          <w:color w:val="auto"/>
          <w:sz w:val="24"/>
          <w:szCs w:val="24"/>
          <w:highlight w:val="none"/>
        </w:rPr>
      </w:pPr>
    </w:p>
    <w:p>
      <w:pPr>
        <w:ind w:right="-21" w:rightChars="-10" w:firstLine="480"/>
        <w:jc w:val="righ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pPr>
        <w:ind w:right="-21" w:rightChars="-10" w:firstLine="480"/>
        <w:jc w:val="righ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法定代表人或委托代理人（签字或盖章）：</w:t>
      </w:r>
    </w:p>
    <w:p>
      <w:pPr>
        <w:ind w:firstLine="480"/>
        <w:jc w:val="right"/>
        <w:outlineLvl w:val="9"/>
        <w:rPr>
          <w:rFonts w:hint="eastAsia" w:ascii="仿宋" w:hAnsi="仿宋" w:eastAsia="仿宋" w:cs="仿宋"/>
          <w:color w:val="auto"/>
          <w:kern w:val="0"/>
          <w:szCs w:val="21"/>
          <w:highlight w:val="none"/>
        </w:rPr>
      </w:pPr>
      <w:r>
        <w:rPr>
          <w:rFonts w:hint="eastAsia" w:ascii="仿宋" w:hAnsi="仿宋" w:eastAsia="仿宋" w:cs="仿宋"/>
          <w:color w:val="auto"/>
          <w:sz w:val="24"/>
          <w:szCs w:val="24"/>
          <w:highlight w:val="none"/>
        </w:rPr>
        <w:t>日    期：</w:t>
      </w:r>
    </w:p>
    <w:p>
      <w:pPr>
        <w:snapToGrid w:val="0"/>
        <w:spacing w:before="50" w:after="120" w:afterLines="50"/>
        <w:ind w:firstLine="480"/>
        <w:jc w:val="left"/>
        <w:outlineLvl w:val="9"/>
        <w:rPr>
          <w:rFonts w:hint="eastAsia" w:ascii="仿宋" w:hAnsi="仿宋" w:eastAsia="仿宋" w:cs="仿宋"/>
          <w:color w:val="auto"/>
          <w:sz w:val="24"/>
          <w:szCs w:val="24"/>
          <w:highlight w:val="none"/>
        </w:rPr>
      </w:pPr>
    </w:p>
    <w:p>
      <w:pPr>
        <w:spacing w:before="120" w:beforeLines="50" w:after="50"/>
        <w:ind w:left="0" w:leftChars="0" w:right="600" w:firstLine="0" w:firstLineChars="0"/>
        <w:outlineLvl w:val="9"/>
        <w:rPr>
          <w:rFonts w:hint="eastAsia" w:ascii="仿宋" w:hAnsi="仿宋" w:eastAsia="仿宋" w:cs="仿宋"/>
          <w:b/>
          <w:color w:val="auto"/>
          <w:sz w:val="28"/>
          <w:szCs w:val="28"/>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color w:val="auto"/>
          <w:sz w:val="28"/>
          <w:szCs w:val="28"/>
          <w:highlight w:val="none"/>
        </w:rPr>
        <w:t>附件7：</w:t>
      </w:r>
    </w:p>
    <w:p>
      <w:pPr>
        <w:snapToGrid w:val="0"/>
        <w:spacing w:before="50" w:after="50"/>
        <w:ind w:firstLine="562"/>
        <w:jc w:val="center"/>
        <w:outlineLvl w:val="9"/>
        <w:rPr>
          <w:rFonts w:hint="eastAsia" w:ascii="仿宋" w:hAnsi="仿宋" w:eastAsia="仿宋" w:cs="仿宋"/>
          <w:b/>
          <w:color w:val="auto"/>
          <w:kern w:val="0"/>
          <w:sz w:val="24"/>
          <w:szCs w:val="28"/>
          <w:highlight w:val="none"/>
          <w:u w:val="single"/>
        </w:rPr>
      </w:pPr>
      <w:r>
        <w:rPr>
          <w:rFonts w:hint="eastAsia" w:ascii="仿宋" w:hAnsi="仿宋" w:eastAsia="仿宋" w:cs="仿宋"/>
          <w:b/>
          <w:color w:val="auto"/>
          <w:sz w:val="28"/>
          <w:szCs w:val="28"/>
          <w:highlight w:val="none"/>
        </w:rPr>
        <w:t>符合参加政企采购活动应当具备的一般条件的承诺函</w:t>
      </w:r>
    </w:p>
    <w:p>
      <w:pPr>
        <w:snapToGrid w:val="0"/>
        <w:spacing w:before="120" w:beforeLines="50" w:after="50"/>
        <w:ind w:firstLine="48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u w:val="single"/>
          <w:lang w:eastAsia="zh-CN"/>
        </w:rPr>
        <w:t>嵊州市益嘉配送有限公司</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绍兴平准招标代理有限公司</w:t>
      </w:r>
      <w:r>
        <w:rPr>
          <w:rFonts w:hint="eastAsia" w:ascii="仿宋" w:hAnsi="仿宋" w:eastAsia="仿宋" w:cs="仿宋"/>
          <w:color w:val="auto"/>
          <w:sz w:val="24"/>
          <w:szCs w:val="24"/>
          <w:highlight w:val="none"/>
          <w:u w:val="single"/>
        </w:rPr>
        <w:t>：</w:t>
      </w:r>
    </w:p>
    <w:p>
      <w:pPr>
        <w:spacing w:line="360" w:lineRule="auto"/>
        <w:ind w:left="0" w:leftChars="0" w:firstLine="480" w:firstLineChars="200"/>
        <w:outlineLvl w:val="9"/>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我方参与</w:t>
      </w:r>
      <w:r>
        <w:rPr>
          <w:rFonts w:hint="eastAsia" w:ascii="仿宋" w:hAnsi="仿宋" w:eastAsia="仿宋" w:cs="仿宋"/>
          <w:color w:val="auto"/>
          <w:kern w:val="0"/>
          <w:sz w:val="24"/>
          <w:highlight w:val="none"/>
          <w:u w:val="single"/>
          <w:lang w:eastAsia="zh-CN"/>
        </w:rPr>
        <w:t>嵊州市益嘉配送有限公司（2024-2027）年大米采购项目</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项目</w:t>
      </w:r>
      <w:r>
        <w:rPr>
          <w:rFonts w:hint="eastAsia" w:ascii="仿宋" w:hAnsi="仿宋" w:eastAsia="仿宋" w:cs="仿宋"/>
          <w:color w:val="auto"/>
          <w:sz w:val="24"/>
          <w:szCs w:val="24"/>
          <w:highlight w:val="none"/>
          <w:u w:val="single"/>
        </w:rPr>
        <w:t>编号：</w:t>
      </w:r>
      <w:r>
        <w:rPr>
          <w:rFonts w:hint="eastAsia" w:ascii="仿宋" w:hAnsi="仿宋" w:eastAsia="仿宋" w:cs="仿宋"/>
          <w:color w:val="auto"/>
          <w:sz w:val="24"/>
          <w:szCs w:val="24"/>
          <w:highlight w:val="none"/>
          <w:u w:val="single"/>
          <w:lang w:val="zh-CN"/>
        </w:rPr>
        <w:t>)</w:t>
      </w:r>
      <w:r>
        <w:rPr>
          <w:rFonts w:hint="eastAsia" w:ascii="仿宋" w:hAnsi="仿宋" w:eastAsia="仿宋" w:cs="仿宋"/>
          <w:color w:val="auto"/>
          <w:kern w:val="0"/>
          <w:sz w:val="24"/>
          <w:highlight w:val="none"/>
        </w:rPr>
        <w:t>的采购活动，郑重承诺：</w:t>
      </w:r>
    </w:p>
    <w:p>
      <w:pPr>
        <w:spacing w:line="360" w:lineRule="auto"/>
        <w:ind w:firstLine="426" w:firstLineChars="177"/>
        <w:outlineLvl w:val="9"/>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一、具备《嵊州市市属国有企业货物和服务采购管理办法（试行）》</w:t>
      </w:r>
      <w:r>
        <w:rPr>
          <w:rFonts w:hint="eastAsia" w:ascii="仿宋" w:hAnsi="仿宋" w:eastAsia="仿宋" w:cs="仿宋"/>
          <w:b/>
          <w:color w:val="auto"/>
          <w:sz w:val="24"/>
          <w:highlight w:val="none"/>
          <w:lang w:eastAsia="zh-CN"/>
        </w:rPr>
        <w:t>第十七条</w:t>
      </w:r>
      <w:r>
        <w:rPr>
          <w:rFonts w:hint="eastAsia" w:ascii="仿宋" w:hAnsi="仿宋" w:eastAsia="仿宋" w:cs="仿宋"/>
          <w:b/>
          <w:color w:val="auto"/>
          <w:sz w:val="24"/>
          <w:highlight w:val="none"/>
        </w:rPr>
        <w:t>规定的条件：</w:t>
      </w:r>
    </w:p>
    <w:p>
      <w:pPr>
        <w:snapToGrid w:val="0"/>
        <w:spacing w:beforeLines="0" w:afterLines="0"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pPr>
        <w:snapToGrid w:val="0"/>
        <w:spacing w:beforeLines="0" w:afterLines="0"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2.具有良好的商业信誉；</w:t>
      </w:r>
    </w:p>
    <w:p>
      <w:pPr>
        <w:snapToGrid w:val="0"/>
        <w:spacing w:beforeLines="0" w:afterLines="0"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3.具有履行合同所必需的设备和专业技术，售后保障等能力；</w:t>
      </w:r>
    </w:p>
    <w:p>
      <w:pPr>
        <w:snapToGrid w:val="0"/>
        <w:spacing w:beforeLines="0" w:afterLines="0"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4.有依法缴纳税收和社会保障资金的良好记录；</w:t>
      </w:r>
    </w:p>
    <w:p>
      <w:pPr>
        <w:snapToGrid w:val="0"/>
        <w:spacing w:beforeLines="0" w:afterLines="0"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5.参加采购活动前三年内，没有重大违法记录，严重失信行为和行贿记录；</w:t>
      </w:r>
    </w:p>
    <w:p>
      <w:pPr>
        <w:spacing w:line="360" w:lineRule="auto"/>
        <w:ind w:firstLine="424" w:firstLineChars="177"/>
        <w:outlineLvl w:val="9"/>
        <w:rPr>
          <w:rFonts w:hint="eastAsia" w:ascii="仿宋" w:hAnsi="仿宋" w:eastAsia="仿宋" w:cs="仿宋"/>
          <w:color w:val="auto"/>
          <w:sz w:val="24"/>
          <w:highlight w:val="none"/>
        </w:rPr>
      </w:pPr>
      <w:r>
        <w:rPr>
          <w:rFonts w:hint="eastAsia" w:ascii="仿宋" w:hAnsi="仿宋" w:eastAsia="仿宋" w:cs="仿宋"/>
          <w:color w:val="auto"/>
          <w:sz w:val="24"/>
          <w:szCs w:val="24"/>
        </w:rPr>
        <w:t>6.法律、行政法规规定的其他条件。</w:t>
      </w:r>
    </w:p>
    <w:p>
      <w:pPr>
        <w:spacing w:line="360" w:lineRule="auto"/>
        <w:ind w:firstLine="426" w:firstLineChars="177"/>
        <w:outlineLvl w:val="9"/>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二、</w:t>
      </w:r>
      <w:r>
        <w:rPr>
          <w:rFonts w:hint="eastAsia" w:ascii="仿宋" w:hAnsi="仿宋" w:eastAsia="仿宋" w:cs="仿宋"/>
          <w:b/>
          <w:color w:val="auto"/>
          <w:kern w:val="0"/>
          <w:sz w:val="24"/>
          <w:highlight w:val="none"/>
        </w:rPr>
        <w:t>未被“信用中国”（www.creditchina.gov.cn）、“中国政府采购网”（www.ccgp.gov.cn）列入失信被执行人名单、重大税收违法案件当事人名单、采购严重违法失信行为记录名单。</w:t>
      </w:r>
    </w:p>
    <w:p>
      <w:pPr>
        <w:spacing w:line="360" w:lineRule="auto"/>
        <w:ind w:firstLine="426" w:firstLineChars="177"/>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三、不存在以下情况：</w:t>
      </w:r>
    </w:p>
    <w:p>
      <w:pPr>
        <w:snapToGrid w:val="0"/>
        <w:spacing w:line="360" w:lineRule="auto"/>
        <w:ind w:firstLine="424" w:firstLineChars="177"/>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pPr>
        <w:spacing w:line="360" w:lineRule="auto"/>
        <w:ind w:firstLine="424" w:firstLineChars="177"/>
        <w:outlineLvl w:val="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pacing w:line="360" w:lineRule="auto"/>
        <w:ind w:firstLine="424" w:firstLineChars="177"/>
        <w:outlineLvl w:val="9"/>
        <w:rPr>
          <w:rFonts w:hint="eastAsia" w:ascii="仿宋" w:hAnsi="仿宋" w:eastAsia="仿宋" w:cs="仿宋"/>
          <w:color w:val="auto"/>
          <w:sz w:val="24"/>
          <w:highlight w:val="none"/>
        </w:rPr>
      </w:pPr>
    </w:p>
    <w:p>
      <w:pPr>
        <w:spacing w:line="360" w:lineRule="auto"/>
        <w:ind w:firstLine="426" w:firstLineChars="177"/>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rPr>
        <w:t>我方对上述声明的真实性负责。如有虚假，愿意承担相应责任，对此无任何异议。</w:t>
      </w:r>
    </w:p>
    <w:p>
      <w:pPr>
        <w:ind w:right="-21" w:rightChars="-10" w:firstLine="4800" w:firstLineChars="2000"/>
        <w:jc w:val="righ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pPr>
        <w:ind w:right="-21" w:rightChars="-10" w:firstLine="480"/>
        <w:jc w:val="righ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法定代表人或委托代理人</w:t>
      </w:r>
      <w:r>
        <w:rPr>
          <w:rFonts w:hint="eastAsia" w:ascii="仿宋" w:hAnsi="仿宋" w:eastAsia="仿宋" w:cs="仿宋"/>
          <w:color w:val="auto"/>
          <w:sz w:val="24"/>
          <w:szCs w:val="24"/>
          <w:highlight w:val="none"/>
        </w:rPr>
        <w:t>（签字或盖章）：</w:t>
      </w:r>
    </w:p>
    <w:p>
      <w:pPr>
        <w:snapToGrid w:val="0"/>
        <w:spacing w:before="50" w:after="120" w:afterLines="50"/>
        <w:ind w:firstLine="5040" w:firstLineChars="2100"/>
        <w:jc w:val="right"/>
        <w:outlineLvl w:val="9"/>
        <w:rPr>
          <w:rFonts w:hint="eastAsia" w:ascii="仿宋" w:hAnsi="仿宋" w:eastAsia="仿宋" w:cs="仿宋"/>
          <w:color w:val="auto"/>
          <w:sz w:val="24"/>
          <w:szCs w:val="24"/>
          <w:highlight w:val="none"/>
        </w:rPr>
        <w:sectPr>
          <w:pgSz w:w="11906" w:h="16838"/>
          <w:pgMar w:top="1474" w:right="1797" w:bottom="1247" w:left="1797" w:header="851" w:footer="851" w:gutter="0"/>
          <w:pgNumType w:fmt="decimal"/>
          <w:cols w:space="720" w:num="1"/>
        </w:sectPr>
      </w:pPr>
      <w:r>
        <w:rPr>
          <w:rFonts w:hint="eastAsia" w:ascii="仿宋" w:hAnsi="仿宋" w:eastAsia="仿宋" w:cs="仿宋"/>
          <w:color w:val="auto"/>
          <w:sz w:val="24"/>
          <w:szCs w:val="24"/>
          <w:highlight w:val="none"/>
        </w:rPr>
        <w:t>日    期：</w:t>
      </w:r>
    </w:p>
    <w:p>
      <w:pPr>
        <w:keepNext w:val="0"/>
        <w:keepLines w:val="0"/>
        <w:pageBreakBefore w:val="0"/>
        <w:widowControl w:val="0"/>
        <w:kinsoku/>
        <w:wordWrap/>
        <w:overflowPunct/>
        <w:topLinePunct w:val="0"/>
        <w:autoSpaceDE/>
        <w:autoSpaceDN/>
        <w:bidi w:val="0"/>
        <w:adjustRightInd/>
        <w:snapToGrid/>
        <w:ind w:left="0" w:leftChars="0" w:right="0" w:firstLine="0" w:firstLineChars="0"/>
        <w:textAlignment w:val="auto"/>
        <w:outlineLvl w:val="9"/>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8"/>
          <w:szCs w:val="28"/>
          <w:highlight w:val="none"/>
          <w:lang w:val="en-US" w:eastAsia="zh-CN"/>
        </w:rPr>
        <w:t>附件8：</w:t>
      </w:r>
    </w:p>
    <w:p>
      <w:pPr>
        <w:pStyle w:val="63"/>
        <w:snapToGrid w:val="0"/>
        <w:spacing w:after="120" w:afterLines="50" w:line="240" w:lineRule="auto"/>
        <w:ind w:right="0" w:firstLine="0" w:firstLineChars="0"/>
        <w:jc w:val="center"/>
        <w:outlineLvl w:val="9"/>
        <w:rPr>
          <w:rFonts w:hint="eastAsia" w:ascii="仿宋" w:hAnsi="仿宋" w:eastAsia="仿宋" w:cs="仿宋"/>
          <w:b/>
          <w:color w:val="auto"/>
          <w:sz w:val="28"/>
          <w:szCs w:val="28"/>
          <w:lang w:val="en-GB"/>
        </w:rPr>
      </w:pPr>
      <w:r>
        <w:rPr>
          <w:rFonts w:hint="eastAsia" w:ascii="仿宋" w:hAnsi="仿宋" w:eastAsia="仿宋" w:cs="仿宋"/>
          <w:b/>
          <w:color w:val="auto"/>
          <w:kern w:val="2"/>
          <w:sz w:val="28"/>
          <w:szCs w:val="28"/>
          <w:highlight w:val="none"/>
          <w:lang w:val="en-GB" w:eastAsia="zh-CN" w:bidi="ar-SA"/>
        </w:rPr>
        <w:t>投标人基本情况表</w:t>
      </w:r>
    </w:p>
    <w:tbl>
      <w:tblPr>
        <w:tblStyle w:val="24"/>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top w:val="thinThickSmallGap" w:color="auto" w:sz="12" w:space="0"/>
            </w:tcBorders>
            <w:noWrap/>
            <w:vAlign w:val="center"/>
          </w:tcPr>
          <w:p>
            <w:pPr>
              <w:snapToGrid w:val="0"/>
              <w:spacing w:line="4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投标人信息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企业名称</w:t>
            </w:r>
          </w:p>
        </w:tc>
        <w:tc>
          <w:tcPr>
            <w:tcW w:w="7775" w:type="dxa"/>
            <w:gridSpan w:val="5"/>
            <w:noWrap/>
            <w:vAlign w:val="center"/>
          </w:tcPr>
          <w:p>
            <w:pPr>
              <w:snapToGrid w:val="0"/>
              <w:spacing w:line="460" w:lineRule="exact"/>
              <w:ind w:firstLine="0" w:firstLineChars="0"/>
              <w:outlineLvl w:val="9"/>
              <w:rPr>
                <w:rFonts w:hint="eastAsia" w:ascii="仿宋" w:hAnsi="仿宋" w:eastAsia="仿宋" w:cs="仿宋"/>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联合体投标</w:t>
            </w:r>
          </w:p>
        </w:tc>
        <w:tc>
          <w:tcPr>
            <w:tcW w:w="2358" w:type="dxa"/>
            <w:noWrap/>
            <w:vAlign w:val="center"/>
          </w:tcPr>
          <w:p>
            <w:pPr>
              <w:snapToGrid w:val="0"/>
              <w:spacing w:line="4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是□    否□</w:t>
            </w:r>
          </w:p>
        </w:tc>
        <w:tc>
          <w:tcPr>
            <w:tcW w:w="1957" w:type="dxa"/>
            <w:gridSpan w:val="2"/>
            <w:noWrap/>
            <w:vAlign w:val="center"/>
          </w:tcPr>
          <w:p>
            <w:pPr>
              <w:snapToGrid w:val="0"/>
              <w:spacing w:line="4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联合体成员单位</w:t>
            </w:r>
          </w:p>
        </w:tc>
        <w:tc>
          <w:tcPr>
            <w:tcW w:w="3460" w:type="dxa"/>
            <w:gridSpan w:val="2"/>
            <w:noWrap/>
            <w:vAlign w:val="center"/>
          </w:tcPr>
          <w:p>
            <w:pPr>
              <w:snapToGrid w:val="0"/>
              <w:spacing w:line="460" w:lineRule="exact"/>
              <w:ind w:firstLine="0" w:firstLineChars="0"/>
              <w:outlineLvl w:val="9"/>
              <w:rPr>
                <w:rFonts w:hint="eastAsia" w:ascii="仿宋" w:hAnsi="仿宋" w:eastAsia="仿宋" w:cs="仿宋"/>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性质</w:t>
            </w:r>
          </w:p>
        </w:tc>
        <w:tc>
          <w:tcPr>
            <w:tcW w:w="7775" w:type="dxa"/>
            <w:gridSpan w:val="5"/>
            <w:noWrap/>
            <w:vAlign w:val="center"/>
          </w:tcPr>
          <w:p>
            <w:pPr>
              <w:snapToGrid w:val="0"/>
              <w:spacing w:line="4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国有□    国有控股□     私营□     事业单位□</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ind w:firstLine="0" w:firstLineChars="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统一社会信用代码</w:t>
            </w:r>
          </w:p>
        </w:tc>
        <w:tc>
          <w:tcPr>
            <w:tcW w:w="3123" w:type="dxa"/>
            <w:gridSpan w:val="2"/>
            <w:noWrap/>
            <w:vAlign w:val="center"/>
          </w:tcPr>
          <w:p>
            <w:pPr>
              <w:snapToGrid w:val="0"/>
              <w:spacing w:line="460" w:lineRule="exact"/>
              <w:ind w:firstLine="0" w:firstLineChars="0"/>
              <w:outlineLvl w:val="9"/>
              <w:rPr>
                <w:rFonts w:hint="eastAsia" w:ascii="仿宋" w:hAnsi="仿宋" w:eastAsia="仿宋" w:cs="仿宋"/>
                <w:color w:val="auto"/>
                <w:sz w:val="24"/>
                <w:szCs w:val="24"/>
              </w:rPr>
            </w:pPr>
          </w:p>
        </w:tc>
        <w:tc>
          <w:tcPr>
            <w:tcW w:w="1735" w:type="dxa"/>
            <w:gridSpan w:val="2"/>
            <w:noWrap/>
            <w:vAlign w:val="center"/>
          </w:tcPr>
          <w:p>
            <w:pPr>
              <w:snapToGrid w:val="0"/>
              <w:spacing w:line="4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注册资本</w:t>
            </w:r>
          </w:p>
        </w:tc>
        <w:tc>
          <w:tcPr>
            <w:tcW w:w="2917" w:type="dxa"/>
            <w:noWrap/>
            <w:vAlign w:val="center"/>
          </w:tcPr>
          <w:p>
            <w:pPr>
              <w:snapToGrid w:val="0"/>
              <w:spacing w:line="460" w:lineRule="exact"/>
              <w:ind w:firstLine="0" w:firstLineChars="0"/>
              <w:outlineLvl w:val="9"/>
              <w:rPr>
                <w:rFonts w:hint="eastAsia" w:ascii="仿宋" w:hAnsi="仿宋" w:eastAsia="仿宋" w:cs="仿宋"/>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tc>
        <w:tc>
          <w:tcPr>
            <w:tcW w:w="3123" w:type="dxa"/>
            <w:gridSpan w:val="2"/>
            <w:noWrap/>
            <w:vAlign w:val="center"/>
          </w:tcPr>
          <w:p>
            <w:pPr>
              <w:snapToGrid w:val="0"/>
              <w:spacing w:line="460" w:lineRule="exact"/>
              <w:ind w:firstLine="0" w:firstLineChars="0"/>
              <w:outlineLvl w:val="9"/>
              <w:rPr>
                <w:rFonts w:hint="eastAsia" w:ascii="仿宋" w:hAnsi="仿宋" w:eastAsia="仿宋" w:cs="仿宋"/>
                <w:color w:val="auto"/>
                <w:sz w:val="24"/>
                <w:szCs w:val="24"/>
              </w:rPr>
            </w:pPr>
          </w:p>
        </w:tc>
        <w:tc>
          <w:tcPr>
            <w:tcW w:w="1735" w:type="dxa"/>
            <w:gridSpan w:val="2"/>
            <w:noWrap/>
            <w:vAlign w:val="center"/>
          </w:tcPr>
          <w:p>
            <w:pPr>
              <w:snapToGrid w:val="0"/>
              <w:spacing w:line="4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p>
        </w:tc>
        <w:tc>
          <w:tcPr>
            <w:tcW w:w="2917" w:type="dxa"/>
            <w:noWrap/>
            <w:vAlign w:val="center"/>
          </w:tcPr>
          <w:p>
            <w:pPr>
              <w:snapToGrid w:val="0"/>
              <w:spacing w:line="460" w:lineRule="exact"/>
              <w:ind w:firstLine="0" w:firstLineChars="0"/>
              <w:outlineLvl w:val="9"/>
              <w:rPr>
                <w:rFonts w:hint="eastAsia" w:ascii="仿宋" w:hAnsi="仿宋" w:eastAsia="仿宋" w:cs="仿宋"/>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通信地址</w:t>
            </w:r>
          </w:p>
        </w:tc>
        <w:tc>
          <w:tcPr>
            <w:tcW w:w="3123" w:type="dxa"/>
            <w:gridSpan w:val="2"/>
            <w:noWrap/>
            <w:vAlign w:val="center"/>
          </w:tcPr>
          <w:p>
            <w:pPr>
              <w:snapToGrid w:val="0"/>
              <w:spacing w:line="460" w:lineRule="exact"/>
              <w:ind w:firstLine="0" w:firstLineChars="0"/>
              <w:outlineLvl w:val="9"/>
              <w:rPr>
                <w:rFonts w:hint="eastAsia" w:ascii="仿宋" w:hAnsi="仿宋" w:eastAsia="仿宋" w:cs="仿宋"/>
                <w:color w:val="auto"/>
                <w:sz w:val="24"/>
                <w:szCs w:val="24"/>
              </w:rPr>
            </w:pPr>
          </w:p>
        </w:tc>
        <w:tc>
          <w:tcPr>
            <w:tcW w:w="1735" w:type="dxa"/>
            <w:gridSpan w:val="2"/>
            <w:noWrap/>
            <w:vAlign w:val="center"/>
          </w:tcPr>
          <w:p>
            <w:pPr>
              <w:snapToGrid w:val="0"/>
              <w:spacing w:line="4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邮政编码</w:t>
            </w:r>
          </w:p>
        </w:tc>
        <w:tc>
          <w:tcPr>
            <w:tcW w:w="2917" w:type="dxa"/>
            <w:noWrap/>
            <w:vAlign w:val="center"/>
          </w:tcPr>
          <w:p>
            <w:pPr>
              <w:snapToGrid w:val="0"/>
              <w:spacing w:line="460" w:lineRule="exact"/>
              <w:ind w:firstLine="0" w:firstLineChars="0"/>
              <w:outlineLvl w:val="9"/>
              <w:rPr>
                <w:rFonts w:hint="eastAsia" w:ascii="仿宋" w:hAnsi="仿宋" w:eastAsia="仿宋" w:cs="仿宋"/>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公司电话</w:t>
            </w:r>
          </w:p>
        </w:tc>
        <w:tc>
          <w:tcPr>
            <w:tcW w:w="3123" w:type="dxa"/>
            <w:gridSpan w:val="2"/>
            <w:noWrap/>
            <w:vAlign w:val="center"/>
          </w:tcPr>
          <w:p>
            <w:pPr>
              <w:snapToGrid w:val="0"/>
              <w:spacing w:line="460" w:lineRule="exact"/>
              <w:ind w:firstLine="0" w:firstLineChars="0"/>
              <w:outlineLvl w:val="9"/>
              <w:rPr>
                <w:rFonts w:hint="eastAsia" w:ascii="仿宋" w:hAnsi="仿宋" w:eastAsia="仿宋" w:cs="仿宋"/>
                <w:color w:val="auto"/>
                <w:sz w:val="24"/>
                <w:szCs w:val="24"/>
              </w:rPr>
            </w:pPr>
          </w:p>
        </w:tc>
        <w:tc>
          <w:tcPr>
            <w:tcW w:w="1735" w:type="dxa"/>
            <w:gridSpan w:val="2"/>
            <w:noWrap/>
            <w:vAlign w:val="center"/>
          </w:tcPr>
          <w:p>
            <w:pPr>
              <w:snapToGrid w:val="0"/>
              <w:spacing w:line="4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传真</w:t>
            </w:r>
          </w:p>
        </w:tc>
        <w:tc>
          <w:tcPr>
            <w:tcW w:w="2917" w:type="dxa"/>
            <w:noWrap/>
            <w:vAlign w:val="center"/>
          </w:tcPr>
          <w:p>
            <w:pPr>
              <w:snapToGrid w:val="0"/>
              <w:spacing w:line="460" w:lineRule="exact"/>
              <w:ind w:firstLine="0" w:firstLineChars="0"/>
              <w:outlineLvl w:val="9"/>
              <w:rPr>
                <w:rFonts w:hint="eastAsia" w:ascii="仿宋" w:hAnsi="仿宋" w:eastAsia="仿宋" w:cs="仿宋"/>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公司网址</w:t>
            </w:r>
          </w:p>
        </w:tc>
        <w:tc>
          <w:tcPr>
            <w:tcW w:w="3123" w:type="dxa"/>
            <w:gridSpan w:val="2"/>
            <w:noWrap/>
            <w:vAlign w:val="center"/>
          </w:tcPr>
          <w:p>
            <w:pPr>
              <w:snapToGrid w:val="0"/>
              <w:spacing w:line="460" w:lineRule="exact"/>
              <w:ind w:firstLine="0" w:firstLineChars="0"/>
              <w:outlineLvl w:val="9"/>
              <w:rPr>
                <w:rFonts w:hint="eastAsia" w:ascii="仿宋" w:hAnsi="仿宋" w:eastAsia="仿宋" w:cs="仿宋"/>
                <w:color w:val="auto"/>
                <w:sz w:val="24"/>
                <w:szCs w:val="24"/>
              </w:rPr>
            </w:pPr>
          </w:p>
        </w:tc>
        <w:tc>
          <w:tcPr>
            <w:tcW w:w="1735" w:type="dxa"/>
            <w:gridSpan w:val="2"/>
            <w:noWrap/>
            <w:vAlign w:val="center"/>
          </w:tcPr>
          <w:p>
            <w:pPr>
              <w:snapToGrid w:val="0"/>
              <w:spacing w:line="4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电子邮箱</w:t>
            </w:r>
          </w:p>
        </w:tc>
        <w:tc>
          <w:tcPr>
            <w:tcW w:w="2917" w:type="dxa"/>
            <w:noWrap/>
            <w:vAlign w:val="center"/>
          </w:tcPr>
          <w:p>
            <w:pPr>
              <w:snapToGrid w:val="0"/>
              <w:spacing w:line="460" w:lineRule="exact"/>
              <w:ind w:firstLine="0" w:firstLineChars="0"/>
              <w:outlineLvl w:val="9"/>
              <w:rPr>
                <w:rFonts w:hint="eastAsia" w:ascii="仿宋" w:hAnsi="仿宋" w:eastAsia="仿宋" w:cs="仿宋"/>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ind w:firstLine="0" w:firstLineChars="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开户银行及账号</w:t>
            </w:r>
          </w:p>
        </w:tc>
        <w:tc>
          <w:tcPr>
            <w:tcW w:w="7775" w:type="dxa"/>
            <w:gridSpan w:val="5"/>
            <w:noWrap/>
            <w:vAlign w:val="center"/>
          </w:tcPr>
          <w:p>
            <w:pPr>
              <w:snapToGrid w:val="0"/>
              <w:spacing w:line="460" w:lineRule="exact"/>
              <w:ind w:firstLine="0" w:firstLineChars="0"/>
              <w:outlineLvl w:val="9"/>
              <w:rPr>
                <w:rFonts w:hint="eastAsia" w:ascii="仿宋" w:hAnsi="仿宋" w:eastAsia="仿宋" w:cs="仿宋"/>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ind w:firstLine="0" w:firstLineChars="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人员情况</w:t>
            </w:r>
          </w:p>
        </w:tc>
        <w:tc>
          <w:tcPr>
            <w:tcW w:w="7775" w:type="dxa"/>
            <w:gridSpan w:val="5"/>
            <w:noWrap/>
            <w:vAlign w:val="center"/>
          </w:tcPr>
          <w:p>
            <w:pPr>
              <w:snapToGrid w:val="0"/>
              <w:spacing w:line="460" w:lineRule="exact"/>
              <w:ind w:firstLine="0" w:firstLineChars="0"/>
              <w:outlineLvl w:val="9"/>
              <w:rPr>
                <w:rFonts w:hint="eastAsia" w:ascii="仿宋" w:hAnsi="仿宋" w:eastAsia="仿宋" w:cs="仿宋"/>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ind w:firstLine="0" w:firstLineChars="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企业资质</w:t>
            </w:r>
          </w:p>
        </w:tc>
        <w:tc>
          <w:tcPr>
            <w:tcW w:w="7775" w:type="dxa"/>
            <w:gridSpan w:val="5"/>
            <w:noWrap/>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ind w:firstLine="0" w:firstLineChars="0"/>
              <w:jc w:val="left"/>
              <w:outlineLvl w:val="9"/>
              <w:rPr>
                <w:rFonts w:hint="eastAsia" w:ascii="仿宋" w:hAnsi="仿宋" w:eastAsia="仿宋" w:cs="仿宋"/>
                <w:b/>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ind w:firstLine="0" w:firstLineChars="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企业认证</w:t>
            </w:r>
          </w:p>
        </w:tc>
        <w:tc>
          <w:tcPr>
            <w:tcW w:w="7775" w:type="dxa"/>
            <w:gridSpan w:val="5"/>
            <w:noWrap/>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ind w:firstLine="0" w:firstLineChars="0"/>
              <w:jc w:val="left"/>
              <w:outlineLvl w:val="9"/>
              <w:rPr>
                <w:rFonts w:hint="eastAsia" w:ascii="仿宋" w:hAnsi="仿宋" w:eastAsia="仿宋" w:cs="仿宋"/>
                <w:b/>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ind w:firstLine="0" w:firstLineChars="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企业获奖（如有）</w:t>
            </w:r>
          </w:p>
        </w:tc>
        <w:tc>
          <w:tcPr>
            <w:tcW w:w="7775" w:type="dxa"/>
            <w:gridSpan w:val="5"/>
            <w:noWrap/>
            <w:vAlign w:val="center"/>
          </w:tcPr>
          <w:p>
            <w:pPr>
              <w:snapToGrid w:val="0"/>
              <w:spacing w:line="460" w:lineRule="exact"/>
              <w:ind w:firstLine="0" w:firstLineChars="0"/>
              <w:outlineLvl w:val="9"/>
              <w:rPr>
                <w:rFonts w:hint="eastAsia" w:ascii="仿宋" w:hAnsi="仿宋" w:eastAsia="仿宋" w:cs="仿宋"/>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7775" w:type="dxa"/>
            <w:gridSpan w:val="5"/>
            <w:noWrap/>
            <w:vAlign w:val="center"/>
          </w:tcPr>
          <w:p>
            <w:pPr>
              <w:snapToGrid w:val="0"/>
              <w:spacing w:line="460" w:lineRule="exact"/>
              <w:ind w:firstLine="0" w:firstLineChars="0"/>
              <w:outlineLvl w:val="9"/>
              <w:rPr>
                <w:rFonts w:hint="eastAsia" w:ascii="仿宋" w:hAnsi="仿宋" w:eastAsia="仿宋" w:cs="仿宋"/>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noWrap/>
            <w:vAlign w:val="center"/>
          </w:tcPr>
          <w:p>
            <w:pPr>
              <w:snapToGrid w:val="0"/>
              <w:spacing w:line="4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投标人联系人信息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3123" w:type="dxa"/>
            <w:gridSpan w:val="2"/>
            <w:noWrap/>
            <w:vAlign w:val="center"/>
          </w:tcPr>
          <w:p>
            <w:pPr>
              <w:snapToGrid w:val="0"/>
              <w:spacing w:line="460" w:lineRule="exact"/>
              <w:ind w:firstLine="0" w:firstLineChars="0"/>
              <w:outlineLvl w:val="9"/>
              <w:rPr>
                <w:rFonts w:hint="eastAsia" w:ascii="仿宋" w:hAnsi="仿宋" w:eastAsia="仿宋" w:cs="仿宋"/>
                <w:color w:val="auto"/>
                <w:sz w:val="24"/>
                <w:szCs w:val="24"/>
              </w:rPr>
            </w:pPr>
          </w:p>
        </w:tc>
        <w:tc>
          <w:tcPr>
            <w:tcW w:w="1735" w:type="dxa"/>
            <w:gridSpan w:val="2"/>
            <w:noWrap/>
            <w:vAlign w:val="center"/>
          </w:tcPr>
          <w:p>
            <w:pPr>
              <w:snapToGrid w:val="0"/>
              <w:spacing w:line="4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移动电话</w:t>
            </w:r>
          </w:p>
        </w:tc>
        <w:tc>
          <w:tcPr>
            <w:tcW w:w="2917" w:type="dxa"/>
            <w:noWrap/>
            <w:vAlign w:val="center"/>
          </w:tcPr>
          <w:p>
            <w:pPr>
              <w:snapToGrid w:val="0"/>
              <w:spacing w:line="460" w:lineRule="exact"/>
              <w:ind w:firstLine="0" w:firstLineChars="0"/>
              <w:outlineLvl w:val="9"/>
              <w:rPr>
                <w:rFonts w:hint="eastAsia" w:ascii="仿宋" w:hAnsi="仿宋" w:eastAsia="仿宋" w:cs="仿宋"/>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固定电话</w:t>
            </w:r>
          </w:p>
        </w:tc>
        <w:tc>
          <w:tcPr>
            <w:tcW w:w="3123" w:type="dxa"/>
            <w:gridSpan w:val="2"/>
            <w:noWrap/>
            <w:vAlign w:val="center"/>
          </w:tcPr>
          <w:p>
            <w:pPr>
              <w:snapToGrid w:val="0"/>
              <w:spacing w:line="460" w:lineRule="exact"/>
              <w:ind w:firstLine="0" w:firstLineChars="0"/>
              <w:outlineLvl w:val="9"/>
              <w:rPr>
                <w:rFonts w:hint="eastAsia" w:ascii="仿宋" w:hAnsi="仿宋" w:eastAsia="仿宋" w:cs="仿宋"/>
                <w:color w:val="auto"/>
                <w:sz w:val="24"/>
                <w:szCs w:val="24"/>
              </w:rPr>
            </w:pPr>
          </w:p>
        </w:tc>
        <w:tc>
          <w:tcPr>
            <w:tcW w:w="1735" w:type="dxa"/>
            <w:gridSpan w:val="2"/>
            <w:noWrap/>
            <w:vAlign w:val="center"/>
          </w:tcPr>
          <w:p>
            <w:pPr>
              <w:snapToGrid w:val="0"/>
              <w:spacing w:line="4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电子邮箱</w:t>
            </w:r>
          </w:p>
        </w:tc>
        <w:tc>
          <w:tcPr>
            <w:tcW w:w="2917" w:type="dxa"/>
            <w:noWrap/>
            <w:vAlign w:val="center"/>
          </w:tcPr>
          <w:p>
            <w:pPr>
              <w:snapToGrid w:val="0"/>
              <w:spacing w:line="460" w:lineRule="exact"/>
              <w:ind w:firstLine="0" w:firstLineChars="0"/>
              <w:outlineLvl w:val="9"/>
              <w:rPr>
                <w:rFonts w:hint="eastAsia" w:ascii="仿宋" w:hAnsi="仿宋" w:eastAsia="仿宋" w:cs="仿宋"/>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bottom w:val="thinThickSmallGap" w:color="auto" w:sz="12" w:space="0"/>
            </w:tcBorders>
            <w:noWrap/>
            <w:vAlign w:val="center"/>
          </w:tcPr>
          <w:p>
            <w:pPr>
              <w:snapToGrid w:val="0"/>
              <w:spacing w:line="4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企业简介：（可另附页或企业对外宣传手册，如有附后）</w:t>
            </w:r>
          </w:p>
        </w:tc>
      </w:tr>
    </w:tbl>
    <w:p>
      <w:pPr>
        <w:ind w:right="-21" w:rightChars="-10" w:firstLine="4800" w:firstLineChars="2000"/>
        <w:jc w:val="right"/>
        <w:outlineLvl w:val="9"/>
        <w:rPr>
          <w:rFonts w:hint="eastAsia" w:ascii="仿宋" w:hAnsi="仿宋" w:eastAsia="仿宋" w:cs="仿宋"/>
          <w:color w:val="auto"/>
          <w:sz w:val="24"/>
          <w:szCs w:val="24"/>
        </w:rPr>
      </w:pPr>
      <w:r>
        <w:rPr>
          <w:rFonts w:hint="eastAsia" w:ascii="仿宋" w:hAnsi="仿宋" w:eastAsia="仿宋" w:cs="仿宋"/>
          <w:color w:val="auto"/>
          <w:sz w:val="24"/>
          <w:szCs w:val="24"/>
        </w:rPr>
        <w:t>投标人（盖章）：</w:t>
      </w:r>
    </w:p>
    <w:p>
      <w:pPr>
        <w:ind w:right="-21" w:rightChars="-10" w:firstLine="480"/>
        <w:jc w:val="right"/>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法定代表人或委托代理人（签字或盖章）：</w:t>
      </w:r>
    </w:p>
    <w:p>
      <w:pPr>
        <w:ind w:left="0" w:leftChars="0" w:firstLine="5040" w:firstLineChars="2100"/>
        <w:jc w:val="right"/>
        <w:outlineLvl w:val="9"/>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rPr>
        <w:t>日    期：</w:t>
      </w:r>
      <w:r>
        <w:rPr>
          <w:rFonts w:hint="eastAsia" w:ascii="仿宋" w:hAnsi="仿宋" w:eastAsia="仿宋" w:cs="仿宋"/>
          <w:b/>
          <w:color w:val="auto"/>
          <w:kern w:val="2"/>
          <w:sz w:val="24"/>
          <w:szCs w:val="24"/>
          <w:highlight w:val="none"/>
          <w:lang w:val="en-US" w:eastAsia="zh-CN" w:bidi="ar-SA"/>
        </w:rPr>
        <w:br w:type="page"/>
      </w:r>
    </w:p>
    <w:p>
      <w:pPr>
        <w:widowControl w:val="0"/>
        <w:snapToGrid w:val="0"/>
        <w:spacing w:line="360" w:lineRule="auto"/>
        <w:ind w:left="0" w:firstLine="0" w:firstLineChars="0"/>
        <w:jc w:val="both"/>
        <w:outlineLvl w:val="9"/>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8"/>
          <w:szCs w:val="28"/>
          <w:highlight w:val="none"/>
          <w:lang w:val="en-US" w:eastAsia="zh-CN"/>
        </w:rPr>
        <w:t>附件9：</w:t>
      </w:r>
    </w:p>
    <w:p>
      <w:pPr>
        <w:widowControl w:val="0"/>
        <w:snapToGrid w:val="0"/>
        <w:spacing w:line="360" w:lineRule="auto"/>
        <w:ind w:left="0" w:firstLine="0" w:firstLineChars="0"/>
        <w:jc w:val="center"/>
        <w:outlineLvl w:val="9"/>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8"/>
          <w:szCs w:val="28"/>
          <w:highlight w:val="none"/>
          <w:lang w:val="en-US" w:eastAsia="zh-CN"/>
        </w:rPr>
        <w:t>同类项目业绩实施情况一览表</w:t>
      </w:r>
    </w:p>
    <w:p>
      <w:pPr>
        <w:widowControl w:val="0"/>
        <w:snapToGrid w:val="0"/>
        <w:spacing w:line="360" w:lineRule="auto"/>
        <w:ind w:left="0" w:firstLine="0" w:firstLineChars="0"/>
        <w:jc w:val="both"/>
        <w:outlineLvl w:val="9"/>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项目名称：                                             项目编号：                    </w:t>
      </w:r>
    </w:p>
    <w:tbl>
      <w:tblPr>
        <w:tblStyle w:val="24"/>
        <w:tblW w:w="91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1"/>
        <w:gridCol w:w="1380"/>
        <w:gridCol w:w="1456"/>
        <w:gridCol w:w="1170"/>
        <w:gridCol w:w="1980"/>
        <w:gridCol w:w="13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6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采购单位名称</w:t>
            </w:r>
          </w:p>
        </w:tc>
        <w:tc>
          <w:tcPr>
            <w:tcW w:w="13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项目名称</w:t>
            </w:r>
          </w:p>
        </w:tc>
        <w:tc>
          <w:tcPr>
            <w:tcW w:w="145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签约时间</w:t>
            </w:r>
          </w:p>
        </w:tc>
        <w:tc>
          <w:tcPr>
            <w:tcW w:w="11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金额</w:t>
            </w:r>
          </w:p>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（万元）</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附件页码</w:t>
            </w:r>
          </w:p>
        </w:tc>
        <w:tc>
          <w:tcPr>
            <w:tcW w:w="13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9" w:hRule="atLeast"/>
          <w:jc w:val="center"/>
        </w:trPr>
        <w:tc>
          <w:tcPr>
            <w:tcW w:w="17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80"/>
              <w:jc w:val="left"/>
              <w:outlineLvl w:val="9"/>
              <w:rPr>
                <w:rFonts w:hint="eastAsia" w:ascii="仿宋" w:hAnsi="仿宋" w:eastAsia="仿宋" w:cs="仿宋"/>
                <w:color w:val="auto"/>
                <w:sz w:val="24"/>
                <w:szCs w:val="24"/>
                <w:highlight w:val="none"/>
              </w:rPr>
            </w:pPr>
          </w:p>
        </w:tc>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80"/>
              <w:jc w:val="left"/>
              <w:outlineLvl w:val="9"/>
              <w:rPr>
                <w:rFonts w:hint="eastAsia" w:ascii="仿宋" w:hAnsi="仿宋" w:eastAsia="仿宋" w:cs="仿宋"/>
                <w:color w:val="auto"/>
                <w:sz w:val="24"/>
                <w:szCs w:val="24"/>
                <w:highlight w:val="none"/>
              </w:rPr>
            </w:pPr>
          </w:p>
        </w:tc>
        <w:tc>
          <w:tcPr>
            <w:tcW w:w="1456" w:type="dxa"/>
            <w:vMerge w:val="continue"/>
            <w:tcBorders>
              <w:left w:val="single" w:color="auto" w:sz="4" w:space="0"/>
              <w:bottom w:val="single" w:color="auto" w:sz="4" w:space="0"/>
              <w:right w:val="single" w:color="auto" w:sz="4" w:space="0"/>
            </w:tcBorders>
            <w:noWrap w:val="0"/>
            <w:vAlign w:val="center"/>
          </w:tcPr>
          <w:p>
            <w:pPr>
              <w:widowControl/>
              <w:ind w:firstLine="480"/>
              <w:jc w:val="left"/>
              <w:outlineLvl w:val="9"/>
              <w:rPr>
                <w:rFonts w:hint="eastAsia" w:ascii="仿宋" w:hAnsi="仿宋" w:eastAsia="仿宋" w:cs="仿宋"/>
                <w:color w:val="auto"/>
                <w:sz w:val="24"/>
                <w:szCs w:val="24"/>
                <w:highlight w:val="none"/>
              </w:rPr>
            </w:pPr>
          </w:p>
        </w:tc>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80"/>
              <w:jc w:val="left"/>
              <w:outlineLvl w:val="9"/>
              <w:rPr>
                <w:rFonts w:hint="eastAsia" w:ascii="仿宋" w:hAnsi="仿宋" w:eastAsia="仿宋" w:cs="仿宋"/>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w:t>
            </w:r>
          </w:p>
        </w:tc>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80"/>
              <w:jc w:val="left"/>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left="0" w:leftChars="0" w:firstLine="0" w:firstLineChars="0"/>
              <w:jc w:val="both"/>
              <w:outlineLvl w:val="9"/>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ind w:firstLine="480"/>
              <w:jc w:val="center"/>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备注</w:t>
            </w:r>
          </w:p>
        </w:tc>
        <w:tc>
          <w:tcPr>
            <w:tcW w:w="736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根据评分标准提供相关资料附后</w:t>
            </w:r>
          </w:p>
        </w:tc>
      </w:tr>
    </w:tbl>
    <w:p>
      <w:pPr>
        <w:pStyle w:val="10"/>
        <w:snapToGrid w:val="0"/>
        <w:outlineLvl w:val="9"/>
        <w:rPr>
          <w:rFonts w:hint="eastAsia" w:ascii="仿宋" w:hAnsi="仿宋" w:eastAsia="仿宋" w:cs="仿宋"/>
          <w:color w:val="auto"/>
          <w:sz w:val="24"/>
          <w:szCs w:val="24"/>
          <w:highlight w:val="none"/>
        </w:rPr>
      </w:pPr>
    </w:p>
    <w:p>
      <w:pPr>
        <w:ind w:left="4788" w:leftChars="2280" w:right="-21" w:rightChars="-10" w:firstLine="0" w:firstLineChars="0"/>
        <w:jc w:val="righ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投标人（盖章）：</w:t>
      </w:r>
    </w:p>
    <w:p>
      <w:pPr>
        <w:ind w:right="-21" w:rightChars="-10" w:firstLine="480"/>
        <w:jc w:val="righ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法定代表人或委托代理人</w:t>
      </w:r>
      <w:r>
        <w:rPr>
          <w:rFonts w:hint="eastAsia" w:ascii="仿宋" w:hAnsi="仿宋" w:eastAsia="仿宋" w:cs="仿宋"/>
          <w:color w:val="auto"/>
          <w:sz w:val="24"/>
          <w:szCs w:val="24"/>
          <w:highlight w:val="none"/>
        </w:rPr>
        <w:t>（签字或盖章）：</w:t>
      </w:r>
    </w:p>
    <w:p>
      <w:pPr>
        <w:ind w:firstLine="5040" w:firstLineChars="2100"/>
        <w:jc w:val="right"/>
        <w:outlineLvl w:val="9"/>
        <w:rPr>
          <w:rFonts w:hint="eastAsia" w:ascii="仿宋" w:hAnsi="仿宋" w:eastAsia="仿宋" w:cs="仿宋"/>
          <w:b/>
          <w:color w:val="auto"/>
          <w:sz w:val="28"/>
          <w:szCs w:val="28"/>
          <w:highlight w:val="none"/>
        </w:rPr>
      </w:pPr>
      <w:r>
        <w:rPr>
          <w:rFonts w:hint="eastAsia" w:ascii="仿宋" w:hAnsi="仿宋" w:eastAsia="仿宋" w:cs="仿宋"/>
          <w:color w:val="auto"/>
          <w:sz w:val="24"/>
          <w:szCs w:val="24"/>
          <w:highlight w:val="none"/>
        </w:rPr>
        <w:t>日    期：</w:t>
      </w:r>
      <w:r>
        <w:rPr>
          <w:rFonts w:hint="eastAsia" w:ascii="仿宋" w:hAnsi="仿宋" w:eastAsia="仿宋" w:cs="仿宋"/>
          <w:b/>
          <w:color w:val="auto"/>
          <w:sz w:val="28"/>
          <w:szCs w:val="28"/>
          <w:highlight w:val="none"/>
        </w:rPr>
        <w:br w:type="page"/>
      </w:r>
    </w:p>
    <w:p>
      <w:pPr>
        <w:spacing w:before="120" w:beforeLines="50" w:after="50"/>
        <w:ind w:left="0" w:leftChars="0" w:right="600" w:firstLine="0" w:firstLineChars="0"/>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10</w:t>
      </w:r>
      <w:r>
        <w:rPr>
          <w:rFonts w:hint="eastAsia" w:ascii="仿宋" w:hAnsi="仿宋" w:eastAsia="仿宋" w:cs="仿宋"/>
          <w:b/>
          <w:color w:val="auto"/>
          <w:sz w:val="28"/>
          <w:szCs w:val="28"/>
          <w:highlight w:val="none"/>
        </w:rPr>
        <w:t>：</w:t>
      </w:r>
    </w:p>
    <w:p>
      <w:pPr>
        <w:ind w:firstLine="562"/>
        <w:jc w:val="center"/>
        <w:outlineLvl w:val="9"/>
        <w:rPr>
          <w:rFonts w:hint="eastAsia" w:ascii="仿宋" w:hAnsi="仿宋" w:eastAsia="仿宋" w:cs="仿宋"/>
          <w:color w:val="auto"/>
          <w:highlight w:val="none"/>
        </w:rPr>
      </w:pPr>
      <w:r>
        <w:rPr>
          <w:rFonts w:hint="eastAsia" w:ascii="仿宋" w:hAnsi="仿宋" w:eastAsia="仿宋" w:cs="仿宋"/>
          <w:b/>
          <w:color w:val="auto"/>
          <w:sz w:val="28"/>
          <w:szCs w:val="28"/>
          <w:highlight w:val="none"/>
        </w:rPr>
        <w:t>开标一览表</w:t>
      </w:r>
    </w:p>
    <w:p>
      <w:pPr>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项目编号：                                               </w:t>
      </w:r>
    </w:p>
    <w:p>
      <w:pPr>
        <w:ind w:firstLine="48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24"/>
        <w:tblW w:w="832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3"/>
        <w:gridCol w:w="4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3893" w:type="dxa"/>
            <w:noWrap w:val="0"/>
            <w:vAlign w:val="center"/>
          </w:tcPr>
          <w:p>
            <w:pPr>
              <w:ind w:firstLine="0" w:firstLineChars="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名称</w:t>
            </w:r>
          </w:p>
        </w:tc>
        <w:tc>
          <w:tcPr>
            <w:tcW w:w="4432" w:type="dxa"/>
            <w:noWrap w:val="0"/>
            <w:vAlign w:val="center"/>
          </w:tcPr>
          <w:p>
            <w:pPr>
              <w:ind w:firstLine="0" w:firstLineChars="0"/>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trPr>
        <w:tc>
          <w:tcPr>
            <w:tcW w:w="3893" w:type="dxa"/>
            <w:noWrap w:val="0"/>
            <w:vAlign w:val="center"/>
          </w:tcPr>
          <w:p>
            <w:pPr>
              <w:ind w:firstLine="0" w:firstLineChars="0"/>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嵊州市益嘉配送有限公司（2024-2027）年大米采购项目</w:t>
            </w:r>
          </w:p>
        </w:tc>
        <w:tc>
          <w:tcPr>
            <w:tcW w:w="4432" w:type="dxa"/>
            <w:noWrap w:val="0"/>
            <w:vAlign w:val="center"/>
          </w:tcPr>
          <w:p>
            <w:pPr>
              <w:ind w:left="0" w:leftChars="0" w:firstLine="0" w:firstLineChars="0"/>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pPr>
        <w:ind w:left="0" w:leftChars="0" w:firstLine="0" w:firstLineChars="0"/>
        <w:outlineLvl w:val="9"/>
        <w:rPr>
          <w:rFonts w:hint="eastAsia" w:ascii="仿宋" w:hAnsi="仿宋" w:eastAsia="仿宋" w:cs="仿宋"/>
          <w:color w:val="auto"/>
          <w:sz w:val="24"/>
          <w:szCs w:val="24"/>
          <w:highlight w:val="none"/>
        </w:rPr>
      </w:pPr>
    </w:p>
    <w:p>
      <w:pPr>
        <w:ind w:right="-21" w:rightChars="-10" w:firstLine="480"/>
        <w:jc w:val="righ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pPr>
        <w:ind w:right="-21" w:rightChars="-10" w:firstLine="480"/>
        <w:jc w:val="righ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pPr>
        <w:ind w:firstLine="480"/>
        <w:jc w:val="right"/>
        <w:outlineLvl w:val="9"/>
        <w:rPr>
          <w:rFonts w:hint="eastAsia" w:ascii="仿宋" w:hAnsi="仿宋" w:eastAsia="仿宋" w:cs="仿宋"/>
          <w:color w:val="auto"/>
          <w:kern w:val="0"/>
          <w:szCs w:val="21"/>
          <w:highlight w:val="none"/>
        </w:rPr>
      </w:pPr>
      <w:r>
        <w:rPr>
          <w:rFonts w:hint="eastAsia" w:ascii="仿宋" w:hAnsi="仿宋" w:eastAsia="仿宋" w:cs="仿宋"/>
          <w:color w:val="auto"/>
          <w:sz w:val="24"/>
          <w:szCs w:val="24"/>
          <w:highlight w:val="none"/>
        </w:rPr>
        <w:t>日    期：</w:t>
      </w:r>
    </w:p>
    <w:p>
      <w:pPr>
        <w:pStyle w:val="14"/>
        <w:snapToGrid w:val="0"/>
        <w:spacing w:before="120" w:after="120" w:line="360" w:lineRule="auto"/>
        <w:outlineLvl w:val="9"/>
        <w:rPr>
          <w:rFonts w:hint="eastAsia" w:ascii="仿宋" w:hAnsi="仿宋" w:eastAsia="仿宋" w:cs="仿宋"/>
          <w:b/>
          <w:color w:val="auto"/>
          <w:sz w:val="24"/>
          <w:szCs w:val="24"/>
          <w:highlight w:val="none"/>
        </w:rPr>
      </w:pPr>
      <w:bookmarkStart w:id="279" w:name="开标一览表"/>
      <w:bookmarkEnd w:id="279"/>
    </w:p>
    <w:p>
      <w:pPr>
        <w:ind w:left="0" w:lef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kern w:val="2"/>
          <w:sz w:val="28"/>
          <w:szCs w:val="28"/>
          <w:highlight w:val="none"/>
          <w:lang w:val="en-US" w:eastAsia="zh-CN" w:bidi="ar-SA"/>
        </w:rPr>
        <w:t>附件11：</w:t>
      </w:r>
    </w:p>
    <w:p>
      <w:pPr>
        <w:pStyle w:val="60"/>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b/>
          <w:bCs/>
          <w:color w:val="auto"/>
          <w:sz w:val="28"/>
          <w:szCs w:val="28"/>
        </w:rPr>
      </w:pPr>
      <w:r>
        <w:rPr>
          <w:rFonts w:hint="eastAsia" w:ascii="仿宋" w:hAnsi="仿宋" w:eastAsia="仿宋" w:cs="仿宋"/>
          <w:b/>
          <w:color w:val="auto"/>
          <w:kern w:val="2"/>
          <w:sz w:val="28"/>
          <w:szCs w:val="28"/>
          <w:highlight w:val="none"/>
          <w:lang w:val="en-US" w:eastAsia="zh-CN" w:bidi="ar-SA"/>
        </w:rPr>
        <w:t>政企采购活动现场确认声明书</w:t>
      </w:r>
    </w:p>
    <w:p>
      <w:pPr>
        <w:pStyle w:val="60"/>
        <w:keepNext w:val="0"/>
        <w:keepLines w:val="0"/>
        <w:pageBreakBefore w:val="0"/>
        <w:widowControl w:val="0"/>
        <w:kinsoku/>
        <w:wordWrap/>
        <w:overflowPunct/>
        <w:topLinePunct w:val="0"/>
        <w:autoSpaceDE/>
        <w:autoSpaceDN/>
        <w:bidi w:val="0"/>
        <w:adjustRightInd/>
        <w:snapToGrid w:val="0"/>
        <w:spacing w:line="440" w:lineRule="exact"/>
        <w:jc w:val="both"/>
        <w:textAlignment w:val="auto"/>
        <w:outlineLvl w:val="9"/>
        <w:rPr>
          <w:rFonts w:hint="eastAsia" w:ascii="仿宋" w:hAnsi="仿宋" w:eastAsia="仿宋" w:cs="仿宋"/>
          <w:b/>
          <w:color w:val="auto"/>
          <w:sz w:val="24"/>
          <w:szCs w:val="24"/>
        </w:rPr>
      </w:pPr>
      <w:r>
        <w:rPr>
          <w:rFonts w:hint="eastAsia" w:ascii="仿宋" w:hAnsi="仿宋" w:eastAsia="仿宋" w:cs="仿宋"/>
          <w:color w:val="auto"/>
          <w:kern w:val="0"/>
          <w:sz w:val="24"/>
          <w:szCs w:val="24"/>
          <w:u w:val="single"/>
          <w:lang w:val="en-US" w:eastAsia="zh-CN"/>
        </w:rPr>
        <w:t>绍兴平准招标代理有限公司</w:t>
      </w:r>
      <w:r>
        <w:rPr>
          <w:rFonts w:hint="eastAsia" w:ascii="仿宋" w:hAnsi="仿宋" w:eastAsia="仿宋" w:cs="仿宋"/>
          <w:color w:val="auto"/>
          <w:kern w:val="0"/>
          <w:sz w:val="24"/>
          <w:szCs w:val="24"/>
        </w:rPr>
        <w:t>：</w:t>
      </w:r>
    </w:p>
    <w:p>
      <w:pPr>
        <w:pStyle w:val="60"/>
        <w:keepNext w:val="0"/>
        <w:keepLines w:val="0"/>
        <w:pageBreakBefore w:val="0"/>
        <w:widowControl w:val="0"/>
        <w:kinsoku/>
        <w:wordWrap/>
        <w:overflowPunct/>
        <w:topLinePunct w:val="0"/>
        <w:autoSpaceDE/>
        <w:autoSpaceDN/>
        <w:bidi w:val="0"/>
        <w:adjustRightInd/>
        <w:snapToGrid w:val="0"/>
        <w:spacing w:line="440" w:lineRule="exact"/>
        <w:ind w:firstLine="504" w:firstLineChars="200"/>
        <w:jc w:val="both"/>
        <w:textAlignment w:val="auto"/>
        <w:outlineLvl w:val="9"/>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本人</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w:t>
      </w:r>
      <w:r>
        <w:rPr>
          <w:rFonts w:hint="eastAsia" w:ascii="仿宋" w:hAnsi="仿宋" w:eastAsia="仿宋" w:cs="仿宋"/>
          <w:i/>
          <w:iCs/>
          <w:color w:val="auto"/>
          <w:spacing w:val="6"/>
          <w:sz w:val="24"/>
          <w:szCs w:val="24"/>
          <w:u w:val="single"/>
        </w:rPr>
        <w:t xml:space="preserve">    </w:t>
      </w:r>
      <w:r>
        <w:rPr>
          <w:rFonts w:hint="eastAsia" w:ascii="仿宋" w:hAnsi="仿宋" w:eastAsia="仿宋" w:cs="仿宋"/>
          <w:color w:val="auto"/>
          <w:spacing w:val="6"/>
          <w:sz w:val="24"/>
          <w:szCs w:val="24"/>
          <w:u w:val="single"/>
        </w:rPr>
        <w:t>（姓名）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pacing w:val="6"/>
          <w:sz w:val="24"/>
          <w:szCs w:val="24"/>
          <w:lang w:val="en-US" w:eastAsia="zh-CN"/>
        </w:rPr>
        <w:t xml:space="preserve"> </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 xml:space="preserve">）采购活动，经与本单位法人代表（负责人）联系确认，现就有关公平竞争事项郑重声明如下： </w:t>
      </w:r>
    </w:p>
    <w:p>
      <w:pPr>
        <w:pStyle w:val="61"/>
        <w:keepNext w:val="0"/>
        <w:keepLines w:val="0"/>
        <w:pageBreakBefore w:val="0"/>
        <w:widowControl/>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p>
    <w:p>
      <w:pPr>
        <w:pStyle w:val="61"/>
        <w:keepNext w:val="0"/>
        <w:keepLines w:val="0"/>
        <w:pageBreakBefore w:val="0"/>
        <w:widowControl/>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不存在利害关系;</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pPr>
        <w:pStyle w:val="61"/>
        <w:keepNext w:val="0"/>
        <w:keepLines w:val="0"/>
        <w:pageBreakBefore w:val="0"/>
        <w:widowControl/>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A.投资关系    B.行政隶属关系    C.业务指导关系</w:t>
      </w:r>
    </w:p>
    <w:p>
      <w:pPr>
        <w:pStyle w:val="61"/>
        <w:keepNext w:val="0"/>
        <w:keepLines w:val="0"/>
        <w:pageBreakBefore w:val="0"/>
        <w:widowControl/>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pPr>
        <w:pStyle w:val="61"/>
        <w:keepNext w:val="0"/>
        <w:keepLines w:val="0"/>
        <w:pageBreakBefore w:val="0"/>
        <w:widowControl/>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p>
    <w:p>
      <w:pPr>
        <w:pStyle w:val="61"/>
        <w:keepNext w:val="0"/>
        <w:keepLines w:val="0"/>
        <w:pageBreakBefore w:val="0"/>
        <w:widowControl/>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 xml:space="preserve">与其他所有供应商之间均不存在利害关系 </w:t>
      </w:r>
    </w:p>
    <w:p>
      <w:pPr>
        <w:pStyle w:val="61"/>
        <w:keepNext w:val="0"/>
        <w:keepLines w:val="0"/>
        <w:pageBreakBefore w:val="0"/>
        <w:widowControl/>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pPr>
        <w:pStyle w:val="60"/>
        <w:keepNext w:val="0"/>
        <w:keepLines w:val="0"/>
        <w:pageBreakBefore w:val="0"/>
        <w:widowControl w:val="0"/>
        <w:kinsoku/>
        <w:wordWrap/>
        <w:overflowPunct/>
        <w:topLinePunct w:val="0"/>
        <w:autoSpaceDE/>
        <w:autoSpaceDN/>
        <w:bidi w:val="0"/>
        <w:adjustRightInd/>
        <w:snapToGrid w:val="0"/>
        <w:spacing w:line="440" w:lineRule="exact"/>
        <w:jc w:val="both"/>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pPr>
        <w:pStyle w:val="60"/>
        <w:keepNext w:val="0"/>
        <w:keepLines w:val="0"/>
        <w:pageBreakBefore w:val="0"/>
        <w:widowControl w:val="0"/>
        <w:kinsoku/>
        <w:wordWrap/>
        <w:overflowPunct/>
        <w:topLinePunct w:val="0"/>
        <w:autoSpaceDE/>
        <w:autoSpaceDN/>
        <w:bidi w:val="0"/>
        <w:adjustRightInd/>
        <w:snapToGrid w:val="0"/>
        <w:spacing w:line="440" w:lineRule="exact"/>
        <w:jc w:val="both"/>
        <w:textAlignment w:val="auto"/>
        <w:outlineLvl w:val="9"/>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pPr>
        <w:pStyle w:val="60"/>
        <w:keepNext w:val="0"/>
        <w:keepLines w:val="0"/>
        <w:pageBreakBefore w:val="0"/>
        <w:widowControl w:val="0"/>
        <w:kinsoku/>
        <w:wordWrap/>
        <w:overflowPunct/>
        <w:topLinePunct w:val="0"/>
        <w:autoSpaceDE/>
        <w:autoSpaceDN/>
        <w:bidi w:val="0"/>
        <w:adjustRightInd/>
        <w:snapToGrid w:val="0"/>
        <w:spacing w:line="440" w:lineRule="exact"/>
        <w:jc w:val="both"/>
        <w:textAlignment w:val="auto"/>
        <w:outlineLvl w:val="9"/>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pPr>
        <w:pStyle w:val="60"/>
        <w:keepNext w:val="0"/>
        <w:keepLines w:val="0"/>
        <w:pageBreakBefore w:val="0"/>
        <w:widowControl w:val="0"/>
        <w:kinsoku/>
        <w:wordWrap/>
        <w:overflowPunct/>
        <w:topLinePunct w:val="0"/>
        <w:autoSpaceDE/>
        <w:autoSpaceDN/>
        <w:bidi w:val="0"/>
        <w:adjustRightInd/>
        <w:snapToGrid w:val="0"/>
        <w:spacing w:line="440" w:lineRule="exact"/>
        <w:jc w:val="both"/>
        <w:textAlignment w:val="auto"/>
        <w:outlineLvl w:val="9"/>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pPr>
        <w:pStyle w:val="60"/>
        <w:keepNext w:val="0"/>
        <w:keepLines w:val="0"/>
        <w:pageBreakBefore w:val="0"/>
        <w:widowControl w:val="0"/>
        <w:kinsoku/>
        <w:wordWrap/>
        <w:overflowPunct/>
        <w:topLinePunct w:val="0"/>
        <w:autoSpaceDE/>
        <w:autoSpaceDN/>
        <w:bidi w:val="0"/>
        <w:adjustRightInd/>
        <w:snapToGrid w:val="0"/>
        <w:spacing w:line="440" w:lineRule="exact"/>
        <w:jc w:val="both"/>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pPr>
        <w:pStyle w:val="60"/>
        <w:keepNext w:val="0"/>
        <w:keepLines w:val="0"/>
        <w:pageBreakBefore w:val="0"/>
        <w:widowControl w:val="0"/>
        <w:kinsoku/>
        <w:wordWrap/>
        <w:overflowPunct/>
        <w:topLinePunct w:val="0"/>
        <w:autoSpaceDE/>
        <w:autoSpaceDN/>
        <w:bidi w:val="0"/>
        <w:adjustRightInd/>
        <w:snapToGrid w:val="0"/>
        <w:spacing w:line="440" w:lineRule="exact"/>
        <w:jc w:val="both"/>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pPr>
        <w:pStyle w:val="60"/>
        <w:keepNext w:val="0"/>
        <w:keepLines w:val="0"/>
        <w:pageBreakBefore w:val="0"/>
        <w:widowControl w:val="0"/>
        <w:kinsoku/>
        <w:wordWrap/>
        <w:overflowPunct/>
        <w:topLinePunct w:val="0"/>
        <w:autoSpaceDE/>
        <w:autoSpaceDN/>
        <w:bidi w:val="0"/>
        <w:adjustRightInd/>
        <w:snapToGrid w:val="0"/>
        <w:spacing w:line="440" w:lineRule="exact"/>
        <w:jc w:val="both"/>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G.存在共同直接或间接投资设立子公司、联营企业和合营企业情况</w:t>
      </w:r>
    </w:p>
    <w:p>
      <w:pPr>
        <w:pStyle w:val="60"/>
        <w:keepNext w:val="0"/>
        <w:keepLines w:val="0"/>
        <w:pageBreakBefore w:val="0"/>
        <w:widowControl w:val="0"/>
        <w:kinsoku/>
        <w:wordWrap/>
        <w:overflowPunct/>
        <w:topLinePunct w:val="0"/>
        <w:autoSpaceDE/>
        <w:autoSpaceDN/>
        <w:bidi w:val="0"/>
        <w:adjustRightInd/>
        <w:snapToGrid w:val="0"/>
        <w:spacing w:line="4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pPr>
        <w:pStyle w:val="60"/>
        <w:keepNext w:val="0"/>
        <w:keepLines w:val="0"/>
        <w:pageBreakBefore w:val="0"/>
        <w:widowControl w:val="0"/>
        <w:kinsoku/>
        <w:wordWrap/>
        <w:overflowPunct/>
        <w:topLinePunct w:val="0"/>
        <w:autoSpaceDE/>
        <w:autoSpaceDN/>
        <w:bidi w:val="0"/>
        <w:adjustRightInd/>
        <w:snapToGrid w:val="0"/>
        <w:spacing w:line="440" w:lineRule="exact"/>
        <w:jc w:val="both"/>
        <w:textAlignment w:val="auto"/>
        <w:outlineLvl w:val="9"/>
        <w:rPr>
          <w:rFonts w:hint="eastAsia" w:ascii="仿宋" w:hAnsi="仿宋" w:eastAsia="仿宋" w:cs="仿宋"/>
          <w:color w:val="auto"/>
          <w:spacing w:val="6"/>
          <w:sz w:val="24"/>
          <w:szCs w:val="24"/>
        </w:rPr>
      </w:pPr>
      <w:r>
        <w:rPr>
          <w:rFonts w:hint="eastAsia" w:ascii="仿宋" w:hAnsi="仿宋" w:eastAsia="仿宋" w:cs="仿宋"/>
          <w:color w:val="auto"/>
          <w:sz w:val="24"/>
          <w:szCs w:val="24"/>
        </w:rPr>
        <w:t xml:space="preserve">  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pPr>
        <w:pStyle w:val="61"/>
        <w:keepNext w:val="0"/>
        <w:keepLines w:val="0"/>
        <w:pageBreakBefore w:val="0"/>
        <w:widowControl/>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三、现已清楚知道并</w:t>
      </w:r>
      <w:r>
        <w:rPr>
          <w:rFonts w:hint="eastAsia" w:ascii="仿宋" w:hAnsi="仿宋" w:eastAsia="仿宋" w:cs="仿宋"/>
          <w:color w:val="auto"/>
          <w:kern w:val="0"/>
          <w:sz w:val="24"/>
          <w:szCs w:val="24"/>
        </w:rPr>
        <w:t>严格遵守采购法律法规和现场纪律。</w:t>
      </w:r>
    </w:p>
    <w:p>
      <w:pPr>
        <w:pStyle w:val="61"/>
        <w:keepNext w:val="0"/>
        <w:keepLines w:val="0"/>
        <w:pageBreakBefore w:val="0"/>
        <w:widowControl/>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四、我发现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pPr>
        <w:ind w:left="0" w:leftChars="0" w:firstLine="0" w:firstLineChars="0"/>
        <w:jc w:val="right"/>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（供应商代表签名）                                </w:t>
      </w:r>
    </w:p>
    <w:p>
      <w:pPr>
        <w:ind w:left="0" w:leftChars="0"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rPr>
        <w:t xml:space="preserve">  月   日</w:t>
      </w:r>
    </w:p>
    <w:p>
      <w:pPr>
        <w:spacing w:line="240" w:lineRule="auto"/>
        <w:ind w:left="0" w:leftChars="0" w:firstLine="0" w:firstLineChars="0"/>
        <w:jc w:val="both"/>
        <w:outlineLvl w:val="9"/>
        <w:rPr>
          <w:rFonts w:hint="eastAsia" w:ascii="仿宋" w:hAnsi="仿宋" w:eastAsia="仿宋" w:cs="仿宋"/>
          <w:color w:val="auto"/>
          <w:sz w:val="24"/>
          <w:szCs w:val="24"/>
          <w:highlight w:val="none"/>
        </w:rPr>
      </w:pPr>
      <w:r>
        <w:rPr>
          <w:rFonts w:hint="eastAsia" w:ascii="仿宋" w:hAnsi="仿宋" w:eastAsia="仿宋" w:cs="仿宋"/>
          <w:b/>
          <w:color w:val="auto"/>
          <w:sz w:val="28"/>
          <w:szCs w:val="28"/>
          <w:highlight w:val="none"/>
          <w:lang w:val="en-US" w:eastAsia="zh-CN"/>
        </w:rPr>
        <w:t>附件12：</w:t>
      </w:r>
    </w:p>
    <w:p>
      <w:pPr>
        <w:spacing w:line="240" w:lineRule="auto"/>
        <w:ind w:left="0" w:leftChars="0" w:firstLine="0" w:firstLineChars="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www.creditchina.gov.cn</w:t>
      </w:r>
      <w:r>
        <w:rPr>
          <w:rFonts w:hint="eastAsia" w:ascii="仿宋" w:hAnsi="仿宋" w:eastAsia="仿宋" w:cs="仿宋"/>
          <w:color w:val="auto"/>
          <w:sz w:val="24"/>
          <w:szCs w:val="24"/>
          <w:highlight w:val="none"/>
          <w:lang w:bidi="ar"/>
        </w:rPr>
        <w:t>截图示例</w:t>
      </w:r>
    </w:p>
    <w:p>
      <w:pPr>
        <w:snapToGrid w:val="0"/>
        <w:spacing w:line="720" w:lineRule="auto"/>
        <w:ind w:firstLine="0" w:firstLineChars="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114300" distR="114300">
            <wp:extent cx="5238115" cy="3615690"/>
            <wp:effectExtent l="0" t="0" r="6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5238115" cy="3615690"/>
                    </a:xfrm>
                    <a:prstGeom prst="rect">
                      <a:avLst/>
                    </a:prstGeom>
                    <a:noFill/>
                    <a:ln>
                      <a:noFill/>
                    </a:ln>
                  </pic:spPr>
                </pic:pic>
              </a:graphicData>
            </a:graphic>
          </wp:inline>
        </w:drawing>
      </w:r>
    </w:p>
    <w:p>
      <w:pPr>
        <w:snapToGrid w:val="0"/>
        <w:spacing w:line="440" w:lineRule="exact"/>
        <w:ind w:firstLine="480" w:firstLineChars="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www.ccgp.gov.cn截图示例</w:t>
      </w:r>
    </w:p>
    <w:p>
      <w:pPr>
        <w:widowControl w:val="0"/>
        <w:spacing w:after="120"/>
        <w:jc w:val="both"/>
        <w:outlineLvl w:val="9"/>
        <w:rPr>
          <w:rFonts w:hint="eastAsia" w:ascii="仿宋" w:hAnsi="仿宋" w:eastAsia="仿宋" w:cs="仿宋"/>
          <w:color w:val="auto"/>
          <w:sz w:val="24"/>
          <w:szCs w:val="24"/>
        </w:rPr>
      </w:pPr>
      <w:r>
        <w:rPr>
          <w:rFonts w:hint="eastAsia" w:ascii="仿宋" w:hAnsi="仿宋" w:eastAsia="仿宋" w:cs="仿宋"/>
          <w:color w:val="auto"/>
          <w:kern w:val="2"/>
          <w:sz w:val="24"/>
          <w:szCs w:val="24"/>
          <w:highlight w:val="none"/>
          <w:lang w:val="en-US" w:eastAsia="zh-CN" w:bidi="ar-SA"/>
        </w:rPr>
        <w:drawing>
          <wp:inline distT="0" distB="0" distL="114300" distR="114300">
            <wp:extent cx="5268595" cy="3613785"/>
            <wp:effectExtent l="0" t="0" r="8255" b="571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5268595" cy="3613785"/>
                    </a:xfrm>
                    <a:prstGeom prst="rect">
                      <a:avLst/>
                    </a:prstGeom>
                    <a:noFill/>
                    <a:ln>
                      <a:noFill/>
                    </a:ln>
                  </pic:spPr>
                </pic:pic>
              </a:graphicData>
            </a:graphic>
          </wp:inline>
        </w:drawing>
      </w:r>
    </w:p>
    <w:sectPr>
      <w:headerReference r:id="rId13" w:type="default"/>
      <w:footerReference r:id="rId14"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mc:Fallback>
      </mc:AlternateContent>
    </w:r>
  </w:p>
  <w:p>
    <w:pPr>
      <w:pStyle w:val="1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Lines="0" w:afterLines="0"/>
      <w:jc w:val="right"/>
      <w:rPr>
        <w:rFonts w:hint="eastAsia" w:ascii="仿宋_GB2312" w:eastAsia="仿宋_GB2312"/>
        <w:b/>
        <w:i/>
        <w:sz w:val="18"/>
        <w:szCs w:val="24"/>
        <w:u w:val="single"/>
      </w:rPr>
    </w:pPr>
    <w:r>
      <w:rPr>
        <w:rFonts w:hint="eastAsia"/>
        <w:sz w:val="18"/>
        <w:szCs w:val="24"/>
      </w:rPr>
      <w:t xml:space="preserve">                                 </w:t>
    </w:r>
  </w:p>
  <w:p>
    <w:pPr>
      <w:spacing w:beforeLines="0" w:afterLines="0"/>
      <w:rPr>
        <w:rFonts w:hint="eastAsia" w:ascii="仿宋_GB2312" w:hAnsi="Times New Roman" w:eastAsia="仿宋_GB2312"/>
        <w:b/>
        <w:i/>
        <w:sz w:val="18"/>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8BBF2"/>
    <w:multiLevelType w:val="singleLevel"/>
    <w:tmpl w:val="8748BBF2"/>
    <w:lvl w:ilvl="0" w:tentative="0">
      <w:start w:val="1"/>
      <w:numFmt w:val="decimal"/>
      <w:lvlText w:val="%1."/>
      <w:lvlJc w:val="left"/>
      <w:pPr>
        <w:tabs>
          <w:tab w:val="left" w:pos="312"/>
        </w:tabs>
      </w:pPr>
    </w:lvl>
  </w:abstractNum>
  <w:abstractNum w:abstractNumId="1">
    <w:nsid w:val="93B9F335"/>
    <w:multiLevelType w:val="singleLevel"/>
    <w:tmpl w:val="93B9F335"/>
    <w:lvl w:ilvl="0" w:tentative="0">
      <w:start w:val="1"/>
      <w:numFmt w:val="decimal"/>
      <w:pStyle w:val="8"/>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MTYxN2I2Y2M4NTRiZTBjZjdhNTkwZDYwMmQwNjEifQ=="/>
  </w:docVars>
  <w:rsids>
    <w:rsidRoot w:val="16274C80"/>
    <w:rsid w:val="00092509"/>
    <w:rsid w:val="003B3973"/>
    <w:rsid w:val="004E2611"/>
    <w:rsid w:val="005A2D64"/>
    <w:rsid w:val="006836D3"/>
    <w:rsid w:val="00854FBE"/>
    <w:rsid w:val="00865348"/>
    <w:rsid w:val="008878D1"/>
    <w:rsid w:val="009511AC"/>
    <w:rsid w:val="009C15CF"/>
    <w:rsid w:val="009F4C1B"/>
    <w:rsid w:val="00A5177B"/>
    <w:rsid w:val="00BD4C1F"/>
    <w:rsid w:val="00BE32F3"/>
    <w:rsid w:val="00DC19CB"/>
    <w:rsid w:val="00E443B8"/>
    <w:rsid w:val="00E72A23"/>
    <w:rsid w:val="00F52A8D"/>
    <w:rsid w:val="00FA00A3"/>
    <w:rsid w:val="0119677B"/>
    <w:rsid w:val="011A24F4"/>
    <w:rsid w:val="01352B1D"/>
    <w:rsid w:val="01401F5A"/>
    <w:rsid w:val="01565C22"/>
    <w:rsid w:val="016043AA"/>
    <w:rsid w:val="016559B0"/>
    <w:rsid w:val="017460A8"/>
    <w:rsid w:val="018604D1"/>
    <w:rsid w:val="018D000E"/>
    <w:rsid w:val="018E53BB"/>
    <w:rsid w:val="019432BD"/>
    <w:rsid w:val="01963E07"/>
    <w:rsid w:val="019714B2"/>
    <w:rsid w:val="01A22C15"/>
    <w:rsid w:val="01B97F5E"/>
    <w:rsid w:val="01D9415D"/>
    <w:rsid w:val="01EE6A86"/>
    <w:rsid w:val="01F01BD2"/>
    <w:rsid w:val="01FD42EF"/>
    <w:rsid w:val="0213141D"/>
    <w:rsid w:val="02291A32"/>
    <w:rsid w:val="02427F54"/>
    <w:rsid w:val="024E4B4B"/>
    <w:rsid w:val="026305F6"/>
    <w:rsid w:val="02747474"/>
    <w:rsid w:val="02824507"/>
    <w:rsid w:val="02881E0B"/>
    <w:rsid w:val="028B483E"/>
    <w:rsid w:val="02900890"/>
    <w:rsid w:val="029415CA"/>
    <w:rsid w:val="02987B74"/>
    <w:rsid w:val="02A147E9"/>
    <w:rsid w:val="02AD7782"/>
    <w:rsid w:val="02B80B7A"/>
    <w:rsid w:val="02BD0660"/>
    <w:rsid w:val="02C7275D"/>
    <w:rsid w:val="02DA018C"/>
    <w:rsid w:val="02ED4364"/>
    <w:rsid w:val="02EE513F"/>
    <w:rsid w:val="02F94AB6"/>
    <w:rsid w:val="031329E6"/>
    <w:rsid w:val="032C6F7A"/>
    <w:rsid w:val="03327BE2"/>
    <w:rsid w:val="034321D6"/>
    <w:rsid w:val="034C108A"/>
    <w:rsid w:val="034E1C04"/>
    <w:rsid w:val="03653EFA"/>
    <w:rsid w:val="036F3C68"/>
    <w:rsid w:val="03782B1A"/>
    <w:rsid w:val="038F1341"/>
    <w:rsid w:val="039048CF"/>
    <w:rsid w:val="03B1713F"/>
    <w:rsid w:val="03B427AD"/>
    <w:rsid w:val="03BD3D36"/>
    <w:rsid w:val="03C30473"/>
    <w:rsid w:val="03E2021C"/>
    <w:rsid w:val="03E33071"/>
    <w:rsid w:val="03F1578E"/>
    <w:rsid w:val="03F37758"/>
    <w:rsid w:val="03F62DA4"/>
    <w:rsid w:val="03FF60FC"/>
    <w:rsid w:val="04025BED"/>
    <w:rsid w:val="04137DFA"/>
    <w:rsid w:val="042F4508"/>
    <w:rsid w:val="0440490F"/>
    <w:rsid w:val="044C330C"/>
    <w:rsid w:val="04561A95"/>
    <w:rsid w:val="045D4CC5"/>
    <w:rsid w:val="046C750A"/>
    <w:rsid w:val="04727A0B"/>
    <w:rsid w:val="0482615E"/>
    <w:rsid w:val="04936845"/>
    <w:rsid w:val="049D3B67"/>
    <w:rsid w:val="04B74C29"/>
    <w:rsid w:val="04BB2BA7"/>
    <w:rsid w:val="04CB2483"/>
    <w:rsid w:val="04DE21B6"/>
    <w:rsid w:val="04F76DD4"/>
    <w:rsid w:val="050704DC"/>
    <w:rsid w:val="05410997"/>
    <w:rsid w:val="05526700"/>
    <w:rsid w:val="055E32F7"/>
    <w:rsid w:val="05656433"/>
    <w:rsid w:val="058A5E9A"/>
    <w:rsid w:val="058D6A20"/>
    <w:rsid w:val="05900FD6"/>
    <w:rsid w:val="05942874"/>
    <w:rsid w:val="05976809"/>
    <w:rsid w:val="05A54A82"/>
    <w:rsid w:val="05AA02EA"/>
    <w:rsid w:val="05AE0049"/>
    <w:rsid w:val="05B11678"/>
    <w:rsid w:val="05B22460"/>
    <w:rsid w:val="05B92B70"/>
    <w:rsid w:val="05CB200E"/>
    <w:rsid w:val="05D11D1B"/>
    <w:rsid w:val="05DB12CE"/>
    <w:rsid w:val="05E2157B"/>
    <w:rsid w:val="05E337FC"/>
    <w:rsid w:val="05F24570"/>
    <w:rsid w:val="05FB28F4"/>
    <w:rsid w:val="06085AC8"/>
    <w:rsid w:val="062912E5"/>
    <w:rsid w:val="062A64C0"/>
    <w:rsid w:val="063032E6"/>
    <w:rsid w:val="0639166E"/>
    <w:rsid w:val="06494D3A"/>
    <w:rsid w:val="06744454"/>
    <w:rsid w:val="067B57E2"/>
    <w:rsid w:val="068648B3"/>
    <w:rsid w:val="06872901"/>
    <w:rsid w:val="068B6787"/>
    <w:rsid w:val="0695567D"/>
    <w:rsid w:val="069C69C9"/>
    <w:rsid w:val="06B50CF4"/>
    <w:rsid w:val="06B70F10"/>
    <w:rsid w:val="06E82466"/>
    <w:rsid w:val="06F4757A"/>
    <w:rsid w:val="06F7755F"/>
    <w:rsid w:val="06FD08ED"/>
    <w:rsid w:val="070659F4"/>
    <w:rsid w:val="07097292"/>
    <w:rsid w:val="071F2612"/>
    <w:rsid w:val="07241C47"/>
    <w:rsid w:val="072A0393"/>
    <w:rsid w:val="072D2F81"/>
    <w:rsid w:val="073B6A3E"/>
    <w:rsid w:val="073F4A62"/>
    <w:rsid w:val="075E75DE"/>
    <w:rsid w:val="07943000"/>
    <w:rsid w:val="07A52452"/>
    <w:rsid w:val="07A52A49"/>
    <w:rsid w:val="07CA6A21"/>
    <w:rsid w:val="07EE72EA"/>
    <w:rsid w:val="07F13FAE"/>
    <w:rsid w:val="07FE66CB"/>
    <w:rsid w:val="080D19C3"/>
    <w:rsid w:val="0817778D"/>
    <w:rsid w:val="08193505"/>
    <w:rsid w:val="081B7BF4"/>
    <w:rsid w:val="082537F9"/>
    <w:rsid w:val="082F4AD6"/>
    <w:rsid w:val="08310FF5"/>
    <w:rsid w:val="08471E20"/>
    <w:rsid w:val="084A33AE"/>
    <w:rsid w:val="084C7436"/>
    <w:rsid w:val="08512C9F"/>
    <w:rsid w:val="0853529F"/>
    <w:rsid w:val="08587C60"/>
    <w:rsid w:val="085F70C6"/>
    <w:rsid w:val="08667C3E"/>
    <w:rsid w:val="088421CE"/>
    <w:rsid w:val="08901A19"/>
    <w:rsid w:val="08AD728E"/>
    <w:rsid w:val="08B51480"/>
    <w:rsid w:val="08BC0A60"/>
    <w:rsid w:val="08D20F35"/>
    <w:rsid w:val="08E61365"/>
    <w:rsid w:val="08EB6C4F"/>
    <w:rsid w:val="091A0B08"/>
    <w:rsid w:val="09202B8C"/>
    <w:rsid w:val="0946657C"/>
    <w:rsid w:val="09491BC8"/>
    <w:rsid w:val="09497E1A"/>
    <w:rsid w:val="0957193B"/>
    <w:rsid w:val="09684744"/>
    <w:rsid w:val="097A4477"/>
    <w:rsid w:val="097C3D4B"/>
    <w:rsid w:val="097F728F"/>
    <w:rsid w:val="098506D5"/>
    <w:rsid w:val="09852E6F"/>
    <w:rsid w:val="098749AC"/>
    <w:rsid w:val="098826F0"/>
    <w:rsid w:val="0989722B"/>
    <w:rsid w:val="09A339CE"/>
    <w:rsid w:val="09B6434D"/>
    <w:rsid w:val="09DB3168"/>
    <w:rsid w:val="0A051F93"/>
    <w:rsid w:val="0A0B523F"/>
    <w:rsid w:val="0A1427E1"/>
    <w:rsid w:val="0A1709AB"/>
    <w:rsid w:val="0A1C108A"/>
    <w:rsid w:val="0A3E36F7"/>
    <w:rsid w:val="0A7477C8"/>
    <w:rsid w:val="0A801619"/>
    <w:rsid w:val="0A893A04"/>
    <w:rsid w:val="0A905715"/>
    <w:rsid w:val="0A9A2F52"/>
    <w:rsid w:val="0AB15C77"/>
    <w:rsid w:val="0ABA32A4"/>
    <w:rsid w:val="0AED566B"/>
    <w:rsid w:val="0AF049F1"/>
    <w:rsid w:val="0AFB246A"/>
    <w:rsid w:val="0AFC15E8"/>
    <w:rsid w:val="0B185CF6"/>
    <w:rsid w:val="0B1D50BA"/>
    <w:rsid w:val="0B2166AE"/>
    <w:rsid w:val="0B5D195B"/>
    <w:rsid w:val="0B78442A"/>
    <w:rsid w:val="0B7849E6"/>
    <w:rsid w:val="0B865355"/>
    <w:rsid w:val="0B8769D7"/>
    <w:rsid w:val="0B896BF3"/>
    <w:rsid w:val="0B9335CE"/>
    <w:rsid w:val="0B9510F4"/>
    <w:rsid w:val="0B9C2890"/>
    <w:rsid w:val="0BB579E9"/>
    <w:rsid w:val="0BB772BD"/>
    <w:rsid w:val="0BCA5242"/>
    <w:rsid w:val="0BCD4D32"/>
    <w:rsid w:val="0BD23A87"/>
    <w:rsid w:val="0BE61950"/>
    <w:rsid w:val="0BED7182"/>
    <w:rsid w:val="0BF4406D"/>
    <w:rsid w:val="0BFE6C9A"/>
    <w:rsid w:val="0C0149DC"/>
    <w:rsid w:val="0C0A3890"/>
    <w:rsid w:val="0C160487"/>
    <w:rsid w:val="0C17544E"/>
    <w:rsid w:val="0C1F767A"/>
    <w:rsid w:val="0C2116FC"/>
    <w:rsid w:val="0C213201"/>
    <w:rsid w:val="0C241C28"/>
    <w:rsid w:val="0C29064A"/>
    <w:rsid w:val="0C2A4541"/>
    <w:rsid w:val="0C3703FE"/>
    <w:rsid w:val="0C3722BA"/>
    <w:rsid w:val="0C637445"/>
    <w:rsid w:val="0C686809"/>
    <w:rsid w:val="0C6A2C0A"/>
    <w:rsid w:val="0C6C0502"/>
    <w:rsid w:val="0C9870EE"/>
    <w:rsid w:val="0C9937EA"/>
    <w:rsid w:val="0CAA0BCF"/>
    <w:rsid w:val="0CB00F0A"/>
    <w:rsid w:val="0CB47CA0"/>
    <w:rsid w:val="0CCF6888"/>
    <w:rsid w:val="0CDD4EE8"/>
    <w:rsid w:val="0CF175B3"/>
    <w:rsid w:val="0CFF5876"/>
    <w:rsid w:val="0D014A3C"/>
    <w:rsid w:val="0D0D646B"/>
    <w:rsid w:val="0D374B59"/>
    <w:rsid w:val="0D554FDF"/>
    <w:rsid w:val="0D5C45C0"/>
    <w:rsid w:val="0D5C636E"/>
    <w:rsid w:val="0D645222"/>
    <w:rsid w:val="0D6B4803"/>
    <w:rsid w:val="0D731909"/>
    <w:rsid w:val="0DBE108A"/>
    <w:rsid w:val="0DC31AF9"/>
    <w:rsid w:val="0DC932D7"/>
    <w:rsid w:val="0DD71E98"/>
    <w:rsid w:val="0DE662B0"/>
    <w:rsid w:val="0DE85E53"/>
    <w:rsid w:val="0DF465A6"/>
    <w:rsid w:val="0E042C03"/>
    <w:rsid w:val="0E2311CD"/>
    <w:rsid w:val="0E252C04"/>
    <w:rsid w:val="0E256521"/>
    <w:rsid w:val="0E2C21E4"/>
    <w:rsid w:val="0E310C7C"/>
    <w:rsid w:val="0E39045D"/>
    <w:rsid w:val="0E4A53DA"/>
    <w:rsid w:val="0E50650B"/>
    <w:rsid w:val="0E543E08"/>
    <w:rsid w:val="0E611FF2"/>
    <w:rsid w:val="0E855BE9"/>
    <w:rsid w:val="0E9E6313"/>
    <w:rsid w:val="0EB43F87"/>
    <w:rsid w:val="0EC50D62"/>
    <w:rsid w:val="0ECF414D"/>
    <w:rsid w:val="0ED62150"/>
    <w:rsid w:val="0EEF774B"/>
    <w:rsid w:val="0EF12AE6"/>
    <w:rsid w:val="0F0008B2"/>
    <w:rsid w:val="0F1B4006"/>
    <w:rsid w:val="0F1F0F82"/>
    <w:rsid w:val="0F4C5F6E"/>
    <w:rsid w:val="0F580DB7"/>
    <w:rsid w:val="0F64150A"/>
    <w:rsid w:val="0F6A7266"/>
    <w:rsid w:val="0F850190"/>
    <w:rsid w:val="0F955B67"/>
    <w:rsid w:val="0FA357BF"/>
    <w:rsid w:val="0FAB656E"/>
    <w:rsid w:val="0FB232E1"/>
    <w:rsid w:val="0FBD6E6C"/>
    <w:rsid w:val="0FCC70AF"/>
    <w:rsid w:val="0FE4264A"/>
    <w:rsid w:val="100625C1"/>
    <w:rsid w:val="101E584A"/>
    <w:rsid w:val="10282537"/>
    <w:rsid w:val="102E38C6"/>
    <w:rsid w:val="105E035B"/>
    <w:rsid w:val="10802373"/>
    <w:rsid w:val="108A4FA0"/>
    <w:rsid w:val="108E453B"/>
    <w:rsid w:val="108F6A5A"/>
    <w:rsid w:val="10A02A15"/>
    <w:rsid w:val="10AE08D0"/>
    <w:rsid w:val="10B169D0"/>
    <w:rsid w:val="10B63FE7"/>
    <w:rsid w:val="10B93AD7"/>
    <w:rsid w:val="10E570B8"/>
    <w:rsid w:val="110F36F7"/>
    <w:rsid w:val="110F4BCC"/>
    <w:rsid w:val="113266C8"/>
    <w:rsid w:val="11407D54"/>
    <w:rsid w:val="11580041"/>
    <w:rsid w:val="115A0D82"/>
    <w:rsid w:val="116003F7"/>
    <w:rsid w:val="116946CE"/>
    <w:rsid w:val="117479FE"/>
    <w:rsid w:val="117A6C2B"/>
    <w:rsid w:val="119B4F8B"/>
    <w:rsid w:val="11A922C2"/>
    <w:rsid w:val="11C40985"/>
    <w:rsid w:val="11CB5870"/>
    <w:rsid w:val="11D010D8"/>
    <w:rsid w:val="11D706B9"/>
    <w:rsid w:val="11E73F4F"/>
    <w:rsid w:val="11F36B75"/>
    <w:rsid w:val="121F796A"/>
    <w:rsid w:val="123E6E91"/>
    <w:rsid w:val="12400FB6"/>
    <w:rsid w:val="12463148"/>
    <w:rsid w:val="124D2729"/>
    <w:rsid w:val="125F245C"/>
    <w:rsid w:val="12652FA5"/>
    <w:rsid w:val="126A32DB"/>
    <w:rsid w:val="12763B2B"/>
    <w:rsid w:val="127A1044"/>
    <w:rsid w:val="127C5BD6"/>
    <w:rsid w:val="1284666A"/>
    <w:rsid w:val="129465AA"/>
    <w:rsid w:val="12AB0D47"/>
    <w:rsid w:val="12B72298"/>
    <w:rsid w:val="12B75DF4"/>
    <w:rsid w:val="12BC340B"/>
    <w:rsid w:val="12F86B39"/>
    <w:rsid w:val="13022A1D"/>
    <w:rsid w:val="1326480B"/>
    <w:rsid w:val="132A7240"/>
    <w:rsid w:val="132B6FEA"/>
    <w:rsid w:val="134F0723"/>
    <w:rsid w:val="13623B86"/>
    <w:rsid w:val="136E0BA9"/>
    <w:rsid w:val="13706B5E"/>
    <w:rsid w:val="13854144"/>
    <w:rsid w:val="138A175B"/>
    <w:rsid w:val="139E0D62"/>
    <w:rsid w:val="13A063DC"/>
    <w:rsid w:val="13CA58CD"/>
    <w:rsid w:val="13CF57F4"/>
    <w:rsid w:val="13E301D4"/>
    <w:rsid w:val="13E9022F"/>
    <w:rsid w:val="13F41A5D"/>
    <w:rsid w:val="13F45281"/>
    <w:rsid w:val="13F54E26"/>
    <w:rsid w:val="13FD62A6"/>
    <w:rsid w:val="13FF5427"/>
    <w:rsid w:val="140E413A"/>
    <w:rsid w:val="142E20E6"/>
    <w:rsid w:val="14456D19"/>
    <w:rsid w:val="144B14A4"/>
    <w:rsid w:val="14516669"/>
    <w:rsid w:val="14757D15"/>
    <w:rsid w:val="147B69EE"/>
    <w:rsid w:val="147E1EE7"/>
    <w:rsid w:val="14A469A9"/>
    <w:rsid w:val="14A64372"/>
    <w:rsid w:val="14CC63C7"/>
    <w:rsid w:val="14CF48FA"/>
    <w:rsid w:val="14D02C0A"/>
    <w:rsid w:val="14D507B4"/>
    <w:rsid w:val="14D709D0"/>
    <w:rsid w:val="150A2B53"/>
    <w:rsid w:val="151431EC"/>
    <w:rsid w:val="151700EF"/>
    <w:rsid w:val="15175270"/>
    <w:rsid w:val="15243815"/>
    <w:rsid w:val="152C0D1B"/>
    <w:rsid w:val="152E4A94"/>
    <w:rsid w:val="153B4ABB"/>
    <w:rsid w:val="154046AE"/>
    <w:rsid w:val="154047C7"/>
    <w:rsid w:val="154871D8"/>
    <w:rsid w:val="15581F72"/>
    <w:rsid w:val="157B75AD"/>
    <w:rsid w:val="157E709D"/>
    <w:rsid w:val="158226E9"/>
    <w:rsid w:val="15947B32"/>
    <w:rsid w:val="1598015F"/>
    <w:rsid w:val="15BC506A"/>
    <w:rsid w:val="15C606CA"/>
    <w:rsid w:val="15CE592F"/>
    <w:rsid w:val="15DA72D2"/>
    <w:rsid w:val="15F23853"/>
    <w:rsid w:val="15F5735F"/>
    <w:rsid w:val="15FB2DB1"/>
    <w:rsid w:val="15FD3709"/>
    <w:rsid w:val="161377E5"/>
    <w:rsid w:val="16157F86"/>
    <w:rsid w:val="162163A6"/>
    <w:rsid w:val="162714E3"/>
    <w:rsid w:val="16274C80"/>
    <w:rsid w:val="16282019"/>
    <w:rsid w:val="1628513D"/>
    <w:rsid w:val="163D20FF"/>
    <w:rsid w:val="165F0C7D"/>
    <w:rsid w:val="166B5873"/>
    <w:rsid w:val="16741ECA"/>
    <w:rsid w:val="16780B21"/>
    <w:rsid w:val="16816E45"/>
    <w:rsid w:val="168E7696"/>
    <w:rsid w:val="16902557"/>
    <w:rsid w:val="16A63064"/>
    <w:rsid w:val="16B73E5A"/>
    <w:rsid w:val="16BC1C2B"/>
    <w:rsid w:val="16D20CC2"/>
    <w:rsid w:val="16DA6212"/>
    <w:rsid w:val="16E01DBD"/>
    <w:rsid w:val="16EA2F3E"/>
    <w:rsid w:val="16FF4510"/>
    <w:rsid w:val="17123F41"/>
    <w:rsid w:val="173043C7"/>
    <w:rsid w:val="174D6D27"/>
    <w:rsid w:val="175441EE"/>
    <w:rsid w:val="175971C1"/>
    <w:rsid w:val="175F02F7"/>
    <w:rsid w:val="17884E38"/>
    <w:rsid w:val="179D5F38"/>
    <w:rsid w:val="17B84AE8"/>
    <w:rsid w:val="17D10471"/>
    <w:rsid w:val="180C273E"/>
    <w:rsid w:val="180E6167"/>
    <w:rsid w:val="18101B13"/>
    <w:rsid w:val="1825027F"/>
    <w:rsid w:val="1840063A"/>
    <w:rsid w:val="18543378"/>
    <w:rsid w:val="185B064A"/>
    <w:rsid w:val="18636065"/>
    <w:rsid w:val="1867206B"/>
    <w:rsid w:val="186B1B5B"/>
    <w:rsid w:val="18787DD4"/>
    <w:rsid w:val="18814EDA"/>
    <w:rsid w:val="189A2440"/>
    <w:rsid w:val="189B3AC2"/>
    <w:rsid w:val="18B84674"/>
    <w:rsid w:val="18F25DD8"/>
    <w:rsid w:val="18F37E20"/>
    <w:rsid w:val="18F51424"/>
    <w:rsid w:val="18F97167"/>
    <w:rsid w:val="19074FB6"/>
    <w:rsid w:val="1916545D"/>
    <w:rsid w:val="19237C06"/>
    <w:rsid w:val="192B3DED"/>
    <w:rsid w:val="192D0BBE"/>
    <w:rsid w:val="193F08F1"/>
    <w:rsid w:val="19461C80"/>
    <w:rsid w:val="19646AC5"/>
    <w:rsid w:val="19651535"/>
    <w:rsid w:val="198C6648"/>
    <w:rsid w:val="198E227A"/>
    <w:rsid w:val="19924EC5"/>
    <w:rsid w:val="19965EDA"/>
    <w:rsid w:val="19974931"/>
    <w:rsid w:val="19A03A86"/>
    <w:rsid w:val="19BB08C0"/>
    <w:rsid w:val="19D76D7C"/>
    <w:rsid w:val="19E020D4"/>
    <w:rsid w:val="19E51499"/>
    <w:rsid w:val="19EE05C1"/>
    <w:rsid w:val="19EE2F85"/>
    <w:rsid w:val="19F618F8"/>
    <w:rsid w:val="1A02029D"/>
    <w:rsid w:val="1A073B05"/>
    <w:rsid w:val="1A172F7A"/>
    <w:rsid w:val="1A2876FC"/>
    <w:rsid w:val="1A2A15A2"/>
    <w:rsid w:val="1A404921"/>
    <w:rsid w:val="1A487E84"/>
    <w:rsid w:val="1A5F23D0"/>
    <w:rsid w:val="1A6227C5"/>
    <w:rsid w:val="1A6342F4"/>
    <w:rsid w:val="1A6733E4"/>
    <w:rsid w:val="1A815666"/>
    <w:rsid w:val="1A816740"/>
    <w:rsid w:val="1A8C400A"/>
    <w:rsid w:val="1A9133CF"/>
    <w:rsid w:val="1A951111"/>
    <w:rsid w:val="1AA43BCF"/>
    <w:rsid w:val="1AB86BAD"/>
    <w:rsid w:val="1AC63078"/>
    <w:rsid w:val="1AE96D67"/>
    <w:rsid w:val="1AEA562C"/>
    <w:rsid w:val="1AEE4E22"/>
    <w:rsid w:val="1B010432"/>
    <w:rsid w:val="1B1E1106"/>
    <w:rsid w:val="1B1E2FCC"/>
    <w:rsid w:val="1B244243"/>
    <w:rsid w:val="1B2D759B"/>
    <w:rsid w:val="1B356450"/>
    <w:rsid w:val="1B612DA1"/>
    <w:rsid w:val="1B6809BB"/>
    <w:rsid w:val="1B7350C7"/>
    <w:rsid w:val="1B943F06"/>
    <w:rsid w:val="1BC31CAE"/>
    <w:rsid w:val="1BD06794"/>
    <w:rsid w:val="1BE038A2"/>
    <w:rsid w:val="1BF9122C"/>
    <w:rsid w:val="1C00080C"/>
    <w:rsid w:val="1C050BCB"/>
    <w:rsid w:val="1C074B5F"/>
    <w:rsid w:val="1C0A168B"/>
    <w:rsid w:val="1C0E117B"/>
    <w:rsid w:val="1C220411"/>
    <w:rsid w:val="1C4050AC"/>
    <w:rsid w:val="1C4E77C9"/>
    <w:rsid w:val="1C4F0E21"/>
    <w:rsid w:val="1C5D17BA"/>
    <w:rsid w:val="1C692F45"/>
    <w:rsid w:val="1C6E1C1A"/>
    <w:rsid w:val="1C737418"/>
    <w:rsid w:val="1C766D20"/>
    <w:rsid w:val="1C7A6810"/>
    <w:rsid w:val="1C8A6F02"/>
    <w:rsid w:val="1C9C6787"/>
    <w:rsid w:val="1CA4563B"/>
    <w:rsid w:val="1CB33602"/>
    <w:rsid w:val="1CBA6C0D"/>
    <w:rsid w:val="1CC120AC"/>
    <w:rsid w:val="1CC6466D"/>
    <w:rsid w:val="1CDA72AF"/>
    <w:rsid w:val="1CDF6673"/>
    <w:rsid w:val="1CEE4B08"/>
    <w:rsid w:val="1CF55E97"/>
    <w:rsid w:val="1D000DDE"/>
    <w:rsid w:val="1D006663"/>
    <w:rsid w:val="1D035BF9"/>
    <w:rsid w:val="1D1C1676"/>
    <w:rsid w:val="1D1E1D5C"/>
    <w:rsid w:val="1D2B18B9"/>
    <w:rsid w:val="1D2D5631"/>
    <w:rsid w:val="1D2E3064"/>
    <w:rsid w:val="1D497F91"/>
    <w:rsid w:val="1D862B7D"/>
    <w:rsid w:val="1D8A64E2"/>
    <w:rsid w:val="1D9236E6"/>
    <w:rsid w:val="1D9D4AC7"/>
    <w:rsid w:val="1DA67191"/>
    <w:rsid w:val="1DA91EAE"/>
    <w:rsid w:val="1DB00010"/>
    <w:rsid w:val="1DB16262"/>
    <w:rsid w:val="1DC1221D"/>
    <w:rsid w:val="1DC47597"/>
    <w:rsid w:val="1DCF66E8"/>
    <w:rsid w:val="1E1B7B7F"/>
    <w:rsid w:val="1E1E4F79"/>
    <w:rsid w:val="1E2D4A07"/>
    <w:rsid w:val="1E326C77"/>
    <w:rsid w:val="1E3414A4"/>
    <w:rsid w:val="1E3C09E6"/>
    <w:rsid w:val="1E3E561C"/>
    <w:rsid w:val="1E4470D6"/>
    <w:rsid w:val="1E4E3AB1"/>
    <w:rsid w:val="1E4F7829"/>
    <w:rsid w:val="1E5906A7"/>
    <w:rsid w:val="1E62755C"/>
    <w:rsid w:val="1E6D7CAF"/>
    <w:rsid w:val="1E761259"/>
    <w:rsid w:val="1E7E759F"/>
    <w:rsid w:val="1E935967"/>
    <w:rsid w:val="1E9626F5"/>
    <w:rsid w:val="1E9C3FD7"/>
    <w:rsid w:val="1EAA269A"/>
    <w:rsid w:val="1EB311F8"/>
    <w:rsid w:val="1ED64D67"/>
    <w:rsid w:val="1ED85072"/>
    <w:rsid w:val="1EDB2119"/>
    <w:rsid w:val="1EEB1B44"/>
    <w:rsid w:val="1EFB5C5C"/>
    <w:rsid w:val="1EFD54D7"/>
    <w:rsid w:val="1F024FA1"/>
    <w:rsid w:val="1F0C0535"/>
    <w:rsid w:val="1F2111C5"/>
    <w:rsid w:val="1F2B5BA0"/>
    <w:rsid w:val="1F30765A"/>
    <w:rsid w:val="1F6258DF"/>
    <w:rsid w:val="1F635CD3"/>
    <w:rsid w:val="1FB42039"/>
    <w:rsid w:val="1FB55607"/>
    <w:rsid w:val="1FB738D7"/>
    <w:rsid w:val="1FD05B6B"/>
    <w:rsid w:val="1FD75D28"/>
    <w:rsid w:val="1FD91AA0"/>
    <w:rsid w:val="1FE02E2E"/>
    <w:rsid w:val="1FF468DA"/>
    <w:rsid w:val="200309CC"/>
    <w:rsid w:val="20142AD8"/>
    <w:rsid w:val="201A79C2"/>
    <w:rsid w:val="201C5310"/>
    <w:rsid w:val="202A5E57"/>
    <w:rsid w:val="202C6073"/>
    <w:rsid w:val="202D1D4F"/>
    <w:rsid w:val="2039253E"/>
    <w:rsid w:val="205D1611"/>
    <w:rsid w:val="206A26F8"/>
    <w:rsid w:val="206D3F96"/>
    <w:rsid w:val="20816BB4"/>
    <w:rsid w:val="208E4638"/>
    <w:rsid w:val="20970F79"/>
    <w:rsid w:val="209E05F3"/>
    <w:rsid w:val="20A54D85"/>
    <w:rsid w:val="20BA367F"/>
    <w:rsid w:val="20BD4741"/>
    <w:rsid w:val="20C177AC"/>
    <w:rsid w:val="20CE56C6"/>
    <w:rsid w:val="20D84DCD"/>
    <w:rsid w:val="20E860C3"/>
    <w:rsid w:val="210157B2"/>
    <w:rsid w:val="210E5779"/>
    <w:rsid w:val="21154D5A"/>
    <w:rsid w:val="212725D3"/>
    <w:rsid w:val="212E5E1B"/>
    <w:rsid w:val="213F5933"/>
    <w:rsid w:val="21494A03"/>
    <w:rsid w:val="215F2BBF"/>
    <w:rsid w:val="21621621"/>
    <w:rsid w:val="21893052"/>
    <w:rsid w:val="21894E00"/>
    <w:rsid w:val="219B279C"/>
    <w:rsid w:val="21A068A5"/>
    <w:rsid w:val="21A31D15"/>
    <w:rsid w:val="21AE4866"/>
    <w:rsid w:val="21B52099"/>
    <w:rsid w:val="21BA76AF"/>
    <w:rsid w:val="21DF0EC4"/>
    <w:rsid w:val="21ED1832"/>
    <w:rsid w:val="221768AF"/>
    <w:rsid w:val="2218072D"/>
    <w:rsid w:val="221A5411"/>
    <w:rsid w:val="22266AF2"/>
    <w:rsid w:val="222F59A7"/>
    <w:rsid w:val="22350CF0"/>
    <w:rsid w:val="22413173"/>
    <w:rsid w:val="22484CBB"/>
    <w:rsid w:val="22553A15"/>
    <w:rsid w:val="22737F8A"/>
    <w:rsid w:val="227E16D3"/>
    <w:rsid w:val="22813D29"/>
    <w:rsid w:val="22910410"/>
    <w:rsid w:val="22953F21"/>
    <w:rsid w:val="22993768"/>
    <w:rsid w:val="229C09BC"/>
    <w:rsid w:val="22A31EF1"/>
    <w:rsid w:val="22AF3548"/>
    <w:rsid w:val="22B35EB0"/>
    <w:rsid w:val="22C81958"/>
    <w:rsid w:val="22C95F94"/>
    <w:rsid w:val="22E51D82"/>
    <w:rsid w:val="22E70030"/>
    <w:rsid w:val="22EA5D72"/>
    <w:rsid w:val="22F11B15"/>
    <w:rsid w:val="231352C9"/>
    <w:rsid w:val="231D1697"/>
    <w:rsid w:val="23214660"/>
    <w:rsid w:val="23311E82"/>
    <w:rsid w:val="233B0D22"/>
    <w:rsid w:val="233F1C1A"/>
    <w:rsid w:val="235B5B93"/>
    <w:rsid w:val="239301B8"/>
    <w:rsid w:val="239A5150"/>
    <w:rsid w:val="23A221A9"/>
    <w:rsid w:val="23C34A7A"/>
    <w:rsid w:val="23D22A8E"/>
    <w:rsid w:val="23D42CAA"/>
    <w:rsid w:val="23E34E2B"/>
    <w:rsid w:val="23F35E85"/>
    <w:rsid w:val="24046325"/>
    <w:rsid w:val="24066BDB"/>
    <w:rsid w:val="2412732E"/>
    <w:rsid w:val="241629E9"/>
    <w:rsid w:val="241E2177"/>
    <w:rsid w:val="24396B6F"/>
    <w:rsid w:val="24417C14"/>
    <w:rsid w:val="24457704"/>
    <w:rsid w:val="24523BCF"/>
    <w:rsid w:val="246A0F18"/>
    <w:rsid w:val="24741B8D"/>
    <w:rsid w:val="24853FA4"/>
    <w:rsid w:val="24CC1BD3"/>
    <w:rsid w:val="24D146CE"/>
    <w:rsid w:val="24D252AE"/>
    <w:rsid w:val="24FE78B3"/>
    <w:rsid w:val="25046AA6"/>
    <w:rsid w:val="250A6257"/>
    <w:rsid w:val="250F1AC0"/>
    <w:rsid w:val="252512E3"/>
    <w:rsid w:val="252B4B4C"/>
    <w:rsid w:val="25355EDB"/>
    <w:rsid w:val="2536704D"/>
    <w:rsid w:val="25382DC5"/>
    <w:rsid w:val="253F23A5"/>
    <w:rsid w:val="254A23E5"/>
    <w:rsid w:val="25583467"/>
    <w:rsid w:val="2564366C"/>
    <w:rsid w:val="256D6D6E"/>
    <w:rsid w:val="258372A1"/>
    <w:rsid w:val="25A55F80"/>
    <w:rsid w:val="25BE6C7B"/>
    <w:rsid w:val="25CB1859"/>
    <w:rsid w:val="25D725DE"/>
    <w:rsid w:val="25F10744"/>
    <w:rsid w:val="26031625"/>
    <w:rsid w:val="26274F41"/>
    <w:rsid w:val="2637307C"/>
    <w:rsid w:val="26392A5F"/>
    <w:rsid w:val="26487037"/>
    <w:rsid w:val="267270A9"/>
    <w:rsid w:val="26764033"/>
    <w:rsid w:val="26812549"/>
    <w:rsid w:val="26884F62"/>
    <w:rsid w:val="268907C4"/>
    <w:rsid w:val="268A0EDE"/>
    <w:rsid w:val="26942FFE"/>
    <w:rsid w:val="26977FBF"/>
    <w:rsid w:val="26AF5308"/>
    <w:rsid w:val="26B741BD"/>
    <w:rsid w:val="26B83095"/>
    <w:rsid w:val="26C568DA"/>
    <w:rsid w:val="2704330D"/>
    <w:rsid w:val="270B4B52"/>
    <w:rsid w:val="270B5F7F"/>
    <w:rsid w:val="270C4509"/>
    <w:rsid w:val="27180CE2"/>
    <w:rsid w:val="27400656"/>
    <w:rsid w:val="27446287"/>
    <w:rsid w:val="275B2D9A"/>
    <w:rsid w:val="275B4950"/>
    <w:rsid w:val="27753D15"/>
    <w:rsid w:val="278E13C2"/>
    <w:rsid w:val="279012A6"/>
    <w:rsid w:val="279B588D"/>
    <w:rsid w:val="27A504B9"/>
    <w:rsid w:val="27AE736E"/>
    <w:rsid w:val="27B23302"/>
    <w:rsid w:val="27B32BD6"/>
    <w:rsid w:val="27B34984"/>
    <w:rsid w:val="27B53A26"/>
    <w:rsid w:val="27B64475"/>
    <w:rsid w:val="27B92602"/>
    <w:rsid w:val="27CD1257"/>
    <w:rsid w:val="27CE77BB"/>
    <w:rsid w:val="27E014F2"/>
    <w:rsid w:val="27E64D5A"/>
    <w:rsid w:val="27FA25B3"/>
    <w:rsid w:val="283F446A"/>
    <w:rsid w:val="28504E67"/>
    <w:rsid w:val="28573B25"/>
    <w:rsid w:val="288E0F4E"/>
    <w:rsid w:val="28AB1AFF"/>
    <w:rsid w:val="28AC1387"/>
    <w:rsid w:val="28B9421C"/>
    <w:rsid w:val="28C80903"/>
    <w:rsid w:val="28DC43AF"/>
    <w:rsid w:val="28EF553B"/>
    <w:rsid w:val="28F03182"/>
    <w:rsid w:val="28F52D92"/>
    <w:rsid w:val="28FB3D1E"/>
    <w:rsid w:val="2900009D"/>
    <w:rsid w:val="29017971"/>
    <w:rsid w:val="290F208E"/>
    <w:rsid w:val="29127DD1"/>
    <w:rsid w:val="291D61F5"/>
    <w:rsid w:val="293461B3"/>
    <w:rsid w:val="29383DBD"/>
    <w:rsid w:val="294010A6"/>
    <w:rsid w:val="29571265"/>
    <w:rsid w:val="297B7724"/>
    <w:rsid w:val="298C36DF"/>
    <w:rsid w:val="298E7457"/>
    <w:rsid w:val="299F4C73"/>
    <w:rsid w:val="29BC3C97"/>
    <w:rsid w:val="29CB74C5"/>
    <w:rsid w:val="29E26DED"/>
    <w:rsid w:val="2A0F7F3F"/>
    <w:rsid w:val="2A1060BE"/>
    <w:rsid w:val="2A17569E"/>
    <w:rsid w:val="2A253C4A"/>
    <w:rsid w:val="2A3E70CF"/>
    <w:rsid w:val="2A6B1546"/>
    <w:rsid w:val="2A703001"/>
    <w:rsid w:val="2A7363E0"/>
    <w:rsid w:val="2A770936"/>
    <w:rsid w:val="2A992C71"/>
    <w:rsid w:val="2A9C2048"/>
    <w:rsid w:val="2AA607D0"/>
    <w:rsid w:val="2AA809EC"/>
    <w:rsid w:val="2AB24F59"/>
    <w:rsid w:val="2AC25F2A"/>
    <w:rsid w:val="2AD73E81"/>
    <w:rsid w:val="2ADE005D"/>
    <w:rsid w:val="2AF71B62"/>
    <w:rsid w:val="2B0379D1"/>
    <w:rsid w:val="2B1E2A5D"/>
    <w:rsid w:val="2B3109E2"/>
    <w:rsid w:val="2B4D4859"/>
    <w:rsid w:val="2B555E65"/>
    <w:rsid w:val="2B5621F6"/>
    <w:rsid w:val="2B6A3EF4"/>
    <w:rsid w:val="2B713BB5"/>
    <w:rsid w:val="2B870602"/>
    <w:rsid w:val="2BA75C8C"/>
    <w:rsid w:val="2BAA110C"/>
    <w:rsid w:val="2BB86A0D"/>
    <w:rsid w:val="2BBD2276"/>
    <w:rsid w:val="2BD17ACF"/>
    <w:rsid w:val="2BF218C0"/>
    <w:rsid w:val="2BF3655D"/>
    <w:rsid w:val="2C1C51EE"/>
    <w:rsid w:val="2C23698A"/>
    <w:rsid w:val="2C2422F5"/>
    <w:rsid w:val="2C371059"/>
    <w:rsid w:val="2C4209CD"/>
    <w:rsid w:val="2C4C53A8"/>
    <w:rsid w:val="2C615316"/>
    <w:rsid w:val="2C67129C"/>
    <w:rsid w:val="2C6A0808"/>
    <w:rsid w:val="2C7F01E4"/>
    <w:rsid w:val="2C862667"/>
    <w:rsid w:val="2CAC2C30"/>
    <w:rsid w:val="2CB74635"/>
    <w:rsid w:val="2CE774CF"/>
    <w:rsid w:val="2CEB4BC0"/>
    <w:rsid w:val="2CF241A1"/>
    <w:rsid w:val="2CF2615C"/>
    <w:rsid w:val="2D0637A8"/>
    <w:rsid w:val="2D2466B2"/>
    <w:rsid w:val="2D2F62E3"/>
    <w:rsid w:val="2D355E3C"/>
    <w:rsid w:val="2D3B5B48"/>
    <w:rsid w:val="2D406CBA"/>
    <w:rsid w:val="2D4214FC"/>
    <w:rsid w:val="2D4A5D8B"/>
    <w:rsid w:val="2D572256"/>
    <w:rsid w:val="2D6E2CD7"/>
    <w:rsid w:val="2D71156A"/>
    <w:rsid w:val="2D7D436D"/>
    <w:rsid w:val="2DAD45A7"/>
    <w:rsid w:val="2DE57A99"/>
    <w:rsid w:val="2DFB0E33"/>
    <w:rsid w:val="2E0629C2"/>
    <w:rsid w:val="2E13617D"/>
    <w:rsid w:val="2E141EF5"/>
    <w:rsid w:val="2E183793"/>
    <w:rsid w:val="2E1A31F9"/>
    <w:rsid w:val="2E1B648F"/>
    <w:rsid w:val="2E262354"/>
    <w:rsid w:val="2E343585"/>
    <w:rsid w:val="2E3459F9"/>
    <w:rsid w:val="2E434FE5"/>
    <w:rsid w:val="2E437E3F"/>
    <w:rsid w:val="2E6007C2"/>
    <w:rsid w:val="2E9C5041"/>
    <w:rsid w:val="2EAB2859"/>
    <w:rsid w:val="2EAD65D1"/>
    <w:rsid w:val="2EB37960"/>
    <w:rsid w:val="2EEB70FA"/>
    <w:rsid w:val="2EF44200"/>
    <w:rsid w:val="2F06102E"/>
    <w:rsid w:val="2F1031FD"/>
    <w:rsid w:val="2F1403FE"/>
    <w:rsid w:val="2F2C11F4"/>
    <w:rsid w:val="2F387579"/>
    <w:rsid w:val="2F4B7B98"/>
    <w:rsid w:val="2F4C596D"/>
    <w:rsid w:val="2F546A4D"/>
    <w:rsid w:val="2F5C7FF7"/>
    <w:rsid w:val="2F6E5E74"/>
    <w:rsid w:val="2F7C08E8"/>
    <w:rsid w:val="2F946722"/>
    <w:rsid w:val="2F9616D8"/>
    <w:rsid w:val="2F971705"/>
    <w:rsid w:val="2F99080D"/>
    <w:rsid w:val="2FB92D54"/>
    <w:rsid w:val="2FD47B8E"/>
    <w:rsid w:val="2FD7142C"/>
    <w:rsid w:val="2FDC6A42"/>
    <w:rsid w:val="2FE51D9B"/>
    <w:rsid w:val="2FEA5603"/>
    <w:rsid w:val="2FF7387C"/>
    <w:rsid w:val="300C7328"/>
    <w:rsid w:val="30185CCC"/>
    <w:rsid w:val="301A06E5"/>
    <w:rsid w:val="301B1BC1"/>
    <w:rsid w:val="301B3A0F"/>
    <w:rsid w:val="303074BA"/>
    <w:rsid w:val="3038636F"/>
    <w:rsid w:val="30515682"/>
    <w:rsid w:val="305A4537"/>
    <w:rsid w:val="30615CED"/>
    <w:rsid w:val="3062163D"/>
    <w:rsid w:val="306357E2"/>
    <w:rsid w:val="306B169A"/>
    <w:rsid w:val="306E1D90"/>
    <w:rsid w:val="3071362F"/>
    <w:rsid w:val="307C5212"/>
    <w:rsid w:val="30980BBB"/>
    <w:rsid w:val="309D2676"/>
    <w:rsid w:val="30A23EB5"/>
    <w:rsid w:val="30A43A04"/>
    <w:rsid w:val="30BF083E"/>
    <w:rsid w:val="30C25BF4"/>
    <w:rsid w:val="30C95219"/>
    <w:rsid w:val="30D37E45"/>
    <w:rsid w:val="30DB1DCB"/>
    <w:rsid w:val="30FD3D3F"/>
    <w:rsid w:val="31000F05"/>
    <w:rsid w:val="31132938"/>
    <w:rsid w:val="313B6831"/>
    <w:rsid w:val="315471D8"/>
    <w:rsid w:val="31572824"/>
    <w:rsid w:val="31777718"/>
    <w:rsid w:val="31813D45"/>
    <w:rsid w:val="318178A1"/>
    <w:rsid w:val="319C0B7F"/>
    <w:rsid w:val="31D32E74"/>
    <w:rsid w:val="31E23DD4"/>
    <w:rsid w:val="31E85B72"/>
    <w:rsid w:val="31F52A85"/>
    <w:rsid w:val="31F81363"/>
    <w:rsid w:val="3207424B"/>
    <w:rsid w:val="322A1CE7"/>
    <w:rsid w:val="322A618B"/>
    <w:rsid w:val="32325C26"/>
    <w:rsid w:val="32360A39"/>
    <w:rsid w:val="3264344B"/>
    <w:rsid w:val="32843AED"/>
    <w:rsid w:val="32891103"/>
    <w:rsid w:val="32963820"/>
    <w:rsid w:val="3296737C"/>
    <w:rsid w:val="32A249FA"/>
    <w:rsid w:val="32A43486"/>
    <w:rsid w:val="32A7158A"/>
    <w:rsid w:val="32A93A25"/>
    <w:rsid w:val="32C0264B"/>
    <w:rsid w:val="32C92DE2"/>
    <w:rsid w:val="32CF28C2"/>
    <w:rsid w:val="32D01D72"/>
    <w:rsid w:val="33076BC7"/>
    <w:rsid w:val="330A0B7A"/>
    <w:rsid w:val="330A66D8"/>
    <w:rsid w:val="330F275E"/>
    <w:rsid w:val="331210F9"/>
    <w:rsid w:val="332352FB"/>
    <w:rsid w:val="332E1CAB"/>
    <w:rsid w:val="33353386"/>
    <w:rsid w:val="333E40D2"/>
    <w:rsid w:val="334212B2"/>
    <w:rsid w:val="33505792"/>
    <w:rsid w:val="33613E2E"/>
    <w:rsid w:val="336851BD"/>
    <w:rsid w:val="336B3220"/>
    <w:rsid w:val="338D4C23"/>
    <w:rsid w:val="33B4200D"/>
    <w:rsid w:val="33D068BE"/>
    <w:rsid w:val="33D44600"/>
    <w:rsid w:val="33E5680D"/>
    <w:rsid w:val="33F6061D"/>
    <w:rsid w:val="33F627C9"/>
    <w:rsid w:val="33FB393B"/>
    <w:rsid w:val="340622E0"/>
    <w:rsid w:val="343177B9"/>
    <w:rsid w:val="34474DD2"/>
    <w:rsid w:val="34594B05"/>
    <w:rsid w:val="34616E6C"/>
    <w:rsid w:val="34684659"/>
    <w:rsid w:val="346A286F"/>
    <w:rsid w:val="34722A9C"/>
    <w:rsid w:val="34727975"/>
    <w:rsid w:val="347B4A7C"/>
    <w:rsid w:val="348845FB"/>
    <w:rsid w:val="34B955A4"/>
    <w:rsid w:val="34D73CBB"/>
    <w:rsid w:val="34EA44CD"/>
    <w:rsid w:val="3511718E"/>
    <w:rsid w:val="35170C48"/>
    <w:rsid w:val="35223149"/>
    <w:rsid w:val="352E1AEE"/>
    <w:rsid w:val="354B444E"/>
    <w:rsid w:val="35523A2F"/>
    <w:rsid w:val="35855EE2"/>
    <w:rsid w:val="358A17B9"/>
    <w:rsid w:val="358E5B04"/>
    <w:rsid w:val="35937FBA"/>
    <w:rsid w:val="35942299"/>
    <w:rsid w:val="359A3397"/>
    <w:rsid w:val="359D0A22"/>
    <w:rsid w:val="35B53CCB"/>
    <w:rsid w:val="35D07C76"/>
    <w:rsid w:val="35E11256"/>
    <w:rsid w:val="35F04FF6"/>
    <w:rsid w:val="35F20D6E"/>
    <w:rsid w:val="35FE5964"/>
    <w:rsid w:val="36132E0B"/>
    <w:rsid w:val="362A65E6"/>
    <w:rsid w:val="362C1AE2"/>
    <w:rsid w:val="363C6C33"/>
    <w:rsid w:val="365077E6"/>
    <w:rsid w:val="365E37EA"/>
    <w:rsid w:val="36616112"/>
    <w:rsid w:val="36631C6B"/>
    <w:rsid w:val="36686D57"/>
    <w:rsid w:val="36723C5D"/>
    <w:rsid w:val="36820C9D"/>
    <w:rsid w:val="368220F2"/>
    <w:rsid w:val="3690566F"/>
    <w:rsid w:val="36B44275"/>
    <w:rsid w:val="36CA5847"/>
    <w:rsid w:val="36D6068F"/>
    <w:rsid w:val="36D84407"/>
    <w:rsid w:val="36E84586"/>
    <w:rsid w:val="370451FC"/>
    <w:rsid w:val="37135440"/>
    <w:rsid w:val="3715513B"/>
    <w:rsid w:val="371601C3"/>
    <w:rsid w:val="37277AE0"/>
    <w:rsid w:val="37367CB7"/>
    <w:rsid w:val="37411AAD"/>
    <w:rsid w:val="374B6987"/>
    <w:rsid w:val="376161AB"/>
    <w:rsid w:val="37684B66"/>
    <w:rsid w:val="3782081A"/>
    <w:rsid w:val="37AA4B90"/>
    <w:rsid w:val="37B72E42"/>
    <w:rsid w:val="37ED6FC5"/>
    <w:rsid w:val="37EE573A"/>
    <w:rsid w:val="37F05395"/>
    <w:rsid w:val="37F9231C"/>
    <w:rsid w:val="37FF2CDF"/>
    <w:rsid w:val="3810372D"/>
    <w:rsid w:val="381147D8"/>
    <w:rsid w:val="381F01AD"/>
    <w:rsid w:val="381F1BC2"/>
    <w:rsid w:val="382E4D98"/>
    <w:rsid w:val="38351B40"/>
    <w:rsid w:val="383B4C4E"/>
    <w:rsid w:val="383F372D"/>
    <w:rsid w:val="38543F62"/>
    <w:rsid w:val="3857135C"/>
    <w:rsid w:val="385E093C"/>
    <w:rsid w:val="388A34DF"/>
    <w:rsid w:val="388E0CC2"/>
    <w:rsid w:val="38A10829"/>
    <w:rsid w:val="38A6346D"/>
    <w:rsid w:val="38AD7055"/>
    <w:rsid w:val="38B4115F"/>
    <w:rsid w:val="38C70290"/>
    <w:rsid w:val="38C74734"/>
    <w:rsid w:val="38D633A1"/>
    <w:rsid w:val="38E52E0C"/>
    <w:rsid w:val="38E672FD"/>
    <w:rsid w:val="38FB262F"/>
    <w:rsid w:val="39047736"/>
    <w:rsid w:val="390A586B"/>
    <w:rsid w:val="392576AC"/>
    <w:rsid w:val="392B404E"/>
    <w:rsid w:val="394713D0"/>
    <w:rsid w:val="39681E92"/>
    <w:rsid w:val="3971644D"/>
    <w:rsid w:val="398D62E7"/>
    <w:rsid w:val="399D7242"/>
    <w:rsid w:val="399F2FBB"/>
    <w:rsid w:val="39C0765B"/>
    <w:rsid w:val="39C3314D"/>
    <w:rsid w:val="39C62C3D"/>
    <w:rsid w:val="39CE38A0"/>
    <w:rsid w:val="39CE564E"/>
    <w:rsid w:val="39F01A68"/>
    <w:rsid w:val="39FA0680"/>
    <w:rsid w:val="39FA6830"/>
    <w:rsid w:val="39FC3710"/>
    <w:rsid w:val="39FC665F"/>
    <w:rsid w:val="39FE4185"/>
    <w:rsid w:val="3A30455A"/>
    <w:rsid w:val="3A3167AB"/>
    <w:rsid w:val="3A4875D7"/>
    <w:rsid w:val="3A7678C9"/>
    <w:rsid w:val="3A804B9A"/>
    <w:rsid w:val="3A81336E"/>
    <w:rsid w:val="3A995C5C"/>
    <w:rsid w:val="3AA12508"/>
    <w:rsid w:val="3AA34D2C"/>
    <w:rsid w:val="3AA82343"/>
    <w:rsid w:val="3AB72586"/>
    <w:rsid w:val="3ACC6031"/>
    <w:rsid w:val="3AD066F6"/>
    <w:rsid w:val="3AD66EB0"/>
    <w:rsid w:val="3ADD15D1"/>
    <w:rsid w:val="3AE01ADD"/>
    <w:rsid w:val="3AEF7F72"/>
    <w:rsid w:val="3AFC544C"/>
    <w:rsid w:val="3B0F23C2"/>
    <w:rsid w:val="3B3204DA"/>
    <w:rsid w:val="3B516536"/>
    <w:rsid w:val="3B5D7DBE"/>
    <w:rsid w:val="3B6224F2"/>
    <w:rsid w:val="3B677B08"/>
    <w:rsid w:val="3B88241E"/>
    <w:rsid w:val="3BAD6485"/>
    <w:rsid w:val="3BC00E47"/>
    <w:rsid w:val="3BD20517"/>
    <w:rsid w:val="3BD258AC"/>
    <w:rsid w:val="3BE65DD1"/>
    <w:rsid w:val="3BEE0229"/>
    <w:rsid w:val="3BF85ABC"/>
    <w:rsid w:val="3BFC64A2"/>
    <w:rsid w:val="3BFE5F9F"/>
    <w:rsid w:val="3C027831"/>
    <w:rsid w:val="3C123F18"/>
    <w:rsid w:val="3C3544D3"/>
    <w:rsid w:val="3C36485D"/>
    <w:rsid w:val="3C3D321B"/>
    <w:rsid w:val="3C4A30C0"/>
    <w:rsid w:val="3C5A5A09"/>
    <w:rsid w:val="3C5C3BA2"/>
    <w:rsid w:val="3C610BB2"/>
    <w:rsid w:val="3C6B187A"/>
    <w:rsid w:val="3CAE0988"/>
    <w:rsid w:val="3CC50F8A"/>
    <w:rsid w:val="3CE41A85"/>
    <w:rsid w:val="3CEA4F51"/>
    <w:rsid w:val="3CEB0FDA"/>
    <w:rsid w:val="3CEB75EB"/>
    <w:rsid w:val="3CF67395"/>
    <w:rsid w:val="3CFB4C73"/>
    <w:rsid w:val="3D2757A1"/>
    <w:rsid w:val="3D2C725B"/>
    <w:rsid w:val="3D3150BC"/>
    <w:rsid w:val="3D460DC5"/>
    <w:rsid w:val="3D472CD8"/>
    <w:rsid w:val="3D491BBB"/>
    <w:rsid w:val="3D4E5423"/>
    <w:rsid w:val="3D5A3DC8"/>
    <w:rsid w:val="3D6407A3"/>
    <w:rsid w:val="3D6C7561"/>
    <w:rsid w:val="3D71756F"/>
    <w:rsid w:val="3D7B789B"/>
    <w:rsid w:val="3D8B21D4"/>
    <w:rsid w:val="3D967A29"/>
    <w:rsid w:val="3DB80AEF"/>
    <w:rsid w:val="3DC47494"/>
    <w:rsid w:val="3DE07D6C"/>
    <w:rsid w:val="3DE96EFA"/>
    <w:rsid w:val="3DF00AB5"/>
    <w:rsid w:val="3DF842DD"/>
    <w:rsid w:val="3E075F3A"/>
    <w:rsid w:val="3E36794B"/>
    <w:rsid w:val="3E3F6B1A"/>
    <w:rsid w:val="3E483C21"/>
    <w:rsid w:val="3E5C147A"/>
    <w:rsid w:val="3E6447D3"/>
    <w:rsid w:val="3E6B3DB3"/>
    <w:rsid w:val="3E6D4B8F"/>
    <w:rsid w:val="3E704F26"/>
    <w:rsid w:val="3E73398B"/>
    <w:rsid w:val="3E950E30"/>
    <w:rsid w:val="3EA354B9"/>
    <w:rsid w:val="3EA66B99"/>
    <w:rsid w:val="3EAD4513"/>
    <w:rsid w:val="3EAD7F28"/>
    <w:rsid w:val="3EC360D8"/>
    <w:rsid w:val="3ECA495B"/>
    <w:rsid w:val="3EDB3DF6"/>
    <w:rsid w:val="3EDB4A95"/>
    <w:rsid w:val="3EE70D49"/>
    <w:rsid w:val="3F182351"/>
    <w:rsid w:val="3F1E4982"/>
    <w:rsid w:val="3F3025A0"/>
    <w:rsid w:val="3F3146B5"/>
    <w:rsid w:val="3F3441A5"/>
    <w:rsid w:val="3F402B4A"/>
    <w:rsid w:val="3F6C0DC4"/>
    <w:rsid w:val="3F93536F"/>
    <w:rsid w:val="3FAC4683"/>
    <w:rsid w:val="3FBD063E"/>
    <w:rsid w:val="3FE03B95"/>
    <w:rsid w:val="40161AFD"/>
    <w:rsid w:val="40267F92"/>
    <w:rsid w:val="40296CAD"/>
    <w:rsid w:val="403467E6"/>
    <w:rsid w:val="40457BF5"/>
    <w:rsid w:val="404623E2"/>
    <w:rsid w:val="4070745F"/>
    <w:rsid w:val="407E1337"/>
    <w:rsid w:val="409273D5"/>
    <w:rsid w:val="40952235"/>
    <w:rsid w:val="40BE641C"/>
    <w:rsid w:val="40C26689"/>
    <w:rsid w:val="40C41559"/>
    <w:rsid w:val="40C72BB9"/>
    <w:rsid w:val="40DE261A"/>
    <w:rsid w:val="40ED2D09"/>
    <w:rsid w:val="412D5350"/>
    <w:rsid w:val="41414630"/>
    <w:rsid w:val="41456608"/>
    <w:rsid w:val="41483029"/>
    <w:rsid w:val="4169609A"/>
    <w:rsid w:val="41764F49"/>
    <w:rsid w:val="41941FB2"/>
    <w:rsid w:val="41970A1B"/>
    <w:rsid w:val="419D0727"/>
    <w:rsid w:val="41AE45DE"/>
    <w:rsid w:val="41BD2B78"/>
    <w:rsid w:val="41C96AA6"/>
    <w:rsid w:val="41D30CA2"/>
    <w:rsid w:val="41F67E38"/>
    <w:rsid w:val="41F83F23"/>
    <w:rsid w:val="41F91AD3"/>
    <w:rsid w:val="41FA1B64"/>
    <w:rsid w:val="42093594"/>
    <w:rsid w:val="4214206C"/>
    <w:rsid w:val="421A58D4"/>
    <w:rsid w:val="42336996"/>
    <w:rsid w:val="42404D69"/>
    <w:rsid w:val="424F7E7E"/>
    <w:rsid w:val="425C5091"/>
    <w:rsid w:val="42630DE1"/>
    <w:rsid w:val="428634D5"/>
    <w:rsid w:val="428F229E"/>
    <w:rsid w:val="42905B96"/>
    <w:rsid w:val="4296401C"/>
    <w:rsid w:val="42995053"/>
    <w:rsid w:val="42AD499A"/>
    <w:rsid w:val="42AD68CB"/>
    <w:rsid w:val="42AF1E4A"/>
    <w:rsid w:val="42C972FA"/>
    <w:rsid w:val="42CB3072"/>
    <w:rsid w:val="42CF5E08"/>
    <w:rsid w:val="42D737C5"/>
    <w:rsid w:val="42DC0DDB"/>
    <w:rsid w:val="430E5437"/>
    <w:rsid w:val="4320516C"/>
    <w:rsid w:val="43274E9A"/>
    <w:rsid w:val="432D7889"/>
    <w:rsid w:val="434F5A51"/>
    <w:rsid w:val="43585CF0"/>
    <w:rsid w:val="435A402D"/>
    <w:rsid w:val="437E649A"/>
    <w:rsid w:val="43832EC9"/>
    <w:rsid w:val="438C45B0"/>
    <w:rsid w:val="438D78F3"/>
    <w:rsid w:val="439634A7"/>
    <w:rsid w:val="439C056B"/>
    <w:rsid w:val="43BC25A9"/>
    <w:rsid w:val="43C81360"/>
    <w:rsid w:val="43D545EF"/>
    <w:rsid w:val="43DA6B22"/>
    <w:rsid w:val="43F96667"/>
    <w:rsid w:val="43FD1975"/>
    <w:rsid w:val="44004F9E"/>
    <w:rsid w:val="44056110"/>
    <w:rsid w:val="44093E52"/>
    <w:rsid w:val="44172777"/>
    <w:rsid w:val="44242A3A"/>
    <w:rsid w:val="4436276D"/>
    <w:rsid w:val="443F2FD9"/>
    <w:rsid w:val="4454417F"/>
    <w:rsid w:val="44870C0E"/>
    <w:rsid w:val="4488246F"/>
    <w:rsid w:val="449C6A74"/>
    <w:rsid w:val="44A042A4"/>
    <w:rsid w:val="44A72831"/>
    <w:rsid w:val="44AE67A8"/>
    <w:rsid w:val="44B20090"/>
    <w:rsid w:val="44C265EB"/>
    <w:rsid w:val="44C47D79"/>
    <w:rsid w:val="44C77869"/>
    <w:rsid w:val="44E65F41"/>
    <w:rsid w:val="450A475A"/>
    <w:rsid w:val="452B1BA6"/>
    <w:rsid w:val="45366A52"/>
    <w:rsid w:val="45562C41"/>
    <w:rsid w:val="457437AF"/>
    <w:rsid w:val="457E43CC"/>
    <w:rsid w:val="45825D76"/>
    <w:rsid w:val="458C38C7"/>
    <w:rsid w:val="458E2F8D"/>
    <w:rsid w:val="459D4546"/>
    <w:rsid w:val="45AD4586"/>
    <w:rsid w:val="45B63B66"/>
    <w:rsid w:val="45B71E2A"/>
    <w:rsid w:val="460266E3"/>
    <w:rsid w:val="46032B23"/>
    <w:rsid w:val="4607616F"/>
    <w:rsid w:val="4611106A"/>
    <w:rsid w:val="46130FB8"/>
    <w:rsid w:val="46311219"/>
    <w:rsid w:val="4654337F"/>
    <w:rsid w:val="465515D1"/>
    <w:rsid w:val="466902D9"/>
    <w:rsid w:val="466A5972"/>
    <w:rsid w:val="46761547"/>
    <w:rsid w:val="468457F2"/>
    <w:rsid w:val="4689127A"/>
    <w:rsid w:val="4698770F"/>
    <w:rsid w:val="469A3487"/>
    <w:rsid w:val="46A81102"/>
    <w:rsid w:val="46BB7578"/>
    <w:rsid w:val="46D1677D"/>
    <w:rsid w:val="46DE3130"/>
    <w:rsid w:val="46E11854"/>
    <w:rsid w:val="470C7F88"/>
    <w:rsid w:val="47376F28"/>
    <w:rsid w:val="474451A1"/>
    <w:rsid w:val="474927B8"/>
    <w:rsid w:val="47596E9F"/>
    <w:rsid w:val="475D0F13"/>
    <w:rsid w:val="475F022D"/>
    <w:rsid w:val="476D46F8"/>
    <w:rsid w:val="47705F96"/>
    <w:rsid w:val="4782250F"/>
    <w:rsid w:val="47983216"/>
    <w:rsid w:val="47BE6D02"/>
    <w:rsid w:val="47EF15B1"/>
    <w:rsid w:val="47EF6F11"/>
    <w:rsid w:val="47FB1D04"/>
    <w:rsid w:val="48054931"/>
    <w:rsid w:val="480C4129"/>
    <w:rsid w:val="481E3C44"/>
    <w:rsid w:val="482C45B3"/>
    <w:rsid w:val="48403BBB"/>
    <w:rsid w:val="48587156"/>
    <w:rsid w:val="486875F5"/>
    <w:rsid w:val="486E0728"/>
    <w:rsid w:val="489108BA"/>
    <w:rsid w:val="48981C49"/>
    <w:rsid w:val="48E21116"/>
    <w:rsid w:val="48E72288"/>
    <w:rsid w:val="48FA020D"/>
    <w:rsid w:val="48FC60D7"/>
    <w:rsid w:val="4902213E"/>
    <w:rsid w:val="492A2683"/>
    <w:rsid w:val="492C4C9B"/>
    <w:rsid w:val="49355EB1"/>
    <w:rsid w:val="494616A5"/>
    <w:rsid w:val="49467FBD"/>
    <w:rsid w:val="494D47E1"/>
    <w:rsid w:val="495316A6"/>
    <w:rsid w:val="496B69C8"/>
    <w:rsid w:val="497F22FB"/>
    <w:rsid w:val="49801864"/>
    <w:rsid w:val="499046CE"/>
    <w:rsid w:val="49951CE4"/>
    <w:rsid w:val="499F2B63"/>
    <w:rsid w:val="49AA32CE"/>
    <w:rsid w:val="49C10D2B"/>
    <w:rsid w:val="49CD76D0"/>
    <w:rsid w:val="49E07044"/>
    <w:rsid w:val="49E83C32"/>
    <w:rsid w:val="49EC3FFA"/>
    <w:rsid w:val="49ED38CE"/>
    <w:rsid w:val="49F66ADA"/>
    <w:rsid w:val="49F904C5"/>
    <w:rsid w:val="4A007AA5"/>
    <w:rsid w:val="4A176B9D"/>
    <w:rsid w:val="4A1808BB"/>
    <w:rsid w:val="4A1B48DF"/>
    <w:rsid w:val="4A2F3EE7"/>
    <w:rsid w:val="4A2F4251"/>
    <w:rsid w:val="4A325785"/>
    <w:rsid w:val="4A4060F4"/>
    <w:rsid w:val="4A484FA8"/>
    <w:rsid w:val="4A4A6F73"/>
    <w:rsid w:val="4A4C6847"/>
    <w:rsid w:val="4A615DCD"/>
    <w:rsid w:val="4A623EAE"/>
    <w:rsid w:val="4A62692D"/>
    <w:rsid w:val="4A6A13C3"/>
    <w:rsid w:val="4A6B325D"/>
    <w:rsid w:val="4A870198"/>
    <w:rsid w:val="4A871F75"/>
    <w:rsid w:val="4A8F323E"/>
    <w:rsid w:val="4A955161"/>
    <w:rsid w:val="4AA0750A"/>
    <w:rsid w:val="4AA448D5"/>
    <w:rsid w:val="4AAE12AF"/>
    <w:rsid w:val="4ABD1525"/>
    <w:rsid w:val="4ACC7988"/>
    <w:rsid w:val="4AD56736"/>
    <w:rsid w:val="4AE747C1"/>
    <w:rsid w:val="4AEB2C50"/>
    <w:rsid w:val="4AEE5B50"/>
    <w:rsid w:val="4AF173EE"/>
    <w:rsid w:val="4AFA44F5"/>
    <w:rsid w:val="4B101139"/>
    <w:rsid w:val="4B1355B6"/>
    <w:rsid w:val="4B221912"/>
    <w:rsid w:val="4B223D7A"/>
    <w:rsid w:val="4B2E419E"/>
    <w:rsid w:val="4B44389C"/>
    <w:rsid w:val="4B4669C2"/>
    <w:rsid w:val="4B5005B9"/>
    <w:rsid w:val="4B5C51AF"/>
    <w:rsid w:val="4B661B8A"/>
    <w:rsid w:val="4B6D4FAB"/>
    <w:rsid w:val="4B7D0C82"/>
    <w:rsid w:val="4B8E2E8F"/>
    <w:rsid w:val="4B9E7576"/>
    <w:rsid w:val="4BA919B5"/>
    <w:rsid w:val="4BB01057"/>
    <w:rsid w:val="4BDF51B7"/>
    <w:rsid w:val="4BE9047A"/>
    <w:rsid w:val="4BE94CF3"/>
    <w:rsid w:val="4BFD5F2D"/>
    <w:rsid w:val="4C0373D9"/>
    <w:rsid w:val="4C0575F5"/>
    <w:rsid w:val="4C2B14ED"/>
    <w:rsid w:val="4C2C2DD4"/>
    <w:rsid w:val="4C392662"/>
    <w:rsid w:val="4C3F1086"/>
    <w:rsid w:val="4C4E5810"/>
    <w:rsid w:val="4C7042D7"/>
    <w:rsid w:val="4C7E1155"/>
    <w:rsid w:val="4C8803BE"/>
    <w:rsid w:val="4CA50490"/>
    <w:rsid w:val="4CB70718"/>
    <w:rsid w:val="4CB70FA4"/>
    <w:rsid w:val="4CBF59F6"/>
    <w:rsid w:val="4CC36774"/>
    <w:rsid w:val="4CC72AFC"/>
    <w:rsid w:val="4CDD5E7C"/>
    <w:rsid w:val="4CE02D86"/>
    <w:rsid w:val="4CF03E01"/>
    <w:rsid w:val="4CF64CFD"/>
    <w:rsid w:val="4D242D6A"/>
    <w:rsid w:val="4D250F30"/>
    <w:rsid w:val="4D2C6E03"/>
    <w:rsid w:val="4D31441A"/>
    <w:rsid w:val="4D477799"/>
    <w:rsid w:val="4D49497B"/>
    <w:rsid w:val="4D5D0D6B"/>
    <w:rsid w:val="4D75644C"/>
    <w:rsid w:val="4D773229"/>
    <w:rsid w:val="4D774011"/>
    <w:rsid w:val="4D84279B"/>
    <w:rsid w:val="4D8F4F60"/>
    <w:rsid w:val="4D904369"/>
    <w:rsid w:val="4D9C5D37"/>
    <w:rsid w:val="4DB56DF9"/>
    <w:rsid w:val="4DBD3CC6"/>
    <w:rsid w:val="4DC94652"/>
    <w:rsid w:val="4DCA589B"/>
    <w:rsid w:val="4DCD7C9F"/>
    <w:rsid w:val="4E08517B"/>
    <w:rsid w:val="4E0B4C6B"/>
    <w:rsid w:val="4E1246D5"/>
    <w:rsid w:val="4E1B3100"/>
    <w:rsid w:val="4E280896"/>
    <w:rsid w:val="4E370DBA"/>
    <w:rsid w:val="4E3C3076"/>
    <w:rsid w:val="4E4361B3"/>
    <w:rsid w:val="4E661EA1"/>
    <w:rsid w:val="4E6C3873"/>
    <w:rsid w:val="4E6C40FA"/>
    <w:rsid w:val="4E760ECF"/>
    <w:rsid w:val="4E7B3B9E"/>
    <w:rsid w:val="4E962786"/>
    <w:rsid w:val="4EA04AA6"/>
    <w:rsid w:val="4EA07161"/>
    <w:rsid w:val="4EBE3A8B"/>
    <w:rsid w:val="4EC54E1A"/>
    <w:rsid w:val="4EC81AE7"/>
    <w:rsid w:val="4ECC43FA"/>
    <w:rsid w:val="4ED25B55"/>
    <w:rsid w:val="4ED31B1C"/>
    <w:rsid w:val="4EEA4880"/>
    <w:rsid w:val="4F164C49"/>
    <w:rsid w:val="4F18763F"/>
    <w:rsid w:val="4F1A1903"/>
    <w:rsid w:val="4F1A5777"/>
    <w:rsid w:val="4F251D61"/>
    <w:rsid w:val="4F2A4A23"/>
    <w:rsid w:val="4F40160A"/>
    <w:rsid w:val="4F446C74"/>
    <w:rsid w:val="4F5341B6"/>
    <w:rsid w:val="4F6E54B1"/>
    <w:rsid w:val="4F7718D0"/>
    <w:rsid w:val="4F7C5E20"/>
    <w:rsid w:val="4F847B70"/>
    <w:rsid w:val="4F8847C5"/>
    <w:rsid w:val="4F8C5937"/>
    <w:rsid w:val="4FA55626"/>
    <w:rsid w:val="4FB02DFA"/>
    <w:rsid w:val="4FC74BC1"/>
    <w:rsid w:val="4FCD780E"/>
    <w:rsid w:val="4FD36FA5"/>
    <w:rsid w:val="4FE70DC0"/>
    <w:rsid w:val="50036CCC"/>
    <w:rsid w:val="50093BBA"/>
    <w:rsid w:val="50094FD7"/>
    <w:rsid w:val="502B532A"/>
    <w:rsid w:val="50324731"/>
    <w:rsid w:val="50371D47"/>
    <w:rsid w:val="50395ABF"/>
    <w:rsid w:val="503E47C6"/>
    <w:rsid w:val="50410FC4"/>
    <w:rsid w:val="504B134F"/>
    <w:rsid w:val="504C3F42"/>
    <w:rsid w:val="50586B39"/>
    <w:rsid w:val="505A77E4"/>
    <w:rsid w:val="50606F6A"/>
    <w:rsid w:val="50681F00"/>
    <w:rsid w:val="507D6E7C"/>
    <w:rsid w:val="507E1724"/>
    <w:rsid w:val="50874A7C"/>
    <w:rsid w:val="508807F5"/>
    <w:rsid w:val="508D7A0F"/>
    <w:rsid w:val="50937B6E"/>
    <w:rsid w:val="50A3118B"/>
    <w:rsid w:val="50A82C45"/>
    <w:rsid w:val="50AA2519"/>
    <w:rsid w:val="50B769E4"/>
    <w:rsid w:val="50C80BF1"/>
    <w:rsid w:val="50C86E43"/>
    <w:rsid w:val="50CC248F"/>
    <w:rsid w:val="50DC2AD2"/>
    <w:rsid w:val="50FB2FBD"/>
    <w:rsid w:val="510C4347"/>
    <w:rsid w:val="511D718F"/>
    <w:rsid w:val="51204589"/>
    <w:rsid w:val="51257DF2"/>
    <w:rsid w:val="513149E8"/>
    <w:rsid w:val="515F4C30"/>
    <w:rsid w:val="51864D34"/>
    <w:rsid w:val="518B234A"/>
    <w:rsid w:val="518E5997"/>
    <w:rsid w:val="51B86EB8"/>
    <w:rsid w:val="51CC5C45"/>
    <w:rsid w:val="51D14315"/>
    <w:rsid w:val="51D414AC"/>
    <w:rsid w:val="51E952C3"/>
    <w:rsid w:val="51E959EC"/>
    <w:rsid w:val="51F4331A"/>
    <w:rsid w:val="52320A18"/>
    <w:rsid w:val="5233653E"/>
    <w:rsid w:val="525F17E0"/>
    <w:rsid w:val="527252B8"/>
    <w:rsid w:val="529214B7"/>
    <w:rsid w:val="52985D0A"/>
    <w:rsid w:val="5299416C"/>
    <w:rsid w:val="52A61F0C"/>
    <w:rsid w:val="52AA6800"/>
    <w:rsid w:val="52B23907"/>
    <w:rsid w:val="52B61649"/>
    <w:rsid w:val="52C33D66"/>
    <w:rsid w:val="52E37F64"/>
    <w:rsid w:val="52E80EE6"/>
    <w:rsid w:val="52EA7840"/>
    <w:rsid w:val="52F91536"/>
    <w:rsid w:val="52FB705C"/>
    <w:rsid w:val="53071EA5"/>
    <w:rsid w:val="530D54A1"/>
    <w:rsid w:val="5325057D"/>
    <w:rsid w:val="5334431C"/>
    <w:rsid w:val="534053B7"/>
    <w:rsid w:val="53422EDD"/>
    <w:rsid w:val="5364772A"/>
    <w:rsid w:val="537218B9"/>
    <w:rsid w:val="539B25ED"/>
    <w:rsid w:val="539B439B"/>
    <w:rsid w:val="539F032F"/>
    <w:rsid w:val="53AB4D42"/>
    <w:rsid w:val="53B042EA"/>
    <w:rsid w:val="53B4661F"/>
    <w:rsid w:val="53C658BC"/>
    <w:rsid w:val="53E06252"/>
    <w:rsid w:val="53E43F94"/>
    <w:rsid w:val="53F71F19"/>
    <w:rsid w:val="53FE5227"/>
    <w:rsid w:val="5406215C"/>
    <w:rsid w:val="540D3678"/>
    <w:rsid w:val="54244390"/>
    <w:rsid w:val="54316C98"/>
    <w:rsid w:val="54332825"/>
    <w:rsid w:val="5433421A"/>
    <w:rsid w:val="54466874"/>
    <w:rsid w:val="5453207B"/>
    <w:rsid w:val="545470BE"/>
    <w:rsid w:val="54596730"/>
    <w:rsid w:val="545D5AF4"/>
    <w:rsid w:val="546B45AA"/>
    <w:rsid w:val="547D1CF3"/>
    <w:rsid w:val="54866DF9"/>
    <w:rsid w:val="548C301C"/>
    <w:rsid w:val="54976AF9"/>
    <w:rsid w:val="54A61306"/>
    <w:rsid w:val="54B0031A"/>
    <w:rsid w:val="54B25E40"/>
    <w:rsid w:val="54B81D72"/>
    <w:rsid w:val="54C33BA9"/>
    <w:rsid w:val="54C6369A"/>
    <w:rsid w:val="54C918DE"/>
    <w:rsid w:val="54D264E2"/>
    <w:rsid w:val="54D3283A"/>
    <w:rsid w:val="54DD775A"/>
    <w:rsid w:val="54E35FFA"/>
    <w:rsid w:val="54E67898"/>
    <w:rsid w:val="54EB5A65"/>
    <w:rsid w:val="54EE6E5A"/>
    <w:rsid w:val="55071C21"/>
    <w:rsid w:val="55217A17"/>
    <w:rsid w:val="55227F9E"/>
    <w:rsid w:val="55352EB9"/>
    <w:rsid w:val="554037A1"/>
    <w:rsid w:val="5543707D"/>
    <w:rsid w:val="55472A2C"/>
    <w:rsid w:val="554C1DF1"/>
    <w:rsid w:val="55515659"/>
    <w:rsid w:val="555649EC"/>
    <w:rsid w:val="555E1F4C"/>
    <w:rsid w:val="557256C6"/>
    <w:rsid w:val="55757F75"/>
    <w:rsid w:val="558C48E3"/>
    <w:rsid w:val="55AC3AD3"/>
    <w:rsid w:val="55B0753C"/>
    <w:rsid w:val="55BE064B"/>
    <w:rsid w:val="55DC637A"/>
    <w:rsid w:val="55F12998"/>
    <w:rsid w:val="55FA2AB8"/>
    <w:rsid w:val="56020701"/>
    <w:rsid w:val="56160149"/>
    <w:rsid w:val="56206DD9"/>
    <w:rsid w:val="56220DA3"/>
    <w:rsid w:val="563D0F57"/>
    <w:rsid w:val="5640122A"/>
    <w:rsid w:val="56496330"/>
    <w:rsid w:val="56576C9F"/>
    <w:rsid w:val="565A22EB"/>
    <w:rsid w:val="565C2507"/>
    <w:rsid w:val="566273F2"/>
    <w:rsid w:val="566413BC"/>
    <w:rsid w:val="567A473C"/>
    <w:rsid w:val="56834428"/>
    <w:rsid w:val="56837A94"/>
    <w:rsid w:val="5689497F"/>
    <w:rsid w:val="568B06F7"/>
    <w:rsid w:val="568D26C1"/>
    <w:rsid w:val="56BF6825"/>
    <w:rsid w:val="56C45FCF"/>
    <w:rsid w:val="56F21594"/>
    <w:rsid w:val="56FF2E93"/>
    <w:rsid w:val="570566FB"/>
    <w:rsid w:val="570F757A"/>
    <w:rsid w:val="571132F2"/>
    <w:rsid w:val="571406EC"/>
    <w:rsid w:val="57154464"/>
    <w:rsid w:val="57237F93"/>
    <w:rsid w:val="5730129E"/>
    <w:rsid w:val="57441E9D"/>
    <w:rsid w:val="574613CF"/>
    <w:rsid w:val="574D00A2"/>
    <w:rsid w:val="57511940"/>
    <w:rsid w:val="57541431"/>
    <w:rsid w:val="575E2854"/>
    <w:rsid w:val="57686C8A"/>
    <w:rsid w:val="577216B2"/>
    <w:rsid w:val="577C4FFA"/>
    <w:rsid w:val="57812BC2"/>
    <w:rsid w:val="57A20E26"/>
    <w:rsid w:val="57B26DB0"/>
    <w:rsid w:val="57B27F05"/>
    <w:rsid w:val="57D0303B"/>
    <w:rsid w:val="57D367F9"/>
    <w:rsid w:val="57D741CB"/>
    <w:rsid w:val="57E04660"/>
    <w:rsid w:val="57E15064"/>
    <w:rsid w:val="57F3763C"/>
    <w:rsid w:val="57F95B34"/>
    <w:rsid w:val="58095D77"/>
    <w:rsid w:val="58214A53"/>
    <w:rsid w:val="58315BF8"/>
    <w:rsid w:val="585316E8"/>
    <w:rsid w:val="5855374A"/>
    <w:rsid w:val="58575D94"/>
    <w:rsid w:val="58694A68"/>
    <w:rsid w:val="586B07E0"/>
    <w:rsid w:val="5876746B"/>
    <w:rsid w:val="587B71B7"/>
    <w:rsid w:val="587F6039"/>
    <w:rsid w:val="58873140"/>
    <w:rsid w:val="588C69A8"/>
    <w:rsid w:val="588E2720"/>
    <w:rsid w:val="589661EB"/>
    <w:rsid w:val="58A40196"/>
    <w:rsid w:val="58A61818"/>
    <w:rsid w:val="58D42829"/>
    <w:rsid w:val="58F20F01"/>
    <w:rsid w:val="58FA452D"/>
    <w:rsid w:val="59077F42"/>
    <w:rsid w:val="591744C4"/>
    <w:rsid w:val="5919023C"/>
    <w:rsid w:val="591D4E77"/>
    <w:rsid w:val="5934394C"/>
    <w:rsid w:val="593B4656"/>
    <w:rsid w:val="59464DA9"/>
    <w:rsid w:val="59486E21"/>
    <w:rsid w:val="594A6647"/>
    <w:rsid w:val="59610C8A"/>
    <w:rsid w:val="597D505A"/>
    <w:rsid w:val="597D6D22"/>
    <w:rsid w:val="598F4D7B"/>
    <w:rsid w:val="59916588"/>
    <w:rsid w:val="59A30110"/>
    <w:rsid w:val="59BC4885"/>
    <w:rsid w:val="59BE0DE3"/>
    <w:rsid w:val="59D62212"/>
    <w:rsid w:val="5A0C1B4F"/>
    <w:rsid w:val="5A0E2AA6"/>
    <w:rsid w:val="5A0E58C7"/>
    <w:rsid w:val="5A296BA4"/>
    <w:rsid w:val="5A2C0443"/>
    <w:rsid w:val="5A326988"/>
    <w:rsid w:val="5A375611"/>
    <w:rsid w:val="5A44578C"/>
    <w:rsid w:val="5A4F52D2"/>
    <w:rsid w:val="5A56101C"/>
    <w:rsid w:val="5A7E4F9D"/>
    <w:rsid w:val="5AC71F19"/>
    <w:rsid w:val="5AE44879"/>
    <w:rsid w:val="5AE605F2"/>
    <w:rsid w:val="5AEB5538"/>
    <w:rsid w:val="5AFA711E"/>
    <w:rsid w:val="5AFD6893"/>
    <w:rsid w:val="5AFD6AB1"/>
    <w:rsid w:val="5B12540A"/>
    <w:rsid w:val="5B2A046D"/>
    <w:rsid w:val="5B330941"/>
    <w:rsid w:val="5B4F43E9"/>
    <w:rsid w:val="5B5437AD"/>
    <w:rsid w:val="5B6065F6"/>
    <w:rsid w:val="5B6C2BA5"/>
    <w:rsid w:val="5B751975"/>
    <w:rsid w:val="5B811EE9"/>
    <w:rsid w:val="5BB57FC4"/>
    <w:rsid w:val="5BBE50CA"/>
    <w:rsid w:val="5BD112A2"/>
    <w:rsid w:val="5BD91F04"/>
    <w:rsid w:val="5BE110AF"/>
    <w:rsid w:val="5BEC58D3"/>
    <w:rsid w:val="5BED59B0"/>
    <w:rsid w:val="5BFB631F"/>
    <w:rsid w:val="5C0F5926"/>
    <w:rsid w:val="5C0F5EF4"/>
    <w:rsid w:val="5C621EFA"/>
    <w:rsid w:val="5C71038F"/>
    <w:rsid w:val="5C89392A"/>
    <w:rsid w:val="5CBB075A"/>
    <w:rsid w:val="5CBD35D4"/>
    <w:rsid w:val="5CCD6BA5"/>
    <w:rsid w:val="5CF039A9"/>
    <w:rsid w:val="5D042FB1"/>
    <w:rsid w:val="5D094A6B"/>
    <w:rsid w:val="5D107BA8"/>
    <w:rsid w:val="5D1B2929"/>
    <w:rsid w:val="5D1C42F5"/>
    <w:rsid w:val="5D2F3A4B"/>
    <w:rsid w:val="5D303DA6"/>
    <w:rsid w:val="5D417E51"/>
    <w:rsid w:val="5D4C5693"/>
    <w:rsid w:val="5D811E11"/>
    <w:rsid w:val="5D8A795A"/>
    <w:rsid w:val="5D99194B"/>
    <w:rsid w:val="5DB23820"/>
    <w:rsid w:val="5DC56BE4"/>
    <w:rsid w:val="5DC80482"/>
    <w:rsid w:val="5DD773B8"/>
    <w:rsid w:val="5DEF5A0F"/>
    <w:rsid w:val="5E0F5D96"/>
    <w:rsid w:val="5E1D3A94"/>
    <w:rsid w:val="5E261391"/>
    <w:rsid w:val="5E262FEA"/>
    <w:rsid w:val="5E2751A9"/>
    <w:rsid w:val="5E287173"/>
    <w:rsid w:val="5E2A7E1A"/>
    <w:rsid w:val="5E345B18"/>
    <w:rsid w:val="5E5256B5"/>
    <w:rsid w:val="5E563CE0"/>
    <w:rsid w:val="5E593011"/>
    <w:rsid w:val="5E6C7060"/>
    <w:rsid w:val="5E7128C8"/>
    <w:rsid w:val="5E750D38"/>
    <w:rsid w:val="5E7E6D93"/>
    <w:rsid w:val="5E820631"/>
    <w:rsid w:val="5E96232F"/>
    <w:rsid w:val="5E980438"/>
    <w:rsid w:val="5E9D190F"/>
    <w:rsid w:val="5EAE7678"/>
    <w:rsid w:val="5EB05FAA"/>
    <w:rsid w:val="5EB23621"/>
    <w:rsid w:val="5EB80414"/>
    <w:rsid w:val="5EC155FD"/>
    <w:rsid w:val="5ED510A9"/>
    <w:rsid w:val="5EE57A83"/>
    <w:rsid w:val="5EF84D97"/>
    <w:rsid w:val="5EFA466C"/>
    <w:rsid w:val="5F0371D6"/>
    <w:rsid w:val="5F0545C8"/>
    <w:rsid w:val="5F256B69"/>
    <w:rsid w:val="5F291E6A"/>
    <w:rsid w:val="5F3062DF"/>
    <w:rsid w:val="5F313E05"/>
    <w:rsid w:val="5F360ED7"/>
    <w:rsid w:val="5F3D27AA"/>
    <w:rsid w:val="5F4D27AE"/>
    <w:rsid w:val="5F522506"/>
    <w:rsid w:val="5F5C25BE"/>
    <w:rsid w:val="5F7A710F"/>
    <w:rsid w:val="5F9A7BFD"/>
    <w:rsid w:val="5F9D03B8"/>
    <w:rsid w:val="5FAA42E4"/>
    <w:rsid w:val="5FBA3DFB"/>
    <w:rsid w:val="5FC87A03"/>
    <w:rsid w:val="600A2FD4"/>
    <w:rsid w:val="600B28A8"/>
    <w:rsid w:val="600D11D9"/>
    <w:rsid w:val="601E69D3"/>
    <w:rsid w:val="60224D70"/>
    <w:rsid w:val="603D591F"/>
    <w:rsid w:val="6045472C"/>
    <w:rsid w:val="60527752"/>
    <w:rsid w:val="60593614"/>
    <w:rsid w:val="605B48BE"/>
    <w:rsid w:val="60673698"/>
    <w:rsid w:val="60736A8B"/>
    <w:rsid w:val="60765F74"/>
    <w:rsid w:val="60A01243"/>
    <w:rsid w:val="60A30D33"/>
    <w:rsid w:val="60B30F76"/>
    <w:rsid w:val="60F11A9E"/>
    <w:rsid w:val="60F15EAC"/>
    <w:rsid w:val="60F31CBA"/>
    <w:rsid w:val="61001CE1"/>
    <w:rsid w:val="61023CAB"/>
    <w:rsid w:val="611A41FB"/>
    <w:rsid w:val="6138591F"/>
    <w:rsid w:val="613B0F6B"/>
    <w:rsid w:val="61502C69"/>
    <w:rsid w:val="61860438"/>
    <w:rsid w:val="61882403"/>
    <w:rsid w:val="618B1B80"/>
    <w:rsid w:val="618F4878"/>
    <w:rsid w:val="619A36FE"/>
    <w:rsid w:val="61AF3E33"/>
    <w:rsid w:val="61B72CE8"/>
    <w:rsid w:val="61B825BC"/>
    <w:rsid w:val="61C15914"/>
    <w:rsid w:val="61C87093"/>
    <w:rsid w:val="61C972E2"/>
    <w:rsid w:val="61EA6C19"/>
    <w:rsid w:val="61ED42C5"/>
    <w:rsid w:val="61F1668F"/>
    <w:rsid w:val="62037CDB"/>
    <w:rsid w:val="620677CB"/>
    <w:rsid w:val="622F2629"/>
    <w:rsid w:val="62307E12"/>
    <w:rsid w:val="625978FB"/>
    <w:rsid w:val="625E3163"/>
    <w:rsid w:val="626C5880"/>
    <w:rsid w:val="62754BDF"/>
    <w:rsid w:val="62797F9D"/>
    <w:rsid w:val="627B3D15"/>
    <w:rsid w:val="628801E0"/>
    <w:rsid w:val="62937823"/>
    <w:rsid w:val="62973EAF"/>
    <w:rsid w:val="62A468BF"/>
    <w:rsid w:val="62A84B6E"/>
    <w:rsid w:val="62B45479"/>
    <w:rsid w:val="62CE02E9"/>
    <w:rsid w:val="62DE1583"/>
    <w:rsid w:val="62E278F0"/>
    <w:rsid w:val="62F2022D"/>
    <w:rsid w:val="62FF591F"/>
    <w:rsid w:val="63057A83"/>
    <w:rsid w:val="63163C07"/>
    <w:rsid w:val="63176E57"/>
    <w:rsid w:val="63316636"/>
    <w:rsid w:val="634405AB"/>
    <w:rsid w:val="63480C41"/>
    <w:rsid w:val="6352606D"/>
    <w:rsid w:val="635D4414"/>
    <w:rsid w:val="63696264"/>
    <w:rsid w:val="636C7B02"/>
    <w:rsid w:val="63732A72"/>
    <w:rsid w:val="637D1D0F"/>
    <w:rsid w:val="638D67F3"/>
    <w:rsid w:val="63B82D47"/>
    <w:rsid w:val="63DA2CBD"/>
    <w:rsid w:val="63DF2082"/>
    <w:rsid w:val="63EA1819"/>
    <w:rsid w:val="63EE0517"/>
    <w:rsid w:val="63F35B2D"/>
    <w:rsid w:val="642336D3"/>
    <w:rsid w:val="642D7291"/>
    <w:rsid w:val="64354398"/>
    <w:rsid w:val="64371EBE"/>
    <w:rsid w:val="64395C36"/>
    <w:rsid w:val="643B5F4F"/>
    <w:rsid w:val="6470717E"/>
    <w:rsid w:val="6478428C"/>
    <w:rsid w:val="648844C8"/>
    <w:rsid w:val="648A0240"/>
    <w:rsid w:val="649410BE"/>
    <w:rsid w:val="649D4417"/>
    <w:rsid w:val="64A82DBC"/>
    <w:rsid w:val="64C15A00"/>
    <w:rsid w:val="64C25C2B"/>
    <w:rsid w:val="64D23995"/>
    <w:rsid w:val="64D836A1"/>
    <w:rsid w:val="64D911C7"/>
    <w:rsid w:val="64DE058B"/>
    <w:rsid w:val="64E33EDE"/>
    <w:rsid w:val="65052753"/>
    <w:rsid w:val="65077AE2"/>
    <w:rsid w:val="652C70D8"/>
    <w:rsid w:val="65312DB1"/>
    <w:rsid w:val="65332685"/>
    <w:rsid w:val="65362175"/>
    <w:rsid w:val="655F791E"/>
    <w:rsid w:val="65680A32"/>
    <w:rsid w:val="656B0071"/>
    <w:rsid w:val="656C5B97"/>
    <w:rsid w:val="659155FE"/>
    <w:rsid w:val="65B15650"/>
    <w:rsid w:val="65B63AF5"/>
    <w:rsid w:val="65BF03BD"/>
    <w:rsid w:val="65CB24B8"/>
    <w:rsid w:val="65CB6D62"/>
    <w:rsid w:val="65CC4888"/>
    <w:rsid w:val="65D5373C"/>
    <w:rsid w:val="65D75FCA"/>
    <w:rsid w:val="65E15C63"/>
    <w:rsid w:val="65E161FA"/>
    <w:rsid w:val="65F155CB"/>
    <w:rsid w:val="65F22540"/>
    <w:rsid w:val="65F55B8D"/>
    <w:rsid w:val="662326FA"/>
    <w:rsid w:val="66291CDA"/>
    <w:rsid w:val="66416C30"/>
    <w:rsid w:val="665F6B90"/>
    <w:rsid w:val="666F137B"/>
    <w:rsid w:val="6672542F"/>
    <w:rsid w:val="66770C98"/>
    <w:rsid w:val="66787FA7"/>
    <w:rsid w:val="668C4743"/>
    <w:rsid w:val="668F4233"/>
    <w:rsid w:val="66C739CD"/>
    <w:rsid w:val="66CF2882"/>
    <w:rsid w:val="66E07BC1"/>
    <w:rsid w:val="66ED2D08"/>
    <w:rsid w:val="67051C91"/>
    <w:rsid w:val="67127912"/>
    <w:rsid w:val="671309C0"/>
    <w:rsid w:val="6739419F"/>
    <w:rsid w:val="673A01C2"/>
    <w:rsid w:val="673C48EB"/>
    <w:rsid w:val="674C5C80"/>
    <w:rsid w:val="674C7A2E"/>
    <w:rsid w:val="67544B35"/>
    <w:rsid w:val="677376B1"/>
    <w:rsid w:val="678B55B6"/>
    <w:rsid w:val="679C45FA"/>
    <w:rsid w:val="679C5ABD"/>
    <w:rsid w:val="67AC671F"/>
    <w:rsid w:val="67AE693B"/>
    <w:rsid w:val="67B47909"/>
    <w:rsid w:val="67B62592"/>
    <w:rsid w:val="67DB0DB2"/>
    <w:rsid w:val="67DB50EE"/>
    <w:rsid w:val="67E04ED3"/>
    <w:rsid w:val="67E704B4"/>
    <w:rsid w:val="67E81E4D"/>
    <w:rsid w:val="67EB7247"/>
    <w:rsid w:val="67FF2CF3"/>
    <w:rsid w:val="681349F0"/>
    <w:rsid w:val="68294213"/>
    <w:rsid w:val="68324E76"/>
    <w:rsid w:val="685511D4"/>
    <w:rsid w:val="68633281"/>
    <w:rsid w:val="686B0388"/>
    <w:rsid w:val="686C6B7B"/>
    <w:rsid w:val="68790CF7"/>
    <w:rsid w:val="687C2595"/>
    <w:rsid w:val="689C6793"/>
    <w:rsid w:val="68A82A54"/>
    <w:rsid w:val="68BF3377"/>
    <w:rsid w:val="68E83CDF"/>
    <w:rsid w:val="68EE73AA"/>
    <w:rsid w:val="69286279"/>
    <w:rsid w:val="692F13B6"/>
    <w:rsid w:val="693B5FAC"/>
    <w:rsid w:val="694641F3"/>
    <w:rsid w:val="694A61EF"/>
    <w:rsid w:val="69581096"/>
    <w:rsid w:val="699102C2"/>
    <w:rsid w:val="699E02E9"/>
    <w:rsid w:val="69B63885"/>
    <w:rsid w:val="69C46485"/>
    <w:rsid w:val="69C73CE4"/>
    <w:rsid w:val="69E23073"/>
    <w:rsid w:val="69FF522C"/>
    <w:rsid w:val="6A002C04"/>
    <w:rsid w:val="6A1011E7"/>
    <w:rsid w:val="6A1862EE"/>
    <w:rsid w:val="6A2F7FCC"/>
    <w:rsid w:val="6A3824EC"/>
    <w:rsid w:val="6A4162B5"/>
    <w:rsid w:val="6A707ED8"/>
    <w:rsid w:val="6A7774B8"/>
    <w:rsid w:val="6A7D43A3"/>
    <w:rsid w:val="6A922E84"/>
    <w:rsid w:val="6A9F256B"/>
    <w:rsid w:val="6AB46016"/>
    <w:rsid w:val="6AB67CFA"/>
    <w:rsid w:val="6AC975E8"/>
    <w:rsid w:val="6ADB79A7"/>
    <w:rsid w:val="6AED32D6"/>
    <w:rsid w:val="6AF1726A"/>
    <w:rsid w:val="6AF75B7B"/>
    <w:rsid w:val="6AFA2A24"/>
    <w:rsid w:val="6B086362"/>
    <w:rsid w:val="6B0A55B2"/>
    <w:rsid w:val="6B0E6515"/>
    <w:rsid w:val="6B190993"/>
    <w:rsid w:val="6B1B6095"/>
    <w:rsid w:val="6B1E5CDB"/>
    <w:rsid w:val="6B1F7E37"/>
    <w:rsid w:val="6B20545A"/>
    <w:rsid w:val="6B2129A4"/>
    <w:rsid w:val="6B2807B2"/>
    <w:rsid w:val="6B4355EC"/>
    <w:rsid w:val="6B4A0729"/>
    <w:rsid w:val="6B5240A3"/>
    <w:rsid w:val="6B52582F"/>
    <w:rsid w:val="6B5B2936"/>
    <w:rsid w:val="6B600A76"/>
    <w:rsid w:val="6B652D92"/>
    <w:rsid w:val="6B655563"/>
    <w:rsid w:val="6B767770"/>
    <w:rsid w:val="6BAD30F8"/>
    <w:rsid w:val="6BC8789F"/>
    <w:rsid w:val="6BC95474"/>
    <w:rsid w:val="6BDA1B01"/>
    <w:rsid w:val="6BE803D2"/>
    <w:rsid w:val="6C0134DD"/>
    <w:rsid w:val="6C0578D5"/>
    <w:rsid w:val="6C085ABB"/>
    <w:rsid w:val="6C156025"/>
    <w:rsid w:val="6C172F5F"/>
    <w:rsid w:val="6C57134F"/>
    <w:rsid w:val="6C5817F3"/>
    <w:rsid w:val="6C5B7D72"/>
    <w:rsid w:val="6C64734B"/>
    <w:rsid w:val="6C6B6BA9"/>
    <w:rsid w:val="6C830396"/>
    <w:rsid w:val="6C8857BF"/>
    <w:rsid w:val="6C953C26"/>
    <w:rsid w:val="6CA443DB"/>
    <w:rsid w:val="6CAE5601"/>
    <w:rsid w:val="6CB247D7"/>
    <w:rsid w:val="6CC23A7D"/>
    <w:rsid w:val="6CC91B21"/>
    <w:rsid w:val="6CDD0632"/>
    <w:rsid w:val="6CE34991"/>
    <w:rsid w:val="6CEE1E72"/>
    <w:rsid w:val="6CEE3336"/>
    <w:rsid w:val="6CF61EBB"/>
    <w:rsid w:val="6D1246FB"/>
    <w:rsid w:val="6D205BE5"/>
    <w:rsid w:val="6D396CA7"/>
    <w:rsid w:val="6D4B2914"/>
    <w:rsid w:val="6D5C4743"/>
    <w:rsid w:val="6D6B4986"/>
    <w:rsid w:val="6D853C9A"/>
    <w:rsid w:val="6D8C00B5"/>
    <w:rsid w:val="6D9B34BE"/>
    <w:rsid w:val="6DB30807"/>
    <w:rsid w:val="6DC26C9C"/>
    <w:rsid w:val="6DCA69DB"/>
    <w:rsid w:val="6DCB73B6"/>
    <w:rsid w:val="6DD05881"/>
    <w:rsid w:val="6DD644F6"/>
    <w:rsid w:val="6DEA355E"/>
    <w:rsid w:val="6DF171BC"/>
    <w:rsid w:val="6E1F40EF"/>
    <w:rsid w:val="6E2214E9"/>
    <w:rsid w:val="6E223865"/>
    <w:rsid w:val="6E22773B"/>
    <w:rsid w:val="6E245AEE"/>
    <w:rsid w:val="6E315FF2"/>
    <w:rsid w:val="6E323894"/>
    <w:rsid w:val="6E3E3FDE"/>
    <w:rsid w:val="6E432CAE"/>
    <w:rsid w:val="6E4C0C5C"/>
    <w:rsid w:val="6E58642E"/>
    <w:rsid w:val="6E67654E"/>
    <w:rsid w:val="6E6E4320"/>
    <w:rsid w:val="6E7F693B"/>
    <w:rsid w:val="6E855401"/>
    <w:rsid w:val="6E9F0D8B"/>
    <w:rsid w:val="6E9F6864"/>
    <w:rsid w:val="6EAB3707"/>
    <w:rsid w:val="6EE60768"/>
    <w:rsid w:val="6EFF5CCE"/>
    <w:rsid w:val="6F0B01CF"/>
    <w:rsid w:val="6F141779"/>
    <w:rsid w:val="6F15104E"/>
    <w:rsid w:val="6F1A48B6"/>
    <w:rsid w:val="6F512DAC"/>
    <w:rsid w:val="6F665A56"/>
    <w:rsid w:val="6F6B6EC0"/>
    <w:rsid w:val="6F795A80"/>
    <w:rsid w:val="6F7C5620"/>
    <w:rsid w:val="6F90296F"/>
    <w:rsid w:val="6F937701"/>
    <w:rsid w:val="6F951824"/>
    <w:rsid w:val="6FA36659"/>
    <w:rsid w:val="6FBB43B1"/>
    <w:rsid w:val="6FC36CFC"/>
    <w:rsid w:val="6FC62348"/>
    <w:rsid w:val="6FCC3E02"/>
    <w:rsid w:val="6FCC5BB0"/>
    <w:rsid w:val="6FD20CED"/>
    <w:rsid w:val="6FF346DB"/>
    <w:rsid w:val="70030FCD"/>
    <w:rsid w:val="7016507D"/>
    <w:rsid w:val="701D640C"/>
    <w:rsid w:val="704876EA"/>
    <w:rsid w:val="708244C1"/>
    <w:rsid w:val="70877D29"/>
    <w:rsid w:val="708B5A6B"/>
    <w:rsid w:val="70AE175A"/>
    <w:rsid w:val="70C26FB3"/>
    <w:rsid w:val="70C8271B"/>
    <w:rsid w:val="70CC4DD8"/>
    <w:rsid w:val="70D31FDB"/>
    <w:rsid w:val="70F35ED1"/>
    <w:rsid w:val="70F74EAF"/>
    <w:rsid w:val="71017ADB"/>
    <w:rsid w:val="710855EB"/>
    <w:rsid w:val="71155335"/>
    <w:rsid w:val="71211E57"/>
    <w:rsid w:val="71235CA4"/>
    <w:rsid w:val="713E488C"/>
    <w:rsid w:val="71445C1A"/>
    <w:rsid w:val="714B1CA5"/>
    <w:rsid w:val="71523A5D"/>
    <w:rsid w:val="71533639"/>
    <w:rsid w:val="71573B9F"/>
    <w:rsid w:val="715F6B68"/>
    <w:rsid w:val="7161057A"/>
    <w:rsid w:val="71665B90"/>
    <w:rsid w:val="718A5D23"/>
    <w:rsid w:val="719375CE"/>
    <w:rsid w:val="71A35F1E"/>
    <w:rsid w:val="71B0505E"/>
    <w:rsid w:val="71BA7C8A"/>
    <w:rsid w:val="71CA611F"/>
    <w:rsid w:val="71CB1E97"/>
    <w:rsid w:val="71CB5A96"/>
    <w:rsid w:val="71D8462F"/>
    <w:rsid w:val="71DA0B5A"/>
    <w:rsid w:val="71E2790D"/>
    <w:rsid w:val="72036CE8"/>
    <w:rsid w:val="72111FA0"/>
    <w:rsid w:val="72121874"/>
    <w:rsid w:val="721A7121"/>
    <w:rsid w:val="721E46BD"/>
    <w:rsid w:val="721F290F"/>
    <w:rsid w:val="72264D1E"/>
    <w:rsid w:val="72273572"/>
    <w:rsid w:val="72275320"/>
    <w:rsid w:val="72330169"/>
    <w:rsid w:val="72445094"/>
    <w:rsid w:val="724A7260"/>
    <w:rsid w:val="726C5429"/>
    <w:rsid w:val="72815151"/>
    <w:rsid w:val="728409C4"/>
    <w:rsid w:val="72916C3D"/>
    <w:rsid w:val="7295497F"/>
    <w:rsid w:val="72966949"/>
    <w:rsid w:val="72AE1995"/>
    <w:rsid w:val="72D37256"/>
    <w:rsid w:val="72D8486C"/>
    <w:rsid w:val="72ED47BB"/>
    <w:rsid w:val="72EE24A7"/>
    <w:rsid w:val="732E26DE"/>
    <w:rsid w:val="73341D48"/>
    <w:rsid w:val="734463A5"/>
    <w:rsid w:val="73692554"/>
    <w:rsid w:val="73754CED"/>
    <w:rsid w:val="737F73DD"/>
    <w:rsid w:val="73814700"/>
    <w:rsid w:val="73830C7C"/>
    <w:rsid w:val="739E7864"/>
    <w:rsid w:val="73A56E44"/>
    <w:rsid w:val="73B07597"/>
    <w:rsid w:val="73BE3A62"/>
    <w:rsid w:val="73D70FC8"/>
    <w:rsid w:val="73EB05CF"/>
    <w:rsid w:val="73FC458A"/>
    <w:rsid w:val="74023416"/>
    <w:rsid w:val="741C6C52"/>
    <w:rsid w:val="74273CFD"/>
    <w:rsid w:val="742A10F7"/>
    <w:rsid w:val="743326A2"/>
    <w:rsid w:val="743E609F"/>
    <w:rsid w:val="744C48FE"/>
    <w:rsid w:val="745A5E80"/>
    <w:rsid w:val="74732A9E"/>
    <w:rsid w:val="748527D2"/>
    <w:rsid w:val="74A23383"/>
    <w:rsid w:val="74AB66DC"/>
    <w:rsid w:val="74B11819"/>
    <w:rsid w:val="74B310ED"/>
    <w:rsid w:val="74BB60F3"/>
    <w:rsid w:val="74C257D4"/>
    <w:rsid w:val="74CA4688"/>
    <w:rsid w:val="74E76FE8"/>
    <w:rsid w:val="74EC2851"/>
    <w:rsid w:val="74EE0377"/>
    <w:rsid w:val="75061B64"/>
    <w:rsid w:val="75145607"/>
    <w:rsid w:val="751F49D4"/>
    <w:rsid w:val="752073C6"/>
    <w:rsid w:val="752B78C2"/>
    <w:rsid w:val="755D14D4"/>
    <w:rsid w:val="755F1275"/>
    <w:rsid w:val="756643B1"/>
    <w:rsid w:val="75734D8E"/>
    <w:rsid w:val="757E5B9F"/>
    <w:rsid w:val="7592164A"/>
    <w:rsid w:val="75932CCC"/>
    <w:rsid w:val="759E7FEF"/>
    <w:rsid w:val="75A90742"/>
    <w:rsid w:val="75A924F0"/>
    <w:rsid w:val="75B24044"/>
    <w:rsid w:val="75C20D31"/>
    <w:rsid w:val="75F03891"/>
    <w:rsid w:val="75F06371"/>
    <w:rsid w:val="75F45E61"/>
    <w:rsid w:val="760A11E0"/>
    <w:rsid w:val="76106627"/>
    <w:rsid w:val="761E4C8C"/>
    <w:rsid w:val="762A5E0D"/>
    <w:rsid w:val="762D3121"/>
    <w:rsid w:val="76334D2E"/>
    <w:rsid w:val="763E70DC"/>
    <w:rsid w:val="765608C9"/>
    <w:rsid w:val="7662101C"/>
    <w:rsid w:val="766308F1"/>
    <w:rsid w:val="766A7ED1"/>
    <w:rsid w:val="7677439C"/>
    <w:rsid w:val="767B0330"/>
    <w:rsid w:val="768A6FF9"/>
    <w:rsid w:val="76A73FAA"/>
    <w:rsid w:val="76B11157"/>
    <w:rsid w:val="76CA0970"/>
    <w:rsid w:val="76D23BCB"/>
    <w:rsid w:val="76D31F1A"/>
    <w:rsid w:val="76E24688"/>
    <w:rsid w:val="77071BC4"/>
    <w:rsid w:val="772618AB"/>
    <w:rsid w:val="773A0A2A"/>
    <w:rsid w:val="77416E84"/>
    <w:rsid w:val="775275D7"/>
    <w:rsid w:val="77586705"/>
    <w:rsid w:val="7771226C"/>
    <w:rsid w:val="77813724"/>
    <w:rsid w:val="779416A9"/>
    <w:rsid w:val="7798398C"/>
    <w:rsid w:val="779F3BAA"/>
    <w:rsid w:val="77A1215B"/>
    <w:rsid w:val="77A6318B"/>
    <w:rsid w:val="77B04009"/>
    <w:rsid w:val="77B91110"/>
    <w:rsid w:val="77CE11DC"/>
    <w:rsid w:val="780F194C"/>
    <w:rsid w:val="78250553"/>
    <w:rsid w:val="782642CC"/>
    <w:rsid w:val="782B3690"/>
    <w:rsid w:val="783B5DE1"/>
    <w:rsid w:val="78435EDE"/>
    <w:rsid w:val="78471FE7"/>
    <w:rsid w:val="785B20F2"/>
    <w:rsid w:val="78771BF8"/>
    <w:rsid w:val="7886244A"/>
    <w:rsid w:val="788B1D5B"/>
    <w:rsid w:val="78902FEC"/>
    <w:rsid w:val="78A91184"/>
    <w:rsid w:val="78B638A1"/>
    <w:rsid w:val="78B93173"/>
    <w:rsid w:val="78E80479"/>
    <w:rsid w:val="78E8332F"/>
    <w:rsid w:val="78F341AE"/>
    <w:rsid w:val="78F50D6D"/>
    <w:rsid w:val="791505C8"/>
    <w:rsid w:val="791511DA"/>
    <w:rsid w:val="791F52E2"/>
    <w:rsid w:val="794013BD"/>
    <w:rsid w:val="79415DFA"/>
    <w:rsid w:val="79576530"/>
    <w:rsid w:val="795A5FDB"/>
    <w:rsid w:val="79607369"/>
    <w:rsid w:val="796926C2"/>
    <w:rsid w:val="798B6ADC"/>
    <w:rsid w:val="798D4602"/>
    <w:rsid w:val="799C2A97"/>
    <w:rsid w:val="799E45C2"/>
    <w:rsid w:val="79A67472"/>
    <w:rsid w:val="79C1605A"/>
    <w:rsid w:val="79C30024"/>
    <w:rsid w:val="79CD4E76"/>
    <w:rsid w:val="79E17BAC"/>
    <w:rsid w:val="79E81839"/>
    <w:rsid w:val="79ED32F3"/>
    <w:rsid w:val="7A1A1C0E"/>
    <w:rsid w:val="7A1E3DBE"/>
    <w:rsid w:val="7A3A5CE2"/>
    <w:rsid w:val="7A3C3932"/>
    <w:rsid w:val="7A462A03"/>
    <w:rsid w:val="7A477F1E"/>
    <w:rsid w:val="7A495B10"/>
    <w:rsid w:val="7A540C7C"/>
    <w:rsid w:val="7A63567B"/>
    <w:rsid w:val="7A715CD2"/>
    <w:rsid w:val="7A82285A"/>
    <w:rsid w:val="7A834D88"/>
    <w:rsid w:val="7A8C48BA"/>
    <w:rsid w:val="7AB01514"/>
    <w:rsid w:val="7AC5146A"/>
    <w:rsid w:val="7ADB75EF"/>
    <w:rsid w:val="7ADE5213"/>
    <w:rsid w:val="7AF406B1"/>
    <w:rsid w:val="7B1533F8"/>
    <w:rsid w:val="7B163E4F"/>
    <w:rsid w:val="7B1E128A"/>
    <w:rsid w:val="7B220D7A"/>
    <w:rsid w:val="7B256ABC"/>
    <w:rsid w:val="7B2D174A"/>
    <w:rsid w:val="7B2F3497"/>
    <w:rsid w:val="7B38059E"/>
    <w:rsid w:val="7B523A2D"/>
    <w:rsid w:val="7B5358E0"/>
    <w:rsid w:val="7B5659AB"/>
    <w:rsid w:val="7B711D02"/>
    <w:rsid w:val="7B95154C"/>
    <w:rsid w:val="7B9A4DB4"/>
    <w:rsid w:val="7B9B0B2D"/>
    <w:rsid w:val="7BA07EF1"/>
    <w:rsid w:val="7BA23E2C"/>
    <w:rsid w:val="7BA7127F"/>
    <w:rsid w:val="7BB40C99"/>
    <w:rsid w:val="7BBA7205"/>
    <w:rsid w:val="7BCB76C6"/>
    <w:rsid w:val="7BD83B2F"/>
    <w:rsid w:val="7BEF62B7"/>
    <w:rsid w:val="7BF24BF0"/>
    <w:rsid w:val="7BF96EEA"/>
    <w:rsid w:val="7BFC5A6F"/>
    <w:rsid w:val="7C0641F8"/>
    <w:rsid w:val="7C1745DC"/>
    <w:rsid w:val="7C4C370C"/>
    <w:rsid w:val="7C4E4D2C"/>
    <w:rsid w:val="7C5335DF"/>
    <w:rsid w:val="7C745605"/>
    <w:rsid w:val="7C833A9B"/>
    <w:rsid w:val="7C887303"/>
    <w:rsid w:val="7C8A4E29"/>
    <w:rsid w:val="7C8F243F"/>
    <w:rsid w:val="7CA81753"/>
    <w:rsid w:val="7CC24E7B"/>
    <w:rsid w:val="7CDB4696"/>
    <w:rsid w:val="7CE649CF"/>
    <w:rsid w:val="7CEC5AE4"/>
    <w:rsid w:val="7CED7166"/>
    <w:rsid w:val="7CFE5817"/>
    <w:rsid w:val="7D1110A6"/>
    <w:rsid w:val="7D1F7C67"/>
    <w:rsid w:val="7D4A280A"/>
    <w:rsid w:val="7D782728"/>
    <w:rsid w:val="7D796C4C"/>
    <w:rsid w:val="7D7C2F85"/>
    <w:rsid w:val="7D9049DE"/>
    <w:rsid w:val="7D9B66D7"/>
    <w:rsid w:val="7DB60E64"/>
    <w:rsid w:val="7DB61C4E"/>
    <w:rsid w:val="7DCF07A2"/>
    <w:rsid w:val="7DD65E4C"/>
    <w:rsid w:val="7DE44E0E"/>
    <w:rsid w:val="7DEB7E36"/>
    <w:rsid w:val="7E046E5D"/>
    <w:rsid w:val="7E061359"/>
    <w:rsid w:val="7E260B81"/>
    <w:rsid w:val="7E3F780C"/>
    <w:rsid w:val="7E450E1A"/>
    <w:rsid w:val="7E461224"/>
    <w:rsid w:val="7E5C45A3"/>
    <w:rsid w:val="7E632646"/>
    <w:rsid w:val="7E6717D0"/>
    <w:rsid w:val="7E7062A0"/>
    <w:rsid w:val="7E725B75"/>
    <w:rsid w:val="7E7E09BD"/>
    <w:rsid w:val="7E8351A6"/>
    <w:rsid w:val="7EAA1358"/>
    <w:rsid w:val="7EAE29BA"/>
    <w:rsid w:val="7EC64112"/>
    <w:rsid w:val="7EF14CDF"/>
    <w:rsid w:val="7F0C421B"/>
    <w:rsid w:val="7F2D5F40"/>
    <w:rsid w:val="7F4339B5"/>
    <w:rsid w:val="7F466324"/>
    <w:rsid w:val="7F4B5249"/>
    <w:rsid w:val="7F513EF9"/>
    <w:rsid w:val="7F5C2A91"/>
    <w:rsid w:val="7F78540D"/>
    <w:rsid w:val="7F7E49ED"/>
    <w:rsid w:val="7F8F035F"/>
    <w:rsid w:val="7F9D7654"/>
    <w:rsid w:val="7FA06711"/>
    <w:rsid w:val="7FAE329F"/>
    <w:rsid w:val="7FB85809"/>
    <w:rsid w:val="7FBB179D"/>
    <w:rsid w:val="7FBC304D"/>
    <w:rsid w:val="7FBF6EAE"/>
    <w:rsid w:val="7FD91C23"/>
    <w:rsid w:val="7FDA7E75"/>
    <w:rsid w:val="7FEB2083"/>
    <w:rsid w:val="7FEC7BA9"/>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宋体" w:cs="Times New Roman"/>
      <w:kern w:val="2"/>
      <w:sz w:val="21"/>
      <w:szCs w:val="22"/>
      <w:lang w:val="en-US" w:eastAsia="zh-CN" w:bidi="ar-SA"/>
    </w:rPr>
  </w:style>
  <w:style w:type="paragraph" w:styleId="4">
    <w:name w:val="heading 1"/>
    <w:basedOn w:val="1"/>
    <w:next w:val="1"/>
    <w:autoRedefine/>
    <w:qFormat/>
    <w:uiPriority w:val="0"/>
    <w:pPr>
      <w:pageBreakBefore/>
      <w:widowControl/>
      <w:tabs>
        <w:tab w:val="left" w:pos="478"/>
      </w:tabs>
      <w:autoSpaceDE w:val="0"/>
      <w:autoSpaceDN w:val="0"/>
      <w:spacing w:before="240" w:after="120" w:line="240" w:lineRule="auto"/>
      <w:ind w:left="478" w:hanging="960" w:firstLineChars="0"/>
      <w:jc w:val="center"/>
      <w:outlineLvl w:val="0"/>
    </w:pPr>
    <w:rPr>
      <w:rFonts w:ascii="宋体"/>
      <w:color w:val="000000"/>
      <w:kern w:val="0"/>
      <w:sz w:val="36"/>
      <w:szCs w:val="20"/>
    </w:rPr>
  </w:style>
  <w:style w:type="paragraph" w:styleId="5">
    <w:name w:val="heading 2"/>
    <w:basedOn w:val="1"/>
    <w:next w:val="1"/>
    <w:autoRedefine/>
    <w:qFormat/>
    <w:uiPriority w:val="0"/>
    <w:pPr>
      <w:keepNext/>
      <w:keepLines/>
      <w:tabs>
        <w:tab w:val="left" w:pos="358"/>
      </w:tabs>
      <w:spacing w:before="400"/>
      <w:ind w:left="358" w:hanging="420" w:firstLineChars="0"/>
      <w:outlineLvl w:val="1"/>
    </w:pPr>
    <w:rPr>
      <w:b/>
      <w:kern w:val="0"/>
      <w:sz w:val="32"/>
      <w:szCs w:val="20"/>
    </w:rPr>
  </w:style>
  <w:style w:type="paragraph" w:styleId="6">
    <w:name w:val="heading 3"/>
    <w:basedOn w:val="1"/>
    <w:next w:val="1"/>
    <w:autoRedefine/>
    <w:qFormat/>
    <w:uiPriority w:val="0"/>
    <w:pPr>
      <w:keepNext/>
      <w:keepLines/>
      <w:spacing w:before="260" w:after="260" w:line="415" w:lineRule="auto"/>
      <w:outlineLvl w:val="2"/>
    </w:pPr>
    <w:rPr>
      <w:b/>
      <w:sz w:val="32"/>
      <w:szCs w:val="32"/>
    </w:rPr>
  </w:style>
  <w:style w:type="paragraph" w:styleId="7">
    <w:name w:val="heading 4"/>
    <w:basedOn w:val="6"/>
    <w:next w:val="1"/>
    <w:autoRedefine/>
    <w:qFormat/>
    <w:uiPriority w:val="0"/>
    <w:pPr>
      <w:keepNext/>
      <w:keepLines/>
      <w:spacing w:before="280" w:after="290" w:line="374" w:lineRule="auto"/>
      <w:outlineLvl w:val="3"/>
    </w:pPr>
    <w:rPr>
      <w:rFonts w:ascii="Arial" w:hAnsi="Arial" w:eastAsia="黑体" w:cs="Arial"/>
      <w:sz w:val="28"/>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rPr>
      <w:rFonts w:ascii="Calibri" w:hAnsi="Calibri"/>
      <w:kern w:val="0"/>
      <w:sz w:val="20"/>
      <w:szCs w:val="20"/>
    </w:rPr>
  </w:style>
  <w:style w:type="paragraph" w:styleId="3">
    <w:name w:val="Body Text First Indent"/>
    <w:basedOn w:val="2"/>
    <w:autoRedefine/>
    <w:unhideWhenUsed/>
    <w:qFormat/>
    <w:uiPriority w:val="99"/>
    <w:pPr>
      <w:ind w:firstLine="420" w:firstLineChars="100"/>
    </w:pPr>
  </w:style>
  <w:style w:type="paragraph" w:styleId="8">
    <w:name w:val="List Number"/>
    <w:basedOn w:val="1"/>
    <w:autoRedefine/>
    <w:qFormat/>
    <w:uiPriority w:val="0"/>
    <w:pPr>
      <w:numPr>
        <w:ilvl w:val="0"/>
        <w:numId w:val="1"/>
      </w:numPr>
    </w:pPr>
  </w:style>
  <w:style w:type="paragraph" w:styleId="9">
    <w:name w:val="Normal Indent"/>
    <w:basedOn w:val="1"/>
    <w:next w:val="1"/>
    <w:autoRedefine/>
    <w:unhideWhenUsed/>
    <w:qFormat/>
    <w:uiPriority w:val="0"/>
    <w:pPr>
      <w:spacing w:line="240" w:lineRule="auto"/>
      <w:ind w:firstLine="420"/>
    </w:pPr>
    <w:rPr>
      <w:kern w:val="0"/>
      <w:sz w:val="20"/>
      <w:szCs w:val="20"/>
    </w:rPr>
  </w:style>
  <w:style w:type="paragraph" w:styleId="10">
    <w:name w:val="caption"/>
    <w:basedOn w:val="1"/>
    <w:next w:val="1"/>
    <w:autoRedefine/>
    <w:qFormat/>
    <w:uiPriority w:val="0"/>
    <w:pPr>
      <w:spacing w:before="152" w:after="160" w:line="240" w:lineRule="auto"/>
      <w:ind w:firstLine="0" w:firstLineChars="0"/>
    </w:pPr>
    <w:rPr>
      <w:rFonts w:ascii="Arial" w:hAnsi="Arial" w:eastAsia="黑体" w:cs="Arial"/>
      <w:sz w:val="20"/>
      <w:szCs w:val="20"/>
    </w:rPr>
  </w:style>
  <w:style w:type="paragraph" w:styleId="11">
    <w:name w:val="toa heading"/>
    <w:basedOn w:val="1"/>
    <w:next w:val="1"/>
    <w:autoRedefine/>
    <w:qFormat/>
    <w:uiPriority w:val="0"/>
    <w:pPr>
      <w:spacing w:before="120"/>
    </w:pPr>
    <w:rPr>
      <w:rFonts w:ascii="Arial" w:hAnsi="Arial"/>
      <w:kern w:val="2"/>
      <w:sz w:val="24"/>
    </w:rPr>
  </w:style>
  <w:style w:type="paragraph" w:styleId="12">
    <w:name w:val="annotation text"/>
    <w:basedOn w:val="1"/>
    <w:autoRedefine/>
    <w:qFormat/>
    <w:uiPriority w:val="0"/>
    <w:pPr>
      <w:jc w:val="left"/>
    </w:pPr>
  </w:style>
  <w:style w:type="paragraph" w:styleId="13">
    <w:name w:val="Body Text Indent"/>
    <w:basedOn w:val="1"/>
    <w:next w:val="1"/>
    <w:autoRedefine/>
    <w:qFormat/>
    <w:uiPriority w:val="99"/>
    <w:pPr>
      <w:spacing w:before="120" w:after="120"/>
      <w:ind w:firstLine="525" w:firstLineChars="0"/>
    </w:pPr>
    <w:rPr>
      <w:rFonts w:ascii="宋体"/>
      <w:kern w:val="0"/>
      <w:sz w:val="24"/>
      <w:szCs w:val="20"/>
    </w:rPr>
  </w:style>
  <w:style w:type="paragraph" w:styleId="14">
    <w:name w:val="Plain Text"/>
    <w:basedOn w:val="1"/>
    <w:next w:val="9"/>
    <w:autoRedefine/>
    <w:qFormat/>
    <w:uiPriority w:val="0"/>
    <w:pPr>
      <w:spacing w:line="240" w:lineRule="auto"/>
      <w:ind w:firstLine="0" w:firstLineChars="0"/>
    </w:pPr>
    <w:rPr>
      <w:rFonts w:ascii="宋体" w:hAnsi="Courier New"/>
      <w:kern w:val="0"/>
      <w:sz w:val="20"/>
      <w:szCs w:val="20"/>
    </w:rPr>
  </w:style>
  <w:style w:type="paragraph" w:styleId="15">
    <w:name w:val="footer"/>
    <w:basedOn w:val="1"/>
    <w:autoRedefine/>
    <w:unhideWhenUsed/>
    <w:qFormat/>
    <w:uiPriority w:val="99"/>
    <w:pPr>
      <w:tabs>
        <w:tab w:val="center" w:pos="4153"/>
        <w:tab w:val="right" w:pos="8306"/>
      </w:tabs>
      <w:snapToGrid w:val="0"/>
      <w:jc w:val="left"/>
    </w:pPr>
    <w:rPr>
      <w:kern w:val="0"/>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autoRedefine/>
    <w:qFormat/>
    <w:uiPriority w:val="39"/>
    <w:pPr>
      <w:spacing w:before="120" w:after="120" w:line="240" w:lineRule="auto"/>
      <w:ind w:firstLine="0" w:firstLineChars="0"/>
      <w:jc w:val="left"/>
    </w:pPr>
    <w:rPr>
      <w:rFonts w:ascii="Times New Roman" w:hAnsi="Times New Roman"/>
      <w:b/>
      <w:caps/>
      <w:sz w:val="20"/>
      <w:szCs w:val="20"/>
    </w:rPr>
  </w:style>
  <w:style w:type="paragraph" w:styleId="18">
    <w:name w:val="List"/>
    <w:basedOn w:val="1"/>
    <w:autoRedefine/>
    <w:qFormat/>
    <w:uiPriority w:val="0"/>
    <w:pPr>
      <w:ind w:left="200" w:hanging="200" w:hangingChars="200"/>
    </w:pPr>
    <w:rPr>
      <w:sz w:val="28"/>
    </w:rPr>
  </w:style>
  <w:style w:type="paragraph" w:styleId="19">
    <w:name w:val="toc 6"/>
    <w:basedOn w:val="1"/>
    <w:next w:val="1"/>
    <w:autoRedefine/>
    <w:qFormat/>
    <w:uiPriority w:val="0"/>
    <w:pPr>
      <w:ind w:left="1400"/>
    </w:pPr>
    <w:rPr>
      <w:rFonts w:ascii="Calibri"/>
      <w:sz w:val="18"/>
      <w:szCs w:val="18"/>
    </w:rPr>
  </w:style>
  <w:style w:type="paragraph" w:styleId="20">
    <w:name w:val="Body Text Indent 3"/>
    <w:basedOn w:val="1"/>
    <w:autoRedefine/>
    <w:unhideWhenUsed/>
    <w:qFormat/>
    <w:uiPriority w:val="99"/>
    <w:pPr>
      <w:spacing w:after="120"/>
      <w:ind w:left="420" w:leftChars="200"/>
    </w:pPr>
    <w:rPr>
      <w:rFonts w:ascii="Calibri" w:hAnsi="Calibri"/>
      <w:kern w:val="0"/>
      <w:sz w:val="16"/>
      <w:szCs w:val="16"/>
    </w:rPr>
  </w:style>
  <w:style w:type="paragraph" w:styleId="21">
    <w:name w:val="toc 2"/>
    <w:basedOn w:val="1"/>
    <w:next w:val="1"/>
    <w:autoRedefine/>
    <w:qFormat/>
    <w:uiPriority w:val="39"/>
    <w:pPr>
      <w:tabs>
        <w:tab w:val="left" w:pos="600"/>
        <w:tab w:val="right" w:leader="dot" w:pos="9019"/>
      </w:tabs>
      <w:spacing w:line="240" w:lineRule="auto"/>
      <w:ind w:left="210" w:firstLine="0" w:firstLineChars="0"/>
      <w:jc w:val="left"/>
    </w:pPr>
    <w:rPr>
      <w:rFonts w:ascii="Times New Roman" w:hAnsi="Times New Roman"/>
      <w:smallCaps/>
      <w:sz w:val="20"/>
      <w:szCs w:val="20"/>
    </w:rPr>
  </w:style>
  <w:style w:type="paragraph" w:styleId="22">
    <w:name w:val="Normal (Web)"/>
    <w:basedOn w:val="1"/>
    <w:autoRedefine/>
    <w:unhideWhenUsed/>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23">
    <w:name w:val="Body Text First Indent 2"/>
    <w:basedOn w:val="13"/>
    <w:next w:val="1"/>
    <w:autoRedefine/>
    <w:qFormat/>
    <w:uiPriority w:val="0"/>
    <w:pPr>
      <w:tabs>
        <w:tab w:val="left" w:pos="8640"/>
      </w:tabs>
      <w:spacing w:after="120" w:line="240" w:lineRule="auto"/>
      <w:ind w:left="420" w:leftChars="200" w:firstLine="420" w:firstLineChars="200"/>
    </w:pPr>
    <w:rPr>
      <w:rFonts w:ascii="Times New Roman" w:hAnsi="Times New Roman" w:eastAsia="宋体" w:cs="Times New Roman"/>
      <w:sz w:val="21"/>
      <w:szCs w:val="20"/>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page number"/>
    <w:basedOn w:val="26"/>
    <w:autoRedefine/>
    <w:qFormat/>
    <w:uiPriority w:val="0"/>
  </w:style>
  <w:style w:type="character" w:styleId="29">
    <w:name w:val="Emphasis"/>
    <w:basedOn w:val="26"/>
    <w:autoRedefine/>
    <w:qFormat/>
    <w:uiPriority w:val="0"/>
    <w:rPr>
      <w:i/>
    </w:rPr>
  </w:style>
  <w:style w:type="character" w:styleId="30">
    <w:name w:val="Hyperlink"/>
    <w:basedOn w:val="26"/>
    <w:autoRedefine/>
    <w:qFormat/>
    <w:uiPriority w:val="99"/>
    <w:rPr>
      <w:color w:val="0000FF"/>
      <w:u w:val="single"/>
    </w:rPr>
  </w:style>
  <w:style w:type="character" w:styleId="31">
    <w:name w:val="HTML Sample"/>
    <w:basedOn w:val="26"/>
    <w:autoRedefine/>
    <w:qFormat/>
    <w:uiPriority w:val="0"/>
    <w:rPr>
      <w:rFonts w:ascii="Courier New" w:hAnsi="Courier New"/>
    </w:rPr>
  </w:style>
  <w:style w:type="paragraph" w:customStyle="1" w:styleId="32">
    <w:name w:val="Default"/>
    <w:next w:val="33"/>
    <w:autoRedefine/>
    <w:qFormat/>
    <w:uiPriority w:val="0"/>
    <w:pPr>
      <w:autoSpaceDE w:val="0"/>
      <w:autoSpaceDN w:val="0"/>
      <w:adjustRightInd w:val="0"/>
    </w:pPr>
    <w:rPr>
      <w:rFonts w:ascii="新宋体" w:hAnsi="Times New Roman" w:eastAsia="新宋体" w:cs="新宋体"/>
      <w:color w:val="000000"/>
      <w:sz w:val="24"/>
      <w:szCs w:val="24"/>
      <w:lang w:val="en-US" w:eastAsia="zh-CN" w:bidi="ar-SA"/>
    </w:rPr>
  </w:style>
  <w:style w:type="paragraph" w:customStyle="1" w:styleId="3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34">
    <w:name w:val="样式 表格正文 + 两端对齐"/>
    <w:basedOn w:val="1"/>
    <w:next w:val="35"/>
    <w:autoRedefine/>
    <w:qFormat/>
    <w:uiPriority w:val="0"/>
    <w:pPr>
      <w:spacing w:line="300" w:lineRule="auto"/>
    </w:pPr>
    <w:rPr>
      <w:rFonts w:ascii="Times New Roman"/>
      <w:sz w:val="24"/>
    </w:rPr>
  </w:style>
  <w:style w:type="paragraph" w:customStyle="1" w:styleId="35">
    <w:name w:val="正文1"/>
    <w:next w:val="36"/>
    <w:autoRedefine/>
    <w:qFormat/>
    <w:uiPriority w:val="0"/>
    <w:rPr>
      <w:rFonts w:ascii="Times New Roman" w:hAnsi="Times New Roman" w:eastAsia="Times New Roman" w:cs="Times New Roman"/>
      <w:sz w:val="24"/>
      <w:szCs w:val="24"/>
      <w:lang w:val="en-US" w:eastAsia="zh-CN" w:bidi="ar-SA"/>
    </w:rPr>
  </w:style>
  <w:style w:type="paragraph" w:customStyle="1" w:styleId="36">
    <w:name w:val="自动更正"/>
    <w:next w:val="37"/>
    <w:autoRedefine/>
    <w:qFormat/>
    <w:uiPriority w:val="0"/>
    <w:pPr>
      <w:widowControl w:val="0"/>
      <w:jc w:val="both"/>
    </w:pPr>
    <w:rPr>
      <w:rFonts w:ascii="黑体" w:hAnsi="黑体" w:eastAsia="微软雅黑" w:cs="黑体"/>
      <w:kern w:val="2"/>
      <w:sz w:val="21"/>
      <w:szCs w:val="24"/>
      <w:lang w:val="en-US" w:eastAsia="zh-CN" w:bidi="ar-SA"/>
    </w:rPr>
  </w:style>
  <w:style w:type="paragraph" w:customStyle="1" w:styleId="37">
    <w:name w:val="xl39"/>
    <w:basedOn w:val="1"/>
    <w:next w:val="3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8">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39">
    <w:name w:val="TOC 71"/>
    <w:basedOn w:val="1"/>
    <w:next w:val="1"/>
    <w:autoRedefine/>
    <w:qFormat/>
    <w:uiPriority w:val="0"/>
    <w:pPr>
      <w:widowControl/>
      <w:wordWrap w:val="0"/>
      <w:ind w:left="2550"/>
      <w:jc w:val="both"/>
    </w:pPr>
    <w:rPr>
      <w:rFonts w:hint="default" w:ascii="Calibri" w:hAnsi="Calibri" w:eastAsia="宋体" w:cs="Times New Roman"/>
      <w:kern w:val="0"/>
      <w:sz w:val="21"/>
      <w:szCs w:val="21"/>
      <w:lang w:val="en-US" w:eastAsia="zh-CN" w:bidi="ar"/>
    </w:rPr>
  </w:style>
  <w:style w:type="paragraph" w:customStyle="1" w:styleId="40">
    <w:name w:val="[Normal]"/>
    <w:autoRedefine/>
    <w:qFormat/>
    <w:uiPriority w:val="0"/>
    <w:rPr>
      <w:rFonts w:ascii="宋体" w:hAnsi="宋体" w:eastAsia="宋体" w:cs="Times New Roman"/>
      <w:sz w:val="24"/>
      <w:szCs w:val="22"/>
      <w:lang w:val="zh-CN" w:eastAsia="zh-CN" w:bidi="ar-SA"/>
    </w:rPr>
  </w:style>
  <w:style w:type="paragraph" w:customStyle="1" w:styleId="41">
    <w:name w:val="Heading2"/>
    <w:basedOn w:val="42"/>
    <w:next w:val="1"/>
    <w:autoRedefine/>
    <w:qFormat/>
    <w:uiPriority w:val="0"/>
    <w:pPr>
      <w:keepLines/>
      <w:tabs>
        <w:tab w:val="left" w:pos="706"/>
        <w:tab w:val="left" w:pos="1110"/>
      </w:tabs>
      <w:ind w:left="106" w:firstLine="454"/>
    </w:pPr>
    <w:rPr>
      <w:rFonts w:ascii="Arial" w:hAnsi="Arial" w:cs="Arial"/>
      <w:bCs/>
      <w:szCs w:val="32"/>
    </w:rPr>
  </w:style>
  <w:style w:type="paragraph" w:customStyle="1" w:styleId="42">
    <w:name w:val="Heading1"/>
    <w:basedOn w:val="1"/>
    <w:next w:val="1"/>
    <w:autoRedefine/>
    <w:qFormat/>
    <w:uiPriority w:val="0"/>
    <w:pPr>
      <w:keepNext/>
      <w:widowControl/>
      <w:spacing w:line="360" w:lineRule="auto"/>
      <w:jc w:val="center"/>
      <w:textAlignment w:val="baseline"/>
    </w:pPr>
    <w:rPr>
      <w:rFonts w:ascii="??" w:hAnsi="??" w:eastAsia="??"/>
      <w:b/>
      <w:kern w:val="36"/>
      <w:sz w:val="32"/>
      <w:szCs w:val="28"/>
    </w:rPr>
  </w:style>
  <w:style w:type="paragraph" w:customStyle="1" w:styleId="43">
    <w:name w:val="样式 宋体"/>
    <w:basedOn w:val="1"/>
    <w:next w:val="1"/>
    <w:autoRedefine/>
    <w:qFormat/>
    <w:uiPriority w:val="0"/>
    <w:pPr>
      <w:widowControl/>
      <w:spacing w:line="240" w:lineRule="auto"/>
      <w:ind w:firstLine="0" w:firstLineChars="0"/>
    </w:pPr>
    <w:rPr>
      <w:rFonts w:ascii="宋体" w:hAnsi="Times New Roman"/>
      <w:color w:val="000000"/>
      <w:sz w:val="24"/>
      <w:szCs w:val="20"/>
    </w:rPr>
  </w:style>
  <w:style w:type="character" w:customStyle="1" w:styleId="44">
    <w:name w:val="font31"/>
    <w:autoRedefine/>
    <w:qFormat/>
    <w:uiPriority w:val="0"/>
    <w:rPr>
      <w:rFonts w:hint="eastAsia" w:ascii="宋体" w:hAnsi="宋体" w:eastAsia="宋体" w:cs="宋体"/>
      <w:color w:val="000000"/>
      <w:sz w:val="20"/>
      <w:szCs w:val="20"/>
      <w:u w:val="none"/>
    </w:rPr>
  </w:style>
  <w:style w:type="character" w:customStyle="1" w:styleId="45">
    <w:name w:val="NormalCharacter"/>
    <w:autoRedefine/>
    <w:semiHidden/>
    <w:qFormat/>
    <w:uiPriority w:val="0"/>
  </w:style>
  <w:style w:type="paragraph" w:customStyle="1" w:styleId="46">
    <w:name w:val="正文 + 宋体"/>
    <w:basedOn w:val="1"/>
    <w:autoRedefine/>
    <w:qFormat/>
    <w:uiPriority w:val="0"/>
    <w:pPr>
      <w:spacing w:beforeLines="10" w:line="400" w:lineRule="atLeast"/>
      <w:ind w:firstLine="420" w:firstLineChars="0"/>
    </w:pPr>
    <w:rPr>
      <w:rFonts w:ascii="宋体" w:hAnsi="宋体"/>
      <w:szCs w:val="20"/>
    </w:rPr>
  </w:style>
  <w:style w:type="paragraph" w:customStyle="1" w:styleId="47">
    <w:name w:val="列出段落1"/>
    <w:basedOn w:val="1"/>
    <w:autoRedefine/>
    <w:qFormat/>
    <w:uiPriority w:val="0"/>
    <w:pPr>
      <w:ind w:firstLine="420" w:firstLineChars="200"/>
    </w:pPr>
  </w:style>
  <w:style w:type="paragraph" w:customStyle="1" w:styleId="48">
    <w:name w:val="样式 列表编号 + 段后: 0.5 行"/>
    <w:basedOn w:val="8"/>
    <w:autoRedefine/>
    <w:qFormat/>
    <w:uiPriority w:val="0"/>
    <w:pPr>
      <w:widowControl/>
      <w:numPr>
        <w:ilvl w:val="0"/>
        <w:numId w:val="0"/>
      </w:numPr>
      <w:spacing w:after="120" w:line="240" w:lineRule="auto"/>
      <w:ind w:left="840" w:hanging="420"/>
      <w:jc w:val="left"/>
    </w:pPr>
    <w:rPr>
      <w:rFonts w:ascii="Times New Roman" w:hAnsi="Times New Roman" w:cs="宋体"/>
      <w:kern w:val="0"/>
      <w:sz w:val="24"/>
      <w:szCs w:val="20"/>
    </w:rPr>
  </w:style>
  <w:style w:type="paragraph" w:customStyle="1" w:styleId="49">
    <w:name w:val="默认段落字体 Para Char Char Char Char Char Char Char Char Char1 Char Char Char Char"/>
    <w:basedOn w:val="1"/>
    <w:autoRedefine/>
    <w:qFormat/>
    <w:uiPriority w:val="0"/>
    <w:pPr>
      <w:spacing w:line="240" w:lineRule="auto"/>
      <w:ind w:firstLine="0" w:firstLineChars="0"/>
    </w:pPr>
    <w:rPr>
      <w:rFonts w:ascii="Tahoma" w:hAnsi="Tahoma"/>
      <w:sz w:val="24"/>
      <w:szCs w:val="20"/>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正文 New New New New"/>
    <w:autoRedefine/>
    <w:qFormat/>
    <w:uiPriority w:val="99"/>
    <w:pPr>
      <w:widowControl w:val="0"/>
      <w:jc w:val="both"/>
    </w:pPr>
    <w:rPr>
      <w:rFonts w:ascii="Times New Roman" w:hAnsi="Times New Roman" w:eastAsia="宋体" w:cs="Times New Roman"/>
      <w:szCs w:val="24"/>
      <w:lang w:val="en-US" w:eastAsia="zh-CN" w:bidi="ar-SA"/>
    </w:rPr>
  </w:style>
  <w:style w:type="paragraph" w:customStyle="1" w:styleId="5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3">
    <w:name w:val="正文2"/>
    <w:basedOn w:val="1"/>
    <w:autoRedefine/>
    <w:qFormat/>
    <w:uiPriority w:val="0"/>
    <w:pPr>
      <w:spacing w:before="156" w:line="360" w:lineRule="auto"/>
      <w:ind w:firstLine="510"/>
    </w:pPr>
    <w:rPr>
      <w:kern w:val="1"/>
      <w:sz w:val="24"/>
      <w:szCs w:val="20"/>
    </w:rPr>
  </w:style>
  <w:style w:type="paragraph" w:customStyle="1" w:styleId="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
    <w:name w:val="正文缩进1"/>
    <w:basedOn w:val="1"/>
    <w:next w:val="1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7">
    <w:name w:val="纯文本_0_0"/>
    <w:basedOn w:val="58"/>
    <w:autoRedefine/>
    <w:unhideWhenUsed/>
    <w:qFormat/>
    <w:uiPriority w:val="0"/>
    <w:pPr>
      <w:spacing w:beforeLines="0" w:afterLines="0"/>
    </w:pPr>
    <w:rPr>
      <w:rFonts w:hint="eastAsia" w:ascii="宋体" w:hAnsi="Courier New"/>
      <w:sz w:val="21"/>
      <w:szCs w:val="21"/>
    </w:rPr>
  </w:style>
  <w:style w:type="paragraph" w:customStyle="1" w:styleId="58">
    <w:name w:val="正文_1_0"/>
    <w:autoRedefine/>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paragraph" w:customStyle="1" w:styleId="59">
    <w:name w:val="部分1"/>
    <w:basedOn w:val="1"/>
    <w:autoRedefine/>
    <w:unhideWhenUsed/>
    <w:qFormat/>
    <w:uiPriority w:val="0"/>
    <w:pPr>
      <w:keepNext/>
      <w:pageBreakBefore/>
      <w:tabs>
        <w:tab w:val="left" w:pos="720"/>
      </w:tabs>
      <w:spacing w:beforeLines="0" w:afterLines="0" w:line="360" w:lineRule="auto"/>
      <w:jc w:val="center"/>
      <w:outlineLvl w:val="0"/>
    </w:pPr>
    <w:rPr>
      <w:rFonts w:hint="default" w:ascii="Times New Roman" w:hAnsi="Times New Roman" w:eastAsia="黑体"/>
      <w:b/>
      <w:kern w:val="44"/>
      <w:sz w:val="36"/>
      <w:szCs w:val="24"/>
    </w:rPr>
  </w:style>
  <w:style w:type="paragraph" w:customStyle="1" w:styleId="60">
    <w:name w:val="Plain Text"/>
    <w:basedOn w:val="61"/>
    <w:autoRedefine/>
    <w:qFormat/>
    <w:uiPriority w:val="0"/>
    <w:pPr>
      <w:widowControl/>
      <w:jc w:val="left"/>
    </w:pPr>
    <w:rPr>
      <w:rFonts w:ascii="宋体" w:hAnsi="Courier New"/>
    </w:rPr>
  </w:style>
  <w:style w:type="paragraph" w:customStyle="1" w:styleId="61">
    <w:name w:val="Normal"/>
    <w:basedOn w:val="1"/>
    <w:next w:val="1"/>
    <w:autoRedefine/>
    <w:qFormat/>
    <w:uiPriority w:val="0"/>
    <w:pPr>
      <w:widowControl w:val="0"/>
      <w:jc w:val="both"/>
    </w:pPr>
    <w:rPr>
      <w:rFonts w:eastAsia="宋体"/>
      <w:color w:val="000000"/>
      <w:kern w:val="1"/>
      <w:sz w:val="21"/>
      <w:lang w:val="en-US" w:eastAsia="zh-CN" w:bidi="ar-SA"/>
    </w:rPr>
  </w:style>
  <w:style w:type="paragraph" w:customStyle="1" w:styleId="62">
    <w:name w:val="样式1"/>
    <w:basedOn w:val="1"/>
    <w:autoRedefine/>
    <w:qFormat/>
    <w:uiPriority w:val="0"/>
    <w:pPr>
      <w:spacing w:line="360" w:lineRule="exact"/>
      <w:ind w:firstLine="200" w:firstLineChars="200"/>
    </w:pPr>
    <w:rPr>
      <w:rFonts w:ascii="Arial" w:hAnsi="Arial"/>
    </w:rPr>
  </w:style>
  <w:style w:type="paragraph" w:customStyle="1" w:styleId="63">
    <w:name w:val="DG正文"/>
    <w:basedOn w:val="1"/>
    <w:autoRedefine/>
    <w:qFormat/>
    <w:uiPriority w:val="99"/>
    <w:pPr>
      <w:widowControl/>
      <w:ind w:right="142" w:firstLine="640"/>
      <w:jc w:val="left"/>
    </w:pPr>
    <w:rPr>
      <w:rFonts w:ascii="Calibri" w:hAnsi="Calibri" w:cs="Calibri"/>
      <w:sz w:val="24"/>
      <w:szCs w:val="24"/>
    </w:rPr>
  </w:style>
  <w:style w:type="character" w:customStyle="1" w:styleId="64">
    <w:name w:val="font11"/>
    <w:basedOn w:val="26"/>
    <w:autoRedefine/>
    <w:qFormat/>
    <w:uiPriority w:val="0"/>
    <w:rPr>
      <w:rFonts w:hint="eastAsia" w:ascii="宋体" w:hAnsi="宋体" w:eastAsia="宋体" w:cs="宋体"/>
      <w:color w:val="000000"/>
      <w:sz w:val="32"/>
      <w:szCs w:val="32"/>
      <w:u w:val="none"/>
    </w:rPr>
  </w:style>
  <w:style w:type="paragraph" w:customStyle="1" w:styleId="65">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Plain Text2"/>
    <w:basedOn w:val="67"/>
    <w:autoRedefine/>
    <w:qFormat/>
    <w:uiPriority w:val="99"/>
    <w:pPr>
      <w:widowControl/>
      <w:jc w:val="left"/>
    </w:pPr>
    <w:rPr>
      <w:rFonts w:ascii="Times New Roman" w:hAnsi="Courier New" w:cs="Times New Roman"/>
    </w:rPr>
  </w:style>
  <w:style w:type="paragraph" w:customStyle="1" w:styleId="67">
    <w:name w:val="Normal1"/>
    <w:basedOn w:val="1"/>
    <w:autoRedefine/>
    <w:qFormat/>
    <w:uiPriority w:val="99"/>
    <w:rPr>
      <w:rFonts w:ascii="宋体" w:hAnsi="宋体" w:cs="宋体"/>
      <w:szCs w:val="21"/>
    </w:rPr>
  </w:style>
  <w:style w:type="paragraph" w:customStyle="1" w:styleId="68">
    <w:name w:val="表格文字"/>
    <w:basedOn w:val="69"/>
    <w:next w:val="2"/>
    <w:autoRedefine/>
    <w:qFormat/>
    <w:uiPriority w:val="99"/>
    <w:pPr>
      <w:ind w:firstLine="200" w:firstLineChars="200"/>
    </w:pPr>
    <w:rPr>
      <w:rFonts w:ascii="Arial" w:hAnsi="Arial"/>
      <w:spacing w:val="-5"/>
      <w:kern w:val="0"/>
      <w:sz w:val="24"/>
      <w:szCs w:val="20"/>
    </w:rPr>
  </w:style>
  <w:style w:type="paragraph" w:customStyle="1" w:styleId="69">
    <w:name w:val="表格文字（两侧对齐）"/>
    <w:basedOn w:val="1"/>
    <w:autoRedefine/>
    <w:qFormat/>
    <w:uiPriority w:val="99"/>
    <w:pPr>
      <w:snapToGrid w:val="0"/>
    </w:pPr>
    <w:rPr>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35075</Words>
  <Characters>36813</Characters>
  <Lines>0</Lines>
  <Paragraphs>0</Paragraphs>
  <TotalTime>32</TotalTime>
  <ScaleCrop>false</ScaleCrop>
  <LinksUpToDate>false</LinksUpToDate>
  <CharactersWithSpaces>38697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2022-05-04T08:29:00Z</dcterms:created>
  <dc:creator>12</dc:creator>
  <cp:lastModifiedBy>BM</cp:lastModifiedBy>
  <cp:lastPrinted>2024-07-19T00:59:00Z</cp:lastPrinted>
  <dcterms:modified xsi:type="dcterms:W3CDTF">2024-07-27T02:51:46Z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175A8BA5EE0A418CAFE49BDA5847DB24_13</vt:lpwstr>
  </property>
</Properties>
</file>