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9DC1054">
      <w:pPr>
        <w:keepNext w:val="0"/>
        <w:keepLines w:val="0"/>
        <w:pageBreakBefore w:val="0"/>
        <w:widowControl w:val="0"/>
        <w:kinsoku/>
        <w:wordWrap/>
        <w:overflowPunct/>
        <w:topLinePunct w:val="0"/>
        <w:autoSpaceDE/>
        <w:autoSpaceDN/>
        <w:bidi w:val="0"/>
        <w:adjustRightInd/>
        <w:snapToGrid/>
        <w:spacing w:line="800" w:lineRule="exact"/>
        <w:jc w:val="center"/>
        <w:textAlignment w:val="auto"/>
        <w:rPr>
          <w:rFonts w:hint="eastAsia" w:ascii="仿宋" w:hAnsi="仿宋" w:eastAsia="仿宋" w:cs="仿宋"/>
          <w:b/>
          <w:bCs/>
          <w:color w:val="auto"/>
          <w:sz w:val="56"/>
          <w:szCs w:val="56"/>
          <w:highlight w:val="none"/>
          <w:lang w:eastAsia="zh-CN"/>
        </w:rPr>
      </w:pPr>
      <w:r>
        <w:rPr>
          <w:rFonts w:hint="eastAsia" w:ascii="仿宋" w:hAnsi="仿宋" w:eastAsia="仿宋" w:cs="仿宋"/>
          <w:b/>
          <w:bCs/>
          <w:color w:val="auto"/>
          <w:sz w:val="56"/>
          <w:szCs w:val="56"/>
          <w:highlight w:val="none"/>
          <w:lang w:eastAsia="zh-CN"/>
        </w:rPr>
        <w:t>嵊州市小型水库物业化管理项目（第三批)</w:t>
      </w:r>
    </w:p>
    <w:p w14:paraId="2B6380C8">
      <w:pPr>
        <w:jc w:val="center"/>
        <w:outlineLvl w:val="0"/>
        <w:rPr>
          <w:rFonts w:hint="eastAsia" w:ascii="仿宋" w:hAnsi="仿宋" w:eastAsia="仿宋" w:cs="仿宋"/>
          <w:b/>
          <w:color w:val="auto"/>
          <w:sz w:val="52"/>
          <w:szCs w:val="52"/>
          <w:highlight w:val="none"/>
          <w:lang w:val="en-US" w:eastAsia="zh-CN"/>
        </w:rPr>
      </w:pPr>
    </w:p>
    <w:p w14:paraId="08EE364E">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公</w:t>
      </w:r>
    </w:p>
    <w:p w14:paraId="710DBAC8">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开</w:t>
      </w:r>
    </w:p>
    <w:p w14:paraId="1B2056A3">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招</w:t>
      </w:r>
    </w:p>
    <w:p w14:paraId="0682116B">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标</w:t>
      </w:r>
    </w:p>
    <w:p w14:paraId="2555BBD4">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文</w:t>
      </w:r>
    </w:p>
    <w:p w14:paraId="63ECC1F4">
      <w:pPr>
        <w:jc w:val="center"/>
        <w:outlineLvl w:val="0"/>
        <w:rPr>
          <w:rFonts w:hint="eastAsia" w:ascii="仿宋" w:hAnsi="仿宋" w:eastAsia="仿宋" w:cs="仿宋"/>
          <w:color w:val="auto"/>
          <w:sz w:val="44"/>
          <w:highlight w:val="none"/>
        </w:rPr>
      </w:pPr>
      <w:r>
        <w:rPr>
          <w:rFonts w:hint="eastAsia" w:ascii="仿宋" w:hAnsi="仿宋" w:eastAsia="仿宋" w:cs="仿宋"/>
          <w:b/>
          <w:color w:val="auto"/>
          <w:sz w:val="72"/>
          <w:szCs w:val="72"/>
          <w:highlight w:val="none"/>
        </w:rPr>
        <w:t>件</w:t>
      </w:r>
    </w:p>
    <w:p w14:paraId="725CC1CF">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14:paraId="42C22E16">
      <w:pPr>
        <w:spacing w:line="360" w:lineRule="auto"/>
        <w:jc w:val="both"/>
        <w:rPr>
          <w:rFonts w:hint="eastAsia" w:ascii="仿宋" w:hAnsi="仿宋" w:eastAsia="仿宋" w:cs="仿宋"/>
          <w:b/>
          <w:color w:val="auto"/>
          <w:sz w:val="20"/>
          <w:szCs w:val="20"/>
          <w:highlight w:val="none"/>
        </w:rPr>
      </w:pPr>
      <w:r>
        <w:rPr>
          <w:rFonts w:hint="eastAsia" w:ascii="仿宋" w:hAnsi="仿宋" w:eastAsia="仿宋" w:cs="仿宋"/>
          <w:b/>
          <w:color w:val="auto"/>
          <w:sz w:val="44"/>
          <w:szCs w:val="44"/>
          <w:highlight w:val="none"/>
        </w:rPr>
        <w:t xml:space="preserve"> </w:t>
      </w:r>
    </w:p>
    <w:p w14:paraId="6B03CAB8">
      <w:pPr>
        <w:keepNext w:val="0"/>
        <w:keepLines w:val="0"/>
        <w:pageBreakBefore w:val="0"/>
        <w:widowControl w:val="0"/>
        <w:kinsoku/>
        <w:wordWrap/>
        <w:overflowPunct/>
        <w:topLinePunct w:val="0"/>
        <w:autoSpaceDE/>
        <w:autoSpaceDN/>
        <w:bidi w:val="0"/>
        <w:adjustRightInd w:val="0"/>
        <w:snapToGrid/>
        <w:spacing w:after="625" w:afterLines="200"/>
        <w:jc w:val="center"/>
        <w:textAlignment w:val="auto"/>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rPr>
        <w:t>招标编号:</w:t>
      </w:r>
      <w:r>
        <w:rPr>
          <w:rFonts w:hint="eastAsia" w:ascii="仿宋" w:hAnsi="仿宋" w:eastAsia="仿宋" w:cs="仿宋"/>
          <w:b/>
          <w:color w:val="auto"/>
          <w:sz w:val="28"/>
          <w:szCs w:val="28"/>
          <w:highlight w:val="none"/>
          <w:lang w:eastAsia="zh-CN"/>
        </w:rPr>
        <w:t>SXPZ-F20250326ZXX</w:t>
      </w:r>
    </w:p>
    <w:tbl>
      <w:tblPr>
        <w:tblStyle w:val="62"/>
        <w:tblW w:w="648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072"/>
        <w:gridCol w:w="4411"/>
      </w:tblGrid>
      <w:tr w14:paraId="2EC998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2072" w:type="dxa"/>
            <w:vAlign w:val="center"/>
          </w:tcPr>
          <w:p w14:paraId="7E8A422C">
            <w:pPr>
              <w:spacing w:after="100" w:afterAutospacing="1" w:line="44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pacing w:val="93"/>
                <w:kern w:val="0"/>
                <w:sz w:val="28"/>
                <w:szCs w:val="28"/>
                <w:highlight w:val="none"/>
              </w:rPr>
              <w:t>采购单</w:t>
            </w:r>
            <w:r>
              <w:rPr>
                <w:rFonts w:hint="eastAsia" w:ascii="仿宋" w:hAnsi="仿宋" w:eastAsia="仿宋" w:cs="仿宋"/>
                <w:b/>
                <w:bCs/>
                <w:color w:val="auto"/>
                <w:spacing w:val="1"/>
                <w:kern w:val="0"/>
                <w:sz w:val="28"/>
                <w:szCs w:val="28"/>
                <w:highlight w:val="none"/>
              </w:rPr>
              <w:t>位</w:t>
            </w:r>
            <w:r>
              <w:rPr>
                <w:rFonts w:hint="eastAsia" w:ascii="仿宋" w:hAnsi="仿宋" w:eastAsia="仿宋" w:cs="仿宋"/>
                <w:b/>
                <w:bCs/>
                <w:color w:val="auto"/>
                <w:sz w:val="28"/>
                <w:szCs w:val="28"/>
                <w:highlight w:val="none"/>
              </w:rPr>
              <w:t>：</w:t>
            </w:r>
          </w:p>
        </w:tc>
        <w:tc>
          <w:tcPr>
            <w:tcW w:w="4411" w:type="dxa"/>
            <w:vAlign w:val="center"/>
          </w:tcPr>
          <w:p w14:paraId="082E7CFA">
            <w:pPr>
              <w:spacing w:line="320" w:lineRule="exact"/>
              <w:jc w:val="center"/>
              <w:outlineLvl w:val="0"/>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t>嵊州市水利水电局</w:t>
            </w:r>
          </w:p>
        </w:tc>
      </w:tr>
      <w:tr w14:paraId="65716D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2072" w:type="dxa"/>
            <w:vAlign w:val="center"/>
          </w:tcPr>
          <w:p w14:paraId="18E2CB34">
            <w:pPr>
              <w:spacing w:after="100" w:afterAutospacing="1" w:line="44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pacing w:val="0"/>
                <w:w w:val="100"/>
                <w:kern w:val="0"/>
                <w:sz w:val="28"/>
                <w:szCs w:val="28"/>
                <w:highlight w:val="none"/>
                <w:fitText w:val="1680" w:id="190345957"/>
              </w:rPr>
              <w:t>采购代理机构</w:t>
            </w:r>
            <w:r>
              <w:rPr>
                <w:rFonts w:hint="eastAsia" w:ascii="仿宋" w:hAnsi="仿宋" w:eastAsia="仿宋" w:cs="仿宋"/>
                <w:b/>
                <w:bCs/>
                <w:color w:val="auto"/>
                <w:sz w:val="28"/>
                <w:szCs w:val="28"/>
                <w:highlight w:val="none"/>
              </w:rPr>
              <w:t>：</w:t>
            </w:r>
          </w:p>
        </w:tc>
        <w:tc>
          <w:tcPr>
            <w:tcW w:w="4411" w:type="dxa"/>
            <w:vAlign w:val="center"/>
          </w:tcPr>
          <w:p w14:paraId="0652E9A5">
            <w:pPr>
              <w:spacing w:after="100" w:afterAutospacing="1" w:line="44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绍兴平准招标代理有限公司</w:t>
            </w:r>
          </w:p>
        </w:tc>
      </w:tr>
      <w:tr w14:paraId="6385A3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2072" w:type="dxa"/>
            <w:vAlign w:val="center"/>
          </w:tcPr>
          <w:p w14:paraId="573B8AE2">
            <w:pPr>
              <w:spacing w:after="100" w:afterAutospacing="1" w:line="44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pacing w:val="93"/>
                <w:kern w:val="0"/>
                <w:sz w:val="28"/>
                <w:szCs w:val="28"/>
                <w:highlight w:val="none"/>
                <w:fitText w:val="1680" w:id="1"/>
              </w:rPr>
              <w:t>监督单</w:t>
            </w:r>
            <w:r>
              <w:rPr>
                <w:rFonts w:hint="eastAsia" w:ascii="仿宋" w:hAnsi="仿宋" w:eastAsia="仿宋" w:cs="仿宋"/>
                <w:b/>
                <w:bCs/>
                <w:color w:val="auto"/>
                <w:spacing w:val="1"/>
                <w:kern w:val="0"/>
                <w:sz w:val="28"/>
                <w:szCs w:val="28"/>
                <w:highlight w:val="none"/>
                <w:fitText w:val="1680" w:id="1"/>
              </w:rPr>
              <w:t>位</w:t>
            </w:r>
            <w:r>
              <w:rPr>
                <w:rFonts w:hint="eastAsia" w:ascii="仿宋" w:hAnsi="仿宋" w:eastAsia="仿宋" w:cs="仿宋"/>
                <w:b/>
                <w:bCs/>
                <w:color w:val="auto"/>
                <w:sz w:val="28"/>
                <w:szCs w:val="28"/>
                <w:highlight w:val="none"/>
              </w:rPr>
              <w:t>：</w:t>
            </w:r>
          </w:p>
        </w:tc>
        <w:tc>
          <w:tcPr>
            <w:tcW w:w="4411" w:type="dxa"/>
            <w:vAlign w:val="center"/>
          </w:tcPr>
          <w:p w14:paraId="15265697">
            <w:pPr>
              <w:spacing w:after="100" w:afterAutospacing="1" w:line="44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嵊州市政府采购监管</w:t>
            </w:r>
          </w:p>
        </w:tc>
      </w:tr>
      <w:tr w14:paraId="000D30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7" w:hRule="atLeast"/>
          <w:jc w:val="center"/>
        </w:trPr>
        <w:tc>
          <w:tcPr>
            <w:tcW w:w="6483" w:type="dxa"/>
            <w:gridSpan w:val="2"/>
            <w:vAlign w:val="center"/>
          </w:tcPr>
          <w:p w14:paraId="7EC2D4E7">
            <w:pPr>
              <w:spacing w:after="100" w:afterAutospacing="1" w:line="44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二○二</w:t>
            </w:r>
            <w:r>
              <w:rPr>
                <w:rFonts w:hint="eastAsia" w:ascii="仿宋" w:hAnsi="仿宋" w:eastAsia="仿宋" w:cs="仿宋"/>
                <w:b/>
                <w:bCs/>
                <w:color w:val="auto"/>
                <w:sz w:val="28"/>
                <w:szCs w:val="28"/>
                <w:highlight w:val="none"/>
                <w:lang w:val="en-US" w:eastAsia="zh-CN"/>
              </w:rPr>
              <w:t>五</w:t>
            </w:r>
            <w:r>
              <w:rPr>
                <w:rFonts w:hint="eastAsia" w:ascii="仿宋" w:hAnsi="仿宋" w:eastAsia="仿宋" w:cs="仿宋"/>
                <w:b/>
                <w:bCs/>
                <w:color w:val="auto"/>
                <w:sz w:val="28"/>
                <w:szCs w:val="28"/>
                <w:highlight w:val="none"/>
              </w:rPr>
              <w:t>年</w:t>
            </w:r>
            <w:r>
              <w:rPr>
                <w:rFonts w:hint="eastAsia" w:ascii="仿宋" w:hAnsi="仿宋" w:eastAsia="仿宋" w:cs="仿宋"/>
                <w:b/>
                <w:bCs/>
                <w:color w:val="auto"/>
                <w:sz w:val="28"/>
                <w:szCs w:val="28"/>
                <w:highlight w:val="none"/>
                <w:lang w:val="en-US" w:eastAsia="zh-CN"/>
              </w:rPr>
              <w:t>三</w:t>
            </w:r>
            <w:r>
              <w:rPr>
                <w:rFonts w:hint="eastAsia" w:ascii="仿宋" w:hAnsi="仿宋" w:eastAsia="仿宋" w:cs="仿宋"/>
                <w:b/>
                <w:bCs/>
                <w:color w:val="auto"/>
                <w:sz w:val="28"/>
                <w:szCs w:val="28"/>
                <w:highlight w:val="none"/>
              </w:rPr>
              <w:t>月</w:t>
            </w:r>
          </w:p>
        </w:tc>
      </w:tr>
    </w:tbl>
    <w:p w14:paraId="1933436E">
      <w:pPr>
        <w:pStyle w:val="637"/>
        <w:rPr>
          <w:rFonts w:hint="eastAsia" w:ascii="仿宋" w:hAnsi="仿宋" w:eastAsia="仿宋" w:cs="仿宋"/>
          <w:color w:val="auto"/>
          <w:highlight w:val="none"/>
        </w:rPr>
        <w:sectPr>
          <w:headerReference r:id="rId4" w:type="first"/>
          <w:headerReference r:id="rId3" w:type="default"/>
          <w:footerReference r:id="rId5" w:type="even"/>
          <w:pgSz w:w="11906" w:h="16838"/>
          <w:pgMar w:top="1474" w:right="1814" w:bottom="1474" w:left="1814" w:header="851" w:footer="992" w:gutter="0"/>
          <w:cols w:space="720" w:num="1"/>
          <w:titlePg/>
          <w:docGrid w:linePitch="312" w:charSpace="0"/>
        </w:sectPr>
      </w:pPr>
    </w:p>
    <w:p w14:paraId="665F9414">
      <w:pPr>
        <w:pStyle w:val="637"/>
        <w:pageBreakBefore w:val="0"/>
        <w:widowControl w:val="0"/>
        <w:kinsoku/>
        <w:wordWrap/>
        <w:overflowPunct/>
        <w:topLinePunct w:val="0"/>
        <w:autoSpaceDE/>
        <w:autoSpaceDN/>
        <w:bidi w:val="0"/>
        <w:spacing w:before="0" w:after="0" w:line="360" w:lineRule="auto"/>
        <w:ind w:left="0" w:firstLine="0" w:firstLineChars="0"/>
        <w:textAlignment w:val="auto"/>
        <w:rPr>
          <w:rFonts w:hint="eastAsia" w:ascii="仿宋" w:hAnsi="仿宋" w:eastAsia="仿宋" w:cs="仿宋"/>
          <w:color w:val="auto"/>
          <w:highlight w:val="none"/>
        </w:rPr>
      </w:pPr>
    </w:p>
    <w:p w14:paraId="1D352876">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highlight w:val="none"/>
        </w:rPr>
      </w:pPr>
      <w:bookmarkStart w:id="0" w:name="_Hlt91233176"/>
      <w:bookmarkEnd w:id="0"/>
      <w:bookmarkStart w:id="1" w:name="_Toc91899869"/>
      <w:r>
        <w:rPr>
          <w:rFonts w:hint="eastAsia" w:ascii="仿宋" w:hAnsi="仿宋" w:eastAsia="仿宋" w:cs="仿宋"/>
          <w:b/>
          <w:color w:val="auto"/>
          <w:sz w:val="44"/>
          <w:szCs w:val="44"/>
          <w:highlight w:val="none"/>
        </w:rPr>
        <w:t>目录</w:t>
      </w:r>
    </w:p>
    <w:p w14:paraId="5C335D42">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highlight w:val="none"/>
        </w:rPr>
      </w:pPr>
    </w:p>
    <w:p w14:paraId="2FA4AA09">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color w:val="auto"/>
          <w:highlight w:val="none"/>
        </w:rPr>
      </w:pPr>
    </w:p>
    <w:p w14:paraId="44675392">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第一部分    招标公告</w:t>
      </w:r>
    </w:p>
    <w:p w14:paraId="72A917D5">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第二部分   </w:t>
      </w:r>
      <w:r>
        <w:rPr>
          <w:rFonts w:hint="eastAsia" w:ascii="仿宋" w:hAnsi="仿宋" w:eastAsia="仿宋" w:cs="仿宋"/>
          <w:b/>
          <w:color w:val="auto"/>
          <w:sz w:val="36"/>
          <w:szCs w:val="36"/>
          <w:highlight w:val="none"/>
          <w:lang w:val="en-US" w:eastAsia="zh-CN"/>
        </w:rPr>
        <w:t xml:space="preserve"> </w:t>
      </w:r>
      <w:r>
        <w:rPr>
          <w:rFonts w:hint="eastAsia" w:ascii="仿宋" w:hAnsi="仿宋" w:eastAsia="仿宋" w:cs="仿宋"/>
          <w:b/>
          <w:color w:val="auto"/>
          <w:sz w:val="36"/>
          <w:szCs w:val="36"/>
          <w:highlight w:val="none"/>
        </w:rPr>
        <w:t>投标须知</w:t>
      </w:r>
    </w:p>
    <w:p w14:paraId="0DDDD78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p w14:paraId="1710AA1B">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w:t>
      </w:r>
      <w:r>
        <w:rPr>
          <w:rFonts w:hint="eastAsia" w:ascii="仿宋" w:hAnsi="仿宋" w:eastAsia="仿宋" w:cs="仿宋"/>
          <w:b/>
          <w:color w:val="auto"/>
          <w:sz w:val="36"/>
          <w:szCs w:val="36"/>
          <w:highlight w:val="none"/>
          <w:lang w:val="en-US" w:eastAsia="zh-CN"/>
        </w:rPr>
        <w:t>四</w:t>
      </w:r>
      <w:r>
        <w:rPr>
          <w:rFonts w:hint="eastAsia" w:ascii="仿宋" w:hAnsi="仿宋" w:eastAsia="仿宋" w:cs="仿宋"/>
          <w:b/>
          <w:color w:val="auto"/>
          <w:sz w:val="36"/>
          <w:szCs w:val="36"/>
          <w:highlight w:val="none"/>
        </w:rPr>
        <w:t>部分    评标方法及标准</w:t>
      </w:r>
    </w:p>
    <w:p w14:paraId="190EC69B">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w:t>
      </w:r>
      <w:r>
        <w:rPr>
          <w:rFonts w:hint="eastAsia" w:ascii="仿宋" w:hAnsi="仿宋" w:eastAsia="仿宋" w:cs="仿宋"/>
          <w:b/>
          <w:color w:val="auto"/>
          <w:sz w:val="36"/>
          <w:szCs w:val="36"/>
          <w:highlight w:val="none"/>
          <w:lang w:val="en-US" w:eastAsia="zh-CN"/>
        </w:rPr>
        <w:t>五</w:t>
      </w:r>
      <w:r>
        <w:rPr>
          <w:rFonts w:hint="eastAsia" w:ascii="仿宋" w:hAnsi="仿宋" w:eastAsia="仿宋" w:cs="仿宋"/>
          <w:b/>
          <w:color w:val="auto"/>
          <w:sz w:val="36"/>
          <w:szCs w:val="36"/>
          <w:highlight w:val="none"/>
        </w:rPr>
        <w:t>部分    合同的主要条款</w:t>
      </w:r>
    </w:p>
    <w:p w14:paraId="1B8EE96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第六部分    投标文件及其附件格式</w:t>
      </w:r>
    </w:p>
    <w:p w14:paraId="0C6022CF">
      <w:pPr>
        <w:spacing w:line="360" w:lineRule="auto"/>
        <w:ind w:firstLine="549" w:firstLineChars="229"/>
        <w:rPr>
          <w:rFonts w:hint="eastAsia" w:ascii="仿宋" w:hAnsi="仿宋" w:eastAsia="仿宋" w:cs="仿宋"/>
          <w:color w:val="auto"/>
          <w:sz w:val="24"/>
          <w:highlight w:val="none"/>
        </w:rPr>
      </w:pPr>
    </w:p>
    <w:p w14:paraId="2A4AECF0">
      <w:pPr>
        <w:spacing w:line="360" w:lineRule="auto"/>
        <w:ind w:firstLine="549" w:firstLineChars="229"/>
        <w:rPr>
          <w:rFonts w:hint="eastAsia" w:ascii="仿宋" w:hAnsi="仿宋" w:eastAsia="仿宋" w:cs="仿宋"/>
          <w:color w:val="auto"/>
          <w:sz w:val="24"/>
          <w:highlight w:val="none"/>
        </w:rPr>
      </w:pPr>
    </w:p>
    <w:p w14:paraId="6918387A">
      <w:pPr>
        <w:spacing w:line="360" w:lineRule="auto"/>
        <w:ind w:firstLine="549" w:firstLineChars="229"/>
        <w:rPr>
          <w:rFonts w:hint="eastAsia" w:ascii="仿宋" w:hAnsi="仿宋" w:eastAsia="仿宋" w:cs="仿宋"/>
          <w:color w:val="auto"/>
          <w:sz w:val="24"/>
          <w:highlight w:val="none"/>
        </w:rPr>
      </w:pPr>
    </w:p>
    <w:p w14:paraId="4675710F">
      <w:pPr>
        <w:spacing w:line="360" w:lineRule="auto"/>
        <w:ind w:firstLine="549" w:firstLineChars="229"/>
        <w:rPr>
          <w:rFonts w:hint="eastAsia" w:ascii="仿宋" w:hAnsi="仿宋" w:eastAsia="仿宋" w:cs="仿宋"/>
          <w:color w:val="auto"/>
          <w:sz w:val="24"/>
          <w:highlight w:val="none"/>
        </w:rPr>
      </w:pPr>
    </w:p>
    <w:p w14:paraId="30AD6824">
      <w:pPr>
        <w:spacing w:line="360" w:lineRule="auto"/>
        <w:ind w:firstLine="549" w:firstLineChars="229"/>
        <w:rPr>
          <w:rFonts w:hint="eastAsia" w:ascii="仿宋" w:hAnsi="仿宋" w:eastAsia="仿宋" w:cs="仿宋"/>
          <w:color w:val="auto"/>
          <w:sz w:val="24"/>
          <w:highlight w:val="none"/>
        </w:rPr>
      </w:pPr>
    </w:p>
    <w:p w14:paraId="56286CF3">
      <w:pPr>
        <w:spacing w:line="360" w:lineRule="auto"/>
        <w:ind w:firstLine="549" w:firstLineChars="229"/>
        <w:rPr>
          <w:rFonts w:hint="eastAsia" w:ascii="仿宋" w:hAnsi="仿宋" w:eastAsia="仿宋" w:cs="仿宋"/>
          <w:color w:val="auto"/>
          <w:sz w:val="24"/>
          <w:highlight w:val="none"/>
        </w:rPr>
      </w:pPr>
    </w:p>
    <w:p w14:paraId="0B0C6D3B">
      <w:pPr>
        <w:spacing w:line="360" w:lineRule="auto"/>
        <w:ind w:firstLine="549" w:firstLineChars="229"/>
        <w:rPr>
          <w:rFonts w:hint="eastAsia" w:ascii="仿宋" w:hAnsi="仿宋" w:eastAsia="仿宋" w:cs="仿宋"/>
          <w:color w:val="auto"/>
          <w:sz w:val="24"/>
          <w:highlight w:val="none"/>
        </w:rPr>
      </w:pPr>
    </w:p>
    <w:p w14:paraId="5E3A2EFA">
      <w:pPr>
        <w:spacing w:line="360" w:lineRule="auto"/>
        <w:ind w:firstLine="549" w:firstLineChars="229"/>
        <w:rPr>
          <w:rFonts w:hint="eastAsia" w:ascii="仿宋" w:hAnsi="仿宋" w:eastAsia="仿宋" w:cs="仿宋"/>
          <w:color w:val="auto"/>
          <w:sz w:val="24"/>
          <w:highlight w:val="none"/>
        </w:rPr>
      </w:pPr>
    </w:p>
    <w:p w14:paraId="1746A86E">
      <w:pPr>
        <w:spacing w:line="360" w:lineRule="auto"/>
        <w:ind w:firstLine="549" w:firstLineChars="229"/>
        <w:rPr>
          <w:rFonts w:hint="eastAsia" w:ascii="仿宋" w:hAnsi="仿宋" w:eastAsia="仿宋" w:cs="仿宋"/>
          <w:color w:val="auto"/>
          <w:sz w:val="24"/>
          <w:highlight w:val="none"/>
        </w:rPr>
      </w:pPr>
    </w:p>
    <w:p w14:paraId="4B73455D">
      <w:pPr>
        <w:spacing w:line="360" w:lineRule="auto"/>
        <w:ind w:firstLine="549" w:firstLineChars="229"/>
        <w:rPr>
          <w:rFonts w:hint="eastAsia" w:ascii="仿宋" w:hAnsi="仿宋" w:eastAsia="仿宋" w:cs="仿宋"/>
          <w:color w:val="auto"/>
          <w:sz w:val="24"/>
          <w:highlight w:val="none"/>
        </w:rPr>
      </w:pPr>
    </w:p>
    <w:p w14:paraId="3D16C2C1">
      <w:pPr>
        <w:spacing w:line="360" w:lineRule="auto"/>
        <w:ind w:firstLine="549" w:firstLineChars="229"/>
        <w:rPr>
          <w:rFonts w:hint="eastAsia" w:ascii="仿宋" w:hAnsi="仿宋" w:eastAsia="仿宋" w:cs="仿宋"/>
          <w:color w:val="auto"/>
          <w:sz w:val="24"/>
          <w:highlight w:val="none"/>
        </w:rPr>
      </w:pPr>
    </w:p>
    <w:p w14:paraId="6A0DA4B4">
      <w:pPr>
        <w:spacing w:line="360" w:lineRule="auto"/>
        <w:rPr>
          <w:rFonts w:hint="eastAsia" w:ascii="仿宋" w:hAnsi="仿宋" w:eastAsia="仿宋" w:cs="仿宋"/>
          <w:color w:val="auto"/>
          <w:sz w:val="24"/>
          <w:highlight w:val="none"/>
        </w:rPr>
      </w:pPr>
    </w:p>
    <w:bookmarkEnd w:id="1"/>
    <w:p w14:paraId="71E8F2BC">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sectPr>
          <w:footerReference r:id="rId6" w:type="default"/>
          <w:pgSz w:w="11906" w:h="16838"/>
          <w:pgMar w:top="1474" w:right="1814" w:bottom="1474" w:left="1814" w:header="851" w:footer="992" w:gutter="0"/>
          <w:pgNumType w:fmt="decimal" w:start="1"/>
          <w:cols w:space="720" w:num="1"/>
          <w:docGrid w:linePitch="312" w:charSpace="0"/>
        </w:sectPr>
      </w:pPr>
      <w:bookmarkStart w:id="2" w:name="第二部分"/>
      <w:bookmarkStart w:id="3" w:name="_Toc91899870"/>
      <w:bookmarkStart w:id="4" w:name="_Toc91899871"/>
    </w:p>
    <w:p w14:paraId="1EEF5A84">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招标公告</w:t>
      </w:r>
    </w:p>
    <w:p w14:paraId="4523B2B0">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项目概况</w:t>
      </w:r>
      <w:r>
        <w:rPr>
          <w:rFonts w:hint="eastAsia" w:ascii="仿宋" w:hAnsi="仿宋" w:eastAsia="仿宋" w:cs="仿宋"/>
          <w:color w:val="auto"/>
          <w:sz w:val="24"/>
          <w:highlight w:val="none"/>
          <w:lang w:eastAsia="zh-CN"/>
        </w:rPr>
        <w:t>：</w:t>
      </w:r>
    </w:p>
    <w:p w14:paraId="67B7D781">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val="en-US" w:eastAsia="zh-CN"/>
        </w:rPr>
        <w:t xml:space="preserve">嵊州市小型水库物业化管理项目（第三批) </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https://www.zcygov.cn/）获取（下载）招标文件，并于202</w:t>
      </w:r>
      <w:r>
        <w:rPr>
          <w:rStyle w:val="76"/>
          <w:rFonts w:hint="eastAsia" w:ascii="仿宋" w:hAnsi="仿宋" w:eastAsia="仿宋" w:cs="仿宋"/>
          <w:snapToGrid/>
          <w:color w:val="auto"/>
          <w:kern w:val="2"/>
          <w:sz w:val="24"/>
          <w:szCs w:val="24"/>
          <w:highlight w:val="none"/>
          <w:lang w:val="en-US" w:eastAsia="zh-CN"/>
        </w:rPr>
        <w:t>5</w:t>
      </w:r>
      <w:r>
        <w:rPr>
          <w:rStyle w:val="76"/>
          <w:rFonts w:hint="eastAsia" w:ascii="仿宋" w:hAnsi="仿宋" w:eastAsia="仿宋" w:cs="仿宋"/>
          <w:snapToGrid/>
          <w:color w:val="auto"/>
          <w:kern w:val="2"/>
          <w:sz w:val="24"/>
          <w:szCs w:val="24"/>
          <w:highlight w:val="none"/>
        </w:rPr>
        <w:t>年</w:t>
      </w:r>
      <w:r>
        <w:rPr>
          <w:rStyle w:val="76"/>
          <w:rFonts w:hint="eastAsia" w:ascii="仿宋" w:hAnsi="仿宋" w:eastAsia="仿宋" w:cs="仿宋"/>
          <w:snapToGrid/>
          <w:color w:val="auto"/>
          <w:kern w:val="2"/>
          <w:sz w:val="24"/>
          <w:szCs w:val="24"/>
          <w:highlight w:val="none"/>
          <w:lang w:val="en-US" w:eastAsia="zh-CN"/>
        </w:rPr>
        <w:t>4</w:t>
      </w:r>
      <w:r>
        <w:rPr>
          <w:rStyle w:val="76"/>
          <w:rFonts w:hint="eastAsia" w:ascii="仿宋" w:hAnsi="仿宋" w:eastAsia="仿宋" w:cs="仿宋"/>
          <w:snapToGrid/>
          <w:color w:val="auto"/>
          <w:kern w:val="2"/>
          <w:sz w:val="24"/>
          <w:szCs w:val="24"/>
          <w:highlight w:val="none"/>
        </w:rPr>
        <w:t>月</w:t>
      </w:r>
      <w:r>
        <w:rPr>
          <w:rStyle w:val="76"/>
          <w:rFonts w:hint="eastAsia" w:ascii="仿宋" w:hAnsi="仿宋" w:eastAsia="仿宋" w:cs="仿宋"/>
          <w:snapToGrid/>
          <w:color w:val="auto"/>
          <w:kern w:val="2"/>
          <w:sz w:val="24"/>
          <w:szCs w:val="24"/>
          <w:highlight w:val="none"/>
          <w:lang w:val="en-US" w:eastAsia="zh-CN"/>
        </w:rPr>
        <w:t>21</w:t>
      </w:r>
      <w:r>
        <w:rPr>
          <w:rStyle w:val="76"/>
          <w:rFonts w:hint="eastAsia" w:ascii="仿宋" w:hAnsi="仿宋" w:eastAsia="仿宋" w:cs="仿宋"/>
          <w:snapToGrid/>
          <w:color w:val="auto"/>
          <w:kern w:val="2"/>
          <w:sz w:val="24"/>
          <w:szCs w:val="24"/>
          <w:highlight w:val="none"/>
        </w:rPr>
        <w:t>日</w:t>
      </w:r>
      <w:r>
        <w:rPr>
          <w:rStyle w:val="76"/>
          <w:rFonts w:hint="eastAsia" w:ascii="仿宋" w:hAnsi="仿宋" w:eastAsia="仿宋" w:cs="仿宋"/>
          <w:snapToGrid/>
          <w:color w:val="auto"/>
          <w:kern w:val="2"/>
          <w:sz w:val="24"/>
          <w:szCs w:val="24"/>
          <w:highlight w:val="none"/>
          <w:lang w:val="en-US" w:eastAsia="zh-CN"/>
        </w:rPr>
        <w:t>09</w:t>
      </w:r>
      <w:r>
        <w:rPr>
          <w:rStyle w:val="76"/>
          <w:rFonts w:hint="eastAsia" w:ascii="仿宋" w:hAnsi="仿宋" w:eastAsia="仿宋" w:cs="仿宋"/>
          <w:snapToGrid/>
          <w:color w:val="auto"/>
          <w:kern w:val="2"/>
          <w:sz w:val="24"/>
          <w:szCs w:val="24"/>
          <w:highlight w:val="none"/>
        </w:rPr>
        <w:t>点</w:t>
      </w:r>
      <w:r>
        <w:rPr>
          <w:rStyle w:val="76"/>
          <w:rFonts w:hint="eastAsia" w:ascii="仿宋" w:hAnsi="仿宋" w:eastAsia="仿宋" w:cs="仿宋"/>
          <w:snapToGrid/>
          <w:color w:val="auto"/>
          <w:kern w:val="2"/>
          <w:sz w:val="24"/>
          <w:szCs w:val="24"/>
          <w:highlight w:val="none"/>
          <w:lang w:val="en-US" w:eastAsia="zh-CN"/>
        </w:rPr>
        <w:t>00</w:t>
      </w:r>
      <w:r>
        <w:rPr>
          <w:rStyle w:val="76"/>
          <w:rFonts w:hint="eastAsia" w:ascii="仿宋" w:hAnsi="仿宋" w:eastAsia="仿宋" w:cs="仿宋"/>
          <w:snapToGrid/>
          <w:color w:val="auto"/>
          <w:kern w:val="2"/>
          <w:sz w:val="24"/>
          <w:szCs w:val="24"/>
          <w:highlight w:val="none"/>
        </w:rPr>
        <w:t>分</w:t>
      </w:r>
      <w:r>
        <w:rPr>
          <w:rStyle w:val="76"/>
          <w:rFonts w:hint="eastAsia" w:ascii="仿宋" w:hAnsi="仿宋" w:eastAsia="仿宋" w:cs="仿宋"/>
          <w:bCs/>
          <w:snapToGrid/>
          <w:color w:val="auto"/>
          <w:kern w:val="2"/>
          <w:sz w:val="24"/>
          <w:szCs w:val="24"/>
          <w:highlight w:val="none"/>
        </w:rPr>
        <w:t>00秒</w:t>
      </w:r>
      <w:r>
        <w:rPr>
          <w:rStyle w:val="76"/>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1840CE66">
      <w:pPr>
        <w:pageBreakBefore w:val="0"/>
        <w:widowControl w:val="0"/>
        <w:kinsoku/>
        <w:wordWrap/>
        <w:overflowPunct/>
        <w:topLinePunct w:val="0"/>
        <w:autoSpaceDE/>
        <w:autoSpaceDN/>
        <w:bidi w:val="0"/>
        <w:spacing w:line="360" w:lineRule="auto"/>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bCs w:val="0"/>
          <w:color w:val="auto"/>
          <w:sz w:val="24"/>
          <w:highlight w:val="none"/>
        </w:rPr>
        <w:t>一、项目基本情况</w:t>
      </w:r>
      <w:r>
        <w:rPr>
          <w:rFonts w:hint="eastAsia" w:ascii="仿宋" w:hAnsi="仿宋" w:eastAsia="仿宋" w:cs="仿宋"/>
          <w:b w:val="0"/>
          <w:bCs/>
          <w:color w:val="auto"/>
          <w:sz w:val="24"/>
          <w:highlight w:val="none"/>
        </w:rPr>
        <w:t xml:space="preserve">  </w:t>
      </w:r>
      <w:r>
        <w:rPr>
          <w:rFonts w:hint="eastAsia" w:ascii="仿宋" w:hAnsi="仿宋" w:eastAsia="仿宋" w:cs="仿宋"/>
          <w:b/>
          <w:color w:val="auto"/>
          <w:sz w:val="24"/>
          <w:highlight w:val="none"/>
        </w:rPr>
        <w:t xml:space="preserve">                                          </w:t>
      </w:r>
    </w:p>
    <w:p w14:paraId="2752E54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val="0"/>
          <w:bCs/>
          <w:color w:val="auto"/>
          <w:sz w:val="24"/>
          <w:highlight w:val="none"/>
          <w:lang w:eastAsia="zh-CN"/>
        </w:rPr>
      </w:pPr>
      <w:r>
        <w:rPr>
          <w:rFonts w:hint="eastAsia" w:ascii="仿宋" w:hAnsi="仿宋" w:eastAsia="仿宋" w:cs="仿宋"/>
          <w:b w:val="0"/>
          <w:bCs/>
          <w:color w:val="auto"/>
          <w:sz w:val="24"/>
          <w:highlight w:val="none"/>
        </w:rPr>
        <w:t>项目编号：</w:t>
      </w:r>
      <w:r>
        <w:rPr>
          <w:rFonts w:hint="eastAsia" w:ascii="仿宋" w:hAnsi="仿宋" w:eastAsia="仿宋" w:cs="仿宋"/>
          <w:b w:val="0"/>
          <w:bCs/>
          <w:color w:val="auto"/>
          <w:sz w:val="24"/>
          <w:highlight w:val="none"/>
          <w:lang w:eastAsia="zh-CN"/>
        </w:rPr>
        <w:t>SXPZ-F20250326ZXX</w:t>
      </w:r>
    </w:p>
    <w:p w14:paraId="2709996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val="0"/>
          <w:bCs/>
          <w:color w:val="auto"/>
          <w:sz w:val="24"/>
          <w:highlight w:val="none"/>
          <w:lang w:eastAsia="zh-CN"/>
        </w:rPr>
      </w:pPr>
      <w:r>
        <w:rPr>
          <w:rFonts w:hint="eastAsia" w:ascii="仿宋" w:hAnsi="仿宋" w:eastAsia="仿宋" w:cs="仿宋"/>
          <w:b w:val="0"/>
          <w:bCs/>
          <w:color w:val="auto"/>
          <w:sz w:val="24"/>
          <w:highlight w:val="none"/>
        </w:rPr>
        <w:t>项目名称：</w:t>
      </w:r>
      <w:r>
        <w:rPr>
          <w:rFonts w:hint="eastAsia" w:ascii="仿宋" w:hAnsi="仿宋" w:eastAsia="仿宋" w:cs="仿宋"/>
          <w:b w:val="0"/>
          <w:bCs/>
          <w:color w:val="auto"/>
          <w:sz w:val="24"/>
          <w:highlight w:val="none"/>
          <w:lang w:eastAsia="zh-CN"/>
        </w:rPr>
        <w:t xml:space="preserve">嵊州市小型水库物业化管理项目（第三批) </w:t>
      </w:r>
    </w:p>
    <w:p w14:paraId="1DCE8B1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预算金额（元）：</w:t>
      </w:r>
      <w:r>
        <w:rPr>
          <w:rFonts w:hint="eastAsia" w:ascii="仿宋" w:hAnsi="仿宋" w:eastAsia="仿宋" w:cs="仿宋"/>
          <w:b w:val="0"/>
          <w:bCs/>
          <w:color w:val="auto"/>
          <w:sz w:val="24"/>
          <w:highlight w:val="none"/>
          <w:lang w:val="en-US" w:eastAsia="zh-CN"/>
        </w:rPr>
        <w:t xml:space="preserve">670000.00 </w:t>
      </w:r>
    </w:p>
    <w:p w14:paraId="5F94576D">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最高限价（元）：</w:t>
      </w:r>
      <w:r>
        <w:rPr>
          <w:rFonts w:hint="eastAsia" w:ascii="仿宋" w:hAnsi="仿宋" w:eastAsia="仿宋" w:cs="仿宋"/>
          <w:b w:val="0"/>
          <w:bCs/>
          <w:color w:val="auto"/>
          <w:sz w:val="24"/>
          <w:highlight w:val="none"/>
          <w:lang w:val="en-US" w:eastAsia="zh-CN"/>
        </w:rPr>
        <w:t xml:space="preserve">670000.00 </w:t>
      </w:r>
    </w:p>
    <w:p w14:paraId="616A2E70">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b w:val="0"/>
          <w:bCs/>
          <w:color w:val="auto"/>
          <w:sz w:val="24"/>
          <w:highlight w:val="none"/>
        </w:rPr>
        <w:t>采购需求：</w:t>
      </w:r>
    </w:p>
    <w:p w14:paraId="61B8E8FE">
      <w:pPr>
        <w:pageBreakBefore w:val="0"/>
        <w:widowControl w:val="0"/>
        <w:kinsoku/>
        <w:wordWrap/>
        <w:overflowPunct/>
        <w:topLinePunct w:val="0"/>
        <w:autoSpaceDE/>
        <w:autoSpaceDN/>
        <w:bidi w:val="0"/>
        <w:spacing w:line="360" w:lineRule="auto"/>
        <w:textAlignment w:val="auto"/>
        <w:rPr>
          <w:rFonts w:hint="eastAsia" w:ascii="仿宋" w:hAnsi="仿宋" w:eastAsia="仿宋" w:cs="仿宋"/>
          <w:bCs/>
          <w:color w:val="auto"/>
          <w:sz w:val="24"/>
          <w:highlight w:val="none"/>
          <w:lang w:val="en-US" w:eastAsia="zh-CN"/>
        </w:rPr>
      </w:pPr>
    </w:p>
    <w:p w14:paraId="6512772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标项名称：</w:t>
      </w:r>
      <w:r>
        <w:rPr>
          <w:rFonts w:hint="eastAsia" w:ascii="仿宋" w:hAnsi="仿宋" w:eastAsia="仿宋" w:cs="仿宋"/>
          <w:b w:val="0"/>
          <w:bCs/>
          <w:color w:val="auto"/>
          <w:sz w:val="24"/>
          <w:highlight w:val="none"/>
          <w:lang w:eastAsia="zh-CN"/>
        </w:rPr>
        <w:t xml:space="preserve">嵊州市小型水库物业化管理项目（第三批) </w:t>
      </w:r>
    </w:p>
    <w:p w14:paraId="1952F46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数量：1</w:t>
      </w:r>
    </w:p>
    <w:p w14:paraId="6413112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lang w:val="en-US" w:eastAsia="zh-CN"/>
        </w:rPr>
        <w:t>预算金额</w:t>
      </w:r>
      <w:r>
        <w:rPr>
          <w:rFonts w:hint="eastAsia" w:ascii="仿宋" w:hAnsi="仿宋" w:eastAsia="仿宋" w:cs="仿宋"/>
          <w:b w:val="0"/>
          <w:bCs/>
          <w:color w:val="auto"/>
          <w:sz w:val="24"/>
          <w:highlight w:val="none"/>
        </w:rPr>
        <w:t>（元）：</w:t>
      </w:r>
      <w:r>
        <w:rPr>
          <w:rFonts w:hint="eastAsia" w:ascii="仿宋" w:hAnsi="仿宋" w:eastAsia="仿宋" w:cs="仿宋"/>
          <w:b w:val="0"/>
          <w:bCs/>
          <w:color w:val="auto"/>
          <w:sz w:val="24"/>
          <w:highlight w:val="none"/>
          <w:lang w:val="en-US" w:eastAsia="zh-CN"/>
        </w:rPr>
        <w:t xml:space="preserve">670000.00 </w:t>
      </w:r>
    </w:p>
    <w:p w14:paraId="794A5F7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b w:val="0"/>
          <w:bCs/>
          <w:color w:val="auto"/>
          <w:sz w:val="24"/>
          <w:szCs w:val="24"/>
          <w:highlight w:val="none"/>
        </w:rPr>
        <w:t>简要规格描述或项目基本概况介绍、用途：详见</w:t>
      </w:r>
      <w:r>
        <w:rPr>
          <w:rFonts w:hint="eastAsia" w:ascii="仿宋" w:hAnsi="仿宋" w:eastAsia="仿宋" w:cs="仿宋"/>
          <w:b w:val="0"/>
          <w:bCs/>
          <w:color w:val="auto"/>
          <w:sz w:val="24"/>
          <w:szCs w:val="24"/>
          <w:highlight w:val="none"/>
          <w:lang w:eastAsia="zh-CN"/>
        </w:rPr>
        <w:t>招标</w:t>
      </w:r>
      <w:r>
        <w:rPr>
          <w:rFonts w:hint="eastAsia" w:ascii="仿宋" w:hAnsi="仿宋" w:eastAsia="仿宋" w:cs="仿宋"/>
          <w:b w:val="0"/>
          <w:bCs/>
          <w:color w:val="auto"/>
          <w:sz w:val="24"/>
          <w:szCs w:val="24"/>
          <w:highlight w:val="none"/>
        </w:rPr>
        <w:t>文件</w:t>
      </w:r>
    </w:p>
    <w:p w14:paraId="65B15AB1">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val="0"/>
          <w:bCs/>
          <w:color w:val="auto"/>
          <w:sz w:val="24"/>
          <w:highlight w:val="none"/>
        </w:rPr>
      </w:pPr>
    </w:p>
    <w:p w14:paraId="62DC397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val="0"/>
          <w:bCs/>
          <w:color w:val="auto"/>
          <w:sz w:val="24"/>
          <w:highlight w:val="none"/>
          <w:u w:val="single"/>
          <w:lang w:eastAsia="zh-CN"/>
        </w:rPr>
      </w:pPr>
      <w:r>
        <w:rPr>
          <w:rFonts w:hint="eastAsia" w:ascii="仿宋" w:hAnsi="仿宋" w:eastAsia="仿宋" w:cs="仿宋"/>
          <w:b w:val="0"/>
          <w:bCs/>
          <w:color w:val="auto"/>
          <w:sz w:val="24"/>
          <w:highlight w:val="none"/>
        </w:rPr>
        <w:t>合同履行期限：</w:t>
      </w:r>
      <w:r>
        <w:rPr>
          <w:rFonts w:hint="eastAsia" w:ascii="仿宋" w:hAnsi="仿宋" w:eastAsia="仿宋" w:cs="仿宋"/>
          <w:b w:val="0"/>
          <w:bCs/>
          <w:color w:val="auto"/>
          <w:sz w:val="24"/>
          <w:szCs w:val="24"/>
          <w:highlight w:val="none"/>
        </w:rPr>
        <w:t>详见</w:t>
      </w:r>
      <w:r>
        <w:rPr>
          <w:rFonts w:hint="eastAsia" w:ascii="仿宋" w:hAnsi="仿宋" w:eastAsia="仿宋" w:cs="仿宋"/>
          <w:b w:val="0"/>
          <w:bCs/>
          <w:color w:val="auto"/>
          <w:sz w:val="24"/>
          <w:szCs w:val="24"/>
          <w:highlight w:val="none"/>
          <w:lang w:eastAsia="zh-CN"/>
        </w:rPr>
        <w:t>招标</w:t>
      </w:r>
      <w:r>
        <w:rPr>
          <w:rFonts w:hint="eastAsia" w:ascii="仿宋" w:hAnsi="仿宋" w:eastAsia="仿宋" w:cs="仿宋"/>
          <w:b w:val="0"/>
          <w:bCs/>
          <w:color w:val="auto"/>
          <w:sz w:val="24"/>
          <w:szCs w:val="24"/>
          <w:highlight w:val="none"/>
        </w:rPr>
        <w:t>文件</w:t>
      </w:r>
    </w:p>
    <w:p w14:paraId="2135246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color w:val="auto"/>
          <w:highlight w:val="none"/>
        </w:rPr>
      </w:pPr>
      <w:r>
        <w:rPr>
          <w:rFonts w:hint="eastAsia" w:ascii="仿宋" w:hAnsi="仿宋" w:eastAsia="仿宋" w:cs="仿宋"/>
          <w:b w:val="0"/>
          <w:bCs/>
          <w:color w:val="auto"/>
          <w:sz w:val="24"/>
          <w:highlight w:val="none"/>
        </w:rPr>
        <w:t>本项目接受联合体投标：</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highlight w:val="none"/>
        </w:rPr>
        <w:t>是，</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highlight w:val="none"/>
        </w:rPr>
        <w:t>否。</w:t>
      </w:r>
    </w:p>
    <w:p w14:paraId="4200FD0B">
      <w:pPr>
        <w:pageBreakBefore w:val="0"/>
        <w:widowControl w:val="0"/>
        <w:kinsoku/>
        <w:wordWrap/>
        <w:overflowPunct/>
        <w:topLinePunct w:val="0"/>
        <w:autoSpaceDE/>
        <w:autoSpaceDN/>
        <w:bidi w:val="0"/>
        <w:spacing w:line="360" w:lineRule="auto"/>
        <w:ind w:firstLine="482"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bCs w:val="0"/>
          <w:color w:val="auto"/>
          <w:sz w:val="24"/>
          <w:highlight w:val="none"/>
        </w:rPr>
        <w:t>二、申请人的资格要求</w:t>
      </w:r>
    </w:p>
    <w:p w14:paraId="5F039A00">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307A1DA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2.以联合体形式投标的，提供联合协议(本项目不接受联合体投标或者投标人不以联合体形式投标的，则不需要提供) ；</w:t>
      </w:r>
    </w:p>
    <w:p w14:paraId="71A1993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36730F3D">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（注：不得限制大中型企业与小微企业组成联合体参与投标）；</w:t>
      </w:r>
    </w:p>
    <w:p w14:paraId="62F3440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61AD73EA">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sz w:val="24"/>
          <w:highlight w:val="none"/>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color w:val="auto"/>
          <w:sz w:val="24"/>
          <w:highlight w:val="none"/>
        </w:rPr>
        <w:t>服务全部由符合政策要求的中小企业承接，提供中小企业声明函；</w:t>
      </w:r>
    </w:p>
    <w:p w14:paraId="70854DCE">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highlight w:val="none"/>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color w:val="auto"/>
          <w:sz w:val="24"/>
          <w:highlight w:val="none"/>
        </w:rPr>
        <w:t>服务全部由符合政策要求的小微企业承接，提供中小企业声明函；</w:t>
      </w:r>
    </w:p>
    <w:p w14:paraId="1DB45491">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r>
        <w:rPr>
          <w:rFonts w:hint="eastAsia" w:ascii="仿宋" w:hAnsi="仿宋" w:eastAsia="仿宋" w:cs="仿宋"/>
          <w:color w:val="auto"/>
          <w:sz w:val="24"/>
          <w:highlight w:val="none"/>
          <w:lang w:val="en-US" w:eastAsia="zh-CN"/>
        </w:rPr>
        <w:t>无</w:t>
      </w:r>
      <w:r>
        <w:rPr>
          <w:rFonts w:hint="eastAsia" w:ascii="仿宋" w:hAnsi="仿宋" w:eastAsia="仿宋" w:cs="仿宋"/>
          <w:color w:val="auto"/>
          <w:sz w:val="24"/>
          <w:highlight w:val="none"/>
        </w:rPr>
        <w:t>；</w:t>
      </w:r>
    </w:p>
    <w:p w14:paraId="2A5AFC67">
      <w:pPr>
        <w:pageBreakBefore w:val="0"/>
        <w:widowControl w:val="0"/>
        <w:kinsoku/>
        <w:wordWrap/>
        <w:overflowPunct/>
        <w:topLinePunct w:val="0"/>
        <w:autoSpaceDE/>
        <w:autoSpaceDN/>
        <w:bidi w:val="0"/>
        <w:snapToGrid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F22F8E5">
      <w:pPr>
        <w:pageBreakBefore w:val="0"/>
        <w:widowControl w:val="0"/>
        <w:kinsoku/>
        <w:wordWrap/>
        <w:overflowPunct/>
        <w:topLinePunct w:val="0"/>
        <w:autoSpaceDE/>
        <w:autoSpaceDN/>
        <w:bidi w:val="0"/>
        <w:spacing w:line="360" w:lineRule="auto"/>
        <w:ind w:firstLine="482"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bCs w:val="0"/>
          <w:color w:val="auto"/>
          <w:sz w:val="24"/>
          <w:highlight w:val="none"/>
        </w:rPr>
        <w:t>三、获取招标文件</w:t>
      </w:r>
      <w:r>
        <w:rPr>
          <w:rFonts w:hint="eastAsia" w:ascii="仿宋" w:hAnsi="仿宋" w:eastAsia="仿宋" w:cs="仿宋"/>
          <w:b w:val="0"/>
          <w:bCs/>
          <w:color w:val="auto"/>
          <w:sz w:val="24"/>
          <w:highlight w:val="none"/>
        </w:rPr>
        <w:t xml:space="preserve"> </w:t>
      </w:r>
    </w:p>
    <w:p w14:paraId="3278BB27">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21 </w:t>
      </w:r>
      <w:r>
        <w:rPr>
          <w:rFonts w:hint="eastAsia" w:ascii="仿宋" w:hAnsi="仿宋" w:eastAsia="仿宋" w:cs="仿宋"/>
          <w:color w:val="auto"/>
          <w:sz w:val="24"/>
          <w:highlight w:val="none"/>
          <w:u w:val="none"/>
        </w:rPr>
        <w:t>日</w:t>
      </w:r>
      <w:r>
        <w:rPr>
          <w:rFonts w:hint="eastAsia" w:ascii="仿宋" w:hAnsi="仿宋" w:eastAsia="仿宋" w:cs="仿宋"/>
          <w:color w:val="auto"/>
          <w:sz w:val="24"/>
          <w:highlight w:val="none"/>
        </w:rPr>
        <w:t>，每天上午00:00至12:00，下午12:00至23:59（北京时间，线上获取法定节假日均可，线下获取文件法定节假日除外）</w:t>
      </w:r>
    </w:p>
    <w:p w14:paraId="20D509FE">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47E66150">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2676B668">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62F6188B">
      <w:pPr>
        <w:pageBreakBefore w:val="0"/>
        <w:widowControl w:val="0"/>
        <w:kinsoku/>
        <w:wordWrap/>
        <w:overflowPunct/>
        <w:topLinePunct w:val="0"/>
        <w:autoSpaceDE/>
        <w:autoSpaceDN/>
        <w:bidi w:val="0"/>
        <w:spacing w:line="360" w:lineRule="auto"/>
        <w:ind w:firstLine="482"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bCs w:val="0"/>
          <w:color w:val="auto"/>
          <w:sz w:val="24"/>
          <w:highlight w:val="none"/>
        </w:rPr>
        <w:t>四、提交投标文件截止时间、开标时间和地点</w:t>
      </w:r>
    </w:p>
    <w:p w14:paraId="30A20EB8">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non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21 </w:t>
      </w:r>
      <w:r>
        <w:rPr>
          <w:rFonts w:hint="eastAsia" w:ascii="仿宋" w:hAnsi="仿宋" w:eastAsia="仿宋" w:cs="仿宋"/>
          <w:color w:val="auto"/>
          <w:sz w:val="24"/>
          <w:highlight w:val="none"/>
          <w:u w:val="non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none"/>
        </w:rPr>
        <w:t>点</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none"/>
        </w:rPr>
        <w:t>分</w:t>
      </w:r>
      <w:r>
        <w:rPr>
          <w:rFonts w:hint="eastAsia" w:ascii="仿宋" w:hAnsi="仿宋" w:eastAsia="仿宋" w:cs="仿宋"/>
          <w:color w:val="auto"/>
          <w:sz w:val="24"/>
          <w:highlight w:val="none"/>
          <w:u w:val="single"/>
        </w:rPr>
        <w:t>00</w:t>
      </w:r>
      <w:r>
        <w:rPr>
          <w:rFonts w:hint="eastAsia" w:ascii="仿宋" w:hAnsi="仿宋" w:eastAsia="仿宋" w:cs="仿宋"/>
          <w:color w:val="auto"/>
          <w:sz w:val="24"/>
          <w:highlight w:val="none"/>
          <w:u w:val="none"/>
        </w:rPr>
        <w:t>秒</w:t>
      </w:r>
      <w:r>
        <w:rPr>
          <w:rFonts w:hint="eastAsia" w:ascii="仿宋" w:hAnsi="仿宋" w:eastAsia="仿宋" w:cs="仿宋"/>
          <w:color w:val="auto"/>
          <w:sz w:val="24"/>
          <w:highlight w:val="none"/>
        </w:rPr>
        <w:t>（北京时间）</w:t>
      </w:r>
    </w:p>
    <w:p w14:paraId="0605B2F0">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01C4E7D0">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non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21 </w:t>
      </w:r>
      <w:r>
        <w:rPr>
          <w:rFonts w:hint="eastAsia" w:ascii="仿宋" w:hAnsi="仿宋" w:eastAsia="仿宋" w:cs="仿宋"/>
          <w:color w:val="auto"/>
          <w:sz w:val="24"/>
          <w:highlight w:val="none"/>
          <w:u w:val="none"/>
        </w:rPr>
        <w:t>日</w:t>
      </w:r>
      <w:r>
        <w:rPr>
          <w:rFonts w:hint="eastAsia" w:ascii="仿宋" w:hAnsi="仿宋" w:eastAsia="仿宋" w:cs="仿宋"/>
          <w:color w:val="auto"/>
          <w:sz w:val="24"/>
          <w:highlight w:val="none"/>
          <w:u w:val="single"/>
          <w:lang w:val="en-US" w:eastAsia="zh-CN"/>
        </w:rPr>
        <w:t>09</w:t>
      </w:r>
      <w:r>
        <w:rPr>
          <w:rFonts w:hint="eastAsia" w:ascii="仿宋" w:hAnsi="仿宋" w:eastAsia="仿宋" w:cs="仿宋"/>
          <w:color w:val="auto"/>
          <w:sz w:val="24"/>
          <w:highlight w:val="none"/>
          <w:u w:val="none"/>
        </w:rPr>
        <w:t>点</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none"/>
        </w:rPr>
        <w:t>分</w:t>
      </w:r>
      <w:r>
        <w:rPr>
          <w:rFonts w:hint="eastAsia" w:ascii="仿宋" w:hAnsi="仿宋" w:eastAsia="仿宋" w:cs="仿宋"/>
          <w:color w:val="auto"/>
          <w:sz w:val="24"/>
          <w:highlight w:val="none"/>
          <w:u w:val="single"/>
        </w:rPr>
        <w:t>00</w:t>
      </w:r>
      <w:r>
        <w:rPr>
          <w:rFonts w:hint="eastAsia" w:ascii="仿宋" w:hAnsi="仿宋" w:eastAsia="仿宋" w:cs="仿宋"/>
          <w:color w:val="auto"/>
          <w:sz w:val="24"/>
          <w:highlight w:val="none"/>
          <w:u w:val="none"/>
        </w:rPr>
        <w:t>秒</w:t>
      </w:r>
      <w:r>
        <w:rPr>
          <w:rFonts w:hint="eastAsia" w:ascii="仿宋" w:hAnsi="仿宋" w:eastAsia="仿宋" w:cs="仿宋"/>
          <w:color w:val="auto"/>
          <w:sz w:val="24"/>
          <w:highlight w:val="none"/>
        </w:rPr>
        <w:t>（北京时间）</w:t>
      </w:r>
    </w:p>
    <w:p w14:paraId="124BD9EC">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7F203957">
      <w:pPr>
        <w:pageBreakBefore w:val="0"/>
        <w:widowControl w:val="0"/>
        <w:kinsoku/>
        <w:wordWrap/>
        <w:overflowPunct/>
        <w:topLinePunct w:val="0"/>
        <w:autoSpaceDE/>
        <w:autoSpaceDN/>
        <w:bidi w:val="0"/>
        <w:spacing w:line="360" w:lineRule="auto"/>
        <w:ind w:firstLine="482"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bCs w:val="0"/>
          <w:color w:val="auto"/>
          <w:sz w:val="24"/>
          <w:highlight w:val="none"/>
        </w:rPr>
        <w:t>五、公告期限</w:t>
      </w:r>
      <w:r>
        <w:rPr>
          <w:rFonts w:hint="eastAsia" w:ascii="仿宋" w:hAnsi="仿宋" w:eastAsia="仿宋" w:cs="仿宋"/>
          <w:b w:val="0"/>
          <w:bCs/>
          <w:color w:val="auto"/>
          <w:sz w:val="24"/>
          <w:highlight w:val="none"/>
        </w:rPr>
        <w:t xml:space="preserve"> </w:t>
      </w:r>
    </w:p>
    <w:p w14:paraId="03E37A71">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557CC374">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bCs w:val="0"/>
          <w:color w:val="auto"/>
          <w:sz w:val="24"/>
          <w:highlight w:val="none"/>
        </w:rPr>
      </w:pPr>
      <w:r>
        <w:rPr>
          <w:rFonts w:hint="eastAsia" w:ascii="仿宋" w:hAnsi="仿宋" w:eastAsia="仿宋" w:cs="仿宋"/>
          <w:b/>
          <w:bCs w:val="0"/>
          <w:color w:val="auto"/>
          <w:sz w:val="24"/>
          <w:highlight w:val="none"/>
        </w:rPr>
        <w:t>六、其他补充事宜</w:t>
      </w:r>
    </w:p>
    <w:p w14:paraId="7F5CDF0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3号）、《浙江省财政厅关于进一步促进政府采购公平竞争打造最优营商环境的通知》（浙财采监〔2021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22号））、《浙江省财政厅关于进一步加大政府采购支持中小企业力度助力扎实稳住经济的通知》（浙财采监〔2022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8号）已分别于2022年1月29日、2022年2月1日和2022年7月1日开始实施，此前有关规定与上述文件内容不一致的，按上述文件要求执行。</w:t>
      </w:r>
    </w:p>
    <w:p w14:paraId="660830A0">
      <w:pPr>
        <w:keepNext w:val="0"/>
        <w:keepLines w:val="0"/>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highlight w:val="none"/>
          <w:lang w:eastAsia="zh-CN"/>
        </w:rPr>
        <w:t>政务</w:t>
      </w:r>
      <w:r>
        <w:rPr>
          <w:rFonts w:hint="eastAsia" w:ascii="仿宋" w:hAnsi="仿宋" w:eastAsia="仿宋" w:cs="仿宋"/>
          <w:color w:val="auto"/>
          <w:sz w:val="24"/>
          <w:highlight w:val="none"/>
        </w:rPr>
        <w:t>服务网-政府采购投诉处理-在线办理。</w:t>
      </w:r>
    </w:p>
    <w:p w14:paraId="560DBE31">
      <w:pPr>
        <w:keepNext w:val="0"/>
        <w:keepLines w:val="0"/>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F94E0AC">
      <w:pPr>
        <w:keepNext w:val="0"/>
        <w:keepLines w:val="0"/>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w:t>
      </w:r>
      <w:r>
        <w:rPr>
          <w:rFonts w:hint="eastAsia" w:ascii="仿宋" w:hAnsi="仿宋" w:eastAsia="仿宋" w:cs="仿宋"/>
          <w:color w:val="auto"/>
          <w:sz w:val="24"/>
          <w:highlight w:val="none"/>
          <w:lang w:val="en-US" w:eastAsia="zh-CN"/>
        </w:rPr>
        <w:t>电子签章</w:t>
      </w:r>
      <w:r>
        <w:rPr>
          <w:rFonts w:hint="eastAsia" w:ascii="仿宋" w:hAnsi="仿宋" w:eastAsia="仿宋" w:cs="仿宋"/>
          <w:color w:val="auto"/>
          <w:sz w:val="24"/>
          <w:highlight w:val="none"/>
        </w:rPr>
        <w:t>”、“生成电子标书”等操作；⑤采购人、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73E1352C">
      <w:pPr>
        <w:pageBreakBefore w:val="0"/>
        <w:widowControl w:val="0"/>
        <w:kinsoku/>
        <w:wordWrap/>
        <w:overflowPunct/>
        <w:topLinePunct w:val="0"/>
        <w:autoSpaceDE/>
        <w:autoSpaceDN/>
        <w:bidi w:val="0"/>
        <w:spacing w:line="360" w:lineRule="auto"/>
        <w:ind w:firstLine="482"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bCs w:val="0"/>
          <w:color w:val="auto"/>
          <w:sz w:val="24"/>
          <w:highlight w:val="none"/>
        </w:rPr>
        <w:t>七、对本次采购提出询问、质疑、投诉，请按以下方式联系</w:t>
      </w:r>
    </w:p>
    <w:p w14:paraId="69E890D5">
      <w:pPr>
        <w:pStyle w:val="6"/>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highlight w:val="none"/>
        </w:rPr>
      </w:pPr>
      <w:bookmarkStart w:id="5" w:name="_Toc28359019"/>
      <w:bookmarkStart w:id="6" w:name="_Toc28359096"/>
      <w:bookmarkStart w:id="7" w:name="_Toc35393806"/>
      <w:bookmarkStart w:id="8" w:name="_Toc35393637"/>
      <w:r>
        <w:rPr>
          <w:rFonts w:hint="eastAsia" w:ascii="仿宋" w:hAnsi="仿宋" w:eastAsia="仿宋" w:cs="仿宋"/>
          <w:color w:val="auto"/>
          <w:sz w:val="24"/>
          <w:szCs w:val="24"/>
          <w:highlight w:val="none"/>
        </w:rPr>
        <w:t>1.采购人信息</w:t>
      </w:r>
      <w:bookmarkEnd w:id="5"/>
      <w:bookmarkEnd w:id="6"/>
      <w:bookmarkEnd w:id="7"/>
      <w:bookmarkEnd w:id="8"/>
      <w:r>
        <w:rPr>
          <w:rFonts w:hint="eastAsia" w:ascii="仿宋" w:hAnsi="仿宋" w:eastAsia="仿宋" w:cs="仿宋"/>
          <w:color w:val="auto"/>
          <w:sz w:val="24"/>
          <w:szCs w:val="24"/>
          <w:highlight w:val="none"/>
        </w:rPr>
        <w:t>：</w:t>
      </w:r>
    </w:p>
    <w:p w14:paraId="343F815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bookmarkStart w:id="9" w:name="_Toc35393638"/>
      <w:bookmarkStart w:id="10" w:name="_Toc28359097"/>
      <w:bookmarkStart w:id="11" w:name="_Toc28359020"/>
      <w:bookmarkStart w:id="12" w:name="_Toc35393807"/>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嵊州市水利水电局</w:t>
      </w:r>
    </w:p>
    <w:p w14:paraId="4FD4491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bookmarkStart w:id="13" w:name="_Toc19322"/>
      <w:bookmarkStart w:id="14" w:name="_Toc19882"/>
      <w:bookmarkStart w:id="15" w:name="_Toc7842"/>
      <w:bookmarkStart w:id="16" w:name="_Toc21107"/>
      <w:bookmarkStart w:id="17" w:name="_Toc12131"/>
      <w:bookmarkStart w:id="18" w:name="_Toc9892"/>
      <w:bookmarkStart w:id="19" w:name="_Toc15168"/>
      <w:r>
        <w:rPr>
          <w:rFonts w:hint="eastAsia" w:ascii="仿宋" w:hAnsi="仿宋" w:eastAsia="仿宋" w:cs="仿宋"/>
          <w:color w:val="auto"/>
          <w:sz w:val="24"/>
          <w:highlight w:val="none"/>
        </w:rPr>
        <w:t>地    址：</w:t>
      </w:r>
      <w:bookmarkEnd w:id="13"/>
      <w:bookmarkEnd w:id="14"/>
      <w:bookmarkEnd w:id="15"/>
      <w:bookmarkEnd w:id="16"/>
      <w:bookmarkEnd w:id="17"/>
      <w:bookmarkEnd w:id="18"/>
      <w:bookmarkEnd w:id="19"/>
      <w:r>
        <w:rPr>
          <w:rFonts w:hint="eastAsia" w:ascii="仿宋" w:hAnsi="仿宋" w:eastAsia="仿宋" w:cs="仿宋"/>
          <w:color w:val="auto"/>
          <w:sz w:val="24"/>
          <w:highlight w:val="none"/>
        </w:rPr>
        <w:t>嵊州市越秀北路47号</w:t>
      </w:r>
    </w:p>
    <w:p w14:paraId="5C1A2E6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val="en-US" w:eastAsia="zh-CN"/>
        </w:rPr>
      </w:pPr>
      <w:bookmarkStart w:id="20" w:name="_Toc6943"/>
      <w:bookmarkStart w:id="21" w:name="_Toc22853"/>
      <w:bookmarkStart w:id="22" w:name="_Toc26522"/>
      <w:bookmarkStart w:id="23" w:name="_Toc32373"/>
      <w:bookmarkStart w:id="24" w:name="_Toc25858"/>
      <w:bookmarkStart w:id="25" w:name="_Toc31024"/>
      <w:bookmarkStart w:id="26" w:name="_Toc13563"/>
      <w:r>
        <w:rPr>
          <w:rFonts w:hint="eastAsia" w:ascii="仿宋" w:hAnsi="仿宋" w:eastAsia="仿宋" w:cs="仿宋"/>
          <w:color w:val="auto"/>
          <w:sz w:val="24"/>
          <w:highlight w:val="none"/>
        </w:rPr>
        <w:t>项目联系人（询问）：</w:t>
      </w:r>
      <w:bookmarkEnd w:id="20"/>
      <w:bookmarkEnd w:id="21"/>
      <w:bookmarkEnd w:id="22"/>
      <w:bookmarkEnd w:id="23"/>
      <w:bookmarkEnd w:id="24"/>
      <w:bookmarkEnd w:id="25"/>
      <w:bookmarkEnd w:id="26"/>
      <w:r>
        <w:rPr>
          <w:rFonts w:hint="eastAsia" w:ascii="仿宋" w:hAnsi="仿宋" w:eastAsia="仿宋" w:cs="仿宋"/>
          <w:color w:val="auto"/>
          <w:sz w:val="24"/>
          <w:highlight w:val="none"/>
        </w:rPr>
        <w:t>王</w:t>
      </w:r>
      <w:r>
        <w:rPr>
          <w:rFonts w:hint="eastAsia" w:ascii="仿宋" w:hAnsi="仿宋" w:eastAsia="仿宋" w:cs="仿宋"/>
          <w:color w:val="auto"/>
          <w:sz w:val="24"/>
          <w:highlight w:val="none"/>
          <w:lang w:val="en-US" w:eastAsia="zh-CN"/>
        </w:rPr>
        <w:t>老师</w:t>
      </w:r>
    </w:p>
    <w:p w14:paraId="22375B31">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highlight w:val="none"/>
          <w:lang w:val="en-US" w:eastAsia="zh-CN"/>
        </w:rPr>
      </w:pPr>
      <w:bookmarkStart w:id="27" w:name="_Toc30837"/>
      <w:bookmarkStart w:id="28" w:name="_Toc20271"/>
      <w:bookmarkStart w:id="29" w:name="_Toc8414"/>
      <w:bookmarkStart w:id="30" w:name="_Toc18862"/>
      <w:bookmarkStart w:id="31" w:name="_Toc10576"/>
      <w:bookmarkStart w:id="32" w:name="_Toc19881"/>
      <w:bookmarkStart w:id="33" w:name="_Toc21279"/>
      <w:r>
        <w:rPr>
          <w:rFonts w:hint="eastAsia" w:ascii="仿宋" w:hAnsi="仿宋" w:eastAsia="仿宋" w:cs="仿宋"/>
          <w:color w:val="auto"/>
          <w:sz w:val="24"/>
          <w:highlight w:val="none"/>
        </w:rPr>
        <w:t>项目联系方式（询问）：</w:t>
      </w:r>
      <w:bookmarkEnd w:id="27"/>
      <w:bookmarkEnd w:id="28"/>
      <w:bookmarkEnd w:id="29"/>
      <w:bookmarkEnd w:id="30"/>
      <w:bookmarkEnd w:id="31"/>
      <w:bookmarkEnd w:id="32"/>
      <w:bookmarkEnd w:id="33"/>
      <w:r>
        <w:rPr>
          <w:rFonts w:hint="eastAsia" w:ascii="仿宋" w:hAnsi="仿宋" w:eastAsia="仿宋" w:cs="仿宋"/>
          <w:color w:val="auto"/>
          <w:sz w:val="24"/>
          <w:highlight w:val="none"/>
        </w:rPr>
        <w:t>0575-83799753</w:t>
      </w:r>
    </w:p>
    <w:p w14:paraId="3A1E36F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bookmarkStart w:id="34" w:name="_Toc26350"/>
      <w:bookmarkStart w:id="35" w:name="_Toc24649"/>
      <w:bookmarkStart w:id="36" w:name="_Toc27809"/>
      <w:bookmarkStart w:id="37" w:name="_Toc5733"/>
      <w:bookmarkStart w:id="38" w:name="_Toc21809"/>
      <w:bookmarkStart w:id="39" w:name="_Toc21387"/>
      <w:bookmarkStart w:id="40" w:name="_Toc17491"/>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val="en-US" w:eastAsia="zh-CN"/>
        </w:rPr>
        <w:t>邹老师</w:t>
      </w:r>
      <w:r>
        <w:rPr>
          <w:rFonts w:hint="eastAsia" w:ascii="仿宋" w:hAnsi="仿宋" w:eastAsia="仿宋" w:cs="仿宋"/>
          <w:color w:val="auto"/>
          <w:sz w:val="24"/>
          <w:highlight w:val="none"/>
        </w:rPr>
        <w:t xml:space="preserve">  </w:t>
      </w:r>
      <w:bookmarkEnd w:id="34"/>
      <w:bookmarkEnd w:id="35"/>
      <w:bookmarkEnd w:id="36"/>
      <w:bookmarkEnd w:id="37"/>
      <w:bookmarkEnd w:id="38"/>
      <w:bookmarkEnd w:id="39"/>
      <w:bookmarkEnd w:id="40"/>
    </w:p>
    <w:p w14:paraId="1FB8CD8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bookmarkStart w:id="41" w:name="_Toc30230"/>
      <w:bookmarkStart w:id="42" w:name="_Toc19436"/>
      <w:bookmarkStart w:id="43" w:name="_Toc19186"/>
      <w:bookmarkStart w:id="44" w:name="_Toc24656"/>
      <w:bookmarkStart w:id="45" w:name="_Toc32745"/>
      <w:bookmarkStart w:id="46" w:name="_Toc11394"/>
      <w:bookmarkStart w:id="47" w:name="_Toc5479"/>
      <w:r>
        <w:rPr>
          <w:rFonts w:hint="eastAsia" w:ascii="仿宋" w:hAnsi="仿宋" w:eastAsia="仿宋" w:cs="仿宋"/>
          <w:color w:val="auto"/>
          <w:sz w:val="24"/>
          <w:highlight w:val="none"/>
        </w:rPr>
        <w:t>质疑联系方式：</w:t>
      </w:r>
      <w:bookmarkEnd w:id="41"/>
      <w:bookmarkEnd w:id="42"/>
      <w:bookmarkEnd w:id="43"/>
      <w:bookmarkEnd w:id="44"/>
      <w:bookmarkEnd w:id="45"/>
      <w:bookmarkEnd w:id="46"/>
      <w:bookmarkEnd w:id="47"/>
      <w:r>
        <w:rPr>
          <w:rFonts w:hint="eastAsia" w:ascii="仿宋" w:hAnsi="仿宋" w:eastAsia="仿宋" w:cs="仿宋"/>
          <w:color w:val="auto"/>
          <w:sz w:val="24"/>
          <w:highlight w:val="none"/>
        </w:rPr>
        <w:t>0575-83799753</w:t>
      </w:r>
      <w:bookmarkStart w:id="107" w:name="_GoBack"/>
      <w:bookmarkEnd w:id="107"/>
    </w:p>
    <w:p w14:paraId="41A29754">
      <w:pPr>
        <w:pStyle w:val="6"/>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2.采购代理机构信息</w:t>
      </w:r>
      <w:bookmarkEnd w:id="9"/>
      <w:bookmarkEnd w:id="10"/>
      <w:bookmarkEnd w:id="11"/>
      <w:bookmarkEnd w:id="12"/>
      <w:r>
        <w:rPr>
          <w:rFonts w:hint="eastAsia" w:ascii="仿宋" w:hAnsi="仿宋" w:eastAsia="仿宋" w:cs="仿宋"/>
          <w:color w:val="auto"/>
          <w:sz w:val="24"/>
          <w:szCs w:val="24"/>
          <w:highlight w:val="none"/>
        </w:rPr>
        <w:t>：</w:t>
      </w:r>
    </w:p>
    <w:p w14:paraId="0CE371D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名    称：绍兴平准招标代理有限公司             </w:t>
      </w:r>
    </w:p>
    <w:p w14:paraId="78EA2EF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eastAsia="zh-CN"/>
        </w:rPr>
        <w:t>嵊州市三江街道官河南路333号商会大厦十四层1407室</w:t>
      </w:r>
      <w:r>
        <w:rPr>
          <w:rFonts w:hint="eastAsia" w:ascii="仿宋" w:hAnsi="仿宋" w:eastAsia="仿宋" w:cs="仿宋"/>
          <w:color w:val="auto"/>
          <w:sz w:val="24"/>
          <w:highlight w:val="none"/>
        </w:rPr>
        <w:t xml:space="preserve"> </w:t>
      </w:r>
    </w:p>
    <w:p w14:paraId="0C8A15E0">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传    真：/             </w:t>
      </w:r>
    </w:p>
    <w:p w14:paraId="7B82572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竺女士</w:t>
      </w:r>
    </w:p>
    <w:p w14:paraId="044652BA">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项目联系方式（询问）：0575-83176688 </w:t>
      </w:r>
    </w:p>
    <w:p w14:paraId="20CEAF6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val="en-US" w:eastAsia="zh-CN"/>
        </w:rPr>
        <w:t>徐女士</w:t>
      </w:r>
      <w:r>
        <w:rPr>
          <w:rFonts w:hint="eastAsia" w:ascii="仿宋" w:hAnsi="仿宋" w:eastAsia="仿宋" w:cs="仿宋"/>
          <w:color w:val="auto"/>
          <w:sz w:val="24"/>
          <w:highlight w:val="none"/>
        </w:rPr>
        <w:t xml:space="preserve">             </w:t>
      </w:r>
    </w:p>
    <w:p w14:paraId="182F67F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质疑联系方式：0575-83176688</w:t>
      </w:r>
    </w:p>
    <w:p w14:paraId="2D596B68">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bookmarkStart w:id="48" w:name="_Toc28359021"/>
      <w:bookmarkStart w:id="49" w:name="_Toc35393808"/>
      <w:bookmarkStart w:id="50" w:name="_Toc28359098"/>
      <w:bookmarkStart w:id="51" w:name="_Toc35393639"/>
      <w:r>
        <w:rPr>
          <w:rFonts w:hint="eastAsia" w:ascii="仿宋" w:hAnsi="仿宋" w:eastAsia="仿宋" w:cs="仿宋"/>
          <w:b/>
          <w:bCs/>
          <w:color w:val="auto"/>
          <w:sz w:val="24"/>
          <w:highlight w:val="none"/>
        </w:rPr>
        <w:t>3.</w:t>
      </w:r>
      <w:r>
        <w:rPr>
          <w:rFonts w:hint="eastAsia" w:ascii="仿宋" w:hAnsi="仿宋" w:eastAsia="仿宋" w:cs="仿宋"/>
          <w:b/>
          <w:color w:val="auto"/>
          <w:sz w:val="24"/>
          <w:highlight w:val="none"/>
        </w:rPr>
        <w:t xml:space="preserve">同级政府采购监督管理部门：        </w:t>
      </w:r>
    </w:p>
    <w:bookmarkEnd w:id="48"/>
    <w:bookmarkEnd w:id="49"/>
    <w:bookmarkEnd w:id="50"/>
    <w:bookmarkEnd w:id="51"/>
    <w:p w14:paraId="57BC7CA0">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val="en-US" w:eastAsia="zh-CN"/>
        </w:rPr>
        <w:t>嵊州市政府采购监管</w:t>
      </w:r>
    </w:p>
    <w:p w14:paraId="4BA8ED0A">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eastAsia="zh-CN"/>
        </w:rPr>
        <w:t>嵊州市三江街道国资综合大楼1004室</w:t>
      </w:r>
    </w:p>
    <w:p w14:paraId="22C9281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传    真：</w:t>
      </w:r>
      <w:r>
        <w:rPr>
          <w:rFonts w:hint="eastAsia" w:ascii="仿宋" w:hAnsi="仿宋" w:eastAsia="仿宋" w:cs="仿宋"/>
          <w:color w:val="auto"/>
          <w:sz w:val="24"/>
          <w:highlight w:val="none"/>
          <w:lang w:val="en-US" w:eastAsia="zh-CN"/>
        </w:rPr>
        <w:t>/</w:t>
      </w:r>
    </w:p>
    <w:p w14:paraId="56D30E4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联系人 ：郑老师</w:t>
      </w:r>
    </w:p>
    <w:p w14:paraId="16BE64F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监督投诉电话：0575-83032507</w:t>
      </w:r>
    </w:p>
    <w:p w14:paraId="74167C2D">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p>
    <w:p w14:paraId="7722AF3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16288E5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59D9B2FA">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2"/>
      <w:r>
        <w:rPr>
          <w:rFonts w:hint="eastAsia" w:ascii="仿宋" w:hAnsi="仿宋" w:eastAsia="仿宋" w:cs="仿宋"/>
          <w:b/>
          <w:color w:val="auto"/>
          <w:sz w:val="36"/>
          <w:szCs w:val="20"/>
          <w:highlight w:val="none"/>
        </w:rPr>
        <w:t xml:space="preserve"> 投标须知</w:t>
      </w:r>
      <w:bookmarkEnd w:id="3"/>
    </w:p>
    <w:p w14:paraId="77D47F48">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64EBA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77AEF6B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370" w:type="dxa"/>
            <w:gridSpan w:val="2"/>
            <w:vAlign w:val="center"/>
          </w:tcPr>
          <w:p w14:paraId="52B1774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内　　　　容</w:t>
            </w:r>
          </w:p>
        </w:tc>
      </w:tr>
      <w:tr w14:paraId="4185C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284E14D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370" w:type="dxa"/>
            <w:gridSpan w:val="2"/>
            <w:vAlign w:val="center"/>
          </w:tcPr>
          <w:p w14:paraId="7FA0BBE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投标人按照项目要求特许资格、资信证明文件（如有）：</w:t>
            </w:r>
          </w:p>
          <w:p w14:paraId="3CCD3EE6">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235A3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52774A7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370" w:type="dxa"/>
            <w:gridSpan w:val="2"/>
            <w:vAlign w:val="center"/>
          </w:tcPr>
          <w:p w14:paraId="743C36E8">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资格审查方式：</w:t>
            </w:r>
          </w:p>
          <w:p w14:paraId="00E6704A">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1.资格后审。</w:t>
            </w:r>
          </w:p>
          <w:p w14:paraId="6499F704">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6EDED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4D1B9E2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370" w:type="dxa"/>
            <w:gridSpan w:val="2"/>
            <w:vAlign w:val="center"/>
          </w:tcPr>
          <w:p w14:paraId="056E91A2">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投标有效期：</w:t>
            </w:r>
            <w:r>
              <w:rPr>
                <w:rFonts w:hint="eastAsia" w:ascii="仿宋" w:hAnsi="仿宋" w:eastAsia="仿宋" w:cs="仿宋"/>
                <w:color w:val="auto"/>
                <w:sz w:val="24"/>
                <w:highlight w:val="none"/>
              </w:rPr>
              <w:t>投标有效期为从提交投标文件的截止之日起90天。</w:t>
            </w:r>
            <w:r>
              <w:rPr>
                <w:rFonts w:hint="eastAsia" w:ascii="仿宋" w:hAnsi="仿宋" w:eastAsia="仿宋" w:cs="仿宋"/>
                <w:b/>
                <w:color w:val="auto"/>
                <w:sz w:val="24"/>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tc>
      </w:tr>
      <w:tr w14:paraId="1C8A3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7245FE0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8370" w:type="dxa"/>
            <w:gridSpan w:val="2"/>
            <w:vAlign w:val="center"/>
          </w:tcPr>
          <w:p w14:paraId="37E0C97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转包：</w:t>
            </w:r>
            <w:r>
              <w:rPr>
                <w:rFonts w:hint="eastAsia" w:ascii="仿宋" w:hAnsi="仿宋" w:eastAsia="仿宋" w:cs="仿宋"/>
                <w:color w:val="auto"/>
                <w:sz w:val="24"/>
                <w:highlight w:val="none"/>
              </w:rPr>
              <w:t>本项目不得转包。</w:t>
            </w:r>
          </w:p>
        </w:tc>
      </w:tr>
      <w:tr w14:paraId="0CECC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18695F4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8370" w:type="dxa"/>
            <w:gridSpan w:val="2"/>
            <w:vAlign w:val="center"/>
          </w:tcPr>
          <w:p w14:paraId="7698B6E4">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分包：</w:t>
            </w:r>
            <w:r>
              <w:rPr>
                <w:rFonts w:hint="eastAsia" w:ascii="仿宋" w:hAnsi="仿宋" w:eastAsia="仿宋" w:cs="仿宋"/>
                <w:color w:val="auto"/>
                <w:kern w:val="0"/>
                <w:sz w:val="24"/>
                <w:highlight w:val="none"/>
              </w:rPr>
              <w:t>☐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14:paraId="31BDE3CA">
            <w:pPr>
              <w:keepNext w:val="0"/>
              <w:keepLines w:val="0"/>
              <w:pageBreakBefore w:val="0"/>
              <w:widowControl w:val="0"/>
              <w:kinsoku/>
              <w:wordWrap/>
              <w:overflowPunct/>
              <w:topLinePunct w:val="0"/>
              <w:bidi w:val="0"/>
              <w:adjustRightInd w:val="0"/>
              <w:spacing w:line="440" w:lineRule="exact"/>
              <w:ind w:left="0" w:leftChars="0" w:right="0" w:rightChars="0" w:firstLine="720" w:firstLineChars="3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tc>
      </w:tr>
      <w:tr w14:paraId="6B8FD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5DE7B3BE">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8370" w:type="dxa"/>
            <w:gridSpan w:val="2"/>
            <w:vAlign w:val="center"/>
          </w:tcPr>
          <w:p w14:paraId="0908A70B">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投标文件份数：</w:t>
            </w:r>
            <w:r>
              <w:rPr>
                <w:rFonts w:hint="eastAsia" w:ascii="仿宋" w:hAnsi="仿宋" w:eastAsia="仿宋" w:cs="仿宋"/>
                <w:color w:val="auto"/>
                <w:sz w:val="24"/>
                <w:highlight w:val="none"/>
              </w:rPr>
              <w:t>本项目实行网上投标，供应商于“政采云”上提供电子投标文件。</w:t>
            </w:r>
          </w:p>
        </w:tc>
      </w:tr>
      <w:tr w14:paraId="75EF7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2E4B22F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8370" w:type="dxa"/>
            <w:gridSpan w:val="2"/>
            <w:vAlign w:val="center"/>
          </w:tcPr>
          <w:p w14:paraId="5C13C3F9">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p w14:paraId="647B197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r>
              <w:rPr>
                <w:rFonts w:hint="eastAsia" w:ascii="仿宋" w:hAnsi="仿宋" w:eastAsia="仿宋" w:cs="仿宋"/>
                <w:b w:val="0"/>
                <w:bCs/>
                <w:color w:val="auto"/>
                <w:sz w:val="24"/>
                <w:highlight w:val="none"/>
                <w:lang w:val="en-US" w:eastAsia="zh-CN"/>
              </w:rPr>
              <w:t>投标人</w:t>
            </w:r>
            <w:r>
              <w:rPr>
                <w:rFonts w:hint="eastAsia" w:ascii="仿宋" w:hAnsi="仿宋" w:eastAsia="仿宋" w:cs="仿宋"/>
                <w:b w:val="0"/>
                <w:bCs/>
                <w:color w:val="auto"/>
                <w:sz w:val="24"/>
                <w:highlight w:val="none"/>
              </w:rPr>
              <w:t>自行前往现场踏勘，因自身原因未进行实地踏勘的，成交后签订合同时和履约过程中，不得以不完全了解现场情况为由，提出任何形式的增加合同外造价或索赔的要求。踏勘期间发生的费用或意外导致伤亡等一切责任和损失均由供应商自负。</w:t>
            </w:r>
          </w:p>
          <w:p w14:paraId="02FE7957">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tc>
      </w:tr>
      <w:tr w14:paraId="041C7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2827AFB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8370" w:type="dxa"/>
            <w:gridSpan w:val="2"/>
            <w:vAlign w:val="center"/>
          </w:tcPr>
          <w:p w14:paraId="080597E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p w14:paraId="6CE87F6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0AD1ED1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B要求提供，</w:t>
            </w:r>
          </w:p>
          <w:p w14:paraId="722696FC">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sz w:val="24"/>
                <w:highlight w:val="none"/>
              </w:rPr>
              <w:t>样品</w:t>
            </w:r>
            <w:r>
              <w:rPr>
                <w:rFonts w:hint="eastAsia" w:ascii="仿宋" w:hAnsi="仿宋" w:eastAsia="仿宋" w:cs="仿宋"/>
                <w:snapToGrid w:val="0"/>
                <w:color w:val="auto"/>
                <w:kern w:val="28"/>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4C289B6B">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4F7CC5CA">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w:t>
            </w:r>
            <w:r>
              <w:rPr>
                <w:rFonts w:hint="eastAsia" w:ascii="仿宋" w:hAnsi="仿宋" w:eastAsia="仿宋" w:cs="仿宋"/>
                <w:color w:val="auto"/>
                <w:sz w:val="24"/>
                <w:highlight w:val="none"/>
              </w:rPr>
              <w:t>方法</w:t>
            </w:r>
            <w:r>
              <w:rPr>
                <w:rFonts w:hint="eastAsia" w:ascii="仿宋" w:hAnsi="仿宋" w:eastAsia="仿宋" w:cs="仿宋"/>
                <w:color w:val="auto"/>
                <w:kern w:val="0"/>
                <w:sz w:val="24"/>
                <w:highlight w:val="none"/>
              </w:rPr>
              <w:t>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34123450">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否；□是，检测机构的要求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5FACD574">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19ABDB1F">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rPr>
              <w:t>6</w:t>
            </w:r>
            <w:r>
              <w:rPr>
                <w:rFonts w:hint="eastAsia" w:ascii="仿宋" w:hAnsi="仿宋" w:eastAsia="仿宋" w:cs="仿宋"/>
                <w:color w:val="auto"/>
                <w:sz w:val="24"/>
                <w:highlight w:val="none"/>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72025799">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p w14:paraId="41E054BA">
            <w:pPr>
              <w:keepNext w:val="0"/>
              <w:keepLines w:val="0"/>
              <w:pageBreakBefore w:val="0"/>
              <w:widowControl w:val="0"/>
              <w:kinsoku/>
              <w:wordWrap/>
              <w:overflowPunct/>
              <w:topLinePunct w:val="0"/>
              <w:bidi w:val="0"/>
              <w:adjustRightInd w:val="0"/>
              <w:spacing w:line="440" w:lineRule="exact"/>
              <w:ind w:right="0" w:rightChars="0"/>
              <w:rPr>
                <w:rFonts w:hint="eastAsia" w:ascii="仿宋" w:hAnsi="仿宋" w:eastAsia="仿宋" w:cs="仿宋"/>
                <w:color w:val="auto"/>
                <w:highlight w:val="none"/>
                <w:lang w:val="en-US"/>
              </w:rPr>
            </w:pPr>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val="en-US"/>
              </w:rPr>
              <w:t>8</w:t>
            </w:r>
            <w:r>
              <w:rPr>
                <w:rFonts w:hint="eastAsia" w:ascii="仿宋" w:hAnsi="仿宋" w:eastAsia="仿宋" w:cs="仿宋"/>
                <w:b w:val="0"/>
                <w:bCs w:val="0"/>
                <w:color w:val="auto"/>
                <w:sz w:val="24"/>
                <w:highlight w:val="none"/>
              </w:rPr>
              <w:t>）未按招标文件要求提供样品或提供样品不满足采购需求实质性条件的，投标</w:t>
            </w:r>
            <w:r>
              <w:rPr>
                <w:rFonts w:hint="eastAsia" w:ascii="仿宋" w:hAnsi="仿宋" w:eastAsia="仿宋" w:cs="仿宋"/>
                <w:color w:val="auto"/>
                <w:sz w:val="24"/>
                <w:highlight w:val="none"/>
              </w:rPr>
              <w:t>无效</w:t>
            </w:r>
            <w:r>
              <w:rPr>
                <w:rFonts w:hint="eastAsia" w:ascii="仿宋" w:hAnsi="仿宋" w:eastAsia="仿宋" w:cs="仿宋"/>
                <w:b w:val="0"/>
                <w:bCs w:val="0"/>
                <w:color w:val="auto"/>
                <w:sz w:val="24"/>
                <w:highlight w:val="none"/>
              </w:rPr>
              <w:t>。</w:t>
            </w:r>
          </w:p>
        </w:tc>
      </w:tr>
      <w:tr w14:paraId="7EABF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870" w:type="dxa"/>
            <w:vAlign w:val="center"/>
          </w:tcPr>
          <w:p w14:paraId="7F22C14A">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8370" w:type="dxa"/>
            <w:gridSpan w:val="2"/>
            <w:vAlign w:val="center"/>
          </w:tcPr>
          <w:p w14:paraId="67C91FCC">
            <w:pPr>
              <w:spacing w:beforeLines="0" w:afterLines="0" w:line="44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方案讲解演示：</w:t>
            </w:r>
          </w:p>
          <w:p w14:paraId="0CA9D186">
            <w:pPr>
              <w:spacing w:beforeLines="0" w:afterLines="0"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A无方案讲解演示。</w:t>
            </w:r>
          </w:p>
          <w:p w14:paraId="71745459">
            <w:pPr>
              <w:spacing w:beforeLines="0" w:afterLines="0" w:line="440" w:lineRule="exac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□B有方案讲解演示：</w:t>
            </w:r>
          </w:p>
          <w:p w14:paraId="66B54325">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（1）在评标时安排每个供应商进行方案讲解演示。每个供应商时间不超过</w:t>
            </w:r>
            <w:r>
              <w:rPr>
                <w:rFonts w:hint="eastAsia" w:ascii="仿宋" w:hAnsi="仿宋" w:eastAsia="仿宋" w:cs="仿宋"/>
                <w:color w:val="auto"/>
                <w:sz w:val="24"/>
                <w:szCs w:val="24"/>
                <w:highlight w:val="none"/>
                <w:u w:val="single"/>
                <w:lang w:val="en-US" w:eastAsia="zh-CN"/>
              </w:rPr>
              <w:t xml:space="preserve">20 </w:t>
            </w:r>
            <w:r>
              <w:rPr>
                <w:rFonts w:hint="eastAsia" w:ascii="仿宋" w:hAnsi="仿宋" w:eastAsia="仿宋" w:cs="仿宋"/>
                <w:color w:val="auto"/>
                <w:sz w:val="24"/>
                <w:szCs w:val="24"/>
                <w:highlight w:val="none"/>
                <w:lang w:val="zh-CN"/>
              </w:rPr>
              <w:t>分钟（编制时可根据项目情况进行调整），讲解次序以投标文件解密时间先后次序为准。讲解演示结束后按要求解答评标委员会提问。</w:t>
            </w:r>
          </w:p>
          <w:p w14:paraId="08F96E34">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（2）方案讲解演示可选择以下其中一种方式：</w:t>
            </w:r>
          </w:p>
          <w:p w14:paraId="20075089">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方式一：政采云平台在线讲解演示。政采云平台在线讲解需供应商根据政采云平台操作要求做好准备工作，提前完善软硬件配置环境。</w:t>
            </w:r>
          </w:p>
          <w:p w14:paraId="0081DE15">
            <w:pPr>
              <w:spacing w:beforeLines="0" w:afterLines="0" w:line="44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方式二：现场讲解演示。现场讲解地点为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w:t>
            </w:r>
            <w:r>
              <w:rPr>
                <w:rFonts w:hint="eastAsia" w:ascii="仿宋" w:hAnsi="仿宋" w:eastAsia="仿宋" w:cs="仿宋"/>
                <w:color w:val="auto"/>
                <w:kern w:val="0"/>
                <w:sz w:val="24"/>
                <w:highlight w:val="none"/>
                <w:lang w:val="zh-CN"/>
              </w:rPr>
              <w:t>讲解演示人员不超过</w:t>
            </w:r>
            <w:r>
              <w:rPr>
                <w:rFonts w:hint="eastAsia" w:ascii="仿宋" w:hAnsi="仿宋" w:eastAsia="仿宋" w:cs="仿宋"/>
                <w:color w:val="auto"/>
                <w:kern w:val="0"/>
                <w:sz w:val="24"/>
                <w:highlight w:val="none"/>
                <w:u w:val="single"/>
                <w:lang w:val="en-US" w:eastAsia="zh-CN"/>
              </w:rPr>
              <w:t>3</w:t>
            </w:r>
            <w:r>
              <w:rPr>
                <w:rFonts w:hint="eastAsia" w:ascii="仿宋" w:hAnsi="仿宋" w:eastAsia="仿宋" w:cs="仿宋"/>
                <w:color w:val="auto"/>
                <w:kern w:val="0"/>
                <w:sz w:val="24"/>
                <w:highlight w:val="none"/>
                <w:lang w:val="zh-CN"/>
              </w:rPr>
              <w:t>人（编制时可根据项目情况进行调整）。</w:t>
            </w:r>
            <w:r>
              <w:rPr>
                <w:rFonts w:hint="eastAsia" w:ascii="仿宋" w:hAnsi="仿宋" w:eastAsia="仿宋" w:cs="仿宋"/>
                <w:color w:val="auto"/>
                <w:sz w:val="24"/>
                <w:szCs w:val="24"/>
                <w:highlight w:val="none"/>
                <w:lang w:val="zh-CN"/>
              </w:rPr>
              <w:t>讲解演示所用电脑等设备由供应商自备。现场讲解演示人员进场时提供讲解人员名单（加盖公章或授权代表签名）及身份证明，否则不得讲解演示。</w:t>
            </w:r>
          </w:p>
          <w:p w14:paraId="16FCAD4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4B6F6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39180DC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855" w:type="dxa"/>
            <w:vAlign w:val="center"/>
          </w:tcPr>
          <w:p w14:paraId="2CDB29DF">
            <w:pPr>
              <w:keepNext w:val="0"/>
              <w:keepLines w:val="0"/>
              <w:pageBreakBefore w:val="0"/>
              <w:widowControl w:val="0"/>
              <w:kinsoku/>
              <w:wordWrap/>
              <w:overflowPunct/>
              <w:topLinePunct w:val="0"/>
              <w:bidi w:val="0"/>
              <w:adjustRightInd w:val="0"/>
              <w:snapToGrid w:val="0"/>
              <w:spacing w:line="440" w:lineRule="exact"/>
              <w:ind w:left="0" w:leftChars="0" w:right="0" w:rightChars="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进口产品</w:t>
            </w:r>
          </w:p>
        </w:tc>
        <w:tc>
          <w:tcPr>
            <w:tcW w:w="7515" w:type="dxa"/>
            <w:vAlign w:val="center"/>
          </w:tcPr>
          <w:p w14:paraId="27C91874">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本项目不允许采购进口产品。</w:t>
            </w:r>
          </w:p>
          <w:p w14:paraId="7BA5CE0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529D0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281BA22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855" w:type="dxa"/>
            <w:vAlign w:val="center"/>
          </w:tcPr>
          <w:p w14:paraId="2D2E5F86">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项目属性与核心产品</w:t>
            </w:r>
          </w:p>
        </w:tc>
        <w:tc>
          <w:tcPr>
            <w:tcW w:w="7515" w:type="dxa"/>
            <w:vAlign w:val="center"/>
          </w:tcPr>
          <w:p w14:paraId="28E9422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25C5DF7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p>
        </w:tc>
      </w:tr>
      <w:tr w14:paraId="53E9E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4FB397E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855" w:type="dxa"/>
            <w:vAlign w:val="center"/>
          </w:tcPr>
          <w:p w14:paraId="7D5DA771">
            <w:pPr>
              <w:keepNext w:val="0"/>
              <w:keepLines w:val="0"/>
              <w:pageBreakBefore w:val="0"/>
              <w:widowControl w:val="0"/>
              <w:kinsoku/>
              <w:wordWrap/>
              <w:overflowPunct/>
              <w:topLinePunct w:val="0"/>
              <w:bidi w:val="0"/>
              <w:adjustRightInd w:val="0"/>
              <w:snapToGrid w:val="0"/>
              <w:spacing w:line="440" w:lineRule="exact"/>
              <w:ind w:left="0" w:leftChars="0" w:right="0" w:rightChars="0" w:hanging="1"/>
              <w:jc w:val="center"/>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采购标的对应的中小企业划分标准所属行业</w:t>
            </w:r>
          </w:p>
        </w:tc>
        <w:tc>
          <w:tcPr>
            <w:tcW w:w="7515" w:type="dxa"/>
            <w:vAlign w:val="center"/>
          </w:tcPr>
          <w:p w14:paraId="1243720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根据《工业和信息化部、国家统计局、国家发展和改革委员会、财政部关于印发中小企业划型标准规定的通知》（工信部联企业[2011]300号）规定（有最新中小企业划型标准的以更新后的为准）</w:t>
            </w:r>
            <w:r>
              <w:rPr>
                <w:rFonts w:hint="eastAsia" w:ascii="仿宋" w:hAnsi="仿宋" w:eastAsia="仿宋" w:cs="仿宋"/>
                <w:color w:val="auto"/>
                <w:sz w:val="24"/>
                <w:highlight w:val="none"/>
                <w:lang w:eastAsia="zh-CN"/>
              </w:rPr>
              <w:t>：</w:t>
            </w:r>
          </w:p>
          <w:p w14:paraId="52495805">
            <w:pPr>
              <w:keepNext w:val="0"/>
              <w:keepLines w:val="0"/>
              <w:pageBreakBefore w:val="0"/>
              <w:widowControl w:val="0"/>
              <w:numPr>
                <w:ilvl w:val="0"/>
                <w:numId w:val="0"/>
              </w:numPr>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szCs w:val="24"/>
                <w:highlight w:val="none"/>
                <w:lang w:val="en-US" w:eastAsia="zh-CN" w:bidi="ar-SA"/>
              </w:rPr>
              <w:t>（1）</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single"/>
                <w:lang w:eastAsia="zh-CN"/>
              </w:rPr>
              <w:t xml:space="preserve">嵊州市小型水库物业化管理项目（第三批) </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sz w:val="24"/>
                <w:highlight w:val="none"/>
                <w:u w:val="single"/>
                <w:lang w:val="en-US" w:eastAsia="zh-CN"/>
              </w:rPr>
              <w:t xml:space="preserve">其他未列明行业 </w:t>
            </w:r>
            <w:r>
              <w:rPr>
                <w:rFonts w:hint="eastAsia" w:ascii="仿宋" w:hAnsi="仿宋" w:eastAsia="仿宋" w:cs="仿宋"/>
                <w:color w:val="auto"/>
                <w:kern w:val="0"/>
                <w:sz w:val="24"/>
                <w:highlight w:val="none"/>
              </w:rPr>
              <w:t>；</w:t>
            </w:r>
          </w:p>
          <w:p w14:paraId="62AF54DF">
            <w:pPr>
              <w:keepNext w:val="0"/>
              <w:keepLines w:val="0"/>
              <w:pageBreakBefore w:val="0"/>
              <w:widowControl w:val="0"/>
              <w:numPr>
                <w:ilvl w:val="0"/>
                <w:numId w:val="0"/>
              </w:numPr>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仿宋" w:hAnsi="仿宋" w:eastAsia="仿宋" w:cs="仿宋"/>
                <w:color w:val="auto"/>
                <w:sz w:val="24"/>
                <w:highlight w:val="none"/>
                <w:lang w:eastAsia="zh-CN"/>
              </w:rPr>
              <w:t>。</w:t>
            </w:r>
          </w:p>
          <w:p w14:paraId="61D684AD">
            <w:pPr>
              <w:keepNext w:val="0"/>
              <w:keepLines w:val="0"/>
              <w:pageBreakBefore w:val="0"/>
              <w:widowControl w:val="0"/>
              <w:numPr>
                <w:ilvl w:val="0"/>
                <w:numId w:val="0"/>
              </w:numPr>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highlight w:val="none"/>
              </w:rPr>
            </w:pPr>
            <w:r>
              <w:rPr>
                <w:rFonts w:hint="eastAsia" w:ascii="仿宋" w:hAnsi="仿宋" w:eastAsia="仿宋" w:cs="仿宋"/>
                <w:color w:val="auto"/>
                <w:sz w:val="24"/>
                <w:highlight w:val="none"/>
              </w:rPr>
              <w:t>说明：声明函中所列行业与采购文件所明确的行业不一致但不改变划型结果情形的，不影响声明有效性，也不作为虚假资料情形认定</w:t>
            </w:r>
          </w:p>
        </w:tc>
      </w:tr>
      <w:tr w14:paraId="12875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shd w:val="clear" w:color="auto" w:fill="auto"/>
            <w:vAlign w:val="center"/>
          </w:tcPr>
          <w:p w14:paraId="3811C1BC">
            <w:pPr>
              <w:keepNext w:val="0"/>
              <w:keepLines w:val="0"/>
              <w:pageBreakBefore w:val="0"/>
              <w:kinsoku/>
              <w:wordWrap/>
              <w:overflowPunct/>
              <w:topLinePunct w:val="0"/>
              <w:autoSpaceDE w:val="0"/>
              <w:autoSpaceDN w:val="0"/>
              <w:bidi w:val="0"/>
              <w:adjustRightInd/>
              <w:snapToGrid w:val="0"/>
              <w:spacing w:line="440" w:lineRule="exact"/>
              <w:ind w:left="0" w:leftChars="0" w:firstLine="0" w:firstLineChars="0"/>
              <w:jc w:val="center"/>
              <w:textAlignment w:val="bottom"/>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13</w:t>
            </w:r>
          </w:p>
        </w:tc>
        <w:tc>
          <w:tcPr>
            <w:tcW w:w="855" w:type="dxa"/>
            <w:shd w:val="clear" w:color="auto" w:fill="auto"/>
            <w:vAlign w:val="center"/>
          </w:tcPr>
          <w:p w14:paraId="234B26AC">
            <w:pPr>
              <w:keepNext w:val="0"/>
              <w:keepLines w:val="0"/>
              <w:pageBreakBefore w:val="0"/>
              <w:widowControl w:val="0"/>
              <w:kinsoku/>
              <w:wordWrap/>
              <w:overflowPunct/>
              <w:topLinePunct w:val="0"/>
              <w:bidi w:val="0"/>
              <w:adjustRightInd w:val="0"/>
              <w:snapToGrid w:val="0"/>
              <w:spacing w:line="440" w:lineRule="exact"/>
              <w:ind w:left="0" w:leftChars="0" w:right="0" w:rightChars="0" w:hanging="1" w:firstLineChars="0"/>
              <w:jc w:val="center"/>
              <w:rPr>
                <w:rFonts w:hint="eastAsia" w:ascii="仿宋" w:hAnsi="仿宋" w:eastAsia="仿宋" w:cs="仿宋"/>
                <w:b/>
                <w:color w:val="auto"/>
                <w:spacing w:val="-20"/>
                <w:kern w:val="2"/>
                <w:sz w:val="24"/>
                <w:szCs w:val="24"/>
                <w:highlight w:val="none"/>
                <w:lang w:val="en-US" w:eastAsia="zh-CN" w:bidi="ar-SA"/>
              </w:rPr>
            </w:pPr>
            <w:r>
              <w:rPr>
                <w:rFonts w:hint="eastAsia" w:ascii="仿宋" w:hAnsi="仿宋" w:eastAsia="仿宋" w:cs="仿宋"/>
                <w:b/>
                <w:color w:val="auto"/>
                <w:spacing w:val="-20"/>
                <w:sz w:val="24"/>
                <w:highlight w:val="none"/>
              </w:rPr>
              <w:t>采购项目需要落实的政府采购政策</w:t>
            </w:r>
          </w:p>
        </w:tc>
        <w:tc>
          <w:tcPr>
            <w:tcW w:w="7515" w:type="dxa"/>
            <w:shd w:val="clear" w:color="auto" w:fill="auto"/>
            <w:vAlign w:val="center"/>
          </w:tcPr>
          <w:p w14:paraId="1A5A5C8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专门面向中小微企业采购项目。小微企业报价不再享受价格折扣。</w:t>
            </w:r>
          </w:p>
          <w:p w14:paraId="5CE2CC4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非专门面向中小企业采购项目。对小型和微型企业报价根据《财政部关于进一步加大政府采购支持中小企业力度的通知》（财库〔2022〕19号）</w:t>
            </w:r>
            <w:r>
              <w:rPr>
                <w:rFonts w:hint="eastAsia" w:ascii="仿宋" w:hAnsi="仿宋" w:eastAsia="仿宋" w:cs="仿宋"/>
                <w:color w:val="auto"/>
                <w:sz w:val="24"/>
                <w:highlight w:val="none"/>
                <w:lang w:val="en-US" w:eastAsia="zh-CN"/>
              </w:rPr>
              <w:t>文件</w:t>
            </w:r>
            <w:r>
              <w:rPr>
                <w:rFonts w:hint="eastAsia" w:ascii="仿宋" w:hAnsi="仿宋" w:eastAsia="仿宋" w:cs="仿宋"/>
                <w:color w:val="auto"/>
                <w:sz w:val="24"/>
                <w:highlight w:val="none"/>
              </w:rPr>
              <w:t>规定，用扣除后的价格参与评审。扣除比例为：小型、微型企业均扣除10%，监狱企业、残疾人福利性单位视同小型、微型企业，享受价格扣除。</w:t>
            </w:r>
          </w:p>
        </w:tc>
      </w:tr>
      <w:tr w14:paraId="69B87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2D96882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w:t>
            </w:r>
          </w:p>
        </w:tc>
        <w:tc>
          <w:tcPr>
            <w:tcW w:w="855" w:type="dxa"/>
            <w:vMerge w:val="restart"/>
            <w:vAlign w:val="center"/>
          </w:tcPr>
          <w:p w14:paraId="41BA843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投标人信用信息事项</w:t>
            </w:r>
          </w:p>
        </w:tc>
        <w:tc>
          <w:tcPr>
            <w:tcW w:w="7515" w:type="dxa"/>
            <w:vAlign w:val="center"/>
          </w:tcPr>
          <w:p w14:paraId="1ECB9EE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信用信息查询渠道及截止时间：</w:t>
            </w:r>
            <w:r>
              <w:rPr>
                <w:rFonts w:hint="eastAsia" w:ascii="仿宋" w:hAnsi="仿宋" w:eastAsia="仿宋" w:cs="仿宋"/>
                <w:color w:val="auto"/>
                <w:sz w:val="24"/>
                <w:highlight w:val="none"/>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highlight w:val="none"/>
              </w:rPr>
              <w:t>开标当天</w:t>
            </w:r>
            <w:r>
              <w:rPr>
                <w:rFonts w:hint="eastAsia" w:ascii="仿宋" w:hAnsi="仿宋" w:eastAsia="仿宋" w:cs="仿宋"/>
                <w:color w:val="auto"/>
                <w:sz w:val="24"/>
                <w:highlight w:val="none"/>
              </w:rPr>
              <w:t>的信用记录。</w:t>
            </w:r>
          </w:p>
        </w:tc>
      </w:tr>
      <w:tr w14:paraId="4B3BA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7CCC8C6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p>
        </w:tc>
        <w:tc>
          <w:tcPr>
            <w:tcW w:w="855" w:type="dxa"/>
            <w:vMerge w:val="continue"/>
            <w:vAlign w:val="center"/>
          </w:tcPr>
          <w:p w14:paraId="38AAC72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p>
        </w:tc>
        <w:tc>
          <w:tcPr>
            <w:tcW w:w="7515" w:type="dxa"/>
            <w:vAlign w:val="center"/>
          </w:tcPr>
          <w:p w14:paraId="4E04D62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信用信息查询记录和证据留存的具体方式：</w:t>
            </w:r>
            <w:r>
              <w:rPr>
                <w:rFonts w:hint="eastAsia" w:ascii="仿宋" w:hAnsi="仿宋" w:eastAsia="仿宋" w:cs="仿宋"/>
                <w:color w:val="auto"/>
                <w:sz w:val="24"/>
                <w:highlight w:val="none"/>
              </w:rPr>
              <w:t>采购人或采购人委托的评审小组或采购代理机构现场查询投标人的信用记录，查询结果经确认后与采购文件一起存档。</w:t>
            </w:r>
          </w:p>
        </w:tc>
      </w:tr>
      <w:tr w14:paraId="0AE89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4B9E40DF">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rPr>
            </w:pPr>
          </w:p>
        </w:tc>
        <w:tc>
          <w:tcPr>
            <w:tcW w:w="855" w:type="dxa"/>
            <w:vMerge w:val="continue"/>
            <w:vAlign w:val="center"/>
          </w:tcPr>
          <w:p w14:paraId="2183FAD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p>
        </w:tc>
        <w:tc>
          <w:tcPr>
            <w:tcW w:w="7515" w:type="dxa"/>
            <w:vAlign w:val="center"/>
          </w:tcPr>
          <w:p w14:paraId="69CF9AC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信用信息的使用规则：</w:t>
            </w:r>
            <w:r>
              <w:rPr>
                <w:rFonts w:hint="eastAsia" w:ascii="仿宋" w:hAnsi="仿宋" w:eastAsia="仿宋" w:cs="仿宋"/>
                <w:color w:val="auto"/>
                <w:sz w:val="24"/>
                <w:highlight w:val="none"/>
              </w:rPr>
              <w:t>经查询列入失信被执行人名单、重大税收违法案件当事人名单、政府采购严重违法失信行为记录名单的投标人将被拒绝参与政府采购活动。</w:t>
            </w:r>
          </w:p>
          <w:p w14:paraId="0E1532A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4B76E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755EFFD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w:t>
            </w:r>
          </w:p>
        </w:tc>
        <w:tc>
          <w:tcPr>
            <w:tcW w:w="8370" w:type="dxa"/>
            <w:gridSpan w:val="2"/>
            <w:vAlign w:val="center"/>
          </w:tcPr>
          <w:p w14:paraId="14ABB714">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需要落实的政府采购政策：包括保护环境、节约能源、促进中小企业发展等。详见招标文件第二部分总则。</w:t>
            </w:r>
          </w:p>
        </w:tc>
      </w:tr>
      <w:tr w14:paraId="65EC8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0837C81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w:t>
            </w:r>
          </w:p>
        </w:tc>
        <w:tc>
          <w:tcPr>
            <w:tcW w:w="8370" w:type="dxa"/>
            <w:gridSpan w:val="2"/>
            <w:vAlign w:val="center"/>
          </w:tcPr>
          <w:p w14:paraId="3A1EB137">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更正补充公告请自行登录浙江政府采购网查看下载。</w:t>
            </w:r>
          </w:p>
        </w:tc>
      </w:tr>
      <w:tr w14:paraId="2765F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229A84B9">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17                                                                                                                                                                                                                                                                                                                                                                                                                                                                                                                                                                                                                                                                                                                                                                                                                                                                                                                                                                                                                                                                                                                                                                                                                                                                                                                                        </w:t>
            </w:r>
          </w:p>
        </w:tc>
        <w:tc>
          <w:tcPr>
            <w:tcW w:w="8370" w:type="dxa"/>
            <w:gridSpan w:val="2"/>
            <w:vAlign w:val="center"/>
          </w:tcPr>
          <w:p w14:paraId="3169DCF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投标与开标注意事项：</w:t>
            </w:r>
          </w:p>
          <w:p w14:paraId="4EEEE3B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1.本项目实行网上投标，采用电子投标文件。若供应商参与投标，自行承担投标一切费用。</w:t>
            </w:r>
          </w:p>
          <w:p w14:paraId="423BE34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46CBEAE3">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注：供应商CA相关操作可参考政采云平台</w:t>
            </w:r>
            <w:r>
              <w:rPr>
                <w:rFonts w:hint="eastAsia" w:ascii="仿宋" w:hAnsi="仿宋" w:eastAsia="仿宋" w:cs="仿宋"/>
                <w:color w:val="auto"/>
                <w:highlight w:val="none"/>
              </w:rPr>
              <w:t>https://www.zcygov.cn/</w:t>
            </w:r>
            <w:r>
              <w:rPr>
                <w:rFonts w:hint="eastAsia" w:ascii="仿宋" w:hAnsi="仿宋" w:eastAsia="仿宋" w:cs="仿宋"/>
                <w:color w:val="auto"/>
                <w:sz w:val="24"/>
                <w:highlight w:val="none"/>
              </w:rPr>
              <w:t>《CA申领操作指南》和《CA管理操作指南》。完成CA数字证书办理在资料齐全的情况下预计7个工作日左右，建议供应商获取招标文件后立即办理。</w:t>
            </w:r>
          </w:p>
          <w:p w14:paraId="18354B7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3.投标文件制作、递交、解密：</w:t>
            </w:r>
          </w:p>
          <w:p w14:paraId="449A2B1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3.1应按照本项目招标文件和政采云平台的要求编制、加密传输投标文件。供应商在使用系统进行投标的过程中遇到涉及平台使用的任何问题，可致电政采云平台技术支持热线咨询，联系方式：95763。</w:t>
            </w:r>
          </w:p>
          <w:p w14:paraId="7F9A2DA9">
            <w:pPr>
              <w:keepNext w:val="0"/>
              <w:keepLines w:val="0"/>
              <w:pageBreakBefore w:val="0"/>
              <w:widowControl w:val="0"/>
              <w:kinsoku/>
              <w:wordWrap/>
              <w:overflowPunct/>
              <w:topLinePunct w:val="0"/>
              <w:bidi w:val="0"/>
              <w:adjustRightInd w:val="0"/>
              <w:snapToGrid w:val="0"/>
              <w:spacing w:line="440" w:lineRule="exact"/>
              <w:ind w:left="0" w:leftChars="0" w:right="0" w:right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3.2投标人通过“政采云”平台制作电子投标文件，投标文件制作详见“供应商-政府采购项目电子交易操作指南。</w:t>
            </w:r>
          </w:p>
          <w:p w14:paraId="61209F1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3.3开标时间后30分钟内供应商可以登录“政采云”平台，用“项目采购-开标评标”功能进行解密投标文件。若供应商</w:t>
            </w:r>
            <w:r>
              <w:rPr>
                <w:rFonts w:hint="eastAsia" w:ascii="仿宋" w:hAnsi="仿宋" w:eastAsia="仿宋" w:cs="仿宋"/>
                <w:b/>
                <w:color w:val="auto"/>
                <w:sz w:val="24"/>
                <w:highlight w:val="none"/>
                <w:u w:val="single"/>
              </w:rPr>
              <w:t>未按时解密的</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u w:val="single"/>
              </w:rPr>
              <w:t>视为投标文件撤回</w:t>
            </w:r>
            <w:r>
              <w:rPr>
                <w:rFonts w:hint="eastAsia" w:ascii="仿宋" w:hAnsi="仿宋" w:eastAsia="仿宋" w:cs="仿宋"/>
                <w:color w:val="auto"/>
                <w:sz w:val="24"/>
                <w:highlight w:val="none"/>
              </w:rPr>
              <w:t>。</w:t>
            </w:r>
          </w:p>
        </w:tc>
      </w:tr>
      <w:tr w14:paraId="79EB5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7D8A0AF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18</w:t>
            </w:r>
          </w:p>
        </w:tc>
        <w:tc>
          <w:tcPr>
            <w:tcW w:w="8370" w:type="dxa"/>
            <w:gridSpan w:val="2"/>
            <w:vAlign w:val="center"/>
          </w:tcPr>
          <w:p w14:paraId="53AD0B2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p w14:paraId="2C7DDDA0">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highlight w:val="none"/>
              </w:rPr>
              <w:t>。</w:t>
            </w:r>
          </w:p>
        </w:tc>
      </w:tr>
      <w:tr w14:paraId="62107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38040DD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val="en-US" w:eastAsia="zh-CN"/>
              </w:rPr>
            </w:pPr>
          </w:p>
        </w:tc>
        <w:tc>
          <w:tcPr>
            <w:tcW w:w="8370" w:type="dxa"/>
            <w:gridSpan w:val="2"/>
            <w:vAlign w:val="center"/>
          </w:tcPr>
          <w:p w14:paraId="7C1FBB6A">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highlight w:val="none"/>
              </w:rPr>
            </w:pPr>
            <w:r>
              <w:rPr>
                <w:rFonts w:hint="eastAsia" w:ascii="仿宋" w:hAnsi="仿宋" w:eastAsia="仿宋" w:cs="仿宋"/>
                <w:color w:val="auto"/>
                <w:kern w:val="0"/>
                <w:sz w:val="24"/>
                <w:highlight w:val="none"/>
              </w:rPr>
              <w:t>☐</w:t>
            </w:r>
            <w:r>
              <w:rPr>
                <w:rFonts w:hint="eastAsia" w:ascii="仿宋" w:hAnsi="仿宋" w:eastAsia="仿宋" w:cs="仿宋"/>
                <w:snapToGrid w:val="0"/>
                <w:color w:val="auto"/>
                <w:kern w:val="28"/>
                <w:sz w:val="24"/>
                <w:highlight w:val="none"/>
              </w:rPr>
              <w:t>联合体投标的，联合体各方均需按招标文件第</w:t>
            </w:r>
            <w:r>
              <w:rPr>
                <w:rFonts w:hint="eastAsia" w:ascii="仿宋" w:hAnsi="仿宋" w:eastAsia="仿宋" w:cs="仿宋"/>
                <w:snapToGrid w:val="0"/>
                <w:color w:val="auto"/>
                <w:kern w:val="28"/>
                <w:sz w:val="24"/>
                <w:highlight w:val="none"/>
                <w:lang w:val="en-US" w:eastAsia="zh-CN"/>
              </w:rPr>
              <w:t>四</w:t>
            </w:r>
            <w:r>
              <w:rPr>
                <w:rFonts w:hint="eastAsia" w:ascii="仿宋" w:hAnsi="仿宋" w:eastAsia="仿宋" w:cs="仿宋"/>
                <w:snapToGrid w:val="0"/>
                <w:color w:val="auto"/>
                <w:kern w:val="28"/>
                <w:sz w:val="24"/>
                <w:highlight w:val="none"/>
              </w:rPr>
              <w:t>部分评标标准要求提供资信证明文件，否则视为不符合相关要求。</w:t>
            </w:r>
          </w:p>
          <w:p w14:paraId="2E81A15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snapToGrid w:val="0"/>
                <w:color w:val="auto"/>
                <w:kern w:val="28"/>
                <w:sz w:val="24"/>
                <w:highlight w:val="none"/>
              </w:rPr>
              <w:t>联合体投标的，联合体中有一方或者联合体成员根据分工按招标文件第</w:t>
            </w:r>
            <w:r>
              <w:rPr>
                <w:rFonts w:hint="eastAsia" w:ascii="仿宋" w:hAnsi="仿宋" w:eastAsia="仿宋" w:cs="仿宋"/>
                <w:snapToGrid w:val="0"/>
                <w:color w:val="auto"/>
                <w:kern w:val="28"/>
                <w:sz w:val="24"/>
                <w:highlight w:val="none"/>
                <w:lang w:val="en-US" w:eastAsia="zh-CN"/>
              </w:rPr>
              <w:t>四</w:t>
            </w:r>
            <w:r>
              <w:rPr>
                <w:rFonts w:hint="eastAsia" w:ascii="仿宋" w:hAnsi="仿宋" w:eastAsia="仿宋" w:cs="仿宋"/>
                <w:snapToGrid w:val="0"/>
                <w:color w:val="auto"/>
                <w:kern w:val="28"/>
                <w:sz w:val="24"/>
                <w:highlight w:val="none"/>
              </w:rPr>
              <w:t>部分评标标准要求提供资信证明文件的，视为符合了相关要求。</w:t>
            </w:r>
          </w:p>
        </w:tc>
      </w:tr>
      <w:tr w14:paraId="78C52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70" w:type="dxa"/>
            <w:vAlign w:val="center"/>
          </w:tcPr>
          <w:p w14:paraId="5AE740B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19</w:t>
            </w:r>
          </w:p>
        </w:tc>
        <w:tc>
          <w:tcPr>
            <w:tcW w:w="8370" w:type="dxa"/>
            <w:gridSpan w:val="2"/>
            <w:vAlign w:val="center"/>
          </w:tcPr>
          <w:p w14:paraId="1EED33D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highlight w:val="none"/>
              </w:rPr>
            </w:pPr>
            <w:r>
              <w:rPr>
                <w:rFonts w:hint="eastAsia" w:ascii="仿宋" w:hAnsi="仿宋" w:eastAsia="仿宋" w:cs="仿宋"/>
                <w:b/>
                <w:bCs/>
                <w:snapToGrid w:val="0"/>
                <w:color w:val="auto"/>
                <w:kern w:val="28"/>
                <w:sz w:val="24"/>
                <w:highlight w:val="none"/>
              </w:rPr>
              <w:t>采购代理服务费：</w:t>
            </w:r>
          </w:p>
          <w:p w14:paraId="20ECF18D">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中标单位须向招标代理机构按如下标准和规定交纳中标服务费，请在投标报价中自行考虑：</w:t>
            </w:r>
          </w:p>
          <w:p w14:paraId="6286ED2D">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①本项目代理服务费</w:t>
            </w:r>
            <w:r>
              <w:rPr>
                <w:rFonts w:hint="eastAsia" w:ascii="仿宋" w:hAnsi="仿宋" w:eastAsia="仿宋" w:cs="仿宋"/>
                <w:snapToGrid w:val="0"/>
                <w:color w:val="auto"/>
                <w:kern w:val="28"/>
                <w:sz w:val="24"/>
                <w:highlight w:val="none"/>
                <w:lang w:val="en-US" w:eastAsia="zh-CN"/>
              </w:rPr>
              <w:t>按照以下标准收取（招标代理费按差额定率累进法计算）共计     元，</w:t>
            </w:r>
            <w:r>
              <w:rPr>
                <w:rFonts w:hint="eastAsia" w:ascii="仿宋" w:hAnsi="仿宋" w:eastAsia="仿宋" w:cs="仿宋"/>
                <w:snapToGrid w:val="0"/>
                <w:color w:val="auto"/>
                <w:kern w:val="28"/>
                <w:sz w:val="24"/>
                <w:highlight w:val="none"/>
              </w:rPr>
              <w:t>在领取中标通知书前由</w:t>
            </w:r>
            <w:r>
              <w:rPr>
                <w:rFonts w:hint="eastAsia" w:ascii="仿宋" w:hAnsi="仿宋" w:eastAsia="仿宋" w:cs="仿宋"/>
                <w:snapToGrid w:val="0"/>
                <w:color w:val="auto"/>
                <w:kern w:val="28"/>
                <w:sz w:val="24"/>
                <w:highlight w:val="none"/>
                <w:lang w:val="en-US" w:eastAsia="zh-CN"/>
              </w:rPr>
              <w:t>中标单位</w:t>
            </w:r>
            <w:r>
              <w:rPr>
                <w:rFonts w:hint="eastAsia" w:ascii="仿宋" w:hAnsi="仿宋" w:eastAsia="仿宋" w:cs="仿宋"/>
                <w:snapToGrid w:val="0"/>
                <w:color w:val="auto"/>
                <w:kern w:val="28"/>
                <w:sz w:val="24"/>
                <w:highlight w:val="none"/>
              </w:rPr>
              <w:t>一次性向采购代理机构付清</w:t>
            </w:r>
            <w:r>
              <w:rPr>
                <w:rFonts w:hint="eastAsia" w:ascii="仿宋" w:hAnsi="仿宋" w:eastAsia="仿宋" w:cs="仿宋"/>
                <w:snapToGrid w:val="0"/>
                <w:color w:val="auto"/>
                <w:kern w:val="28"/>
                <w:sz w:val="24"/>
                <w:highlight w:val="none"/>
                <w:lang w:eastAsia="zh-CN"/>
              </w:rPr>
              <w:t>。</w:t>
            </w:r>
          </w:p>
          <w:tbl>
            <w:tblPr>
              <w:tblStyle w:val="62"/>
              <w:tblW w:w="549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879"/>
              <w:gridCol w:w="2611"/>
            </w:tblGrid>
            <w:tr w14:paraId="75D77A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2879" w:type="dxa"/>
                  <w:tcBorders>
                    <w:top w:val="single" w:color="000000" w:sz="4" w:space="0"/>
                    <w:left w:val="single" w:color="000000" w:sz="4" w:space="0"/>
                    <w:bottom w:val="single" w:color="000000" w:sz="4" w:space="0"/>
                    <w:right w:val="single" w:color="000000" w:sz="4" w:space="0"/>
                    <w:tl2br w:val="single" w:color="000000" w:sz="4" w:space="0"/>
                  </w:tcBorders>
                  <w:noWrap w:val="0"/>
                  <w:vAlign w:val="center"/>
                </w:tcPr>
                <w:p w14:paraId="47282A97">
                  <w:pPr>
                    <w:keepNext w:val="0"/>
                    <w:keepLines w:val="0"/>
                    <w:widowControl/>
                    <w:suppressLineNumbers w:val="0"/>
                    <w:spacing w:line="440" w:lineRule="exact"/>
                    <w:jc w:val="left"/>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 xml:space="preserve">         服务类型</w:t>
                  </w:r>
                </w:p>
                <w:p w14:paraId="7DE49633">
                  <w:pPr>
                    <w:keepNext w:val="0"/>
                    <w:keepLines w:val="0"/>
                    <w:widowControl/>
                    <w:suppressLineNumbers w:val="0"/>
                    <w:spacing w:line="440" w:lineRule="exact"/>
                    <w:jc w:val="left"/>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 xml:space="preserve">金额（万元）        </w:t>
                  </w:r>
                </w:p>
              </w:tc>
              <w:tc>
                <w:tcPr>
                  <w:tcW w:w="2611" w:type="dxa"/>
                  <w:tcBorders>
                    <w:top w:val="single" w:color="000000" w:sz="4" w:space="0"/>
                    <w:left w:val="single" w:color="000000" w:sz="4" w:space="0"/>
                    <w:bottom w:val="single" w:color="000000" w:sz="4" w:space="0"/>
                    <w:right w:val="single" w:color="000000" w:sz="4" w:space="0"/>
                  </w:tcBorders>
                  <w:noWrap/>
                  <w:vAlign w:val="center"/>
                </w:tcPr>
                <w:p w14:paraId="73ED5BCF">
                  <w:pPr>
                    <w:keepNext w:val="0"/>
                    <w:keepLines w:val="0"/>
                    <w:widowControl/>
                    <w:suppressLineNumbers w:val="0"/>
                    <w:spacing w:line="440" w:lineRule="exact"/>
                    <w:ind w:firstLine="0" w:firstLineChars="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服务招标</w:t>
                  </w:r>
                </w:p>
              </w:tc>
            </w:tr>
            <w:tr w14:paraId="7CD687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879" w:type="dxa"/>
                  <w:tcBorders>
                    <w:top w:val="single" w:color="000000" w:sz="4" w:space="0"/>
                    <w:left w:val="single" w:color="000000" w:sz="4" w:space="0"/>
                    <w:bottom w:val="single" w:color="000000" w:sz="4" w:space="0"/>
                    <w:right w:val="single" w:color="000000" w:sz="4" w:space="0"/>
                  </w:tcBorders>
                  <w:noWrap/>
                  <w:vAlign w:val="center"/>
                </w:tcPr>
                <w:p w14:paraId="15831C5C">
                  <w:pPr>
                    <w:keepNext w:val="0"/>
                    <w:keepLines w:val="0"/>
                    <w:widowControl/>
                    <w:suppressLineNumbers w:val="0"/>
                    <w:spacing w:line="440" w:lineRule="exact"/>
                    <w:ind w:firstLine="0" w:firstLineChars="0"/>
                    <w:jc w:val="both"/>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100以下</w:t>
                  </w:r>
                </w:p>
              </w:tc>
              <w:tc>
                <w:tcPr>
                  <w:tcW w:w="2611" w:type="dxa"/>
                  <w:tcBorders>
                    <w:top w:val="single" w:color="000000" w:sz="4" w:space="0"/>
                    <w:left w:val="single" w:color="000000" w:sz="4" w:space="0"/>
                    <w:bottom w:val="single" w:color="000000" w:sz="4" w:space="0"/>
                    <w:right w:val="single" w:color="000000" w:sz="4" w:space="0"/>
                  </w:tcBorders>
                  <w:noWrap/>
                  <w:vAlign w:val="center"/>
                </w:tcPr>
                <w:p w14:paraId="1856FC51">
                  <w:pPr>
                    <w:keepNext w:val="0"/>
                    <w:keepLines w:val="0"/>
                    <w:widowControl/>
                    <w:suppressLineNumbers w:val="0"/>
                    <w:spacing w:line="440" w:lineRule="exact"/>
                    <w:ind w:firstLine="0" w:firstLineChars="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1.5%</w:t>
                  </w:r>
                </w:p>
              </w:tc>
            </w:tr>
            <w:tr w14:paraId="57FB56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879" w:type="dxa"/>
                  <w:tcBorders>
                    <w:top w:val="single" w:color="000000" w:sz="4" w:space="0"/>
                    <w:left w:val="single" w:color="000000" w:sz="4" w:space="0"/>
                    <w:bottom w:val="single" w:color="000000" w:sz="4" w:space="0"/>
                    <w:right w:val="single" w:color="000000" w:sz="4" w:space="0"/>
                  </w:tcBorders>
                  <w:noWrap/>
                  <w:vAlign w:val="center"/>
                </w:tcPr>
                <w:p w14:paraId="0F1C2D98">
                  <w:pPr>
                    <w:keepNext w:val="0"/>
                    <w:keepLines w:val="0"/>
                    <w:widowControl/>
                    <w:suppressLineNumbers w:val="0"/>
                    <w:spacing w:line="440" w:lineRule="exact"/>
                    <w:ind w:firstLine="0" w:firstLineChars="0"/>
                    <w:jc w:val="both"/>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100-500</w:t>
                  </w:r>
                </w:p>
              </w:tc>
              <w:tc>
                <w:tcPr>
                  <w:tcW w:w="2611" w:type="dxa"/>
                  <w:tcBorders>
                    <w:top w:val="single" w:color="000000" w:sz="4" w:space="0"/>
                    <w:left w:val="single" w:color="000000" w:sz="4" w:space="0"/>
                    <w:bottom w:val="single" w:color="000000" w:sz="4" w:space="0"/>
                    <w:right w:val="single" w:color="000000" w:sz="4" w:space="0"/>
                  </w:tcBorders>
                  <w:noWrap/>
                  <w:vAlign w:val="center"/>
                </w:tcPr>
                <w:p w14:paraId="7BA8447E">
                  <w:pPr>
                    <w:keepNext w:val="0"/>
                    <w:keepLines w:val="0"/>
                    <w:widowControl/>
                    <w:suppressLineNumbers w:val="0"/>
                    <w:spacing w:line="440" w:lineRule="exact"/>
                    <w:ind w:firstLine="0" w:firstLineChars="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0.8%</w:t>
                  </w:r>
                </w:p>
              </w:tc>
            </w:tr>
          </w:tbl>
          <w:p w14:paraId="1F166C4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②用银行支票、电汇、现金等付款方式直接交纳代理服务费。</w:t>
            </w:r>
          </w:p>
          <w:p w14:paraId="029B1E8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highlight w:val="none"/>
                <w:lang w:eastAsia="zh-CN"/>
              </w:rPr>
            </w:pPr>
            <w:r>
              <w:rPr>
                <w:rFonts w:hint="eastAsia" w:ascii="仿宋" w:hAnsi="仿宋" w:eastAsia="仿宋" w:cs="仿宋"/>
                <w:snapToGrid w:val="0"/>
                <w:color w:val="auto"/>
                <w:kern w:val="28"/>
                <w:sz w:val="24"/>
                <w:highlight w:val="none"/>
              </w:rPr>
              <w:t xml:space="preserve">公司名称: </w:t>
            </w:r>
            <w:r>
              <w:rPr>
                <w:rFonts w:hint="eastAsia" w:ascii="仿宋" w:hAnsi="仿宋" w:eastAsia="仿宋" w:cs="仿宋"/>
                <w:color w:val="auto"/>
                <w:sz w:val="24"/>
                <w:highlight w:val="none"/>
                <w:lang w:eastAsia="zh-CN"/>
              </w:rPr>
              <w:t>绍兴平准招标代理有限公司</w:t>
            </w:r>
          </w:p>
          <w:p w14:paraId="2E9C59F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highlight w:val="none"/>
                <w:lang w:eastAsia="zh-CN"/>
              </w:rPr>
            </w:pPr>
            <w:r>
              <w:rPr>
                <w:rFonts w:hint="eastAsia" w:ascii="仿宋" w:hAnsi="仿宋" w:eastAsia="仿宋" w:cs="仿宋"/>
                <w:snapToGrid w:val="0"/>
                <w:color w:val="auto"/>
                <w:kern w:val="28"/>
                <w:sz w:val="24"/>
                <w:highlight w:val="none"/>
              </w:rPr>
              <w:t>开户银行：</w:t>
            </w:r>
            <w:r>
              <w:rPr>
                <w:rFonts w:hint="eastAsia" w:ascii="仿宋" w:hAnsi="仿宋" w:eastAsia="仿宋" w:cs="仿宋"/>
                <w:snapToGrid w:val="0"/>
                <w:color w:val="auto"/>
                <w:kern w:val="28"/>
                <w:sz w:val="24"/>
                <w:highlight w:val="none"/>
                <w:lang w:eastAsia="zh-CN"/>
              </w:rPr>
              <w:t>建设银行嵊州新城支行</w:t>
            </w:r>
          </w:p>
          <w:p w14:paraId="3DBEF3DA">
            <w:pPr>
              <w:spacing w:line="336" w:lineRule="auto"/>
              <w:rPr>
                <w:rFonts w:hint="eastAsia" w:ascii="仿宋" w:hAnsi="仿宋" w:eastAsia="仿宋" w:cs="仿宋"/>
                <w:color w:val="auto"/>
                <w:kern w:val="2"/>
                <w:sz w:val="21"/>
                <w:szCs w:val="24"/>
                <w:highlight w:val="none"/>
                <w:lang w:val="en-US" w:eastAsia="zh-CN" w:bidi="ar-SA"/>
              </w:rPr>
            </w:pPr>
            <w:r>
              <w:rPr>
                <w:rFonts w:hint="eastAsia" w:ascii="仿宋" w:hAnsi="仿宋" w:eastAsia="仿宋" w:cs="仿宋"/>
                <w:snapToGrid w:val="0"/>
                <w:color w:val="auto"/>
                <w:kern w:val="28"/>
                <w:sz w:val="24"/>
                <w:highlight w:val="none"/>
              </w:rPr>
              <w:t>银行账号：</w:t>
            </w:r>
            <w:r>
              <w:rPr>
                <w:rFonts w:hint="eastAsia" w:ascii="仿宋" w:hAnsi="仿宋" w:eastAsia="仿宋" w:cs="仿宋"/>
                <w:snapToGrid w:val="0"/>
                <w:color w:val="auto"/>
                <w:kern w:val="28"/>
                <w:sz w:val="24"/>
                <w:highlight w:val="none"/>
                <w:lang w:eastAsia="zh-CN"/>
              </w:rPr>
              <w:t>33050165655009888888</w:t>
            </w:r>
          </w:p>
        </w:tc>
      </w:tr>
      <w:tr w14:paraId="3CEC9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3C39E7A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20</w:t>
            </w:r>
          </w:p>
        </w:tc>
        <w:tc>
          <w:tcPr>
            <w:tcW w:w="8370" w:type="dxa"/>
            <w:gridSpan w:val="2"/>
            <w:vAlign w:val="center"/>
          </w:tcPr>
          <w:p w14:paraId="272A428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u w:val="single"/>
              </w:rPr>
            </w:pPr>
            <w:r>
              <w:rPr>
                <w:rFonts w:hint="eastAsia" w:ascii="仿宋" w:hAnsi="仿宋" w:eastAsia="仿宋" w:cs="仿宋"/>
                <w:b w:val="0"/>
                <w:bCs w:val="0"/>
                <w:color w:val="auto"/>
                <w:sz w:val="24"/>
                <w:highlight w:val="none"/>
              </w:rPr>
              <w:t>推荐中标</w:t>
            </w:r>
            <w:r>
              <w:rPr>
                <w:rFonts w:hint="eastAsia" w:ascii="仿宋" w:hAnsi="仿宋" w:eastAsia="仿宋" w:cs="仿宋"/>
                <w:b w:val="0"/>
                <w:bCs w:val="0"/>
                <w:snapToGrid w:val="0"/>
                <w:color w:val="auto"/>
                <w:kern w:val="28"/>
                <w:sz w:val="24"/>
                <w:highlight w:val="none"/>
              </w:rPr>
              <w:t>候选人</w:t>
            </w:r>
            <w:r>
              <w:rPr>
                <w:rFonts w:hint="eastAsia" w:ascii="仿宋" w:hAnsi="仿宋" w:eastAsia="仿宋" w:cs="仿宋"/>
                <w:b w:val="0"/>
                <w:bCs w:val="0"/>
                <w:color w:val="auto"/>
                <w:sz w:val="24"/>
                <w:highlight w:val="none"/>
              </w:rPr>
              <w:t>数量</w:t>
            </w:r>
            <w:r>
              <w:rPr>
                <w:rFonts w:hint="eastAsia" w:ascii="仿宋" w:hAnsi="仿宋" w:eastAsia="仿宋" w:cs="仿宋"/>
                <w:b/>
                <w:bCs/>
                <w:color w:val="auto"/>
                <w:sz w:val="24"/>
                <w:highlight w:val="none"/>
                <w:lang w:eastAsia="zh-CN"/>
              </w:rPr>
              <w:t>：</w:t>
            </w:r>
            <w:r>
              <w:rPr>
                <w:rFonts w:hint="eastAsia" w:ascii="仿宋" w:hAnsi="仿宋" w:eastAsia="仿宋" w:cs="仿宋"/>
                <w:b w:val="0"/>
                <w:bCs w:val="0"/>
                <w:color w:val="auto"/>
                <w:sz w:val="24"/>
                <w:highlight w:val="none"/>
                <w:lang w:eastAsia="zh-CN"/>
              </w:rPr>
              <w:t>1名。</w:t>
            </w:r>
          </w:p>
        </w:tc>
      </w:tr>
      <w:tr w14:paraId="5304E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691066A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w:t>
            </w:r>
          </w:p>
        </w:tc>
        <w:tc>
          <w:tcPr>
            <w:tcW w:w="8370" w:type="dxa"/>
            <w:gridSpan w:val="2"/>
            <w:vAlign w:val="center"/>
          </w:tcPr>
          <w:p w14:paraId="5C23CDD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val="0"/>
                <w:bCs w:val="0"/>
                <w:color w:val="auto"/>
                <w:sz w:val="24"/>
                <w:highlight w:val="none"/>
              </w:rPr>
            </w:pPr>
            <w:r>
              <w:rPr>
                <w:rFonts w:hint="eastAsia" w:ascii="仿宋" w:hAnsi="仿宋" w:eastAsia="仿宋" w:cs="仿宋"/>
                <w:b/>
                <w:bCs/>
                <w:color w:val="auto"/>
                <w:sz w:val="24"/>
                <w:highlight w:val="none"/>
              </w:rPr>
              <w:t>在领取中标通知书时中标</w:t>
            </w:r>
            <w:r>
              <w:rPr>
                <w:rFonts w:hint="eastAsia" w:ascii="仿宋" w:hAnsi="仿宋" w:eastAsia="仿宋" w:cs="仿宋"/>
                <w:b/>
                <w:bCs/>
                <w:color w:val="auto"/>
                <w:sz w:val="24"/>
                <w:highlight w:val="none"/>
                <w:lang w:val="en-US" w:eastAsia="zh-CN"/>
              </w:rPr>
              <w:t>单位</w:t>
            </w:r>
            <w:r>
              <w:rPr>
                <w:rFonts w:hint="eastAsia" w:ascii="仿宋" w:hAnsi="仿宋" w:eastAsia="仿宋" w:cs="仿宋"/>
                <w:b/>
                <w:bCs/>
                <w:color w:val="auto"/>
                <w:sz w:val="24"/>
                <w:highlight w:val="none"/>
              </w:rPr>
              <w:t>需根据采购人要求提供纸质投标文件（与电子投标文件一致）至少三份，递交至代理机构，如与电子投标文件不符将影响中标供应商领取中标通知书。</w:t>
            </w:r>
          </w:p>
        </w:tc>
      </w:tr>
      <w:tr w14:paraId="5EB81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9240" w:type="dxa"/>
            <w:gridSpan w:val="3"/>
            <w:vAlign w:val="center"/>
          </w:tcPr>
          <w:p w14:paraId="64D2C21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解释：凡涉及本招标文件的解释权属于采购人。</w:t>
            </w:r>
          </w:p>
        </w:tc>
      </w:tr>
      <w:tr w14:paraId="414FE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1ACCE3FA">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注：中标人放弃中标资格或因质疑、投诉被取消中标资格或不能履行合同的，本项目重新组织采购。</w:t>
            </w:r>
          </w:p>
        </w:tc>
      </w:tr>
      <w:bookmarkEnd w:id="4"/>
    </w:tbl>
    <w:p w14:paraId="058C7A47">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outlineLvl w:val="0"/>
        <w:rPr>
          <w:rFonts w:hint="eastAsia" w:ascii="仿宋" w:hAnsi="仿宋" w:eastAsia="仿宋" w:cs="仿宋"/>
          <w:b/>
          <w:color w:val="auto"/>
          <w:sz w:val="32"/>
          <w:szCs w:val="32"/>
          <w:highlight w:val="none"/>
        </w:rPr>
      </w:pPr>
      <w:bookmarkStart w:id="52" w:name="_Toc164416483"/>
      <w:bookmarkStart w:id="53" w:name="第三部分"/>
    </w:p>
    <w:p w14:paraId="43C6DCAC">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highlight w:val="none"/>
        </w:rPr>
        <w:sectPr>
          <w:footerReference r:id="rId7" w:type="default"/>
          <w:pgSz w:w="11906" w:h="16838"/>
          <w:pgMar w:top="1474" w:right="1814" w:bottom="1474" w:left="1814" w:header="851" w:footer="992" w:gutter="0"/>
          <w:pgNumType w:fmt="decimal" w:start="1"/>
          <w:cols w:space="720" w:num="1"/>
          <w:docGrid w:linePitch="312" w:charSpace="0"/>
        </w:sectPr>
      </w:pPr>
    </w:p>
    <w:p w14:paraId="5EB9910E">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一、总则</w:t>
      </w:r>
    </w:p>
    <w:p w14:paraId="3A50E782">
      <w:pPr>
        <w:keepNext w:val="0"/>
        <w:keepLines w:val="0"/>
        <w:pageBreakBefore w:val="0"/>
        <w:kinsoku/>
        <w:wordWrap/>
        <w:overflowPunct/>
        <w:topLinePunct w:val="0"/>
        <w:autoSpaceDE/>
        <w:autoSpaceDN/>
        <w:bidi w:val="0"/>
        <w:snapToGrid w:val="0"/>
        <w:spacing w:beforeAutospacing="0" w:line="440" w:lineRule="exact"/>
        <w:ind w:left="0" w:leftChars="0" w:firstLine="482" w:firstLineChars="200"/>
        <w:jc w:val="left"/>
        <w:textAlignment w:val="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1.适用范围</w:t>
      </w:r>
    </w:p>
    <w:p w14:paraId="4B6825E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0522F43D">
      <w:pPr>
        <w:keepNext w:val="0"/>
        <w:keepLines w:val="0"/>
        <w:pageBreakBefore w:val="0"/>
        <w:kinsoku/>
        <w:wordWrap/>
        <w:overflowPunct/>
        <w:topLinePunct w:val="0"/>
        <w:autoSpaceDE/>
        <w:autoSpaceDN/>
        <w:bidi w:val="0"/>
        <w:adjustRightInd/>
        <w:spacing w:beforeAutospacing="0" w:line="440" w:lineRule="exact"/>
        <w:ind w:left="0" w:lef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43000A6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5ADCBF0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”系指招标公告中载明的本项目的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3B0EEA7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“投标人”“供应商”系指是指响应招标、参加投标竞争的法人、其他组织或者自然人。</w:t>
      </w:r>
    </w:p>
    <w:p w14:paraId="6C4285F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“监督单位”系指政府采购法定义监督管理部门</w:t>
      </w:r>
      <w:r>
        <w:rPr>
          <w:rFonts w:hint="eastAsia" w:ascii="仿宋" w:hAnsi="仿宋" w:eastAsia="仿宋" w:cs="仿宋"/>
          <w:color w:val="auto"/>
          <w:sz w:val="24"/>
          <w:highlight w:val="none"/>
          <w:lang w:val="en-US" w:eastAsia="zh-CN"/>
        </w:rPr>
        <w:t>。</w:t>
      </w:r>
    </w:p>
    <w:p w14:paraId="1047E1F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“负责人”系指法人企业的法定负责人，或其他组织为法律、行政法规规定代表单位行使职权的主要负责人，或自然人本人。</w:t>
      </w:r>
    </w:p>
    <w:p w14:paraId="132396E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电子签章</w:t>
      </w:r>
      <w:r>
        <w:rPr>
          <w:rFonts w:hint="eastAsia" w:ascii="仿宋" w:hAnsi="仿宋" w:eastAsia="仿宋" w:cs="仿宋"/>
          <w:color w:val="auto"/>
          <w:sz w:val="24"/>
          <w:highlight w:val="none"/>
        </w:rPr>
        <w:t>”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w:t>
      </w:r>
    </w:p>
    <w:p w14:paraId="5728828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指本项目政府采购活动所依托的政府采购云平台（https://www.zcygov.cn/）。</w:t>
      </w:r>
    </w:p>
    <w:p w14:paraId="7DA92AF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系指实质性指标要求条款，“▲”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sz w:val="24"/>
          <w:highlight w:val="none"/>
        </w:rPr>
        <w:t>”系指适用本项目的要求，“☐”系指不适用本项目的要求。</w:t>
      </w:r>
    </w:p>
    <w:p w14:paraId="0C6D51E6">
      <w:pPr>
        <w:spacing w:line="440" w:lineRule="exact"/>
        <w:ind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2.9其他定义</w:t>
      </w:r>
    </w:p>
    <w:p w14:paraId="33D8CC74">
      <w:pPr>
        <w:spacing w:line="440" w:lineRule="exact"/>
        <w:ind w:firstLine="480" w:firstLineChars="200"/>
        <w:rPr>
          <w:rFonts w:hint="eastAsia" w:ascii="仿宋" w:hAnsi="仿宋" w:eastAsia="仿宋" w:cs="仿宋"/>
          <w:b/>
          <w:color w:val="auto"/>
          <w:sz w:val="24"/>
          <w:highlight w:val="none"/>
        </w:rPr>
      </w:pPr>
      <w:r>
        <w:rPr>
          <w:rFonts w:hint="eastAsia" w:ascii="仿宋" w:hAnsi="仿宋" w:eastAsia="仿宋" w:cs="仿宋"/>
          <w:b w:val="0"/>
          <w:bCs/>
          <w:color w:val="auto"/>
          <w:sz w:val="24"/>
          <w:highlight w:val="none"/>
        </w:rPr>
        <w:t>“书面形式”是合同书、信件、电报、电传、传真等可以有形地表现所载内容的形式。以电子数据交换、电子邮件等方式能够有形地表现所载内容，并可以随时调取查用的数据电文，视为书面形式。</w:t>
      </w:r>
    </w:p>
    <w:p w14:paraId="0E815D8B">
      <w:pPr>
        <w:spacing w:line="44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3.采购项目需要落实的政府采购政策</w:t>
      </w:r>
    </w:p>
    <w:p w14:paraId="590AE4EA">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3BFB75AA">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3.2支持绿色发展</w:t>
      </w:r>
    </w:p>
    <w:p w14:paraId="3EF1E3B2">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69450FE2">
      <w:pPr>
        <w:spacing w:line="44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★3.2.2</w:t>
      </w:r>
      <w:r>
        <w:rPr>
          <w:rFonts w:hint="eastAsia" w:ascii="仿宋" w:hAnsi="仿宋" w:eastAsia="仿宋" w:cs="仿宋"/>
          <w:b/>
          <w:color w:val="auto"/>
          <w:sz w:val="24"/>
          <w:highlight w:val="none"/>
        </w:rPr>
        <w:t>采购人拟采购的产品属于政府强制采购的节能产品品目清单范围的，投标人未按招标文件要求提供国家确定的认证机构出具的、处于有效期之内的节能产品认证证书，投标无效。</w:t>
      </w:r>
    </w:p>
    <w:p w14:paraId="09828830">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 纳入政府采购管理的修缮、装修类项目采购建材的，采购单位</w:t>
      </w:r>
      <w:r>
        <w:rPr>
          <w:rFonts w:hint="eastAsia" w:ascii="仿宋" w:hAnsi="仿宋" w:eastAsia="仿宋" w:cs="仿宋"/>
          <w:color w:val="auto"/>
          <w:sz w:val="24"/>
          <w:highlight w:val="none"/>
          <w:lang w:eastAsia="zh-CN"/>
        </w:rPr>
        <w:t>应</w:t>
      </w:r>
      <w:r>
        <w:rPr>
          <w:rFonts w:hint="eastAsia" w:ascii="仿宋" w:hAnsi="仿宋" w:eastAsia="仿宋" w:cs="仿宋"/>
          <w:color w:val="auto"/>
          <w:sz w:val="24"/>
          <w:highlight w:val="none"/>
        </w:rPr>
        <w:t>将绿色建材性能、指标等作为实质性条件纳入采购文件和合同，具体性能指标要求</w:t>
      </w:r>
      <w:r>
        <w:rPr>
          <w:rFonts w:hint="eastAsia" w:ascii="仿宋" w:hAnsi="仿宋" w:eastAsia="仿宋" w:cs="仿宋"/>
          <w:color w:val="auto"/>
          <w:sz w:val="24"/>
          <w:highlight w:val="none"/>
          <w:lang w:eastAsia="zh-CN"/>
        </w:rPr>
        <w:t>按照</w:t>
      </w:r>
      <w:r>
        <w:rPr>
          <w:rFonts w:hint="eastAsia" w:ascii="仿宋" w:hAnsi="仿宋" w:eastAsia="仿宋" w:cs="仿宋"/>
          <w:color w:val="auto"/>
          <w:sz w:val="24"/>
          <w:highlight w:val="none"/>
        </w:rPr>
        <w:t>相关绿色建材政府采购需求标准</w:t>
      </w:r>
      <w:r>
        <w:rPr>
          <w:rFonts w:hint="eastAsia" w:ascii="仿宋" w:hAnsi="仿宋" w:eastAsia="仿宋" w:cs="仿宋"/>
          <w:color w:val="auto"/>
          <w:sz w:val="24"/>
          <w:highlight w:val="none"/>
          <w:lang w:eastAsia="zh-CN"/>
        </w:rPr>
        <w:t>执行</w:t>
      </w:r>
      <w:r>
        <w:rPr>
          <w:rFonts w:hint="eastAsia" w:ascii="仿宋" w:hAnsi="仿宋" w:eastAsia="仿宋" w:cs="仿宋"/>
          <w:color w:val="auto"/>
          <w:sz w:val="24"/>
          <w:highlight w:val="none"/>
        </w:rPr>
        <w:t>。</w:t>
      </w:r>
    </w:p>
    <w:p w14:paraId="0B794A40">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D97E12B">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3.2.5</w:t>
      </w:r>
      <w:r>
        <w:rPr>
          <w:rFonts w:hint="eastAsia" w:ascii="仿宋" w:hAnsi="仿宋" w:eastAsia="仿宋" w:cs="仿宋"/>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登记报备绿色编码，未申领绿色编码的柴油动力移动源不得进入作业现场施工。</w:t>
      </w:r>
    </w:p>
    <w:p w14:paraId="7352C630">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w:t>
      </w:r>
      <w:r>
        <w:rPr>
          <w:rFonts w:hint="eastAsia" w:ascii="仿宋" w:hAnsi="仿宋" w:eastAsia="仿宋" w:cs="仿宋"/>
          <w:bCs/>
          <w:color w:val="auto"/>
          <w:sz w:val="24"/>
          <w:highlight w:val="none"/>
        </w:rPr>
        <w:t>小微</w:t>
      </w:r>
      <w:r>
        <w:rPr>
          <w:rFonts w:hint="eastAsia" w:ascii="仿宋" w:hAnsi="仿宋" w:eastAsia="仿宋" w:cs="仿宋"/>
          <w:color w:val="auto"/>
          <w:sz w:val="24"/>
          <w:highlight w:val="none"/>
        </w:rPr>
        <w:t>企业价格扣除（按财库〔2022〕19号文件规定执行）</w:t>
      </w:r>
    </w:p>
    <w:p w14:paraId="7A9FD192">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color w:val="auto"/>
          <w:sz w:val="24"/>
          <w:highlight w:val="none"/>
        </w:rPr>
        <w:t>3.3.1小微企业是指</w:t>
      </w:r>
      <w:r>
        <w:rPr>
          <w:rFonts w:hint="eastAsia" w:ascii="仿宋" w:hAnsi="仿宋" w:eastAsia="仿宋" w:cs="仿宋"/>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14:paraId="1BCFF89D">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符合中小企业划分标准的个体工商户，在政府采购活动中视同中小企业。</w:t>
      </w:r>
    </w:p>
    <w:p w14:paraId="724D7D25">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3.3.2在货物采购项目中，货物由小微企业制造，即货物由小微企业生产且使用该小微企业商号或者注册商标。</w:t>
      </w:r>
      <w:r>
        <w:rPr>
          <w:rFonts w:hint="eastAsia" w:ascii="仿宋" w:hAnsi="仿宋" w:eastAsia="仿宋" w:cs="仿宋"/>
          <w:b/>
          <w:bCs/>
          <w:color w:val="auto"/>
          <w:sz w:val="24"/>
          <w:highlight w:val="none"/>
        </w:rPr>
        <w:t>供应商提供的货物既有中小企业制造货物，也有大型企业制造货物的，不享受中小企业扶持政策。</w:t>
      </w:r>
    </w:p>
    <w:p w14:paraId="0D2B9AC0">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3.3.3在服务采购项目中，服务由小微企业承接，即提供服务的人员为小微企业依照《中华人民共和国劳动合同法》订立劳动合同的从业人员。</w:t>
      </w:r>
    </w:p>
    <w:p w14:paraId="1383C239">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3.3.4小微企业应按照招标文件格式要求提供《中小企业声明函》。</w:t>
      </w:r>
    </w:p>
    <w:p w14:paraId="3A2BC308">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3.3.5对于经主管预算单位统筹后未预留份额专门面向中小企业采购的采购项目，以及预留份额项目中的非预留部分采购包，采购人、采购代理机构将对符合规定的小微企业报价给予10</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的扣除，用扣除后的价格参加评审。</w:t>
      </w:r>
    </w:p>
    <w:p w14:paraId="72B2F26D">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14:paraId="1028684D">
      <w:pPr>
        <w:spacing w:line="44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以联合体形式参加政府采购活动， 联合体各方均为中小企业的，联合体视同中小企业。其中，联合体各方均为小微企业的，联合体视同小微企业。</w:t>
      </w:r>
    </w:p>
    <w:p w14:paraId="3AB3AB7D">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3.3.7符合《关于促进残疾人就业政府采购政策的通知》（财库〔2017〕141号）规定的条件并提供《残疾人福利性单位声明函》的残疾人福利性单位视同小微企业；</w:t>
      </w:r>
    </w:p>
    <w:p w14:paraId="0402AE21">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274C76CC">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支持科技创新发展</w:t>
      </w:r>
    </w:p>
    <w:p w14:paraId="7676938C">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对省级以上主管部门认定的首台套产品，自纳入《省推广应用指导目录》起三年内参加政府采购活动，视同已具备相应销售业绩，业绩分为满分。</w:t>
      </w:r>
    </w:p>
    <w:p w14:paraId="598452A5">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73E00539">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37EF042B">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★4.特别说明：</w:t>
      </w:r>
    </w:p>
    <w:p w14:paraId="046DB385">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4.1供应商投标所使用的资格、信誉、荣誉与企业认证必须为投标单位所拥有。供应商投标所使用的采购项目实施人员必须为投标单位正式员工。</w:t>
      </w:r>
    </w:p>
    <w:p w14:paraId="2B7661E1">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4.2供应商应仔细阅读招标文件的所有内容，按照招标文件的要求提交投标文件，并对所提供的全部资料的真实性承担法律责任。</w:t>
      </w:r>
    </w:p>
    <w:p w14:paraId="4D166B9C">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0A1A0695">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bCs/>
          <w:color w:val="auto"/>
          <w:sz w:val="24"/>
          <w:highlight w:val="none"/>
          <w:lang w:val="en-US" w:eastAsia="zh-CN"/>
        </w:rPr>
        <w:t>5.特殊投标人投标规定</w:t>
      </w:r>
    </w:p>
    <w:p w14:paraId="6269048D">
      <w:pPr>
        <w:pStyle w:val="132"/>
        <w:keepNext w:val="0"/>
        <w:keepLines w:val="0"/>
        <w:pageBreakBefore w:val="0"/>
        <w:widowControl w:val="0"/>
        <w:kinsoku/>
        <w:wordWrap/>
        <w:overflowPunct/>
        <w:topLinePunct w:val="0"/>
        <w:autoSpaceDE/>
        <w:autoSpaceDN/>
        <w:bidi w:val="0"/>
        <w:adjustRightInd w:val="0"/>
        <w:snapToGrid/>
        <w:spacing w:before="0" w:beforeAutospacing="0" w:line="440" w:lineRule="exact"/>
        <w:ind w:left="0" w:leftChars="0" w:firstLine="643"/>
        <w:textAlignment w:val="auto"/>
        <w:rPr>
          <w:rFonts w:hint="eastAsia" w:ascii="仿宋" w:hAnsi="仿宋" w:eastAsia="仿宋" w:cs="仿宋"/>
          <w:b/>
          <w:color w:val="auto"/>
          <w:sz w:val="32"/>
          <w:highlight w:val="none"/>
        </w:rPr>
      </w:pPr>
      <w:r>
        <w:rPr>
          <w:rFonts w:hint="eastAsia" w:ascii="仿宋" w:hAnsi="仿宋" w:eastAsia="仿宋" w:cs="仿宋"/>
          <w:color w:val="auto"/>
          <w:sz w:val="24"/>
          <w:highlight w:val="none"/>
          <w:lang w:val="en-US" w:eastAsia="zh-CN"/>
        </w:rPr>
        <w:t>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38235100">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both"/>
        <w:textAlignment w:val="auto"/>
        <w:outlineLvl w:val="0"/>
        <w:rPr>
          <w:rFonts w:hint="eastAsia" w:ascii="仿宋" w:hAnsi="仿宋" w:eastAsia="仿宋" w:cs="仿宋"/>
          <w:b/>
          <w:color w:val="auto"/>
          <w:sz w:val="32"/>
          <w:szCs w:val="32"/>
          <w:highlight w:val="none"/>
        </w:rPr>
      </w:pPr>
    </w:p>
    <w:p w14:paraId="36436958">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二、招标文件</w:t>
      </w:r>
    </w:p>
    <w:p w14:paraId="01A3058F">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1．招标方式</w:t>
      </w:r>
    </w:p>
    <w:p w14:paraId="13730D7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 本次招标采用公开招标方式进行。</w:t>
      </w:r>
    </w:p>
    <w:p w14:paraId="6EA0597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如某一标项投标人或实质性响应招标文件的投标人不足三家时，由采购人重新组织招标或按有关规定实施。</w:t>
      </w:r>
    </w:p>
    <w:p w14:paraId="298271B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本次招标设定限价，即招标公告中公布的各标项预算金额或最高限价（各标项之间的预算金额不能互相调整）。</w:t>
      </w:r>
    </w:p>
    <w:p w14:paraId="1B917F0B">
      <w:pPr>
        <w:pStyle w:val="27"/>
        <w:keepNext w:val="0"/>
        <w:keepLines w:val="0"/>
        <w:pageBreakBefore w:val="0"/>
        <w:kinsoku/>
        <w:wordWrap/>
        <w:overflowPunct/>
        <w:topLinePunct w:val="0"/>
        <w:autoSpaceDE/>
        <w:autoSpaceDN/>
        <w:bidi w:val="0"/>
        <w:snapToGrid w:val="0"/>
        <w:spacing w:line="44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2.授权委托</w:t>
      </w:r>
    </w:p>
    <w:p w14:paraId="54117BC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本项目为电子投标项目，投标人的法定代表人或其授权代表或个体工商户不需要参加现场投标和开标。</w:t>
      </w:r>
    </w:p>
    <w:p w14:paraId="0E7A967E">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3.投标费用</w:t>
      </w:r>
    </w:p>
    <w:p w14:paraId="1123C23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投标人应自行承担编制投标文件及参加本次投标所涉及的一切费用。不管投标结果如何，招标人对上述费用不负任何责任。</w:t>
      </w:r>
    </w:p>
    <w:p w14:paraId="1F27F8B2">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4.招标文件的修改</w:t>
      </w:r>
    </w:p>
    <w:p w14:paraId="543C282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4.1招标文件包括本招标文件及所有的招标答疑记录（澄清、修改）和发出的补充通知。</w:t>
      </w:r>
    </w:p>
    <w:p w14:paraId="2E61542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4.2招标文件的澄清 </w:t>
      </w:r>
    </w:p>
    <w:p w14:paraId="6CE203F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1901D6F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4.3招标文件的修改</w:t>
      </w:r>
    </w:p>
    <w:p w14:paraId="6136373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4.3.1在投标截止时间前，招标人有权修改招标文件，并以公告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65A4A46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5063EC57">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5.参考品牌</w:t>
      </w:r>
    </w:p>
    <w:p w14:paraId="493AFDC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09C909CC">
      <w:pPr>
        <w:pStyle w:val="2"/>
        <w:keepNext w:val="0"/>
        <w:keepLines w:val="0"/>
        <w:pageBreakBefore w:val="0"/>
        <w:widowControl w:val="0"/>
        <w:kinsoku/>
        <w:wordWrap/>
        <w:overflowPunct/>
        <w:topLinePunct w:val="0"/>
        <w:bidi w:val="0"/>
        <w:snapToGrid/>
        <w:spacing w:beforeAutospacing="0" w:line="360" w:lineRule="auto"/>
        <w:ind w:left="0" w:leftChars="0"/>
        <w:textAlignment w:val="auto"/>
        <w:rPr>
          <w:rFonts w:hint="eastAsia" w:ascii="仿宋" w:hAnsi="仿宋" w:eastAsia="仿宋" w:cs="仿宋"/>
          <w:color w:val="auto"/>
          <w:sz w:val="32"/>
          <w:szCs w:val="32"/>
          <w:highlight w:val="none"/>
          <w:lang w:val="en-US"/>
        </w:rPr>
      </w:pPr>
      <w:r>
        <w:rPr>
          <w:rFonts w:hint="eastAsia" w:ascii="仿宋" w:hAnsi="仿宋" w:eastAsia="仿宋" w:cs="仿宋"/>
          <w:color w:val="auto"/>
          <w:szCs w:val="24"/>
          <w:highlight w:val="none"/>
          <w:lang w:val="en-US"/>
        </w:rPr>
        <w:t xml:space="preserve">  </w:t>
      </w:r>
      <w:r>
        <w:rPr>
          <w:rFonts w:hint="eastAsia" w:ascii="仿宋" w:hAnsi="仿宋" w:eastAsia="仿宋" w:cs="仿宋"/>
          <w:color w:val="auto"/>
          <w:sz w:val="32"/>
          <w:szCs w:val="32"/>
          <w:highlight w:val="none"/>
          <w:lang w:val="en-US"/>
        </w:rPr>
        <w:t xml:space="preserve">  </w:t>
      </w:r>
    </w:p>
    <w:p w14:paraId="575704F6">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rPr>
        <w:t>三、投标</w:t>
      </w:r>
      <w:r>
        <w:rPr>
          <w:rFonts w:hint="eastAsia" w:ascii="仿宋" w:hAnsi="仿宋" w:eastAsia="仿宋" w:cs="仿宋"/>
          <w:b/>
          <w:color w:val="auto"/>
          <w:sz w:val="32"/>
          <w:szCs w:val="32"/>
          <w:highlight w:val="none"/>
          <w:lang w:eastAsia="zh-CN"/>
        </w:rPr>
        <w:t>文件</w:t>
      </w:r>
    </w:p>
    <w:p w14:paraId="176E95F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w:t>
      </w:r>
      <w:r>
        <w:rPr>
          <w:rFonts w:hint="eastAsia" w:ascii="仿宋" w:hAnsi="仿宋" w:eastAsia="仿宋" w:cs="仿宋"/>
          <w:b/>
          <w:bCs/>
          <w:color w:val="auto"/>
          <w:sz w:val="24"/>
          <w:highlight w:val="none"/>
        </w:rPr>
        <w:t>投标文件的语言、计量单位、形式及效力</w:t>
      </w:r>
    </w:p>
    <w:p w14:paraId="15F494F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1.1投标人应仔细阅读招标文件中的所有内容，按照招标文件要求，详细编制投标文件，并保证投标文件的正确性和真实性。</w:t>
      </w:r>
    </w:p>
    <w:p w14:paraId="4732B0F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投标文件以及投标方与招标方就有关投标事宜的所有来往函电，均应以中文书写（技术术语除外）。</w:t>
      </w:r>
    </w:p>
    <w:p w14:paraId="554A297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投标计量单位，除招标文件中有特殊要求外，应采用中华人民共和国法定计量单位，货币单位：人民币元。</w:t>
      </w:r>
    </w:p>
    <w:p w14:paraId="4194195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1.4不按招标文件的要求提供的投标文件可能导致被拒绝。</w:t>
      </w:r>
    </w:p>
    <w:p w14:paraId="1205B0D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1.5投标文件的形式和效力</w:t>
      </w:r>
    </w:p>
    <w:p w14:paraId="75BA8150">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1.5.1投标文件为电子投标文件，电子投标文件按“政采云供应商项目采购-电子招投标操作指南”及本招标文件要求制作、加密传输。</w:t>
      </w:r>
    </w:p>
    <w:p w14:paraId="20C24724">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1.5.2投标文件的效力：</w:t>
      </w:r>
    </w:p>
    <w:p w14:paraId="5364A874">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投标文件未在投标截止时间前完成传输的，视为投标文件撤回；投标文件未按时解密，亦视为投标文件撤回。</w:t>
      </w:r>
    </w:p>
    <w:p w14:paraId="7D42427D">
      <w:pPr>
        <w:pStyle w:val="9"/>
        <w:keepNext w:val="0"/>
        <w:keepLines w:val="0"/>
        <w:pageBreakBefore w:val="0"/>
        <w:widowControl w:val="0"/>
        <w:kinsoku/>
        <w:wordWrap/>
        <w:overflowPunct/>
        <w:topLinePunct w:val="0"/>
        <w:autoSpaceDE/>
        <w:autoSpaceDN/>
        <w:bidi w:val="0"/>
        <w:adjustRightInd w:val="0"/>
        <w:spacing w:beforeAutospacing="0" w:line="44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.投标文件的组成</w:t>
      </w:r>
    </w:p>
    <w:p w14:paraId="1FE66B40">
      <w:pP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“资格文件”、“商务技术文件资料”、</w:t>
      </w:r>
      <w:r>
        <w:rPr>
          <w:rFonts w:hint="eastAsia" w:ascii="仿宋" w:hAnsi="仿宋" w:eastAsia="仿宋" w:cs="仿宋"/>
          <w:color w:val="auto"/>
          <w:sz w:val="24"/>
          <w:highlight w:val="none"/>
        </w:rPr>
        <w:t>“报价文件资料”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14:paraId="4EF1B296">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14:paraId="3A9C5F0A">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.1.1营业执照(或事业</w:t>
      </w:r>
      <w:r>
        <w:rPr>
          <w:rFonts w:hint="eastAsia" w:ascii="仿宋" w:hAnsi="仿宋" w:eastAsia="仿宋" w:cs="仿宋"/>
          <w:color w:val="auto"/>
          <w:sz w:val="24"/>
          <w:highlight w:val="none"/>
          <w:lang w:val="en-US" w:eastAsia="zh-CN"/>
        </w:rPr>
        <w:t>单位</w:t>
      </w:r>
      <w:r>
        <w:rPr>
          <w:rFonts w:hint="eastAsia" w:ascii="仿宋" w:hAnsi="仿宋" w:eastAsia="仿宋" w:cs="仿宋"/>
          <w:color w:val="auto"/>
          <w:sz w:val="24"/>
          <w:highlight w:val="none"/>
          <w:lang w:eastAsia="zh-CN"/>
        </w:rPr>
        <w:t>法人证书或其它工商等登记证明材料；自然人参与采购，提供身份证</w:t>
      </w:r>
      <w:r>
        <w:rPr>
          <w:rFonts w:hint="eastAsia" w:ascii="仿宋" w:hAnsi="仿宋" w:eastAsia="仿宋" w:cs="仿宋"/>
          <w:color w:val="auto"/>
          <w:sz w:val="24"/>
          <w:highlight w:val="none"/>
          <w:lang w:val="en-US" w:eastAsia="zh-CN"/>
        </w:rPr>
        <w:t>正反面</w:t>
      </w:r>
      <w:r>
        <w:rPr>
          <w:rFonts w:hint="eastAsia" w:ascii="仿宋" w:hAnsi="仿宋" w:eastAsia="仿宋" w:cs="仿宋"/>
          <w:color w:val="auto"/>
          <w:sz w:val="24"/>
          <w:highlight w:val="none"/>
          <w:lang w:eastAsia="zh-CN"/>
        </w:rPr>
        <w:t>)扫描件；</w:t>
      </w:r>
    </w:p>
    <w:p w14:paraId="21EEA2EF">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2.1.2</w:t>
      </w:r>
      <w:r>
        <w:rPr>
          <w:rFonts w:hint="eastAsia" w:ascii="仿宋" w:hAnsi="仿宋" w:eastAsia="仿宋" w:cs="仿宋"/>
          <w:color w:val="auto"/>
          <w:sz w:val="24"/>
          <w:highlight w:val="none"/>
          <w:lang w:val="en-US" w:eastAsia="zh-CN"/>
        </w:rPr>
        <w:t>法定代表人身份证明书；</w:t>
      </w:r>
    </w:p>
    <w:p w14:paraId="2B2F39CC">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2.1.3法定代表人授权委托书及授权代表社保证明（若委托）；</w:t>
      </w:r>
    </w:p>
    <w:p w14:paraId="64906C65">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2.1.4法定代表人及其授权代表身份证复印件（正反面）；</w:t>
      </w:r>
    </w:p>
    <w:p w14:paraId="3BAE2F7F">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5符合参加政府采购活动应当具备的一般条件的承诺函；</w:t>
      </w:r>
    </w:p>
    <w:p w14:paraId="41E299CE">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6中小企业声明函（或监狱企业声明函及其相关的充分的证明材料或残疾人福利性单位声明函）；</w:t>
      </w:r>
    </w:p>
    <w:p w14:paraId="3D2F2239">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2.1.7本项目的特定资格要求（如果有)；</w:t>
      </w:r>
    </w:p>
    <w:p w14:paraId="3978A652">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2.1.8</w:t>
      </w:r>
      <w:r>
        <w:rPr>
          <w:rFonts w:hint="eastAsia" w:ascii="仿宋" w:hAnsi="仿宋" w:eastAsia="仿宋" w:cs="仿宋"/>
          <w:color w:val="auto"/>
          <w:sz w:val="24"/>
          <w:highlight w:val="none"/>
          <w:lang w:eastAsia="zh-CN"/>
        </w:rPr>
        <w:t>单位负责人为同一人或者存在直接控股、管理关系的不同供应商，不得参加同一合同项下的政府采购活动（开标后提供《政府采购活动现场确认声明书》（PDF格式），发送至邮箱1132452991@qq.com）（</w:t>
      </w:r>
      <w:r>
        <w:rPr>
          <w:rFonts w:hint="eastAsia" w:ascii="仿宋" w:hAnsi="仿宋" w:eastAsia="仿宋" w:cs="仿宋"/>
          <w:color w:val="auto"/>
          <w:sz w:val="24"/>
          <w:highlight w:val="none"/>
          <w:lang w:val="en-US" w:eastAsia="zh-CN"/>
        </w:rPr>
        <w:t>无需做进投标文件，解密后发送邮箱</w:t>
      </w:r>
      <w:r>
        <w:rPr>
          <w:rFonts w:hint="eastAsia" w:ascii="仿宋" w:hAnsi="仿宋" w:eastAsia="仿宋" w:cs="仿宋"/>
          <w:color w:val="auto"/>
          <w:sz w:val="24"/>
          <w:highlight w:val="none"/>
          <w:lang w:eastAsia="zh-CN"/>
        </w:rPr>
        <w:t>）。</w:t>
      </w:r>
    </w:p>
    <w:p w14:paraId="2C87660A">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仿宋" w:hAnsi="仿宋" w:eastAsia="仿宋" w:cs="仿宋"/>
          <w:b/>
          <w:color w:val="auto"/>
          <w:sz w:val="24"/>
          <w:highlight w:val="none"/>
          <w:lang w:val="zh-CN" w:eastAsia="zh-CN"/>
        </w:rPr>
      </w:pPr>
      <w:r>
        <w:rPr>
          <w:rFonts w:hint="eastAsia" w:ascii="仿宋" w:hAnsi="仿宋" w:eastAsia="仿宋" w:cs="仿宋"/>
          <w:b/>
          <w:color w:val="auto"/>
          <w:sz w:val="24"/>
          <w:highlight w:val="none"/>
          <w:lang w:val="zh-CN" w:eastAsia="zh-CN"/>
        </w:rPr>
        <w:t>2.</w:t>
      </w:r>
      <w:r>
        <w:rPr>
          <w:rFonts w:hint="eastAsia" w:ascii="仿宋" w:hAnsi="仿宋" w:eastAsia="仿宋" w:cs="仿宋"/>
          <w:b/>
          <w:color w:val="auto"/>
          <w:sz w:val="24"/>
          <w:highlight w:val="none"/>
          <w:lang w:val="en-US" w:eastAsia="zh-CN"/>
        </w:rPr>
        <w:t>2商务技术</w:t>
      </w:r>
      <w:r>
        <w:rPr>
          <w:rFonts w:hint="eastAsia" w:ascii="仿宋" w:hAnsi="仿宋" w:eastAsia="仿宋" w:cs="仿宋"/>
          <w:b/>
          <w:color w:val="auto"/>
          <w:sz w:val="24"/>
          <w:highlight w:val="none"/>
          <w:lang w:val="zh-CN" w:eastAsia="zh-CN"/>
        </w:rPr>
        <w:t>文件：</w:t>
      </w:r>
    </w:p>
    <w:p w14:paraId="3F5672A7">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.1营业执照(或事业</w:t>
      </w:r>
      <w:r>
        <w:rPr>
          <w:rFonts w:hint="eastAsia" w:ascii="仿宋" w:hAnsi="仿宋" w:eastAsia="仿宋" w:cs="仿宋"/>
          <w:color w:val="auto"/>
          <w:sz w:val="24"/>
          <w:highlight w:val="none"/>
          <w:lang w:val="en-US" w:eastAsia="zh-CN"/>
        </w:rPr>
        <w:t>单位</w:t>
      </w:r>
      <w:r>
        <w:rPr>
          <w:rFonts w:hint="eastAsia" w:ascii="仿宋" w:hAnsi="仿宋" w:eastAsia="仿宋" w:cs="仿宋"/>
          <w:color w:val="auto"/>
          <w:sz w:val="24"/>
          <w:highlight w:val="none"/>
          <w:lang w:eastAsia="zh-CN"/>
        </w:rPr>
        <w:t>法人证书或其它工商等登记证明材料；自然人参与采购，提供身份证</w:t>
      </w:r>
      <w:r>
        <w:rPr>
          <w:rFonts w:hint="eastAsia" w:ascii="仿宋" w:hAnsi="仿宋" w:eastAsia="仿宋" w:cs="仿宋"/>
          <w:color w:val="auto"/>
          <w:sz w:val="24"/>
          <w:highlight w:val="none"/>
          <w:lang w:val="en-US" w:eastAsia="zh-CN"/>
        </w:rPr>
        <w:t>正反面</w:t>
      </w:r>
      <w:r>
        <w:rPr>
          <w:rFonts w:hint="eastAsia" w:ascii="仿宋" w:hAnsi="仿宋" w:eastAsia="仿宋" w:cs="仿宋"/>
          <w:color w:val="auto"/>
          <w:sz w:val="24"/>
          <w:highlight w:val="none"/>
          <w:lang w:eastAsia="zh-CN"/>
        </w:rPr>
        <w:t>)扫描件；</w:t>
      </w:r>
    </w:p>
    <w:p w14:paraId="2DEBA94C">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2.2.2投标函；</w:t>
      </w:r>
    </w:p>
    <w:p w14:paraId="74F3DF8C">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2.2.3法定代表人身份证明书；</w:t>
      </w:r>
    </w:p>
    <w:p w14:paraId="2ADA9216">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2.2.4法定代表人授权委托书及授权代表社保证明（若委托）；</w:t>
      </w:r>
    </w:p>
    <w:p w14:paraId="32C2890B">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2.2.5法定代表人及其授权代表身份证复印件（正反面）；</w:t>
      </w:r>
    </w:p>
    <w:p w14:paraId="6D97F5B3">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2.2.6政府采购供应商廉洁自律承诺书；</w:t>
      </w:r>
    </w:p>
    <w:p w14:paraId="33C6D841">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2.2.7评分索引表；</w:t>
      </w:r>
    </w:p>
    <w:p w14:paraId="1D9A56A1">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2.2.8资信及商务偏离表；</w:t>
      </w:r>
    </w:p>
    <w:p w14:paraId="3EDD4272">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2.2.9综合实力；</w:t>
      </w:r>
    </w:p>
    <w:p w14:paraId="338E3A38">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2.2.10类似成功案例；</w:t>
      </w:r>
    </w:p>
    <w:p w14:paraId="35A5BF42">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2.2.11技术偏离表；</w:t>
      </w:r>
    </w:p>
    <w:p w14:paraId="6D671DAA">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2.2.12</w:t>
      </w:r>
      <w:r>
        <w:rPr>
          <w:rFonts w:hint="eastAsia" w:ascii="仿宋" w:hAnsi="仿宋" w:eastAsia="仿宋" w:cs="仿宋"/>
          <w:color w:val="auto"/>
          <w:sz w:val="24"/>
          <w:szCs w:val="24"/>
          <w:highlight w:val="none"/>
          <w:lang w:val="en-US" w:eastAsia="zh-CN"/>
        </w:rPr>
        <w:t>项目组成员；</w:t>
      </w:r>
    </w:p>
    <w:p w14:paraId="67F38673">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rPr>
      </w:pPr>
      <w:r>
        <w:rPr>
          <w:rFonts w:hint="eastAsia" w:ascii="仿宋" w:hAnsi="仿宋" w:eastAsia="仿宋" w:cs="仿宋"/>
          <w:color w:val="auto"/>
          <w:sz w:val="24"/>
          <w:highlight w:val="none"/>
          <w:lang w:val="en-US" w:eastAsia="zh-CN"/>
        </w:rPr>
        <w:t>2.2.13</w:t>
      </w:r>
      <w:r>
        <w:rPr>
          <w:rFonts w:hint="eastAsia" w:ascii="仿宋" w:hAnsi="仿宋" w:eastAsia="仿宋" w:cs="仿宋"/>
          <w:color w:val="auto"/>
          <w:sz w:val="24"/>
          <w:szCs w:val="24"/>
          <w:highlight w:val="none"/>
          <w:lang w:val="en-US" w:eastAsia="zh-CN"/>
        </w:rPr>
        <w:t>拟投入设备；</w:t>
      </w:r>
    </w:p>
    <w:p w14:paraId="730BC4D7">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rPr>
      </w:pPr>
      <w:r>
        <w:rPr>
          <w:rFonts w:hint="eastAsia" w:ascii="仿宋" w:hAnsi="仿宋" w:eastAsia="仿宋" w:cs="仿宋"/>
          <w:color w:val="auto"/>
          <w:sz w:val="24"/>
          <w:highlight w:val="none"/>
          <w:lang w:val="en-US" w:eastAsia="zh-CN"/>
        </w:rPr>
        <w:t>2.2.14</w:t>
      </w:r>
      <w:r>
        <w:rPr>
          <w:rFonts w:hint="eastAsia" w:ascii="仿宋" w:hAnsi="仿宋" w:eastAsia="仿宋" w:cs="仿宋"/>
          <w:bCs/>
          <w:color w:val="auto"/>
          <w:sz w:val="24"/>
          <w:szCs w:val="24"/>
          <w:highlight w:val="none"/>
          <w:lang w:val="en-US" w:eastAsia="zh-CN"/>
        </w:rPr>
        <w:t>项目理解；</w:t>
      </w:r>
    </w:p>
    <w:p w14:paraId="2351D2DB">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2.2.15</w:t>
      </w:r>
      <w:r>
        <w:rPr>
          <w:rFonts w:hint="eastAsia" w:ascii="仿宋" w:hAnsi="仿宋" w:eastAsia="仿宋" w:cs="仿宋"/>
          <w:color w:val="auto"/>
          <w:sz w:val="24"/>
          <w:szCs w:val="24"/>
          <w:highlight w:val="none"/>
          <w:lang w:val="en-US" w:eastAsia="zh-CN"/>
        </w:rPr>
        <w:t>项目计划安排</w:t>
      </w:r>
      <w:r>
        <w:rPr>
          <w:rFonts w:hint="eastAsia" w:ascii="仿宋" w:hAnsi="仿宋" w:eastAsia="仿宋" w:cs="仿宋"/>
          <w:color w:val="auto"/>
          <w:kern w:val="0"/>
          <w:sz w:val="24"/>
          <w:szCs w:val="24"/>
          <w:highlight w:val="none"/>
          <w:lang w:eastAsia="zh-CN"/>
        </w:rPr>
        <w:t>；</w:t>
      </w:r>
    </w:p>
    <w:p w14:paraId="5E676689">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16</w:t>
      </w:r>
      <w:r>
        <w:rPr>
          <w:rFonts w:hint="eastAsia" w:ascii="仿宋" w:hAnsi="仿宋" w:eastAsia="仿宋" w:cs="仿宋"/>
          <w:color w:val="auto"/>
          <w:sz w:val="24"/>
          <w:szCs w:val="24"/>
          <w:highlight w:val="none"/>
          <w:lang w:val="en-US" w:eastAsia="zh-CN"/>
        </w:rPr>
        <w:t>实施方案；</w:t>
      </w:r>
    </w:p>
    <w:p w14:paraId="6434011B">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17</w:t>
      </w:r>
      <w:r>
        <w:rPr>
          <w:rFonts w:hint="eastAsia" w:ascii="仿宋" w:hAnsi="仿宋" w:eastAsia="仿宋" w:cs="仿宋"/>
          <w:color w:val="auto"/>
          <w:sz w:val="24"/>
          <w:szCs w:val="24"/>
          <w:highlight w:val="none"/>
          <w:lang w:val="en-US" w:eastAsia="zh-CN"/>
        </w:rPr>
        <w:t>重点难点分析；</w:t>
      </w:r>
    </w:p>
    <w:p w14:paraId="2D94C3E0">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18</w:t>
      </w:r>
      <w:r>
        <w:rPr>
          <w:rFonts w:hint="eastAsia" w:ascii="仿宋" w:hAnsi="仿宋" w:eastAsia="仿宋" w:cs="仿宋"/>
          <w:color w:val="auto"/>
          <w:sz w:val="24"/>
          <w:szCs w:val="24"/>
          <w:highlight w:val="none"/>
          <w:lang w:val="en-US" w:eastAsia="zh-CN"/>
        </w:rPr>
        <w:t>应急处理；</w:t>
      </w:r>
    </w:p>
    <w:p w14:paraId="783A3F2D">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szCs w:val="24"/>
          <w:highlight w:val="none"/>
        </w:rPr>
        <w:t>便利服务</w:t>
      </w:r>
      <w:r>
        <w:rPr>
          <w:rFonts w:hint="eastAsia" w:ascii="仿宋_GB2312" w:hAnsi="仿宋_GB2312" w:eastAsia="仿宋_GB2312" w:cs="仿宋_GB2312"/>
          <w:color w:val="auto"/>
          <w:kern w:val="0"/>
          <w:sz w:val="24"/>
          <w:highlight w:val="none"/>
          <w:lang w:eastAsia="zh-CN"/>
        </w:rPr>
        <w:t>；</w:t>
      </w:r>
    </w:p>
    <w:p w14:paraId="41382E92">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20</w:t>
      </w:r>
      <w:r>
        <w:rPr>
          <w:rFonts w:hint="eastAsia" w:ascii="仿宋" w:hAnsi="仿宋" w:eastAsia="仿宋" w:cs="仿宋"/>
          <w:color w:val="auto"/>
          <w:sz w:val="24"/>
          <w:highlight w:val="none"/>
          <w:u w:val="wave"/>
        </w:rPr>
        <w:t>未尽</w:t>
      </w:r>
      <w:r>
        <w:rPr>
          <w:rFonts w:hint="eastAsia" w:ascii="仿宋" w:hAnsi="仿宋" w:eastAsia="仿宋" w:cs="仿宋"/>
          <w:color w:val="auto"/>
          <w:sz w:val="24"/>
          <w:highlight w:val="none"/>
          <w:u w:val="wave"/>
          <w:lang w:val="en-US" w:eastAsia="zh-CN"/>
        </w:rPr>
        <w:t>事宜</w:t>
      </w:r>
      <w:r>
        <w:rPr>
          <w:rFonts w:hint="eastAsia" w:ascii="仿宋" w:hAnsi="仿宋" w:eastAsia="仿宋" w:cs="仿宋"/>
          <w:color w:val="auto"/>
          <w:sz w:val="24"/>
          <w:highlight w:val="none"/>
          <w:u w:val="wave"/>
        </w:rPr>
        <w:t>请各投标单位按评分标准和相对应标项相关要求制作；</w:t>
      </w:r>
    </w:p>
    <w:p w14:paraId="41177A40">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21</w:t>
      </w:r>
      <w:r>
        <w:rPr>
          <w:rFonts w:hint="eastAsia" w:ascii="仿宋" w:hAnsi="仿宋" w:eastAsia="仿宋" w:cs="仿宋"/>
          <w:color w:val="auto"/>
          <w:sz w:val="24"/>
          <w:highlight w:val="none"/>
        </w:rPr>
        <w:t>投标人需要说明的</w:t>
      </w:r>
      <w:r>
        <w:rPr>
          <w:rFonts w:hint="eastAsia" w:ascii="仿宋" w:hAnsi="仿宋" w:eastAsia="仿宋" w:cs="仿宋"/>
          <w:color w:val="auto"/>
          <w:sz w:val="24"/>
          <w:highlight w:val="none"/>
          <w:lang w:val="en-US" w:eastAsia="zh-CN"/>
        </w:rPr>
        <w:t>其他</w:t>
      </w:r>
      <w:r>
        <w:rPr>
          <w:rFonts w:hint="eastAsia" w:ascii="仿宋" w:hAnsi="仿宋" w:eastAsia="仿宋" w:cs="仿宋"/>
          <w:color w:val="auto"/>
          <w:sz w:val="24"/>
          <w:highlight w:val="none"/>
        </w:rPr>
        <w:t>文件和说明</w:t>
      </w:r>
      <w:r>
        <w:rPr>
          <w:rFonts w:hint="eastAsia" w:ascii="仿宋" w:hAnsi="仿宋" w:eastAsia="仿宋" w:cs="仿宋"/>
          <w:color w:val="auto"/>
          <w:sz w:val="24"/>
          <w:highlight w:val="none"/>
          <w:lang w:val="en-US" w:eastAsia="zh-CN"/>
        </w:rPr>
        <w:t>（如果有)</w:t>
      </w:r>
      <w:r>
        <w:rPr>
          <w:rFonts w:hint="eastAsia" w:ascii="仿宋" w:hAnsi="仿宋" w:eastAsia="仿宋" w:cs="仿宋"/>
          <w:color w:val="auto"/>
          <w:sz w:val="24"/>
          <w:highlight w:val="none"/>
        </w:rPr>
        <w:t>。</w:t>
      </w:r>
    </w:p>
    <w:p w14:paraId="0CD3F148">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24DE141E">
      <w:pPr>
        <w:pStyle w:val="3"/>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2.3.1开标一览表；</w:t>
      </w:r>
    </w:p>
    <w:p w14:paraId="5261B9AD">
      <w:pPr>
        <w:pStyle w:val="3"/>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2.3.2报价明细表；</w:t>
      </w:r>
    </w:p>
    <w:p w14:paraId="3E820D1F">
      <w:pPr>
        <w:pStyle w:val="3"/>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b/>
          <w:bCs/>
          <w:color w:val="auto"/>
          <w:sz w:val="24"/>
          <w:highlight w:val="none"/>
          <w:lang w:val="en-US"/>
        </w:rPr>
      </w:pPr>
      <w:r>
        <w:rPr>
          <w:rFonts w:hint="eastAsia" w:ascii="仿宋" w:hAnsi="仿宋" w:eastAsia="仿宋" w:cs="仿宋"/>
          <w:color w:val="auto"/>
          <w:sz w:val="24"/>
          <w:highlight w:val="none"/>
          <w:lang w:val="en-US" w:eastAsia="zh-CN"/>
        </w:rPr>
        <w:t>2.3.3</w:t>
      </w:r>
      <w:r>
        <w:rPr>
          <w:rFonts w:hint="eastAsia" w:ascii="仿宋" w:hAnsi="仿宋" w:eastAsia="仿宋" w:cs="仿宋"/>
          <w:color w:val="auto"/>
          <w:sz w:val="24"/>
          <w:highlight w:val="none"/>
          <w:lang w:eastAsia="zh-CN"/>
        </w:rPr>
        <w:t>投标人针对报价需要说明的其他文件和说明</w:t>
      </w:r>
      <w:r>
        <w:rPr>
          <w:rFonts w:hint="eastAsia" w:ascii="仿宋" w:hAnsi="仿宋" w:eastAsia="仿宋" w:cs="仿宋"/>
          <w:color w:val="auto"/>
          <w:sz w:val="24"/>
          <w:highlight w:val="none"/>
          <w:lang w:val="en-US" w:eastAsia="zh-CN"/>
        </w:rPr>
        <w:t>（如果有)</w:t>
      </w:r>
      <w:r>
        <w:rPr>
          <w:rFonts w:hint="eastAsia" w:ascii="仿宋" w:hAnsi="仿宋" w:eastAsia="仿宋" w:cs="仿宋"/>
          <w:color w:val="auto"/>
          <w:sz w:val="24"/>
          <w:highlight w:val="none"/>
        </w:rPr>
        <w:t>。</w:t>
      </w:r>
    </w:p>
    <w:p w14:paraId="56D8D604">
      <w:pPr>
        <w:pStyle w:val="3"/>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14:paraId="39B856FB">
      <w:pPr>
        <w:pStyle w:val="3"/>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3.1供应商应按招标文件中《开标一览表》等附表要求填写。</w:t>
      </w:r>
    </w:p>
    <w:p w14:paraId="4E4CE8FD">
      <w:pPr>
        <w:pStyle w:val="3"/>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报价为完成本项目工作所涉及的所有费用，包括但不限于人员工资福利、维修、运维费、配件费、升级费、安装调试费、企业管理费、利润、风险、税金、招标代理服务费等费等一切完成合同所需的一切本身和不可或缺的所有工作开支、政策性文件规定计合同包含的所有风险、责任等各项全部费用。</w:t>
      </w:r>
    </w:p>
    <w:p w14:paraId="30C44661">
      <w:pPr>
        <w:pStyle w:val="3"/>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3.3招标文件未列明，而供应商认为必需的费用也需列入报价。</w:t>
      </w:r>
    </w:p>
    <w:p w14:paraId="31C422C7">
      <w:pPr>
        <w:pStyle w:val="3"/>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color w:val="auto"/>
          <w:sz w:val="24"/>
          <w:highlight w:val="none"/>
          <w:lang w:val="en-US" w:eastAsia="zh-CN"/>
        </w:rPr>
        <w:t>3.4投标单位在投标报价前对本项目情况进行充分了解，全面考虑项目实施过程中可能产生的各项费用，投标单位有义务保证采购人项目的完整性，如项目实施过程中因缺少设备、配件或服务导致本项目无法正常运行，供应商须承诺免费及时提供，采购人不单独列项支付另外费用。报价应当包括招标文件提供的技术条款，还应包括任何未明确标出的，全套设备安装后保证正常安全运行所不可缺少的配件及附件。</w:t>
      </w:r>
    </w:p>
    <w:p w14:paraId="69FE6527">
      <w:pPr>
        <w:pStyle w:val="3"/>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479" w:leftChars="228" w:firstLine="0" w:firstLineChars="0"/>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3.5投标报价只允许有一个报价，有选择的报价将不予接受（除指定外）</w:t>
      </w:r>
      <w:r>
        <w:rPr>
          <w:rFonts w:hint="eastAsia" w:ascii="仿宋" w:hAnsi="仿宋" w:eastAsia="仿宋" w:cs="仿宋"/>
          <w:b/>
          <w:bCs/>
          <w:color w:val="auto"/>
          <w:sz w:val="24"/>
          <w:highlight w:val="none"/>
          <w:lang w:val="en-US"/>
        </w:rPr>
        <w:t>。</w:t>
      </w:r>
    </w:p>
    <w:p w14:paraId="31C6BD12">
      <w:pPr>
        <w:pStyle w:val="3"/>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3.6</w:t>
      </w:r>
      <w:r>
        <w:rPr>
          <w:rFonts w:hint="eastAsia" w:ascii="仿宋" w:hAnsi="仿宋" w:eastAsia="仿宋" w:cs="仿宋"/>
          <w:b/>
          <w:color w:val="auto"/>
          <w:sz w:val="24"/>
          <w:highlight w:val="none"/>
          <w:lang w:val="zh-CN"/>
        </w:rPr>
        <w:t>《资格文件》</w:t>
      </w:r>
      <w:r>
        <w:rPr>
          <w:rFonts w:hint="eastAsia" w:ascii="仿宋" w:hAnsi="仿宋" w:eastAsia="仿宋" w:cs="仿宋"/>
          <w:b/>
          <w:color w:val="auto"/>
          <w:sz w:val="24"/>
          <w:highlight w:val="none"/>
          <w:lang w:val="en-US" w:eastAsia="zh-CN"/>
        </w:rPr>
        <w:t>和《商务技术</w:t>
      </w:r>
      <w:r>
        <w:rPr>
          <w:rFonts w:hint="eastAsia" w:ascii="仿宋" w:hAnsi="仿宋" w:eastAsia="仿宋" w:cs="仿宋"/>
          <w:b/>
          <w:color w:val="auto"/>
          <w:sz w:val="24"/>
          <w:highlight w:val="none"/>
          <w:lang w:val="zh-CN" w:eastAsia="zh-CN"/>
        </w:rPr>
        <w:t>文件</w:t>
      </w:r>
      <w:r>
        <w:rPr>
          <w:rFonts w:hint="eastAsia" w:ascii="仿宋" w:hAnsi="仿宋" w:eastAsia="仿宋" w:cs="仿宋"/>
          <w:b/>
          <w:color w:val="auto"/>
          <w:sz w:val="24"/>
          <w:highlight w:val="none"/>
          <w:lang w:val="en-US" w:eastAsia="zh-CN"/>
        </w:rPr>
        <w:t>》中不得出现本项目投标报价，否则投标无效。</w:t>
      </w:r>
    </w:p>
    <w:p w14:paraId="73DDD51F">
      <w:pPr>
        <w:pStyle w:val="3"/>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479" w:leftChars="228" w:firstLine="0" w:firstLineChars="0"/>
        <w:textAlignment w:val="auto"/>
        <w:rPr>
          <w:rFonts w:hint="eastAsia" w:ascii="仿宋" w:hAnsi="仿宋" w:eastAsia="仿宋" w:cs="仿宋"/>
          <w:b/>
          <w:color w:val="auto"/>
          <w:szCs w:val="24"/>
          <w:highlight w:val="none"/>
        </w:rPr>
      </w:pPr>
      <w:r>
        <w:rPr>
          <w:rFonts w:hint="eastAsia" w:ascii="仿宋" w:hAnsi="仿宋" w:eastAsia="仿宋" w:cs="仿宋"/>
          <w:b/>
          <w:color w:val="auto"/>
          <w:kern w:val="0"/>
          <w:szCs w:val="24"/>
          <w:highlight w:val="none"/>
        </w:rPr>
        <w:t>4.</w:t>
      </w:r>
      <w:r>
        <w:rPr>
          <w:rFonts w:hint="eastAsia" w:ascii="仿宋" w:hAnsi="仿宋" w:eastAsia="仿宋" w:cs="仿宋"/>
          <w:b/>
          <w:color w:val="auto"/>
          <w:szCs w:val="24"/>
          <w:highlight w:val="none"/>
        </w:rPr>
        <w:t>投标文件的编制</w:t>
      </w:r>
      <w:r>
        <w:rPr>
          <w:rFonts w:hint="eastAsia" w:ascii="仿宋" w:hAnsi="仿宋" w:eastAsia="仿宋" w:cs="仿宋"/>
          <w:b/>
          <w:color w:val="auto"/>
          <w:szCs w:val="24"/>
          <w:highlight w:val="none"/>
          <w:lang w:eastAsia="zh-CN"/>
        </w:rPr>
        <w:t>和</w:t>
      </w:r>
      <w:r>
        <w:rPr>
          <w:rFonts w:hint="eastAsia" w:ascii="仿宋" w:hAnsi="仿宋" w:eastAsia="仿宋" w:cs="仿宋"/>
          <w:b/>
          <w:color w:val="auto"/>
          <w:sz w:val="24"/>
          <w:highlight w:val="none"/>
        </w:rPr>
        <w:t>签署</w:t>
      </w:r>
    </w:p>
    <w:p w14:paraId="51CDE7BE">
      <w:pP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BA7C25E">
      <w:pPr>
        <w:snapToGrid w:val="0"/>
        <w:spacing w:line="440" w:lineRule="exact"/>
        <w:ind w:firstLine="480" w:firstLineChars="20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52A29C85">
      <w:pPr>
        <w:snapToGrid w:val="0"/>
        <w:spacing w:line="440" w:lineRule="exact"/>
        <w:ind w:firstLine="480" w:firstLineChars="20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zh-CN"/>
        </w:rPr>
        <w:t>.3使用“政采云电子交易客户端”需要提前申领CA数字证书，申领流程请自行前往“浙江政府采购网-下载专区-电子交易客户端-CA驱动和申领流程”进行查阅。</w:t>
      </w:r>
    </w:p>
    <w:p w14:paraId="14F2E830">
      <w:pPr>
        <w:snapToGrid w:val="0"/>
        <w:spacing w:line="440" w:lineRule="exact"/>
        <w:ind w:firstLine="480" w:firstLineChars="20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4.4</w:t>
      </w:r>
      <w:r>
        <w:rPr>
          <w:rFonts w:hint="eastAsia" w:ascii="仿宋" w:hAnsi="仿宋" w:eastAsia="仿宋" w:cs="仿宋"/>
          <w:color w:val="auto"/>
          <w:sz w:val="24"/>
          <w:highlight w:val="none"/>
          <w:lang w:val="zh-CN"/>
        </w:rPr>
        <w:t>投标文件按照招标文件第六部分格式要求进行签署、盖章。投标人的投标文件未按照招标文件要求签署、盖章的，其投标无效。</w:t>
      </w:r>
    </w:p>
    <w:p w14:paraId="050C6B13">
      <w:pPr>
        <w:snapToGrid w:val="0"/>
        <w:spacing w:line="440" w:lineRule="exact"/>
        <w:ind w:firstLine="480" w:firstLineChars="20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4.5</w:t>
      </w:r>
      <w:r>
        <w:rPr>
          <w:rFonts w:hint="eastAsia" w:ascii="仿宋" w:hAnsi="仿宋" w:eastAsia="仿宋" w:cs="仿宋"/>
          <w:color w:val="auto"/>
          <w:sz w:val="24"/>
          <w:highlight w:val="none"/>
          <w:lang w:val="zh-CN"/>
        </w:rPr>
        <w:t>为确保网上操作合法、有效和安全，投标人应当在投标截止时间前完成在“政府采购云平台”的身份认证，确保在电子投标过程中能够对相关数据电文进行加密和使用</w:t>
      </w:r>
      <w:r>
        <w:rPr>
          <w:rFonts w:hint="eastAsia" w:ascii="仿宋" w:hAnsi="仿宋" w:eastAsia="仿宋" w:cs="仿宋"/>
          <w:color w:val="auto"/>
          <w:sz w:val="24"/>
          <w:highlight w:val="none"/>
          <w:lang w:val="en-US" w:eastAsia="zh-CN"/>
        </w:rPr>
        <w:t>电子签章</w:t>
      </w:r>
      <w:r>
        <w:rPr>
          <w:rFonts w:hint="eastAsia" w:ascii="仿宋" w:hAnsi="仿宋" w:eastAsia="仿宋" w:cs="仿宋"/>
          <w:color w:val="auto"/>
          <w:sz w:val="24"/>
          <w:highlight w:val="none"/>
          <w:lang w:val="zh-CN"/>
        </w:rPr>
        <w:t>。</w:t>
      </w:r>
    </w:p>
    <w:p w14:paraId="0DA6C927">
      <w:pPr>
        <w:snapToGrid w:val="0"/>
        <w:spacing w:line="440" w:lineRule="exact"/>
        <w:ind w:firstLine="480" w:firstLineChars="20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4.6</w:t>
      </w:r>
      <w:r>
        <w:rPr>
          <w:rFonts w:hint="eastAsia" w:ascii="仿宋" w:hAnsi="仿宋" w:eastAsia="仿宋" w:cs="仿宋"/>
          <w:color w:val="auto"/>
          <w:sz w:val="24"/>
          <w:highlight w:val="none"/>
          <w:lang w:val="zh-CN"/>
        </w:rPr>
        <w:t>招标文件对投标文件签署、盖章的要求适用于</w:t>
      </w:r>
      <w:r>
        <w:rPr>
          <w:rFonts w:hint="eastAsia" w:ascii="仿宋" w:hAnsi="仿宋" w:eastAsia="仿宋" w:cs="仿宋"/>
          <w:color w:val="auto"/>
          <w:sz w:val="24"/>
          <w:highlight w:val="none"/>
          <w:lang w:val="en-US" w:eastAsia="zh-CN"/>
        </w:rPr>
        <w:t>电子签章</w:t>
      </w:r>
      <w:r>
        <w:rPr>
          <w:rFonts w:hint="eastAsia" w:ascii="仿宋" w:hAnsi="仿宋" w:eastAsia="仿宋" w:cs="仿宋"/>
          <w:color w:val="auto"/>
          <w:sz w:val="24"/>
          <w:highlight w:val="none"/>
          <w:lang w:val="zh-CN"/>
        </w:rPr>
        <w:t>。</w:t>
      </w:r>
    </w:p>
    <w:p w14:paraId="0FDBD42A">
      <w:pPr>
        <w:pStyle w:val="132"/>
        <w:spacing w:before="0" w:line="440" w:lineRule="exact"/>
        <w:ind w:firstLine="482" w:firstLineChars="200"/>
        <w:rPr>
          <w:rFonts w:hint="eastAsia" w:ascii="仿宋" w:hAnsi="仿宋" w:eastAsia="仿宋" w:cs="仿宋"/>
          <w:b/>
          <w:color w:val="auto"/>
          <w:szCs w:val="24"/>
          <w:highlight w:val="none"/>
        </w:rPr>
      </w:pPr>
      <w:r>
        <w:rPr>
          <w:rFonts w:hint="eastAsia" w:ascii="仿宋" w:hAnsi="仿宋" w:eastAsia="仿宋" w:cs="仿宋"/>
          <w:b/>
          <w:color w:val="auto"/>
          <w:szCs w:val="24"/>
          <w:highlight w:val="none"/>
          <w:lang w:val="en-US" w:eastAsia="zh-CN"/>
        </w:rPr>
        <w:t>5</w:t>
      </w:r>
      <w:r>
        <w:rPr>
          <w:rFonts w:hint="eastAsia" w:ascii="仿宋" w:hAnsi="仿宋" w:eastAsia="仿宋" w:cs="仿宋"/>
          <w:b/>
          <w:color w:val="auto"/>
          <w:szCs w:val="24"/>
          <w:highlight w:val="none"/>
        </w:rPr>
        <w:t>.投标文件的提交、补充、修改、撤回</w:t>
      </w:r>
    </w:p>
    <w:p w14:paraId="18620641">
      <w:pP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E189F9C">
      <w:pP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48B81011">
      <w:pP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14:paraId="68BB09AF">
      <w:pPr>
        <w:adjustRightInd w:val="0"/>
        <w:spacing w:line="440" w:lineRule="exact"/>
        <w:ind w:left="0" w:leftChars="0" w:firstLine="482" w:firstLineChars="200"/>
        <w:jc w:val="both"/>
        <w:rPr>
          <w:rFonts w:hint="eastAsia" w:ascii="仿宋" w:hAnsi="仿宋" w:eastAsia="仿宋" w:cs="仿宋"/>
          <w:b/>
          <w:color w:val="auto"/>
          <w:sz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6.投标有效期</w:t>
      </w:r>
    </w:p>
    <w:p w14:paraId="316F1A75">
      <w:pPr>
        <w:adjustRightInd w:val="0"/>
        <w:snapToGrid w:val="0"/>
        <w:spacing w:line="440" w:lineRule="exact"/>
        <w:ind w:firstLine="480" w:firstLineChars="200"/>
        <w:jc w:val="left"/>
        <w:rPr>
          <w:rFonts w:hint="eastAsia" w:ascii="仿宋" w:hAnsi="仿宋" w:eastAsia="仿宋" w:cs="仿宋"/>
          <w:b/>
          <w:color w:val="auto"/>
          <w:sz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6.1投标有效期为从提交投标文件的截止之日起90天。投标人的投标文件中承诺的投标有效期少于招标文件中载明的投标有效期的，投标无效。</w:t>
      </w:r>
    </w:p>
    <w:p w14:paraId="2E3FB906">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6.2投标文件合格投递后，自投标截止日期起，在投标有效期内有效。</w:t>
      </w:r>
    </w:p>
    <w:p w14:paraId="0BB951D5">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6.3在原定投标有效期满之前，如果出现特殊情况，采购代理机构可以以书面形式通知投标人延长投标有效期。投标人同意延长的，不得要求或被允许修改其投标文件，投标人拒绝延长的，其投标无效。</w:t>
      </w:r>
    </w:p>
    <w:p w14:paraId="382E040F">
      <w:pPr>
        <w:pStyle w:val="132"/>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482" w:firstLineChars="200"/>
        <w:textAlignment w:val="auto"/>
        <w:rPr>
          <w:rFonts w:hint="eastAsia" w:ascii="仿宋" w:hAnsi="仿宋" w:eastAsia="仿宋" w:cs="仿宋"/>
          <w:b w:val="0"/>
          <w:bCs/>
          <w:color w:val="auto"/>
          <w:sz w:val="24"/>
          <w:szCs w:val="16"/>
          <w:highlight w:val="none"/>
        </w:rPr>
      </w:pPr>
      <w:r>
        <w:rPr>
          <w:rFonts w:hint="eastAsia" w:ascii="仿宋" w:hAnsi="仿宋" w:eastAsia="仿宋" w:cs="仿宋"/>
          <w:b/>
          <w:bCs w:val="0"/>
          <w:color w:val="auto"/>
          <w:sz w:val="24"/>
          <w:szCs w:val="16"/>
          <w:highlight w:val="none"/>
          <w:lang w:val="en-US" w:eastAsia="zh-CN"/>
        </w:rPr>
        <w:t>7.</w:t>
      </w:r>
      <w:r>
        <w:rPr>
          <w:rFonts w:hint="eastAsia" w:ascii="仿宋" w:hAnsi="仿宋" w:eastAsia="仿宋" w:cs="仿宋"/>
          <w:b/>
          <w:bCs w:val="0"/>
          <w:color w:val="auto"/>
          <w:sz w:val="24"/>
          <w:szCs w:val="16"/>
          <w:highlight w:val="none"/>
        </w:rPr>
        <w:t>关联投标人投标限制</w:t>
      </w:r>
    </w:p>
    <w:p w14:paraId="5E39CE4F">
      <w:pPr>
        <w:pStyle w:val="132"/>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rPr>
        <w:t>本采购文件所称“关联企业”，是指存在关联关系的企业；“关联关系”的界定适用《中华人民共和国公司法》之规定。</w:t>
      </w:r>
    </w:p>
    <w:p w14:paraId="0513DF0A">
      <w:pPr>
        <w:pStyle w:val="132"/>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lang w:val="en-US" w:eastAsia="zh-CN"/>
        </w:rPr>
        <w:t>7.1</w:t>
      </w:r>
      <w:r>
        <w:rPr>
          <w:rFonts w:hint="eastAsia" w:ascii="仿宋" w:hAnsi="仿宋" w:eastAsia="仿宋" w:cs="仿宋"/>
          <w:b w:val="0"/>
          <w:bCs/>
          <w:color w:val="auto"/>
          <w:sz w:val="24"/>
          <w:szCs w:val="16"/>
          <w:highlight w:val="none"/>
        </w:rPr>
        <w:t>单位负责人为同一人或者存在直接控股、管理关系的不同投标人参加同一合同项下的采购活动的，相关投标人均作资格无效处理。</w:t>
      </w:r>
    </w:p>
    <w:p w14:paraId="2A6ECA5D">
      <w:pPr>
        <w:pStyle w:val="132"/>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lang w:val="en-US" w:eastAsia="zh-CN"/>
        </w:rPr>
        <w:t>7.2</w:t>
      </w:r>
      <w:r>
        <w:rPr>
          <w:rFonts w:hint="eastAsia" w:ascii="仿宋" w:hAnsi="仿宋" w:eastAsia="仿宋" w:cs="仿宋"/>
          <w:b w:val="0"/>
          <w:bCs/>
          <w:color w:val="auto"/>
          <w:sz w:val="24"/>
          <w:szCs w:val="16"/>
          <w:highlight w:val="none"/>
        </w:rPr>
        <w:t>不同投标人之间存在以下利害关系并且存在影响采购公平竞争行为的，不得参加同一合同项下的采购活动，相关投标人的投标均作无效处理：</w:t>
      </w:r>
    </w:p>
    <w:p w14:paraId="1B459600">
      <w:pPr>
        <w:pStyle w:val="132"/>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rPr>
        <w:t>（1）法定代表人或负责人或实际控制人是夫妻关系；</w:t>
      </w:r>
    </w:p>
    <w:p w14:paraId="5DE84F65">
      <w:pPr>
        <w:pStyle w:val="132"/>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rPr>
        <w:t>（2）法定代表人或负责人或实际控制人是直系血亲关系；</w:t>
      </w:r>
    </w:p>
    <w:p w14:paraId="46E95180">
      <w:pPr>
        <w:pStyle w:val="132"/>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rPr>
        <w:t>（3）法定代表人或负责人或实际控制人存在三代以内旁系血亲关系；</w:t>
      </w:r>
    </w:p>
    <w:p w14:paraId="7F21F11E">
      <w:pPr>
        <w:pStyle w:val="132"/>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rPr>
        <w:t>（4）法定代表人或负责人或实际控制人存在近姻亲关系；</w:t>
      </w:r>
    </w:p>
    <w:p w14:paraId="216AECD6">
      <w:pPr>
        <w:pStyle w:val="132"/>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rPr>
        <w:t>（5）法定代表人或负责人或实际控制人存在股份控制或实际控制关系；</w:t>
      </w:r>
    </w:p>
    <w:p w14:paraId="65BA0018">
      <w:pPr>
        <w:pStyle w:val="132"/>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rPr>
        <w:t>（6）存在共同直接或间接投资设立子公司、联营企业和合营企业情况；</w:t>
      </w:r>
    </w:p>
    <w:p w14:paraId="5A7CD252">
      <w:pPr>
        <w:pStyle w:val="132"/>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rPr>
        <w:t>（7）存在分级代理或代销关系、同一生产制造商关系、管理关系、重要业务（占主营业务收入50%以上）或重要财务往来关系（如融资）等其他实质性控制关系。</w:t>
      </w:r>
    </w:p>
    <w:p w14:paraId="247EA052">
      <w:pPr>
        <w:pStyle w:val="132"/>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lang w:val="en-US" w:eastAsia="zh-CN"/>
        </w:rPr>
        <w:t>7.3</w:t>
      </w:r>
      <w:r>
        <w:rPr>
          <w:rFonts w:hint="eastAsia" w:ascii="仿宋" w:hAnsi="仿宋" w:eastAsia="仿宋" w:cs="仿宋"/>
          <w:b w:val="0"/>
          <w:bCs/>
          <w:color w:val="auto"/>
          <w:sz w:val="24"/>
          <w:szCs w:val="16"/>
          <w:highlight w:val="none"/>
        </w:rPr>
        <w:t>除单一来源采购项目外，为采购项目提供整体设计、规范编制或者项目管理、监理、检测等服务的投标人，不得再参加该采购项目的其他采购活动，相关投标人的投标作无效处理。</w:t>
      </w:r>
    </w:p>
    <w:p w14:paraId="73191DB9">
      <w:pPr>
        <w:pStyle w:val="132"/>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仿宋" w:hAnsi="仿宋" w:eastAsia="仿宋" w:cs="仿宋"/>
          <w:b w:val="0"/>
          <w:bCs/>
          <w:color w:val="auto"/>
          <w:sz w:val="24"/>
          <w:szCs w:val="16"/>
          <w:highlight w:val="none"/>
        </w:rPr>
      </w:pPr>
      <w:r>
        <w:rPr>
          <w:rFonts w:hint="eastAsia" w:ascii="仿宋" w:hAnsi="仿宋" w:eastAsia="仿宋" w:cs="仿宋"/>
          <w:b w:val="0"/>
          <w:bCs/>
          <w:color w:val="auto"/>
          <w:sz w:val="24"/>
          <w:szCs w:val="16"/>
          <w:highlight w:val="none"/>
          <w:lang w:val="en-US" w:eastAsia="zh-CN"/>
        </w:rPr>
        <w:t>7.4</w:t>
      </w:r>
      <w:r>
        <w:rPr>
          <w:rFonts w:hint="eastAsia" w:ascii="仿宋" w:hAnsi="仿宋" w:eastAsia="仿宋" w:cs="仿宋"/>
          <w:b w:val="0"/>
          <w:bCs/>
          <w:color w:val="auto"/>
          <w:sz w:val="24"/>
          <w:szCs w:val="16"/>
          <w:highlight w:val="none"/>
        </w:rPr>
        <w:t>（综合评分法、单一产品采购项目适用）提供相同品牌产品且通过资格审查、符合性审查的不同投标人参加同一合同项下投标的，按一家投标人计算，评审后综合得分最高的同品牌投标人获得中标单位推荐资格；综合得分相同时，投标报价最低的投标人获得中标单位推荐资格；综合得分和投标报价均相同时，商务技术分最高的投标人获得中标单位推荐资格；综合得分、投标报价、商务技术分均相同时，由评标委员会按少数服从多数的原则，集体决定；其他同品牌投标人不作为中标候选人。</w:t>
      </w:r>
    </w:p>
    <w:p w14:paraId="0BD7E3E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b/>
          <w:bCs/>
          <w:i w:val="0"/>
          <w:iCs w:val="0"/>
          <w:color w:val="auto"/>
          <w:kern w:val="2"/>
          <w:sz w:val="24"/>
          <w:szCs w:val="24"/>
          <w:highlight w:val="none"/>
          <w:vertAlign w:val="baseline"/>
          <w:lang w:val="en-US" w:eastAsia="zh-CN" w:bidi="ar-SA"/>
        </w:rPr>
      </w:pPr>
      <w:r>
        <w:rPr>
          <w:rFonts w:hint="eastAsia" w:ascii="仿宋" w:hAnsi="仿宋" w:eastAsia="仿宋" w:cs="仿宋"/>
          <w:b w:val="0"/>
          <w:bCs/>
          <w:color w:val="auto"/>
          <w:sz w:val="24"/>
          <w:szCs w:val="16"/>
          <w:highlight w:val="none"/>
          <w:lang w:val="en-US" w:eastAsia="zh-CN"/>
        </w:rPr>
        <w:t>7.5</w:t>
      </w:r>
      <w:r>
        <w:rPr>
          <w:rFonts w:hint="eastAsia" w:ascii="仿宋" w:hAnsi="仿宋" w:eastAsia="仿宋" w:cs="仿宋"/>
          <w:b w:val="0"/>
          <w:bCs/>
          <w:color w:val="auto"/>
          <w:sz w:val="24"/>
          <w:szCs w:val="16"/>
          <w:highlight w:val="none"/>
        </w:rPr>
        <w:t>（综合评分法、非单一产品采购项目适用）通过资格审查、符合性审查的不同投标人参加同一合同项下投标时，提供的核心产品品牌均相同的，按照上条款处理。</w:t>
      </w:r>
    </w:p>
    <w:p w14:paraId="753917CB">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2"/>
          <w:szCs w:val="32"/>
          <w:highlight w:val="none"/>
        </w:rPr>
      </w:pPr>
      <w:bookmarkStart w:id="54" w:name="_Toc91899903"/>
      <w:r>
        <w:rPr>
          <w:rFonts w:hint="eastAsia" w:ascii="仿宋" w:hAnsi="仿宋" w:eastAsia="仿宋" w:cs="仿宋"/>
          <w:b/>
          <w:color w:val="auto"/>
          <w:sz w:val="32"/>
          <w:szCs w:val="32"/>
          <w:highlight w:val="none"/>
        </w:rPr>
        <w:t>四、开标和评标</w:t>
      </w:r>
    </w:p>
    <w:p w14:paraId="68717C4E">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1．电子招投标开标及评审程序</w:t>
      </w:r>
    </w:p>
    <w:p w14:paraId="406E11D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1.1投标截止时间后，主持人宣布开标会开始。</w:t>
      </w:r>
    </w:p>
    <w:p w14:paraId="6BCEA2C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1.2投标人登录政采云平台，用“项目采购-开标评标”功能对电子投标文件进行在线解密。在线解密电子投标文件时间为开标时间起30分钟内。</w:t>
      </w:r>
    </w:p>
    <w:p w14:paraId="3693A1B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1.3评标委员会对资格和商务技术响应文件进行评审。</w:t>
      </w:r>
    </w:p>
    <w:p w14:paraId="68EEB55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1.4主持人宣布商务技术得分及无效（废）投标情形（如有），公布经商务技术评审符合招标文件要求的投标人名单及其商务技术得分。</w:t>
      </w:r>
    </w:p>
    <w:p w14:paraId="30303C2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1.5启封报价文件资料</w:t>
      </w:r>
      <w:r>
        <w:rPr>
          <w:rFonts w:hint="eastAsia" w:ascii="仿宋" w:hAnsi="仿宋" w:eastAsia="仿宋" w:cs="仿宋"/>
          <w:strike w:val="0"/>
          <w:dstrike w:val="0"/>
          <w:color w:val="auto"/>
          <w:sz w:val="24"/>
          <w:highlight w:val="none"/>
          <w:lang w:val="en-US" w:eastAsia="zh-CN"/>
        </w:rPr>
        <w:t>。</w:t>
      </w:r>
    </w:p>
    <w:p w14:paraId="5CBDF27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1.6评标委员会对投标文件报价文件资料进行评审，核准投标报价及计算价格分，汇总商务技术分、价格分，根据得分排序确定中标候选人。</w:t>
      </w:r>
    </w:p>
    <w:p w14:paraId="1FE71E4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1.7主持人公布评标结果。</w:t>
      </w:r>
    </w:p>
    <w:p w14:paraId="15298C45">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特别说明：政采云公司如对电子化开标及评审程序有调整的，按调整后的程序操作。</w:t>
      </w:r>
    </w:p>
    <w:p w14:paraId="0ED8C168">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2.采购过程中出现以下情形，导致电子交易平台无法正常运行，或者无法保证电子交易的公平、公正和安全时，采购组织机构可中止电子交易活动：</w:t>
      </w:r>
    </w:p>
    <w:p w14:paraId="7FD30EF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2.1电子交易平台发生故障而无法登录访问的； </w:t>
      </w:r>
    </w:p>
    <w:p w14:paraId="475A3D2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2.2电子交易平台应用或数据库出现错误，不能进行正常操作的；</w:t>
      </w:r>
    </w:p>
    <w:p w14:paraId="166FF3B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2.3电子交易平台发现严重安全漏洞，有潜在泄密危险的；</w:t>
      </w:r>
    </w:p>
    <w:p w14:paraId="6A5F53D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2.4病毒发作导致不能进行正常操作的； </w:t>
      </w:r>
    </w:p>
    <w:p w14:paraId="722FEF1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2.5其他无法保证电子交易的公平、公正和安全的情况。</w:t>
      </w:r>
    </w:p>
    <w:p w14:paraId="420B323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3848F367">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评标</w:t>
      </w:r>
    </w:p>
    <w:p w14:paraId="1AF9209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3.1评标委员会由招标采购单位依法组建，负责评标活动。评标委员会遵循公开、公平、公正、科学合理、竞争择优的原则。</w:t>
      </w:r>
    </w:p>
    <w:p w14:paraId="51806CB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3.2评标委员会由采购人代表和有关方面的专家组成，成员人数为五人（含）以上单数。</w:t>
      </w:r>
    </w:p>
    <w:p w14:paraId="01FE7DB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3.3评标委员会负责对投标人资格的最终审定。</w:t>
      </w:r>
    </w:p>
    <w:p w14:paraId="621AC27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3.4评标委员会可以要求投标人对其投标文件中含义不明确的内容作必要的澄清或者说明，但澄清或者说明不得超过投标文件的范围或者改变投标文件的实质性内容。</w:t>
      </w:r>
    </w:p>
    <w:p w14:paraId="036F545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4B350C5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供应商通过政采云平台交换的数据电文必须进行电子签章。</w:t>
      </w:r>
    </w:p>
    <w:p w14:paraId="28B6267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49B2B31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3.6评标委员会对投标文件的判定，只依据投标文件和招标文件内容本身，不依据任何外来证明。</w:t>
      </w:r>
    </w:p>
    <w:p w14:paraId="7C6E16F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val="en-US" w:eastAsia="zh-CN"/>
        </w:rPr>
        <w:t>3.7评标委员会不向落标方解释落标的原因。</w:t>
      </w:r>
    </w:p>
    <w:p w14:paraId="7529A1FE">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投标文件的初审鉴定</w:t>
      </w:r>
    </w:p>
    <w:p w14:paraId="653D5F3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4.1资格性审查</w:t>
      </w:r>
    </w:p>
    <w:p w14:paraId="64A172E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4.1.1依据法律、法规和招标文件规定，采购人或采购人代表对投标人进行资格审查，以确定投标人是否具备投标资格。</w:t>
      </w:r>
    </w:p>
    <w:p w14:paraId="7114B7D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4.2符合性审查</w:t>
      </w:r>
    </w:p>
    <w:p w14:paraId="6ADA230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64F7B00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4.3如果投标文件实质不响应招标文件的各项要求，评标委员会将予以拒绝，并且不允许投标人通过修改或撤销其不符合要求的差异或保留，使之成为具有实质性响应的投标。</w:t>
      </w:r>
    </w:p>
    <w:p w14:paraId="5A768CB7">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5.</w:t>
      </w:r>
      <w:r>
        <w:rPr>
          <w:rFonts w:hint="eastAsia" w:ascii="仿宋" w:hAnsi="仿宋" w:eastAsia="仿宋" w:cs="仿宋"/>
          <w:b/>
          <w:color w:val="auto"/>
          <w:sz w:val="24"/>
          <w:highlight w:val="none"/>
        </w:rPr>
        <w:t>投标文件报价出现前后不一致的，按照下列规定修正：</w:t>
      </w:r>
    </w:p>
    <w:p w14:paraId="7211441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5.1投标文件中开标一览表内容与投标文件中相应内容不一致的，以开标一览表为准；</w:t>
      </w:r>
    </w:p>
    <w:p w14:paraId="10BDD64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5.2大写金额和小写金额不一致的，以大写金额为准；</w:t>
      </w:r>
    </w:p>
    <w:p w14:paraId="5D33EC9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5.3单价金额小数点或者百分比有明显错位的，以开标一览表的总价为准，并修改单价；</w:t>
      </w:r>
    </w:p>
    <w:p w14:paraId="5F9F6D4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5.4总价金额与按单价汇总金额不一致的，以单价金额计算结果为准。</w:t>
      </w:r>
    </w:p>
    <w:p w14:paraId="5A75814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同时出现两种以上不一致的，按照前款规定的顺序修正。修正后的报价按照财政部公布第87号令《政府采购货物和服务招标投标管理办法》第五十一条第二款的规定经投标人确认后产生约束力，投标人不确认的，其投标无效。</w:t>
      </w:r>
    </w:p>
    <w:p w14:paraId="457531FA">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6.投标文件的评审、比较和否决</w:t>
      </w:r>
    </w:p>
    <w:p w14:paraId="0BB6B98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6.1评标委员会将对在实质上响应招标文件要求的投标文件进行评估和比较。</w:t>
      </w:r>
    </w:p>
    <w:p w14:paraId="2897630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074F3B1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6.3在评标过程中，如发现与招标文件要求相偏离的，评标委员会可对其偏离情形进行必要的核实。</w:t>
      </w:r>
    </w:p>
    <w:p w14:paraId="40B4C61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6.4在评审过程中，如属于实质性偏离或符合无效响应条件的，应当询问相关投标人，并可对其通过政采云平台进行线上确认，但不允许对偏离条款进行补充、修正或撤回。</w:t>
      </w:r>
    </w:p>
    <w:p w14:paraId="3797C10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6.5比较与评价。评标委员会应当按照评标标准，对符合性审查合格的投标文件进行商务和技术评估，综合比较与评价。</w:t>
      </w:r>
    </w:p>
    <w:p w14:paraId="290D996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6.6汇总（商务技术得分情况）。评标委员会各成员应当独立对每个投标人的商务技术文件进行评价，并汇总商务技术得分情况。</w:t>
      </w:r>
    </w:p>
    <w:p w14:paraId="4D4C612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 报价审核。对符合采购需求且通过商务技术（资信）评审的投标人的报价的合理性、准确性等进行审查核实。</w:t>
      </w:r>
    </w:p>
    <w:p w14:paraId="030675F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3459923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6.7.2根据财政部发布的《政府采购促进中小企业发展暂行办法》规定，对于非专门面向中小企业的项目，对小型和微型企业产品的价格给予一定的扣除，用扣除后的价格参与评审。</w:t>
      </w:r>
    </w:p>
    <w:p w14:paraId="6DCAE0D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6.7.3如需投标价格修正，按财政部87号令第五十九条的规定对投标价格进行修正。</w:t>
      </w:r>
    </w:p>
    <w:p w14:paraId="7ED6693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0D30195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highlight w:val="none"/>
        </w:rPr>
      </w:pPr>
      <w:r>
        <w:rPr>
          <w:rFonts w:hint="eastAsia" w:ascii="仿宋" w:hAnsi="仿宋" w:eastAsia="仿宋" w:cs="仿宋"/>
          <w:b/>
          <w:color w:val="auto"/>
          <w:sz w:val="24"/>
          <w:szCs w:val="32"/>
          <w:highlight w:val="none"/>
        </w:rPr>
        <w:t>7.投标文件的澄清</w:t>
      </w:r>
    </w:p>
    <w:p w14:paraId="0A5AC837">
      <w:pPr>
        <w:pStyle w:val="19"/>
        <w:keepNext w:val="0"/>
        <w:keepLines w:val="0"/>
        <w:pageBreakBefore w:val="0"/>
        <w:widowControl w:val="0"/>
        <w:tabs>
          <w:tab w:val="clear" w:pos="390"/>
          <w:tab w:val="clear" w:pos="454"/>
        </w:tabs>
        <w:kinsoku/>
        <w:wordWrap/>
        <w:overflowPunct/>
        <w:topLinePunct w:val="0"/>
        <w:autoSpaceDE/>
        <w:autoSpaceDN/>
        <w:bidi w:val="0"/>
        <w:spacing w:after="0" w:afterLines="0" w:line="440" w:lineRule="exact"/>
        <w:ind w:lef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14:paraId="079099F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8.无效</w:t>
      </w:r>
      <w:r>
        <w:rPr>
          <w:rFonts w:hint="eastAsia" w:ascii="仿宋" w:hAnsi="仿宋" w:eastAsia="仿宋" w:cs="仿宋"/>
          <w:b/>
          <w:color w:val="auto"/>
          <w:sz w:val="24"/>
          <w:szCs w:val="32"/>
          <w:highlight w:val="none"/>
        </w:rPr>
        <w:t>投标</w:t>
      </w:r>
      <w:r>
        <w:rPr>
          <w:rFonts w:hint="eastAsia" w:ascii="仿宋" w:hAnsi="仿宋" w:eastAsia="仿宋" w:cs="仿宋"/>
          <w:b/>
          <w:color w:val="auto"/>
          <w:sz w:val="24"/>
          <w:szCs w:val="24"/>
          <w:highlight w:val="none"/>
        </w:rPr>
        <w:t>的情形</w:t>
      </w:r>
    </w:p>
    <w:p w14:paraId="323E36AF">
      <w:pPr>
        <w:keepNext w:val="0"/>
        <w:keepLines w:val="0"/>
        <w:pageBreakBefore w:val="0"/>
        <w:widowControl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投标文件有下列情形之一的作无效投标处理：</w:t>
      </w:r>
    </w:p>
    <w:p w14:paraId="1E402E0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8.1未按照招标文件规定要求电子签章、签字或盖章的；</w:t>
      </w:r>
    </w:p>
    <w:p w14:paraId="7E3E5D9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8.2单位负责人为同一人或者存在直接控股、管理关系的不同供应商参加同一合同项下的政府采购活动的（均无效）；</w:t>
      </w:r>
    </w:p>
    <w:p w14:paraId="32D0A65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8.3为采购项目提供整体设计、规范编制或者项目管理、监理、检测等服务的供应商参加该采购项目的其他采购活动的； </w:t>
      </w:r>
    </w:p>
    <w:p w14:paraId="3EF04F6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8.4投标人未提供招标文件中规定的基本资格条件书面承诺函的，或投标人未提供有效的特定资格证明文件的，视为投标人不具备招标文件中规定的资格要求；</w:t>
      </w:r>
    </w:p>
    <w:p w14:paraId="598939E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8.5《法定代表人身份证明书》与提供的身份证复印件信息不符的；《法定代表人授权委托书》与提供的身份证复印件信息不符的；</w:t>
      </w:r>
    </w:p>
    <w:p w14:paraId="462937E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8.6《法定代表人授权委托书》或《法定代表人身份证明书》填写不全、错误、未电子签章(《法定代表人授权委托书》要求“电子签章”和“签字或盖章”缺一不可）的；</w:t>
      </w:r>
    </w:p>
    <w:p w14:paraId="67D03E4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8.7授权代表非投标单位正式职工的（以社保证明为准，如授权代表为离退休返聘人员的，需提供退休证明及单位聘用证明），法定代表人及个体工商户除外；</w:t>
      </w:r>
    </w:p>
    <w:p w14:paraId="3CBA21D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8.8投标文件中的投标函无投标人的电子签章或填写不全的；</w:t>
      </w:r>
    </w:p>
    <w:p w14:paraId="7A9CA85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8.9报价一经涂改，未在涂改处加盖投标单位公章或者未经法定代表人或其授权代表签字或盖章的；</w:t>
      </w:r>
    </w:p>
    <w:p w14:paraId="68D3CB5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8.10未按招标文件规定的格式填写，或对招标服务或技术或产品等要求未详细应答或应答内容不全、有缺失的,经评标委员会认定为无法评审的；</w:t>
      </w:r>
    </w:p>
    <w:p w14:paraId="6C2AB52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8.11出现同一标的物或本次招标产品(服务)内的主要产品(重要组成部分)出现商务技术文件资料、报价文件资料描述不一致或前后描述不一致，经评标委员会认定后为无法评审的；</w:t>
      </w:r>
    </w:p>
    <w:p w14:paraId="4213726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8.12《技术偏离表》不真实填写或弄虚作假的；</w:t>
      </w:r>
    </w:p>
    <w:p w14:paraId="33CE9BD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rPr>
        <w:t>8.13评标委员会认定有重大偏差或标“★”实质性不响应招标文件要求的</w:t>
      </w:r>
      <w:r>
        <w:rPr>
          <w:rFonts w:hint="eastAsia" w:ascii="仿宋" w:hAnsi="仿宋" w:eastAsia="仿宋" w:cs="仿宋"/>
          <w:b/>
          <w:color w:val="auto"/>
          <w:sz w:val="24"/>
          <w:highlight w:val="none"/>
          <w:lang w:eastAsia="zh-CN"/>
        </w:rPr>
        <w:t>；</w:t>
      </w:r>
    </w:p>
    <w:p w14:paraId="5A4D136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w:t>
      </w:r>
      <w:r>
        <w:rPr>
          <w:rFonts w:hint="eastAsia" w:ascii="仿宋" w:hAnsi="仿宋" w:eastAsia="仿宋" w:cs="仿宋"/>
          <w:b/>
          <w:color w:val="auto"/>
          <w:sz w:val="24"/>
          <w:highlight w:val="none"/>
          <w:lang w:val="en-US" w:eastAsia="zh-CN"/>
        </w:rPr>
        <w:t>14</w:t>
      </w:r>
      <w:r>
        <w:rPr>
          <w:rFonts w:hint="eastAsia" w:ascii="仿宋" w:hAnsi="仿宋" w:eastAsia="仿宋" w:cs="仿宋"/>
          <w:b/>
          <w:color w:val="auto"/>
          <w:sz w:val="24"/>
          <w:highlight w:val="none"/>
        </w:rPr>
        <w:t>投标人递交两份或两份以上内容不同的投标文件，且未声明哪一份有效的；</w:t>
      </w:r>
    </w:p>
    <w:p w14:paraId="007A771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8.15</w:t>
      </w:r>
      <w:r>
        <w:rPr>
          <w:rFonts w:hint="eastAsia" w:ascii="仿宋" w:hAnsi="仿宋" w:eastAsia="仿宋" w:cs="仿宋"/>
          <w:b/>
          <w:color w:val="auto"/>
          <w:sz w:val="24"/>
          <w:highlight w:val="none"/>
        </w:rPr>
        <w:t>投标文件含有采购人不能接受的附加条件；</w:t>
      </w:r>
    </w:p>
    <w:p w14:paraId="4BC5124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w:t>
      </w: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评标委员会认为投标人的报价明显低于其他通过符合性审查投标人的报价，有可能影响产品质量或者不能诚信履约的，未能按要求提供书面说明或者提交相关证明材料证明其报价合理性的;</w:t>
      </w:r>
    </w:p>
    <w:p w14:paraId="1B970FE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w:t>
      </w: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报价超过招标文件中规定的预算金额或最高限价的；</w:t>
      </w:r>
    </w:p>
    <w:p w14:paraId="04A9899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w:t>
      </w:r>
      <w:r>
        <w:rPr>
          <w:rFonts w:hint="eastAsia" w:ascii="仿宋" w:hAnsi="仿宋" w:eastAsia="仿宋" w:cs="仿宋"/>
          <w:b/>
          <w:color w:val="auto"/>
          <w:sz w:val="24"/>
          <w:highlight w:val="none"/>
          <w:lang w:val="en-US" w:eastAsia="zh-CN"/>
        </w:rPr>
        <w:t>8</w:t>
      </w:r>
      <w:r>
        <w:rPr>
          <w:rFonts w:hint="eastAsia" w:ascii="仿宋" w:hAnsi="仿宋" w:eastAsia="仿宋" w:cs="仿宋"/>
          <w:b/>
          <w:color w:val="auto"/>
          <w:sz w:val="24"/>
          <w:highlight w:val="none"/>
        </w:rPr>
        <w:t>投标文件“商务技术文件资料”部分中出现《开标一览表》相关内容的；</w:t>
      </w:r>
    </w:p>
    <w:p w14:paraId="39B5E40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w:t>
      </w:r>
      <w:r>
        <w:rPr>
          <w:rFonts w:hint="eastAsia" w:ascii="仿宋" w:hAnsi="仿宋" w:eastAsia="仿宋" w:cs="仿宋"/>
          <w:b/>
          <w:color w:val="auto"/>
          <w:sz w:val="24"/>
          <w:highlight w:val="none"/>
          <w:lang w:val="en-US" w:eastAsia="zh-CN"/>
        </w:rPr>
        <w:t>9</w:t>
      </w:r>
      <w:r>
        <w:rPr>
          <w:rFonts w:hint="eastAsia" w:ascii="仿宋" w:hAnsi="仿宋" w:eastAsia="仿宋" w:cs="仿宋"/>
          <w:b/>
          <w:color w:val="auto"/>
          <w:sz w:val="24"/>
          <w:highlight w:val="none"/>
        </w:rPr>
        <w:t>采购人拟采购的产品属于政府强制采购的节能产品品目清单范围的，投标人未按招标文件要求提供国家确定的认证机构出具的、处于有效期之内的节能产品认证证书的；</w:t>
      </w:r>
    </w:p>
    <w:p w14:paraId="02A007F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w:t>
      </w:r>
      <w:r>
        <w:rPr>
          <w:rFonts w:hint="eastAsia" w:ascii="仿宋" w:hAnsi="仿宋" w:eastAsia="仿宋" w:cs="仿宋"/>
          <w:b/>
          <w:color w:val="auto"/>
          <w:sz w:val="24"/>
          <w:highlight w:val="none"/>
          <w:lang w:val="en-US" w:eastAsia="zh-CN"/>
        </w:rPr>
        <w:t>20</w:t>
      </w:r>
      <w:r>
        <w:rPr>
          <w:rFonts w:hint="eastAsia" w:ascii="仿宋" w:hAnsi="仿宋" w:eastAsia="仿宋" w:cs="仿宋"/>
          <w:b/>
          <w:color w:val="auto"/>
          <w:sz w:val="24"/>
          <w:highlight w:val="none"/>
        </w:rPr>
        <w:t>《开标一览表》填写不完整或字迹不能辨认或有漏项的，经评标委员会认定属于重大偏差的；</w:t>
      </w:r>
    </w:p>
    <w:p w14:paraId="260C6D7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w:t>
      </w:r>
      <w:r>
        <w:rPr>
          <w:rFonts w:hint="eastAsia" w:ascii="仿宋" w:hAnsi="仿宋" w:eastAsia="仿宋" w:cs="仿宋"/>
          <w:b/>
          <w:color w:val="auto"/>
          <w:sz w:val="24"/>
          <w:highlight w:val="none"/>
          <w:lang w:val="en-US" w:eastAsia="zh-CN"/>
        </w:rPr>
        <w:t>21</w:t>
      </w:r>
      <w:r>
        <w:rPr>
          <w:rFonts w:hint="eastAsia" w:ascii="仿宋" w:hAnsi="仿宋" w:eastAsia="仿宋" w:cs="仿宋"/>
          <w:b/>
          <w:color w:val="auto"/>
          <w:sz w:val="24"/>
          <w:highlight w:val="none"/>
        </w:rPr>
        <w:t>投标人对根据修正原则修正后的报价不确认的；</w:t>
      </w:r>
    </w:p>
    <w:p w14:paraId="346AD1E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w:t>
      </w:r>
      <w:r>
        <w:rPr>
          <w:rFonts w:hint="eastAsia" w:ascii="仿宋" w:hAnsi="仿宋" w:eastAsia="仿宋" w:cs="仿宋"/>
          <w:b/>
          <w:color w:val="auto"/>
          <w:sz w:val="24"/>
          <w:highlight w:val="none"/>
          <w:lang w:val="en-US" w:eastAsia="zh-CN"/>
        </w:rPr>
        <w:t>22</w:t>
      </w:r>
      <w:r>
        <w:rPr>
          <w:rFonts w:hint="eastAsia" w:ascii="仿宋" w:hAnsi="仿宋" w:eastAsia="仿宋" w:cs="仿宋"/>
          <w:b/>
          <w:color w:val="auto"/>
          <w:sz w:val="24"/>
          <w:highlight w:val="none"/>
        </w:rPr>
        <w:t>投标人提供虚假材料投标的（包括但不限于以下情节）；</w:t>
      </w:r>
    </w:p>
    <w:p w14:paraId="2676FCC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22</w:t>
      </w:r>
      <w:r>
        <w:rPr>
          <w:rFonts w:hint="eastAsia" w:ascii="仿宋" w:hAnsi="仿宋" w:eastAsia="仿宋" w:cs="仿宋"/>
          <w:color w:val="auto"/>
          <w:sz w:val="24"/>
          <w:highlight w:val="none"/>
        </w:rPr>
        <w:t>.1使用伪造、变造的许可证件；</w:t>
      </w:r>
    </w:p>
    <w:p w14:paraId="63E392C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22</w:t>
      </w:r>
      <w:r>
        <w:rPr>
          <w:rFonts w:hint="eastAsia" w:ascii="仿宋" w:hAnsi="仿宋" w:eastAsia="仿宋" w:cs="仿宋"/>
          <w:color w:val="auto"/>
          <w:sz w:val="24"/>
          <w:highlight w:val="none"/>
        </w:rPr>
        <w:t>.2提供虚假的财务状况或者业绩；</w:t>
      </w:r>
    </w:p>
    <w:p w14:paraId="2E77EDF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22</w:t>
      </w:r>
      <w:r>
        <w:rPr>
          <w:rFonts w:hint="eastAsia" w:ascii="仿宋" w:hAnsi="仿宋" w:eastAsia="仿宋" w:cs="仿宋"/>
          <w:color w:val="auto"/>
          <w:sz w:val="24"/>
          <w:highlight w:val="none"/>
        </w:rPr>
        <w:t>.3提供虚假的项目负责人或者主要技术人员简历、劳动关系证明；</w:t>
      </w:r>
    </w:p>
    <w:p w14:paraId="7B2356C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22</w:t>
      </w:r>
      <w:r>
        <w:rPr>
          <w:rFonts w:hint="eastAsia" w:ascii="仿宋" w:hAnsi="仿宋" w:eastAsia="仿宋" w:cs="仿宋"/>
          <w:color w:val="auto"/>
          <w:sz w:val="24"/>
          <w:highlight w:val="none"/>
        </w:rPr>
        <w:t>.4提供虚假的信用状况；</w:t>
      </w:r>
    </w:p>
    <w:p w14:paraId="6E5DFBB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22</w:t>
      </w:r>
      <w:r>
        <w:rPr>
          <w:rFonts w:hint="eastAsia" w:ascii="仿宋" w:hAnsi="仿宋" w:eastAsia="仿宋" w:cs="仿宋"/>
          <w:color w:val="auto"/>
          <w:sz w:val="24"/>
          <w:highlight w:val="none"/>
        </w:rPr>
        <w:t>.5其他弄虚作假的行为。</w:t>
      </w:r>
    </w:p>
    <w:p w14:paraId="474FF9B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w:t>
      </w:r>
      <w:r>
        <w:rPr>
          <w:rFonts w:hint="eastAsia" w:ascii="仿宋" w:hAnsi="仿宋" w:eastAsia="仿宋" w:cs="仿宋"/>
          <w:b/>
          <w:color w:val="auto"/>
          <w:sz w:val="24"/>
          <w:highlight w:val="none"/>
          <w:lang w:val="en-US" w:eastAsia="zh-CN"/>
        </w:rPr>
        <w:t>3</w:t>
      </w:r>
      <w:r>
        <w:rPr>
          <w:rFonts w:hint="eastAsia" w:ascii="仿宋" w:hAnsi="仿宋" w:eastAsia="仿宋" w:cs="仿宋"/>
          <w:b/>
          <w:color w:val="auto"/>
          <w:sz w:val="24"/>
          <w:highlight w:val="none"/>
        </w:rPr>
        <w:t>下列情形之一的，视为投标人串通投标，其投标无效：</w:t>
      </w:r>
    </w:p>
    <w:p w14:paraId="0F51AF1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23</w:t>
      </w:r>
      <w:r>
        <w:rPr>
          <w:rFonts w:hint="eastAsia" w:ascii="仿宋" w:hAnsi="仿宋" w:eastAsia="仿宋" w:cs="仿宋"/>
          <w:color w:val="auto"/>
          <w:sz w:val="24"/>
          <w:highlight w:val="none"/>
        </w:rPr>
        <w:t>.1不同投标人的投标文件由同一单位或者个人编制；</w:t>
      </w:r>
    </w:p>
    <w:p w14:paraId="5E9CEAF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23</w:t>
      </w:r>
      <w:r>
        <w:rPr>
          <w:rFonts w:hint="eastAsia" w:ascii="仿宋" w:hAnsi="仿宋" w:eastAsia="仿宋" w:cs="仿宋"/>
          <w:color w:val="auto"/>
          <w:sz w:val="24"/>
          <w:highlight w:val="none"/>
        </w:rPr>
        <w:t>.2不同投标人委托同一单位或者个人办理投标事宜；</w:t>
      </w:r>
    </w:p>
    <w:p w14:paraId="3C451A5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23</w:t>
      </w:r>
      <w:r>
        <w:rPr>
          <w:rFonts w:hint="eastAsia" w:ascii="仿宋" w:hAnsi="仿宋" w:eastAsia="仿宋" w:cs="仿宋"/>
          <w:color w:val="auto"/>
          <w:sz w:val="24"/>
          <w:highlight w:val="none"/>
        </w:rPr>
        <w:t>.3不同投标人的投标文件载明的项目管理成员或者联系人员为同一人；</w:t>
      </w:r>
    </w:p>
    <w:p w14:paraId="4F06ABB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23</w:t>
      </w:r>
      <w:r>
        <w:rPr>
          <w:rFonts w:hint="eastAsia" w:ascii="仿宋" w:hAnsi="仿宋" w:eastAsia="仿宋" w:cs="仿宋"/>
          <w:color w:val="auto"/>
          <w:sz w:val="24"/>
          <w:highlight w:val="none"/>
        </w:rPr>
        <w:t>.4不同投标人的投标文件异常一致或者投标报价呈规律性差异；</w:t>
      </w:r>
    </w:p>
    <w:p w14:paraId="6766801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23</w:t>
      </w:r>
      <w:r>
        <w:rPr>
          <w:rFonts w:hint="eastAsia" w:ascii="仿宋" w:hAnsi="仿宋" w:eastAsia="仿宋" w:cs="仿宋"/>
          <w:color w:val="auto"/>
          <w:sz w:val="24"/>
          <w:highlight w:val="none"/>
        </w:rPr>
        <w:t>.5不同投标人的投标文件相互混装；</w:t>
      </w:r>
    </w:p>
    <w:p w14:paraId="4970089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23</w:t>
      </w:r>
      <w:r>
        <w:rPr>
          <w:rFonts w:hint="eastAsia" w:ascii="仿宋" w:hAnsi="仿宋" w:eastAsia="仿宋" w:cs="仿宋"/>
          <w:color w:val="auto"/>
          <w:sz w:val="24"/>
          <w:highlight w:val="none"/>
        </w:rPr>
        <w:t>.6有二份及二份以上投标文件的相互之间有特别相同或相似之处，且经询标澄清投标人无令人信服的理由和可靠证据证明其合理性的，经评标委员会半数以上成员确认有串通投标嫌疑的；</w:t>
      </w:r>
    </w:p>
    <w:p w14:paraId="493CCE2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w:t>
      </w: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有下列情形之一的，属于恶意串通，其投标无效：</w:t>
      </w:r>
    </w:p>
    <w:p w14:paraId="2875E73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.1供应商直接或者间接从采购人或者采购机构处获得其他供应商的相关情况并修改其投标文件或者响应文件；</w:t>
      </w:r>
    </w:p>
    <w:p w14:paraId="77697D4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.2供应商按照采购人或者采购机构的授意撤换、修改投标文件或者响应文件；</w:t>
      </w:r>
    </w:p>
    <w:p w14:paraId="7CA2019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.3供应商之间协商报价、技术方案等投标文件或者响应文件的实质性内容；</w:t>
      </w:r>
    </w:p>
    <w:p w14:paraId="5094665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.4属于同一集团、协会、商会等组织成员的供应商按照该组织要求协同参加政府采购活动；</w:t>
      </w:r>
    </w:p>
    <w:p w14:paraId="6733A1B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.5供应商之间事先约定由某一特定供应商中标、成交；</w:t>
      </w:r>
    </w:p>
    <w:p w14:paraId="53700C9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.6供应商之间商定部分供应商放弃参加政府采购活动或者放弃中标、成交；</w:t>
      </w:r>
    </w:p>
    <w:p w14:paraId="62F5903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.7供应商与采购人或者采购机构之间、供应商相互之间，为谋求特定供应商中标、成交或者排斥其他供应商的其他串通行为。</w:t>
      </w:r>
    </w:p>
    <w:p w14:paraId="6D329067">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w:t>
      </w: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评标委员会认定有重大偏差或实质性不响应招标文件要求的；</w:t>
      </w:r>
    </w:p>
    <w:p w14:paraId="4BF701F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en-US" w:eastAsia="zh-CN"/>
        </w:rPr>
        <w:t>26</w:t>
      </w:r>
      <w:r>
        <w:rPr>
          <w:rFonts w:hint="eastAsia" w:ascii="仿宋" w:hAnsi="仿宋" w:eastAsia="仿宋" w:cs="仿宋"/>
          <w:color w:val="auto"/>
          <w:sz w:val="24"/>
          <w:highlight w:val="none"/>
        </w:rPr>
        <w:t>投标文件出现不是唯一的、有选择性投标报价的；</w:t>
      </w:r>
    </w:p>
    <w:p w14:paraId="64AE2DF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8.27未按招标文件要求提供样品或提供样品不满足采购需求实质性条件的；</w:t>
      </w:r>
    </w:p>
    <w:p w14:paraId="42C7D25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8.28</w:t>
      </w:r>
      <w:r>
        <w:rPr>
          <w:rFonts w:hint="eastAsia" w:ascii="仿宋" w:hAnsi="仿宋" w:eastAsia="仿宋" w:cs="仿宋"/>
          <w:b/>
          <w:bCs/>
          <w:color w:val="auto"/>
          <w:sz w:val="24"/>
          <w:highlight w:val="none"/>
          <w:lang w:val="en-US"/>
        </w:rPr>
        <w:t>参与同一个采购包(标段)的供应商存在下列情形之一的其投标(响应)文件无效:</w:t>
      </w:r>
    </w:p>
    <w:p w14:paraId="03E43E7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8.28.1</w:t>
      </w:r>
      <w:r>
        <w:rPr>
          <w:rFonts w:hint="eastAsia" w:ascii="仿宋" w:hAnsi="仿宋" w:eastAsia="仿宋" w:cs="仿宋"/>
          <w:b/>
          <w:bCs/>
          <w:color w:val="auto"/>
          <w:sz w:val="24"/>
          <w:highlight w:val="none"/>
          <w:lang w:val="en-US"/>
        </w:rPr>
        <w:t>不同供应商的电子投标(响应)文件上传计算机的网卡MAC地址、CPU序列号和硬盘序列号等硬件信息相同的</w:t>
      </w:r>
      <w:r>
        <w:rPr>
          <w:rFonts w:hint="eastAsia" w:ascii="仿宋" w:hAnsi="仿宋" w:eastAsia="仿宋" w:cs="仿宋"/>
          <w:b/>
          <w:bCs/>
          <w:color w:val="auto"/>
          <w:sz w:val="24"/>
          <w:highlight w:val="none"/>
          <w:lang w:val="en-US" w:eastAsia="zh-CN"/>
        </w:rPr>
        <w:t>；</w:t>
      </w:r>
    </w:p>
    <w:p w14:paraId="3ACE90C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8.28.2</w:t>
      </w:r>
      <w:r>
        <w:rPr>
          <w:rFonts w:hint="eastAsia" w:ascii="仿宋" w:hAnsi="仿宋" w:eastAsia="仿宋" w:cs="仿宋"/>
          <w:b/>
          <w:bCs/>
          <w:color w:val="auto"/>
          <w:sz w:val="24"/>
          <w:highlight w:val="none"/>
          <w:lang w:val="en-US"/>
        </w:rPr>
        <w:t>上传的电子投标(响应)文件若出现使用本项目其他投标(响应)供应商的数字证书加密的，或者加盖本项目其他投标(响应)供应商的电子印章的;</w:t>
      </w:r>
    </w:p>
    <w:p w14:paraId="0EFD062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8.28.3</w:t>
      </w:r>
      <w:r>
        <w:rPr>
          <w:rFonts w:hint="eastAsia" w:ascii="仿宋" w:hAnsi="仿宋" w:eastAsia="仿宋" w:cs="仿宋"/>
          <w:b/>
          <w:bCs/>
          <w:color w:val="auto"/>
          <w:sz w:val="24"/>
          <w:highlight w:val="none"/>
          <w:lang w:val="en-US"/>
        </w:rPr>
        <w:t>不同供应商的投标(响应)文件的内容存在三处(含)以上错误一致，且无法合理解释的;</w:t>
      </w:r>
    </w:p>
    <w:p w14:paraId="43EDCE7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8.28.4</w:t>
      </w:r>
      <w:r>
        <w:rPr>
          <w:rFonts w:hint="eastAsia" w:ascii="仿宋" w:hAnsi="仿宋" w:eastAsia="仿宋" w:cs="仿宋"/>
          <w:b/>
          <w:bCs/>
          <w:color w:val="auto"/>
          <w:sz w:val="24"/>
          <w:highlight w:val="none"/>
          <w:lang w:val="en-US"/>
        </w:rPr>
        <w:t>不同供应商联系人为同一人或不同联系人的联系电话一致，且无法合理解释的。</w:t>
      </w:r>
    </w:p>
    <w:p w14:paraId="045C000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color w:val="auto"/>
          <w:highlight w:val="none"/>
        </w:rPr>
      </w:pPr>
      <w:r>
        <w:rPr>
          <w:rFonts w:hint="eastAsia" w:ascii="仿宋" w:hAnsi="仿宋" w:eastAsia="仿宋" w:cs="仿宋"/>
          <w:b/>
          <w:color w:val="auto"/>
          <w:sz w:val="24"/>
          <w:highlight w:val="none"/>
        </w:rPr>
        <w:t>8.2</w:t>
      </w:r>
      <w:r>
        <w:rPr>
          <w:rFonts w:hint="eastAsia" w:ascii="仿宋" w:hAnsi="仿宋" w:eastAsia="仿宋" w:cs="仿宋"/>
          <w:b/>
          <w:color w:val="auto"/>
          <w:sz w:val="24"/>
          <w:highlight w:val="none"/>
          <w:lang w:val="en-US"/>
        </w:rPr>
        <w:t>7</w:t>
      </w:r>
      <w:r>
        <w:rPr>
          <w:rFonts w:hint="eastAsia" w:ascii="仿宋" w:hAnsi="仿宋" w:eastAsia="仿宋" w:cs="仿宋"/>
          <w:b/>
          <w:color w:val="auto"/>
          <w:sz w:val="24"/>
          <w:highlight w:val="none"/>
        </w:rPr>
        <w:t>其他违反法律、法规的情形。</w:t>
      </w:r>
    </w:p>
    <w:p w14:paraId="7339673E">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hint="eastAsia" w:ascii="仿宋" w:hAnsi="仿宋" w:eastAsia="仿宋" w:cs="仿宋"/>
          <w:b/>
          <w:color w:val="auto"/>
          <w:kern w:val="0"/>
          <w:sz w:val="24"/>
          <w:highlight w:val="none"/>
          <w:lang w:val="en-US" w:eastAsia="zh-CN"/>
        </w:rPr>
      </w:pPr>
      <w:r>
        <w:rPr>
          <w:rFonts w:hint="eastAsia" w:ascii="仿宋" w:hAnsi="仿宋" w:eastAsia="仿宋" w:cs="仿宋"/>
          <w:b/>
          <w:color w:val="auto"/>
          <w:kern w:val="0"/>
          <w:sz w:val="24"/>
          <w:highlight w:val="none"/>
          <w:lang w:val="en-US" w:eastAsia="zh-CN"/>
        </w:rPr>
        <w:t>9.废标的情形</w:t>
      </w:r>
    </w:p>
    <w:p w14:paraId="74B77905">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rPr>
        <w:t>在招标采购中，出现下列情形之一的，应予废标：</w:t>
      </w:r>
    </w:p>
    <w:p w14:paraId="016D838E">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rPr>
        <w:t>9.1符合专业条件的投标人或者对招标文件作实质性响应的投标人不足三家的；</w:t>
      </w:r>
    </w:p>
    <w:p w14:paraId="51D94CB4">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rPr>
        <w:t>9.2出现影响采购公正的违法、违规行为的；</w:t>
      </w:r>
    </w:p>
    <w:p w14:paraId="30E57F94">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rPr>
        <w:t>9.3投标人的报价均超过了采购预算，采购人不能支付的；</w:t>
      </w:r>
    </w:p>
    <w:p w14:paraId="3FDA6106">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仿宋" w:hAnsi="仿宋" w:eastAsia="仿宋" w:cs="仿宋"/>
          <w:b/>
          <w:color w:val="auto"/>
          <w:kern w:val="0"/>
          <w:sz w:val="24"/>
          <w:highlight w:val="none"/>
        </w:rPr>
      </w:pPr>
      <w:r>
        <w:rPr>
          <w:rFonts w:hint="eastAsia" w:ascii="仿宋" w:hAnsi="仿宋" w:eastAsia="仿宋" w:cs="仿宋"/>
          <w:b w:val="0"/>
          <w:bCs/>
          <w:color w:val="auto"/>
          <w:kern w:val="0"/>
          <w:sz w:val="24"/>
          <w:highlight w:val="none"/>
        </w:rPr>
        <w:t>9.4因重大变故，采购任务取消的。</w:t>
      </w:r>
    </w:p>
    <w:p w14:paraId="0519B0C8">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lang w:val="en-US" w:eastAsia="zh-CN"/>
        </w:rPr>
        <w:t>10.</w:t>
      </w:r>
      <w:r>
        <w:rPr>
          <w:rFonts w:hint="eastAsia" w:ascii="仿宋" w:hAnsi="仿宋" w:eastAsia="仿宋" w:cs="仿宋"/>
          <w:b/>
          <w:color w:val="auto"/>
          <w:kern w:val="0"/>
          <w:sz w:val="24"/>
          <w:highlight w:val="none"/>
        </w:rPr>
        <w:t>评标过程保密</w:t>
      </w:r>
    </w:p>
    <w:p w14:paraId="15CE2E8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.1</w:t>
      </w:r>
      <w:r>
        <w:rPr>
          <w:rFonts w:hint="eastAsia" w:ascii="仿宋" w:hAnsi="仿宋" w:eastAsia="仿宋" w:cs="仿宋"/>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5C354BD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10.2</w:t>
      </w:r>
      <w:r>
        <w:rPr>
          <w:rFonts w:hint="eastAsia" w:ascii="仿宋" w:hAnsi="仿宋" w:eastAsia="仿宋" w:cs="仿宋"/>
          <w:color w:val="auto"/>
          <w:kern w:val="0"/>
          <w:sz w:val="24"/>
          <w:highlight w:val="none"/>
        </w:rPr>
        <w:t>在评标期间，投标人企图影响招标人或</w:t>
      </w:r>
      <w:r>
        <w:rPr>
          <w:rFonts w:hint="eastAsia" w:ascii="仿宋" w:hAnsi="仿宋" w:eastAsia="仿宋" w:cs="仿宋"/>
          <w:color w:val="auto"/>
          <w:sz w:val="24"/>
          <w:highlight w:val="none"/>
        </w:rPr>
        <w:t>评标委员会</w:t>
      </w:r>
      <w:r>
        <w:rPr>
          <w:rFonts w:hint="eastAsia" w:ascii="仿宋" w:hAnsi="仿宋" w:eastAsia="仿宋" w:cs="仿宋"/>
          <w:color w:val="auto"/>
          <w:kern w:val="0"/>
          <w:sz w:val="24"/>
          <w:highlight w:val="none"/>
        </w:rPr>
        <w:t>的任何活动，都将导致投标被拒绝，并由其承担相应的法律责任。</w:t>
      </w:r>
    </w:p>
    <w:p w14:paraId="6DC2BCEA">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仿宋" w:hAnsi="仿宋" w:eastAsia="仿宋" w:cs="仿宋"/>
          <w:b/>
          <w:color w:val="auto"/>
          <w:sz w:val="32"/>
          <w:highlight w:val="none"/>
        </w:rPr>
      </w:pPr>
    </w:p>
    <w:bookmarkEnd w:id="54"/>
    <w:p w14:paraId="584F9DBA">
      <w:pPr>
        <w:pStyle w:val="9"/>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仿宋" w:hAnsi="仿宋" w:eastAsia="仿宋" w:cs="仿宋"/>
          <w:b/>
          <w:color w:val="auto"/>
          <w:sz w:val="32"/>
          <w:szCs w:val="32"/>
          <w:highlight w:val="none"/>
        </w:rPr>
      </w:pPr>
      <w:bookmarkStart w:id="55" w:name="_Hlt74714665"/>
      <w:bookmarkEnd w:id="55"/>
      <w:bookmarkStart w:id="56" w:name="_Hlt74730295"/>
      <w:bookmarkEnd w:id="56"/>
      <w:bookmarkStart w:id="57" w:name="_Hlt68073093"/>
      <w:bookmarkEnd w:id="57"/>
      <w:bookmarkStart w:id="58" w:name="_Hlt68057669"/>
      <w:bookmarkEnd w:id="58"/>
      <w:bookmarkStart w:id="59" w:name="_Hlt68072998"/>
      <w:bookmarkEnd w:id="59"/>
      <w:bookmarkStart w:id="60" w:name="_Hlt75236290"/>
      <w:bookmarkEnd w:id="60"/>
      <w:bookmarkStart w:id="61" w:name="_Hlt68403820"/>
      <w:bookmarkEnd w:id="61"/>
      <w:bookmarkStart w:id="62" w:name="_Hlt74707468"/>
      <w:bookmarkEnd w:id="62"/>
      <w:bookmarkStart w:id="63" w:name="_Hlt75236011"/>
      <w:bookmarkEnd w:id="63"/>
      <w:bookmarkStart w:id="64" w:name="_Hlt75236101"/>
      <w:bookmarkEnd w:id="64"/>
      <w:bookmarkStart w:id="65" w:name="_Hlt68072990"/>
      <w:bookmarkEnd w:id="65"/>
      <w:bookmarkStart w:id="66" w:name="_Hlt74729768"/>
      <w:bookmarkEnd w:id="66"/>
      <w:bookmarkStart w:id="67" w:name="_Toc81372776"/>
      <w:bookmarkStart w:id="68" w:name="_Toc81372953"/>
      <w:bookmarkStart w:id="69" w:name="_Toc84325929"/>
      <w:r>
        <w:rPr>
          <w:rFonts w:hint="eastAsia" w:ascii="仿宋" w:hAnsi="仿宋" w:eastAsia="仿宋" w:cs="仿宋"/>
          <w:b/>
          <w:color w:val="auto"/>
          <w:sz w:val="32"/>
          <w:szCs w:val="32"/>
          <w:highlight w:val="none"/>
        </w:rPr>
        <w:t>五、授予合同</w:t>
      </w:r>
    </w:p>
    <w:bookmarkEnd w:id="67"/>
    <w:bookmarkEnd w:id="68"/>
    <w:bookmarkEnd w:id="69"/>
    <w:p w14:paraId="10A9DB63">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1.中标条件</w:t>
      </w:r>
    </w:p>
    <w:p w14:paraId="7C1F8BD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1.1投标文件基本符合招标文件要求；</w:t>
      </w:r>
    </w:p>
    <w:p w14:paraId="4592192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1.2投标人有很好的执行合同的能力；</w:t>
      </w:r>
    </w:p>
    <w:p w14:paraId="5996F85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1.3实施方案最合理并对招标人最为有利，最大限度满足招标文件的要求；</w:t>
      </w:r>
    </w:p>
    <w:p w14:paraId="2F140F1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1.4投标人能够提供质量技术、商务经济占综合优势的系统及服务。</w:t>
      </w:r>
    </w:p>
    <w:p w14:paraId="3D4A627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1.5招标人将把中标通知书授予最佳投标者，但最低价不是中标的绝对保证。</w:t>
      </w:r>
    </w:p>
    <w:p w14:paraId="01A999E7">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2.中标确认</w:t>
      </w:r>
    </w:p>
    <w:p w14:paraId="7178FD9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2.1采购人应当自收到评标报告之日起５个工作日内，在评标报告确定的中标候选人名单中按顺序确定中标人。</w:t>
      </w:r>
    </w:p>
    <w:p w14:paraId="0535020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2.2采购人在收到评标报告5个工作日内未按评标报告推荐的中标候选人顺序确定中标人，视同按评标报告推荐的顺序确定的中标候选人为中标人。</w:t>
      </w:r>
    </w:p>
    <w:p w14:paraId="1E3F4A3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2.3采购人应在确认中标人前再次对资格条件和相关证件材料进一步查验核实。</w:t>
      </w:r>
    </w:p>
    <w:p w14:paraId="55FF34DF">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中标通知</w:t>
      </w:r>
    </w:p>
    <w:p w14:paraId="5E68F5A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3.1</w:t>
      </w:r>
      <w:r>
        <w:rPr>
          <w:rFonts w:hint="eastAsia" w:ascii="仿宋" w:hAnsi="仿宋" w:eastAsia="仿宋" w:cs="仿宋"/>
          <w:color w:val="auto"/>
          <w:sz w:val="24"/>
          <w:highlight w:val="none"/>
        </w:rPr>
        <w:t>采购代理机构对中标结果在指定媒体（浙江政府采购网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"http://www.zjzfcg.gov.cn"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http://zfcg.czt.zj.gov.cn/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）发布中标公告，中标公告期限为1个工作日。</w:t>
      </w:r>
    </w:p>
    <w:p w14:paraId="64EADB0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3.2采购机构向中标供应商签发中标通知书。在采购代理机构发出中标通知书前，中标供应商如有违反有关法律法规和本项目要求行为的，则取消该投标人的中标资格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highlight w:val="none"/>
          <w:lang w:val="zh-CN"/>
        </w:rPr>
        <w:t>。</w:t>
      </w:r>
    </w:p>
    <w:p w14:paraId="5EC3D8C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3.3采购代理机构对中标结果不作任何说明和解释，也不回答任何提问。</w:t>
      </w:r>
    </w:p>
    <w:p w14:paraId="14E46A54">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履约保证金</w:t>
      </w:r>
    </w:p>
    <w:p w14:paraId="54A856D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60453CE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4.2项目验收结束后，采购人应及时退还履约保证金。</w:t>
      </w:r>
    </w:p>
    <w:p w14:paraId="2839FAD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4.3供应商以银行、保险公司出具保函形式提交履约保证金的，采购人不得拒收。</w:t>
      </w:r>
    </w:p>
    <w:p w14:paraId="4B4E50D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4.4政府采购货物和服务项目不得收取质量保证金。</w:t>
      </w:r>
    </w:p>
    <w:p w14:paraId="3306645D">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合同签订及备案</w:t>
      </w:r>
    </w:p>
    <w:p w14:paraId="3E3A245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5.1中标人应当在中标通知书发出之日起30天内与采购人签订合同，自采购合同签订之日起2个工作日内，通过电子交易平台进行备案。</w:t>
      </w:r>
    </w:p>
    <w:p w14:paraId="47D3C7E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5.2如中标人为联合体的，由联合体成员各方法定代表人或其授权代表与采购人代表签订合同。</w:t>
      </w:r>
    </w:p>
    <w:p w14:paraId="099B9320">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.验收</w:t>
      </w:r>
    </w:p>
    <w:p w14:paraId="33516C3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44847AE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6.2采购人可以邀请参加本项目的其他投标人或者第三方机构参与验收。参与验收的投标人或者第三方机构的意见作为验收书的参考资料一并存档。</w:t>
      </w:r>
    </w:p>
    <w:p w14:paraId="7385BCE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6.3采购人负责加强对中标人的履约管理，并按照采购合同约定，及时向中标人支付采购资金。对于中标人违反采购合同约定的行为，采购人应当及时处理，依法追究其违约责任。</w:t>
      </w:r>
    </w:p>
    <w:p w14:paraId="3968B275">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.售后服务考核</w:t>
      </w:r>
    </w:p>
    <w:p w14:paraId="250FA57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209D8E4F">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color w:val="auto"/>
          <w:kern w:val="0"/>
          <w:sz w:val="24"/>
          <w:highlight w:val="none"/>
        </w:rPr>
      </w:pPr>
    </w:p>
    <w:p w14:paraId="1FC82482">
      <w:pPr>
        <w:adjustRightInd/>
        <w:spacing w:line="336"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hint="eastAsia" w:ascii="仿宋" w:hAnsi="仿宋" w:eastAsia="仿宋" w:cs="仿宋"/>
          <w:b/>
          <w:bCs/>
          <w:i w:val="0"/>
          <w:iCs w:val="0"/>
          <w:color w:val="auto"/>
          <w:kern w:val="2"/>
          <w:sz w:val="32"/>
          <w:szCs w:val="20"/>
          <w:highlight w:val="none"/>
          <w:vertAlign w:val="baseline"/>
          <w:lang w:val="en-US" w:eastAsia="zh-CN" w:bidi="ar-SA"/>
        </w:rPr>
        <w:t>询问、质疑与投诉</w:t>
      </w:r>
    </w:p>
    <w:p w14:paraId="7BB3D8C5">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eastAsia" w:ascii="仿宋" w:hAnsi="仿宋" w:eastAsia="仿宋" w:cs="仿宋"/>
          <w:b/>
          <w:bCs/>
          <w:i w:val="0"/>
          <w:iCs w:val="0"/>
          <w:color w:val="auto"/>
          <w:kern w:val="2"/>
          <w:sz w:val="24"/>
          <w:szCs w:val="20"/>
          <w:highlight w:val="none"/>
          <w:vertAlign w:val="baseline"/>
          <w:lang w:val="en-US" w:eastAsia="zh-CN" w:bidi="ar-SA"/>
        </w:rPr>
        <w:t>1.在线询问、质疑、投诉</w:t>
      </w:r>
    </w:p>
    <w:p w14:paraId="1D7A3934">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w:t>
      </w:r>
      <w:r>
        <w:rPr>
          <w:rFonts w:hint="eastAsia" w:ascii="仿宋" w:hAnsi="仿宋" w:eastAsia="仿宋" w:cs="仿宋"/>
          <w:color w:val="auto"/>
          <w:sz w:val="24"/>
          <w:highlight w:val="none"/>
        </w:rPr>
        <w:t>〔2021</w:t>
      </w:r>
      <w:r>
        <w:rPr>
          <w:rFonts w:hint="eastAsia" w:ascii="仿宋" w:hAnsi="仿宋" w:eastAsia="仿宋" w:cs="仿宋"/>
          <w:color w:val="auto"/>
          <w:sz w:val="24"/>
          <w:highlight w:val="none"/>
          <w:lang w:eastAsia="zh-CN"/>
        </w:rPr>
        <w:t>〕</w:t>
      </w:r>
      <w:r>
        <w:rPr>
          <w:rFonts w:hint="eastAsia" w:ascii="仿宋" w:hAnsi="仿宋" w:eastAsia="仿宋" w:cs="仿宋"/>
          <w:b w:val="0"/>
          <w:bCs w:val="0"/>
          <w:i w:val="0"/>
          <w:iCs w:val="0"/>
          <w:color w:val="auto"/>
          <w:kern w:val="2"/>
          <w:sz w:val="24"/>
          <w:szCs w:val="20"/>
          <w:highlight w:val="none"/>
          <w:vertAlign w:val="baseline"/>
          <w:lang w:val="en-US" w:eastAsia="zh-CN" w:bidi="ar-SA"/>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076F5D2C">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2.供应商询问</w:t>
      </w:r>
    </w:p>
    <w:p w14:paraId="6065CEE6">
      <w:pPr>
        <w:autoSpaceDE w:val="0"/>
        <w:autoSpaceDN w:val="0"/>
        <w:adjustRightInd w:val="0"/>
        <w:spacing w:line="336" w:lineRule="auto"/>
        <w:ind w:firstLine="480" w:firstLineChars="200"/>
        <w:jc w:val="left"/>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仿宋" w:hAnsi="仿宋" w:eastAsia="仿宋" w:cs="仿宋"/>
          <w:b w:val="0"/>
          <w:bCs w:val="0"/>
          <w:i w:val="0"/>
          <w:iCs w:val="0"/>
          <w:color w:val="auto"/>
          <w:kern w:val="0"/>
          <w:sz w:val="24"/>
          <w:szCs w:val="24"/>
          <w:highlight w:val="none"/>
          <w:vertAlign w:val="baseline"/>
          <w:lang w:val="en-US" w:eastAsia="zh-CN" w:bidi="ar-SA"/>
        </w:rPr>
        <w:t xml:space="preserve"> </w:t>
      </w:r>
      <w:r>
        <w:rPr>
          <w:rFonts w:hint="eastAsia" w:ascii="仿宋" w:hAnsi="仿宋" w:eastAsia="仿宋" w:cs="仿宋"/>
          <w:b w:val="0"/>
          <w:bCs w:val="0"/>
          <w:i w:val="0"/>
          <w:iCs w:val="0"/>
          <w:color w:val="auto"/>
          <w:kern w:val="0"/>
          <w:sz w:val="24"/>
          <w:szCs w:val="24"/>
          <w:highlight w:val="none"/>
          <w:vertAlign w:val="baseline"/>
          <w:lang w:val="zh-CN" w:eastAsia="zh-CN" w:bidi="ar-SA"/>
        </w:rPr>
        <w:t>的，采购代理机构应当告知供应商向采购人提出。</w:t>
      </w:r>
    </w:p>
    <w:p w14:paraId="4DBA0252">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3.供应商质疑</w:t>
      </w:r>
    </w:p>
    <w:p w14:paraId="33A536D5">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eastAsia" w:ascii="仿宋" w:hAnsi="仿宋" w:eastAsia="仿宋" w:cs="仿宋"/>
          <w:b/>
          <w:bCs/>
          <w:i w:val="0"/>
          <w:iCs w:val="0"/>
          <w:color w:val="auto"/>
          <w:kern w:val="0"/>
          <w:sz w:val="24"/>
          <w:szCs w:val="20"/>
          <w:highlight w:val="none"/>
          <w:vertAlign w:val="baseline"/>
          <w:lang w:val="zh-CN" w:eastAsia="zh-CN" w:bidi="ar-SA"/>
        </w:rPr>
        <w:t>3</w:t>
      </w:r>
      <w:r>
        <w:rPr>
          <w:rFonts w:hint="eastAsia" w:ascii="仿宋" w:hAnsi="仿宋" w:eastAsia="仿宋" w:cs="仿宋"/>
          <w:b/>
          <w:bCs/>
          <w:i w:val="0"/>
          <w:iCs w:val="0"/>
          <w:color w:val="auto"/>
          <w:kern w:val="2"/>
          <w:sz w:val="24"/>
          <w:szCs w:val="20"/>
          <w:highlight w:val="none"/>
          <w:vertAlign w:val="baseline"/>
          <w:lang w:val="en-US" w:eastAsia="zh-CN" w:bidi="ar-SA"/>
        </w:rPr>
        <w:t>.1质疑提出时效</w:t>
      </w:r>
    </w:p>
    <w:p w14:paraId="213BBC90">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4C63C440">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0"/>
          <w:sz w:val="24"/>
          <w:szCs w:val="20"/>
          <w:highlight w:val="none"/>
          <w:vertAlign w:val="baseline"/>
          <w:lang w:val="zh-CN" w:eastAsia="zh-CN" w:bidi="ar-SA"/>
        </w:rPr>
        <w:t>3</w:t>
      </w:r>
      <w:r>
        <w:rPr>
          <w:rFonts w:hint="eastAsia"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7EBABD5F">
      <w:pPr>
        <w:widowControl/>
        <w:adjustRightInd w:val="0"/>
        <w:snapToGrid w:val="0"/>
        <w:spacing w:line="336" w:lineRule="auto"/>
        <w:ind w:firstLine="434" w:firstLineChars="181"/>
        <w:jc w:val="both"/>
        <w:rPr>
          <w:rFonts w:hint="eastAsia" w:ascii="仿宋" w:hAnsi="仿宋" w:eastAsia="仿宋" w:cs="仿宋"/>
          <w:b/>
          <w:color w:val="auto"/>
          <w:sz w:val="32"/>
          <w:szCs w:val="32"/>
          <w:highlight w:val="none"/>
        </w:rPr>
      </w:pPr>
      <w:r>
        <w:rPr>
          <w:rFonts w:hint="eastAsia"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r>
        <w:rPr>
          <w:rFonts w:hint="eastAsia" w:ascii="仿宋" w:hAnsi="仿宋" w:eastAsia="仿宋" w:cs="仿宋"/>
          <w:color w:val="auto"/>
          <w:sz w:val="24"/>
          <w:szCs w:val="24"/>
          <w:highlight w:val="none"/>
        </w:rPr>
        <w:t>（在采购文件公告期限内获取采购文件的，为获取采购文件之日起七个工作日；采购文件公告期限届满之后获取采购文件的，为采购文件公告期限届满之日起七个工作日。采购文件公告期限为5个工作日）</w:t>
      </w:r>
      <w:r>
        <w:rPr>
          <w:rFonts w:hint="eastAsia" w:ascii="仿宋" w:hAnsi="仿宋" w:eastAsia="仿宋" w:cs="仿宋"/>
          <w:b w:val="0"/>
          <w:bCs w:val="0"/>
          <w:i w:val="0"/>
          <w:iCs w:val="0"/>
          <w:snapToGrid/>
          <w:color w:val="auto"/>
          <w:kern w:val="2"/>
          <w:sz w:val="24"/>
          <w:szCs w:val="20"/>
          <w:highlight w:val="none"/>
          <w:vertAlign w:val="baseline"/>
          <w:lang w:val="en-US" w:eastAsia="zh-CN" w:bidi="ar-SA"/>
        </w:rPr>
        <w:t>。</w:t>
      </w:r>
    </w:p>
    <w:p w14:paraId="2FA6279B">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3C52618B">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11272A74">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eastAsia" w:ascii="仿宋" w:hAnsi="仿宋" w:eastAsia="仿宋" w:cs="仿宋"/>
          <w:b/>
          <w:bCs/>
          <w:i w:val="0"/>
          <w:iCs w:val="0"/>
          <w:color w:val="auto"/>
          <w:kern w:val="2"/>
          <w:sz w:val="24"/>
          <w:szCs w:val="20"/>
          <w:highlight w:val="none"/>
          <w:vertAlign w:val="baseline"/>
          <w:lang w:val="en-US" w:eastAsia="zh-CN" w:bidi="ar-SA"/>
        </w:rPr>
        <w:t>3.1.2.4对同一采购程序环节的质疑，供应商须一次性提出</w:t>
      </w:r>
      <w:r>
        <w:rPr>
          <w:rFonts w:hint="eastAsia" w:ascii="仿宋" w:hAnsi="仿宋" w:eastAsia="仿宋" w:cs="仿宋"/>
          <w:b/>
          <w:color w:val="auto"/>
          <w:kern w:val="0"/>
          <w:sz w:val="24"/>
          <w:szCs w:val="24"/>
          <w:highlight w:val="none"/>
        </w:rPr>
        <w:t>（即针对同一采购程序环节的质疑采购人或采购代理机构仅受理一次），逾期提出或针对同一采购程序环节多次提出的质疑将不予受理、答复</w:t>
      </w:r>
      <w:r>
        <w:rPr>
          <w:rFonts w:hint="eastAsia" w:ascii="仿宋" w:hAnsi="仿宋" w:eastAsia="仿宋" w:cs="仿宋"/>
          <w:b w:val="0"/>
          <w:bCs w:val="0"/>
          <w:i w:val="0"/>
          <w:iCs w:val="0"/>
          <w:color w:val="auto"/>
          <w:kern w:val="2"/>
          <w:sz w:val="24"/>
          <w:szCs w:val="20"/>
          <w:highlight w:val="none"/>
          <w:vertAlign w:val="baseline"/>
          <w:lang w:val="en-US" w:eastAsia="zh-CN" w:bidi="ar-SA"/>
        </w:rPr>
        <w:t>。</w:t>
      </w:r>
    </w:p>
    <w:p w14:paraId="77768CBB">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eastAsia" w:ascii="仿宋" w:hAnsi="仿宋" w:eastAsia="仿宋" w:cs="仿宋"/>
          <w:b/>
          <w:bCs/>
          <w:i w:val="0"/>
          <w:iCs w:val="0"/>
          <w:color w:val="auto"/>
          <w:kern w:val="0"/>
          <w:sz w:val="24"/>
          <w:szCs w:val="20"/>
          <w:highlight w:val="none"/>
          <w:vertAlign w:val="baseline"/>
          <w:lang w:val="zh-CN" w:eastAsia="zh-CN" w:bidi="ar-SA"/>
        </w:rPr>
        <w:t>3.</w:t>
      </w:r>
      <w:r>
        <w:rPr>
          <w:rFonts w:hint="eastAsia" w:ascii="仿宋" w:hAnsi="仿宋" w:eastAsia="仿宋" w:cs="仿宋"/>
          <w:b/>
          <w:bCs/>
          <w:i w:val="0"/>
          <w:iCs w:val="0"/>
          <w:color w:val="auto"/>
          <w:kern w:val="0"/>
          <w:sz w:val="24"/>
          <w:szCs w:val="20"/>
          <w:highlight w:val="none"/>
          <w:vertAlign w:val="baseline"/>
          <w:lang w:val="en-US" w:eastAsia="zh-CN" w:bidi="ar-SA"/>
        </w:rPr>
        <w:t>2</w:t>
      </w:r>
      <w:r>
        <w:rPr>
          <w:rFonts w:hint="eastAsia" w:ascii="仿宋" w:hAnsi="仿宋" w:eastAsia="仿宋" w:cs="仿宋"/>
          <w:b/>
          <w:bCs/>
          <w:i w:val="0"/>
          <w:iCs w:val="0"/>
          <w:color w:val="auto"/>
          <w:kern w:val="0"/>
          <w:sz w:val="24"/>
          <w:szCs w:val="20"/>
          <w:highlight w:val="none"/>
          <w:vertAlign w:val="baseline"/>
          <w:lang w:val="zh-CN" w:eastAsia="zh-CN" w:bidi="ar-SA"/>
        </w:rPr>
        <w:t>质疑函</w:t>
      </w:r>
    </w:p>
    <w:p w14:paraId="45003C4B">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75792A3A">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3ACA0D7C">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2B130BD9">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7C367977">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事实依据；</w:t>
      </w:r>
    </w:p>
    <w:p w14:paraId="07C92F5F">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必要的法律依据；</w:t>
      </w:r>
    </w:p>
    <w:p w14:paraId="182C49E3">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提出质疑的日期。</w:t>
      </w:r>
    </w:p>
    <w:p w14:paraId="2D7F4CF2">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r>
        <w:rPr>
          <w:rFonts w:hint="eastAsia" w:ascii="仿宋" w:hAnsi="仿宋" w:eastAsia="仿宋" w:cs="仿宋"/>
          <w:color w:val="auto"/>
          <w:sz w:val="24"/>
          <w:szCs w:val="24"/>
          <w:highlight w:val="none"/>
        </w:rPr>
        <w:t>质疑书应明确阐述采购文件、招标过程和中标结果中使自己合法权益受到损害的实质性内容，投标人提出的质疑应当有明确的诉求（即通过质疑所要达到的具体目标）和必要的证明材料（即通过合法手段获得的能够证明投标人的诉求成立的必要材料，如相关事实、依据和证据及其来源或线索），便于有关单位调查、答复和处理。</w:t>
      </w:r>
      <w:r>
        <w:rPr>
          <w:rFonts w:hint="eastAsia" w:ascii="仿宋" w:hAnsi="仿宋" w:eastAsia="仿宋" w:cs="仿宋"/>
          <w:b/>
          <w:bCs/>
          <w:color w:val="auto"/>
          <w:sz w:val="24"/>
          <w:szCs w:val="24"/>
          <w:highlight w:val="none"/>
        </w:rPr>
        <w:t>质疑函不符合相关规定的，应在规定期限内补齐的，招标方自收到补齐材料之日起受理；逾期未补齐的，按自动撤回质疑处理。</w:t>
      </w:r>
    </w:p>
    <w:p w14:paraId="46EE293E">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eastAsia"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629FD3A5">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4.供应商投诉</w:t>
      </w:r>
    </w:p>
    <w:p w14:paraId="6CB4E80B">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11E9431C">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2E5CFCB6">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1FCF77A9">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286C457C">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0A64CC3C">
      <w:pPr>
        <w:pStyle w:val="2"/>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eastAsia" w:ascii="仿宋" w:hAnsi="仿宋" w:eastAsia="仿宋" w:cs="仿宋"/>
          <w:color w:val="auto"/>
          <w:highlight w:val="none"/>
        </w:rPr>
        <w:sectPr>
          <w:pgSz w:w="11906" w:h="16838"/>
          <w:pgMar w:top="1474" w:right="1814" w:bottom="1474" w:left="1814" w:header="851" w:footer="992" w:gutter="0"/>
          <w:pgNumType w:fmt="decimal"/>
          <w:cols w:space="720" w:num="1"/>
          <w:docGrid w:linePitch="312" w:charSpace="0"/>
        </w:sectPr>
      </w:pPr>
    </w:p>
    <w:bookmarkEnd w:id="52"/>
    <w:bookmarkEnd w:id="53"/>
    <w:p w14:paraId="1D2245F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bookmarkStart w:id="70" w:name="第四部分"/>
      <w:r>
        <w:rPr>
          <w:rFonts w:hint="eastAsia" w:ascii="仿宋" w:hAnsi="仿宋" w:eastAsia="仿宋" w:cs="仿宋"/>
          <w:b/>
          <w:color w:val="auto"/>
          <w:sz w:val="36"/>
          <w:szCs w:val="36"/>
          <w:highlight w:val="none"/>
        </w:rPr>
        <w:t xml:space="preserve">第三部分  </w:t>
      </w:r>
      <w:bookmarkEnd w:id="70"/>
      <w:bookmarkStart w:id="71" w:name="第五部分"/>
      <w:bookmarkStart w:id="72" w:name="_Toc86217003"/>
    </w:p>
    <w:p w14:paraId="4503C4FF">
      <w:pPr>
        <w:keepNext w:val="0"/>
        <w:keepLines w:val="0"/>
        <w:pageBreakBefore w:val="0"/>
        <w:widowControl w:val="0"/>
        <w:kinsoku/>
        <w:wordWrap/>
        <w:overflowPunct/>
        <w:topLinePunct w:val="0"/>
        <w:autoSpaceDE/>
        <w:autoSpaceDN/>
        <w:bidi w:val="0"/>
        <w:adjustRightInd w:val="0"/>
        <w:snapToGrid/>
        <w:spacing w:line="400" w:lineRule="exact"/>
        <w:ind w:firstLine="482" w:firstLineChars="200"/>
        <w:textAlignment w:val="auto"/>
        <w:outlineLvl w:val="1"/>
        <w:rPr>
          <w:rFonts w:hint="eastAsia" w:ascii="仿宋" w:hAnsi="仿宋" w:eastAsia="仿宋" w:cs="仿宋"/>
          <w:b/>
          <w:bCs/>
          <w:color w:val="auto"/>
          <w:sz w:val="24"/>
          <w:szCs w:val="24"/>
          <w:highlight w:val="none"/>
        </w:rPr>
      </w:pPr>
      <w:bookmarkStart w:id="73" w:name="_Toc22982"/>
      <w:bookmarkStart w:id="74" w:name="_Toc31721"/>
      <w:r>
        <w:rPr>
          <w:rFonts w:hint="eastAsia" w:ascii="仿宋" w:hAnsi="仿宋" w:eastAsia="仿宋" w:cs="仿宋"/>
          <w:b/>
          <w:bCs/>
          <w:color w:val="auto"/>
          <w:sz w:val="24"/>
          <w:szCs w:val="24"/>
          <w:highlight w:val="none"/>
        </w:rPr>
        <w:t>一、</w:t>
      </w:r>
      <w:bookmarkEnd w:id="73"/>
      <w:bookmarkEnd w:id="74"/>
      <w:r>
        <w:rPr>
          <w:rFonts w:hint="eastAsia" w:ascii="仿宋" w:hAnsi="仿宋" w:eastAsia="仿宋" w:cs="仿宋"/>
          <w:b/>
          <w:bCs/>
          <w:color w:val="auto"/>
          <w:sz w:val="24"/>
          <w:szCs w:val="24"/>
          <w:highlight w:val="none"/>
        </w:rPr>
        <w:t>项目概况</w:t>
      </w:r>
    </w:p>
    <w:p w14:paraId="386AC045">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嵊州市</w:t>
      </w:r>
      <w:r>
        <w:rPr>
          <w:rFonts w:hint="eastAsia" w:ascii="仿宋" w:hAnsi="仿宋" w:eastAsia="仿宋" w:cs="仿宋"/>
          <w:color w:val="auto"/>
          <w:sz w:val="24"/>
          <w:szCs w:val="24"/>
          <w:highlight w:val="none"/>
        </w:rPr>
        <w:t>地处低山丘陵地区，水库数量多，分布</w:t>
      </w:r>
      <w:r>
        <w:rPr>
          <w:rFonts w:hint="eastAsia" w:ascii="仿宋" w:hAnsi="仿宋" w:eastAsia="仿宋" w:cs="仿宋"/>
          <w:b w:val="0"/>
          <w:bCs w:val="0"/>
          <w:color w:val="auto"/>
          <w:sz w:val="24"/>
          <w:szCs w:val="24"/>
          <w:highlight w:val="none"/>
        </w:rPr>
        <w:t>广，目前已建设各类小型水库</w:t>
      </w:r>
      <w:r>
        <w:rPr>
          <w:rFonts w:hint="eastAsia" w:ascii="仿宋" w:hAnsi="仿宋" w:eastAsia="仿宋" w:cs="仿宋"/>
          <w:b w:val="0"/>
          <w:bCs w:val="0"/>
          <w:color w:val="auto"/>
          <w:sz w:val="24"/>
          <w:szCs w:val="24"/>
          <w:highlight w:val="none"/>
          <w:lang w:val="en-US" w:eastAsia="zh-CN"/>
        </w:rPr>
        <w:t>134</w:t>
      </w:r>
      <w:r>
        <w:rPr>
          <w:rFonts w:hint="eastAsia" w:ascii="仿宋" w:hAnsi="仿宋" w:eastAsia="仿宋" w:cs="仿宋"/>
          <w:b w:val="0"/>
          <w:bCs w:val="0"/>
          <w:color w:val="auto"/>
          <w:sz w:val="24"/>
          <w:szCs w:val="24"/>
          <w:highlight w:val="none"/>
        </w:rPr>
        <w:t>座。为落实水利部、水利厅要求实行小型水库物业化管理文件精神，更好的深化小型水库标准化管理，</w:t>
      </w:r>
      <w:r>
        <w:rPr>
          <w:rFonts w:hint="eastAsia" w:ascii="仿宋" w:hAnsi="仿宋" w:eastAsia="仿宋" w:cs="仿宋"/>
          <w:b w:val="0"/>
          <w:bCs w:val="0"/>
          <w:color w:val="auto"/>
          <w:sz w:val="24"/>
          <w:szCs w:val="24"/>
          <w:highlight w:val="none"/>
          <w:lang w:val="en-US" w:eastAsia="zh-CN"/>
        </w:rPr>
        <w:t>嵊州市政府发文《嵊州市水库山塘系统</w:t>
      </w:r>
      <w:r>
        <w:rPr>
          <w:rFonts w:hint="eastAsia" w:ascii="仿宋" w:hAnsi="仿宋" w:eastAsia="仿宋" w:cs="仿宋"/>
          <w:color w:val="auto"/>
          <w:sz w:val="24"/>
          <w:szCs w:val="24"/>
          <w:highlight w:val="none"/>
          <w:lang w:val="en-US" w:eastAsia="zh-CN"/>
        </w:rPr>
        <w:t>治理实施方案（2022-2025）》(嵊政办〔2022〕120号)对全市</w:t>
      </w:r>
      <w:r>
        <w:rPr>
          <w:rFonts w:hint="eastAsia" w:ascii="仿宋" w:hAnsi="仿宋" w:eastAsia="仿宋" w:cs="仿宋"/>
          <w:color w:val="auto"/>
          <w:sz w:val="24"/>
          <w:szCs w:val="24"/>
          <w:highlight w:val="none"/>
        </w:rPr>
        <w:t>小型水库</w:t>
      </w:r>
      <w:r>
        <w:rPr>
          <w:rFonts w:hint="eastAsia" w:ascii="仿宋" w:hAnsi="仿宋" w:eastAsia="仿宋" w:cs="仿宋"/>
          <w:color w:val="auto"/>
          <w:sz w:val="24"/>
          <w:szCs w:val="24"/>
          <w:highlight w:val="none"/>
          <w:lang w:val="en-US" w:eastAsia="zh-CN"/>
        </w:rPr>
        <w:t>实行了物业化管护。现有小型水库均由乡镇为业主分别实施物业化招标采购。为便于管理，</w:t>
      </w:r>
      <w:r>
        <w:rPr>
          <w:rFonts w:hint="eastAsia" w:ascii="仿宋" w:hAnsi="仿宋" w:eastAsia="仿宋" w:cs="仿宋"/>
          <w:color w:val="auto"/>
          <w:sz w:val="24"/>
          <w:szCs w:val="24"/>
          <w:highlight w:val="none"/>
        </w:rPr>
        <w:t>将</w:t>
      </w:r>
      <w:r>
        <w:rPr>
          <w:rFonts w:hint="eastAsia" w:ascii="仿宋" w:hAnsi="仿宋" w:eastAsia="仿宋" w:cs="仿宋"/>
          <w:color w:val="auto"/>
          <w:sz w:val="24"/>
          <w:szCs w:val="24"/>
          <w:highlight w:val="none"/>
          <w:lang w:val="en-US" w:eastAsia="zh-CN"/>
        </w:rPr>
        <w:t>黄泽镇和崇仁镇42</w:t>
      </w:r>
      <w:r>
        <w:rPr>
          <w:rFonts w:hint="eastAsia" w:ascii="仿宋" w:hAnsi="仿宋" w:eastAsia="仿宋" w:cs="仿宋"/>
          <w:color w:val="auto"/>
          <w:sz w:val="24"/>
          <w:szCs w:val="24"/>
          <w:highlight w:val="none"/>
        </w:rPr>
        <w:t>座小型水库</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其中小（1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型水库10座，小（2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型水库32座）</w:t>
      </w:r>
      <w:r>
        <w:rPr>
          <w:rFonts w:hint="eastAsia" w:ascii="仿宋" w:hAnsi="仿宋" w:eastAsia="仿宋" w:cs="仿宋"/>
          <w:color w:val="auto"/>
          <w:sz w:val="24"/>
          <w:szCs w:val="24"/>
          <w:highlight w:val="none"/>
        </w:rPr>
        <w:t>实施水利工程物业化管理</w:t>
      </w:r>
      <w:r>
        <w:rPr>
          <w:rFonts w:hint="eastAsia" w:ascii="仿宋" w:hAnsi="仿宋" w:eastAsia="仿宋" w:cs="仿宋"/>
          <w:color w:val="auto"/>
          <w:sz w:val="24"/>
          <w:szCs w:val="24"/>
          <w:highlight w:val="none"/>
          <w:lang w:val="en-US" w:eastAsia="zh-CN"/>
        </w:rPr>
        <w:t>统一招标</w:t>
      </w:r>
      <w:r>
        <w:rPr>
          <w:rFonts w:hint="eastAsia" w:ascii="仿宋" w:hAnsi="仿宋" w:eastAsia="仿宋" w:cs="仿宋"/>
          <w:color w:val="auto"/>
          <w:sz w:val="24"/>
          <w:szCs w:val="24"/>
          <w:highlight w:val="none"/>
        </w:rPr>
        <w:t>。具体名单如下：</w:t>
      </w:r>
    </w:p>
    <w:tbl>
      <w:tblPr>
        <w:tblStyle w:val="62"/>
        <w:tblW w:w="499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22"/>
        <w:gridCol w:w="1760"/>
        <w:gridCol w:w="1164"/>
        <w:gridCol w:w="1383"/>
        <w:gridCol w:w="1700"/>
        <w:gridCol w:w="1761"/>
      </w:tblGrid>
      <w:tr w14:paraId="07E64C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FD862">
            <w:pPr>
              <w:keepNext w:val="0"/>
              <w:keepLines w:val="0"/>
              <w:widowControl/>
              <w:suppressLineNumbers w:val="0"/>
              <w:jc w:val="center"/>
              <w:textAlignment w:val="bottom"/>
              <w:rPr>
                <w:rFonts w:hint="eastAsia" w:ascii="仿宋" w:hAnsi="仿宋" w:eastAsia="仿宋" w:cs="仿宋"/>
                <w:b/>
                <w:bCs/>
                <w:i w:val="0"/>
                <w:iCs w:val="0"/>
                <w:color w:val="auto"/>
                <w:sz w:val="20"/>
                <w:szCs w:val="20"/>
                <w:highlight w:val="none"/>
                <w:u w:val="none"/>
              </w:rPr>
            </w:pPr>
            <w:r>
              <w:rPr>
                <w:rFonts w:hint="eastAsia" w:ascii="仿宋" w:hAnsi="仿宋" w:eastAsia="仿宋" w:cs="仿宋"/>
                <w:b/>
                <w:bCs/>
                <w:i w:val="0"/>
                <w:iCs w:val="0"/>
                <w:color w:val="auto"/>
                <w:kern w:val="0"/>
                <w:sz w:val="20"/>
                <w:szCs w:val="20"/>
                <w:highlight w:val="none"/>
                <w:u w:val="none"/>
                <w:lang w:val="en-US" w:eastAsia="zh-CN" w:bidi="ar"/>
              </w:rPr>
              <w:t>序号</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88D992">
            <w:pPr>
              <w:keepNext w:val="0"/>
              <w:keepLines w:val="0"/>
              <w:widowControl/>
              <w:suppressLineNumbers w:val="0"/>
              <w:jc w:val="center"/>
              <w:textAlignment w:val="bottom"/>
              <w:rPr>
                <w:rFonts w:hint="eastAsia" w:ascii="仿宋" w:hAnsi="仿宋" w:eastAsia="仿宋" w:cs="仿宋"/>
                <w:b/>
                <w:bCs/>
                <w:i w:val="0"/>
                <w:iCs w:val="0"/>
                <w:color w:val="auto"/>
                <w:sz w:val="20"/>
                <w:szCs w:val="20"/>
                <w:highlight w:val="none"/>
                <w:u w:val="none"/>
              </w:rPr>
            </w:pPr>
            <w:r>
              <w:rPr>
                <w:rFonts w:hint="eastAsia" w:ascii="仿宋" w:hAnsi="仿宋" w:eastAsia="仿宋" w:cs="仿宋"/>
                <w:b/>
                <w:bCs/>
                <w:i w:val="0"/>
                <w:iCs w:val="0"/>
                <w:color w:val="auto"/>
                <w:kern w:val="0"/>
                <w:sz w:val="20"/>
                <w:szCs w:val="20"/>
                <w:highlight w:val="none"/>
                <w:u w:val="none"/>
                <w:lang w:val="en-US" w:eastAsia="zh-CN" w:bidi="ar"/>
              </w:rPr>
              <w:t>工程名称</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FB58B">
            <w:pPr>
              <w:keepNext w:val="0"/>
              <w:keepLines w:val="0"/>
              <w:widowControl/>
              <w:suppressLineNumbers w:val="0"/>
              <w:jc w:val="center"/>
              <w:textAlignment w:val="bottom"/>
              <w:rPr>
                <w:rFonts w:hint="default" w:ascii="仿宋" w:hAnsi="仿宋" w:eastAsia="仿宋" w:cs="仿宋"/>
                <w:b/>
                <w:bCs/>
                <w:i w:val="0"/>
                <w:iCs w:val="0"/>
                <w:color w:val="auto"/>
                <w:sz w:val="20"/>
                <w:szCs w:val="20"/>
                <w:highlight w:val="none"/>
                <w:u w:val="none"/>
                <w:lang w:val="en-US"/>
              </w:rPr>
            </w:pPr>
            <w:r>
              <w:rPr>
                <w:rFonts w:hint="eastAsia" w:ascii="仿宋" w:hAnsi="仿宋" w:eastAsia="仿宋" w:cs="仿宋"/>
                <w:b/>
                <w:bCs/>
                <w:i w:val="0"/>
                <w:iCs w:val="0"/>
                <w:color w:val="auto"/>
                <w:kern w:val="0"/>
                <w:sz w:val="20"/>
                <w:szCs w:val="20"/>
                <w:highlight w:val="none"/>
                <w:u w:val="none"/>
                <w:lang w:val="en-US" w:eastAsia="zh-CN" w:bidi="ar"/>
              </w:rPr>
              <w:t>所属乡镇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997CF">
            <w:pPr>
              <w:keepNext w:val="0"/>
              <w:keepLines w:val="0"/>
              <w:widowControl/>
              <w:suppressLineNumbers w:val="0"/>
              <w:jc w:val="center"/>
              <w:textAlignment w:val="bottom"/>
              <w:rPr>
                <w:rFonts w:hint="eastAsia" w:ascii="仿宋" w:hAnsi="仿宋" w:eastAsia="仿宋" w:cs="仿宋"/>
                <w:b/>
                <w:bCs/>
                <w:i w:val="0"/>
                <w:iCs w:val="0"/>
                <w:color w:val="auto"/>
                <w:sz w:val="20"/>
                <w:szCs w:val="20"/>
                <w:highlight w:val="none"/>
                <w:u w:val="none"/>
              </w:rPr>
            </w:pPr>
            <w:r>
              <w:rPr>
                <w:rFonts w:hint="eastAsia" w:ascii="仿宋" w:hAnsi="仿宋" w:eastAsia="仿宋" w:cs="仿宋"/>
                <w:b/>
                <w:bCs/>
                <w:i w:val="0"/>
                <w:iCs w:val="0"/>
                <w:color w:val="auto"/>
                <w:kern w:val="0"/>
                <w:sz w:val="20"/>
                <w:szCs w:val="20"/>
                <w:highlight w:val="none"/>
                <w:u w:val="none"/>
                <w:lang w:val="en-US" w:eastAsia="zh-CN" w:bidi="ar"/>
              </w:rPr>
              <w:t>工程规模</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D18F8">
            <w:pPr>
              <w:keepNext w:val="0"/>
              <w:keepLines w:val="0"/>
              <w:widowControl/>
              <w:suppressLineNumbers w:val="0"/>
              <w:jc w:val="center"/>
              <w:textAlignment w:val="bottom"/>
              <w:rPr>
                <w:rFonts w:hint="eastAsia" w:ascii="仿宋" w:hAnsi="仿宋" w:eastAsia="仿宋" w:cs="仿宋"/>
                <w:b/>
                <w:bCs/>
                <w:i w:val="0"/>
                <w:iCs w:val="0"/>
                <w:color w:val="auto"/>
                <w:sz w:val="20"/>
                <w:szCs w:val="20"/>
                <w:highlight w:val="none"/>
                <w:u w:val="none"/>
              </w:rPr>
            </w:pPr>
            <w:r>
              <w:rPr>
                <w:rFonts w:hint="eastAsia" w:ascii="仿宋" w:hAnsi="仿宋" w:eastAsia="仿宋" w:cs="仿宋"/>
                <w:b/>
                <w:bCs/>
                <w:i w:val="0"/>
                <w:iCs w:val="0"/>
                <w:color w:val="auto"/>
                <w:kern w:val="0"/>
                <w:sz w:val="20"/>
                <w:szCs w:val="20"/>
                <w:highlight w:val="none"/>
                <w:u w:val="none"/>
                <w:lang w:val="en-US" w:eastAsia="zh-CN" w:bidi="ar"/>
              </w:rPr>
              <w:t>总库容（万方）</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CD979">
            <w:pPr>
              <w:keepNext w:val="0"/>
              <w:keepLines w:val="0"/>
              <w:widowControl/>
              <w:suppressLineNumbers w:val="0"/>
              <w:jc w:val="center"/>
              <w:textAlignment w:val="bottom"/>
              <w:rPr>
                <w:rFonts w:hint="eastAsia" w:ascii="仿宋" w:hAnsi="仿宋" w:eastAsia="仿宋" w:cs="仿宋"/>
                <w:b/>
                <w:bCs/>
                <w:i w:val="0"/>
                <w:iCs w:val="0"/>
                <w:color w:val="auto"/>
                <w:sz w:val="20"/>
                <w:szCs w:val="20"/>
                <w:highlight w:val="none"/>
                <w:u w:val="none"/>
              </w:rPr>
            </w:pPr>
            <w:r>
              <w:rPr>
                <w:rFonts w:hint="eastAsia" w:ascii="仿宋" w:hAnsi="仿宋" w:eastAsia="仿宋" w:cs="仿宋"/>
                <w:b/>
                <w:bCs/>
                <w:i w:val="0"/>
                <w:iCs w:val="0"/>
                <w:color w:val="auto"/>
                <w:kern w:val="0"/>
                <w:sz w:val="20"/>
                <w:szCs w:val="20"/>
                <w:highlight w:val="none"/>
                <w:u w:val="none"/>
                <w:lang w:val="en-US" w:eastAsia="zh-CN" w:bidi="ar"/>
              </w:rPr>
              <w:t>安全管理状态</w:t>
            </w:r>
          </w:p>
        </w:tc>
      </w:tr>
      <w:tr w14:paraId="23FFB3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7882F">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37F37">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红领巾水库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432D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77A03">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小（1）型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87769">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395</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6405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一类坝</w:t>
            </w:r>
          </w:p>
        </w:tc>
      </w:tr>
      <w:tr w14:paraId="1994E4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38CBD">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2</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F6E0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砩水水库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828CA">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6D2ED">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小（1）型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D3ADC">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225</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D10A8">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一类坝</w:t>
            </w:r>
          </w:p>
        </w:tc>
      </w:tr>
      <w:tr w14:paraId="02E781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6F1B5">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3</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F3CE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托潭坑水库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92EB57">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3E30A">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小（1）型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73B98">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108</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2BE61">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一类坝</w:t>
            </w:r>
          </w:p>
        </w:tc>
      </w:tr>
      <w:tr w14:paraId="13A0E3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EACD1">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4</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D641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民胜水库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C14C3">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7B9EBA">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小（1）型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FB2D98">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150.81</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84120">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一类坝</w:t>
            </w:r>
          </w:p>
        </w:tc>
      </w:tr>
      <w:tr w14:paraId="2CC10E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D204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5</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CD4F1F">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大山下水库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98C22E">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59081">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小（1）型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38299">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165</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34E93">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二类坝加固中</w:t>
            </w:r>
          </w:p>
        </w:tc>
      </w:tr>
      <w:tr w14:paraId="2AEB4C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E7DB3">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6</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1C71C">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张村水库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D55D0C">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E9CB21">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小（1）型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150EB">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311.6</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70987">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一类坝</w:t>
            </w:r>
          </w:p>
        </w:tc>
      </w:tr>
      <w:tr w14:paraId="251C56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DB59B">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7</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3B3B57">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白柴爿水库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4C308">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1184A">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小（1）型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CA2D0">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156</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6ABA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一类坝</w:t>
            </w:r>
          </w:p>
        </w:tc>
      </w:tr>
      <w:tr w14:paraId="36BED1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C300B5">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8</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5FEE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下坂水库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0E50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3AD049">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小（1）型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C8F57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370</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3B78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二类坝加固中</w:t>
            </w:r>
          </w:p>
        </w:tc>
      </w:tr>
      <w:tr w14:paraId="4B72F3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ACB458">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9</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545F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杨树水库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EB82B">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174C35">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2F9E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12.7</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381AA">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三类坝已完工</w:t>
            </w:r>
          </w:p>
        </w:tc>
      </w:tr>
      <w:tr w14:paraId="75663E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842B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10</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A54B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裘家坞水库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6D285">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1F699">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E269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78.5</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1E5DD">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三类坝已完工</w:t>
            </w:r>
          </w:p>
        </w:tc>
      </w:tr>
      <w:tr w14:paraId="5F5ED6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B54F1">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11</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B1D67E">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羊肠湾水库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CB7C7">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3DD8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AC91D">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17.6</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9259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二类坝加固中</w:t>
            </w:r>
          </w:p>
        </w:tc>
      </w:tr>
      <w:tr w14:paraId="4BED66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364C7">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12</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06181">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白水墩水库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96A6E">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9E0C9">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E5B80">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44.4</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B2947">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三类坝已完工</w:t>
            </w:r>
          </w:p>
        </w:tc>
      </w:tr>
      <w:tr w14:paraId="22954E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534CE">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13</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50E93">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坑东水库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B149BD">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2B331">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70A38">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99</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33DD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三类坝已完工</w:t>
            </w:r>
          </w:p>
        </w:tc>
      </w:tr>
      <w:tr w14:paraId="65BFCE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832B5">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14</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0318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考坑湾水库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5A9BDA">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BE1DE">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05D8C">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25</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16C0D">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一类坝</w:t>
            </w:r>
          </w:p>
        </w:tc>
      </w:tr>
      <w:tr w14:paraId="06AE39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923E1">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15</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E8DC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西山湾水库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46081">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917C8">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3F23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18.4</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0595F">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一类坝</w:t>
            </w:r>
          </w:p>
        </w:tc>
      </w:tr>
      <w:tr w14:paraId="3F5623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6043BA">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16</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F7258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下八亩水库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2433F">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777A0">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2290F">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12</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70C25">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一类坝</w:t>
            </w:r>
          </w:p>
        </w:tc>
      </w:tr>
      <w:tr w14:paraId="6742B3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AD4E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17</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3CF7D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广利塘水库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82C78">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E3D845">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4050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98.4</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5D815E">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一类坝</w:t>
            </w:r>
          </w:p>
        </w:tc>
      </w:tr>
      <w:tr w14:paraId="54C9E8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5DD4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18</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E0C8D">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龙塘湾水库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06B4B">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1BF3FA">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3BD1F">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33</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1B09F">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一类坝</w:t>
            </w:r>
          </w:p>
        </w:tc>
      </w:tr>
      <w:tr w14:paraId="10AA26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A111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19</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23C6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长龙岗水库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B03F5">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27A37D">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1F2970">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45.8</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6D2B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三类坝已完工</w:t>
            </w:r>
          </w:p>
        </w:tc>
      </w:tr>
      <w:tr w14:paraId="7D2CC2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A3D0DD">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20</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BDCC9">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湖塘湾水库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5CE69">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0D00C">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1279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14.8</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051F0">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三类坝已完工</w:t>
            </w:r>
          </w:p>
        </w:tc>
      </w:tr>
      <w:tr w14:paraId="497B60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70C2F">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21</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2ABB6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十亩岭下水库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D0C65">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35343">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C3CE8">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41.8</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BBBEF">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三类坝已完工</w:t>
            </w:r>
          </w:p>
        </w:tc>
      </w:tr>
      <w:tr w14:paraId="146915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5886D5">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22</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EF991">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王宅坑水库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287D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CAF95">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DB6B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16.2</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AB609">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三类坝已完工</w:t>
            </w:r>
          </w:p>
        </w:tc>
      </w:tr>
      <w:tr w14:paraId="4BA994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443B8">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23</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730BE">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百步岭水库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36DB1">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28A41">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3345C">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30</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1979E">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三类坝已完工</w:t>
            </w:r>
          </w:p>
        </w:tc>
      </w:tr>
      <w:tr w14:paraId="4358B2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DFC0E">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24</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A74D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坑口水库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CBC47">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8BDED">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155E3">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13.4</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A5750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三类坝已完工</w:t>
            </w:r>
          </w:p>
        </w:tc>
      </w:tr>
      <w:tr w14:paraId="6965DD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1F177">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25</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C284D">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海五公水库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F724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23EAB">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948FD">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21.69</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32936E">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一类坝</w:t>
            </w:r>
          </w:p>
        </w:tc>
      </w:tr>
      <w:tr w14:paraId="4BEAF7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939BA">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26</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F6AA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猫狗岩水库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734EE8">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34EFC">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C501F">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11</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547F9">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一类坝</w:t>
            </w:r>
          </w:p>
        </w:tc>
      </w:tr>
      <w:tr w14:paraId="091CF7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6ADD1">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27</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A66513">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辛坂水库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BC8B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A5123">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BD784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21</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DC4AD">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三类坝已完工</w:t>
            </w:r>
          </w:p>
        </w:tc>
      </w:tr>
      <w:tr w14:paraId="7D069A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7B450">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28</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50563B">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新塘水库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5F0C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C508C">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17ED0">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12</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FC160">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三类坝已完工</w:t>
            </w:r>
          </w:p>
        </w:tc>
      </w:tr>
      <w:tr w14:paraId="53FD80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FE5E17">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29</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DE0BD">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黄岩下水库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C7B4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59EC0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97CC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14.5</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069EC">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一类坝</w:t>
            </w:r>
          </w:p>
        </w:tc>
      </w:tr>
      <w:tr w14:paraId="01E4B5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66CCA">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30</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DD25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团丘水库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997FC">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3866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DDF77">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19</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DA021">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三类坝已完工</w:t>
            </w:r>
          </w:p>
        </w:tc>
      </w:tr>
      <w:tr w14:paraId="0CD108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D4DB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31</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E226DA">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西坑湾水库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B9B3D">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DDC1D">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D32EC">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87.5</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A636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三类坝已完工</w:t>
            </w:r>
          </w:p>
        </w:tc>
      </w:tr>
      <w:tr w14:paraId="529611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398A3">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32</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256F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淡竹水库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9417E">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D0400">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B83ED8">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40</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B8D0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二类坝加固中</w:t>
            </w:r>
          </w:p>
        </w:tc>
      </w:tr>
      <w:tr w14:paraId="2159CF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4F63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33</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0D48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岭下水库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B0E7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崇仁镇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A83B8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C36E3F">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11.4</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B7CB41">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一类坝</w:t>
            </w:r>
          </w:p>
        </w:tc>
      </w:tr>
      <w:tr w14:paraId="072427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C5AF9">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34</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EE137">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大坑水库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722D9B">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黄泽镇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A8928">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小（1）型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EEA6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108</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710B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二类坝已完工</w:t>
            </w:r>
          </w:p>
        </w:tc>
      </w:tr>
      <w:tr w14:paraId="27AF77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06CFF">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35</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49D77">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渔溪坑水库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A764A">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黄泽镇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AF3B27">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小（1）型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30C88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517</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7F4AE">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一类坝</w:t>
            </w:r>
          </w:p>
        </w:tc>
      </w:tr>
      <w:tr w14:paraId="62CB76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514C8">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36</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4B0B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东塘水库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23AFE">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黄泽镇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D10C9">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B6F79">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12.4</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EBA79">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二类坝加固中</w:t>
            </w:r>
          </w:p>
        </w:tc>
      </w:tr>
      <w:tr w14:paraId="7E3210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A4260">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37</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DEA3F">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里湾水库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2FBBC">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黄泽镇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389538">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6D725">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29</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EF258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一类坝</w:t>
            </w:r>
          </w:p>
        </w:tc>
      </w:tr>
      <w:tr w14:paraId="437274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6A5BE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38</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3D15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金平水库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8BF2E">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黄泽镇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0D4BB">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15CCA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74.26</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59765">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二类坝已完工</w:t>
            </w:r>
          </w:p>
        </w:tc>
      </w:tr>
      <w:tr w14:paraId="0A5AAA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19219">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39</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679418">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西湾水库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08C0B">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黄泽镇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0F73A">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67FB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18.5</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753D0">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一类坝</w:t>
            </w:r>
          </w:p>
        </w:tc>
      </w:tr>
      <w:tr w14:paraId="1BA957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CDA2A">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40</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6F7B2">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大坵头水库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7CBE6E">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黄泽镇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DCC40">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23786">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16</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961FB">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一类坝</w:t>
            </w:r>
          </w:p>
        </w:tc>
      </w:tr>
      <w:tr w14:paraId="349C1E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B9665">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41</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70F2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居塘湾水库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07E48">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黄泽镇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C50E7">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03824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16.3</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E0B13">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三类坝已竣工</w:t>
            </w:r>
          </w:p>
        </w:tc>
      </w:tr>
      <w:tr w14:paraId="74C47C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42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F76EC">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42</w:t>
            </w:r>
          </w:p>
        </w:tc>
        <w:tc>
          <w:tcPr>
            <w:tcW w:w="103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D6C4C">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西樟湾水库</w:t>
            </w:r>
          </w:p>
        </w:tc>
        <w:tc>
          <w:tcPr>
            <w:tcW w:w="6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4CD45">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黄泽镇</w:t>
            </w:r>
          </w:p>
        </w:tc>
        <w:tc>
          <w:tcPr>
            <w:tcW w:w="8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E1C94">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小（2）型</w:t>
            </w:r>
          </w:p>
        </w:tc>
        <w:tc>
          <w:tcPr>
            <w:tcW w:w="10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1D925">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43.9</w:t>
            </w:r>
          </w:p>
        </w:tc>
        <w:tc>
          <w:tcPr>
            <w:tcW w:w="10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606B8">
            <w:pPr>
              <w:keepNext w:val="0"/>
              <w:keepLines w:val="0"/>
              <w:widowControl/>
              <w:suppressLineNumbers w:val="0"/>
              <w:jc w:val="center"/>
              <w:textAlignment w:val="bottom"/>
              <w:rPr>
                <w:rFonts w:hint="eastAsia" w:ascii="仿宋" w:hAnsi="仿宋" w:eastAsia="仿宋" w:cs="仿宋"/>
                <w:i w:val="0"/>
                <w:iCs w:val="0"/>
                <w:color w:val="auto"/>
                <w:sz w:val="20"/>
                <w:szCs w:val="20"/>
                <w:highlight w:val="none"/>
                <w:u w:val="none"/>
              </w:rPr>
            </w:pPr>
            <w:r>
              <w:rPr>
                <w:rFonts w:hint="eastAsia" w:ascii="仿宋" w:hAnsi="仿宋" w:eastAsia="仿宋" w:cs="仿宋"/>
                <w:i w:val="0"/>
                <w:iCs w:val="0"/>
                <w:color w:val="auto"/>
                <w:kern w:val="0"/>
                <w:sz w:val="20"/>
                <w:szCs w:val="20"/>
                <w:highlight w:val="none"/>
                <w:u w:val="none"/>
                <w:lang w:val="en-US" w:eastAsia="zh-CN" w:bidi="ar"/>
              </w:rPr>
              <w:t>三类坝已完工</w:t>
            </w:r>
          </w:p>
        </w:tc>
      </w:tr>
    </w:tbl>
    <w:p w14:paraId="42EC7CCD">
      <w:pPr>
        <w:pageBreakBefore w:val="0"/>
        <w:kinsoku/>
        <w:wordWrap/>
        <w:overflowPunct/>
        <w:topLinePunct w:val="0"/>
        <w:bidi w:val="0"/>
        <w:spacing w:line="400" w:lineRule="exact"/>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根据《浙江省水利工程物业化管理指导意见》文件精神，结合</w:t>
      </w:r>
      <w:r>
        <w:rPr>
          <w:rFonts w:hint="eastAsia" w:ascii="仿宋" w:hAnsi="仿宋" w:eastAsia="仿宋" w:cs="仿宋"/>
          <w:b w:val="0"/>
          <w:bCs w:val="0"/>
          <w:color w:val="auto"/>
          <w:sz w:val="24"/>
          <w:szCs w:val="24"/>
          <w:highlight w:val="none"/>
          <w:lang w:val="en-US" w:eastAsia="zh-CN"/>
        </w:rPr>
        <w:t>嵊州市</w:t>
      </w:r>
      <w:r>
        <w:rPr>
          <w:rFonts w:hint="eastAsia" w:ascii="仿宋" w:hAnsi="仿宋" w:eastAsia="仿宋" w:cs="仿宋"/>
          <w:b w:val="0"/>
          <w:bCs w:val="0"/>
          <w:color w:val="auto"/>
          <w:sz w:val="24"/>
          <w:szCs w:val="24"/>
          <w:highlight w:val="none"/>
        </w:rPr>
        <w:t>小型水库物业化管理方案要求，本次</w:t>
      </w:r>
      <w:r>
        <w:rPr>
          <w:rFonts w:hint="eastAsia" w:ascii="仿宋" w:hAnsi="仿宋" w:eastAsia="仿宋" w:cs="仿宋"/>
          <w:b w:val="0"/>
          <w:bCs w:val="0"/>
          <w:color w:val="auto"/>
          <w:sz w:val="24"/>
          <w:szCs w:val="24"/>
          <w:highlight w:val="none"/>
          <w:lang w:val="en-US" w:eastAsia="zh-CN"/>
        </w:rPr>
        <w:t>42</w:t>
      </w:r>
      <w:r>
        <w:rPr>
          <w:rFonts w:hint="eastAsia" w:ascii="仿宋" w:hAnsi="仿宋" w:eastAsia="仿宋" w:cs="仿宋"/>
          <w:b w:val="0"/>
          <w:bCs w:val="0"/>
          <w:color w:val="auto"/>
          <w:sz w:val="24"/>
          <w:szCs w:val="24"/>
          <w:highlight w:val="none"/>
        </w:rPr>
        <w:t>座小型水库物业化管理主要工作内容为：</w:t>
      </w:r>
      <w:r>
        <w:rPr>
          <w:rFonts w:hint="eastAsia" w:ascii="仿宋" w:hAnsi="仿宋" w:eastAsia="仿宋" w:cs="仿宋"/>
          <w:b w:val="0"/>
          <w:bCs w:val="0"/>
          <w:color w:val="auto"/>
          <w:sz w:val="24"/>
          <w:szCs w:val="24"/>
          <w:highlight w:val="none"/>
          <w:lang w:val="en-US" w:eastAsia="zh-CN"/>
        </w:rPr>
        <w:t>运行操作、安全监测、维修养护、绿化保洁、台账资料、教育培训、数字化支撑等工作。</w:t>
      </w:r>
      <w:r>
        <w:rPr>
          <w:rFonts w:hint="eastAsia" w:ascii="仿宋" w:hAnsi="仿宋" w:eastAsia="仿宋" w:cs="仿宋"/>
          <w:b w:val="0"/>
          <w:bCs w:val="0"/>
          <w:color w:val="auto"/>
          <w:sz w:val="24"/>
          <w:szCs w:val="24"/>
          <w:highlight w:val="none"/>
        </w:rPr>
        <w:t>具体如下：</w:t>
      </w:r>
    </w:p>
    <w:p w14:paraId="1F792882">
      <w:pPr>
        <w:pageBreakBefore w:val="0"/>
        <w:numPr>
          <w:ilvl w:val="0"/>
          <w:numId w:val="1"/>
        </w:numPr>
        <w:kinsoku/>
        <w:wordWrap/>
        <w:overflowPunct/>
        <w:topLinePunct w:val="0"/>
        <w:bidi w:val="0"/>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运行操作</w:t>
      </w:r>
    </w:p>
    <w:p w14:paraId="4BF21AF3">
      <w:pPr>
        <w:pStyle w:val="6"/>
        <w:pageBreakBefore w:val="0"/>
        <w:numPr>
          <w:ilvl w:val="0"/>
          <w:numId w:val="0"/>
        </w:numPr>
        <w:kinsoku/>
        <w:wordWrap/>
        <w:overflowPunct/>
        <w:topLinePunct w:val="0"/>
        <w:bidi w:val="0"/>
        <w:spacing w:line="400" w:lineRule="exact"/>
        <w:ind w:leftChars="0" w:firstLine="480" w:firstLineChars="200"/>
        <w:rPr>
          <w:rFonts w:hint="default" w:ascii="仿宋" w:eastAsia="仿宋" w:cs="仿宋"/>
          <w:b w:val="0"/>
          <w:bCs w:val="0"/>
          <w:color w:val="auto"/>
          <w:kern w:val="2"/>
          <w:sz w:val="24"/>
          <w:szCs w:val="24"/>
          <w:highlight w:val="none"/>
          <w:lang w:eastAsia="zh-CN" w:bidi="ar-SA"/>
        </w:rPr>
      </w:pPr>
      <w:r>
        <w:rPr>
          <w:rFonts w:hint="eastAsia" w:ascii="仿宋" w:hAnsi="仿宋" w:eastAsia="仿宋" w:cs="仿宋"/>
          <w:b w:val="0"/>
          <w:bCs w:val="0"/>
          <w:color w:val="auto"/>
          <w:kern w:val="2"/>
          <w:sz w:val="24"/>
          <w:szCs w:val="24"/>
          <w:highlight w:val="none"/>
          <w:lang w:val="en-US" w:eastAsia="zh-CN" w:bidi="ar-SA"/>
        </w:rPr>
        <w:t>物业化单位应</w:t>
      </w:r>
      <w:r>
        <w:rPr>
          <w:rFonts w:hint="eastAsia" w:ascii="仿宋" w:eastAsia="仿宋" w:cs="仿宋"/>
          <w:b w:val="0"/>
          <w:bCs w:val="0"/>
          <w:color w:val="auto"/>
          <w:kern w:val="2"/>
          <w:sz w:val="24"/>
          <w:szCs w:val="24"/>
          <w:highlight w:val="none"/>
          <w:lang w:val="en-US" w:eastAsia="zh-CN" w:bidi="ar-SA"/>
        </w:rPr>
        <w:t>根据各水库实际情况及属地乡镇要求配合乡镇编制</w:t>
      </w:r>
      <w:r>
        <w:rPr>
          <w:rFonts w:hint="eastAsia" w:ascii="仿宋" w:hAnsi="仿宋" w:eastAsia="仿宋" w:cs="仿宋"/>
          <w:b w:val="0"/>
          <w:bCs w:val="0"/>
          <w:color w:val="auto"/>
          <w:kern w:val="2"/>
          <w:sz w:val="24"/>
          <w:szCs w:val="24"/>
          <w:highlight w:val="none"/>
          <w:lang w:val="en-US" w:eastAsia="zh-CN" w:bidi="ar-SA"/>
        </w:rPr>
        <w:t>年度</w:t>
      </w:r>
      <w:r>
        <w:rPr>
          <w:rFonts w:hint="eastAsia" w:ascii="仿宋" w:eastAsia="仿宋" w:cs="仿宋"/>
          <w:b w:val="0"/>
          <w:bCs w:val="0"/>
          <w:color w:val="auto"/>
          <w:kern w:val="2"/>
          <w:sz w:val="24"/>
          <w:szCs w:val="24"/>
          <w:highlight w:val="none"/>
          <w:lang w:val="en-US" w:eastAsia="zh-CN" w:bidi="ar-SA"/>
        </w:rPr>
        <w:t>控制运行计划、应急预案，并配合乡镇按照批复后的控运计划以及上级相关调度指令做好水库闸、涵等的运行操作。</w:t>
      </w:r>
      <w:r>
        <w:rPr>
          <w:rFonts w:hint="default" w:ascii="仿宋" w:eastAsia="仿宋" w:cs="仿宋"/>
          <w:b w:val="0"/>
          <w:bCs w:val="0"/>
          <w:color w:val="auto"/>
          <w:kern w:val="2"/>
          <w:sz w:val="24"/>
          <w:szCs w:val="24"/>
          <w:highlight w:val="none"/>
          <w:lang w:eastAsia="zh-CN" w:bidi="ar-SA"/>
        </w:rPr>
        <w:t>参与水库汛期应急抢险处置等工作</w:t>
      </w:r>
      <w:r>
        <w:rPr>
          <w:rFonts w:hint="eastAsia" w:ascii="仿宋" w:eastAsia="仿宋" w:cs="仿宋"/>
          <w:b w:val="0"/>
          <w:bCs w:val="0"/>
          <w:color w:val="auto"/>
          <w:kern w:val="2"/>
          <w:sz w:val="24"/>
          <w:szCs w:val="24"/>
          <w:highlight w:val="none"/>
          <w:lang w:eastAsia="zh-CN" w:bidi="ar-SA"/>
        </w:rPr>
        <w:t>，</w:t>
      </w:r>
      <w:r>
        <w:rPr>
          <w:rFonts w:hint="eastAsia" w:ascii="仿宋" w:eastAsia="仿宋" w:cs="仿宋"/>
          <w:b w:val="0"/>
          <w:bCs w:val="0"/>
          <w:color w:val="auto"/>
          <w:kern w:val="2"/>
          <w:sz w:val="24"/>
          <w:szCs w:val="24"/>
          <w:highlight w:val="none"/>
          <w:lang w:val="en-US" w:eastAsia="zh-CN" w:bidi="ar-SA"/>
        </w:rPr>
        <w:t>配合乡镇做好水库管理的相关工作</w:t>
      </w:r>
      <w:r>
        <w:rPr>
          <w:rFonts w:hint="default" w:ascii="仿宋" w:eastAsia="仿宋" w:cs="仿宋"/>
          <w:b w:val="0"/>
          <w:bCs w:val="0"/>
          <w:color w:val="auto"/>
          <w:kern w:val="2"/>
          <w:sz w:val="24"/>
          <w:szCs w:val="24"/>
          <w:highlight w:val="none"/>
          <w:lang w:eastAsia="zh-CN" w:bidi="ar-SA"/>
        </w:rPr>
        <w:t>。</w:t>
      </w:r>
    </w:p>
    <w:p w14:paraId="350FEA17">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安全监测</w:t>
      </w:r>
    </w:p>
    <w:p w14:paraId="5DD184B0">
      <w:pPr>
        <w:pStyle w:val="3"/>
        <w:pageBreakBefore w:val="0"/>
        <w:kinsoku/>
        <w:wordWrap/>
        <w:overflowPunct/>
        <w:topLinePunct w:val="0"/>
        <w:bidi w:val="0"/>
        <w:spacing w:line="400" w:lineRule="exact"/>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物业化单位应根据《土石坝安全监测技术规范》（SL551-2012）、《混凝土坝安全监测技术规范》（SL601-2013）、《小型水库管理规程》（DB33/T2214—2019）等规范规程要求，遵循遵循人员、仪器、时间、频次“四固定”原则，开展水库安全监测工作。监测工作主要由人工监测原始记录、整理核对成果、监测资料整编分析等，成果经项目负责人签字后，交由管理单位并及时归档，同时录入电子文档。</w:t>
      </w:r>
    </w:p>
    <w:p w14:paraId="1FCA557F">
      <w:pPr>
        <w:pStyle w:val="3"/>
        <w:pageBreakBefore w:val="0"/>
        <w:kinsoku/>
        <w:wordWrap/>
        <w:overflowPunct/>
        <w:topLinePunct w:val="0"/>
        <w:bidi w:val="0"/>
        <w:spacing w:line="400" w:lineRule="exact"/>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水平位移监测可采用视准线法、前方交会法、极坐标法和 GPS 法进行；垂直位移监测可采用水准测量及三角高程测量；测压管水位监测宜采用电测水位计。</w:t>
      </w:r>
    </w:p>
    <w:p w14:paraId="413A7F92">
      <w:pPr>
        <w:pStyle w:val="3"/>
        <w:pageBreakBefore w:val="0"/>
        <w:kinsoku/>
        <w:wordWrap/>
        <w:overflowPunct/>
        <w:topLinePunct w:val="0"/>
        <w:bidi w:val="0"/>
        <w:spacing w:line="400" w:lineRule="exact"/>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工程监测频次见下表</w:t>
      </w:r>
    </w:p>
    <w:tbl>
      <w:tblPr>
        <w:tblStyle w:val="63"/>
        <w:tblW w:w="8244" w:type="dxa"/>
        <w:tblInd w:w="12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0"/>
        <w:gridCol w:w="1182"/>
        <w:gridCol w:w="2175"/>
        <w:gridCol w:w="1825"/>
        <w:gridCol w:w="1852"/>
      </w:tblGrid>
      <w:tr w14:paraId="04173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10" w:type="dxa"/>
            <w:vMerge w:val="restart"/>
            <w:noWrap w:val="0"/>
            <w:vAlign w:val="center"/>
          </w:tcPr>
          <w:p w14:paraId="524866B6">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default" w:ascii="仿宋" w:hAnsi="仿宋" w:eastAsia="仿宋" w:cs="仿宋"/>
                <w:b/>
                <w:bCs/>
                <w:color w:val="auto"/>
                <w:kern w:val="2"/>
                <w:sz w:val="24"/>
                <w:szCs w:val="24"/>
                <w:highlight w:val="none"/>
                <w:vertAlign w:val="baseline"/>
                <w:lang w:val="en-US" w:eastAsia="zh-CN" w:bidi="ar-SA"/>
              </w:rPr>
            </w:pPr>
            <w:r>
              <w:rPr>
                <w:rFonts w:hint="eastAsia" w:ascii="仿宋" w:hAnsi="仿宋" w:eastAsia="仿宋" w:cs="仿宋"/>
                <w:b/>
                <w:bCs/>
                <w:color w:val="auto"/>
                <w:kern w:val="2"/>
                <w:sz w:val="24"/>
                <w:szCs w:val="24"/>
                <w:highlight w:val="none"/>
                <w:vertAlign w:val="baseline"/>
                <w:lang w:val="en-US" w:eastAsia="zh-CN" w:bidi="ar-SA"/>
              </w:rPr>
              <w:t>坝型</w:t>
            </w:r>
          </w:p>
        </w:tc>
        <w:tc>
          <w:tcPr>
            <w:tcW w:w="3357" w:type="dxa"/>
            <w:gridSpan w:val="2"/>
            <w:vMerge w:val="restart"/>
            <w:noWrap w:val="0"/>
            <w:vAlign w:val="center"/>
          </w:tcPr>
          <w:p w14:paraId="491A2C75">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bCs/>
                <w:color w:val="auto"/>
                <w:kern w:val="2"/>
                <w:sz w:val="24"/>
                <w:szCs w:val="24"/>
                <w:highlight w:val="none"/>
                <w:vertAlign w:val="baseline"/>
                <w:lang w:val="en-US" w:eastAsia="zh-CN" w:bidi="ar-SA"/>
              </w:rPr>
            </w:pPr>
            <w:r>
              <w:rPr>
                <w:rFonts w:hint="eastAsia" w:ascii="仿宋" w:hAnsi="仿宋" w:eastAsia="仿宋" w:cs="仿宋"/>
                <w:b/>
                <w:bCs/>
                <w:color w:val="auto"/>
                <w:kern w:val="2"/>
                <w:sz w:val="24"/>
                <w:szCs w:val="24"/>
                <w:highlight w:val="none"/>
                <w:vertAlign w:val="baseline"/>
                <w:lang w:val="en-US" w:eastAsia="zh-CN" w:bidi="ar-SA"/>
              </w:rPr>
              <w:t>观测项目</w:t>
            </w:r>
          </w:p>
        </w:tc>
        <w:tc>
          <w:tcPr>
            <w:tcW w:w="3677" w:type="dxa"/>
            <w:gridSpan w:val="2"/>
            <w:noWrap w:val="0"/>
            <w:vAlign w:val="center"/>
          </w:tcPr>
          <w:p w14:paraId="7899A211">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bCs/>
                <w:color w:val="auto"/>
                <w:kern w:val="2"/>
                <w:sz w:val="24"/>
                <w:szCs w:val="24"/>
                <w:highlight w:val="none"/>
                <w:vertAlign w:val="baseline"/>
                <w:lang w:val="en-US" w:eastAsia="zh-CN" w:bidi="ar-SA"/>
              </w:rPr>
            </w:pPr>
            <w:r>
              <w:rPr>
                <w:rFonts w:hint="eastAsia" w:ascii="仿宋" w:hAnsi="仿宋" w:eastAsia="仿宋" w:cs="仿宋"/>
                <w:b/>
                <w:bCs/>
                <w:color w:val="auto"/>
                <w:kern w:val="2"/>
                <w:sz w:val="24"/>
                <w:szCs w:val="24"/>
                <w:highlight w:val="none"/>
                <w:vertAlign w:val="baseline"/>
                <w:lang w:val="en-US" w:eastAsia="zh-CN" w:bidi="ar-SA"/>
              </w:rPr>
              <w:t>监测频次</w:t>
            </w:r>
          </w:p>
        </w:tc>
      </w:tr>
      <w:tr w14:paraId="59FE7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10" w:type="dxa"/>
            <w:vMerge w:val="continue"/>
            <w:noWrap w:val="0"/>
            <w:vAlign w:val="center"/>
          </w:tcPr>
          <w:p w14:paraId="20E5AF13">
            <w:pPr>
              <w:pStyle w:val="3"/>
              <w:keepNext w:val="0"/>
              <w:keepLines w:val="0"/>
              <w:pageBreakBefore w:val="0"/>
              <w:widowControl w:val="0"/>
              <w:kinsoku/>
              <w:wordWrap/>
              <w:overflowPunct/>
              <w:topLinePunct w:val="0"/>
              <w:autoSpaceDE w:val="0"/>
              <w:autoSpaceDN w:val="0"/>
              <w:bidi w:val="0"/>
              <w:adjustRightInd w:val="0"/>
              <w:snapToGrid/>
              <w:spacing w:line="400" w:lineRule="exact"/>
              <w:ind w:firstLine="0"/>
              <w:jc w:val="center"/>
              <w:textAlignment w:val="auto"/>
              <w:rPr>
                <w:rFonts w:hint="eastAsia" w:ascii="仿宋" w:hAnsi="仿宋" w:eastAsia="仿宋" w:cs="仿宋"/>
                <w:b/>
                <w:bCs/>
                <w:color w:val="auto"/>
                <w:kern w:val="2"/>
                <w:sz w:val="24"/>
                <w:szCs w:val="24"/>
                <w:highlight w:val="none"/>
                <w:vertAlign w:val="baseline"/>
                <w:lang w:val="en-US" w:eastAsia="zh-CN" w:bidi="ar-SA"/>
              </w:rPr>
            </w:pPr>
          </w:p>
        </w:tc>
        <w:tc>
          <w:tcPr>
            <w:tcW w:w="3357" w:type="dxa"/>
            <w:gridSpan w:val="2"/>
            <w:vMerge w:val="continue"/>
            <w:noWrap w:val="0"/>
            <w:vAlign w:val="center"/>
          </w:tcPr>
          <w:p w14:paraId="352F29B2">
            <w:pPr>
              <w:pStyle w:val="3"/>
              <w:keepNext w:val="0"/>
              <w:keepLines w:val="0"/>
              <w:pageBreakBefore w:val="0"/>
              <w:widowControl w:val="0"/>
              <w:kinsoku/>
              <w:wordWrap/>
              <w:overflowPunct/>
              <w:topLinePunct w:val="0"/>
              <w:autoSpaceDE w:val="0"/>
              <w:autoSpaceDN w:val="0"/>
              <w:bidi w:val="0"/>
              <w:adjustRightInd w:val="0"/>
              <w:snapToGrid/>
              <w:spacing w:line="400" w:lineRule="exact"/>
              <w:ind w:firstLine="0"/>
              <w:jc w:val="center"/>
              <w:textAlignment w:val="auto"/>
              <w:rPr>
                <w:rFonts w:hint="eastAsia" w:ascii="仿宋" w:hAnsi="仿宋" w:eastAsia="仿宋" w:cs="仿宋"/>
                <w:b/>
                <w:bCs/>
                <w:color w:val="auto"/>
                <w:kern w:val="2"/>
                <w:sz w:val="24"/>
                <w:szCs w:val="24"/>
                <w:highlight w:val="none"/>
                <w:vertAlign w:val="baseline"/>
                <w:lang w:val="en-US" w:eastAsia="zh-CN" w:bidi="ar-SA"/>
              </w:rPr>
            </w:pPr>
          </w:p>
        </w:tc>
        <w:tc>
          <w:tcPr>
            <w:tcW w:w="1825" w:type="dxa"/>
            <w:noWrap w:val="0"/>
            <w:vAlign w:val="center"/>
          </w:tcPr>
          <w:p w14:paraId="1B47617C">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bCs/>
                <w:color w:val="auto"/>
                <w:kern w:val="2"/>
                <w:sz w:val="24"/>
                <w:szCs w:val="24"/>
                <w:highlight w:val="none"/>
                <w:vertAlign w:val="baseline"/>
                <w:lang w:val="en-US" w:eastAsia="zh-CN" w:bidi="ar-SA"/>
              </w:rPr>
            </w:pPr>
            <w:r>
              <w:rPr>
                <w:rFonts w:hint="eastAsia" w:ascii="仿宋" w:hAnsi="仿宋" w:eastAsia="仿宋" w:cs="仿宋"/>
                <w:b/>
                <w:bCs/>
                <w:color w:val="auto"/>
                <w:kern w:val="2"/>
                <w:sz w:val="24"/>
                <w:szCs w:val="24"/>
                <w:highlight w:val="none"/>
                <w:vertAlign w:val="baseline"/>
                <w:lang w:val="en-US" w:eastAsia="zh-CN" w:bidi="ar-SA"/>
              </w:rPr>
              <w:t>初蓄期</w:t>
            </w:r>
          </w:p>
        </w:tc>
        <w:tc>
          <w:tcPr>
            <w:tcW w:w="1852" w:type="dxa"/>
            <w:noWrap w:val="0"/>
            <w:vAlign w:val="center"/>
          </w:tcPr>
          <w:p w14:paraId="63CE35F1">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bCs/>
                <w:color w:val="auto"/>
                <w:kern w:val="2"/>
                <w:sz w:val="24"/>
                <w:szCs w:val="24"/>
                <w:highlight w:val="none"/>
                <w:vertAlign w:val="baseline"/>
                <w:lang w:val="en-US" w:eastAsia="zh-CN" w:bidi="ar-SA"/>
              </w:rPr>
            </w:pPr>
            <w:r>
              <w:rPr>
                <w:rFonts w:hint="eastAsia" w:ascii="仿宋" w:hAnsi="仿宋" w:eastAsia="仿宋" w:cs="仿宋"/>
                <w:b/>
                <w:bCs/>
                <w:color w:val="auto"/>
                <w:kern w:val="2"/>
                <w:sz w:val="24"/>
                <w:szCs w:val="24"/>
                <w:highlight w:val="none"/>
                <w:vertAlign w:val="baseline"/>
                <w:lang w:val="en-US" w:eastAsia="zh-CN" w:bidi="ar-SA"/>
              </w:rPr>
              <w:t>运行期</w:t>
            </w:r>
          </w:p>
        </w:tc>
      </w:tr>
      <w:tr w14:paraId="596FC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10" w:type="dxa"/>
            <w:vMerge w:val="restart"/>
            <w:noWrap w:val="0"/>
            <w:vAlign w:val="center"/>
          </w:tcPr>
          <w:p w14:paraId="77A7626E">
            <w:pPr>
              <w:pStyle w:val="3"/>
              <w:keepNext w:val="0"/>
              <w:keepLines w:val="0"/>
              <w:pageBreakBefore w:val="0"/>
              <w:widowControl w:val="0"/>
              <w:kinsoku/>
              <w:wordWrap/>
              <w:overflowPunct/>
              <w:topLinePunct w:val="0"/>
              <w:autoSpaceDE w:val="0"/>
              <w:autoSpaceDN w:val="0"/>
              <w:bidi w:val="0"/>
              <w:adjustRightInd w:val="0"/>
              <w:snapToGrid/>
              <w:spacing w:line="400" w:lineRule="exact"/>
              <w:ind w:firstLine="0"/>
              <w:jc w:val="center"/>
              <w:textAlignment w:val="auto"/>
              <w:rPr>
                <w:rFonts w:hint="default"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土石坝</w:t>
            </w:r>
          </w:p>
        </w:tc>
        <w:tc>
          <w:tcPr>
            <w:tcW w:w="1182" w:type="dxa"/>
            <w:vMerge w:val="restart"/>
            <w:noWrap w:val="0"/>
            <w:vAlign w:val="center"/>
          </w:tcPr>
          <w:p w14:paraId="2C1EAD29">
            <w:pPr>
              <w:pStyle w:val="3"/>
              <w:keepNext w:val="0"/>
              <w:keepLines w:val="0"/>
              <w:pageBreakBefore w:val="0"/>
              <w:widowControl w:val="0"/>
              <w:kinsoku/>
              <w:wordWrap/>
              <w:overflowPunct/>
              <w:topLinePunct w:val="0"/>
              <w:autoSpaceDE w:val="0"/>
              <w:autoSpaceDN w:val="0"/>
              <w:bidi w:val="0"/>
              <w:adjustRightInd w:val="0"/>
              <w:snapToGrid/>
              <w:spacing w:line="400" w:lineRule="exact"/>
              <w:ind w:firstLine="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变形监测</w:t>
            </w:r>
          </w:p>
        </w:tc>
        <w:tc>
          <w:tcPr>
            <w:tcW w:w="2175" w:type="dxa"/>
            <w:noWrap w:val="0"/>
            <w:vAlign w:val="center"/>
          </w:tcPr>
          <w:p w14:paraId="06B71035">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坝体表面垂直位移</w:t>
            </w:r>
          </w:p>
        </w:tc>
        <w:tc>
          <w:tcPr>
            <w:tcW w:w="1825" w:type="dxa"/>
            <w:noWrap w:val="0"/>
            <w:vAlign w:val="center"/>
          </w:tcPr>
          <w:p w14:paraId="26F2940B">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1 次/月</w:t>
            </w:r>
          </w:p>
        </w:tc>
        <w:tc>
          <w:tcPr>
            <w:tcW w:w="1852" w:type="dxa"/>
            <w:noWrap w:val="0"/>
            <w:vAlign w:val="center"/>
          </w:tcPr>
          <w:p w14:paraId="4182B67F">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default"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1次/季度</w:t>
            </w:r>
          </w:p>
        </w:tc>
      </w:tr>
      <w:tr w14:paraId="28D94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10" w:type="dxa"/>
            <w:vMerge w:val="continue"/>
            <w:noWrap w:val="0"/>
            <w:vAlign w:val="center"/>
          </w:tcPr>
          <w:p w14:paraId="127B9384">
            <w:pPr>
              <w:pStyle w:val="3"/>
              <w:keepNext w:val="0"/>
              <w:keepLines w:val="0"/>
              <w:pageBreakBefore w:val="0"/>
              <w:widowControl w:val="0"/>
              <w:kinsoku/>
              <w:wordWrap/>
              <w:overflowPunct/>
              <w:topLinePunct w:val="0"/>
              <w:autoSpaceDE w:val="0"/>
              <w:autoSpaceDN w:val="0"/>
              <w:bidi w:val="0"/>
              <w:adjustRightInd w:val="0"/>
              <w:snapToGrid/>
              <w:spacing w:line="400" w:lineRule="exact"/>
              <w:ind w:firstLine="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p>
        </w:tc>
        <w:tc>
          <w:tcPr>
            <w:tcW w:w="1182" w:type="dxa"/>
            <w:vMerge w:val="continue"/>
            <w:noWrap w:val="0"/>
            <w:vAlign w:val="center"/>
          </w:tcPr>
          <w:p w14:paraId="209E0AB1">
            <w:pPr>
              <w:pStyle w:val="3"/>
              <w:keepNext w:val="0"/>
              <w:keepLines w:val="0"/>
              <w:pageBreakBefore w:val="0"/>
              <w:widowControl w:val="0"/>
              <w:kinsoku/>
              <w:wordWrap/>
              <w:overflowPunct/>
              <w:topLinePunct w:val="0"/>
              <w:autoSpaceDE w:val="0"/>
              <w:autoSpaceDN w:val="0"/>
              <w:bidi w:val="0"/>
              <w:adjustRightInd w:val="0"/>
              <w:snapToGrid/>
              <w:spacing w:line="400" w:lineRule="exact"/>
              <w:ind w:firstLine="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p>
        </w:tc>
        <w:tc>
          <w:tcPr>
            <w:tcW w:w="2175" w:type="dxa"/>
            <w:noWrap w:val="0"/>
            <w:vAlign w:val="center"/>
          </w:tcPr>
          <w:p w14:paraId="38C4EB18">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坝体表面水平位移</w:t>
            </w:r>
          </w:p>
        </w:tc>
        <w:tc>
          <w:tcPr>
            <w:tcW w:w="1825" w:type="dxa"/>
            <w:noWrap w:val="0"/>
            <w:vAlign w:val="center"/>
          </w:tcPr>
          <w:p w14:paraId="362C077D">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1 次/月</w:t>
            </w:r>
          </w:p>
        </w:tc>
        <w:tc>
          <w:tcPr>
            <w:tcW w:w="1852" w:type="dxa"/>
            <w:noWrap w:val="0"/>
            <w:vAlign w:val="center"/>
          </w:tcPr>
          <w:p w14:paraId="1CF4C801">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1次/季度</w:t>
            </w:r>
          </w:p>
        </w:tc>
      </w:tr>
      <w:tr w14:paraId="38F90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10" w:type="dxa"/>
            <w:vMerge w:val="continue"/>
            <w:noWrap w:val="0"/>
            <w:vAlign w:val="center"/>
          </w:tcPr>
          <w:p w14:paraId="66488167">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p>
        </w:tc>
        <w:tc>
          <w:tcPr>
            <w:tcW w:w="1182" w:type="dxa"/>
            <w:vMerge w:val="restart"/>
            <w:noWrap w:val="0"/>
            <w:vAlign w:val="center"/>
          </w:tcPr>
          <w:p w14:paraId="4BE81342">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渗流监测</w:t>
            </w:r>
          </w:p>
        </w:tc>
        <w:tc>
          <w:tcPr>
            <w:tcW w:w="2175" w:type="dxa"/>
            <w:noWrap w:val="0"/>
            <w:vAlign w:val="center"/>
          </w:tcPr>
          <w:p w14:paraId="43B277FE">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渗流量</w:t>
            </w:r>
          </w:p>
        </w:tc>
        <w:tc>
          <w:tcPr>
            <w:tcW w:w="1825" w:type="dxa"/>
            <w:noWrap w:val="0"/>
            <w:vAlign w:val="center"/>
          </w:tcPr>
          <w:p w14:paraId="44B9EBF3">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1次/周</w:t>
            </w:r>
          </w:p>
        </w:tc>
        <w:tc>
          <w:tcPr>
            <w:tcW w:w="1852" w:type="dxa"/>
            <w:noWrap w:val="0"/>
            <w:vAlign w:val="center"/>
          </w:tcPr>
          <w:p w14:paraId="73E49028">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1 次/月</w:t>
            </w:r>
          </w:p>
        </w:tc>
      </w:tr>
      <w:tr w14:paraId="61771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1210" w:type="dxa"/>
            <w:vMerge w:val="continue"/>
            <w:noWrap w:val="0"/>
            <w:vAlign w:val="center"/>
          </w:tcPr>
          <w:p w14:paraId="5AE0CF08">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p>
        </w:tc>
        <w:tc>
          <w:tcPr>
            <w:tcW w:w="1182" w:type="dxa"/>
            <w:vMerge w:val="continue"/>
            <w:noWrap w:val="0"/>
            <w:vAlign w:val="center"/>
          </w:tcPr>
          <w:p w14:paraId="6AB4C4C4">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p>
        </w:tc>
        <w:tc>
          <w:tcPr>
            <w:tcW w:w="2175" w:type="dxa"/>
            <w:noWrap w:val="0"/>
            <w:vAlign w:val="center"/>
          </w:tcPr>
          <w:p w14:paraId="5319DF54">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坝体渗流压力</w:t>
            </w:r>
          </w:p>
        </w:tc>
        <w:tc>
          <w:tcPr>
            <w:tcW w:w="1825" w:type="dxa"/>
            <w:noWrap w:val="0"/>
            <w:vAlign w:val="center"/>
          </w:tcPr>
          <w:p w14:paraId="130B9A05">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1次/周</w:t>
            </w:r>
          </w:p>
        </w:tc>
        <w:tc>
          <w:tcPr>
            <w:tcW w:w="1852" w:type="dxa"/>
            <w:noWrap w:val="0"/>
            <w:vAlign w:val="center"/>
          </w:tcPr>
          <w:p w14:paraId="4BF42EBB">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1 次/月</w:t>
            </w:r>
          </w:p>
        </w:tc>
      </w:tr>
      <w:tr w14:paraId="09871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10" w:type="dxa"/>
            <w:vMerge w:val="restart"/>
            <w:noWrap w:val="0"/>
            <w:vAlign w:val="center"/>
          </w:tcPr>
          <w:p w14:paraId="22B045E3">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default"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混凝土坝</w:t>
            </w:r>
          </w:p>
        </w:tc>
        <w:tc>
          <w:tcPr>
            <w:tcW w:w="1182" w:type="dxa"/>
            <w:vMerge w:val="restart"/>
            <w:noWrap w:val="0"/>
            <w:vAlign w:val="center"/>
          </w:tcPr>
          <w:p w14:paraId="22E82B0F">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变形监测</w:t>
            </w:r>
          </w:p>
        </w:tc>
        <w:tc>
          <w:tcPr>
            <w:tcW w:w="2175" w:type="dxa"/>
            <w:noWrap w:val="0"/>
            <w:vAlign w:val="center"/>
          </w:tcPr>
          <w:p w14:paraId="7583B48A">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坝体表面垂直位移</w:t>
            </w:r>
          </w:p>
        </w:tc>
        <w:tc>
          <w:tcPr>
            <w:tcW w:w="1825" w:type="dxa"/>
            <w:noWrap w:val="0"/>
            <w:vAlign w:val="center"/>
          </w:tcPr>
          <w:p w14:paraId="49A0ADB2">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1次/周</w:t>
            </w:r>
          </w:p>
        </w:tc>
        <w:tc>
          <w:tcPr>
            <w:tcW w:w="1852" w:type="dxa"/>
            <w:noWrap w:val="0"/>
            <w:vAlign w:val="center"/>
          </w:tcPr>
          <w:p w14:paraId="10B06435">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default"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1次/月</w:t>
            </w:r>
          </w:p>
        </w:tc>
      </w:tr>
      <w:tr w14:paraId="247AF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10" w:type="dxa"/>
            <w:vMerge w:val="continue"/>
            <w:noWrap w:val="0"/>
            <w:vAlign w:val="center"/>
          </w:tcPr>
          <w:p w14:paraId="2A8E8210">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p>
        </w:tc>
        <w:tc>
          <w:tcPr>
            <w:tcW w:w="1182" w:type="dxa"/>
            <w:vMerge w:val="continue"/>
            <w:noWrap w:val="0"/>
            <w:vAlign w:val="center"/>
          </w:tcPr>
          <w:p w14:paraId="41FBCDED">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p>
        </w:tc>
        <w:tc>
          <w:tcPr>
            <w:tcW w:w="2175" w:type="dxa"/>
            <w:noWrap w:val="0"/>
            <w:vAlign w:val="center"/>
          </w:tcPr>
          <w:p w14:paraId="28F93C06">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坝体表面水平位移</w:t>
            </w:r>
          </w:p>
        </w:tc>
        <w:tc>
          <w:tcPr>
            <w:tcW w:w="1825" w:type="dxa"/>
            <w:noWrap w:val="0"/>
            <w:vAlign w:val="center"/>
          </w:tcPr>
          <w:p w14:paraId="6F40EF04">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1次/周</w:t>
            </w:r>
          </w:p>
        </w:tc>
        <w:tc>
          <w:tcPr>
            <w:tcW w:w="1852" w:type="dxa"/>
            <w:noWrap w:val="0"/>
            <w:vAlign w:val="center"/>
          </w:tcPr>
          <w:p w14:paraId="77322921">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1次/月</w:t>
            </w:r>
          </w:p>
        </w:tc>
      </w:tr>
      <w:tr w14:paraId="57800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210" w:type="dxa"/>
            <w:vMerge w:val="continue"/>
            <w:noWrap w:val="0"/>
            <w:vAlign w:val="center"/>
          </w:tcPr>
          <w:p w14:paraId="1A136ACF">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p>
        </w:tc>
        <w:tc>
          <w:tcPr>
            <w:tcW w:w="1182" w:type="dxa"/>
            <w:noWrap w:val="0"/>
            <w:vAlign w:val="center"/>
          </w:tcPr>
          <w:p w14:paraId="573020DC">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渗流监测</w:t>
            </w:r>
          </w:p>
        </w:tc>
        <w:tc>
          <w:tcPr>
            <w:tcW w:w="2175" w:type="dxa"/>
            <w:noWrap w:val="0"/>
            <w:vAlign w:val="center"/>
          </w:tcPr>
          <w:p w14:paraId="7F233409">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渗流量</w:t>
            </w:r>
          </w:p>
        </w:tc>
        <w:tc>
          <w:tcPr>
            <w:tcW w:w="1825" w:type="dxa"/>
            <w:noWrap w:val="0"/>
            <w:vAlign w:val="center"/>
          </w:tcPr>
          <w:p w14:paraId="58ADADF1">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1次/天</w:t>
            </w:r>
          </w:p>
        </w:tc>
        <w:tc>
          <w:tcPr>
            <w:tcW w:w="1852" w:type="dxa"/>
            <w:noWrap w:val="0"/>
            <w:vAlign w:val="center"/>
          </w:tcPr>
          <w:p w14:paraId="3B549704">
            <w:pPr>
              <w:pStyle w:val="3"/>
              <w:keepNext w:val="0"/>
              <w:keepLines w:val="0"/>
              <w:pageBreakBefore w:val="0"/>
              <w:widowControl w:val="0"/>
              <w:kinsoku/>
              <w:wordWrap/>
              <w:overflowPunct/>
              <w:topLinePunct w:val="0"/>
              <w:autoSpaceDE w:val="0"/>
              <w:autoSpaceDN w:val="0"/>
              <w:bidi w:val="0"/>
              <w:adjustRightInd w:val="0"/>
              <w:snapToGrid/>
              <w:spacing w:line="400" w:lineRule="exact"/>
              <w:ind w:left="0" w:leftChars="0" w:firstLine="0" w:firstLineChars="0"/>
              <w:jc w:val="center"/>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2次/月</w:t>
            </w:r>
          </w:p>
        </w:tc>
      </w:tr>
      <w:tr w14:paraId="0C5FE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8244" w:type="dxa"/>
            <w:gridSpan w:val="5"/>
            <w:noWrap w:val="0"/>
            <w:vAlign w:val="center"/>
          </w:tcPr>
          <w:p w14:paraId="2414145F">
            <w:pPr>
              <w:pStyle w:val="3"/>
              <w:keepNext w:val="0"/>
              <w:keepLines w:val="0"/>
              <w:pageBreakBefore w:val="0"/>
              <w:widowControl w:val="0"/>
              <w:kinsoku/>
              <w:wordWrap/>
              <w:overflowPunct/>
              <w:topLinePunct w:val="0"/>
              <w:autoSpaceDE w:val="0"/>
              <w:autoSpaceDN w:val="0"/>
              <w:bidi w:val="0"/>
              <w:adjustRightInd w:val="0"/>
              <w:snapToGrid/>
              <w:spacing w:line="400" w:lineRule="exact"/>
              <w:ind w:firstLine="0"/>
              <w:jc w:val="left"/>
              <w:textAlignment w:val="auto"/>
              <w:rPr>
                <w:rFonts w:hint="default"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初蓄期：除险加固后首次蓄水后的前3年；运行期：初蓄期后的时期。</w:t>
            </w:r>
          </w:p>
        </w:tc>
      </w:tr>
    </w:tbl>
    <w:p w14:paraId="5B7660E2">
      <w:pPr>
        <w:pStyle w:val="3"/>
        <w:pageBreakBefore w:val="0"/>
        <w:kinsoku/>
        <w:wordWrap/>
        <w:overflowPunct/>
        <w:topLinePunct w:val="0"/>
        <w:bidi w:val="0"/>
        <w:spacing w:line="400" w:lineRule="exact"/>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工程监测资料整编分析中发现异常情况时，应组织专业技术人员进行分析，查明原因，及时采取措施并做好记录。一时难以查明原因或工程已出现异常的，应及时向管理单位和属地乡镇（街道）报告并采取相应措施。</w:t>
      </w:r>
    </w:p>
    <w:p w14:paraId="47123D66">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维修养护</w:t>
      </w:r>
    </w:p>
    <w:p w14:paraId="1825E02A">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物业化单位应制定年度维修养护计划</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计划应结合市水利局</w:t>
      </w:r>
      <w:r>
        <w:rPr>
          <w:rFonts w:hint="eastAsia" w:ascii="仿宋" w:hAnsi="仿宋" w:eastAsia="仿宋" w:cs="仿宋"/>
          <w:color w:val="auto"/>
          <w:sz w:val="24"/>
          <w:szCs w:val="24"/>
          <w:highlight w:val="none"/>
        </w:rPr>
        <w:t>组织的汛前检查</w:t>
      </w:r>
      <w:r>
        <w:rPr>
          <w:rFonts w:hint="eastAsia" w:ascii="仿宋" w:hAnsi="仿宋" w:eastAsia="仿宋" w:cs="仿宋"/>
          <w:color w:val="auto"/>
          <w:sz w:val="24"/>
          <w:szCs w:val="24"/>
          <w:highlight w:val="none"/>
          <w:lang w:val="en-US" w:eastAsia="zh-CN"/>
        </w:rPr>
        <w:t>及</w:t>
      </w:r>
      <w:r>
        <w:rPr>
          <w:rFonts w:hint="eastAsia" w:ascii="仿宋" w:hAnsi="仿宋" w:eastAsia="仿宋" w:cs="仿宋"/>
          <w:color w:val="auto"/>
          <w:sz w:val="24"/>
          <w:szCs w:val="24"/>
          <w:highlight w:val="none"/>
        </w:rPr>
        <w:t>梅雨、台风、强降雨后检查</w:t>
      </w:r>
      <w:r>
        <w:rPr>
          <w:rFonts w:hint="eastAsia" w:ascii="仿宋" w:hAnsi="仿宋" w:eastAsia="仿宋" w:cs="仿宋"/>
          <w:color w:val="auto"/>
          <w:sz w:val="24"/>
          <w:szCs w:val="24"/>
          <w:highlight w:val="none"/>
          <w:lang w:val="en-US" w:eastAsia="zh-CN"/>
        </w:rPr>
        <w:t>和</w:t>
      </w:r>
      <w:r>
        <w:rPr>
          <w:rFonts w:hint="eastAsia" w:ascii="仿宋" w:hAnsi="仿宋" w:eastAsia="仿宋" w:cs="仿宋"/>
          <w:color w:val="auto"/>
          <w:sz w:val="24"/>
          <w:szCs w:val="24"/>
          <w:highlight w:val="none"/>
        </w:rPr>
        <w:t>年度检查</w:t>
      </w:r>
      <w:r>
        <w:rPr>
          <w:rFonts w:hint="eastAsia" w:ascii="仿宋" w:hAnsi="仿宋" w:eastAsia="仿宋" w:cs="仿宋"/>
          <w:color w:val="auto"/>
          <w:sz w:val="24"/>
          <w:szCs w:val="24"/>
          <w:highlight w:val="none"/>
          <w:lang w:val="en-US" w:eastAsia="zh-CN"/>
        </w:rPr>
        <w:t>等工作</w:t>
      </w:r>
      <w:r>
        <w:rPr>
          <w:rFonts w:hint="eastAsia" w:ascii="仿宋" w:hAnsi="仿宋" w:eastAsia="仿宋" w:cs="仿宋"/>
          <w:color w:val="auto"/>
          <w:sz w:val="24"/>
          <w:szCs w:val="24"/>
          <w:highlight w:val="none"/>
        </w:rPr>
        <w:t>，根据维修养护计划负责大坝、溢洪道、放水设施</w:t>
      </w:r>
      <w:r>
        <w:rPr>
          <w:rFonts w:hint="eastAsia" w:ascii="仿宋" w:hAnsi="仿宋" w:eastAsia="仿宋" w:cs="仿宋"/>
          <w:color w:val="auto"/>
          <w:sz w:val="24"/>
          <w:szCs w:val="24"/>
          <w:highlight w:val="none"/>
          <w:lang w:val="en-US" w:eastAsia="zh-CN"/>
        </w:rPr>
        <w:t>等水工建筑物以及雨水情、水工安全监测等</w:t>
      </w:r>
      <w:r>
        <w:rPr>
          <w:rFonts w:hint="eastAsia" w:ascii="仿宋" w:hAnsi="仿宋" w:eastAsia="仿宋" w:cs="仿宋"/>
          <w:color w:val="auto"/>
          <w:sz w:val="24"/>
          <w:szCs w:val="24"/>
          <w:highlight w:val="none"/>
        </w:rPr>
        <w:t>其他附属等设施的维护保养工作。</w:t>
      </w:r>
    </w:p>
    <w:p w14:paraId="43C33B32">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（1）大坝</w:t>
      </w:r>
    </w:p>
    <w:p w14:paraId="368F3E74">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坝身维修养护；坝顶及</w:t>
      </w:r>
      <w:r>
        <w:rPr>
          <w:rFonts w:hint="eastAsia" w:ascii="仿宋" w:hAnsi="仿宋" w:eastAsia="仿宋" w:cs="仿宋"/>
          <w:color w:val="auto"/>
          <w:sz w:val="24"/>
          <w:szCs w:val="24"/>
          <w:highlight w:val="none"/>
          <w:lang w:val="en-US" w:eastAsia="zh-CN"/>
        </w:rPr>
        <w:t>坝</w:t>
      </w:r>
      <w:r>
        <w:rPr>
          <w:rFonts w:hint="eastAsia" w:ascii="仿宋" w:hAnsi="仿宋" w:eastAsia="仿宋" w:cs="仿宋"/>
          <w:color w:val="auto"/>
          <w:sz w:val="24"/>
          <w:szCs w:val="24"/>
          <w:highlight w:val="none"/>
        </w:rPr>
        <w:t>坡局部坑洼、凹陷土方修补回填（每处回填方量小于1m³），局部破损的砼进行修复（每处破损面积≤5m²，每处工程量≤1m³）；检查坝体有无白蚁活动迹象，存在白蚁活动迹象的须及时汇报；大坝有渗漏明流的及存在坍洞，可能影响坝体安全的，应及时报告。</w:t>
      </w:r>
    </w:p>
    <w:p w14:paraId="1DD98CCF">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（2）溢洪道</w:t>
      </w:r>
    </w:p>
    <w:p w14:paraId="06AB83F8">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清理阻碍泄洪的装置，如拦鱼网、拦鱼杆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块石、碎石、杂草</w:t>
      </w:r>
      <w:r>
        <w:rPr>
          <w:rFonts w:hint="eastAsia" w:ascii="仿宋" w:hAnsi="仿宋" w:eastAsia="仿宋" w:cs="仿宋"/>
          <w:color w:val="auto"/>
          <w:sz w:val="24"/>
          <w:szCs w:val="24"/>
          <w:highlight w:val="none"/>
        </w:rPr>
        <w:t>等；局部破损的砼进行修复（每处破损面积≤5m²，每处工程量≤1m³），超出维修养护范围的及时上报。</w:t>
      </w:r>
    </w:p>
    <w:p w14:paraId="12FCE8DB">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（3）放水设施</w:t>
      </w:r>
    </w:p>
    <w:p w14:paraId="349DEDBA">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每年检查放水设施次数不少于２次，对放水隧洞要求每年进洞检查一次，清理洞内掉落的块石等物，检查坝下埋管出水口有无漏水情况，对存在漏水的情况要及时报告。</w:t>
      </w:r>
      <w:r>
        <w:rPr>
          <w:rFonts w:hint="eastAsia" w:ascii="仿宋" w:hAnsi="仿宋" w:eastAsia="仿宋" w:cs="仿宋"/>
          <w:color w:val="auto"/>
          <w:sz w:val="24"/>
          <w:szCs w:val="24"/>
          <w:highlight w:val="none"/>
          <w:lang w:val="en-US" w:eastAsia="zh-CN"/>
        </w:rPr>
        <w:t>对缺少限位装置的启闭机进行新增安装</w:t>
      </w:r>
      <w:r>
        <w:rPr>
          <w:rFonts w:hint="eastAsia" w:ascii="仿宋" w:hAnsi="仿宋" w:eastAsia="仿宋" w:cs="仿宋"/>
          <w:color w:val="auto"/>
          <w:sz w:val="24"/>
          <w:szCs w:val="24"/>
          <w:highlight w:val="none"/>
        </w:rPr>
        <w:t>，每年对启闭机、拉杆和闸门进行除锈防腐不得少于</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次。对虹吸放水装置要求检查有无漏气情况，存在漏气情况的，及时维修确保设备正常运行。及时清除闸阀、管身锈斑，除锈防腐工作每年不得少于</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次。</w:t>
      </w:r>
    </w:p>
    <w:p w14:paraId="05CE0BE1">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（4）其他附属设施</w:t>
      </w:r>
    </w:p>
    <w:p w14:paraId="7B7CBC76">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1）上坝道路：要求及时修补坑洼，清理路面及排水沟中的落土、块石等物，确保上坝道路畅通。</w:t>
      </w:r>
    </w:p>
    <w:p w14:paraId="50FEA808">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2）管理用房及启闭机房：检查有无漏水情况，修补剥落的墙面，整理屋顶瓦片、更换破损的门窗等，确保管理房和启闭机房正常使用。</w:t>
      </w:r>
    </w:p>
    <w:p w14:paraId="0EB97625">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3）水雨情</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视频等</w:t>
      </w:r>
      <w:r>
        <w:rPr>
          <w:rFonts w:hint="eastAsia" w:ascii="仿宋" w:hAnsi="仿宋" w:eastAsia="仿宋" w:cs="仿宋"/>
          <w:color w:val="auto"/>
          <w:sz w:val="24"/>
          <w:szCs w:val="24"/>
          <w:highlight w:val="none"/>
        </w:rPr>
        <w:t>观测设施：保持水位尺完整，及时汇报缺失情况并更换；</w:t>
      </w:r>
      <w:r>
        <w:rPr>
          <w:rFonts w:hint="eastAsia" w:ascii="仿宋" w:hAnsi="仿宋" w:eastAsia="仿宋" w:cs="仿宋"/>
          <w:color w:val="auto"/>
          <w:sz w:val="24"/>
          <w:szCs w:val="24"/>
          <w:highlight w:val="none"/>
          <w:lang w:val="en-US" w:eastAsia="zh-CN"/>
        </w:rPr>
        <w:t>做好水文监测环境保护；</w:t>
      </w:r>
      <w:r>
        <w:rPr>
          <w:rFonts w:hint="eastAsia" w:ascii="仿宋" w:hAnsi="仿宋" w:eastAsia="仿宋" w:cs="仿宋"/>
          <w:color w:val="auto"/>
          <w:sz w:val="24"/>
          <w:szCs w:val="24"/>
          <w:highlight w:val="none"/>
        </w:rPr>
        <w:t>检查水雨情遥测系统工作情况，发现存在故障的及时汇报，以确保设备的正常运行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发现视频监控设备损坏的及时汇报</w:t>
      </w:r>
      <w:r>
        <w:rPr>
          <w:rFonts w:hint="eastAsia" w:ascii="仿宋" w:hAnsi="仿宋" w:eastAsia="仿宋" w:cs="仿宋"/>
          <w:color w:val="auto"/>
          <w:sz w:val="24"/>
          <w:szCs w:val="24"/>
          <w:highlight w:val="none"/>
        </w:rPr>
        <w:t>。</w:t>
      </w:r>
    </w:p>
    <w:p w14:paraId="0F7FC3DB">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4）工程范围内的坝体、溢洪道、启闭机拉杆等处的栏杆检查、维修</w:t>
      </w:r>
      <w:bookmarkStart w:id="75" w:name="_Toc2287"/>
      <w:r>
        <w:rPr>
          <w:rFonts w:hint="eastAsia" w:ascii="仿宋" w:hAnsi="仿宋" w:eastAsia="仿宋" w:cs="仿宋"/>
          <w:color w:val="auto"/>
          <w:sz w:val="24"/>
          <w:szCs w:val="24"/>
          <w:highlight w:val="none"/>
        </w:rPr>
        <w:t>；对工程范围内标识标牌有无缺失、完整、标识字迹清晰的检查更换。</w:t>
      </w:r>
    </w:p>
    <w:p w14:paraId="17BFC3D3">
      <w:pPr>
        <w:widowControl/>
        <w:autoSpaceDE/>
        <w:autoSpaceDN/>
        <w:adjustRightInd/>
        <w:spacing w:line="400" w:lineRule="exact"/>
        <w:ind w:firstLine="480" w:firstLineChars="200"/>
        <w:rPr>
          <w:rFonts w:hint="default"/>
          <w:strike/>
          <w:dstrike w:val="0"/>
          <w:color w:val="auto"/>
          <w:highlight w:val="none"/>
          <w:lang w:val="en-US" w:eastAsia="zh-CN"/>
        </w:rPr>
      </w:pPr>
      <w:r>
        <w:rPr>
          <w:rFonts w:hint="eastAsia" w:ascii="仿宋" w:hAnsi="仿宋" w:eastAsia="仿宋" w:cs="仿宋"/>
          <w:color w:val="auto"/>
          <w:sz w:val="24"/>
          <w:szCs w:val="24"/>
          <w:highlight w:val="none"/>
          <w:lang w:val="en-US" w:eastAsia="zh-CN"/>
        </w:rPr>
        <w:t>单项5000元以内的维修由中标单位承担，费用包含在物业费用中，中标单位应无条件完成。</w:t>
      </w:r>
    </w:p>
    <w:p w14:paraId="3248737C">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四</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绿化保洁</w:t>
      </w:r>
      <w:bookmarkEnd w:id="75"/>
    </w:p>
    <w:p w14:paraId="3FD1ADDD">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清扫大坝（坝</w:t>
      </w:r>
      <w:r>
        <w:rPr>
          <w:rFonts w:hint="eastAsia" w:ascii="仿宋" w:hAnsi="仿宋" w:eastAsia="仿宋" w:cs="仿宋"/>
          <w:color w:val="auto"/>
          <w:sz w:val="24"/>
          <w:szCs w:val="24"/>
          <w:highlight w:val="none"/>
          <w:lang w:val="en-US" w:eastAsia="zh-CN"/>
        </w:rPr>
        <w:t>坡</w:t>
      </w:r>
      <w:r>
        <w:rPr>
          <w:rFonts w:hint="eastAsia" w:ascii="仿宋" w:hAnsi="仿宋" w:eastAsia="仿宋" w:cs="仿宋"/>
          <w:color w:val="auto"/>
          <w:sz w:val="24"/>
          <w:szCs w:val="24"/>
          <w:highlight w:val="none"/>
        </w:rPr>
        <w:t>、坝顶、排水沟、马道）、溢洪道、管理房、启闭机房等垃圾</w:t>
      </w:r>
      <w:r>
        <w:rPr>
          <w:rFonts w:hint="eastAsia" w:ascii="仿宋" w:hAnsi="仿宋" w:eastAsia="仿宋" w:cs="仿宋"/>
          <w:color w:val="auto"/>
          <w:sz w:val="24"/>
          <w:szCs w:val="24"/>
          <w:highlight w:val="none"/>
          <w:lang w:val="en-US" w:eastAsia="zh-CN"/>
        </w:rPr>
        <w:t>并保持清洁</w:t>
      </w:r>
      <w:r>
        <w:rPr>
          <w:rFonts w:hint="eastAsia" w:ascii="仿宋" w:hAnsi="仿宋" w:eastAsia="仿宋" w:cs="仿宋"/>
          <w:color w:val="auto"/>
          <w:sz w:val="24"/>
          <w:szCs w:val="24"/>
          <w:highlight w:val="none"/>
        </w:rPr>
        <w:t>；清除大坝迎、背水坡、坝顶杂草，灌木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背水坡草皮修剪，要求确保草皮的长度不超过15cm，对背水坡有草皮且退化严重的进行修补</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，对坝肩、上下游坝坡两侧的山体1-2米范围内进行杂草、灌木清理</w:t>
      </w:r>
      <w:r>
        <w:rPr>
          <w:rFonts w:hint="eastAsia" w:ascii="仿宋" w:hAnsi="仿宋" w:eastAsia="仿宋" w:cs="仿宋"/>
          <w:color w:val="auto"/>
          <w:sz w:val="24"/>
          <w:szCs w:val="24"/>
          <w:highlight w:val="none"/>
          <w:lang w:eastAsia="zh-CN"/>
        </w:rPr>
        <w:t>（涉及饮用水的水库不得使用除草剂）</w:t>
      </w:r>
      <w:r>
        <w:rPr>
          <w:rFonts w:hint="eastAsia" w:ascii="仿宋" w:hAnsi="仿宋" w:eastAsia="仿宋" w:cs="仿宋"/>
          <w:color w:val="auto"/>
          <w:sz w:val="24"/>
          <w:szCs w:val="24"/>
          <w:highlight w:val="none"/>
        </w:rPr>
        <w:t>；及时清理堆积在溢洪道内的土石方，清理溢洪道两侧影响泄洪的杂草、灌木</w:t>
      </w:r>
      <w:r>
        <w:rPr>
          <w:rFonts w:hint="eastAsia" w:ascii="仿宋" w:hAnsi="仿宋" w:eastAsia="仿宋" w:cs="仿宋"/>
          <w:color w:val="auto"/>
          <w:sz w:val="24"/>
          <w:szCs w:val="24"/>
          <w:highlight w:val="none"/>
          <w:lang w:eastAsia="zh-CN"/>
        </w:rPr>
        <w:t>（涉及饮用水的水库不得使用除草剂）</w:t>
      </w:r>
      <w:r>
        <w:rPr>
          <w:rFonts w:hint="eastAsia" w:ascii="仿宋" w:hAnsi="仿宋" w:eastAsia="仿宋" w:cs="仿宋"/>
          <w:color w:val="auto"/>
          <w:sz w:val="24"/>
          <w:szCs w:val="24"/>
          <w:highlight w:val="none"/>
        </w:rPr>
        <w:t>；清理影响放水设施正常工作的杂物；及时清除道路上及两侧影响防汛车辆通行的杂草、灌木、垃圾；保持管理用房门窗、地面的整洁，清理出不属于水库维修养护和巡查管理的物品；保持库区水面清洁。</w:t>
      </w:r>
    </w:p>
    <w:p w14:paraId="31DCB847">
      <w:pPr>
        <w:pageBreakBefore w:val="0"/>
        <w:kinsoku/>
        <w:wordWrap/>
        <w:overflowPunct/>
        <w:topLinePunct w:val="0"/>
        <w:bidi w:val="0"/>
        <w:spacing w:line="400" w:lineRule="exact"/>
        <w:ind w:firstLine="480" w:firstLineChars="200"/>
        <w:rPr>
          <w:rFonts w:hint="default" w:ascii="仿宋" w:hAnsi="仿宋" w:eastAsia="仿宋" w:cs="仿宋"/>
          <w:color w:val="auto"/>
          <w:sz w:val="24"/>
          <w:szCs w:val="24"/>
          <w:highlight w:val="none"/>
          <w:lang w:val="en-US" w:eastAsia="zh-CN"/>
        </w:rPr>
      </w:pPr>
      <w:bookmarkStart w:id="76" w:name="_Toc22786"/>
      <w:bookmarkStart w:id="77" w:name="_Toc17775"/>
      <w:r>
        <w:rPr>
          <w:rFonts w:hint="eastAsia" w:ascii="仿宋" w:hAnsi="仿宋" w:eastAsia="仿宋" w:cs="仿宋"/>
          <w:color w:val="auto"/>
          <w:sz w:val="24"/>
          <w:szCs w:val="24"/>
          <w:highlight w:val="none"/>
          <w:lang w:val="en-US" w:eastAsia="zh-CN"/>
        </w:rPr>
        <w:t>中标单位应配备专业的保洁队伍，应对突发应急任务，在采购人的要求在</w:t>
      </w:r>
    </w:p>
    <w:p w14:paraId="364D6A20">
      <w:pPr>
        <w:pageBreakBefore w:val="0"/>
        <w:kinsoku/>
        <w:wordWrap/>
        <w:overflowPunct/>
        <w:topLinePunct w:val="0"/>
        <w:bidi w:val="0"/>
        <w:spacing w:line="400" w:lineRule="exac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规定的时间内到位。</w:t>
      </w:r>
    </w:p>
    <w:p w14:paraId="76CB9A12">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（五</w:t>
      </w:r>
      <w:r>
        <w:rPr>
          <w:rFonts w:hint="eastAsia" w:ascii="仿宋" w:hAnsi="仿宋" w:eastAsia="仿宋" w:cs="仿宋"/>
          <w:color w:val="auto"/>
          <w:sz w:val="24"/>
          <w:szCs w:val="24"/>
          <w:highlight w:val="none"/>
        </w:rPr>
        <w:t>）、台账资料</w:t>
      </w:r>
      <w:bookmarkEnd w:id="76"/>
      <w:bookmarkEnd w:id="77"/>
    </w:p>
    <w:p w14:paraId="042B9AE1">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负责工程台账资料的收集、整理、上传、归档等工作。</w:t>
      </w:r>
    </w:p>
    <w:p w14:paraId="21918F74">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（1）资料整编</w:t>
      </w:r>
    </w:p>
    <w:p w14:paraId="34C48BAD">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1.维修养护</w:t>
      </w:r>
    </w:p>
    <w:p w14:paraId="5EE37D83">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维养人员每次维养后必须做好记录并拍照，同时填写小型水库维修养护证明书（见附表），记录内容力求详实，以备查考。</w:t>
      </w:r>
    </w:p>
    <w:tbl>
      <w:tblPr>
        <w:tblStyle w:val="62"/>
        <w:tblW w:w="894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61"/>
        <w:gridCol w:w="2312"/>
        <w:gridCol w:w="1538"/>
        <w:gridCol w:w="2935"/>
      </w:tblGrid>
      <w:tr w14:paraId="21D8B6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8" w:hRule="atLeast"/>
          <w:jc w:val="center"/>
        </w:trPr>
        <w:tc>
          <w:tcPr>
            <w:tcW w:w="8946" w:type="dxa"/>
            <w:gridSpan w:val="4"/>
            <w:tcBorders>
              <w:top w:val="single" w:color="auto" w:sz="4" w:space="0"/>
              <w:left w:val="single" w:color="auto" w:sz="4" w:space="0"/>
              <w:bottom w:val="single" w:color="auto" w:sz="4" w:space="0"/>
              <w:right w:val="single" w:color="auto" w:sz="4" w:space="0"/>
            </w:tcBorders>
            <w:noWrap w:val="0"/>
            <w:vAlign w:val="center"/>
          </w:tcPr>
          <w:p w14:paraId="1A6DC18B">
            <w:pPr>
              <w:pageBreakBefore w:val="0"/>
              <w:kinsoku/>
              <w:wordWrap/>
              <w:overflowPunct/>
              <w:topLinePunct w:val="0"/>
              <w:autoSpaceDE w:val="0"/>
              <w:autoSpaceDN w:val="0"/>
              <w:bidi w:val="0"/>
              <w:adjustRightInd w:val="0"/>
              <w:spacing w:line="400" w:lineRule="exact"/>
              <w:ind w:firstLine="643"/>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××乡镇（街道）小型水库维修养护证明书</w:t>
            </w:r>
          </w:p>
          <w:p w14:paraId="0B15272D">
            <w:pPr>
              <w:pageBreakBefore w:val="0"/>
              <w:kinsoku/>
              <w:wordWrap/>
              <w:overflowPunct/>
              <w:topLinePunct w:val="0"/>
              <w:autoSpaceDE w:val="0"/>
              <w:autoSpaceDN w:val="0"/>
              <w:bidi w:val="0"/>
              <w:adjustRightInd w:val="0"/>
              <w:spacing w:line="400" w:lineRule="exact"/>
              <w:ind w:firstLine="643"/>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                                  </w:t>
            </w:r>
            <w:r>
              <w:rPr>
                <w:rFonts w:hint="eastAsia" w:ascii="仿宋" w:hAnsi="仿宋" w:eastAsia="仿宋" w:cs="仿宋"/>
                <w:color w:val="auto"/>
                <w:sz w:val="24"/>
                <w:szCs w:val="24"/>
                <w:highlight w:val="none"/>
              </w:rPr>
              <w:t>编号：</w:t>
            </w:r>
          </w:p>
        </w:tc>
      </w:tr>
      <w:tr w14:paraId="22634A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2" w:hRule="atLeast"/>
          <w:jc w:val="center"/>
        </w:trPr>
        <w:tc>
          <w:tcPr>
            <w:tcW w:w="2161" w:type="dxa"/>
            <w:tcBorders>
              <w:top w:val="single" w:color="auto" w:sz="4" w:space="0"/>
              <w:left w:val="single" w:color="auto" w:sz="4" w:space="0"/>
              <w:bottom w:val="single" w:color="auto" w:sz="4" w:space="0"/>
              <w:right w:val="single" w:color="auto" w:sz="4" w:space="0"/>
            </w:tcBorders>
            <w:noWrap w:val="0"/>
            <w:vAlign w:val="center"/>
          </w:tcPr>
          <w:p w14:paraId="44B98AFE">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水库名称</w:t>
            </w:r>
          </w:p>
        </w:tc>
        <w:tc>
          <w:tcPr>
            <w:tcW w:w="2312" w:type="dxa"/>
            <w:tcBorders>
              <w:top w:val="single" w:color="auto" w:sz="4" w:space="0"/>
              <w:left w:val="single" w:color="auto" w:sz="4" w:space="0"/>
              <w:bottom w:val="single" w:color="auto" w:sz="4" w:space="0"/>
              <w:right w:val="single" w:color="auto" w:sz="4" w:space="0"/>
            </w:tcBorders>
            <w:noWrap w:val="0"/>
            <w:vAlign w:val="center"/>
          </w:tcPr>
          <w:p w14:paraId="5F3D0E88">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p>
        </w:tc>
        <w:tc>
          <w:tcPr>
            <w:tcW w:w="1538" w:type="dxa"/>
            <w:tcBorders>
              <w:top w:val="single" w:color="auto" w:sz="4" w:space="0"/>
              <w:left w:val="single" w:color="auto" w:sz="4" w:space="0"/>
              <w:bottom w:val="single" w:color="auto" w:sz="4" w:space="0"/>
              <w:right w:val="single" w:color="auto" w:sz="4" w:space="0"/>
            </w:tcBorders>
            <w:noWrap w:val="0"/>
            <w:vAlign w:val="center"/>
          </w:tcPr>
          <w:p w14:paraId="42AAB92F">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工程位置</w:t>
            </w:r>
          </w:p>
        </w:tc>
        <w:tc>
          <w:tcPr>
            <w:tcW w:w="2935" w:type="dxa"/>
            <w:tcBorders>
              <w:top w:val="single" w:color="auto" w:sz="4" w:space="0"/>
              <w:left w:val="single" w:color="auto" w:sz="4" w:space="0"/>
              <w:bottom w:val="single" w:color="auto" w:sz="4" w:space="0"/>
              <w:right w:val="single" w:color="auto" w:sz="4" w:space="0"/>
            </w:tcBorders>
            <w:noWrap w:val="0"/>
            <w:vAlign w:val="center"/>
          </w:tcPr>
          <w:p w14:paraId="113FF154">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p>
        </w:tc>
      </w:tr>
      <w:tr w14:paraId="283C28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2" w:hRule="atLeast"/>
          <w:jc w:val="center"/>
        </w:trPr>
        <w:tc>
          <w:tcPr>
            <w:tcW w:w="2161" w:type="dxa"/>
            <w:tcBorders>
              <w:top w:val="single" w:color="auto" w:sz="4" w:space="0"/>
              <w:left w:val="single" w:color="auto" w:sz="6" w:space="0"/>
              <w:bottom w:val="single" w:color="auto" w:sz="6" w:space="0"/>
              <w:right w:val="single" w:color="auto" w:sz="6" w:space="0"/>
            </w:tcBorders>
            <w:noWrap w:val="0"/>
            <w:vAlign w:val="center"/>
          </w:tcPr>
          <w:p w14:paraId="6ADB76E8">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养护计划年度</w:t>
            </w:r>
          </w:p>
        </w:tc>
        <w:tc>
          <w:tcPr>
            <w:tcW w:w="2312" w:type="dxa"/>
            <w:tcBorders>
              <w:top w:val="single" w:color="auto" w:sz="4" w:space="0"/>
              <w:left w:val="single" w:color="auto" w:sz="6" w:space="0"/>
              <w:bottom w:val="single" w:color="auto" w:sz="6" w:space="0"/>
              <w:right w:val="single" w:color="auto" w:sz="6" w:space="0"/>
            </w:tcBorders>
            <w:noWrap w:val="0"/>
            <w:vAlign w:val="center"/>
          </w:tcPr>
          <w:p w14:paraId="71F73961">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p>
        </w:tc>
        <w:tc>
          <w:tcPr>
            <w:tcW w:w="1538" w:type="dxa"/>
            <w:tcBorders>
              <w:top w:val="single" w:color="auto" w:sz="4" w:space="0"/>
              <w:left w:val="single" w:color="auto" w:sz="6" w:space="0"/>
              <w:bottom w:val="single" w:color="auto" w:sz="6" w:space="0"/>
              <w:right w:val="single" w:color="auto" w:sz="6" w:space="0"/>
            </w:tcBorders>
            <w:noWrap w:val="0"/>
            <w:vAlign w:val="center"/>
          </w:tcPr>
          <w:p w14:paraId="5C4ECD84">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养护日期</w:t>
            </w:r>
          </w:p>
        </w:tc>
        <w:tc>
          <w:tcPr>
            <w:tcW w:w="2935" w:type="dxa"/>
            <w:tcBorders>
              <w:top w:val="single" w:color="auto" w:sz="4" w:space="0"/>
              <w:left w:val="single" w:color="auto" w:sz="6" w:space="0"/>
              <w:bottom w:val="single" w:color="auto" w:sz="6" w:space="0"/>
              <w:right w:val="single" w:color="auto" w:sz="6" w:space="0"/>
            </w:tcBorders>
            <w:noWrap w:val="0"/>
            <w:vAlign w:val="center"/>
          </w:tcPr>
          <w:p w14:paraId="04997CB2">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p>
        </w:tc>
      </w:tr>
      <w:tr w14:paraId="36FE04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4" w:hRule="atLeast"/>
          <w:jc w:val="center"/>
        </w:trPr>
        <w:tc>
          <w:tcPr>
            <w:tcW w:w="2161" w:type="dxa"/>
            <w:tcBorders>
              <w:top w:val="single" w:color="auto" w:sz="6" w:space="0"/>
              <w:left w:val="single" w:color="auto" w:sz="6" w:space="0"/>
              <w:bottom w:val="single" w:color="auto" w:sz="6" w:space="0"/>
              <w:right w:val="single" w:color="auto" w:sz="6" w:space="0"/>
            </w:tcBorders>
            <w:noWrap w:val="0"/>
            <w:vAlign w:val="center"/>
          </w:tcPr>
          <w:p w14:paraId="73D789C3">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养护内容</w:t>
            </w:r>
          </w:p>
        </w:tc>
        <w:tc>
          <w:tcPr>
            <w:tcW w:w="6785" w:type="dxa"/>
            <w:gridSpan w:val="3"/>
            <w:tcBorders>
              <w:top w:val="single" w:color="auto" w:sz="6" w:space="0"/>
              <w:left w:val="single" w:color="auto" w:sz="6" w:space="0"/>
              <w:bottom w:val="single" w:color="auto" w:sz="6" w:space="0"/>
              <w:right w:val="single" w:color="auto" w:sz="6" w:space="0"/>
            </w:tcBorders>
            <w:noWrap w:val="0"/>
            <w:vAlign w:val="center"/>
          </w:tcPr>
          <w:p w14:paraId="5C3E5246">
            <w:pPr>
              <w:pageBreakBefore w:val="0"/>
              <w:kinsoku/>
              <w:wordWrap/>
              <w:overflowPunct/>
              <w:topLinePunct w:val="0"/>
              <w:autoSpaceDE w:val="0"/>
              <w:autoSpaceDN w:val="0"/>
              <w:bidi w:val="0"/>
              <w:adjustRightInd w:val="0"/>
              <w:spacing w:line="400" w:lineRule="exact"/>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highlight w:val="none"/>
              </w:rPr>
              <w:t>文字描述</w:t>
            </w:r>
          </w:p>
        </w:tc>
      </w:tr>
      <w:tr w14:paraId="54F87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1" w:hRule="atLeast"/>
          <w:jc w:val="center"/>
        </w:trPr>
        <w:tc>
          <w:tcPr>
            <w:tcW w:w="2161" w:type="dxa"/>
            <w:tcBorders>
              <w:top w:val="single" w:color="auto" w:sz="6" w:space="0"/>
              <w:left w:val="single" w:color="auto" w:sz="6" w:space="0"/>
              <w:bottom w:val="single" w:color="auto" w:sz="6" w:space="0"/>
              <w:right w:val="single" w:color="auto" w:sz="6" w:space="0"/>
            </w:tcBorders>
            <w:noWrap w:val="0"/>
            <w:vAlign w:val="center"/>
          </w:tcPr>
          <w:p w14:paraId="37C5D115">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养护效果</w:t>
            </w:r>
          </w:p>
        </w:tc>
        <w:tc>
          <w:tcPr>
            <w:tcW w:w="6785" w:type="dxa"/>
            <w:gridSpan w:val="3"/>
            <w:tcBorders>
              <w:top w:val="single" w:color="auto" w:sz="6" w:space="0"/>
              <w:left w:val="single" w:color="auto" w:sz="6" w:space="0"/>
              <w:bottom w:val="single" w:color="auto" w:sz="6" w:space="0"/>
              <w:right w:val="single" w:color="auto" w:sz="6" w:space="0"/>
            </w:tcBorders>
            <w:noWrap w:val="0"/>
            <w:vAlign w:val="center"/>
          </w:tcPr>
          <w:p w14:paraId="5F753076">
            <w:pPr>
              <w:pageBreakBefore w:val="0"/>
              <w:kinsoku/>
              <w:wordWrap/>
              <w:overflowPunct/>
              <w:topLinePunct w:val="0"/>
              <w:autoSpaceDE w:val="0"/>
              <w:autoSpaceDN w:val="0"/>
              <w:bidi w:val="0"/>
              <w:adjustRightInd w:val="0"/>
              <w:spacing w:line="400" w:lineRule="exact"/>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highlight w:val="none"/>
                <w:lang w:val="en-US" w:eastAsia="zh-CN"/>
              </w:rPr>
              <w:t>养护前、后</w:t>
            </w:r>
            <w:r>
              <w:rPr>
                <w:rFonts w:hint="eastAsia" w:ascii="仿宋_GB2312" w:hAnsi="仿宋_GB2312" w:eastAsia="仿宋_GB2312" w:cs="仿宋_GB2312"/>
                <w:color w:val="auto"/>
                <w:sz w:val="24"/>
                <w:highlight w:val="none"/>
              </w:rPr>
              <w:t>照片编号（拍摄日期）</w:t>
            </w:r>
          </w:p>
        </w:tc>
      </w:tr>
      <w:tr w14:paraId="5C4118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2" w:hRule="atLeast"/>
          <w:jc w:val="center"/>
        </w:trPr>
        <w:tc>
          <w:tcPr>
            <w:tcW w:w="2161" w:type="dxa"/>
            <w:vMerge w:val="restart"/>
            <w:tcBorders>
              <w:top w:val="single" w:color="auto" w:sz="4" w:space="0"/>
              <w:left w:val="single" w:color="auto" w:sz="4" w:space="0"/>
              <w:bottom w:val="single" w:color="auto" w:sz="4" w:space="0"/>
              <w:right w:val="single" w:color="auto" w:sz="4" w:space="0"/>
            </w:tcBorders>
            <w:noWrap w:val="0"/>
            <w:vAlign w:val="center"/>
          </w:tcPr>
          <w:p w14:paraId="7AF90021">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养护费用</w:t>
            </w:r>
          </w:p>
        </w:tc>
        <w:tc>
          <w:tcPr>
            <w:tcW w:w="2312" w:type="dxa"/>
            <w:vMerge w:val="restart"/>
            <w:tcBorders>
              <w:top w:val="single" w:color="auto" w:sz="4" w:space="0"/>
              <w:left w:val="single" w:color="auto" w:sz="4" w:space="0"/>
              <w:bottom w:val="single" w:color="auto" w:sz="4" w:space="0"/>
              <w:right w:val="single" w:color="auto" w:sz="4" w:space="0"/>
            </w:tcBorders>
            <w:noWrap w:val="0"/>
            <w:vAlign w:val="center"/>
          </w:tcPr>
          <w:p w14:paraId="6D5EA2E0">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材料费(元)</w:t>
            </w:r>
          </w:p>
        </w:tc>
        <w:tc>
          <w:tcPr>
            <w:tcW w:w="1538" w:type="dxa"/>
            <w:tcBorders>
              <w:top w:val="single" w:color="auto" w:sz="4" w:space="0"/>
              <w:left w:val="single" w:color="auto" w:sz="4" w:space="0"/>
              <w:bottom w:val="single" w:color="auto" w:sz="4" w:space="0"/>
              <w:right w:val="single" w:color="auto" w:sz="4" w:space="0"/>
            </w:tcBorders>
            <w:noWrap w:val="0"/>
            <w:vAlign w:val="center"/>
          </w:tcPr>
          <w:p w14:paraId="737AD050">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935" w:type="dxa"/>
            <w:tcBorders>
              <w:top w:val="single" w:color="auto" w:sz="6" w:space="0"/>
              <w:left w:val="single" w:color="auto" w:sz="4" w:space="0"/>
              <w:bottom w:val="single" w:color="auto" w:sz="6" w:space="0"/>
              <w:right w:val="single" w:color="auto" w:sz="6" w:space="0"/>
            </w:tcBorders>
            <w:noWrap w:val="0"/>
            <w:vAlign w:val="center"/>
          </w:tcPr>
          <w:p w14:paraId="530A3E31">
            <w:pPr>
              <w:pageBreakBefore w:val="0"/>
              <w:kinsoku/>
              <w:wordWrap/>
              <w:overflowPunct/>
              <w:topLinePunct w:val="0"/>
              <w:autoSpaceDE w:val="0"/>
              <w:autoSpaceDN w:val="0"/>
              <w:bidi w:val="0"/>
              <w:adjustRightInd w:val="0"/>
              <w:spacing w:line="400" w:lineRule="exact"/>
              <w:rPr>
                <w:rFonts w:hint="eastAsia" w:ascii="仿宋" w:hAnsi="仿宋" w:eastAsia="仿宋" w:cs="仿宋"/>
                <w:color w:val="auto"/>
                <w:sz w:val="24"/>
                <w:szCs w:val="24"/>
                <w:highlight w:val="none"/>
              </w:rPr>
            </w:pPr>
          </w:p>
        </w:tc>
      </w:tr>
      <w:tr w14:paraId="3DC815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7" w:hRule="atLeast"/>
          <w:jc w:val="center"/>
        </w:trPr>
        <w:tc>
          <w:tcPr>
            <w:tcW w:w="2161" w:type="dxa"/>
            <w:vMerge w:val="continue"/>
            <w:tcBorders>
              <w:top w:val="single" w:color="auto" w:sz="4" w:space="0"/>
              <w:left w:val="single" w:color="auto" w:sz="4" w:space="0"/>
              <w:bottom w:val="single" w:color="auto" w:sz="4" w:space="0"/>
              <w:right w:val="single" w:color="auto" w:sz="4" w:space="0"/>
            </w:tcBorders>
            <w:noWrap w:val="0"/>
            <w:vAlign w:val="center"/>
          </w:tcPr>
          <w:p w14:paraId="400CC941">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p>
        </w:tc>
        <w:tc>
          <w:tcPr>
            <w:tcW w:w="2312" w:type="dxa"/>
            <w:vMerge w:val="continue"/>
            <w:tcBorders>
              <w:top w:val="single" w:color="auto" w:sz="4" w:space="0"/>
              <w:left w:val="single" w:color="auto" w:sz="4" w:space="0"/>
              <w:bottom w:val="single" w:color="auto" w:sz="4" w:space="0"/>
              <w:right w:val="single" w:color="auto" w:sz="4" w:space="0"/>
            </w:tcBorders>
            <w:noWrap w:val="0"/>
            <w:vAlign w:val="center"/>
          </w:tcPr>
          <w:p w14:paraId="42CAC2E6">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p>
        </w:tc>
        <w:tc>
          <w:tcPr>
            <w:tcW w:w="1538" w:type="dxa"/>
            <w:tcBorders>
              <w:top w:val="single" w:color="auto" w:sz="4" w:space="0"/>
              <w:left w:val="single" w:color="auto" w:sz="4" w:space="0"/>
              <w:bottom w:val="single" w:color="auto" w:sz="4" w:space="0"/>
              <w:right w:val="single" w:color="auto" w:sz="4" w:space="0"/>
            </w:tcBorders>
            <w:noWrap w:val="0"/>
            <w:vAlign w:val="center"/>
          </w:tcPr>
          <w:p w14:paraId="124FF3D2">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935" w:type="dxa"/>
            <w:tcBorders>
              <w:top w:val="single" w:color="auto" w:sz="6" w:space="0"/>
              <w:left w:val="single" w:color="auto" w:sz="4" w:space="0"/>
              <w:bottom w:val="single" w:color="auto" w:sz="4" w:space="0"/>
              <w:right w:val="single" w:color="auto" w:sz="6" w:space="0"/>
            </w:tcBorders>
            <w:noWrap w:val="0"/>
            <w:vAlign w:val="center"/>
          </w:tcPr>
          <w:p w14:paraId="58D986D0">
            <w:pPr>
              <w:pageBreakBefore w:val="0"/>
              <w:kinsoku/>
              <w:wordWrap/>
              <w:overflowPunct/>
              <w:topLinePunct w:val="0"/>
              <w:autoSpaceDE w:val="0"/>
              <w:autoSpaceDN w:val="0"/>
              <w:bidi w:val="0"/>
              <w:adjustRightInd w:val="0"/>
              <w:spacing w:line="400" w:lineRule="exact"/>
              <w:rPr>
                <w:rFonts w:hint="eastAsia" w:ascii="仿宋" w:hAnsi="仿宋" w:eastAsia="仿宋" w:cs="仿宋"/>
                <w:color w:val="auto"/>
                <w:sz w:val="24"/>
                <w:szCs w:val="24"/>
                <w:highlight w:val="none"/>
              </w:rPr>
            </w:pPr>
          </w:p>
        </w:tc>
      </w:tr>
      <w:tr w14:paraId="772776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2" w:hRule="atLeast"/>
          <w:jc w:val="center"/>
        </w:trPr>
        <w:tc>
          <w:tcPr>
            <w:tcW w:w="2161" w:type="dxa"/>
            <w:vMerge w:val="continue"/>
            <w:tcBorders>
              <w:top w:val="single" w:color="auto" w:sz="4" w:space="0"/>
              <w:left w:val="single" w:color="auto" w:sz="4" w:space="0"/>
              <w:bottom w:val="single" w:color="auto" w:sz="4" w:space="0"/>
              <w:right w:val="single" w:color="auto" w:sz="4" w:space="0"/>
            </w:tcBorders>
            <w:noWrap w:val="0"/>
            <w:vAlign w:val="center"/>
          </w:tcPr>
          <w:p w14:paraId="3F402618">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p>
        </w:tc>
        <w:tc>
          <w:tcPr>
            <w:tcW w:w="2312" w:type="dxa"/>
            <w:vMerge w:val="continue"/>
            <w:tcBorders>
              <w:top w:val="single" w:color="auto" w:sz="4" w:space="0"/>
              <w:left w:val="single" w:color="auto" w:sz="4" w:space="0"/>
              <w:bottom w:val="single" w:color="auto" w:sz="4" w:space="0"/>
              <w:right w:val="single" w:color="auto" w:sz="4" w:space="0"/>
            </w:tcBorders>
            <w:noWrap w:val="0"/>
            <w:vAlign w:val="center"/>
          </w:tcPr>
          <w:p w14:paraId="2C93C851">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p>
        </w:tc>
        <w:tc>
          <w:tcPr>
            <w:tcW w:w="1538" w:type="dxa"/>
            <w:tcBorders>
              <w:top w:val="single" w:color="auto" w:sz="4" w:space="0"/>
              <w:left w:val="single" w:color="auto" w:sz="4" w:space="0"/>
              <w:bottom w:val="single" w:color="auto" w:sz="4" w:space="0"/>
              <w:right w:val="single" w:color="auto" w:sz="4" w:space="0"/>
            </w:tcBorders>
            <w:noWrap w:val="0"/>
            <w:vAlign w:val="center"/>
          </w:tcPr>
          <w:p w14:paraId="538B56F8">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935" w:type="dxa"/>
            <w:tcBorders>
              <w:top w:val="single" w:color="auto" w:sz="4" w:space="0"/>
              <w:left w:val="single" w:color="auto" w:sz="4" w:space="0"/>
              <w:bottom w:val="single" w:color="auto" w:sz="4" w:space="0"/>
              <w:right w:val="single" w:color="auto" w:sz="4" w:space="0"/>
            </w:tcBorders>
            <w:noWrap w:val="0"/>
            <w:vAlign w:val="center"/>
          </w:tcPr>
          <w:p w14:paraId="4FDAA656">
            <w:pPr>
              <w:pageBreakBefore w:val="0"/>
              <w:kinsoku/>
              <w:wordWrap/>
              <w:overflowPunct/>
              <w:topLinePunct w:val="0"/>
              <w:autoSpaceDE w:val="0"/>
              <w:autoSpaceDN w:val="0"/>
              <w:bidi w:val="0"/>
              <w:adjustRightInd w:val="0"/>
              <w:spacing w:line="400" w:lineRule="exact"/>
              <w:rPr>
                <w:rFonts w:hint="eastAsia" w:ascii="仿宋" w:hAnsi="仿宋" w:eastAsia="仿宋" w:cs="仿宋"/>
                <w:color w:val="auto"/>
                <w:sz w:val="24"/>
                <w:szCs w:val="24"/>
                <w:highlight w:val="none"/>
              </w:rPr>
            </w:pPr>
          </w:p>
        </w:tc>
      </w:tr>
      <w:tr w14:paraId="4441FC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2" w:hRule="atLeast"/>
          <w:jc w:val="center"/>
        </w:trPr>
        <w:tc>
          <w:tcPr>
            <w:tcW w:w="2161" w:type="dxa"/>
            <w:vMerge w:val="continue"/>
            <w:tcBorders>
              <w:top w:val="single" w:color="auto" w:sz="4" w:space="0"/>
              <w:left w:val="single" w:color="auto" w:sz="4" w:space="0"/>
              <w:right w:val="single" w:color="auto" w:sz="6" w:space="0"/>
            </w:tcBorders>
            <w:noWrap w:val="0"/>
            <w:vAlign w:val="center"/>
          </w:tcPr>
          <w:p w14:paraId="2CB323E9">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p>
        </w:tc>
        <w:tc>
          <w:tcPr>
            <w:tcW w:w="2312" w:type="dxa"/>
            <w:vMerge w:val="restart"/>
            <w:tcBorders>
              <w:top w:val="single" w:color="auto" w:sz="4" w:space="0"/>
              <w:left w:val="single" w:color="auto" w:sz="6" w:space="0"/>
              <w:right w:val="single" w:color="auto" w:sz="4" w:space="0"/>
            </w:tcBorders>
            <w:noWrap w:val="0"/>
            <w:vAlign w:val="center"/>
          </w:tcPr>
          <w:p w14:paraId="6B2372E7">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人工费(元)</w:t>
            </w:r>
          </w:p>
        </w:tc>
        <w:tc>
          <w:tcPr>
            <w:tcW w:w="1538" w:type="dxa"/>
            <w:tcBorders>
              <w:top w:val="single" w:color="auto" w:sz="4" w:space="0"/>
              <w:left w:val="single" w:color="auto" w:sz="4" w:space="0"/>
              <w:bottom w:val="single" w:color="auto" w:sz="4" w:space="0"/>
              <w:right w:val="single" w:color="auto" w:sz="4" w:space="0"/>
            </w:tcBorders>
            <w:noWrap w:val="0"/>
            <w:vAlign w:val="center"/>
          </w:tcPr>
          <w:p w14:paraId="2900A875">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935" w:type="dxa"/>
            <w:tcBorders>
              <w:top w:val="single" w:color="auto" w:sz="4" w:space="0"/>
              <w:left w:val="single" w:color="auto" w:sz="4" w:space="0"/>
              <w:bottom w:val="single" w:color="auto" w:sz="4" w:space="0"/>
              <w:right w:val="single" w:color="auto" w:sz="4" w:space="0"/>
            </w:tcBorders>
            <w:noWrap w:val="0"/>
            <w:vAlign w:val="center"/>
          </w:tcPr>
          <w:p w14:paraId="7A0997AE">
            <w:pPr>
              <w:pageBreakBefore w:val="0"/>
              <w:kinsoku/>
              <w:wordWrap/>
              <w:overflowPunct/>
              <w:topLinePunct w:val="0"/>
              <w:autoSpaceDE w:val="0"/>
              <w:autoSpaceDN w:val="0"/>
              <w:bidi w:val="0"/>
              <w:adjustRightInd w:val="0"/>
              <w:spacing w:line="400" w:lineRule="exact"/>
              <w:rPr>
                <w:rFonts w:hint="eastAsia" w:ascii="仿宋" w:hAnsi="仿宋" w:eastAsia="仿宋" w:cs="仿宋"/>
                <w:color w:val="auto"/>
                <w:sz w:val="24"/>
                <w:szCs w:val="24"/>
                <w:highlight w:val="none"/>
              </w:rPr>
            </w:pPr>
          </w:p>
        </w:tc>
      </w:tr>
      <w:tr w14:paraId="61F447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7" w:hRule="atLeast"/>
          <w:jc w:val="center"/>
        </w:trPr>
        <w:tc>
          <w:tcPr>
            <w:tcW w:w="2161" w:type="dxa"/>
            <w:vMerge w:val="continue"/>
            <w:tcBorders>
              <w:left w:val="single" w:color="auto" w:sz="4" w:space="0"/>
              <w:right w:val="single" w:color="auto" w:sz="6" w:space="0"/>
            </w:tcBorders>
            <w:noWrap w:val="0"/>
            <w:vAlign w:val="center"/>
          </w:tcPr>
          <w:p w14:paraId="2E21CE94">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p>
        </w:tc>
        <w:tc>
          <w:tcPr>
            <w:tcW w:w="2312" w:type="dxa"/>
            <w:vMerge w:val="continue"/>
            <w:tcBorders>
              <w:left w:val="single" w:color="auto" w:sz="6" w:space="0"/>
              <w:right w:val="single" w:color="auto" w:sz="4" w:space="0"/>
            </w:tcBorders>
            <w:noWrap w:val="0"/>
            <w:vAlign w:val="center"/>
          </w:tcPr>
          <w:p w14:paraId="67D3A8AF">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p>
        </w:tc>
        <w:tc>
          <w:tcPr>
            <w:tcW w:w="1538" w:type="dxa"/>
            <w:tcBorders>
              <w:top w:val="single" w:color="auto" w:sz="4" w:space="0"/>
              <w:left w:val="single" w:color="auto" w:sz="4" w:space="0"/>
              <w:bottom w:val="single" w:color="auto" w:sz="4" w:space="0"/>
              <w:right w:val="single" w:color="auto" w:sz="4" w:space="0"/>
            </w:tcBorders>
            <w:noWrap w:val="0"/>
            <w:vAlign w:val="center"/>
          </w:tcPr>
          <w:p w14:paraId="69C346F9">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935" w:type="dxa"/>
            <w:tcBorders>
              <w:top w:val="single" w:color="auto" w:sz="4" w:space="0"/>
              <w:left w:val="single" w:color="auto" w:sz="4" w:space="0"/>
              <w:bottom w:val="single" w:color="auto" w:sz="4" w:space="0"/>
              <w:right w:val="single" w:color="auto" w:sz="4" w:space="0"/>
            </w:tcBorders>
            <w:noWrap w:val="0"/>
            <w:vAlign w:val="center"/>
          </w:tcPr>
          <w:p w14:paraId="048B644A">
            <w:pPr>
              <w:pageBreakBefore w:val="0"/>
              <w:kinsoku/>
              <w:wordWrap/>
              <w:overflowPunct/>
              <w:topLinePunct w:val="0"/>
              <w:autoSpaceDE w:val="0"/>
              <w:autoSpaceDN w:val="0"/>
              <w:bidi w:val="0"/>
              <w:adjustRightInd w:val="0"/>
              <w:spacing w:line="400" w:lineRule="exact"/>
              <w:rPr>
                <w:rFonts w:hint="eastAsia" w:ascii="仿宋" w:hAnsi="仿宋" w:eastAsia="仿宋" w:cs="仿宋"/>
                <w:color w:val="auto"/>
                <w:sz w:val="24"/>
                <w:szCs w:val="24"/>
                <w:highlight w:val="none"/>
              </w:rPr>
            </w:pPr>
          </w:p>
        </w:tc>
      </w:tr>
      <w:tr w14:paraId="0831AB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7" w:hRule="atLeast"/>
          <w:jc w:val="center"/>
        </w:trPr>
        <w:tc>
          <w:tcPr>
            <w:tcW w:w="2161" w:type="dxa"/>
            <w:vMerge w:val="continue"/>
            <w:tcBorders>
              <w:left w:val="single" w:color="auto" w:sz="4" w:space="0"/>
              <w:right w:val="single" w:color="auto" w:sz="6" w:space="0"/>
            </w:tcBorders>
            <w:noWrap w:val="0"/>
            <w:vAlign w:val="center"/>
          </w:tcPr>
          <w:p w14:paraId="05B0D23B">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p>
        </w:tc>
        <w:tc>
          <w:tcPr>
            <w:tcW w:w="2312" w:type="dxa"/>
            <w:vMerge w:val="continue"/>
            <w:tcBorders>
              <w:left w:val="single" w:color="auto" w:sz="6" w:space="0"/>
              <w:right w:val="single" w:color="auto" w:sz="4" w:space="0"/>
            </w:tcBorders>
            <w:noWrap w:val="0"/>
            <w:vAlign w:val="center"/>
          </w:tcPr>
          <w:p w14:paraId="2BA2E2A5">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p>
        </w:tc>
        <w:tc>
          <w:tcPr>
            <w:tcW w:w="1538" w:type="dxa"/>
            <w:tcBorders>
              <w:top w:val="single" w:color="auto" w:sz="4" w:space="0"/>
              <w:left w:val="single" w:color="auto" w:sz="4" w:space="0"/>
              <w:bottom w:val="single" w:color="auto" w:sz="4" w:space="0"/>
              <w:right w:val="single" w:color="auto" w:sz="4" w:space="0"/>
            </w:tcBorders>
            <w:noWrap w:val="0"/>
            <w:vAlign w:val="center"/>
          </w:tcPr>
          <w:p w14:paraId="404827F2">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935" w:type="dxa"/>
            <w:tcBorders>
              <w:top w:val="single" w:color="auto" w:sz="4" w:space="0"/>
              <w:left w:val="single" w:color="auto" w:sz="4" w:space="0"/>
              <w:bottom w:val="single" w:color="auto" w:sz="4" w:space="0"/>
              <w:right w:val="single" w:color="auto" w:sz="4" w:space="0"/>
            </w:tcBorders>
            <w:noWrap w:val="0"/>
            <w:vAlign w:val="center"/>
          </w:tcPr>
          <w:p w14:paraId="2C5FE2D8">
            <w:pPr>
              <w:pageBreakBefore w:val="0"/>
              <w:kinsoku/>
              <w:wordWrap/>
              <w:overflowPunct/>
              <w:topLinePunct w:val="0"/>
              <w:autoSpaceDE w:val="0"/>
              <w:autoSpaceDN w:val="0"/>
              <w:bidi w:val="0"/>
              <w:adjustRightInd w:val="0"/>
              <w:spacing w:line="400" w:lineRule="exact"/>
              <w:rPr>
                <w:rFonts w:hint="eastAsia" w:ascii="仿宋" w:hAnsi="仿宋" w:eastAsia="仿宋" w:cs="仿宋"/>
                <w:color w:val="auto"/>
                <w:sz w:val="24"/>
                <w:szCs w:val="24"/>
                <w:highlight w:val="none"/>
              </w:rPr>
            </w:pPr>
          </w:p>
        </w:tc>
      </w:tr>
      <w:tr w14:paraId="4A1CAA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2" w:hRule="atLeast"/>
          <w:jc w:val="center"/>
        </w:trPr>
        <w:tc>
          <w:tcPr>
            <w:tcW w:w="2161" w:type="dxa"/>
            <w:vMerge w:val="continue"/>
            <w:tcBorders>
              <w:left w:val="single" w:color="auto" w:sz="4" w:space="0"/>
              <w:right w:val="single" w:color="auto" w:sz="6" w:space="0"/>
            </w:tcBorders>
            <w:noWrap w:val="0"/>
            <w:vAlign w:val="center"/>
          </w:tcPr>
          <w:p w14:paraId="1AC530A7">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p>
        </w:tc>
        <w:tc>
          <w:tcPr>
            <w:tcW w:w="2312" w:type="dxa"/>
            <w:vMerge w:val="continue"/>
            <w:tcBorders>
              <w:left w:val="single" w:color="auto" w:sz="6" w:space="0"/>
              <w:bottom w:val="single" w:color="auto" w:sz="6" w:space="0"/>
              <w:right w:val="single" w:color="auto" w:sz="4" w:space="0"/>
            </w:tcBorders>
            <w:noWrap w:val="0"/>
            <w:vAlign w:val="center"/>
          </w:tcPr>
          <w:p w14:paraId="10F83D67">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p>
        </w:tc>
        <w:tc>
          <w:tcPr>
            <w:tcW w:w="1538" w:type="dxa"/>
            <w:tcBorders>
              <w:top w:val="single" w:color="auto" w:sz="4" w:space="0"/>
              <w:left w:val="single" w:color="auto" w:sz="4" w:space="0"/>
              <w:bottom w:val="single" w:color="auto" w:sz="4" w:space="0"/>
              <w:right w:val="single" w:color="auto" w:sz="4" w:space="0"/>
            </w:tcBorders>
            <w:noWrap w:val="0"/>
            <w:vAlign w:val="center"/>
          </w:tcPr>
          <w:p w14:paraId="6CF1174B">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2935" w:type="dxa"/>
            <w:tcBorders>
              <w:top w:val="single" w:color="auto" w:sz="4" w:space="0"/>
              <w:left w:val="single" w:color="auto" w:sz="4" w:space="0"/>
              <w:bottom w:val="single" w:color="auto" w:sz="4" w:space="0"/>
              <w:right w:val="single" w:color="auto" w:sz="4" w:space="0"/>
            </w:tcBorders>
            <w:noWrap w:val="0"/>
            <w:vAlign w:val="center"/>
          </w:tcPr>
          <w:p w14:paraId="31892C40">
            <w:pPr>
              <w:pageBreakBefore w:val="0"/>
              <w:kinsoku/>
              <w:wordWrap/>
              <w:overflowPunct/>
              <w:topLinePunct w:val="0"/>
              <w:autoSpaceDE w:val="0"/>
              <w:autoSpaceDN w:val="0"/>
              <w:bidi w:val="0"/>
              <w:adjustRightInd w:val="0"/>
              <w:spacing w:line="400" w:lineRule="exact"/>
              <w:rPr>
                <w:rFonts w:hint="eastAsia" w:ascii="仿宋" w:hAnsi="仿宋" w:eastAsia="仿宋" w:cs="仿宋"/>
                <w:color w:val="auto"/>
                <w:sz w:val="24"/>
                <w:szCs w:val="24"/>
                <w:highlight w:val="none"/>
              </w:rPr>
            </w:pPr>
          </w:p>
        </w:tc>
      </w:tr>
      <w:tr w14:paraId="08C3AF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7" w:hRule="atLeast"/>
          <w:jc w:val="center"/>
        </w:trPr>
        <w:tc>
          <w:tcPr>
            <w:tcW w:w="2161" w:type="dxa"/>
            <w:vMerge w:val="continue"/>
            <w:tcBorders>
              <w:left w:val="single" w:color="auto" w:sz="4" w:space="0"/>
              <w:bottom w:val="single" w:color="auto" w:sz="4" w:space="0"/>
              <w:right w:val="single" w:color="auto" w:sz="6" w:space="0"/>
            </w:tcBorders>
            <w:noWrap w:val="0"/>
            <w:vAlign w:val="center"/>
          </w:tcPr>
          <w:p w14:paraId="757F553C">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p>
        </w:tc>
        <w:tc>
          <w:tcPr>
            <w:tcW w:w="2312" w:type="dxa"/>
            <w:tcBorders>
              <w:top w:val="single" w:color="auto" w:sz="6" w:space="0"/>
              <w:left w:val="single" w:color="auto" w:sz="6" w:space="0"/>
              <w:bottom w:val="single" w:color="auto" w:sz="4" w:space="0"/>
              <w:right w:val="single" w:color="auto" w:sz="4" w:space="0"/>
            </w:tcBorders>
            <w:noWrap w:val="0"/>
            <w:vAlign w:val="center"/>
          </w:tcPr>
          <w:p w14:paraId="03F3BD5B">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合计</w:t>
            </w:r>
          </w:p>
        </w:tc>
        <w:tc>
          <w:tcPr>
            <w:tcW w:w="1538" w:type="dxa"/>
            <w:tcBorders>
              <w:top w:val="single" w:color="auto" w:sz="4" w:space="0"/>
              <w:left w:val="single" w:color="auto" w:sz="4" w:space="0"/>
              <w:bottom w:val="single" w:color="auto" w:sz="4" w:space="0"/>
              <w:right w:val="single" w:color="auto" w:sz="4" w:space="0"/>
            </w:tcBorders>
            <w:noWrap w:val="0"/>
            <w:vAlign w:val="center"/>
          </w:tcPr>
          <w:p w14:paraId="1960715B">
            <w:pPr>
              <w:pageBreakBefore w:val="0"/>
              <w:kinsoku/>
              <w:wordWrap/>
              <w:overflowPunct/>
              <w:topLinePunct w:val="0"/>
              <w:autoSpaceDE w:val="0"/>
              <w:autoSpaceDN w:val="0"/>
              <w:bidi w:val="0"/>
              <w:adjustRightInd w:val="0"/>
              <w:spacing w:line="400" w:lineRule="exact"/>
              <w:rPr>
                <w:rFonts w:hint="eastAsia" w:ascii="仿宋" w:hAnsi="仿宋" w:eastAsia="仿宋" w:cs="仿宋"/>
                <w:color w:val="auto"/>
                <w:sz w:val="24"/>
                <w:szCs w:val="24"/>
                <w:highlight w:val="none"/>
              </w:rPr>
            </w:pPr>
          </w:p>
        </w:tc>
        <w:tc>
          <w:tcPr>
            <w:tcW w:w="2935" w:type="dxa"/>
            <w:tcBorders>
              <w:top w:val="single" w:color="auto" w:sz="4" w:space="0"/>
              <w:left w:val="single" w:color="auto" w:sz="4" w:space="0"/>
              <w:bottom w:val="single" w:color="auto" w:sz="4" w:space="0"/>
              <w:right w:val="single" w:color="auto" w:sz="4" w:space="0"/>
            </w:tcBorders>
            <w:noWrap w:val="0"/>
            <w:vAlign w:val="center"/>
          </w:tcPr>
          <w:p w14:paraId="4DAC2A8C">
            <w:pPr>
              <w:pageBreakBefore w:val="0"/>
              <w:kinsoku/>
              <w:wordWrap/>
              <w:overflowPunct/>
              <w:topLinePunct w:val="0"/>
              <w:autoSpaceDE w:val="0"/>
              <w:autoSpaceDN w:val="0"/>
              <w:bidi w:val="0"/>
              <w:adjustRightInd w:val="0"/>
              <w:spacing w:line="400" w:lineRule="exact"/>
              <w:rPr>
                <w:rFonts w:hint="eastAsia" w:ascii="仿宋" w:hAnsi="仿宋" w:eastAsia="仿宋" w:cs="仿宋"/>
                <w:color w:val="auto"/>
                <w:sz w:val="24"/>
                <w:szCs w:val="24"/>
                <w:highlight w:val="none"/>
              </w:rPr>
            </w:pPr>
          </w:p>
        </w:tc>
      </w:tr>
      <w:tr w14:paraId="3FF2CE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6" w:hRule="atLeast"/>
          <w:jc w:val="center"/>
        </w:trPr>
        <w:tc>
          <w:tcPr>
            <w:tcW w:w="2161" w:type="dxa"/>
            <w:tcBorders>
              <w:top w:val="single" w:color="auto" w:sz="4" w:space="0"/>
              <w:left w:val="single" w:color="auto" w:sz="4" w:space="0"/>
              <w:bottom w:val="single" w:color="auto" w:sz="4" w:space="0"/>
              <w:right w:val="single" w:color="auto" w:sz="4" w:space="0"/>
            </w:tcBorders>
            <w:noWrap w:val="0"/>
            <w:vAlign w:val="center"/>
          </w:tcPr>
          <w:p w14:paraId="75B57E3F">
            <w:pPr>
              <w:pageBreakBefore w:val="0"/>
              <w:kinsoku/>
              <w:wordWrap/>
              <w:overflowPunct/>
              <w:topLinePunct w:val="0"/>
              <w:autoSpaceDE w:val="0"/>
              <w:autoSpaceDN w:val="0"/>
              <w:bidi w:val="0"/>
              <w:adjustRightIn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负责人：</w:t>
            </w:r>
          </w:p>
        </w:tc>
        <w:tc>
          <w:tcPr>
            <w:tcW w:w="2312" w:type="dxa"/>
            <w:tcBorders>
              <w:top w:val="single" w:color="auto" w:sz="4" w:space="0"/>
              <w:left w:val="single" w:color="auto" w:sz="4" w:space="0"/>
              <w:bottom w:val="single" w:color="auto" w:sz="4" w:space="0"/>
              <w:right w:val="single" w:color="auto" w:sz="4" w:space="0"/>
            </w:tcBorders>
            <w:noWrap w:val="0"/>
            <w:vAlign w:val="center"/>
          </w:tcPr>
          <w:p w14:paraId="69A8381C">
            <w:pPr>
              <w:pageBreakBefore w:val="0"/>
              <w:kinsoku/>
              <w:wordWrap/>
              <w:overflowPunct/>
              <w:topLinePunct w:val="0"/>
              <w:autoSpaceDE w:val="0"/>
              <w:autoSpaceDN w:val="0"/>
              <w:bidi w:val="0"/>
              <w:adjustRightInd w:val="0"/>
              <w:spacing w:line="400" w:lineRule="exact"/>
              <w:jc w:val="right"/>
              <w:rPr>
                <w:rFonts w:hint="eastAsia" w:ascii="仿宋" w:hAnsi="仿宋" w:eastAsia="仿宋" w:cs="仿宋"/>
                <w:color w:val="auto"/>
                <w:sz w:val="24"/>
                <w:szCs w:val="24"/>
                <w:highlight w:val="none"/>
              </w:rPr>
            </w:pPr>
          </w:p>
        </w:tc>
        <w:tc>
          <w:tcPr>
            <w:tcW w:w="1538" w:type="dxa"/>
            <w:tcBorders>
              <w:top w:val="single" w:color="auto" w:sz="4" w:space="0"/>
              <w:left w:val="single" w:color="auto" w:sz="4" w:space="0"/>
              <w:bottom w:val="single" w:color="auto" w:sz="4" w:space="0"/>
              <w:right w:val="single" w:color="auto" w:sz="4" w:space="0"/>
            </w:tcBorders>
            <w:noWrap w:val="0"/>
            <w:vAlign w:val="center"/>
          </w:tcPr>
          <w:p w14:paraId="7BF7AC84">
            <w:pPr>
              <w:pageBreakBefore w:val="0"/>
              <w:kinsoku/>
              <w:wordWrap/>
              <w:overflowPunct/>
              <w:topLinePunct w:val="0"/>
              <w:autoSpaceDE w:val="0"/>
              <w:autoSpaceDN w:val="0"/>
              <w:bidi w:val="0"/>
              <w:adjustRightIn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证明人：</w:t>
            </w:r>
          </w:p>
        </w:tc>
        <w:tc>
          <w:tcPr>
            <w:tcW w:w="2935" w:type="dxa"/>
            <w:tcBorders>
              <w:top w:val="single" w:color="auto" w:sz="4" w:space="0"/>
              <w:left w:val="single" w:color="auto" w:sz="4" w:space="0"/>
              <w:bottom w:val="single" w:color="auto" w:sz="4" w:space="0"/>
              <w:right w:val="single" w:color="auto" w:sz="4" w:space="0"/>
            </w:tcBorders>
            <w:noWrap w:val="0"/>
            <w:vAlign w:val="center"/>
          </w:tcPr>
          <w:p w14:paraId="2006E1DC">
            <w:pPr>
              <w:pageBreakBefore w:val="0"/>
              <w:kinsoku/>
              <w:wordWrap/>
              <w:overflowPunct/>
              <w:topLinePunct w:val="0"/>
              <w:autoSpaceDE w:val="0"/>
              <w:autoSpaceDN w:val="0"/>
              <w:bidi w:val="0"/>
              <w:adjustRightIn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经办人：</w:t>
            </w:r>
          </w:p>
        </w:tc>
      </w:tr>
    </w:tbl>
    <w:p w14:paraId="6C85F48A">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2.安全监测</w:t>
      </w:r>
    </w:p>
    <w:p w14:paraId="5883EEF7">
      <w:pPr>
        <w:pageBreakBefore w:val="0"/>
        <w:kinsoku/>
        <w:wordWrap/>
        <w:overflowPunct/>
        <w:topLinePunct w:val="0"/>
        <w:bidi w:val="0"/>
        <w:spacing w:line="400" w:lineRule="exact"/>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根据相关规范要求做好安全监测工作并记录原始数据（附表供参考）。</w:t>
      </w:r>
    </w:p>
    <w:tbl>
      <w:tblPr>
        <w:tblStyle w:val="63"/>
        <w:tblW w:w="8945" w:type="dxa"/>
        <w:tblInd w:w="-2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8"/>
        <w:gridCol w:w="1278"/>
        <w:gridCol w:w="1278"/>
        <w:gridCol w:w="1278"/>
        <w:gridCol w:w="1278"/>
        <w:gridCol w:w="907"/>
        <w:gridCol w:w="1418"/>
      </w:tblGrid>
      <w:tr w14:paraId="07D9A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45" w:type="dxa"/>
            <w:gridSpan w:val="7"/>
            <w:noWrap w:val="0"/>
            <w:vAlign w:val="top"/>
          </w:tcPr>
          <w:p w14:paraId="4EAAD96F">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_GB2312" w:hAnsi="仿宋_GB2312" w:eastAsia="仿宋_GB2312" w:cs="仿宋_GB2312"/>
                <w:color w:val="auto"/>
                <w:sz w:val="24"/>
                <w:szCs w:val="24"/>
                <w:highlight w:val="none"/>
                <w:vertAlign w:val="baseline"/>
              </w:rPr>
            </w:pPr>
            <w:r>
              <w:rPr>
                <w:rFonts w:hint="eastAsia" w:ascii="仿宋_GB2312" w:hAnsi="仿宋_GB2312" w:eastAsia="仿宋_GB2312" w:cs="仿宋_GB2312"/>
                <w:b/>
                <w:bCs/>
                <w:color w:val="auto"/>
                <w:sz w:val="24"/>
                <w:szCs w:val="24"/>
                <w:highlight w:val="none"/>
                <w:u w:val="none"/>
                <w:lang w:val="en-US" w:eastAsia="zh-CN"/>
              </w:rPr>
              <w:t>测压管监测记录表</w:t>
            </w:r>
          </w:p>
        </w:tc>
      </w:tr>
      <w:tr w14:paraId="28DD7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45" w:type="dxa"/>
            <w:gridSpan w:val="7"/>
            <w:noWrap w:val="0"/>
            <w:vAlign w:val="top"/>
          </w:tcPr>
          <w:p w14:paraId="1369499C">
            <w:pPr>
              <w:keepNext w:val="0"/>
              <w:keepLines w:val="0"/>
              <w:pageBreakBefore w:val="0"/>
              <w:widowControl w:val="0"/>
              <w:kinsoku/>
              <w:wordWrap/>
              <w:overflowPunct/>
              <w:topLinePunct w:val="0"/>
              <w:autoSpaceDE/>
              <w:autoSpaceDN/>
              <w:bidi w:val="0"/>
              <w:adjustRightInd w:val="0"/>
              <w:snapToGrid/>
              <w:spacing w:line="400" w:lineRule="exact"/>
              <w:jc w:val="left"/>
              <w:textAlignment w:val="auto"/>
              <w:rPr>
                <w:rFonts w:hint="eastAsia" w:ascii="仿宋_GB2312" w:hAnsi="仿宋_GB2312" w:eastAsia="仿宋_GB2312" w:cs="仿宋_GB2312"/>
                <w:color w:val="auto"/>
                <w:sz w:val="24"/>
                <w:szCs w:val="24"/>
                <w:highlight w:val="none"/>
                <w:vertAlign w:val="baseline"/>
              </w:rPr>
            </w:pPr>
            <w:r>
              <w:rPr>
                <w:rFonts w:hint="eastAsia" w:ascii="仿宋_GB2312" w:hAnsi="仿宋_GB2312" w:eastAsia="仿宋_GB2312" w:cs="仿宋_GB2312"/>
                <w:color w:val="auto"/>
                <w:sz w:val="24"/>
                <w:szCs w:val="24"/>
                <w:highlight w:val="none"/>
                <w:u w:val="none"/>
                <w:lang w:val="en-US" w:eastAsia="zh-CN"/>
              </w:rPr>
              <w:t>工程部位</w:t>
            </w:r>
            <w:r>
              <w:rPr>
                <w:rFonts w:hint="eastAsia" w:ascii="仿宋_GB2312" w:hAnsi="仿宋_GB2312" w:eastAsia="仿宋_GB2312" w:cs="仿宋_GB2312"/>
                <w:color w:val="auto"/>
                <w:sz w:val="24"/>
                <w:szCs w:val="24"/>
                <w:highlight w:val="none"/>
                <w:u w:val="single"/>
                <w:lang w:val="en-US" w:eastAsia="zh-CN"/>
              </w:rPr>
              <w:t xml:space="preserve">          </w:t>
            </w:r>
            <w:r>
              <w:rPr>
                <w:rFonts w:hint="eastAsia" w:ascii="仿宋_GB2312" w:hAnsi="仿宋_GB2312" w:eastAsia="仿宋_GB2312" w:cs="仿宋_GB2312"/>
                <w:color w:val="auto"/>
                <w:sz w:val="24"/>
                <w:szCs w:val="24"/>
                <w:highlight w:val="none"/>
                <w:u w:val="none"/>
                <w:lang w:val="en-US" w:eastAsia="zh-CN"/>
              </w:rPr>
              <w:t xml:space="preserve">       测压管编号</w:t>
            </w:r>
            <w:r>
              <w:rPr>
                <w:rFonts w:hint="eastAsia" w:ascii="仿宋_GB2312" w:hAnsi="仿宋_GB2312" w:eastAsia="仿宋_GB2312" w:cs="仿宋_GB2312"/>
                <w:color w:val="auto"/>
                <w:sz w:val="24"/>
                <w:szCs w:val="24"/>
                <w:highlight w:val="none"/>
                <w:u w:val="single"/>
                <w:lang w:val="en-US" w:eastAsia="zh-CN"/>
              </w:rPr>
              <w:t xml:space="preserve">          </w:t>
            </w:r>
            <w:r>
              <w:rPr>
                <w:rFonts w:hint="eastAsia" w:ascii="仿宋_GB2312" w:hAnsi="仿宋_GB2312" w:eastAsia="仿宋_GB2312" w:cs="仿宋_GB2312"/>
                <w:color w:val="auto"/>
                <w:sz w:val="24"/>
                <w:szCs w:val="24"/>
                <w:highlight w:val="none"/>
                <w:u w:val="none"/>
                <w:lang w:val="en-US" w:eastAsia="zh-CN"/>
              </w:rPr>
              <w:t xml:space="preserve">     管口高程（m）</w:t>
            </w:r>
            <w:r>
              <w:rPr>
                <w:rFonts w:hint="eastAsia" w:ascii="仿宋_GB2312" w:hAnsi="仿宋_GB2312" w:eastAsia="仿宋_GB2312" w:cs="仿宋_GB2312"/>
                <w:color w:val="auto"/>
                <w:sz w:val="24"/>
                <w:szCs w:val="24"/>
                <w:highlight w:val="none"/>
                <w:u w:val="single"/>
                <w:lang w:val="en-US" w:eastAsia="zh-CN"/>
              </w:rPr>
              <w:t xml:space="preserve">          </w:t>
            </w:r>
          </w:p>
        </w:tc>
      </w:tr>
      <w:tr w14:paraId="3DA98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08" w:type="dxa"/>
            <w:vMerge w:val="restart"/>
            <w:noWrap w:val="0"/>
            <w:vAlign w:val="top"/>
          </w:tcPr>
          <w:p w14:paraId="49B73999">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lang w:val="en-US" w:eastAsia="zh-CN"/>
              </w:rPr>
            </w:pPr>
            <w:r>
              <w:rPr>
                <w:rFonts w:hint="eastAsia" w:ascii="仿宋_GB2312" w:hAnsi="仿宋_GB2312" w:eastAsia="仿宋_GB2312" w:cs="仿宋_GB2312"/>
                <w:color w:val="auto"/>
                <w:sz w:val="24"/>
                <w:szCs w:val="24"/>
                <w:highlight w:val="none"/>
                <w:vertAlign w:val="baseline"/>
                <w:lang w:val="en-US" w:eastAsia="zh-CN"/>
              </w:rPr>
              <w:t>监测日期及时间</w:t>
            </w:r>
          </w:p>
        </w:tc>
        <w:tc>
          <w:tcPr>
            <w:tcW w:w="3834" w:type="dxa"/>
            <w:gridSpan w:val="3"/>
            <w:noWrap w:val="0"/>
            <w:vAlign w:val="top"/>
          </w:tcPr>
          <w:p w14:paraId="76AD3FC3">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lang w:val="en-US" w:eastAsia="zh-CN"/>
              </w:rPr>
            </w:pPr>
            <w:r>
              <w:rPr>
                <w:rFonts w:hint="eastAsia" w:ascii="仿宋_GB2312" w:hAnsi="仿宋_GB2312" w:eastAsia="仿宋_GB2312" w:cs="仿宋_GB2312"/>
                <w:color w:val="auto"/>
                <w:sz w:val="24"/>
                <w:szCs w:val="24"/>
                <w:highlight w:val="none"/>
                <w:vertAlign w:val="baseline"/>
                <w:lang w:val="en-US" w:eastAsia="zh-CN"/>
              </w:rPr>
              <w:t>管口至管内水面距离（m）</w:t>
            </w:r>
          </w:p>
        </w:tc>
        <w:tc>
          <w:tcPr>
            <w:tcW w:w="2185" w:type="dxa"/>
            <w:gridSpan w:val="2"/>
            <w:noWrap w:val="0"/>
            <w:vAlign w:val="top"/>
          </w:tcPr>
          <w:p w14:paraId="4FEB5752">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lang w:val="en-US" w:eastAsia="zh-CN"/>
              </w:rPr>
            </w:pPr>
            <w:r>
              <w:rPr>
                <w:rFonts w:hint="eastAsia" w:ascii="仿宋_GB2312" w:hAnsi="仿宋_GB2312" w:eastAsia="仿宋_GB2312" w:cs="仿宋_GB2312"/>
                <w:color w:val="auto"/>
                <w:sz w:val="24"/>
                <w:szCs w:val="24"/>
                <w:highlight w:val="none"/>
                <w:vertAlign w:val="baseline"/>
                <w:lang w:val="en-US" w:eastAsia="zh-CN"/>
              </w:rPr>
              <w:t>水位（m）</w:t>
            </w:r>
          </w:p>
        </w:tc>
        <w:tc>
          <w:tcPr>
            <w:tcW w:w="1418" w:type="dxa"/>
            <w:vMerge w:val="restart"/>
            <w:noWrap w:val="0"/>
            <w:vAlign w:val="top"/>
          </w:tcPr>
          <w:p w14:paraId="0AE7641C">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lang w:val="en-US" w:eastAsia="zh-CN"/>
              </w:rPr>
            </w:pPr>
            <w:r>
              <w:rPr>
                <w:rFonts w:hint="eastAsia" w:ascii="仿宋_GB2312" w:hAnsi="仿宋_GB2312" w:eastAsia="仿宋_GB2312" w:cs="仿宋_GB2312"/>
                <w:color w:val="auto"/>
                <w:sz w:val="24"/>
                <w:szCs w:val="24"/>
                <w:highlight w:val="none"/>
                <w:vertAlign w:val="baseline"/>
                <w:lang w:val="en-US" w:eastAsia="zh-CN"/>
              </w:rPr>
              <w:t>备注</w:t>
            </w:r>
          </w:p>
        </w:tc>
      </w:tr>
      <w:tr w14:paraId="7688B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08" w:type="dxa"/>
            <w:vMerge w:val="continue"/>
            <w:noWrap w:val="0"/>
            <w:vAlign w:val="top"/>
          </w:tcPr>
          <w:p w14:paraId="4E75141E">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rPr>
            </w:pPr>
          </w:p>
        </w:tc>
        <w:tc>
          <w:tcPr>
            <w:tcW w:w="1278" w:type="dxa"/>
            <w:noWrap w:val="0"/>
            <w:vAlign w:val="top"/>
          </w:tcPr>
          <w:p w14:paraId="0CF4AB7E">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lang w:val="en-US" w:eastAsia="zh-CN"/>
              </w:rPr>
            </w:pPr>
            <w:r>
              <w:rPr>
                <w:rFonts w:hint="eastAsia" w:ascii="仿宋_GB2312" w:hAnsi="仿宋_GB2312" w:eastAsia="仿宋_GB2312" w:cs="仿宋_GB2312"/>
                <w:color w:val="auto"/>
                <w:sz w:val="24"/>
                <w:szCs w:val="24"/>
                <w:highlight w:val="none"/>
                <w:vertAlign w:val="baseline"/>
                <w:lang w:val="en-US" w:eastAsia="zh-CN"/>
              </w:rPr>
              <w:t>一次</w:t>
            </w:r>
          </w:p>
        </w:tc>
        <w:tc>
          <w:tcPr>
            <w:tcW w:w="1278" w:type="dxa"/>
            <w:noWrap w:val="0"/>
            <w:vAlign w:val="top"/>
          </w:tcPr>
          <w:p w14:paraId="0EE4CA0E">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lang w:val="en-US" w:eastAsia="zh-CN"/>
              </w:rPr>
            </w:pPr>
            <w:r>
              <w:rPr>
                <w:rFonts w:hint="eastAsia" w:ascii="仿宋_GB2312" w:hAnsi="仿宋_GB2312" w:eastAsia="仿宋_GB2312" w:cs="仿宋_GB2312"/>
                <w:color w:val="auto"/>
                <w:sz w:val="24"/>
                <w:szCs w:val="24"/>
                <w:highlight w:val="none"/>
                <w:vertAlign w:val="baseline"/>
                <w:lang w:val="en-US" w:eastAsia="zh-CN"/>
              </w:rPr>
              <w:t>二次</w:t>
            </w:r>
          </w:p>
        </w:tc>
        <w:tc>
          <w:tcPr>
            <w:tcW w:w="1278" w:type="dxa"/>
            <w:noWrap w:val="0"/>
            <w:vAlign w:val="top"/>
          </w:tcPr>
          <w:p w14:paraId="6412E488">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lang w:val="en-US" w:eastAsia="zh-CN"/>
              </w:rPr>
            </w:pPr>
            <w:r>
              <w:rPr>
                <w:rFonts w:hint="eastAsia" w:ascii="仿宋_GB2312" w:hAnsi="仿宋_GB2312" w:eastAsia="仿宋_GB2312" w:cs="仿宋_GB2312"/>
                <w:color w:val="auto"/>
                <w:sz w:val="24"/>
                <w:szCs w:val="24"/>
                <w:highlight w:val="none"/>
                <w:vertAlign w:val="baseline"/>
                <w:lang w:val="en-US" w:eastAsia="zh-CN"/>
              </w:rPr>
              <w:t>平均</w:t>
            </w:r>
          </w:p>
        </w:tc>
        <w:tc>
          <w:tcPr>
            <w:tcW w:w="1278" w:type="dxa"/>
            <w:noWrap w:val="0"/>
            <w:vAlign w:val="top"/>
          </w:tcPr>
          <w:p w14:paraId="7D27C937">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lang w:val="en-US" w:eastAsia="zh-CN"/>
              </w:rPr>
            </w:pPr>
            <w:r>
              <w:rPr>
                <w:rFonts w:hint="eastAsia" w:ascii="仿宋_GB2312" w:hAnsi="仿宋_GB2312" w:eastAsia="仿宋_GB2312" w:cs="仿宋_GB2312"/>
                <w:color w:val="auto"/>
                <w:sz w:val="24"/>
                <w:szCs w:val="24"/>
                <w:highlight w:val="none"/>
                <w:vertAlign w:val="baseline"/>
                <w:lang w:val="en-US" w:eastAsia="zh-CN"/>
              </w:rPr>
              <w:t>上游</w:t>
            </w:r>
          </w:p>
        </w:tc>
        <w:tc>
          <w:tcPr>
            <w:tcW w:w="907" w:type="dxa"/>
            <w:noWrap w:val="0"/>
            <w:vAlign w:val="top"/>
          </w:tcPr>
          <w:p w14:paraId="1A942B31">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lang w:val="en-US" w:eastAsia="zh-CN"/>
              </w:rPr>
            </w:pPr>
            <w:r>
              <w:rPr>
                <w:rFonts w:hint="eastAsia" w:ascii="仿宋_GB2312" w:hAnsi="仿宋_GB2312" w:eastAsia="仿宋_GB2312" w:cs="仿宋_GB2312"/>
                <w:color w:val="auto"/>
                <w:sz w:val="24"/>
                <w:szCs w:val="24"/>
                <w:highlight w:val="none"/>
                <w:vertAlign w:val="baseline"/>
                <w:lang w:val="en-US" w:eastAsia="zh-CN"/>
              </w:rPr>
              <w:t>下游</w:t>
            </w:r>
          </w:p>
        </w:tc>
        <w:tc>
          <w:tcPr>
            <w:tcW w:w="1418" w:type="dxa"/>
            <w:vMerge w:val="continue"/>
            <w:noWrap w:val="0"/>
            <w:vAlign w:val="top"/>
          </w:tcPr>
          <w:p w14:paraId="0D61B342">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rPr>
            </w:pPr>
          </w:p>
        </w:tc>
      </w:tr>
      <w:tr w14:paraId="4EC38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08" w:type="dxa"/>
            <w:noWrap w:val="0"/>
            <w:vAlign w:val="top"/>
          </w:tcPr>
          <w:p w14:paraId="1562D355">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rPr>
            </w:pPr>
          </w:p>
        </w:tc>
        <w:tc>
          <w:tcPr>
            <w:tcW w:w="1278" w:type="dxa"/>
            <w:noWrap w:val="0"/>
            <w:vAlign w:val="top"/>
          </w:tcPr>
          <w:p w14:paraId="7BE27686">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rPr>
            </w:pPr>
          </w:p>
        </w:tc>
        <w:tc>
          <w:tcPr>
            <w:tcW w:w="1278" w:type="dxa"/>
            <w:noWrap w:val="0"/>
            <w:vAlign w:val="top"/>
          </w:tcPr>
          <w:p w14:paraId="362CF370">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rPr>
            </w:pPr>
          </w:p>
        </w:tc>
        <w:tc>
          <w:tcPr>
            <w:tcW w:w="1278" w:type="dxa"/>
            <w:noWrap w:val="0"/>
            <w:vAlign w:val="top"/>
          </w:tcPr>
          <w:p w14:paraId="55E98611">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rPr>
            </w:pPr>
          </w:p>
        </w:tc>
        <w:tc>
          <w:tcPr>
            <w:tcW w:w="1278" w:type="dxa"/>
            <w:noWrap w:val="0"/>
            <w:vAlign w:val="top"/>
          </w:tcPr>
          <w:p w14:paraId="021E8A44">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rPr>
            </w:pPr>
          </w:p>
        </w:tc>
        <w:tc>
          <w:tcPr>
            <w:tcW w:w="907" w:type="dxa"/>
            <w:noWrap w:val="0"/>
            <w:vAlign w:val="top"/>
          </w:tcPr>
          <w:p w14:paraId="373794E7">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rPr>
            </w:pPr>
          </w:p>
        </w:tc>
        <w:tc>
          <w:tcPr>
            <w:tcW w:w="1418" w:type="dxa"/>
            <w:vMerge w:val="restart"/>
            <w:noWrap w:val="0"/>
            <w:vAlign w:val="top"/>
          </w:tcPr>
          <w:p w14:paraId="38A89361">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lang w:val="en-US" w:eastAsia="zh-CN"/>
              </w:rPr>
            </w:pPr>
            <w:r>
              <w:rPr>
                <w:rFonts w:hint="eastAsia" w:ascii="仿宋_GB2312" w:hAnsi="仿宋_GB2312" w:eastAsia="仿宋_GB2312" w:cs="仿宋_GB2312"/>
                <w:color w:val="auto"/>
                <w:sz w:val="24"/>
                <w:szCs w:val="24"/>
                <w:highlight w:val="none"/>
                <w:vertAlign w:val="baseline"/>
                <w:lang w:val="en-US" w:eastAsia="zh-CN"/>
              </w:rPr>
              <w:t>含近期降水情况</w:t>
            </w:r>
          </w:p>
        </w:tc>
      </w:tr>
      <w:tr w14:paraId="1FEE1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08" w:type="dxa"/>
            <w:noWrap w:val="0"/>
            <w:vAlign w:val="top"/>
          </w:tcPr>
          <w:p w14:paraId="560798D0">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rPr>
            </w:pPr>
          </w:p>
        </w:tc>
        <w:tc>
          <w:tcPr>
            <w:tcW w:w="1278" w:type="dxa"/>
            <w:noWrap w:val="0"/>
            <w:vAlign w:val="top"/>
          </w:tcPr>
          <w:p w14:paraId="4AD4B969">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rPr>
            </w:pPr>
          </w:p>
        </w:tc>
        <w:tc>
          <w:tcPr>
            <w:tcW w:w="1278" w:type="dxa"/>
            <w:noWrap w:val="0"/>
            <w:vAlign w:val="top"/>
          </w:tcPr>
          <w:p w14:paraId="48C2B652">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rPr>
            </w:pPr>
          </w:p>
        </w:tc>
        <w:tc>
          <w:tcPr>
            <w:tcW w:w="1278" w:type="dxa"/>
            <w:noWrap w:val="0"/>
            <w:vAlign w:val="top"/>
          </w:tcPr>
          <w:p w14:paraId="7B8A353E">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rPr>
            </w:pPr>
          </w:p>
        </w:tc>
        <w:tc>
          <w:tcPr>
            <w:tcW w:w="1278" w:type="dxa"/>
            <w:noWrap w:val="0"/>
            <w:vAlign w:val="top"/>
          </w:tcPr>
          <w:p w14:paraId="4CBB1AB3">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rPr>
            </w:pPr>
          </w:p>
        </w:tc>
        <w:tc>
          <w:tcPr>
            <w:tcW w:w="907" w:type="dxa"/>
            <w:noWrap w:val="0"/>
            <w:vAlign w:val="top"/>
          </w:tcPr>
          <w:p w14:paraId="29226509">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rPr>
            </w:pPr>
          </w:p>
        </w:tc>
        <w:tc>
          <w:tcPr>
            <w:tcW w:w="1418" w:type="dxa"/>
            <w:vMerge w:val="continue"/>
            <w:noWrap w:val="0"/>
            <w:vAlign w:val="top"/>
          </w:tcPr>
          <w:p w14:paraId="56C2B68C">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rPr>
            </w:pPr>
          </w:p>
        </w:tc>
      </w:tr>
      <w:tr w14:paraId="72B7F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45" w:type="dxa"/>
            <w:gridSpan w:val="7"/>
            <w:noWrap w:val="0"/>
            <w:vAlign w:val="top"/>
          </w:tcPr>
          <w:p w14:paraId="21DE6BC5">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color w:val="auto"/>
                <w:sz w:val="24"/>
                <w:szCs w:val="24"/>
                <w:highlight w:val="none"/>
                <w:vertAlign w:val="baseline"/>
                <w:lang w:val="en-US" w:eastAsia="zh-CN"/>
              </w:rPr>
            </w:pPr>
            <w:r>
              <w:rPr>
                <w:rFonts w:hint="eastAsia" w:ascii="仿宋_GB2312" w:hAnsi="仿宋_GB2312" w:eastAsia="仿宋_GB2312" w:cs="仿宋_GB2312"/>
                <w:color w:val="auto"/>
                <w:sz w:val="24"/>
                <w:szCs w:val="24"/>
                <w:highlight w:val="none"/>
                <w:vertAlign w:val="baseline"/>
                <w:lang w:val="en-US" w:eastAsia="zh-CN"/>
              </w:rPr>
              <w:t>监测：                         记录：                         校核：</w:t>
            </w:r>
          </w:p>
        </w:tc>
      </w:tr>
    </w:tbl>
    <w:p w14:paraId="708C02B3">
      <w:pPr>
        <w:pStyle w:val="8"/>
        <w:pageBreakBefore w:val="0"/>
        <w:kinsoku/>
        <w:wordWrap/>
        <w:overflowPunct/>
        <w:topLinePunct w:val="0"/>
        <w:bidi w:val="0"/>
        <w:spacing w:line="400" w:lineRule="exact"/>
        <w:ind w:firstLine="0" w:firstLineChars="0"/>
        <w:jc w:val="center"/>
        <w:rPr>
          <w:rFonts w:hint="eastAsia"/>
          <w:b/>
          <w:color w:val="auto"/>
          <w:highlight w:val="none"/>
        </w:rPr>
      </w:pPr>
    </w:p>
    <w:tbl>
      <w:tblPr>
        <w:tblStyle w:val="62"/>
        <w:tblW w:w="8946" w:type="dxa"/>
        <w:jc w:val="center"/>
        <w:tblLayout w:type="fixed"/>
        <w:tblCellMar>
          <w:top w:w="0" w:type="dxa"/>
          <w:left w:w="108" w:type="dxa"/>
          <w:bottom w:w="0" w:type="dxa"/>
          <w:right w:w="108" w:type="dxa"/>
        </w:tblCellMar>
      </w:tblPr>
      <w:tblGrid>
        <w:gridCol w:w="1273"/>
        <w:gridCol w:w="1337"/>
        <w:gridCol w:w="1337"/>
        <w:gridCol w:w="1337"/>
        <w:gridCol w:w="2601"/>
        <w:gridCol w:w="1061"/>
      </w:tblGrid>
      <w:tr w14:paraId="024C204E">
        <w:tblPrEx>
          <w:tblCellMar>
            <w:top w:w="0" w:type="dxa"/>
            <w:left w:w="108" w:type="dxa"/>
            <w:bottom w:w="0" w:type="dxa"/>
            <w:right w:w="108" w:type="dxa"/>
          </w:tblCellMar>
        </w:tblPrEx>
        <w:trPr>
          <w:trHeight w:val="731" w:hRule="atLeast"/>
          <w:jc w:val="center"/>
        </w:trPr>
        <w:tc>
          <w:tcPr>
            <w:tcW w:w="8946" w:type="dxa"/>
            <w:gridSpan w:val="6"/>
            <w:tcBorders>
              <w:top w:val="single" w:color="auto" w:sz="4" w:space="0"/>
              <w:left w:val="single" w:color="auto" w:sz="4" w:space="0"/>
              <w:bottom w:val="single" w:color="auto" w:sz="4" w:space="0"/>
              <w:right w:val="single" w:color="auto" w:sz="4" w:space="0"/>
            </w:tcBorders>
            <w:noWrap/>
            <w:vAlign w:val="center"/>
          </w:tcPr>
          <w:p w14:paraId="370A340E">
            <w:pPr>
              <w:pStyle w:val="8"/>
              <w:keepNext w:val="0"/>
              <w:keepLines w:val="0"/>
              <w:pageBreakBefore w:val="0"/>
              <w:kinsoku/>
              <w:wordWrap/>
              <w:overflowPunct/>
              <w:topLinePunct w:val="0"/>
              <w:autoSpaceDE/>
              <w:autoSpaceDN/>
              <w:bidi w:val="0"/>
              <w:adjustRightInd w:val="0"/>
              <w:spacing w:line="400" w:lineRule="exact"/>
              <w:ind w:firstLine="0" w:firstLineChars="0"/>
              <w:jc w:val="center"/>
              <w:textAlignment w:val="auto"/>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大坝水平位移观测记录表</w:t>
            </w:r>
          </w:p>
          <w:p w14:paraId="4946D4CB">
            <w:pPr>
              <w:pStyle w:val="9"/>
              <w:pageBreakBefore w:val="0"/>
              <w:kinsoku/>
              <w:wordWrap/>
              <w:overflowPunct/>
              <w:topLinePunct w:val="0"/>
              <w:bidi w:val="0"/>
              <w:spacing w:line="400" w:lineRule="exact"/>
              <w:rPr>
                <w:rFonts w:hint="eastAsia"/>
                <w:color w:val="auto"/>
                <w:highlight w:val="none"/>
              </w:rPr>
            </w:pPr>
          </w:p>
          <w:p w14:paraId="466F3DC3">
            <w:pPr>
              <w:keepNext w:val="0"/>
              <w:keepLines w:val="0"/>
              <w:pageBreakBefore w:val="0"/>
              <w:kinsoku/>
              <w:wordWrap/>
              <w:overflowPunct/>
              <w:topLinePunct w:val="0"/>
              <w:autoSpaceDE/>
              <w:autoSpaceDN/>
              <w:bidi w:val="0"/>
              <w:adjustRightInd w:val="0"/>
              <w:spacing w:line="400" w:lineRule="exact"/>
              <w:ind w:firstLine="0"/>
              <w:jc w:val="center"/>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b w:val="0"/>
                <w:bCs/>
                <w:color w:val="auto"/>
                <w:sz w:val="24"/>
                <w:szCs w:val="24"/>
                <w:highlight w:val="none"/>
              </w:rPr>
              <w:t>年    月    日    天气：     气温：     水位：    单位：毫米</w:t>
            </w:r>
          </w:p>
        </w:tc>
      </w:tr>
      <w:tr w14:paraId="09D12D1F">
        <w:tblPrEx>
          <w:tblCellMar>
            <w:top w:w="0" w:type="dxa"/>
            <w:left w:w="108" w:type="dxa"/>
            <w:bottom w:w="0" w:type="dxa"/>
            <w:right w:w="108" w:type="dxa"/>
          </w:tblCellMar>
        </w:tblPrEx>
        <w:trPr>
          <w:trHeight w:val="469" w:hRule="atLeast"/>
          <w:jc w:val="center"/>
        </w:trPr>
        <w:tc>
          <w:tcPr>
            <w:tcW w:w="1273" w:type="dxa"/>
            <w:vMerge w:val="restart"/>
            <w:tcBorders>
              <w:top w:val="single" w:color="auto" w:sz="4" w:space="0"/>
              <w:left w:val="single" w:color="auto" w:sz="4" w:space="0"/>
              <w:bottom w:val="single" w:color="auto" w:sz="4" w:space="0"/>
              <w:right w:val="single" w:color="auto" w:sz="4" w:space="0"/>
            </w:tcBorders>
            <w:noWrap/>
            <w:vAlign w:val="center"/>
          </w:tcPr>
          <w:p w14:paraId="5E1F0948">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测点编号</w:t>
            </w:r>
          </w:p>
        </w:tc>
        <w:tc>
          <w:tcPr>
            <w:tcW w:w="6612" w:type="dxa"/>
            <w:gridSpan w:val="4"/>
            <w:tcBorders>
              <w:top w:val="single" w:color="auto" w:sz="4" w:space="0"/>
              <w:left w:val="nil"/>
              <w:bottom w:val="single" w:color="auto" w:sz="4" w:space="0"/>
              <w:right w:val="single" w:color="000000" w:sz="4" w:space="0"/>
            </w:tcBorders>
            <w:noWrap/>
            <w:vAlign w:val="center"/>
          </w:tcPr>
          <w:p w14:paraId="65F884C3">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测           值</w:t>
            </w:r>
          </w:p>
        </w:tc>
        <w:tc>
          <w:tcPr>
            <w:tcW w:w="1061" w:type="dxa"/>
            <w:vMerge w:val="restart"/>
            <w:tcBorders>
              <w:top w:val="single" w:color="auto" w:sz="4" w:space="0"/>
              <w:left w:val="single" w:color="auto" w:sz="4" w:space="0"/>
              <w:bottom w:val="single" w:color="000000" w:sz="4" w:space="0"/>
              <w:right w:val="single" w:color="auto" w:sz="4" w:space="0"/>
            </w:tcBorders>
            <w:noWrap/>
            <w:vAlign w:val="center"/>
          </w:tcPr>
          <w:p w14:paraId="1D9AE085">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位移值</w:t>
            </w:r>
          </w:p>
        </w:tc>
      </w:tr>
      <w:tr w14:paraId="4CED44CC">
        <w:tblPrEx>
          <w:tblCellMar>
            <w:top w:w="0" w:type="dxa"/>
            <w:left w:w="108" w:type="dxa"/>
            <w:bottom w:w="0" w:type="dxa"/>
            <w:right w:w="108" w:type="dxa"/>
          </w:tblCellMar>
        </w:tblPrEx>
        <w:trPr>
          <w:trHeight w:val="443" w:hRule="atLeast"/>
          <w:jc w:val="center"/>
        </w:trPr>
        <w:tc>
          <w:tcPr>
            <w:tcW w:w="1273" w:type="dxa"/>
            <w:vMerge w:val="continue"/>
            <w:tcBorders>
              <w:top w:val="single" w:color="auto" w:sz="4" w:space="0"/>
              <w:left w:val="single" w:color="auto" w:sz="4" w:space="0"/>
              <w:bottom w:val="single" w:color="auto" w:sz="4" w:space="0"/>
              <w:right w:val="single" w:color="auto" w:sz="4" w:space="0"/>
            </w:tcBorders>
            <w:noWrap w:val="0"/>
            <w:vAlign w:val="center"/>
          </w:tcPr>
          <w:p w14:paraId="385C0669">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p>
        </w:tc>
        <w:tc>
          <w:tcPr>
            <w:tcW w:w="1337" w:type="dxa"/>
            <w:tcBorders>
              <w:top w:val="nil"/>
              <w:left w:val="nil"/>
              <w:bottom w:val="single" w:color="auto" w:sz="4" w:space="0"/>
              <w:right w:val="single" w:color="auto" w:sz="4" w:space="0"/>
            </w:tcBorders>
            <w:noWrap/>
            <w:vAlign w:val="center"/>
          </w:tcPr>
          <w:p w14:paraId="7F39E2A4">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正镜</w:t>
            </w:r>
          </w:p>
        </w:tc>
        <w:tc>
          <w:tcPr>
            <w:tcW w:w="1337" w:type="dxa"/>
            <w:tcBorders>
              <w:top w:val="nil"/>
              <w:left w:val="nil"/>
              <w:bottom w:val="single" w:color="auto" w:sz="4" w:space="0"/>
              <w:right w:val="single" w:color="auto" w:sz="4" w:space="0"/>
            </w:tcBorders>
            <w:noWrap/>
            <w:vAlign w:val="center"/>
          </w:tcPr>
          <w:p w14:paraId="1756B95D">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倒镜</w:t>
            </w:r>
          </w:p>
        </w:tc>
        <w:tc>
          <w:tcPr>
            <w:tcW w:w="1337" w:type="dxa"/>
            <w:tcBorders>
              <w:top w:val="nil"/>
              <w:left w:val="nil"/>
              <w:bottom w:val="single" w:color="auto" w:sz="4" w:space="0"/>
              <w:right w:val="single" w:color="auto" w:sz="4" w:space="0"/>
            </w:tcBorders>
            <w:noWrap/>
            <w:vAlign w:val="center"/>
          </w:tcPr>
          <w:p w14:paraId="77D2CCCB">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均值</w:t>
            </w:r>
          </w:p>
        </w:tc>
        <w:tc>
          <w:tcPr>
            <w:tcW w:w="2601" w:type="dxa"/>
            <w:tcBorders>
              <w:top w:val="nil"/>
              <w:left w:val="nil"/>
              <w:bottom w:val="single" w:color="auto" w:sz="4" w:space="0"/>
              <w:right w:val="single" w:color="auto" w:sz="4" w:space="0"/>
            </w:tcBorders>
            <w:noWrap/>
            <w:vAlign w:val="center"/>
          </w:tcPr>
          <w:p w14:paraId="389156A9">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距离(m)</w:t>
            </w:r>
          </w:p>
        </w:tc>
        <w:tc>
          <w:tcPr>
            <w:tcW w:w="1061" w:type="dxa"/>
            <w:vMerge w:val="continue"/>
            <w:tcBorders>
              <w:top w:val="single" w:color="auto" w:sz="4" w:space="0"/>
              <w:left w:val="single" w:color="auto" w:sz="4" w:space="0"/>
              <w:bottom w:val="single" w:color="000000" w:sz="4" w:space="0"/>
              <w:right w:val="single" w:color="auto" w:sz="4" w:space="0"/>
            </w:tcBorders>
            <w:noWrap w:val="0"/>
            <w:vAlign w:val="center"/>
          </w:tcPr>
          <w:p w14:paraId="09E97D15">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p>
        </w:tc>
      </w:tr>
      <w:tr w14:paraId="2AE84946">
        <w:tblPrEx>
          <w:tblCellMar>
            <w:top w:w="0" w:type="dxa"/>
            <w:left w:w="108" w:type="dxa"/>
            <w:bottom w:w="0" w:type="dxa"/>
            <w:right w:w="108" w:type="dxa"/>
          </w:tblCellMar>
        </w:tblPrEx>
        <w:trPr>
          <w:trHeight w:val="240" w:hRule="atLeast"/>
          <w:jc w:val="center"/>
        </w:trPr>
        <w:tc>
          <w:tcPr>
            <w:tcW w:w="1273" w:type="dxa"/>
            <w:vMerge w:val="restart"/>
            <w:tcBorders>
              <w:top w:val="nil"/>
              <w:left w:val="single" w:color="auto" w:sz="4" w:space="0"/>
              <w:bottom w:val="single" w:color="auto" w:sz="4" w:space="0"/>
              <w:right w:val="single" w:color="auto" w:sz="4" w:space="0"/>
            </w:tcBorders>
            <w:noWrap/>
            <w:vAlign w:val="center"/>
          </w:tcPr>
          <w:p w14:paraId="54E6AA3B">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p>
        </w:tc>
        <w:tc>
          <w:tcPr>
            <w:tcW w:w="1337" w:type="dxa"/>
            <w:tcBorders>
              <w:top w:val="nil"/>
              <w:left w:val="nil"/>
              <w:bottom w:val="single" w:color="auto" w:sz="4" w:space="0"/>
              <w:right w:val="single" w:color="auto" w:sz="4" w:space="0"/>
            </w:tcBorders>
            <w:noWrap/>
            <w:vAlign w:val="center"/>
          </w:tcPr>
          <w:p w14:paraId="4E32BFFF">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337" w:type="dxa"/>
            <w:tcBorders>
              <w:top w:val="nil"/>
              <w:left w:val="nil"/>
              <w:bottom w:val="single" w:color="auto" w:sz="4" w:space="0"/>
              <w:right w:val="single" w:color="auto" w:sz="4" w:space="0"/>
            </w:tcBorders>
            <w:noWrap/>
            <w:vAlign w:val="center"/>
          </w:tcPr>
          <w:p w14:paraId="65EFE5BF">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337" w:type="dxa"/>
            <w:tcBorders>
              <w:top w:val="nil"/>
              <w:left w:val="nil"/>
              <w:bottom w:val="single" w:color="auto" w:sz="4" w:space="0"/>
              <w:right w:val="single" w:color="auto" w:sz="4" w:space="0"/>
            </w:tcBorders>
            <w:noWrap/>
            <w:vAlign w:val="center"/>
          </w:tcPr>
          <w:p w14:paraId="0AC069B7">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2601" w:type="dxa"/>
            <w:tcBorders>
              <w:top w:val="nil"/>
              <w:left w:val="nil"/>
              <w:bottom w:val="single" w:color="auto" w:sz="4" w:space="0"/>
              <w:right w:val="single" w:color="auto" w:sz="4" w:space="0"/>
            </w:tcBorders>
            <w:noWrap/>
            <w:vAlign w:val="center"/>
          </w:tcPr>
          <w:p w14:paraId="73F5ABD5">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061" w:type="dxa"/>
            <w:vMerge w:val="restart"/>
            <w:tcBorders>
              <w:top w:val="nil"/>
              <w:left w:val="single" w:color="auto" w:sz="4" w:space="0"/>
              <w:bottom w:val="single" w:color="auto" w:sz="4" w:space="0"/>
              <w:right w:val="single" w:color="auto" w:sz="4" w:space="0"/>
            </w:tcBorders>
            <w:noWrap/>
            <w:vAlign w:val="center"/>
          </w:tcPr>
          <w:p w14:paraId="20C1A9F1">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r>
      <w:tr w14:paraId="387C6510">
        <w:tblPrEx>
          <w:tblCellMar>
            <w:top w:w="0" w:type="dxa"/>
            <w:left w:w="108" w:type="dxa"/>
            <w:bottom w:w="0" w:type="dxa"/>
            <w:right w:w="108" w:type="dxa"/>
          </w:tblCellMar>
        </w:tblPrEx>
        <w:trPr>
          <w:trHeight w:val="240" w:hRule="atLeast"/>
          <w:jc w:val="center"/>
        </w:trPr>
        <w:tc>
          <w:tcPr>
            <w:tcW w:w="1273" w:type="dxa"/>
            <w:vMerge w:val="continue"/>
            <w:tcBorders>
              <w:top w:val="nil"/>
              <w:left w:val="single" w:color="auto" w:sz="4" w:space="0"/>
              <w:bottom w:val="single" w:color="auto" w:sz="4" w:space="0"/>
              <w:right w:val="single" w:color="auto" w:sz="4" w:space="0"/>
            </w:tcBorders>
            <w:noWrap w:val="0"/>
            <w:vAlign w:val="center"/>
          </w:tcPr>
          <w:p w14:paraId="47E7B0DD">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p>
        </w:tc>
        <w:tc>
          <w:tcPr>
            <w:tcW w:w="1337" w:type="dxa"/>
            <w:tcBorders>
              <w:top w:val="nil"/>
              <w:left w:val="nil"/>
              <w:bottom w:val="single" w:color="auto" w:sz="4" w:space="0"/>
              <w:right w:val="single" w:color="auto" w:sz="4" w:space="0"/>
            </w:tcBorders>
            <w:noWrap/>
            <w:vAlign w:val="center"/>
          </w:tcPr>
          <w:p w14:paraId="61E3AECE">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337" w:type="dxa"/>
            <w:tcBorders>
              <w:top w:val="nil"/>
              <w:left w:val="nil"/>
              <w:bottom w:val="single" w:color="auto" w:sz="4" w:space="0"/>
              <w:right w:val="single" w:color="auto" w:sz="4" w:space="0"/>
            </w:tcBorders>
            <w:noWrap/>
            <w:vAlign w:val="center"/>
          </w:tcPr>
          <w:p w14:paraId="5A79E45F">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337" w:type="dxa"/>
            <w:tcBorders>
              <w:top w:val="nil"/>
              <w:left w:val="nil"/>
              <w:bottom w:val="single" w:color="auto" w:sz="4" w:space="0"/>
              <w:right w:val="single" w:color="auto" w:sz="4" w:space="0"/>
            </w:tcBorders>
            <w:noWrap/>
            <w:vAlign w:val="center"/>
          </w:tcPr>
          <w:p w14:paraId="2EECC93B">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2601" w:type="dxa"/>
            <w:tcBorders>
              <w:top w:val="nil"/>
              <w:left w:val="nil"/>
              <w:bottom w:val="single" w:color="auto" w:sz="4" w:space="0"/>
              <w:right w:val="single" w:color="auto" w:sz="4" w:space="0"/>
            </w:tcBorders>
            <w:noWrap/>
            <w:vAlign w:val="center"/>
          </w:tcPr>
          <w:p w14:paraId="14FA91BA">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061" w:type="dxa"/>
            <w:vMerge w:val="continue"/>
            <w:tcBorders>
              <w:top w:val="nil"/>
              <w:left w:val="single" w:color="auto" w:sz="4" w:space="0"/>
              <w:bottom w:val="single" w:color="auto" w:sz="4" w:space="0"/>
              <w:right w:val="single" w:color="auto" w:sz="4" w:space="0"/>
            </w:tcBorders>
            <w:noWrap w:val="0"/>
            <w:vAlign w:val="center"/>
          </w:tcPr>
          <w:p w14:paraId="6469779B">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p>
        </w:tc>
      </w:tr>
      <w:tr w14:paraId="48069A26">
        <w:tblPrEx>
          <w:tblCellMar>
            <w:top w:w="0" w:type="dxa"/>
            <w:left w:w="108" w:type="dxa"/>
            <w:bottom w:w="0" w:type="dxa"/>
            <w:right w:w="108" w:type="dxa"/>
          </w:tblCellMar>
        </w:tblPrEx>
        <w:trPr>
          <w:trHeight w:val="240" w:hRule="atLeast"/>
          <w:jc w:val="center"/>
        </w:trPr>
        <w:tc>
          <w:tcPr>
            <w:tcW w:w="1273" w:type="dxa"/>
            <w:vMerge w:val="continue"/>
            <w:tcBorders>
              <w:top w:val="nil"/>
              <w:left w:val="single" w:color="auto" w:sz="4" w:space="0"/>
              <w:bottom w:val="single" w:color="auto" w:sz="4" w:space="0"/>
              <w:right w:val="single" w:color="auto" w:sz="4" w:space="0"/>
            </w:tcBorders>
            <w:noWrap w:val="0"/>
            <w:vAlign w:val="center"/>
          </w:tcPr>
          <w:p w14:paraId="1DF11C29">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p>
        </w:tc>
        <w:tc>
          <w:tcPr>
            <w:tcW w:w="1337" w:type="dxa"/>
            <w:tcBorders>
              <w:top w:val="nil"/>
              <w:left w:val="nil"/>
              <w:bottom w:val="single" w:color="auto" w:sz="4" w:space="0"/>
              <w:right w:val="single" w:color="auto" w:sz="4" w:space="0"/>
            </w:tcBorders>
            <w:noWrap/>
            <w:vAlign w:val="center"/>
          </w:tcPr>
          <w:p w14:paraId="3A4C65CA">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337" w:type="dxa"/>
            <w:tcBorders>
              <w:top w:val="nil"/>
              <w:left w:val="nil"/>
              <w:bottom w:val="single" w:color="auto" w:sz="4" w:space="0"/>
              <w:right w:val="single" w:color="auto" w:sz="4" w:space="0"/>
            </w:tcBorders>
            <w:noWrap/>
            <w:vAlign w:val="center"/>
          </w:tcPr>
          <w:p w14:paraId="38A7AB0A">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337" w:type="dxa"/>
            <w:tcBorders>
              <w:top w:val="nil"/>
              <w:left w:val="nil"/>
              <w:bottom w:val="single" w:color="auto" w:sz="4" w:space="0"/>
              <w:right w:val="single" w:color="auto" w:sz="4" w:space="0"/>
            </w:tcBorders>
            <w:noWrap/>
            <w:vAlign w:val="center"/>
          </w:tcPr>
          <w:p w14:paraId="22CDA65E">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2601" w:type="dxa"/>
            <w:tcBorders>
              <w:top w:val="nil"/>
              <w:left w:val="nil"/>
              <w:bottom w:val="single" w:color="auto" w:sz="4" w:space="0"/>
              <w:right w:val="single" w:color="auto" w:sz="4" w:space="0"/>
            </w:tcBorders>
            <w:noWrap/>
            <w:vAlign w:val="center"/>
          </w:tcPr>
          <w:p w14:paraId="4A4A6D8B">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061" w:type="dxa"/>
            <w:vMerge w:val="continue"/>
            <w:tcBorders>
              <w:top w:val="nil"/>
              <w:left w:val="single" w:color="auto" w:sz="4" w:space="0"/>
              <w:bottom w:val="single" w:color="auto" w:sz="4" w:space="0"/>
              <w:right w:val="single" w:color="auto" w:sz="4" w:space="0"/>
            </w:tcBorders>
            <w:noWrap w:val="0"/>
            <w:vAlign w:val="center"/>
          </w:tcPr>
          <w:p w14:paraId="501C3654">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p>
        </w:tc>
      </w:tr>
      <w:tr w14:paraId="076CA6AC">
        <w:tblPrEx>
          <w:tblCellMar>
            <w:top w:w="0" w:type="dxa"/>
            <w:left w:w="108" w:type="dxa"/>
            <w:bottom w:w="0" w:type="dxa"/>
            <w:right w:w="108" w:type="dxa"/>
          </w:tblCellMar>
        </w:tblPrEx>
        <w:trPr>
          <w:trHeight w:val="240" w:hRule="atLeast"/>
          <w:jc w:val="center"/>
        </w:trPr>
        <w:tc>
          <w:tcPr>
            <w:tcW w:w="1273" w:type="dxa"/>
            <w:vMerge w:val="restart"/>
            <w:tcBorders>
              <w:top w:val="nil"/>
              <w:left w:val="single" w:color="auto" w:sz="4" w:space="0"/>
              <w:bottom w:val="single" w:color="auto" w:sz="4" w:space="0"/>
              <w:right w:val="single" w:color="auto" w:sz="4" w:space="0"/>
            </w:tcBorders>
            <w:noWrap/>
            <w:vAlign w:val="center"/>
          </w:tcPr>
          <w:p w14:paraId="4F85B6CF">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p>
        </w:tc>
        <w:tc>
          <w:tcPr>
            <w:tcW w:w="1337" w:type="dxa"/>
            <w:tcBorders>
              <w:top w:val="nil"/>
              <w:left w:val="nil"/>
              <w:bottom w:val="single" w:color="auto" w:sz="4" w:space="0"/>
              <w:right w:val="single" w:color="auto" w:sz="4" w:space="0"/>
            </w:tcBorders>
            <w:noWrap/>
            <w:vAlign w:val="center"/>
          </w:tcPr>
          <w:p w14:paraId="0C74D32C">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337" w:type="dxa"/>
            <w:tcBorders>
              <w:top w:val="nil"/>
              <w:left w:val="nil"/>
              <w:bottom w:val="single" w:color="auto" w:sz="4" w:space="0"/>
              <w:right w:val="single" w:color="auto" w:sz="4" w:space="0"/>
            </w:tcBorders>
            <w:noWrap/>
            <w:vAlign w:val="center"/>
          </w:tcPr>
          <w:p w14:paraId="5105E7C9">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337" w:type="dxa"/>
            <w:tcBorders>
              <w:top w:val="nil"/>
              <w:left w:val="nil"/>
              <w:bottom w:val="single" w:color="auto" w:sz="4" w:space="0"/>
              <w:right w:val="single" w:color="auto" w:sz="4" w:space="0"/>
            </w:tcBorders>
            <w:noWrap/>
            <w:vAlign w:val="center"/>
          </w:tcPr>
          <w:p w14:paraId="79612EA1">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2601" w:type="dxa"/>
            <w:tcBorders>
              <w:top w:val="nil"/>
              <w:left w:val="nil"/>
              <w:bottom w:val="single" w:color="auto" w:sz="4" w:space="0"/>
              <w:right w:val="single" w:color="auto" w:sz="4" w:space="0"/>
            </w:tcBorders>
            <w:noWrap/>
            <w:vAlign w:val="center"/>
          </w:tcPr>
          <w:p w14:paraId="5F6C937C">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061" w:type="dxa"/>
            <w:vMerge w:val="restart"/>
            <w:tcBorders>
              <w:top w:val="nil"/>
              <w:left w:val="single" w:color="auto" w:sz="4" w:space="0"/>
              <w:bottom w:val="single" w:color="auto" w:sz="4" w:space="0"/>
              <w:right w:val="single" w:color="auto" w:sz="4" w:space="0"/>
            </w:tcBorders>
            <w:noWrap/>
            <w:vAlign w:val="center"/>
          </w:tcPr>
          <w:p w14:paraId="3009855D">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r>
      <w:tr w14:paraId="53009385">
        <w:tblPrEx>
          <w:tblCellMar>
            <w:top w:w="0" w:type="dxa"/>
            <w:left w:w="108" w:type="dxa"/>
            <w:bottom w:w="0" w:type="dxa"/>
            <w:right w:w="108" w:type="dxa"/>
          </w:tblCellMar>
        </w:tblPrEx>
        <w:trPr>
          <w:trHeight w:val="240" w:hRule="atLeast"/>
          <w:jc w:val="center"/>
        </w:trPr>
        <w:tc>
          <w:tcPr>
            <w:tcW w:w="1273" w:type="dxa"/>
            <w:vMerge w:val="continue"/>
            <w:tcBorders>
              <w:top w:val="nil"/>
              <w:left w:val="single" w:color="auto" w:sz="4" w:space="0"/>
              <w:bottom w:val="single" w:color="auto" w:sz="4" w:space="0"/>
              <w:right w:val="single" w:color="auto" w:sz="4" w:space="0"/>
            </w:tcBorders>
            <w:noWrap w:val="0"/>
            <w:vAlign w:val="center"/>
          </w:tcPr>
          <w:p w14:paraId="4A379A4B">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p>
        </w:tc>
        <w:tc>
          <w:tcPr>
            <w:tcW w:w="1337" w:type="dxa"/>
            <w:tcBorders>
              <w:top w:val="nil"/>
              <w:left w:val="nil"/>
              <w:bottom w:val="single" w:color="auto" w:sz="4" w:space="0"/>
              <w:right w:val="single" w:color="auto" w:sz="4" w:space="0"/>
            </w:tcBorders>
            <w:noWrap/>
            <w:vAlign w:val="center"/>
          </w:tcPr>
          <w:p w14:paraId="17E5B946">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337" w:type="dxa"/>
            <w:tcBorders>
              <w:top w:val="nil"/>
              <w:left w:val="nil"/>
              <w:bottom w:val="single" w:color="auto" w:sz="4" w:space="0"/>
              <w:right w:val="single" w:color="auto" w:sz="4" w:space="0"/>
            </w:tcBorders>
            <w:noWrap/>
            <w:vAlign w:val="center"/>
          </w:tcPr>
          <w:p w14:paraId="2434804B">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337" w:type="dxa"/>
            <w:tcBorders>
              <w:top w:val="nil"/>
              <w:left w:val="nil"/>
              <w:bottom w:val="single" w:color="auto" w:sz="4" w:space="0"/>
              <w:right w:val="single" w:color="auto" w:sz="4" w:space="0"/>
            </w:tcBorders>
            <w:noWrap/>
            <w:vAlign w:val="center"/>
          </w:tcPr>
          <w:p w14:paraId="1698EAAC">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2601" w:type="dxa"/>
            <w:tcBorders>
              <w:top w:val="nil"/>
              <w:left w:val="nil"/>
              <w:bottom w:val="single" w:color="auto" w:sz="4" w:space="0"/>
              <w:right w:val="single" w:color="auto" w:sz="4" w:space="0"/>
            </w:tcBorders>
            <w:noWrap/>
            <w:vAlign w:val="center"/>
          </w:tcPr>
          <w:p w14:paraId="289F84ED">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061" w:type="dxa"/>
            <w:vMerge w:val="continue"/>
            <w:tcBorders>
              <w:top w:val="nil"/>
              <w:left w:val="single" w:color="auto" w:sz="4" w:space="0"/>
              <w:bottom w:val="single" w:color="auto" w:sz="4" w:space="0"/>
              <w:right w:val="single" w:color="auto" w:sz="4" w:space="0"/>
            </w:tcBorders>
            <w:noWrap w:val="0"/>
            <w:vAlign w:val="center"/>
          </w:tcPr>
          <w:p w14:paraId="69AE38C9">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p>
        </w:tc>
      </w:tr>
      <w:tr w14:paraId="15739EB2">
        <w:tblPrEx>
          <w:tblCellMar>
            <w:top w:w="0" w:type="dxa"/>
            <w:left w:w="108" w:type="dxa"/>
            <w:bottom w:w="0" w:type="dxa"/>
            <w:right w:w="108" w:type="dxa"/>
          </w:tblCellMar>
        </w:tblPrEx>
        <w:trPr>
          <w:trHeight w:val="240" w:hRule="atLeast"/>
          <w:jc w:val="center"/>
        </w:trPr>
        <w:tc>
          <w:tcPr>
            <w:tcW w:w="1273" w:type="dxa"/>
            <w:vMerge w:val="continue"/>
            <w:tcBorders>
              <w:top w:val="nil"/>
              <w:left w:val="single" w:color="auto" w:sz="4" w:space="0"/>
              <w:bottom w:val="single" w:color="auto" w:sz="4" w:space="0"/>
              <w:right w:val="single" w:color="auto" w:sz="4" w:space="0"/>
            </w:tcBorders>
            <w:noWrap w:val="0"/>
            <w:vAlign w:val="center"/>
          </w:tcPr>
          <w:p w14:paraId="07451DA1">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p>
        </w:tc>
        <w:tc>
          <w:tcPr>
            <w:tcW w:w="1337" w:type="dxa"/>
            <w:tcBorders>
              <w:top w:val="nil"/>
              <w:left w:val="nil"/>
              <w:bottom w:val="single" w:color="auto" w:sz="4" w:space="0"/>
              <w:right w:val="single" w:color="auto" w:sz="4" w:space="0"/>
            </w:tcBorders>
            <w:noWrap/>
            <w:vAlign w:val="center"/>
          </w:tcPr>
          <w:p w14:paraId="22B61CEB">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337" w:type="dxa"/>
            <w:tcBorders>
              <w:top w:val="nil"/>
              <w:left w:val="nil"/>
              <w:bottom w:val="single" w:color="auto" w:sz="4" w:space="0"/>
              <w:right w:val="single" w:color="auto" w:sz="4" w:space="0"/>
            </w:tcBorders>
            <w:noWrap/>
            <w:vAlign w:val="center"/>
          </w:tcPr>
          <w:p w14:paraId="1E75B9F2">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337" w:type="dxa"/>
            <w:tcBorders>
              <w:top w:val="nil"/>
              <w:left w:val="nil"/>
              <w:bottom w:val="single" w:color="auto" w:sz="4" w:space="0"/>
              <w:right w:val="single" w:color="auto" w:sz="4" w:space="0"/>
            </w:tcBorders>
            <w:noWrap/>
            <w:vAlign w:val="center"/>
          </w:tcPr>
          <w:p w14:paraId="0F771C94">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2601" w:type="dxa"/>
            <w:tcBorders>
              <w:top w:val="nil"/>
              <w:left w:val="nil"/>
              <w:bottom w:val="single" w:color="auto" w:sz="4" w:space="0"/>
              <w:right w:val="single" w:color="auto" w:sz="4" w:space="0"/>
            </w:tcBorders>
            <w:noWrap/>
            <w:vAlign w:val="center"/>
          </w:tcPr>
          <w:p w14:paraId="39CF7D00">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061" w:type="dxa"/>
            <w:vMerge w:val="continue"/>
            <w:tcBorders>
              <w:top w:val="nil"/>
              <w:left w:val="single" w:color="auto" w:sz="4" w:space="0"/>
              <w:bottom w:val="single" w:color="auto" w:sz="4" w:space="0"/>
              <w:right w:val="single" w:color="auto" w:sz="4" w:space="0"/>
            </w:tcBorders>
            <w:noWrap w:val="0"/>
            <w:vAlign w:val="center"/>
          </w:tcPr>
          <w:p w14:paraId="0DE02EAD">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p>
        </w:tc>
      </w:tr>
      <w:tr w14:paraId="3ADABA55">
        <w:tblPrEx>
          <w:tblCellMar>
            <w:top w:w="0" w:type="dxa"/>
            <w:left w:w="108" w:type="dxa"/>
            <w:bottom w:w="0" w:type="dxa"/>
            <w:right w:w="108" w:type="dxa"/>
          </w:tblCellMar>
        </w:tblPrEx>
        <w:trPr>
          <w:trHeight w:val="535" w:hRule="atLeast"/>
          <w:jc w:val="center"/>
        </w:trPr>
        <w:tc>
          <w:tcPr>
            <w:tcW w:w="8946" w:type="dxa"/>
            <w:gridSpan w:val="6"/>
            <w:tcBorders>
              <w:top w:val="nil"/>
              <w:left w:val="single" w:color="auto" w:sz="4" w:space="0"/>
              <w:bottom w:val="single" w:color="auto" w:sz="4" w:space="0"/>
              <w:right w:val="single" w:color="auto" w:sz="4" w:space="0"/>
            </w:tcBorders>
            <w:noWrap/>
            <w:vAlign w:val="center"/>
          </w:tcPr>
          <w:p w14:paraId="694CF8A6">
            <w:pPr>
              <w:keepNext w:val="0"/>
              <w:keepLines w:val="0"/>
              <w:pageBreakBefore w:val="0"/>
              <w:kinsoku/>
              <w:wordWrap/>
              <w:overflowPunct/>
              <w:topLinePunct w:val="0"/>
              <w:autoSpaceDE/>
              <w:autoSpaceDN/>
              <w:bidi w:val="0"/>
              <w:adjustRightInd w:val="0"/>
              <w:spacing w:line="400" w:lineRule="exact"/>
              <w:ind w:firstLine="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r>
              <w:rPr>
                <w:rFonts w:hint="eastAsia" w:ascii="仿宋_GB2312" w:hAnsi="仿宋_GB2312" w:eastAsia="仿宋_GB2312" w:cs="仿宋_GB2312"/>
                <w:b w:val="0"/>
                <w:bCs/>
                <w:color w:val="auto"/>
                <w:sz w:val="24"/>
                <w:szCs w:val="24"/>
                <w:highlight w:val="none"/>
              </w:rPr>
              <w:t xml:space="preserve">观测：            </w:t>
            </w:r>
            <w:r>
              <w:rPr>
                <w:rFonts w:hint="eastAsia" w:ascii="仿宋_GB2312" w:hAnsi="仿宋_GB2312" w:eastAsia="仿宋_GB2312" w:cs="仿宋_GB2312"/>
                <w:b w:val="0"/>
                <w:bCs/>
                <w:color w:val="auto"/>
                <w:sz w:val="24"/>
                <w:szCs w:val="24"/>
                <w:highlight w:val="none"/>
                <w:lang w:val="en-US" w:eastAsia="zh-CN"/>
              </w:rPr>
              <w:t xml:space="preserve">       </w:t>
            </w:r>
            <w:r>
              <w:rPr>
                <w:rFonts w:hint="eastAsia" w:ascii="仿宋_GB2312" w:hAnsi="仿宋_GB2312" w:eastAsia="仿宋_GB2312" w:cs="仿宋_GB2312"/>
                <w:b w:val="0"/>
                <w:bCs/>
                <w:color w:val="auto"/>
                <w:sz w:val="24"/>
                <w:szCs w:val="24"/>
                <w:highlight w:val="none"/>
              </w:rPr>
              <w:t xml:space="preserve"> 计算：       </w:t>
            </w:r>
            <w:r>
              <w:rPr>
                <w:rFonts w:hint="eastAsia" w:ascii="仿宋_GB2312" w:hAnsi="仿宋_GB2312" w:eastAsia="仿宋_GB2312" w:cs="仿宋_GB2312"/>
                <w:b w:val="0"/>
                <w:bCs/>
                <w:color w:val="auto"/>
                <w:sz w:val="24"/>
                <w:szCs w:val="24"/>
                <w:highlight w:val="none"/>
                <w:lang w:val="en-US" w:eastAsia="zh-CN"/>
              </w:rPr>
              <w:t xml:space="preserve">         </w:t>
            </w:r>
            <w:r>
              <w:rPr>
                <w:rFonts w:hint="eastAsia" w:ascii="仿宋_GB2312" w:hAnsi="仿宋_GB2312" w:eastAsia="仿宋_GB2312" w:cs="仿宋_GB2312"/>
                <w:b w:val="0"/>
                <w:bCs/>
                <w:color w:val="auto"/>
                <w:sz w:val="24"/>
                <w:szCs w:val="24"/>
                <w:highlight w:val="none"/>
              </w:rPr>
              <w:t xml:space="preserve">     校核：</w:t>
            </w:r>
          </w:p>
        </w:tc>
      </w:tr>
    </w:tbl>
    <w:p w14:paraId="0AD6CE8D">
      <w:pPr>
        <w:pageBreakBefore w:val="0"/>
        <w:kinsoku/>
        <w:wordWrap/>
        <w:overflowPunct/>
        <w:topLinePunct w:val="0"/>
        <w:bidi w:val="0"/>
        <w:spacing w:line="400" w:lineRule="exact"/>
        <w:ind w:firstLine="2640" w:firstLineChars="1100"/>
        <w:jc w:val="both"/>
        <w:rPr>
          <w:rFonts w:hint="default" w:ascii="仿宋" w:hAnsi="仿宋" w:eastAsia="仿宋" w:cs="仿宋"/>
          <w:color w:val="auto"/>
          <w:sz w:val="24"/>
          <w:szCs w:val="24"/>
          <w:highlight w:val="none"/>
          <w:lang w:val="en-US" w:eastAsia="zh-CN"/>
        </w:rPr>
      </w:pPr>
    </w:p>
    <w:tbl>
      <w:tblPr>
        <w:tblStyle w:val="62"/>
        <w:tblW w:w="8941" w:type="dxa"/>
        <w:jc w:val="center"/>
        <w:tblLayout w:type="fixed"/>
        <w:tblCellMar>
          <w:top w:w="0" w:type="dxa"/>
          <w:left w:w="108" w:type="dxa"/>
          <w:bottom w:w="0" w:type="dxa"/>
          <w:right w:w="108" w:type="dxa"/>
        </w:tblCellMar>
      </w:tblPr>
      <w:tblGrid>
        <w:gridCol w:w="1064"/>
        <w:gridCol w:w="1109"/>
        <w:gridCol w:w="2164"/>
        <w:gridCol w:w="1838"/>
        <w:gridCol w:w="1500"/>
        <w:gridCol w:w="1266"/>
      </w:tblGrid>
      <w:tr w14:paraId="48011483">
        <w:tblPrEx>
          <w:tblCellMar>
            <w:top w:w="0" w:type="dxa"/>
            <w:left w:w="108" w:type="dxa"/>
            <w:bottom w:w="0" w:type="dxa"/>
            <w:right w:w="108" w:type="dxa"/>
          </w:tblCellMar>
        </w:tblPrEx>
        <w:trPr>
          <w:trHeight w:val="645" w:hRule="atLeast"/>
          <w:jc w:val="center"/>
        </w:trPr>
        <w:tc>
          <w:tcPr>
            <w:tcW w:w="8941" w:type="dxa"/>
            <w:gridSpan w:val="6"/>
            <w:tcBorders>
              <w:top w:val="single" w:color="auto" w:sz="4" w:space="0"/>
              <w:left w:val="single" w:color="auto" w:sz="4" w:space="0"/>
              <w:bottom w:val="single" w:color="auto" w:sz="4" w:space="0"/>
              <w:right w:val="single" w:color="auto" w:sz="4" w:space="0"/>
            </w:tcBorders>
            <w:noWrap/>
            <w:vAlign w:val="center"/>
          </w:tcPr>
          <w:p w14:paraId="295B276E">
            <w:pPr>
              <w:pStyle w:val="8"/>
              <w:keepNext w:val="0"/>
              <w:keepLines w:val="0"/>
              <w:pageBreakBefore w:val="0"/>
              <w:kinsoku/>
              <w:wordWrap/>
              <w:overflowPunct/>
              <w:topLinePunct w:val="0"/>
              <w:autoSpaceDE/>
              <w:autoSpaceDN/>
              <w:bidi w:val="0"/>
              <w:adjustRightInd w:val="0"/>
              <w:spacing w:line="400" w:lineRule="exact"/>
              <w:ind w:firstLine="0" w:firstLineChars="0"/>
              <w:jc w:val="center"/>
              <w:textAlignment w:val="auto"/>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大坝垂直位移观测记录表</w:t>
            </w:r>
          </w:p>
          <w:p w14:paraId="447093F5">
            <w:pPr>
              <w:pStyle w:val="9"/>
              <w:keepNext w:val="0"/>
              <w:keepLines w:val="0"/>
              <w:pageBreakBefore w:val="0"/>
              <w:kinsoku/>
              <w:wordWrap/>
              <w:overflowPunct/>
              <w:topLinePunct w:val="0"/>
              <w:autoSpaceDE/>
              <w:autoSpaceDN/>
              <w:bidi w:val="0"/>
              <w:spacing w:line="400" w:lineRule="exact"/>
              <w:textAlignment w:val="auto"/>
              <w:rPr>
                <w:rFonts w:hint="eastAsia" w:ascii="仿宋_GB2312" w:hAnsi="仿宋_GB2312" w:eastAsia="仿宋_GB2312" w:cs="仿宋_GB2312"/>
                <w:color w:val="auto"/>
                <w:sz w:val="24"/>
                <w:szCs w:val="24"/>
                <w:highlight w:val="none"/>
              </w:rPr>
            </w:pPr>
          </w:p>
          <w:p w14:paraId="7B427E46">
            <w:pPr>
              <w:keepNext w:val="0"/>
              <w:keepLines w:val="0"/>
              <w:pageBreakBefore w:val="0"/>
              <w:kinsoku/>
              <w:wordWrap/>
              <w:overflowPunct/>
              <w:topLinePunct w:val="0"/>
              <w:autoSpaceDE/>
              <w:autoSpaceDN/>
              <w:bidi w:val="0"/>
              <w:spacing w:line="400" w:lineRule="exact"/>
              <w:ind w:firstLine="482"/>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b/>
                <w:color w:val="auto"/>
                <w:sz w:val="24"/>
                <w:szCs w:val="24"/>
                <w:highlight w:val="none"/>
              </w:rPr>
              <w:t xml:space="preserve">  </w:t>
            </w:r>
            <w:r>
              <w:rPr>
                <w:rFonts w:hint="eastAsia" w:ascii="仿宋_GB2312" w:hAnsi="仿宋_GB2312" w:eastAsia="仿宋_GB2312" w:cs="仿宋_GB2312"/>
                <w:b w:val="0"/>
                <w:bCs/>
                <w:color w:val="auto"/>
                <w:sz w:val="24"/>
                <w:szCs w:val="24"/>
                <w:highlight w:val="none"/>
              </w:rPr>
              <w:t xml:space="preserve">  年    月    日    天气：     气温：     水位：    单位：米</w:t>
            </w:r>
          </w:p>
        </w:tc>
      </w:tr>
      <w:tr w14:paraId="69925E6E">
        <w:tblPrEx>
          <w:tblCellMar>
            <w:top w:w="0" w:type="dxa"/>
            <w:left w:w="108" w:type="dxa"/>
            <w:bottom w:w="0" w:type="dxa"/>
            <w:right w:w="108" w:type="dxa"/>
          </w:tblCellMar>
        </w:tblPrEx>
        <w:trPr>
          <w:trHeight w:val="545" w:hRule="atLeast"/>
          <w:jc w:val="center"/>
        </w:trPr>
        <w:tc>
          <w:tcPr>
            <w:tcW w:w="1064" w:type="dxa"/>
            <w:tcBorders>
              <w:top w:val="single" w:color="auto" w:sz="4" w:space="0"/>
              <w:left w:val="single" w:color="auto" w:sz="4" w:space="0"/>
              <w:bottom w:val="single" w:color="auto" w:sz="4" w:space="0"/>
              <w:right w:val="single" w:color="auto" w:sz="4" w:space="0"/>
            </w:tcBorders>
            <w:noWrap/>
            <w:vAlign w:val="center"/>
          </w:tcPr>
          <w:p w14:paraId="412B8E46">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测站</w:t>
            </w:r>
          </w:p>
        </w:tc>
        <w:tc>
          <w:tcPr>
            <w:tcW w:w="3273" w:type="dxa"/>
            <w:gridSpan w:val="2"/>
            <w:tcBorders>
              <w:top w:val="single" w:color="auto" w:sz="4" w:space="0"/>
              <w:left w:val="nil"/>
              <w:bottom w:val="single" w:color="auto" w:sz="4" w:space="0"/>
              <w:right w:val="single" w:color="000000" w:sz="4" w:space="0"/>
            </w:tcBorders>
            <w:noWrap/>
            <w:vAlign w:val="center"/>
          </w:tcPr>
          <w:p w14:paraId="54D26968">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测 点（立尺点）</w:t>
            </w:r>
          </w:p>
        </w:tc>
        <w:tc>
          <w:tcPr>
            <w:tcW w:w="1838" w:type="dxa"/>
            <w:tcBorders>
              <w:top w:val="single" w:color="auto" w:sz="4" w:space="0"/>
              <w:left w:val="nil"/>
              <w:bottom w:val="single" w:color="auto" w:sz="4" w:space="0"/>
              <w:right w:val="single" w:color="auto" w:sz="4" w:space="0"/>
            </w:tcBorders>
            <w:noWrap/>
            <w:vAlign w:val="center"/>
          </w:tcPr>
          <w:p w14:paraId="1329B198">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中丝读数(m)</w:t>
            </w:r>
          </w:p>
        </w:tc>
        <w:tc>
          <w:tcPr>
            <w:tcW w:w="1500" w:type="dxa"/>
            <w:tcBorders>
              <w:top w:val="single" w:color="auto" w:sz="4" w:space="0"/>
              <w:left w:val="nil"/>
              <w:bottom w:val="single" w:color="auto" w:sz="4" w:space="0"/>
              <w:right w:val="single" w:color="auto" w:sz="4" w:space="0"/>
            </w:tcBorders>
            <w:noWrap/>
            <w:vAlign w:val="center"/>
          </w:tcPr>
          <w:p w14:paraId="27B5BFB4">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每站高差</w:t>
            </w:r>
          </w:p>
        </w:tc>
        <w:tc>
          <w:tcPr>
            <w:tcW w:w="1266" w:type="dxa"/>
            <w:tcBorders>
              <w:top w:val="single" w:color="auto" w:sz="4" w:space="0"/>
              <w:left w:val="nil"/>
              <w:bottom w:val="nil"/>
              <w:right w:val="single" w:color="auto" w:sz="4" w:space="0"/>
            </w:tcBorders>
            <w:noWrap/>
            <w:vAlign w:val="center"/>
          </w:tcPr>
          <w:p w14:paraId="352E22DB">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高程</w:t>
            </w:r>
          </w:p>
        </w:tc>
      </w:tr>
      <w:tr w14:paraId="7D0B0F1C">
        <w:tblPrEx>
          <w:tblCellMar>
            <w:top w:w="0" w:type="dxa"/>
            <w:left w:w="108" w:type="dxa"/>
            <w:bottom w:w="0" w:type="dxa"/>
            <w:right w:w="108" w:type="dxa"/>
          </w:tblCellMar>
        </w:tblPrEx>
        <w:trPr>
          <w:trHeight w:val="360" w:hRule="atLeast"/>
          <w:jc w:val="center"/>
        </w:trPr>
        <w:tc>
          <w:tcPr>
            <w:tcW w:w="1064" w:type="dxa"/>
            <w:vMerge w:val="restart"/>
            <w:tcBorders>
              <w:top w:val="nil"/>
              <w:left w:val="single" w:color="auto" w:sz="4" w:space="0"/>
              <w:bottom w:val="single" w:color="000000" w:sz="4" w:space="0"/>
              <w:right w:val="single" w:color="auto" w:sz="4" w:space="0"/>
            </w:tcBorders>
            <w:noWrap/>
            <w:vAlign w:val="center"/>
          </w:tcPr>
          <w:p w14:paraId="11F5A288">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p>
        </w:tc>
        <w:tc>
          <w:tcPr>
            <w:tcW w:w="1109" w:type="dxa"/>
            <w:tcBorders>
              <w:top w:val="nil"/>
              <w:left w:val="nil"/>
              <w:bottom w:val="single" w:color="auto" w:sz="4" w:space="0"/>
              <w:right w:val="single" w:color="auto" w:sz="4" w:space="0"/>
            </w:tcBorders>
            <w:noWrap/>
            <w:vAlign w:val="center"/>
          </w:tcPr>
          <w:p w14:paraId="1FF2E6FA">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p>
        </w:tc>
        <w:tc>
          <w:tcPr>
            <w:tcW w:w="2164" w:type="dxa"/>
            <w:tcBorders>
              <w:top w:val="nil"/>
              <w:left w:val="nil"/>
              <w:bottom w:val="single" w:color="auto" w:sz="4" w:space="0"/>
              <w:right w:val="single" w:color="auto" w:sz="4" w:space="0"/>
            </w:tcBorders>
            <w:noWrap/>
            <w:vAlign w:val="center"/>
          </w:tcPr>
          <w:p w14:paraId="43BD826E">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p>
        </w:tc>
        <w:tc>
          <w:tcPr>
            <w:tcW w:w="1838" w:type="dxa"/>
            <w:tcBorders>
              <w:top w:val="nil"/>
              <w:left w:val="nil"/>
              <w:bottom w:val="single" w:color="auto" w:sz="4" w:space="0"/>
              <w:right w:val="single" w:color="auto" w:sz="4" w:space="0"/>
            </w:tcBorders>
            <w:noWrap/>
            <w:vAlign w:val="center"/>
          </w:tcPr>
          <w:p w14:paraId="083348EE">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500" w:type="dxa"/>
            <w:vMerge w:val="restart"/>
            <w:tcBorders>
              <w:top w:val="nil"/>
              <w:left w:val="single" w:color="auto" w:sz="4" w:space="0"/>
              <w:bottom w:val="single" w:color="000000" w:sz="4" w:space="0"/>
              <w:right w:val="single" w:color="auto" w:sz="4" w:space="0"/>
            </w:tcBorders>
            <w:noWrap/>
            <w:vAlign w:val="center"/>
          </w:tcPr>
          <w:p w14:paraId="55850330">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266" w:type="dxa"/>
            <w:tcBorders>
              <w:top w:val="single" w:color="auto" w:sz="4" w:space="0"/>
              <w:left w:val="nil"/>
              <w:bottom w:val="single" w:color="auto" w:sz="4" w:space="0"/>
              <w:right w:val="single" w:color="auto" w:sz="4" w:space="0"/>
            </w:tcBorders>
            <w:noWrap/>
            <w:vAlign w:val="center"/>
          </w:tcPr>
          <w:p w14:paraId="185BE44B">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r>
      <w:tr w14:paraId="2A804196">
        <w:tblPrEx>
          <w:tblCellMar>
            <w:top w:w="0" w:type="dxa"/>
            <w:left w:w="108" w:type="dxa"/>
            <w:bottom w:w="0" w:type="dxa"/>
            <w:right w:w="108" w:type="dxa"/>
          </w:tblCellMar>
        </w:tblPrEx>
        <w:trPr>
          <w:trHeight w:val="360" w:hRule="atLeast"/>
          <w:jc w:val="center"/>
        </w:trPr>
        <w:tc>
          <w:tcPr>
            <w:tcW w:w="1064" w:type="dxa"/>
            <w:vMerge w:val="continue"/>
            <w:tcBorders>
              <w:top w:val="nil"/>
              <w:left w:val="single" w:color="auto" w:sz="4" w:space="0"/>
              <w:bottom w:val="single" w:color="000000" w:sz="4" w:space="0"/>
              <w:right w:val="single" w:color="auto" w:sz="4" w:space="0"/>
            </w:tcBorders>
            <w:noWrap w:val="0"/>
            <w:vAlign w:val="center"/>
          </w:tcPr>
          <w:p w14:paraId="2DB843BB">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p>
        </w:tc>
        <w:tc>
          <w:tcPr>
            <w:tcW w:w="1109" w:type="dxa"/>
            <w:tcBorders>
              <w:top w:val="nil"/>
              <w:left w:val="nil"/>
              <w:bottom w:val="single" w:color="auto" w:sz="4" w:space="0"/>
              <w:right w:val="single" w:color="auto" w:sz="4" w:space="0"/>
            </w:tcBorders>
            <w:noWrap/>
            <w:vAlign w:val="center"/>
          </w:tcPr>
          <w:p w14:paraId="04CA6B76">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p>
        </w:tc>
        <w:tc>
          <w:tcPr>
            <w:tcW w:w="2164" w:type="dxa"/>
            <w:tcBorders>
              <w:top w:val="nil"/>
              <w:left w:val="nil"/>
              <w:bottom w:val="single" w:color="auto" w:sz="4" w:space="0"/>
              <w:right w:val="single" w:color="auto" w:sz="4" w:space="0"/>
            </w:tcBorders>
            <w:noWrap/>
            <w:vAlign w:val="center"/>
          </w:tcPr>
          <w:p w14:paraId="64D101DD">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p>
        </w:tc>
        <w:tc>
          <w:tcPr>
            <w:tcW w:w="1838" w:type="dxa"/>
            <w:tcBorders>
              <w:top w:val="nil"/>
              <w:left w:val="nil"/>
              <w:bottom w:val="single" w:color="auto" w:sz="4" w:space="0"/>
              <w:right w:val="single" w:color="auto" w:sz="4" w:space="0"/>
            </w:tcBorders>
            <w:noWrap/>
            <w:vAlign w:val="center"/>
          </w:tcPr>
          <w:p w14:paraId="2389153C">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500" w:type="dxa"/>
            <w:vMerge w:val="continue"/>
            <w:tcBorders>
              <w:top w:val="nil"/>
              <w:left w:val="single" w:color="auto" w:sz="4" w:space="0"/>
              <w:bottom w:val="single" w:color="000000" w:sz="4" w:space="0"/>
              <w:right w:val="single" w:color="auto" w:sz="4" w:space="0"/>
            </w:tcBorders>
            <w:noWrap w:val="0"/>
            <w:vAlign w:val="center"/>
          </w:tcPr>
          <w:p w14:paraId="75B0B040">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p>
        </w:tc>
        <w:tc>
          <w:tcPr>
            <w:tcW w:w="1266" w:type="dxa"/>
            <w:tcBorders>
              <w:top w:val="nil"/>
              <w:left w:val="nil"/>
              <w:bottom w:val="single" w:color="auto" w:sz="4" w:space="0"/>
              <w:right w:val="single" w:color="auto" w:sz="4" w:space="0"/>
            </w:tcBorders>
            <w:noWrap/>
            <w:vAlign w:val="center"/>
          </w:tcPr>
          <w:p w14:paraId="1CEDD0F8">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r>
      <w:tr w14:paraId="46299461">
        <w:tblPrEx>
          <w:tblCellMar>
            <w:top w:w="0" w:type="dxa"/>
            <w:left w:w="108" w:type="dxa"/>
            <w:bottom w:w="0" w:type="dxa"/>
            <w:right w:w="108" w:type="dxa"/>
          </w:tblCellMar>
        </w:tblPrEx>
        <w:trPr>
          <w:trHeight w:val="360" w:hRule="atLeast"/>
          <w:jc w:val="center"/>
        </w:trPr>
        <w:tc>
          <w:tcPr>
            <w:tcW w:w="1064" w:type="dxa"/>
            <w:vMerge w:val="restart"/>
            <w:tcBorders>
              <w:top w:val="nil"/>
              <w:left w:val="single" w:color="auto" w:sz="4" w:space="0"/>
              <w:bottom w:val="single" w:color="auto" w:sz="4" w:space="0"/>
              <w:right w:val="single" w:color="auto" w:sz="4" w:space="0"/>
            </w:tcBorders>
            <w:noWrap/>
            <w:vAlign w:val="center"/>
          </w:tcPr>
          <w:p w14:paraId="439261C9">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p>
        </w:tc>
        <w:tc>
          <w:tcPr>
            <w:tcW w:w="1109" w:type="dxa"/>
            <w:tcBorders>
              <w:top w:val="nil"/>
              <w:left w:val="nil"/>
              <w:bottom w:val="single" w:color="auto" w:sz="4" w:space="0"/>
              <w:right w:val="single" w:color="auto" w:sz="4" w:space="0"/>
            </w:tcBorders>
            <w:noWrap/>
            <w:vAlign w:val="center"/>
          </w:tcPr>
          <w:p w14:paraId="7A64B4FB">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p>
        </w:tc>
        <w:tc>
          <w:tcPr>
            <w:tcW w:w="2164" w:type="dxa"/>
            <w:tcBorders>
              <w:top w:val="nil"/>
              <w:left w:val="nil"/>
              <w:bottom w:val="single" w:color="auto" w:sz="4" w:space="0"/>
              <w:right w:val="single" w:color="auto" w:sz="4" w:space="0"/>
            </w:tcBorders>
            <w:noWrap/>
            <w:vAlign w:val="center"/>
          </w:tcPr>
          <w:p w14:paraId="7436F138">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p>
        </w:tc>
        <w:tc>
          <w:tcPr>
            <w:tcW w:w="1838" w:type="dxa"/>
            <w:tcBorders>
              <w:top w:val="nil"/>
              <w:left w:val="nil"/>
              <w:bottom w:val="single" w:color="auto" w:sz="4" w:space="0"/>
              <w:right w:val="single" w:color="auto" w:sz="4" w:space="0"/>
            </w:tcBorders>
            <w:noWrap/>
            <w:vAlign w:val="center"/>
          </w:tcPr>
          <w:p w14:paraId="67860402">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500" w:type="dxa"/>
            <w:vMerge w:val="restart"/>
            <w:tcBorders>
              <w:top w:val="nil"/>
              <w:left w:val="single" w:color="auto" w:sz="4" w:space="0"/>
              <w:bottom w:val="single" w:color="000000" w:sz="4" w:space="0"/>
              <w:right w:val="single" w:color="auto" w:sz="4" w:space="0"/>
            </w:tcBorders>
            <w:noWrap/>
            <w:vAlign w:val="center"/>
          </w:tcPr>
          <w:p w14:paraId="7B17805D">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266" w:type="dxa"/>
            <w:tcBorders>
              <w:top w:val="nil"/>
              <w:left w:val="nil"/>
              <w:bottom w:val="single" w:color="auto" w:sz="4" w:space="0"/>
              <w:right w:val="single" w:color="auto" w:sz="4" w:space="0"/>
            </w:tcBorders>
            <w:noWrap/>
            <w:vAlign w:val="center"/>
          </w:tcPr>
          <w:p w14:paraId="28FD31FC">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r>
      <w:tr w14:paraId="15595071">
        <w:tblPrEx>
          <w:tblCellMar>
            <w:top w:w="0" w:type="dxa"/>
            <w:left w:w="108" w:type="dxa"/>
            <w:bottom w:w="0" w:type="dxa"/>
            <w:right w:w="108" w:type="dxa"/>
          </w:tblCellMar>
        </w:tblPrEx>
        <w:trPr>
          <w:trHeight w:val="360" w:hRule="atLeast"/>
          <w:jc w:val="center"/>
        </w:trPr>
        <w:tc>
          <w:tcPr>
            <w:tcW w:w="1064" w:type="dxa"/>
            <w:vMerge w:val="continue"/>
            <w:tcBorders>
              <w:top w:val="nil"/>
              <w:left w:val="single" w:color="auto" w:sz="4" w:space="0"/>
              <w:bottom w:val="single" w:color="auto" w:sz="4" w:space="0"/>
              <w:right w:val="single" w:color="auto" w:sz="4" w:space="0"/>
            </w:tcBorders>
            <w:noWrap w:val="0"/>
            <w:vAlign w:val="center"/>
          </w:tcPr>
          <w:p w14:paraId="5A270A13">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p>
        </w:tc>
        <w:tc>
          <w:tcPr>
            <w:tcW w:w="1109" w:type="dxa"/>
            <w:tcBorders>
              <w:top w:val="nil"/>
              <w:left w:val="nil"/>
              <w:bottom w:val="single" w:color="auto" w:sz="4" w:space="0"/>
              <w:right w:val="single" w:color="auto" w:sz="4" w:space="0"/>
            </w:tcBorders>
            <w:noWrap/>
            <w:vAlign w:val="center"/>
          </w:tcPr>
          <w:p w14:paraId="3A5E0ECE">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p>
        </w:tc>
        <w:tc>
          <w:tcPr>
            <w:tcW w:w="2164" w:type="dxa"/>
            <w:tcBorders>
              <w:top w:val="nil"/>
              <w:left w:val="nil"/>
              <w:bottom w:val="single" w:color="auto" w:sz="4" w:space="0"/>
              <w:right w:val="single" w:color="auto" w:sz="4" w:space="0"/>
            </w:tcBorders>
            <w:noWrap/>
            <w:vAlign w:val="center"/>
          </w:tcPr>
          <w:p w14:paraId="1A4698F5">
            <w:pPr>
              <w:keepNext w:val="0"/>
              <w:keepLines w:val="0"/>
              <w:pageBreakBefore w:val="0"/>
              <w:widowControl/>
              <w:kinsoku/>
              <w:wordWrap/>
              <w:overflowPunct/>
              <w:topLinePunct w:val="0"/>
              <w:autoSpaceDE/>
              <w:autoSpaceDN/>
              <w:bidi w:val="0"/>
              <w:adjustRightInd/>
              <w:spacing w:line="400" w:lineRule="exact"/>
              <w:ind w:firstLine="0" w:firstLineChars="0"/>
              <w:jc w:val="center"/>
              <w:textAlignment w:val="auto"/>
              <w:rPr>
                <w:rFonts w:hint="eastAsia" w:ascii="仿宋_GB2312" w:hAnsi="仿宋_GB2312" w:eastAsia="仿宋_GB2312" w:cs="仿宋_GB2312"/>
                <w:snapToGrid/>
                <w:color w:val="auto"/>
                <w:sz w:val="24"/>
                <w:szCs w:val="24"/>
                <w:highlight w:val="none"/>
              </w:rPr>
            </w:pPr>
          </w:p>
        </w:tc>
        <w:tc>
          <w:tcPr>
            <w:tcW w:w="1838" w:type="dxa"/>
            <w:tcBorders>
              <w:top w:val="nil"/>
              <w:left w:val="nil"/>
              <w:bottom w:val="single" w:color="auto" w:sz="4" w:space="0"/>
              <w:right w:val="single" w:color="auto" w:sz="4" w:space="0"/>
            </w:tcBorders>
            <w:noWrap/>
            <w:vAlign w:val="center"/>
          </w:tcPr>
          <w:p w14:paraId="619ED4D8">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c>
          <w:tcPr>
            <w:tcW w:w="1500" w:type="dxa"/>
            <w:vMerge w:val="continue"/>
            <w:tcBorders>
              <w:top w:val="nil"/>
              <w:left w:val="single" w:color="auto" w:sz="4" w:space="0"/>
              <w:bottom w:val="single" w:color="000000" w:sz="4" w:space="0"/>
              <w:right w:val="single" w:color="auto" w:sz="4" w:space="0"/>
            </w:tcBorders>
            <w:noWrap w:val="0"/>
            <w:vAlign w:val="center"/>
          </w:tcPr>
          <w:p w14:paraId="25769245">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p>
        </w:tc>
        <w:tc>
          <w:tcPr>
            <w:tcW w:w="1266" w:type="dxa"/>
            <w:tcBorders>
              <w:top w:val="nil"/>
              <w:left w:val="nil"/>
              <w:bottom w:val="single" w:color="auto" w:sz="4" w:space="0"/>
              <w:right w:val="single" w:color="auto" w:sz="4" w:space="0"/>
            </w:tcBorders>
            <w:noWrap/>
            <w:vAlign w:val="center"/>
          </w:tcPr>
          <w:p w14:paraId="6F5D90E4">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p>
        </w:tc>
      </w:tr>
      <w:tr w14:paraId="637C3E45">
        <w:tblPrEx>
          <w:tblCellMar>
            <w:top w:w="0" w:type="dxa"/>
            <w:left w:w="108" w:type="dxa"/>
            <w:bottom w:w="0" w:type="dxa"/>
            <w:right w:w="108" w:type="dxa"/>
          </w:tblCellMar>
        </w:tblPrEx>
        <w:trPr>
          <w:trHeight w:val="528" w:hRule="atLeast"/>
          <w:jc w:val="center"/>
        </w:trPr>
        <w:tc>
          <w:tcPr>
            <w:tcW w:w="8941" w:type="dxa"/>
            <w:gridSpan w:val="6"/>
            <w:tcBorders>
              <w:top w:val="nil"/>
              <w:left w:val="single" w:color="auto" w:sz="4" w:space="0"/>
              <w:bottom w:val="single" w:color="auto" w:sz="4" w:space="0"/>
              <w:right w:val="single" w:color="auto" w:sz="4" w:space="0"/>
            </w:tcBorders>
            <w:noWrap/>
            <w:vAlign w:val="center"/>
          </w:tcPr>
          <w:p w14:paraId="2C3EE749">
            <w:pPr>
              <w:keepNext w:val="0"/>
              <w:keepLines w:val="0"/>
              <w:pageBreakBefore w:val="0"/>
              <w:widowControl/>
              <w:kinsoku/>
              <w:wordWrap/>
              <w:overflowPunct/>
              <w:topLinePunct w:val="0"/>
              <w:autoSpaceDE/>
              <w:autoSpaceDN/>
              <w:bidi w:val="0"/>
              <w:adjustRightInd/>
              <w:spacing w:line="400" w:lineRule="exact"/>
              <w:ind w:firstLine="0" w:firstLineChars="0"/>
              <w:jc w:val="left"/>
              <w:textAlignment w:val="auto"/>
              <w:rPr>
                <w:rFonts w:hint="eastAsia" w:ascii="仿宋_GB2312" w:hAnsi="仿宋_GB2312" w:eastAsia="仿宋_GB2312" w:cs="仿宋_GB2312"/>
                <w:snapToGrid/>
                <w:color w:val="auto"/>
                <w:sz w:val="24"/>
                <w:szCs w:val="24"/>
                <w:highlight w:val="none"/>
              </w:rPr>
            </w:pPr>
            <w:r>
              <w:rPr>
                <w:rFonts w:hint="eastAsia" w:ascii="仿宋_GB2312" w:hAnsi="仿宋_GB2312" w:eastAsia="仿宋_GB2312" w:cs="仿宋_GB2312"/>
                <w:snapToGrid/>
                <w:color w:val="auto"/>
                <w:sz w:val="24"/>
                <w:szCs w:val="24"/>
                <w:highlight w:val="none"/>
              </w:rPr>
              <w:t>　</w:t>
            </w:r>
            <w:r>
              <w:rPr>
                <w:rFonts w:hint="eastAsia" w:ascii="仿宋_GB2312" w:hAnsi="仿宋_GB2312" w:eastAsia="仿宋_GB2312" w:cs="仿宋_GB2312"/>
                <w:b w:val="0"/>
                <w:bCs/>
                <w:color w:val="auto"/>
                <w:sz w:val="24"/>
                <w:szCs w:val="24"/>
                <w:highlight w:val="none"/>
              </w:rPr>
              <w:t xml:space="preserve">观测：            </w:t>
            </w:r>
            <w:r>
              <w:rPr>
                <w:rFonts w:hint="eastAsia" w:ascii="仿宋_GB2312" w:hAnsi="仿宋_GB2312" w:eastAsia="仿宋_GB2312" w:cs="仿宋_GB2312"/>
                <w:b w:val="0"/>
                <w:bCs/>
                <w:color w:val="auto"/>
                <w:sz w:val="24"/>
                <w:szCs w:val="24"/>
                <w:highlight w:val="none"/>
                <w:lang w:val="en-US" w:eastAsia="zh-CN"/>
              </w:rPr>
              <w:t xml:space="preserve">       </w:t>
            </w:r>
            <w:r>
              <w:rPr>
                <w:rFonts w:hint="eastAsia" w:ascii="仿宋_GB2312" w:hAnsi="仿宋_GB2312" w:eastAsia="仿宋_GB2312" w:cs="仿宋_GB2312"/>
                <w:b w:val="0"/>
                <w:bCs/>
                <w:color w:val="auto"/>
                <w:sz w:val="24"/>
                <w:szCs w:val="24"/>
                <w:highlight w:val="none"/>
              </w:rPr>
              <w:t xml:space="preserve"> 计算：       </w:t>
            </w:r>
            <w:r>
              <w:rPr>
                <w:rFonts w:hint="eastAsia" w:ascii="仿宋_GB2312" w:hAnsi="仿宋_GB2312" w:eastAsia="仿宋_GB2312" w:cs="仿宋_GB2312"/>
                <w:b w:val="0"/>
                <w:bCs/>
                <w:color w:val="auto"/>
                <w:sz w:val="24"/>
                <w:szCs w:val="24"/>
                <w:highlight w:val="none"/>
                <w:lang w:val="en-US" w:eastAsia="zh-CN"/>
              </w:rPr>
              <w:t xml:space="preserve">         </w:t>
            </w:r>
            <w:r>
              <w:rPr>
                <w:rFonts w:hint="eastAsia" w:ascii="仿宋_GB2312" w:hAnsi="仿宋_GB2312" w:eastAsia="仿宋_GB2312" w:cs="仿宋_GB2312"/>
                <w:b w:val="0"/>
                <w:bCs/>
                <w:color w:val="auto"/>
                <w:sz w:val="24"/>
                <w:szCs w:val="24"/>
                <w:highlight w:val="none"/>
              </w:rPr>
              <w:t xml:space="preserve">     校核：</w:t>
            </w:r>
          </w:p>
        </w:tc>
      </w:tr>
    </w:tbl>
    <w:p w14:paraId="3764B5B5">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（2）资料电子化</w:t>
      </w:r>
    </w:p>
    <w:p w14:paraId="47C99F93">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资料电子化管理就是通过电脑将每页资料扫描成图像文件进行保存，将资料数字化，借助运行管理系统，实现传统的纸张调阅向计算机查阅转变。</w:t>
      </w:r>
    </w:p>
    <w:p w14:paraId="1D1DCF9C">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（3）档案移交</w:t>
      </w:r>
    </w:p>
    <w:p w14:paraId="39945092">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料整编完成后，维养单位项目负责人对全部资料进行审核，审核完成，确认资料具备归档条件（原则上一年一次），资料人员根据管理单位操作手册要求制定档案移交清单，经管理单位审核签字后，移交管理单位档案室归档管理。</w:t>
      </w:r>
    </w:p>
    <w:p w14:paraId="0475A799">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六</w:t>
      </w:r>
      <w:r>
        <w:rPr>
          <w:rFonts w:hint="eastAsia" w:ascii="仿宋" w:hAnsi="仿宋" w:eastAsia="仿宋" w:cs="仿宋"/>
          <w:color w:val="auto"/>
          <w:sz w:val="24"/>
          <w:szCs w:val="24"/>
          <w:highlight w:val="none"/>
        </w:rPr>
        <w:t>）、教育培训</w:t>
      </w:r>
    </w:p>
    <w:p w14:paraId="04D6178E">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物业化单位对其上岗人员每年组织一次培训，使其掌握标准职责；配合协助各乡镇（街道）每年组织一次“三个责任人”履职培训、完成 “三预”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预警、预演、预案</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推演，使其掌握标准职责。</w:t>
      </w:r>
    </w:p>
    <w:p w14:paraId="69ED9676">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七</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数字化支撑</w:t>
      </w:r>
    </w:p>
    <w:p w14:paraId="5450D443">
      <w:pPr>
        <w:pageBreakBefore w:val="0"/>
        <w:kinsoku/>
        <w:wordWrap/>
        <w:overflowPunct/>
        <w:topLinePunct w:val="0"/>
        <w:bidi w:val="0"/>
        <w:spacing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配合协助完成水库各类平台，包括水利部、水利厅及</w:t>
      </w:r>
      <w:r>
        <w:rPr>
          <w:rFonts w:hint="eastAsia" w:ascii="仿宋" w:hAnsi="仿宋" w:eastAsia="仿宋" w:cs="仿宋"/>
          <w:color w:val="auto"/>
          <w:sz w:val="24"/>
          <w:szCs w:val="24"/>
          <w:highlight w:val="none"/>
          <w:lang w:val="en-US" w:eastAsia="zh-CN"/>
        </w:rPr>
        <w:t>市</w:t>
      </w:r>
      <w:r>
        <w:rPr>
          <w:rFonts w:hint="eastAsia" w:ascii="仿宋" w:hAnsi="仿宋" w:eastAsia="仿宋" w:cs="仿宋"/>
          <w:color w:val="auto"/>
          <w:sz w:val="24"/>
          <w:szCs w:val="24"/>
          <w:highlight w:val="none"/>
        </w:rPr>
        <w:t>级水库运行管理平台</w:t>
      </w:r>
      <w:r>
        <w:rPr>
          <w:rFonts w:hint="eastAsia" w:ascii="仿宋" w:hAnsi="仿宋" w:eastAsia="仿宋" w:cs="仿宋"/>
          <w:color w:val="auto"/>
          <w:sz w:val="24"/>
          <w:szCs w:val="24"/>
          <w:highlight w:val="none"/>
          <w:lang w:eastAsia="zh-CN"/>
        </w:rPr>
        <w:t>（https://sgpt.zjwater.com/#/qrLogin、http://http://sk.mwr.cn/ygweb/#/login?redirect=%2Fidentify%2Flist、bzh.zjdyit.com/Account/Login）</w:t>
      </w:r>
      <w:r>
        <w:rPr>
          <w:rFonts w:hint="eastAsia" w:ascii="仿宋" w:hAnsi="仿宋" w:eastAsia="仿宋" w:cs="仿宋"/>
          <w:color w:val="auto"/>
          <w:sz w:val="24"/>
          <w:szCs w:val="24"/>
          <w:highlight w:val="none"/>
        </w:rPr>
        <w:t>，确保数据实时更新</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完善，按上级要求及时上传；协助各乡镇（街道）做好巡查app的监管，汛期以星期为单位，非汛期以月为单位对水库巡查员巡查频次统计向各乡镇（街道）反馈，以此来督促巡查员按运行规程要求巡查。</w:t>
      </w:r>
    </w:p>
    <w:p w14:paraId="05F6FCA3">
      <w:pPr>
        <w:keepNext w:val="0"/>
        <w:keepLines w:val="0"/>
        <w:pageBreakBefore w:val="0"/>
        <w:widowControl w:val="0"/>
        <w:kinsoku/>
        <w:wordWrap/>
        <w:overflowPunct/>
        <w:topLinePunct w:val="0"/>
        <w:autoSpaceDE/>
        <w:autoSpaceDN/>
        <w:bidi w:val="0"/>
        <w:adjustRightInd w:val="0"/>
        <w:snapToGrid/>
        <w:spacing w:line="400" w:lineRule="exact"/>
        <w:ind w:firstLine="482" w:firstLineChars="200"/>
        <w:textAlignment w:val="auto"/>
        <w:outlineLvl w:val="1"/>
        <w:rPr>
          <w:rFonts w:hint="eastAsia" w:ascii="仿宋" w:hAnsi="仿宋" w:eastAsia="仿宋" w:cs="仿宋"/>
          <w:b/>
          <w:bCs/>
          <w:color w:val="auto"/>
          <w:sz w:val="24"/>
          <w:szCs w:val="24"/>
          <w:highlight w:val="none"/>
        </w:rPr>
      </w:pPr>
      <w:bookmarkStart w:id="78" w:name="_Toc20911"/>
      <w:bookmarkStart w:id="79" w:name="_Toc15364"/>
      <w:r>
        <w:rPr>
          <w:rFonts w:hint="eastAsia" w:ascii="仿宋" w:hAnsi="仿宋" w:eastAsia="仿宋" w:cs="仿宋"/>
          <w:b/>
          <w:bCs/>
          <w:color w:val="auto"/>
          <w:sz w:val="24"/>
          <w:szCs w:val="24"/>
          <w:highlight w:val="none"/>
          <w:lang w:val="en-US" w:eastAsia="zh-CN"/>
        </w:rPr>
        <w:t>二</w:t>
      </w:r>
      <w:r>
        <w:rPr>
          <w:rFonts w:hint="eastAsia" w:ascii="仿宋" w:hAnsi="仿宋" w:eastAsia="仿宋" w:cs="仿宋"/>
          <w:b/>
          <w:bCs/>
          <w:color w:val="auto"/>
          <w:sz w:val="24"/>
          <w:szCs w:val="24"/>
          <w:highlight w:val="none"/>
        </w:rPr>
        <w:t>、人员设备配备</w:t>
      </w:r>
      <w:bookmarkEnd w:id="78"/>
      <w:bookmarkEnd w:id="79"/>
      <w:r>
        <w:rPr>
          <w:rFonts w:hint="eastAsia" w:ascii="仿宋" w:hAnsi="仿宋" w:eastAsia="仿宋" w:cs="仿宋"/>
          <w:b/>
          <w:bCs/>
          <w:color w:val="auto"/>
          <w:sz w:val="24"/>
          <w:szCs w:val="24"/>
          <w:highlight w:val="none"/>
        </w:rPr>
        <w:t>要求</w:t>
      </w:r>
    </w:p>
    <w:p w14:paraId="3F3A6924">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1.人员要求：</w:t>
      </w:r>
    </w:p>
    <w:tbl>
      <w:tblPr>
        <w:tblStyle w:val="62"/>
        <w:tblW w:w="8230" w:type="dxa"/>
        <w:tblInd w:w="1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5"/>
        <w:gridCol w:w="3066"/>
        <w:gridCol w:w="1091"/>
        <w:gridCol w:w="3228"/>
      </w:tblGrid>
      <w:tr w14:paraId="2D729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5" w:type="dxa"/>
            <w:noWrap w:val="0"/>
            <w:vAlign w:val="center"/>
          </w:tcPr>
          <w:p w14:paraId="2AF3284E">
            <w:pPr>
              <w:pageBreakBefore w:val="0"/>
              <w:kinsoku/>
              <w:wordWrap/>
              <w:overflowPunct/>
              <w:topLinePunct w:val="0"/>
              <w:bidi w:val="0"/>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066" w:type="dxa"/>
            <w:noWrap w:val="0"/>
            <w:vAlign w:val="center"/>
          </w:tcPr>
          <w:p w14:paraId="1E213AC4">
            <w:pPr>
              <w:pageBreakBefore w:val="0"/>
              <w:kinsoku/>
              <w:wordWrap/>
              <w:overflowPunct/>
              <w:topLinePunct w:val="0"/>
              <w:bidi w:val="0"/>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人员种类</w:t>
            </w:r>
          </w:p>
        </w:tc>
        <w:tc>
          <w:tcPr>
            <w:tcW w:w="1091" w:type="dxa"/>
            <w:noWrap w:val="0"/>
            <w:vAlign w:val="center"/>
          </w:tcPr>
          <w:p w14:paraId="6242B0A3">
            <w:pPr>
              <w:pageBreakBefore w:val="0"/>
              <w:kinsoku/>
              <w:wordWrap/>
              <w:overflowPunct/>
              <w:topLinePunct w:val="0"/>
              <w:bidi w:val="0"/>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人数</w:t>
            </w:r>
          </w:p>
        </w:tc>
        <w:tc>
          <w:tcPr>
            <w:tcW w:w="3228" w:type="dxa"/>
            <w:noWrap w:val="0"/>
            <w:vAlign w:val="center"/>
          </w:tcPr>
          <w:p w14:paraId="1D5FDE64">
            <w:pPr>
              <w:pageBreakBefore w:val="0"/>
              <w:kinsoku/>
              <w:wordWrap/>
              <w:overflowPunct/>
              <w:topLinePunct w:val="0"/>
              <w:bidi w:val="0"/>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3DE20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5" w:type="dxa"/>
            <w:noWrap w:val="0"/>
            <w:vAlign w:val="center"/>
          </w:tcPr>
          <w:p w14:paraId="4C2F9DD3">
            <w:pPr>
              <w:pageBreakBefore w:val="0"/>
              <w:kinsoku/>
              <w:wordWrap/>
              <w:overflowPunct/>
              <w:topLinePunct w:val="0"/>
              <w:bidi w:val="0"/>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3066" w:type="dxa"/>
            <w:noWrap w:val="0"/>
            <w:vAlign w:val="center"/>
          </w:tcPr>
          <w:p w14:paraId="2053693E">
            <w:pPr>
              <w:pageBreakBefore w:val="0"/>
              <w:kinsoku/>
              <w:wordWrap/>
              <w:overflowPunct/>
              <w:topLinePunct w:val="0"/>
              <w:bidi w:val="0"/>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项目负责人</w:t>
            </w:r>
          </w:p>
        </w:tc>
        <w:tc>
          <w:tcPr>
            <w:tcW w:w="1091" w:type="dxa"/>
            <w:noWrap w:val="0"/>
            <w:vAlign w:val="center"/>
          </w:tcPr>
          <w:p w14:paraId="14424148">
            <w:pPr>
              <w:pageBreakBefore w:val="0"/>
              <w:kinsoku/>
              <w:wordWrap/>
              <w:overflowPunct/>
              <w:topLinePunct w:val="0"/>
              <w:bidi w:val="0"/>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3228" w:type="dxa"/>
            <w:noWrap w:val="0"/>
            <w:vAlign w:val="center"/>
          </w:tcPr>
          <w:p w14:paraId="35145E52">
            <w:pPr>
              <w:pageBreakBefore w:val="0"/>
              <w:kinsoku/>
              <w:wordWrap/>
              <w:overflowPunct/>
              <w:topLinePunct w:val="0"/>
              <w:bidi w:val="0"/>
              <w:spacing w:before="0" w:beforeAutospacing="0" w:after="0" w:afterAutospacing="0" w:line="400" w:lineRule="exact"/>
              <w:ind w:left="0" w:right="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常驻嵊州市</w:t>
            </w:r>
          </w:p>
        </w:tc>
      </w:tr>
      <w:tr w14:paraId="7EF53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5" w:type="dxa"/>
            <w:noWrap w:val="0"/>
            <w:vAlign w:val="center"/>
          </w:tcPr>
          <w:p w14:paraId="744D3FFE">
            <w:pPr>
              <w:pageBreakBefore w:val="0"/>
              <w:kinsoku/>
              <w:wordWrap/>
              <w:overflowPunct/>
              <w:topLinePunct w:val="0"/>
              <w:bidi w:val="0"/>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3066" w:type="dxa"/>
            <w:noWrap w:val="0"/>
            <w:vAlign w:val="center"/>
          </w:tcPr>
          <w:p w14:paraId="41A32381">
            <w:pPr>
              <w:pageBreakBefore w:val="0"/>
              <w:kinsoku/>
              <w:wordWrap/>
              <w:overflowPunct/>
              <w:topLinePunct w:val="0"/>
              <w:bidi w:val="0"/>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技术负责人</w:t>
            </w:r>
          </w:p>
        </w:tc>
        <w:tc>
          <w:tcPr>
            <w:tcW w:w="1091" w:type="dxa"/>
            <w:noWrap w:val="0"/>
            <w:vAlign w:val="center"/>
          </w:tcPr>
          <w:p w14:paraId="221819F3">
            <w:pPr>
              <w:pageBreakBefore w:val="0"/>
              <w:kinsoku/>
              <w:wordWrap/>
              <w:overflowPunct/>
              <w:topLinePunct w:val="0"/>
              <w:bidi w:val="0"/>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3228" w:type="dxa"/>
            <w:noWrap w:val="0"/>
            <w:vAlign w:val="center"/>
          </w:tcPr>
          <w:p w14:paraId="0A334020">
            <w:pPr>
              <w:pageBreakBefore w:val="0"/>
              <w:kinsoku/>
              <w:wordWrap/>
              <w:overflowPunct/>
              <w:topLinePunct w:val="0"/>
              <w:bidi w:val="0"/>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常驻嵊州市</w:t>
            </w:r>
          </w:p>
        </w:tc>
      </w:tr>
      <w:tr w14:paraId="530FA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5" w:type="dxa"/>
            <w:noWrap w:val="0"/>
            <w:vAlign w:val="center"/>
          </w:tcPr>
          <w:p w14:paraId="4C4A4A5D">
            <w:pPr>
              <w:pageBreakBefore w:val="0"/>
              <w:kinsoku/>
              <w:wordWrap/>
              <w:overflowPunct/>
              <w:topLinePunct w:val="0"/>
              <w:bidi w:val="0"/>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3066" w:type="dxa"/>
            <w:noWrap w:val="0"/>
            <w:vAlign w:val="center"/>
          </w:tcPr>
          <w:p w14:paraId="3ACA5B6D">
            <w:pPr>
              <w:pageBreakBefore w:val="0"/>
              <w:kinsoku/>
              <w:wordWrap/>
              <w:overflowPunct/>
              <w:topLinePunct w:val="0"/>
              <w:bidi w:val="0"/>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资料员</w:t>
            </w:r>
          </w:p>
        </w:tc>
        <w:tc>
          <w:tcPr>
            <w:tcW w:w="1091" w:type="dxa"/>
            <w:noWrap w:val="0"/>
            <w:vAlign w:val="center"/>
          </w:tcPr>
          <w:p w14:paraId="7B71F71C">
            <w:pPr>
              <w:pageBreakBefore w:val="0"/>
              <w:kinsoku/>
              <w:wordWrap/>
              <w:overflowPunct/>
              <w:topLinePunct w:val="0"/>
              <w:bidi w:val="0"/>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3228" w:type="dxa"/>
            <w:noWrap w:val="0"/>
            <w:vAlign w:val="center"/>
          </w:tcPr>
          <w:p w14:paraId="67A3D4F0">
            <w:pPr>
              <w:pageBreakBefore w:val="0"/>
              <w:kinsoku/>
              <w:wordWrap/>
              <w:overflowPunct/>
              <w:topLinePunct w:val="0"/>
              <w:bidi w:val="0"/>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常驻嵊州市</w:t>
            </w:r>
          </w:p>
        </w:tc>
      </w:tr>
      <w:tr w14:paraId="65654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5" w:type="dxa"/>
            <w:noWrap w:val="0"/>
            <w:vAlign w:val="center"/>
          </w:tcPr>
          <w:p w14:paraId="2765D9FB">
            <w:pPr>
              <w:pageBreakBefore w:val="0"/>
              <w:kinsoku/>
              <w:wordWrap/>
              <w:overflowPunct/>
              <w:topLinePunct w:val="0"/>
              <w:bidi w:val="0"/>
              <w:spacing w:before="0" w:beforeAutospacing="0" w:after="0" w:afterAutospacing="0" w:line="400" w:lineRule="exact"/>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3066" w:type="dxa"/>
            <w:noWrap w:val="0"/>
            <w:vAlign w:val="center"/>
          </w:tcPr>
          <w:p w14:paraId="581175FF">
            <w:pPr>
              <w:pageBreakBefore w:val="0"/>
              <w:kinsoku/>
              <w:wordWrap/>
              <w:overflowPunct/>
              <w:topLinePunct w:val="0"/>
              <w:bidi w:val="0"/>
              <w:spacing w:before="0" w:beforeAutospacing="0" w:after="0" w:afterAutospacing="0" w:line="400" w:lineRule="exact"/>
              <w:ind w:left="0" w:right="0"/>
              <w:jc w:val="center"/>
              <w:rPr>
                <w:rFonts w:hint="eastAsia" w:ascii="仿宋" w:hAnsi="仿宋" w:eastAsia="宋体" w:cs="仿宋"/>
                <w:color w:val="auto"/>
                <w:sz w:val="24"/>
                <w:szCs w:val="24"/>
                <w:highlight w:val="none"/>
                <w:lang w:eastAsia="zh-CN"/>
              </w:rPr>
            </w:pPr>
            <w:r>
              <w:rPr>
                <w:rFonts w:hint="eastAsia" w:ascii="仿宋" w:hAnsi="仿宋" w:eastAsia="仿宋" w:cs="仿宋"/>
                <w:color w:val="auto"/>
                <w:sz w:val="24"/>
                <w:szCs w:val="24"/>
                <w:highlight w:val="none"/>
              </w:rPr>
              <w:t>维养</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保洁</w:t>
            </w:r>
            <w:r>
              <w:rPr>
                <w:rFonts w:hint="eastAsia" w:ascii="仿宋" w:hAnsi="仿宋" w:eastAsia="仿宋" w:cs="仿宋"/>
                <w:color w:val="auto"/>
                <w:sz w:val="24"/>
                <w:highlight w:val="none"/>
                <w:lang w:eastAsia="zh-CN"/>
              </w:rPr>
              <w:t>）</w:t>
            </w:r>
            <w:r>
              <w:rPr>
                <w:rFonts w:hint="eastAsia" w:ascii="仿宋" w:hAnsi="仿宋" w:eastAsia="仿宋" w:cs="仿宋"/>
                <w:color w:val="auto"/>
                <w:sz w:val="24"/>
                <w:szCs w:val="24"/>
                <w:highlight w:val="none"/>
              </w:rPr>
              <w:t>人员</w:t>
            </w:r>
          </w:p>
        </w:tc>
        <w:tc>
          <w:tcPr>
            <w:tcW w:w="1091" w:type="dxa"/>
            <w:noWrap w:val="0"/>
            <w:vAlign w:val="center"/>
          </w:tcPr>
          <w:p w14:paraId="198B4537">
            <w:pPr>
              <w:pageBreakBefore w:val="0"/>
              <w:kinsoku/>
              <w:wordWrap/>
              <w:overflowPunct/>
              <w:topLinePunct w:val="0"/>
              <w:bidi w:val="0"/>
              <w:spacing w:before="0" w:beforeAutospacing="0" w:after="0" w:afterAutospacing="0" w:line="400" w:lineRule="exact"/>
              <w:ind w:left="0" w:right="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p>
        </w:tc>
        <w:tc>
          <w:tcPr>
            <w:tcW w:w="3228" w:type="dxa"/>
            <w:noWrap w:val="0"/>
            <w:vAlign w:val="center"/>
          </w:tcPr>
          <w:p w14:paraId="0DC86D56">
            <w:pPr>
              <w:pageBreakBefore w:val="0"/>
              <w:kinsoku/>
              <w:wordWrap/>
              <w:overflowPunct/>
              <w:topLinePunct w:val="0"/>
              <w:bidi w:val="0"/>
              <w:spacing w:before="0" w:beforeAutospacing="0" w:after="0" w:afterAutospacing="0" w:line="400" w:lineRule="exact"/>
              <w:ind w:left="0" w:right="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崇仁镇常驻不少于4人，黄泽镇常驻不少于2人</w:t>
            </w:r>
          </w:p>
        </w:tc>
      </w:tr>
      <w:tr w14:paraId="19833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5" w:type="dxa"/>
            <w:noWrap w:val="0"/>
            <w:vAlign w:val="center"/>
          </w:tcPr>
          <w:p w14:paraId="3B7945A4">
            <w:pPr>
              <w:pageBreakBefore w:val="0"/>
              <w:kinsoku/>
              <w:wordWrap/>
              <w:overflowPunct/>
              <w:topLinePunct w:val="0"/>
              <w:bidi w:val="0"/>
              <w:spacing w:before="0" w:beforeAutospacing="0" w:after="0" w:afterAutospacing="0" w:line="400" w:lineRule="exact"/>
              <w:ind w:left="0" w:leftChars="0" w:right="0" w:right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p>
        </w:tc>
        <w:tc>
          <w:tcPr>
            <w:tcW w:w="3066" w:type="dxa"/>
            <w:noWrap w:val="0"/>
            <w:vAlign w:val="center"/>
          </w:tcPr>
          <w:p w14:paraId="50777D4D">
            <w:pPr>
              <w:pageBreakBefore w:val="0"/>
              <w:kinsoku/>
              <w:wordWrap/>
              <w:overflowPunct/>
              <w:topLinePunct w:val="0"/>
              <w:bidi w:val="0"/>
              <w:spacing w:before="0" w:beforeAutospacing="0" w:after="0" w:afterAutospacing="0" w:line="400" w:lineRule="exact"/>
              <w:ind w:left="0" w:leftChars="0" w:right="0" w:right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安全监测人员</w:t>
            </w:r>
          </w:p>
        </w:tc>
        <w:tc>
          <w:tcPr>
            <w:tcW w:w="1091" w:type="dxa"/>
            <w:noWrap w:val="0"/>
            <w:vAlign w:val="center"/>
          </w:tcPr>
          <w:p w14:paraId="205B9484">
            <w:pPr>
              <w:pageBreakBefore w:val="0"/>
              <w:kinsoku/>
              <w:wordWrap/>
              <w:overflowPunct/>
              <w:topLinePunct w:val="0"/>
              <w:bidi w:val="0"/>
              <w:spacing w:before="0" w:beforeAutospacing="0" w:after="0" w:afterAutospacing="0" w:line="400" w:lineRule="exact"/>
              <w:ind w:left="0" w:leftChars="0" w:right="0" w:right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p>
        </w:tc>
        <w:tc>
          <w:tcPr>
            <w:tcW w:w="3228" w:type="dxa"/>
            <w:noWrap w:val="0"/>
            <w:vAlign w:val="center"/>
          </w:tcPr>
          <w:p w14:paraId="0E3C2184">
            <w:pPr>
              <w:pageBreakBefore w:val="0"/>
              <w:kinsoku/>
              <w:wordWrap/>
              <w:overflowPunct/>
              <w:topLinePunct w:val="0"/>
              <w:bidi w:val="0"/>
              <w:spacing w:before="0" w:beforeAutospacing="0" w:after="0" w:afterAutospacing="0" w:line="400" w:lineRule="exact"/>
              <w:ind w:left="0" w:right="0"/>
              <w:jc w:val="center"/>
              <w:rPr>
                <w:rFonts w:hint="eastAsia" w:ascii="仿宋" w:hAnsi="仿宋" w:eastAsia="仿宋" w:cs="仿宋"/>
                <w:color w:val="auto"/>
                <w:sz w:val="24"/>
                <w:szCs w:val="24"/>
                <w:highlight w:val="none"/>
              </w:rPr>
            </w:pPr>
          </w:p>
        </w:tc>
      </w:tr>
    </w:tbl>
    <w:p w14:paraId="1A0D436D">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注：</w:t>
      </w:r>
      <w:r>
        <w:rPr>
          <w:rFonts w:hint="eastAsia" w:ascii="仿宋" w:hAnsi="仿宋" w:eastAsia="仿宋" w:cs="仿宋"/>
          <w:color w:val="auto"/>
          <w:sz w:val="24"/>
          <w:szCs w:val="24"/>
          <w:highlight w:val="none"/>
        </w:rPr>
        <w:t>服务期限内，项目负责人</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技术负责人每月驻现场的天数不少于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20</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天，每少一天支付违约金</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500</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上述违约金在当期结算款中直接扣除，连续2个月及以上每月驻现场的天数少于15天，甲方有权解除合同，驻现场天数按甲方考勤记录为准。项目负责人、技术负责人及物业骨干人员不得擅自更换，确需更换的，应征得甲方的同意，且更换后的人员不得低于原投标承诺人员所具有的资格和业绩条件。</w:t>
      </w:r>
    </w:p>
    <w:p w14:paraId="48159F39">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2.设备要求：</w:t>
      </w:r>
    </w:p>
    <w:p w14:paraId="03879851">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应配备足够的满足服务所需设备设施，如电脑、打印机、车辆</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其他清扫用具若干等。</w:t>
      </w:r>
    </w:p>
    <w:p w14:paraId="2D658538">
      <w:pPr>
        <w:keepNext w:val="0"/>
        <w:keepLines w:val="0"/>
        <w:pageBreakBefore w:val="0"/>
        <w:widowControl w:val="0"/>
        <w:kinsoku/>
        <w:wordWrap/>
        <w:overflowPunct/>
        <w:topLinePunct w:val="0"/>
        <w:autoSpaceDE/>
        <w:autoSpaceDN/>
        <w:bidi w:val="0"/>
        <w:adjustRightInd w:val="0"/>
        <w:snapToGrid/>
        <w:spacing w:line="400" w:lineRule="exact"/>
        <w:ind w:firstLine="482" w:firstLineChars="200"/>
        <w:textAlignment w:val="auto"/>
        <w:outlineLvl w:val="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三</w:t>
      </w:r>
      <w:r>
        <w:rPr>
          <w:rFonts w:hint="eastAsia" w:ascii="仿宋" w:hAnsi="仿宋" w:eastAsia="仿宋" w:cs="仿宋"/>
          <w:b/>
          <w:bCs/>
          <w:color w:val="auto"/>
          <w:sz w:val="24"/>
          <w:szCs w:val="24"/>
          <w:highlight w:val="none"/>
        </w:rPr>
        <w:t>、监督考核</w:t>
      </w:r>
    </w:p>
    <w:p w14:paraId="7B4E9836">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为切实加强小型水库安全运行管理，保持管理工作的制度化、规范化、标准化目标，确保工程规范、高效、安全运行，根据《浙江省小型水库运行管理规程》、《浙江省运行管理规程》，结合我</w:t>
      </w:r>
      <w:r>
        <w:rPr>
          <w:rFonts w:hint="eastAsia" w:ascii="仿宋" w:hAnsi="仿宋" w:eastAsia="仿宋" w:cs="仿宋"/>
          <w:color w:val="auto"/>
          <w:sz w:val="24"/>
          <w:szCs w:val="24"/>
          <w:highlight w:val="none"/>
          <w:lang w:val="en-US" w:eastAsia="zh-CN"/>
        </w:rPr>
        <w:t>市</w:t>
      </w:r>
      <w:r>
        <w:rPr>
          <w:rFonts w:hint="eastAsia" w:ascii="仿宋" w:hAnsi="仿宋" w:eastAsia="仿宋" w:cs="仿宋"/>
          <w:color w:val="auto"/>
          <w:sz w:val="24"/>
          <w:szCs w:val="24"/>
          <w:highlight w:val="none"/>
        </w:rPr>
        <w:t>工程管理实际，制定以下考核办法，对成交供应商提供的服务进行考核。</w:t>
      </w:r>
    </w:p>
    <w:p w14:paraId="3B765792">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（1）考核方法</w:t>
      </w:r>
    </w:p>
    <w:p w14:paraId="65C25DBA">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合同到期后</w:t>
      </w:r>
      <w:r>
        <w:rPr>
          <w:rFonts w:hint="eastAsia" w:ascii="仿宋" w:hAnsi="仿宋" w:eastAsia="仿宋" w:cs="仿宋"/>
          <w:color w:val="auto"/>
          <w:sz w:val="24"/>
          <w:szCs w:val="24"/>
          <w:highlight w:val="none"/>
        </w:rPr>
        <w:t>由各乡镇（街道）组织对辖区内所有水库进行检查，</w:t>
      </w:r>
      <w:r>
        <w:rPr>
          <w:rFonts w:hint="eastAsia" w:ascii="仿宋" w:hAnsi="仿宋" w:eastAsia="仿宋" w:cs="仿宋"/>
          <w:color w:val="auto"/>
          <w:sz w:val="24"/>
          <w:szCs w:val="24"/>
          <w:highlight w:val="none"/>
          <w:lang w:val="en-US" w:eastAsia="zh-CN"/>
        </w:rPr>
        <w:t>并填写《</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乡镇小型水库物业化管理工作考核表》</w:t>
      </w:r>
      <w:r>
        <w:rPr>
          <w:rFonts w:hint="eastAsia" w:ascii="仿宋" w:hAnsi="仿宋" w:eastAsia="仿宋" w:cs="仿宋"/>
          <w:color w:val="auto"/>
          <w:sz w:val="24"/>
          <w:szCs w:val="24"/>
          <w:highlight w:val="none"/>
        </w:rPr>
        <w:t>，占比50%；</w:t>
      </w:r>
      <w:r>
        <w:rPr>
          <w:rFonts w:hint="eastAsia" w:ascii="仿宋" w:hAnsi="仿宋" w:eastAsia="仿宋" w:cs="仿宋"/>
          <w:color w:val="auto"/>
          <w:sz w:val="24"/>
          <w:szCs w:val="24"/>
          <w:highlight w:val="none"/>
          <w:lang w:val="en-US" w:eastAsia="zh-CN"/>
        </w:rPr>
        <w:t>不定期抽查</w:t>
      </w:r>
      <w:r>
        <w:rPr>
          <w:rFonts w:hint="eastAsia" w:ascii="仿宋" w:hAnsi="仿宋" w:eastAsia="仿宋" w:cs="仿宋"/>
          <w:color w:val="auto"/>
          <w:sz w:val="24"/>
          <w:szCs w:val="24"/>
          <w:highlight w:val="none"/>
        </w:rPr>
        <w:t>由</w:t>
      </w:r>
      <w:r>
        <w:rPr>
          <w:rFonts w:hint="eastAsia" w:ascii="仿宋" w:hAnsi="仿宋" w:eastAsia="仿宋" w:cs="仿宋"/>
          <w:color w:val="auto"/>
          <w:sz w:val="24"/>
          <w:szCs w:val="24"/>
          <w:highlight w:val="none"/>
          <w:lang w:val="en-US" w:eastAsia="zh-CN"/>
        </w:rPr>
        <w:t>嵊州市</w:t>
      </w:r>
      <w:r>
        <w:rPr>
          <w:rFonts w:hint="eastAsia" w:ascii="仿宋" w:hAnsi="仿宋" w:eastAsia="仿宋" w:cs="仿宋"/>
          <w:color w:val="auto"/>
          <w:sz w:val="24"/>
          <w:szCs w:val="24"/>
          <w:highlight w:val="none"/>
        </w:rPr>
        <w:t>水利水电局组织有关人员及运行管理专家等代表对全</w:t>
      </w:r>
      <w:r>
        <w:rPr>
          <w:rFonts w:hint="eastAsia" w:ascii="仿宋" w:hAnsi="仿宋" w:eastAsia="仿宋" w:cs="仿宋"/>
          <w:color w:val="auto"/>
          <w:sz w:val="24"/>
          <w:szCs w:val="24"/>
          <w:highlight w:val="none"/>
          <w:lang w:val="en-US" w:eastAsia="zh-CN"/>
        </w:rPr>
        <w:t>市</w:t>
      </w:r>
      <w:r>
        <w:rPr>
          <w:rFonts w:hint="eastAsia" w:ascii="仿宋" w:hAnsi="仿宋" w:eastAsia="仿宋" w:cs="仿宋"/>
          <w:color w:val="auto"/>
          <w:sz w:val="24"/>
          <w:szCs w:val="24"/>
          <w:highlight w:val="none"/>
        </w:rPr>
        <w:t>所有水库进行抽查考核，占比50%（物业管理公司</w:t>
      </w:r>
      <w:r>
        <w:rPr>
          <w:rFonts w:hint="eastAsia" w:ascii="仿宋" w:hAnsi="仿宋" w:eastAsia="仿宋" w:cs="仿宋"/>
          <w:color w:val="auto"/>
          <w:sz w:val="24"/>
          <w:szCs w:val="24"/>
          <w:highlight w:val="none"/>
          <w:lang w:val="en-US" w:eastAsia="zh-CN"/>
        </w:rPr>
        <w:t>年度</w:t>
      </w:r>
      <w:r>
        <w:rPr>
          <w:rFonts w:hint="eastAsia" w:ascii="仿宋" w:hAnsi="仿宋" w:eastAsia="仿宋" w:cs="仿宋"/>
          <w:color w:val="auto"/>
          <w:sz w:val="24"/>
          <w:szCs w:val="24"/>
          <w:highlight w:val="none"/>
        </w:rPr>
        <w:t>考核得分=各乡镇（街道）考核得分的平均值×50%+</w:t>
      </w:r>
      <w:r>
        <w:rPr>
          <w:rFonts w:hint="eastAsia" w:ascii="仿宋" w:hAnsi="仿宋" w:eastAsia="仿宋" w:cs="仿宋"/>
          <w:color w:val="auto"/>
          <w:sz w:val="24"/>
          <w:szCs w:val="24"/>
          <w:highlight w:val="none"/>
          <w:lang w:val="en-US" w:eastAsia="zh-CN"/>
        </w:rPr>
        <w:t>嵊州市</w:t>
      </w:r>
      <w:r>
        <w:rPr>
          <w:rFonts w:hint="eastAsia" w:ascii="仿宋" w:hAnsi="仿宋" w:eastAsia="仿宋" w:cs="仿宋"/>
          <w:color w:val="auto"/>
          <w:sz w:val="24"/>
          <w:szCs w:val="24"/>
          <w:highlight w:val="none"/>
        </w:rPr>
        <w:t>水利水电局</w:t>
      </w:r>
      <w:r>
        <w:rPr>
          <w:rFonts w:hint="eastAsia" w:ascii="仿宋" w:hAnsi="仿宋" w:eastAsia="仿宋" w:cs="仿宋"/>
          <w:color w:val="auto"/>
          <w:sz w:val="24"/>
          <w:szCs w:val="24"/>
          <w:highlight w:val="none"/>
          <w:lang w:val="en-US" w:eastAsia="zh-CN"/>
        </w:rPr>
        <w:t>抽</w:t>
      </w:r>
      <w:r>
        <w:rPr>
          <w:rFonts w:hint="eastAsia" w:ascii="仿宋" w:hAnsi="仿宋" w:eastAsia="仿宋" w:cs="仿宋"/>
          <w:color w:val="auto"/>
          <w:sz w:val="24"/>
          <w:szCs w:val="24"/>
          <w:highlight w:val="none"/>
        </w:rPr>
        <w:t>查考核</w:t>
      </w:r>
      <w:r>
        <w:rPr>
          <w:rFonts w:hint="eastAsia" w:ascii="仿宋" w:hAnsi="仿宋" w:eastAsia="仿宋" w:cs="仿宋"/>
          <w:color w:val="auto"/>
          <w:sz w:val="24"/>
          <w:szCs w:val="24"/>
          <w:highlight w:val="none"/>
          <w:lang w:val="en-US" w:eastAsia="zh-CN"/>
        </w:rPr>
        <w:t>得分的平均值×50%）。</w:t>
      </w:r>
    </w:p>
    <w:p w14:paraId="4FB3E5A8">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考核分合格、基本合格、不合格。扣分在5分（含）</w:t>
      </w:r>
      <w:r>
        <w:rPr>
          <w:rFonts w:hint="eastAsia" w:ascii="仿宋" w:hAnsi="仿宋" w:eastAsia="仿宋" w:cs="仿宋"/>
          <w:color w:val="auto"/>
          <w:sz w:val="24"/>
          <w:szCs w:val="24"/>
          <w:highlight w:val="none"/>
        </w:rPr>
        <w:t>以</w:t>
      </w:r>
      <w:r>
        <w:rPr>
          <w:rFonts w:hint="eastAsia" w:ascii="仿宋" w:hAnsi="仿宋" w:eastAsia="仿宋" w:cs="仿宋"/>
          <w:color w:val="auto"/>
          <w:sz w:val="24"/>
          <w:szCs w:val="24"/>
          <w:highlight w:val="none"/>
          <w:lang w:val="en-US" w:eastAsia="zh-CN"/>
        </w:rPr>
        <w:t>内</w:t>
      </w:r>
      <w:r>
        <w:rPr>
          <w:rFonts w:hint="eastAsia" w:ascii="仿宋" w:hAnsi="仿宋" w:eastAsia="仿宋" w:cs="仿宋"/>
          <w:color w:val="auto"/>
          <w:sz w:val="24"/>
          <w:szCs w:val="24"/>
          <w:highlight w:val="none"/>
        </w:rPr>
        <w:t>的为合格；</w:t>
      </w:r>
      <w:r>
        <w:rPr>
          <w:rFonts w:hint="eastAsia" w:ascii="仿宋" w:hAnsi="仿宋" w:eastAsia="仿宋" w:cs="仿宋"/>
          <w:color w:val="auto"/>
          <w:sz w:val="24"/>
          <w:szCs w:val="24"/>
          <w:highlight w:val="none"/>
          <w:lang w:val="en-US" w:eastAsia="zh-CN"/>
        </w:rPr>
        <w:t>5分至15（含）以内为基本合格，15</w:t>
      </w:r>
      <w:r>
        <w:rPr>
          <w:rFonts w:hint="eastAsia" w:ascii="仿宋" w:hAnsi="仿宋" w:eastAsia="仿宋" w:cs="仿宋"/>
          <w:color w:val="auto"/>
          <w:sz w:val="24"/>
          <w:szCs w:val="24"/>
          <w:highlight w:val="none"/>
        </w:rPr>
        <w:t>分以下的为不合格。</w:t>
      </w:r>
      <w:r>
        <w:rPr>
          <w:rFonts w:hint="eastAsia" w:ascii="仿宋" w:hAnsi="仿宋" w:eastAsia="仿宋" w:cs="仿宋"/>
          <w:color w:val="auto"/>
          <w:sz w:val="24"/>
          <w:szCs w:val="24"/>
          <w:highlight w:val="none"/>
          <w:lang w:val="en-US" w:eastAsia="zh-CN"/>
        </w:rPr>
        <w:t>。</w:t>
      </w:r>
    </w:p>
    <w:p w14:paraId="06832632">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（2）考核结果运用</w:t>
      </w:r>
    </w:p>
    <w:p w14:paraId="1823ACA8">
      <w:pPr>
        <w:numPr>
          <w:ilvl w:val="0"/>
          <w:numId w:val="0"/>
        </w:numPr>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合同</w:t>
      </w:r>
      <w:r>
        <w:rPr>
          <w:rFonts w:hint="eastAsia" w:ascii="仿宋" w:hAnsi="仿宋" w:eastAsia="仿宋" w:cs="仿宋"/>
          <w:color w:val="auto"/>
          <w:sz w:val="24"/>
          <w:szCs w:val="24"/>
          <w:highlight w:val="none"/>
        </w:rPr>
        <w:t>签订</w:t>
      </w:r>
      <w:r>
        <w:rPr>
          <w:rFonts w:hint="eastAsia" w:ascii="仿宋" w:hAnsi="仿宋" w:eastAsia="仿宋" w:cs="仿宋"/>
          <w:color w:val="auto"/>
          <w:sz w:val="24"/>
          <w:szCs w:val="24"/>
          <w:highlight w:val="none"/>
          <w:lang w:val="en-US" w:eastAsia="zh-CN"/>
        </w:rPr>
        <w:t>并具备实施条件</w:t>
      </w:r>
      <w:r>
        <w:rPr>
          <w:rFonts w:hint="eastAsia" w:ascii="仿宋" w:hAnsi="仿宋" w:eastAsia="仿宋" w:cs="仿宋"/>
          <w:color w:val="auto"/>
          <w:sz w:val="24"/>
          <w:szCs w:val="24"/>
          <w:highlight w:val="none"/>
        </w:rPr>
        <w:t>后</w:t>
      </w:r>
      <w:r>
        <w:rPr>
          <w:rFonts w:hint="eastAsia" w:ascii="仿宋" w:hAnsi="仿宋" w:eastAsia="仿宋" w:cs="仿宋"/>
          <w:b/>
          <w:bCs/>
          <w:color w:val="auto"/>
          <w:sz w:val="24"/>
          <w:szCs w:val="24"/>
          <w:highlight w:val="none"/>
        </w:rPr>
        <w:t>支付</w:t>
      </w:r>
      <w:r>
        <w:rPr>
          <w:rFonts w:hint="eastAsia" w:ascii="仿宋" w:hAnsi="仿宋" w:eastAsia="仿宋" w:cs="仿宋"/>
          <w:b/>
          <w:bCs/>
          <w:color w:val="auto"/>
          <w:sz w:val="24"/>
          <w:szCs w:val="24"/>
          <w:highlight w:val="none"/>
          <w:lang w:val="en-US" w:eastAsia="zh-CN"/>
        </w:rPr>
        <w:t>合同价</w:t>
      </w:r>
      <w:r>
        <w:rPr>
          <w:rFonts w:hint="eastAsia" w:ascii="仿宋" w:hAnsi="仿宋" w:eastAsia="仿宋" w:cs="仿宋"/>
          <w:b/>
          <w:bCs/>
          <w:color w:val="auto"/>
          <w:sz w:val="24"/>
          <w:szCs w:val="24"/>
          <w:highlight w:val="none"/>
        </w:rPr>
        <w:t>的</w:t>
      </w:r>
      <w:r>
        <w:rPr>
          <w:rFonts w:hint="eastAsia" w:ascii="仿宋" w:hAnsi="仿宋" w:eastAsia="仿宋" w:cs="仿宋"/>
          <w:b/>
          <w:bCs/>
          <w:color w:val="auto"/>
          <w:sz w:val="24"/>
          <w:szCs w:val="24"/>
          <w:highlight w:val="none"/>
          <w:lang w:val="en-US" w:eastAsia="zh-CN"/>
        </w:rPr>
        <w:t>50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作为预付款</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汛期结束后，在10月底前支付合同价的40%，剩余10%待合同到期后根据考核结果支付。</w:t>
      </w:r>
      <w:r>
        <w:rPr>
          <w:rFonts w:hint="eastAsia" w:ascii="仿宋" w:hAnsi="仿宋" w:eastAsia="仿宋" w:cs="仿宋"/>
          <w:color w:val="auto"/>
          <w:sz w:val="24"/>
          <w:szCs w:val="24"/>
          <w:highlight w:val="none"/>
        </w:rPr>
        <w:t>合计</w:t>
      </w:r>
      <w:r>
        <w:rPr>
          <w:rFonts w:hint="eastAsia" w:ascii="仿宋" w:hAnsi="仿宋" w:eastAsia="仿宋" w:cs="仿宋"/>
          <w:color w:val="auto"/>
          <w:sz w:val="24"/>
          <w:szCs w:val="24"/>
          <w:highlight w:val="none"/>
          <w:lang w:val="en-US" w:eastAsia="zh-CN"/>
        </w:rPr>
        <w:t>扣</w:t>
      </w:r>
      <w:r>
        <w:rPr>
          <w:rFonts w:hint="eastAsia" w:ascii="仿宋" w:hAnsi="仿宋" w:eastAsia="仿宋" w:cs="仿宋"/>
          <w:color w:val="auto"/>
          <w:sz w:val="24"/>
          <w:szCs w:val="24"/>
          <w:highlight w:val="none"/>
        </w:rPr>
        <w:t>分在</w:t>
      </w:r>
      <w:r>
        <w:rPr>
          <w:rFonts w:hint="eastAsia" w:ascii="仿宋" w:hAnsi="仿宋" w:eastAsia="仿宋" w:cs="仿宋"/>
          <w:color w:val="auto"/>
          <w:sz w:val="24"/>
          <w:szCs w:val="24"/>
          <w:highlight w:val="none"/>
          <w:lang w:val="en-US" w:eastAsia="zh-CN"/>
        </w:rPr>
        <w:t>小于5分（含）</w:t>
      </w:r>
      <w:r>
        <w:rPr>
          <w:rFonts w:hint="eastAsia" w:ascii="仿宋" w:hAnsi="仿宋" w:eastAsia="仿宋" w:cs="仿宋"/>
          <w:color w:val="auto"/>
          <w:sz w:val="24"/>
          <w:szCs w:val="24"/>
          <w:highlight w:val="none"/>
        </w:rPr>
        <w:t>以</w:t>
      </w:r>
      <w:r>
        <w:rPr>
          <w:rFonts w:hint="eastAsia" w:ascii="仿宋" w:hAnsi="仿宋" w:eastAsia="仿宋" w:cs="仿宋"/>
          <w:color w:val="auto"/>
          <w:sz w:val="24"/>
          <w:szCs w:val="24"/>
          <w:highlight w:val="none"/>
          <w:lang w:val="en-US" w:eastAsia="zh-CN"/>
        </w:rPr>
        <w:t>内</w:t>
      </w:r>
      <w:r>
        <w:rPr>
          <w:rFonts w:hint="eastAsia" w:ascii="仿宋" w:hAnsi="仿宋" w:eastAsia="仿宋" w:cs="仿宋"/>
          <w:color w:val="auto"/>
          <w:sz w:val="24"/>
          <w:szCs w:val="24"/>
          <w:highlight w:val="none"/>
        </w:rPr>
        <w:t>全额</w:t>
      </w:r>
      <w:r>
        <w:rPr>
          <w:rFonts w:hint="eastAsia" w:ascii="仿宋" w:hAnsi="仿宋" w:eastAsia="仿宋" w:cs="仿宋"/>
          <w:color w:val="auto"/>
          <w:sz w:val="24"/>
          <w:szCs w:val="24"/>
          <w:highlight w:val="none"/>
          <w:lang w:val="en-US" w:eastAsia="zh-CN"/>
        </w:rPr>
        <w:t>支付合同价</w:t>
      </w:r>
      <w:r>
        <w:rPr>
          <w:rFonts w:hint="eastAsia" w:ascii="仿宋" w:hAnsi="仿宋" w:eastAsia="仿宋" w:cs="仿宋"/>
          <w:color w:val="auto"/>
          <w:sz w:val="24"/>
          <w:szCs w:val="24"/>
          <w:highlight w:val="none"/>
        </w:rPr>
        <w:t>；合计</w:t>
      </w:r>
      <w:r>
        <w:rPr>
          <w:rFonts w:hint="eastAsia" w:ascii="仿宋" w:hAnsi="仿宋" w:eastAsia="仿宋" w:cs="仿宋"/>
          <w:color w:val="auto"/>
          <w:sz w:val="24"/>
          <w:szCs w:val="24"/>
          <w:highlight w:val="none"/>
          <w:lang w:val="en-US" w:eastAsia="zh-CN"/>
        </w:rPr>
        <w:t>扣</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在5分至15分（含）内</w:t>
      </w:r>
      <w:r>
        <w:rPr>
          <w:rFonts w:hint="eastAsia" w:ascii="仿宋" w:hAnsi="仿宋" w:eastAsia="仿宋" w:cs="仿宋"/>
          <w:color w:val="auto"/>
          <w:sz w:val="24"/>
          <w:szCs w:val="24"/>
          <w:highlight w:val="none"/>
        </w:rPr>
        <w:t>的扣除</w:t>
      </w:r>
      <w:r>
        <w:rPr>
          <w:rFonts w:hint="eastAsia" w:ascii="仿宋" w:hAnsi="仿宋" w:eastAsia="仿宋" w:cs="仿宋"/>
          <w:color w:val="auto"/>
          <w:sz w:val="24"/>
          <w:szCs w:val="24"/>
          <w:highlight w:val="none"/>
          <w:lang w:val="en-US" w:eastAsia="zh-CN"/>
        </w:rPr>
        <w:t>物业费用</w:t>
      </w:r>
      <w:r>
        <w:rPr>
          <w:rFonts w:hint="eastAsia" w:ascii="仿宋" w:hAnsi="仿宋" w:eastAsia="仿宋" w:cs="仿宋"/>
          <w:color w:val="auto"/>
          <w:sz w:val="24"/>
          <w:szCs w:val="24"/>
          <w:highlight w:val="none"/>
        </w:rPr>
        <w:t>=（考核</w:t>
      </w:r>
      <w:r>
        <w:rPr>
          <w:rFonts w:hint="eastAsia" w:ascii="仿宋" w:hAnsi="仿宋" w:eastAsia="仿宋" w:cs="仿宋"/>
          <w:color w:val="auto"/>
          <w:sz w:val="24"/>
          <w:szCs w:val="24"/>
          <w:highlight w:val="none"/>
          <w:lang w:val="en-US" w:eastAsia="zh-CN"/>
        </w:rPr>
        <w:t>扣</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/100</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合同价</w:t>
      </w:r>
      <w:r>
        <w:rPr>
          <w:rFonts w:hint="eastAsia" w:ascii="仿宋" w:hAnsi="仿宋" w:eastAsia="仿宋" w:cs="仿宋"/>
          <w:color w:val="auto"/>
          <w:sz w:val="24"/>
          <w:szCs w:val="24"/>
          <w:highlight w:val="none"/>
        </w:rPr>
        <w:t>。</w:t>
      </w:r>
    </w:p>
    <w:p w14:paraId="071625FF">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如出现下述情况之一的，提前终止合同，物业管理公司应承担相应的责任。</w:t>
      </w:r>
    </w:p>
    <w:p w14:paraId="37D2470B">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1）服务期内，季度考核不合格；</w:t>
      </w:r>
    </w:p>
    <w:p w14:paraId="12B961F6">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2）组织管理机构、人员素质、管理人员人数与投标承诺不符合，无法完成管护任务的；</w:t>
      </w:r>
    </w:p>
    <w:p w14:paraId="1C9950CC">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3）管理不善，造成人员伤亡，并负主要责任；</w:t>
      </w:r>
    </w:p>
    <w:p w14:paraId="046CC41B">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4）擅自将合同转包或部分分包给第三方的；</w:t>
      </w:r>
    </w:p>
    <w:p w14:paraId="070B0A78">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5）服务期内，被市级以上媒体曝光累计3次，造成</w:t>
      </w:r>
      <w:r>
        <w:rPr>
          <w:rFonts w:hint="eastAsia" w:ascii="仿宋" w:hAnsi="仿宋" w:eastAsia="仿宋" w:cs="仿宋"/>
          <w:color w:val="auto"/>
          <w:sz w:val="24"/>
          <w:szCs w:val="24"/>
          <w:highlight w:val="none"/>
          <w:lang w:val="en-US" w:eastAsia="zh-CN"/>
        </w:rPr>
        <w:t>一定</w:t>
      </w:r>
      <w:r>
        <w:rPr>
          <w:rFonts w:hint="eastAsia" w:ascii="仿宋" w:hAnsi="仿宋" w:eastAsia="仿宋" w:cs="仿宋"/>
          <w:color w:val="auto"/>
          <w:sz w:val="24"/>
          <w:szCs w:val="24"/>
          <w:highlight w:val="none"/>
        </w:rPr>
        <w:t>影响的。</w:t>
      </w:r>
    </w:p>
    <w:p w14:paraId="1A6CC3D2">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出现重大问题或重大事故造成严重影响的。</w:t>
      </w:r>
    </w:p>
    <w:p w14:paraId="0AF5C90B">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乡镇</w:t>
      </w:r>
      <w:r>
        <w:rPr>
          <w:rFonts w:hint="eastAsia" w:ascii="仿宋" w:hAnsi="仿宋" w:eastAsia="仿宋" w:cs="仿宋"/>
          <w:color w:val="auto"/>
          <w:sz w:val="24"/>
          <w:szCs w:val="24"/>
          <w:highlight w:val="none"/>
        </w:rPr>
        <w:t>小型水库物业化管理工作考核表</w:t>
      </w:r>
    </w:p>
    <w:tbl>
      <w:tblPr>
        <w:tblStyle w:val="62"/>
        <w:tblW w:w="94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4"/>
        <w:gridCol w:w="4621"/>
        <w:gridCol w:w="1155"/>
        <w:gridCol w:w="1224"/>
        <w:gridCol w:w="1144"/>
      </w:tblGrid>
      <w:tr w14:paraId="798F4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64" w:type="dxa"/>
            <w:noWrap w:val="0"/>
            <w:vAlign w:val="center"/>
          </w:tcPr>
          <w:p w14:paraId="1AB1D2A5">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考核项目</w:t>
            </w:r>
          </w:p>
        </w:tc>
        <w:tc>
          <w:tcPr>
            <w:tcW w:w="4621" w:type="dxa"/>
            <w:noWrap w:val="0"/>
            <w:vAlign w:val="center"/>
          </w:tcPr>
          <w:p w14:paraId="3DB4BA62">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考核</w:t>
            </w:r>
            <w:r>
              <w:rPr>
                <w:rFonts w:hint="eastAsia" w:ascii="仿宋" w:hAnsi="仿宋" w:eastAsia="仿宋" w:cs="仿宋"/>
                <w:color w:val="auto"/>
                <w:sz w:val="24"/>
                <w:szCs w:val="24"/>
                <w:highlight w:val="none"/>
                <w:lang w:val="en-US" w:eastAsia="zh-CN"/>
              </w:rPr>
              <w:t>扣分</w:t>
            </w:r>
            <w:r>
              <w:rPr>
                <w:rFonts w:hint="eastAsia" w:ascii="仿宋" w:hAnsi="仿宋" w:eastAsia="仿宋" w:cs="仿宋"/>
                <w:color w:val="auto"/>
                <w:sz w:val="24"/>
                <w:szCs w:val="24"/>
                <w:highlight w:val="none"/>
              </w:rPr>
              <w:t>标准</w:t>
            </w:r>
            <w:r>
              <w:rPr>
                <w:rFonts w:hint="eastAsia" w:ascii="仿宋" w:hAnsi="仿宋" w:eastAsia="仿宋" w:cs="仿宋"/>
                <w:color w:val="auto"/>
                <w:sz w:val="24"/>
                <w:szCs w:val="24"/>
                <w:highlight w:val="none"/>
                <w:lang w:val="en-US" w:eastAsia="zh-CN"/>
              </w:rPr>
              <w:t>及依据</w:t>
            </w:r>
          </w:p>
        </w:tc>
        <w:tc>
          <w:tcPr>
            <w:tcW w:w="1155" w:type="dxa"/>
            <w:noWrap w:val="0"/>
            <w:vAlign w:val="center"/>
          </w:tcPr>
          <w:p w14:paraId="34F51BDF">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乡镇（街道）评分</w:t>
            </w:r>
          </w:p>
        </w:tc>
        <w:tc>
          <w:tcPr>
            <w:tcW w:w="1224" w:type="dxa"/>
            <w:noWrap w:val="0"/>
            <w:vAlign w:val="center"/>
          </w:tcPr>
          <w:p w14:paraId="35D5A976">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水利局评分</w:t>
            </w:r>
          </w:p>
        </w:tc>
        <w:tc>
          <w:tcPr>
            <w:tcW w:w="1144" w:type="dxa"/>
            <w:noWrap w:val="0"/>
            <w:vAlign w:val="center"/>
          </w:tcPr>
          <w:p w14:paraId="3D4F935B">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平均分</w:t>
            </w:r>
          </w:p>
        </w:tc>
      </w:tr>
      <w:tr w14:paraId="50A25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restart"/>
            <w:noWrap w:val="0"/>
            <w:vAlign w:val="center"/>
          </w:tcPr>
          <w:p w14:paraId="46A2DB3E">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组织管理</w:t>
            </w:r>
          </w:p>
        </w:tc>
        <w:tc>
          <w:tcPr>
            <w:tcW w:w="4621" w:type="dxa"/>
            <w:noWrap w:val="0"/>
            <w:vAlign w:val="center"/>
          </w:tcPr>
          <w:p w14:paraId="002A8149">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1.管理机构设置、人员、设备到位情况，未按要求足额到位的；工作职责不清楚的，每发现1处扣1分。</w:t>
            </w:r>
          </w:p>
        </w:tc>
        <w:tc>
          <w:tcPr>
            <w:tcW w:w="1155" w:type="dxa"/>
            <w:noWrap w:val="0"/>
            <w:vAlign w:val="center"/>
          </w:tcPr>
          <w:p w14:paraId="0EB89253">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63579B2B">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64C25198">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0DC72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continue"/>
            <w:noWrap w:val="0"/>
            <w:vAlign w:val="center"/>
          </w:tcPr>
          <w:p w14:paraId="3117DB8D">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4621" w:type="dxa"/>
            <w:noWrap w:val="0"/>
            <w:vAlign w:val="center"/>
          </w:tcPr>
          <w:p w14:paraId="53EDA8C3">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2.人员未办理意外险和农民工工伤险、车辆未办理保险的，每发现1处扣1分。</w:t>
            </w:r>
          </w:p>
        </w:tc>
        <w:tc>
          <w:tcPr>
            <w:tcW w:w="1155" w:type="dxa"/>
            <w:noWrap w:val="0"/>
            <w:vAlign w:val="center"/>
          </w:tcPr>
          <w:p w14:paraId="4866948F">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19470FFB">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432BE8DF">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3A53F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continue"/>
            <w:noWrap w:val="0"/>
            <w:vAlign w:val="center"/>
          </w:tcPr>
          <w:p w14:paraId="171CB8C1">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4621" w:type="dxa"/>
            <w:noWrap w:val="0"/>
            <w:vAlign w:val="center"/>
          </w:tcPr>
          <w:p w14:paraId="1BA3A709">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 建立健全各项制度，需要落实岗位责任制度、维修养护制度、工程检查制度、台账资料制度、应急管理制度等，每缺少1项扣1分。</w:t>
            </w:r>
          </w:p>
        </w:tc>
        <w:tc>
          <w:tcPr>
            <w:tcW w:w="1155" w:type="dxa"/>
            <w:noWrap w:val="0"/>
            <w:vAlign w:val="center"/>
          </w:tcPr>
          <w:p w14:paraId="54F6AD68">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48E54E6E">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02273EB7">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26EBD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continue"/>
            <w:noWrap w:val="0"/>
            <w:vAlign w:val="center"/>
          </w:tcPr>
          <w:p w14:paraId="0682914B">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4621" w:type="dxa"/>
            <w:noWrap w:val="0"/>
            <w:vAlign w:val="center"/>
          </w:tcPr>
          <w:p w14:paraId="5024C89C">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4.维修养护计划申报未及时，不按批准的方案高质量完成的，发现一处扣2分。</w:t>
            </w:r>
          </w:p>
        </w:tc>
        <w:tc>
          <w:tcPr>
            <w:tcW w:w="1155" w:type="dxa"/>
            <w:noWrap w:val="0"/>
            <w:vAlign w:val="center"/>
          </w:tcPr>
          <w:p w14:paraId="5E513A91">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40597993">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0117703B">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594FC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continue"/>
            <w:noWrap w:val="0"/>
            <w:vAlign w:val="center"/>
          </w:tcPr>
          <w:p w14:paraId="73D97047">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4621" w:type="dxa"/>
            <w:noWrap w:val="0"/>
            <w:vAlign w:val="center"/>
          </w:tcPr>
          <w:p w14:paraId="00ACB78B">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5.未能积极配合乡镇（街道）开展工作的，一项扣2分。</w:t>
            </w:r>
          </w:p>
        </w:tc>
        <w:tc>
          <w:tcPr>
            <w:tcW w:w="1155" w:type="dxa"/>
            <w:noWrap w:val="0"/>
            <w:vAlign w:val="center"/>
          </w:tcPr>
          <w:p w14:paraId="1DF35E69">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453EF5A4">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7046F851">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2C4AB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restart"/>
            <w:noWrap w:val="0"/>
            <w:vAlign w:val="center"/>
          </w:tcPr>
          <w:p w14:paraId="0050B9BF">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维修保养</w:t>
            </w:r>
          </w:p>
        </w:tc>
        <w:tc>
          <w:tcPr>
            <w:tcW w:w="4621" w:type="dxa"/>
            <w:noWrap w:val="0"/>
            <w:vAlign w:val="center"/>
          </w:tcPr>
          <w:p w14:paraId="294640FF">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1.大坝表面存在坑洼、凹陷、局部砼破损等现象，且未按要求修复的；存在白蚁活动迹象、明显渗漏、塌洞未及时上报的，每发现1处扣1分。</w:t>
            </w:r>
          </w:p>
        </w:tc>
        <w:tc>
          <w:tcPr>
            <w:tcW w:w="1155" w:type="dxa"/>
            <w:noWrap w:val="0"/>
            <w:vAlign w:val="center"/>
          </w:tcPr>
          <w:p w14:paraId="3F42E989">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68ED77F3">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52B84067">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6A710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continue"/>
            <w:noWrap w:val="0"/>
            <w:vAlign w:val="center"/>
          </w:tcPr>
          <w:p w14:paraId="12268BA1">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4621" w:type="dxa"/>
            <w:noWrap w:val="0"/>
            <w:vAlign w:val="center"/>
          </w:tcPr>
          <w:p w14:paraId="10671FDD">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2.溢洪道存在局部破损现象，且未按要求修复的；溢洪道进口设有拦鱼网、拦鱼杆未拆除的，每发现1处扣1分。</w:t>
            </w:r>
          </w:p>
        </w:tc>
        <w:tc>
          <w:tcPr>
            <w:tcW w:w="1155" w:type="dxa"/>
            <w:noWrap w:val="0"/>
            <w:vAlign w:val="center"/>
          </w:tcPr>
          <w:p w14:paraId="0E868024">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1E0BA37E">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39F35CA6">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22CE9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continue"/>
            <w:noWrap w:val="0"/>
            <w:vAlign w:val="center"/>
          </w:tcPr>
          <w:p w14:paraId="79365153">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4621" w:type="dxa"/>
            <w:noWrap w:val="0"/>
            <w:vAlign w:val="center"/>
          </w:tcPr>
          <w:p w14:paraId="60EE03E3">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3.边坡与岸坡岩土体松动、掉块、坍塌等现象的，每发现1处扣1分。</w:t>
            </w:r>
          </w:p>
        </w:tc>
        <w:tc>
          <w:tcPr>
            <w:tcW w:w="1155" w:type="dxa"/>
            <w:noWrap w:val="0"/>
            <w:vAlign w:val="center"/>
          </w:tcPr>
          <w:p w14:paraId="3B650057">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239EAE96">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07898B43">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74382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continue"/>
            <w:noWrap w:val="0"/>
            <w:vAlign w:val="center"/>
          </w:tcPr>
          <w:p w14:paraId="217BDE56">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4621" w:type="dxa"/>
            <w:noWrap w:val="0"/>
            <w:vAlign w:val="center"/>
          </w:tcPr>
          <w:p w14:paraId="36C23AAE">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4.放水设施未除锈防腐，启闭机、虹吸装置不能正常运行的，涵管出口渗漏未及时上报，放水隧洞内块石或土层塌落的，每发现1处扣1分。</w:t>
            </w:r>
          </w:p>
        </w:tc>
        <w:tc>
          <w:tcPr>
            <w:tcW w:w="1155" w:type="dxa"/>
            <w:noWrap w:val="0"/>
            <w:vAlign w:val="center"/>
          </w:tcPr>
          <w:p w14:paraId="5D6B4F52">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498385DD">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1BA6A6F5">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2CA66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continue"/>
            <w:noWrap w:val="0"/>
            <w:vAlign w:val="center"/>
          </w:tcPr>
          <w:p w14:paraId="76B06D13">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4621" w:type="dxa"/>
            <w:noWrap w:val="0"/>
            <w:vAlign w:val="center"/>
          </w:tcPr>
          <w:p w14:paraId="5F9A3289">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5.上坝道路不通畅，每发现1处扣1分。 </w:t>
            </w:r>
          </w:p>
        </w:tc>
        <w:tc>
          <w:tcPr>
            <w:tcW w:w="1155" w:type="dxa"/>
            <w:noWrap w:val="0"/>
            <w:vAlign w:val="center"/>
          </w:tcPr>
          <w:p w14:paraId="23782A0B">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6BD9AAF2">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007050CC">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0251A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continue"/>
            <w:noWrap w:val="0"/>
            <w:vAlign w:val="center"/>
          </w:tcPr>
          <w:p w14:paraId="6098A4C4">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4621" w:type="dxa"/>
            <w:noWrap w:val="0"/>
            <w:vAlign w:val="center"/>
          </w:tcPr>
          <w:p w14:paraId="27F3D430">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 管理房、启闭房墙面渗漏、剥落，门窗破损等现象的，每发现1处扣1分。</w:t>
            </w:r>
          </w:p>
        </w:tc>
        <w:tc>
          <w:tcPr>
            <w:tcW w:w="1155" w:type="dxa"/>
            <w:noWrap w:val="0"/>
            <w:vAlign w:val="center"/>
          </w:tcPr>
          <w:p w14:paraId="23660685">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33850CEA">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08FC6A81">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39E64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continue"/>
            <w:noWrap w:val="0"/>
            <w:vAlign w:val="center"/>
          </w:tcPr>
          <w:p w14:paraId="1C2515DF">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4621" w:type="dxa"/>
            <w:noWrap w:val="0"/>
            <w:vAlign w:val="center"/>
          </w:tcPr>
          <w:p w14:paraId="04F4636E">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7.水位尺缺失、水雨情监测设施故障未及时通知设备运行管理单位的，每发现1处扣1分。</w:t>
            </w:r>
          </w:p>
        </w:tc>
        <w:tc>
          <w:tcPr>
            <w:tcW w:w="1155" w:type="dxa"/>
            <w:noWrap w:val="0"/>
            <w:vAlign w:val="center"/>
          </w:tcPr>
          <w:p w14:paraId="7A95E8F7">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1233DF29">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5E7C644E">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05FBD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continue"/>
            <w:noWrap w:val="0"/>
            <w:vAlign w:val="center"/>
          </w:tcPr>
          <w:p w14:paraId="7F2734A3">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4621" w:type="dxa"/>
            <w:noWrap w:val="0"/>
            <w:vAlign w:val="center"/>
          </w:tcPr>
          <w:p w14:paraId="1E3AD632">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8.工程管理内，栏杆破损未修复，标识标牌缺失、不符合要求且字体模糊的，每发现1处扣1分。</w:t>
            </w:r>
          </w:p>
        </w:tc>
        <w:tc>
          <w:tcPr>
            <w:tcW w:w="1155" w:type="dxa"/>
            <w:noWrap w:val="0"/>
            <w:vAlign w:val="center"/>
          </w:tcPr>
          <w:p w14:paraId="36FAF602">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5B957832">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40269DE8">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05ED6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restart"/>
            <w:noWrap w:val="0"/>
            <w:vAlign w:val="center"/>
          </w:tcPr>
          <w:p w14:paraId="2B410E9D">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绿化保洁</w:t>
            </w:r>
          </w:p>
        </w:tc>
        <w:tc>
          <w:tcPr>
            <w:tcW w:w="4621" w:type="dxa"/>
            <w:noWrap w:val="0"/>
            <w:vAlign w:val="center"/>
          </w:tcPr>
          <w:p w14:paraId="4852ADA0">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1.大坝（坝面、坝顶、排水沟、马道）、溢洪道、启闭机房、管理房存在</w:t>
            </w:r>
            <w:r>
              <w:rPr>
                <w:rFonts w:hint="eastAsia" w:ascii="仿宋" w:hAnsi="仿宋" w:eastAsia="仿宋" w:cs="仿宋"/>
                <w:color w:val="auto"/>
                <w:sz w:val="24"/>
                <w:szCs w:val="24"/>
                <w:highlight w:val="none"/>
                <w:lang w:val="en-US" w:eastAsia="zh-CN"/>
              </w:rPr>
              <w:t>较多</w:t>
            </w:r>
            <w:r>
              <w:rPr>
                <w:rFonts w:hint="eastAsia" w:ascii="仿宋" w:hAnsi="仿宋" w:eastAsia="仿宋" w:cs="仿宋"/>
                <w:color w:val="auto"/>
                <w:sz w:val="24"/>
                <w:szCs w:val="24"/>
                <w:highlight w:val="none"/>
              </w:rPr>
              <w:t>垃圾的，每发现1处扣1分。</w:t>
            </w:r>
          </w:p>
        </w:tc>
        <w:tc>
          <w:tcPr>
            <w:tcW w:w="1155" w:type="dxa"/>
            <w:noWrap w:val="0"/>
            <w:vAlign w:val="center"/>
          </w:tcPr>
          <w:p w14:paraId="59904FA9">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452DE23C">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4C0B800B">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6E193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continue"/>
            <w:noWrap w:val="0"/>
            <w:vAlign w:val="center"/>
          </w:tcPr>
          <w:p w14:paraId="6B43E427">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4621" w:type="dxa"/>
            <w:noWrap w:val="0"/>
            <w:vAlign w:val="center"/>
          </w:tcPr>
          <w:p w14:paraId="24CA21C2">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2.大坝及溢洪道杂草丛生或有违</w:t>
            </w:r>
            <w:r>
              <w:rPr>
                <w:rFonts w:hint="eastAsia" w:ascii="仿宋" w:hAnsi="仿宋" w:eastAsia="仿宋" w:cs="仿宋"/>
                <w:color w:val="auto"/>
                <w:sz w:val="24"/>
                <w:szCs w:val="24"/>
                <w:highlight w:val="none"/>
                <w:lang w:val="en-US" w:eastAsia="zh-CN"/>
              </w:rPr>
              <w:t>规</w:t>
            </w:r>
            <w:r>
              <w:rPr>
                <w:rFonts w:hint="eastAsia" w:ascii="仿宋" w:hAnsi="仿宋" w:eastAsia="仿宋" w:cs="仿宋"/>
                <w:color w:val="auto"/>
                <w:sz w:val="24"/>
                <w:szCs w:val="24"/>
                <w:highlight w:val="none"/>
              </w:rPr>
              <w:t>种植或有灌木类植物滋生的，每发现1处扣2分。</w:t>
            </w:r>
          </w:p>
        </w:tc>
        <w:tc>
          <w:tcPr>
            <w:tcW w:w="1155" w:type="dxa"/>
            <w:noWrap w:val="0"/>
            <w:vAlign w:val="center"/>
          </w:tcPr>
          <w:p w14:paraId="30C1BE9A">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3C8156F0">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0969CED8">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64B6A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continue"/>
            <w:noWrap w:val="0"/>
            <w:vAlign w:val="center"/>
          </w:tcPr>
          <w:p w14:paraId="4E2E45B6">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4621" w:type="dxa"/>
            <w:noWrap w:val="0"/>
            <w:vAlign w:val="center"/>
          </w:tcPr>
          <w:p w14:paraId="416BBD42">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3.管理房、启闭机房、水文台等堆放与大坝运行管理无关的杂物的，每发现1处扣2分。</w:t>
            </w:r>
          </w:p>
        </w:tc>
        <w:tc>
          <w:tcPr>
            <w:tcW w:w="1155" w:type="dxa"/>
            <w:noWrap w:val="0"/>
            <w:vAlign w:val="center"/>
          </w:tcPr>
          <w:p w14:paraId="3AC93F16">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2F45583D">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15E8C233">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1E6CD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restart"/>
            <w:noWrap w:val="0"/>
            <w:vAlign w:val="center"/>
          </w:tcPr>
          <w:p w14:paraId="12BA6C1F">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台账资料</w:t>
            </w:r>
          </w:p>
          <w:p w14:paraId="439D49FC">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p>
        </w:tc>
        <w:tc>
          <w:tcPr>
            <w:tcW w:w="4621" w:type="dxa"/>
            <w:noWrap w:val="0"/>
            <w:vAlign w:val="center"/>
          </w:tcPr>
          <w:p w14:paraId="50C470D0">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1.台账资料不完整、记录不全、归档上传不及时的，每发现1处扣2分</w:t>
            </w:r>
          </w:p>
        </w:tc>
        <w:tc>
          <w:tcPr>
            <w:tcW w:w="1155" w:type="dxa"/>
            <w:noWrap w:val="0"/>
            <w:vAlign w:val="center"/>
          </w:tcPr>
          <w:p w14:paraId="70C677DA">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0BF7915C">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2748C59D">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19153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continue"/>
            <w:noWrap w:val="0"/>
            <w:vAlign w:val="center"/>
          </w:tcPr>
          <w:p w14:paraId="7EF1591F">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4621" w:type="dxa"/>
            <w:noWrap w:val="0"/>
            <w:vAlign w:val="center"/>
          </w:tcPr>
          <w:p w14:paraId="2E1F327F">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2.资料不妥善保管的，一项扣2分。</w:t>
            </w:r>
          </w:p>
        </w:tc>
        <w:tc>
          <w:tcPr>
            <w:tcW w:w="1155" w:type="dxa"/>
            <w:noWrap w:val="0"/>
            <w:vAlign w:val="center"/>
          </w:tcPr>
          <w:p w14:paraId="2D069998">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457538D4">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34C79CDB">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1E0FE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restart"/>
            <w:noWrap w:val="0"/>
            <w:vAlign w:val="center"/>
          </w:tcPr>
          <w:p w14:paraId="28769D97">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教育培训</w:t>
            </w:r>
          </w:p>
        </w:tc>
        <w:tc>
          <w:tcPr>
            <w:tcW w:w="4621" w:type="dxa"/>
            <w:noWrap w:val="0"/>
            <w:vAlign w:val="center"/>
          </w:tcPr>
          <w:p w14:paraId="71F9483B">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1.未制定培训计划的，一项扣2分。</w:t>
            </w:r>
          </w:p>
        </w:tc>
        <w:tc>
          <w:tcPr>
            <w:tcW w:w="1155" w:type="dxa"/>
            <w:noWrap w:val="0"/>
            <w:vAlign w:val="center"/>
          </w:tcPr>
          <w:p w14:paraId="3514DFB4">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61839701">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6ABE3EDE">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563C7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continue"/>
            <w:noWrap w:val="0"/>
            <w:vAlign w:val="center"/>
          </w:tcPr>
          <w:p w14:paraId="4F136418">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4621" w:type="dxa"/>
            <w:noWrap w:val="0"/>
            <w:vAlign w:val="center"/>
          </w:tcPr>
          <w:p w14:paraId="1A4832CB">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2.未对上岗人员进行培训的，一项扣2分</w:t>
            </w:r>
          </w:p>
        </w:tc>
        <w:tc>
          <w:tcPr>
            <w:tcW w:w="1155" w:type="dxa"/>
            <w:noWrap w:val="0"/>
            <w:vAlign w:val="center"/>
          </w:tcPr>
          <w:p w14:paraId="49EBB1F4">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70A8484B">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6A1FDE7D">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39784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continue"/>
            <w:noWrap w:val="0"/>
            <w:vAlign w:val="center"/>
          </w:tcPr>
          <w:p w14:paraId="192F122F">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4621" w:type="dxa"/>
            <w:noWrap w:val="0"/>
            <w:vAlign w:val="center"/>
          </w:tcPr>
          <w:p w14:paraId="441E4280">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3.未配合乡镇（街道）完成三个责任人培训和三预措施推演的，每发现一处扣2分。</w:t>
            </w:r>
          </w:p>
        </w:tc>
        <w:tc>
          <w:tcPr>
            <w:tcW w:w="1155" w:type="dxa"/>
            <w:noWrap w:val="0"/>
            <w:vAlign w:val="center"/>
          </w:tcPr>
          <w:p w14:paraId="757F1B9B">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379645FB">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724468E9">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175F9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restart"/>
            <w:noWrap w:val="0"/>
            <w:vAlign w:val="center"/>
          </w:tcPr>
          <w:p w14:paraId="04AD2CBC">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平台管理</w:t>
            </w:r>
          </w:p>
        </w:tc>
        <w:tc>
          <w:tcPr>
            <w:tcW w:w="4621" w:type="dxa"/>
            <w:noWrap w:val="0"/>
            <w:vAlign w:val="center"/>
          </w:tcPr>
          <w:p w14:paraId="5E0B5952">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1.未及时上传、更新完善水库各类平台的，每发现1处扣1分。</w:t>
            </w:r>
          </w:p>
        </w:tc>
        <w:tc>
          <w:tcPr>
            <w:tcW w:w="1155" w:type="dxa"/>
            <w:noWrap w:val="0"/>
            <w:vAlign w:val="center"/>
          </w:tcPr>
          <w:p w14:paraId="25550097">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79E79E75">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034338E3">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5EDA6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continue"/>
            <w:noWrap w:val="0"/>
            <w:vAlign w:val="center"/>
          </w:tcPr>
          <w:p w14:paraId="63FD3493">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4621" w:type="dxa"/>
            <w:noWrap w:val="0"/>
            <w:vAlign w:val="center"/>
          </w:tcPr>
          <w:p w14:paraId="4D4C4A2B">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2.上传平台的数据出现严重错误，每发现一处扣2分。</w:t>
            </w:r>
          </w:p>
        </w:tc>
        <w:tc>
          <w:tcPr>
            <w:tcW w:w="1155" w:type="dxa"/>
            <w:noWrap w:val="0"/>
            <w:vAlign w:val="center"/>
          </w:tcPr>
          <w:p w14:paraId="7022270E">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3E19A06C">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20043A24">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4E96C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restart"/>
            <w:noWrap w:val="0"/>
            <w:vAlign w:val="center"/>
          </w:tcPr>
          <w:p w14:paraId="58444ECE">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通报及整改落实</w:t>
            </w:r>
          </w:p>
        </w:tc>
        <w:tc>
          <w:tcPr>
            <w:tcW w:w="4621" w:type="dxa"/>
            <w:noWrap w:val="0"/>
            <w:vAlign w:val="center"/>
          </w:tcPr>
          <w:p w14:paraId="5883041D">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1.受到省、市、县相关单位通报批评的，每1次扣5分。 </w:t>
            </w:r>
          </w:p>
        </w:tc>
        <w:tc>
          <w:tcPr>
            <w:tcW w:w="1155" w:type="dxa"/>
            <w:noWrap w:val="0"/>
            <w:vAlign w:val="center"/>
          </w:tcPr>
          <w:p w14:paraId="1E92DA75">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1FB2E6B8">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467DE4BE">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419F8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vMerge w:val="continue"/>
            <w:noWrap w:val="0"/>
            <w:vAlign w:val="center"/>
          </w:tcPr>
          <w:p w14:paraId="61557FA4">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4621" w:type="dxa"/>
            <w:noWrap w:val="0"/>
            <w:vAlign w:val="center"/>
          </w:tcPr>
          <w:p w14:paraId="49BEF7EC">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2.上级水利部门明察暗访发现的问题没有及时整改落实的，每1次扣5分。</w:t>
            </w:r>
          </w:p>
        </w:tc>
        <w:tc>
          <w:tcPr>
            <w:tcW w:w="1155" w:type="dxa"/>
            <w:noWrap w:val="0"/>
            <w:vAlign w:val="center"/>
          </w:tcPr>
          <w:p w14:paraId="1A0A553F">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224" w:type="dxa"/>
            <w:noWrap w:val="0"/>
            <w:vAlign w:val="center"/>
          </w:tcPr>
          <w:p w14:paraId="65DEFF5B">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c>
          <w:tcPr>
            <w:tcW w:w="1144" w:type="dxa"/>
            <w:noWrap w:val="0"/>
            <w:vAlign w:val="center"/>
          </w:tcPr>
          <w:p w14:paraId="58C59A43">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firstLine="480" w:firstLineChars="200"/>
              <w:textAlignment w:val="auto"/>
              <w:rPr>
                <w:rFonts w:hint="eastAsia" w:ascii="仿宋" w:hAnsi="仿宋" w:eastAsia="仿宋" w:cs="仿宋"/>
                <w:color w:val="auto"/>
                <w:sz w:val="24"/>
                <w:szCs w:val="24"/>
                <w:highlight w:val="none"/>
              </w:rPr>
            </w:pPr>
          </w:p>
        </w:tc>
      </w:tr>
      <w:tr w14:paraId="2747B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64" w:type="dxa"/>
            <w:noWrap w:val="0"/>
            <w:vAlign w:val="center"/>
          </w:tcPr>
          <w:p w14:paraId="510F5B0C">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考核结果评定</w:t>
            </w:r>
          </w:p>
        </w:tc>
        <w:tc>
          <w:tcPr>
            <w:tcW w:w="8144" w:type="dxa"/>
            <w:gridSpan w:val="4"/>
            <w:noWrap w:val="0"/>
            <w:vAlign w:val="center"/>
          </w:tcPr>
          <w:p w14:paraId="74062ED5">
            <w:pPr>
              <w:keepNext w:val="0"/>
              <w:keepLines w:val="0"/>
              <w:pageBreakBefore w:val="0"/>
              <w:widowControl w:val="0"/>
              <w:kinsoku/>
              <w:wordWrap/>
              <w:overflowPunct/>
              <w:topLinePunct w:val="0"/>
              <w:autoSpaceDE/>
              <w:autoSpaceDN/>
              <w:bidi w:val="0"/>
              <w:adjustRightInd w:val="0"/>
              <w:snapToGrid/>
              <w:spacing w:before="0" w:beforeAutospacing="0" w:after="0" w:afterAutospacing="0" w:line="240" w:lineRule="auto"/>
              <w:ind w:left="1199" w:leftChars="228" w:right="0" w:hanging="720" w:hangingChars="300"/>
              <w:textAlignment w:val="auto"/>
              <w:rPr>
                <w:rFonts w:hint="default"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rPr>
              <w:t>经各乡镇（街道）考核上报结合局抽查结果统计分析，最后</w:t>
            </w:r>
            <w:r>
              <w:rPr>
                <w:rFonts w:hint="eastAsia" w:ascii="仿宋" w:hAnsi="仿宋" w:eastAsia="仿宋" w:cs="仿宋"/>
                <w:color w:val="auto"/>
                <w:sz w:val="24"/>
                <w:szCs w:val="24"/>
                <w:highlight w:val="none"/>
                <w:lang w:val="en-US" w:eastAsia="zh-CN"/>
              </w:rPr>
              <w:t>扣</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分</w:t>
            </w:r>
            <w:r>
              <w:rPr>
                <w:rFonts w:hint="eastAsia" w:ascii="仿宋" w:hAnsi="仿宋" w:eastAsia="仿宋" w:cs="仿宋"/>
                <w:color w:val="auto"/>
                <w:sz w:val="24"/>
                <w:szCs w:val="24"/>
                <w:highlight w:val="none"/>
              </w:rPr>
              <w:t>，根据考核办法，评定考核结果为</w:t>
            </w:r>
            <w:r>
              <w:rPr>
                <w:rFonts w:hint="eastAsia" w:ascii="仿宋" w:hAnsi="仿宋" w:eastAsia="仿宋" w:cs="仿宋"/>
                <w:color w:val="auto"/>
                <w:sz w:val="24"/>
                <w:szCs w:val="24"/>
                <w:highlight w:val="none"/>
                <w:u w:val="single"/>
                <w:lang w:val="en-US" w:eastAsia="zh-CN"/>
              </w:rPr>
              <w:t xml:space="preserve">       </w:t>
            </w:r>
          </w:p>
        </w:tc>
      </w:tr>
    </w:tbl>
    <w:p w14:paraId="0B54061F">
      <w:pPr>
        <w:numPr>
          <w:ilvl w:val="0"/>
          <w:numId w:val="0"/>
        </w:num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备注：</w:t>
      </w:r>
    </w:p>
    <w:p w14:paraId="41D95016">
      <w:pPr>
        <w:numPr>
          <w:ilvl w:val="0"/>
          <w:numId w:val="2"/>
        </w:num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合计</w:t>
      </w:r>
      <w:r>
        <w:rPr>
          <w:rFonts w:hint="eastAsia" w:ascii="仿宋" w:hAnsi="仿宋" w:eastAsia="仿宋" w:cs="仿宋"/>
          <w:color w:val="auto"/>
          <w:sz w:val="24"/>
          <w:szCs w:val="24"/>
          <w:highlight w:val="none"/>
          <w:lang w:val="en-US" w:eastAsia="zh-CN"/>
        </w:rPr>
        <w:t>扣</w:t>
      </w:r>
      <w:r>
        <w:rPr>
          <w:rFonts w:hint="eastAsia" w:ascii="仿宋" w:hAnsi="仿宋" w:eastAsia="仿宋" w:cs="仿宋"/>
          <w:color w:val="auto"/>
          <w:sz w:val="24"/>
          <w:szCs w:val="24"/>
          <w:highlight w:val="none"/>
        </w:rPr>
        <w:t>分在</w:t>
      </w:r>
      <w:r>
        <w:rPr>
          <w:rFonts w:hint="eastAsia" w:ascii="仿宋" w:hAnsi="仿宋" w:eastAsia="仿宋" w:cs="仿宋"/>
          <w:color w:val="auto"/>
          <w:sz w:val="24"/>
          <w:szCs w:val="24"/>
          <w:highlight w:val="none"/>
          <w:lang w:val="en-US" w:eastAsia="zh-CN"/>
        </w:rPr>
        <w:t>小于5分（含）</w:t>
      </w:r>
      <w:r>
        <w:rPr>
          <w:rFonts w:hint="eastAsia" w:ascii="仿宋" w:hAnsi="仿宋" w:eastAsia="仿宋" w:cs="仿宋"/>
          <w:color w:val="auto"/>
          <w:sz w:val="24"/>
          <w:szCs w:val="24"/>
          <w:highlight w:val="none"/>
        </w:rPr>
        <w:t>以</w:t>
      </w:r>
      <w:r>
        <w:rPr>
          <w:rFonts w:hint="eastAsia" w:ascii="仿宋" w:hAnsi="仿宋" w:eastAsia="仿宋" w:cs="仿宋"/>
          <w:color w:val="auto"/>
          <w:sz w:val="24"/>
          <w:szCs w:val="24"/>
          <w:highlight w:val="none"/>
          <w:lang w:val="en-US" w:eastAsia="zh-CN"/>
        </w:rPr>
        <w:t>内</w:t>
      </w:r>
      <w:r>
        <w:rPr>
          <w:rFonts w:hint="eastAsia" w:ascii="仿宋" w:hAnsi="仿宋" w:eastAsia="仿宋" w:cs="仿宋"/>
          <w:color w:val="auto"/>
          <w:sz w:val="24"/>
          <w:szCs w:val="24"/>
          <w:highlight w:val="none"/>
        </w:rPr>
        <w:t>全额</w:t>
      </w:r>
      <w:r>
        <w:rPr>
          <w:rFonts w:hint="eastAsia" w:ascii="仿宋" w:hAnsi="仿宋" w:eastAsia="仿宋" w:cs="仿宋"/>
          <w:color w:val="auto"/>
          <w:sz w:val="24"/>
          <w:szCs w:val="24"/>
          <w:highlight w:val="none"/>
          <w:lang w:val="en-US" w:eastAsia="zh-CN"/>
        </w:rPr>
        <w:t>支付合同价</w:t>
      </w:r>
      <w:r>
        <w:rPr>
          <w:rFonts w:hint="eastAsia" w:ascii="仿宋" w:hAnsi="仿宋" w:eastAsia="仿宋" w:cs="仿宋"/>
          <w:color w:val="auto"/>
          <w:sz w:val="24"/>
          <w:szCs w:val="24"/>
          <w:highlight w:val="none"/>
        </w:rPr>
        <w:t>；合计</w:t>
      </w:r>
      <w:r>
        <w:rPr>
          <w:rFonts w:hint="eastAsia" w:ascii="仿宋" w:hAnsi="仿宋" w:eastAsia="仿宋" w:cs="仿宋"/>
          <w:color w:val="auto"/>
          <w:sz w:val="24"/>
          <w:szCs w:val="24"/>
          <w:highlight w:val="none"/>
          <w:lang w:val="en-US" w:eastAsia="zh-CN"/>
        </w:rPr>
        <w:t>扣</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在5分至15分（含）内</w:t>
      </w:r>
      <w:r>
        <w:rPr>
          <w:rFonts w:hint="eastAsia" w:ascii="仿宋" w:hAnsi="仿宋" w:eastAsia="仿宋" w:cs="仿宋"/>
          <w:color w:val="auto"/>
          <w:sz w:val="24"/>
          <w:szCs w:val="24"/>
          <w:highlight w:val="none"/>
        </w:rPr>
        <w:t>的扣除</w:t>
      </w:r>
      <w:r>
        <w:rPr>
          <w:rFonts w:hint="eastAsia" w:ascii="仿宋" w:hAnsi="仿宋" w:eastAsia="仿宋" w:cs="仿宋"/>
          <w:color w:val="auto"/>
          <w:sz w:val="24"/>
          <w:szCs w:val="24"/>
          <w:highlight w:val="none"/>
          <w:lang w:val="en-US" w:eastAsia="zh-CN"/>
        </w:rPr>
        <w:t>物业费用</w:t>
      </w:r>
      <w:r>
        <w:rPr>
          <w:rFonts w:hint="eastAsia" w:ascii="仿宋" w:hAnsi="仿宋" w:eastAsia="仿宋" w:cs="仿宋"/>
          <w:color w:val="auto"/>
          <w:sz w:val="24"/>
          <w:szCs w:val="24"/>
          <w:highlight w:val="none"/>
        </w:rPr>
        <w:t>=（考核</w:t>
      </w:r>
      <w:r>
        <w:rPr>
          <w:rFonts w:hint="eastAsia" w:ascii="仿宋" w:hAnsi="仿宋" w:eastAsia="仿宋" w:cs="仿宋"/>
          <w:color w:val="auto"/>
          <w:sz w:val="24"/>
          <w:szCs w:val="24"/>
          <w:highlight w:val="none"/>
          <w:lang w:val="en-US" w:eastAsia="zh-CN"/>
        </w:rPr>
        <w:t>扣</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/100</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合同价</w:t>
      </w:r>
      <w:r>
        <w:rPr>
          <w:rFonts w:hint="eastAsia" w:ascii="仿宋" w:hAnsi="仿宋" w:eastAsia="仿宋" w:cs="仿宋"/>
          <w:color w:val="auto"/>
          <w:sz w:val="24"/>
          <w:szCs w:val="24"/>
          <w:highlight w:val="none"/>
        </w:rPr>
        <w:t>。</w:t>
      </w:r>
    </w:p>
    <w:p w14:paraId="5DDC6099">
      <w:pPr>
        <w:pStyle w:val="2"/>
        <w:numPr>
          <w:ilvl w:val="0"/>
          <w:numId w:val="2"/>
        </w:numPr>
        <w:rPr>
          <w:rFonts w:hint="eastAsia"/>
          <w:color w:val="auto"/>
          <w:highlight w:val="none"/>
          <w:lang w:val="en-US" w:eastAsia="zh-CN"/>
        </w:rPr>
      </w:pPr>
      <w:r>
        <w:rPr>
          <w:rFonts w:hint="eastAsia" w:ascii="仿宋" w:hAnsi="仿宋" w:eastAsia="仿宋" w:cs="仿宋"/>
          <w:color w:val="auto"/>
          <w:sz w:val="24"/>
          <w:szCs w:val="24"/>
          <w:highlight w:val="none"/>
          <w:lang w:val="en-US" w:eastAsia="zh-CN"/>
        </w:rPr>
        <w:t>扣分在5分（含）</w:t>
      </w:r>
      <w:r>
        <w:rPr>
          <w:rFonts w:hint="eastAsia" w:ascii="仿宋" w:hAnsi="仿宋" w:eastAsia="仿宋" w:cs="仿宋"/>
          <w:color w:val="auto"/>
          <w:sz w:val="24"/>
          <w:szCs w:val="24"/>
          <w:highlight w:val="none"/>
        </w:rPr>
        <w:t>以</w:t>
      </w:r>
      <w:r>
        <w:rPr>
          <w:rFonts w:hint="eastAsia" w:ascii="仿宋" w:hAnsi="仿宋" w:eastAsia="仿宋" w:cs="仿宋"/>
          <w:color w:val="auto"/>
          <w:sz w:val="24"/>
          <w:szCs w:val="24"/>
          <w:highlight w:val="none"/>
          <w:lang w:val="en-US" w:eastAsia="zh-CN"/>
        </w:rPr>
        <w:t>内</w:t>
      </w:r>
      <w:r>
        <w:rPr>
          <w:rFonts w:hint="eastAsia" w:ascii="仿宋" w:hAnsi="仿宋" w:eastAsia="仿宋" w:cs="仿宋"/>
          <w:color w:val="auto"/>
          <w:sz w:val="24"/>
          <w:szCs w:val="24"/>
          <w:highlight w:val="none"/>
        </w:rPr>
        <w:t>的为合格；</w:t>
      </w:r>
      <w:r>
        <w:rPr>
          <w:rFonts w:hint="eastAsia" w:ascii="仿宋" w:hAnsi="仿宋" w:eastAsia="仿宋" w:cs="仿宋"/>
          <w:color w:val="auto"/>
          <w:sz w:val="24"/>
          <w:szCs w:val="24"/>
          <w:highlight w:val="none"/>
          <w:lang w:val="en-US" w:eastAsia="zh-CN"/>
        </w:rPr>
        <w:t>5分至15（含）以内为基本合格，15</w:t>
      </w:r>
      <w:r>
        <w:rPr>
          <w:rFonts w:hint="eastAsia" w:ascii="仿宋" w:hAnsi="仿宋" w:eastAsia="仿宋" w:cs="仿宋"/>
          <w:color w:val="auto"/>
          <w:sz w:val="24"/>
          <w:szCs w:val="24"/>
          <w:highlight w:val="none"/>
        </w:rPr>
        <w:t>分以下的为不合格。</w:t>
      </w:r>
    </w:p>
    <w:p w14:paraId="4339AB7D">
      <w:pPr>
        <w:keepNext w:val="0"/>
        <w:keepLines w:val="0"/>
        <w:pageBreakBefore w:val="0"/>
        <w:widowControl w:val="0"/>
        <w:kinsoku/>
        <w:wordWrap/>
        <w:overflowPunct/>
        <w:topLinePunct w:val="0"/>
        <w:autoSpaceDE/>
        <w:autoSpaceDN/>
        <w:bidi w:val="0"/>
        <w:adjustRightInd w:val="0"/>
        <w:snapToGrid/>
        <w:spacing w:line="400" w:lineRule="exact"/>
        <w:ind w:firstLine="482" w:firstLineChars="200"/>
        <w:textAlignment w:val="auto"/>
        <w:outlineLvl w:val="1"/>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四、商务条款</w:t>
      </w:r>
    </w:p>
    <w:tbl>
      <w:tblPr>
        <w:tblStyle w:val="62"/>
        <w:tblW w:w="8608" w:type="dxa"/>
        <w:tblInd w:w="-22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24"/>
        <w:gridCol w:w="1236"/>
        <w:gridCol w:w="6648"/>
      </w:tblGrid>
      <w:tr w14:paraId="17B9A1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5" w:hRule="atLeast"/>
        </w:trPr>
        <w:tc>
          <w:tcPr>
            <w:tcW w:w="724" w:type="dxa"/>
            <w:tcBorders>
              <w:top w:val="single" w:color="000000" w:sz="4" w:space="0"/>
              <w:left w:val="single" w:color="000000" w:sz="4" w:space="0"/>
              <w:bottom w:val="single" w:color="000000" w:sz="4" w:space="0"/>
              <w:right w:val="single" w:color="000000" w:sz="4" w:space="0"/>
            </w:tcBorders>
            <w:noWrap w:val="0"/>
            <w:vAlign w:val="center"/>
          </w:tcPr>
          <w:p w14:paraId="0BC76E15">
            <w:pPr>
              <w:pageBreakBefore w:val="0"/>
              <w:kinsoku/>
              <w:wordWrap/>
              <w:overflowPunct/>
              <w:topLinePunct w:val="0"/>
              <w:bidi w:val="0"/>
              <w:spacing w:line="400" w:lineRule="exact"/>
              <w:jc w:val="center"/>
              <w:rPr>
                <w:rFonts w:ascii="仿宋" w:hAnsi="仿宋" w:eastAsia="仿宋" w:cs="仿宋"/>
                <w:b/>
                <w:bCs/>
                <w:color w:val="auto"/>
                <w:kern w:val="1"/>
                <w:sz w:val="24"/>
                <w:highlight w:val="none"/>
              </w:rPr>
            </w:pPr>
            <w:r>
              <w:rPr>
                <w:rFonts w:hint="eastAsia" w:ascii="仿宋" w:hAnsi="仿宋" w:eastAsia="仿宋" w:cs="仿宋"/>
                <w:b/>
                <w:bCs/>
                <w:color w:val="auto"/>
                <w:kern w:val="1"/>
                <w:sz w:val="24"/>
                <w:highlight w:val="none"/>
              </w:rPr>
              <w:t>序号</w:t>
            </w:r>
          </w:p>
        </w:tc>
        <w:tc>
          <w:tcPr>
            <w:tcW w:w="1236" w:type="dxa"/>
            <w:tcBorders>
              <w:top w:val="single" w:color="000000" w:sz="4" w:space="0"/>
              <w:left w:val="single" w:color="000000" w:sz="4" w:space="0"/>
              <w:bottom w:val="single" w:color="000000" w:sz="4" w:space="0"/>
              <w:right w:val="single" w:color="000000" w:sz="4" w:space="0"/>
            </w:tcBorders>
            <w:noWrap w:val="0"/>
            <w:vAlign w:val="center"/>
          </w:tcPr>
          <w:p w14:paraId="0155FCA8">
            <w:pPr>
              <w:pageBreakBefore w:val="0"/>
              <w:kinsoku/>
              <w:wordWrap/>
              <w:overflowPunct/>
              <w:topLinePunct w:val="0"/>
              <w:bidi w:val="0"/>
              <w:spacing w:line="400" w:lineRule="exact"/>
              <w:jc w:val="center"/>
              <w:rPr>
                <w:rFonts w:ascii="仿宋" w:hAnsi="仿宋" w:eastAsia="仿宋" w:cs="仿宋"/>
                <w:b/>
                <w:bCs/>
                <w:color w:val="auto"/>
                <w:kern w:val="1"/>
                <w:sz w:val="24"/>
                <w:highlight w:val="none"/>
              </w:rPr>
            </w:pPr>
            <w:r>
              <w:rPr>
                <w:rFonts w:hint="eastAsia" w:ascii="仿宋" w:hAnsi="仿宋" w:eastAsia="仿宋" w:cs="仿宋"/>
                <w:b/>
                <w:bCs/>
                <w:color w:val="auto"/>
                <w:kern w:val="1"/>
                <w:sz w:val="24"/>
                <w:highlight w:val="none"/>
              </w:rPr>
              <w:t>内</w:t>
            </w:r>
            <w:r>
              <w:rPr>
                <w:rFonts w:hint="eastAsia" w:ascii="仿宋" w:hAnsi="仿宋" w:eastAsia="仿宋" w:cs="仿宋"/>
                <w:b/>
                <w:bCs/>
                <w:color w:val="auto"/>
                <w:kern w:val="1"/>
                <w:sz w:val="24"/>
                <w:highlight w:val="none"/>
                <w:lang w:val="en-US" w:eastAsia="zh-CN"/>
              </w:rPr>
              <w:t xml:space="preserve">  </w:t>
            </w:r>
            <w:r>
              <w:rPr>
                <w:rFonts w:hint="eastAsia" w:ascii="仿宋" w:hAnsi="仿宋" w:eastAsia="仿宋" w:cs="仿宋"/>
                <w:b/>
                <w:bCs/>
                <w:color w:val="auto"/>
                <w:kern w:val="1"/>
                <w:sz w:val="24"/>
                <w:highlight w:val="none"/>
              </w:rPr>
              <w:t>容</w:t>
            </w:r>
          </w:p>
        </w:tc>
        <w:tc>
          <w:tcPr>
            <w:tcW w:w="6648" w:type="dxa"/>
            <w:tcBorders>
              <w:top w:val="single" w:color="000000" w:sz="4" w:space="0"/>
              <w:left w:val="single" w:color="000000" w:sz="4" w:space="0"/>
              <w:bottom w:val="single" w:color="000000" w:sz="4" w:space="0"/>
              <w:right w:val="single" w:color="000000" w:sz="4" w:space="0"/>
            </w:tcBorders>
            <w:noWrap w:val="0"/>
            <w:vAlign w:val="center"/>
          </w:tcPr>
          <w:p w14:paraId="0B808329">
            <w:pPr>
              <w:pageBreakBefore w:val="0"/>
              <w:kinsoku/>
              <w:wordWrap/>
              <w:overflowPunct/>
              <w:topLinePunct w:val="0"/>
              <w:bidi w:val="0"/>
              <w:spacing w:line="400" w:lineRule="exact"/>
              <w:jc w:val="center"/>
              <w:rPr>
                <w:rFonts w:ascii="仿宋" w:hAnsi="仿宋" w:eastAsia="仿宋" w:cs="仿宋"/>
                <w:b/>
                <w:bCs/>
                <w:color w:val="auto"/>
                <w:kern w:val="1"/>
                <w:sz w:val="24"/>
                <w:highlight w:val="none"/>
              </w:rPr>
            </w:pPr>
            <w:r>
              <w:rPr>
                <w:rFonts w:hint="eastAsia" w:ascii="仿宋" w:hAnsi="仿宋" w:eastAsia="仿宋" w:cs="仿宋"/>
                <w:b/>
                <w:bCs/>
                <w:color w:val="auto"/>
                <w:kern w:val="1"/>
                <w:sz w:val="24"/>
                <w:highlight w:val="none"/>
              </w:rPr>
              <w:t>要</w:t>
            </w:r>
            <w:r>
              <w:rPr>
                <w:rFonts w:hint="eastAsia" w:ascii="仿宋" w:hAnsi="仿宋" w:eastAsia="仿宋" w:cs="仿宋"/>
                <w:b/>
                <w:bCs/>
                <w:color w:val="auto"/>
                <w:kern w:val="1"/>
                <w:sz w:val="24"/>
                <w:highlight w:val="none"/>
                <w:lang w:val="en-US" w:eastAsia="zh-CN"/>
              </w:rPr>
              <w:t xml:space="preserve">      </w:t>
            </w:r>
            <w:r>
              <w:rPr>
                <w:rFonts w:hint="eastAsia" w:ascii="仿宋" w:hAnsi="仿宋" w:eastAsia="仿宋" w:cs="仿宋"/>
                <w:b/>
                <w:bCs/>
                <w:color w:val="auto"/>
                <w:kern w:val="1"/>
                <w:sz w:val="24"/>
                <w:highlight w:val="none"/>
              </w:rPr>
              <w:t>求</w:t>
            </w:r>
          </w:p>
        </w:tc>
      </w:tr>
      <w:tr w14:paraId="5878AD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724" w:type="dxa"/>
            <w:tcBorders>
              <w:top w:val="single" w:color="000000" w:sz="4" w:space="0"/>
              <w:left w:val="single" w:color="000000" w:sz="4" w:space="0"/>
              <w:bottom w:val="single" w:color="000000" w:sz="4" w:space="0"/>
              <w:right w:val="single" w:color="000000" w:sz="4" w:space="0"/>
            </w:tcBorders>
            <w:noWrap w:val="0"/>
            <w:vAlign w:val="center"/>
          </w:tcPr>
          <w:p w14:paraId="595AC23C">
            <w:pPr>
              <w:pageBreakBefore w:val="0"/>
              <w:kinsoku/>
              <w:wordWrap/>
              <w:overflowPunct/>
              <w:topLinePunct w:val="0"/>
              <w:bidi w:val="0"/>
              <w:spacing w:line="400" w:lineRule="exact"/>
              <w:jc w:val="center"/>
              <w:rPr>
                <w:rFonts w:hint="default" w:ascii="仿宋" w:hAnsi="仿宋" w:eastAsia="仿宋" w:cs="仿宋"/>
                <w:b w:val="0"/>
                <w:bCs w:val="0"/>
                <w:color w:val="auto"/>
                <w:kern w:val="1"/>
                <w:sz w:val="24"/>
                <w:highlight w:val="none"/>
                <w:lang w:val="en-US" w:eastAsia="zh-CN"/>
              </w:rPr>
            </w:pPr>
            <w:r>
              <w:rPr>
                <w:rFonts w:hint="eastAsia" w:ascii="仿宋" w:hAnsi="仿宋" w:eastAsia="仿宋" w:cs="仿宋"/>
                <w:b w:val="0"/>
                <w:bCs w:val="0"/>
                <w:color w:val="auto"/>
                <w:kern w:val="1"/>
                <w:sz w:val="24"/>
                <w:highlight w:val="none"/>
                <w:lang w:val="en-US" w:eastAsia="zh-CN"/>
              </w:rPr>
              <w:t>1</w:t>
            </w:r>
          </w:p>
        </w:tc>
        <w:tc>
          <w:tcPr>
            <w:tcW w:w="1236" w:type="dxa"/>
            <w:tcBorders>
              <w:top w:val="single" w:color="000000" w:sz="4" w:space="0"/>
              <w:left w:val="single" w:color="000000" w:sz="4" w:space="0"/>
              <w:bottom w:val="single" w:color="000000" w:sz="4" w:space="0"/>
              <w:right w:val="single" w:color="000000" w:sz="4" w:space="0"/>
            </w:tcBorders>
            <w:noWrap w:val="0"/>
            <w:vAlign w:val="center"/>
          </w:tcPr>
          <w:p w14:paraId="6413E0D4">
            <w:pPr>
              <w:pageBreakBefore w:val="0"/>
              <w:kinsoku/>
              <w:wordWrap/>
              <w:overflowPunct/>
              <w:topLinePunct w:val="0"/>
              <w:autoSpaceDE w:val="0"/>
              <w:autoSpaceDN w:val="0"/>
              <w:bidi w:val="0"/>
              <w:spacing w:line="40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服务期限</w:t>
            </w:r>
          </w:p>
        </w:tc>
        <w:tc>
          <w:tcPr>
            <w:tcW w:w="6648" w:type="dxa"/>
            <w:tcBorders>
              <w:top w:val="single" w:color="000000" w:sz="4" w:space="0"/>
              <w:left w:val="single" w:color="000000" w:sz="4" w:space="0"/>
              <w:bottom w:val="single" w:color="000000" w:sz="4" w:space="0"/>
              <w:right w:val="single" w:color="000000" w:sz="4" w:space="0"/>
            </w:tcBorders>
            <w:noWrap w:val="0"/>
            <w:vAlign w:val="center"/>
          </w:tcPr>
          <w:p w14:paraId="0215B1CA">
            <w:pPr>
              <w:pageBreakBefore w:val="0"/>
              <w:kinsoku/>
              <w:wordWrap/>
              <w:overflowPunct/>
              <w:topLinePunct w:val="0"/>
              <w:autoSpaceDE w:val="0"/>
              <w:autoSpaceDN w:val="0"/>
              <w:bidi w:val="0"/>
              <w:spacing w:line="400" w:lineRule="exact"/>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2025年5月1日至2025年12月31日。</w:t>
            </w:r>
          </w:p>
        </w:tc>
      </w:tr>
      <w:tr w14:paraId="620185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51" w:hRule="atLeast"/>
        </w:trPr>
        <w:tc>
          <w:tcPr>
            <w:tcW w:w="724" w:type="dxa"/>
            <w:tcBorders>
              <w:top w:val="single" w:color="000000" w:sz="4" w:space="0"/>
              <w:left w:val="single" w:color="000000" w:sz="4" w:space="0"/>
              <w:bottom w:val="single" w:color="000000" w:sz="4" w:space="0"/>
              <w:right w:val="single" w:color="000000" w:sz="4" w:space="0"/>
            </w:tcBorders>
            <w:noWrap w:val="0"/>
            <w:vAlign w:val="center"/>
          </w:tcPr>
          <w:p w14:paraId="5466A978">
            <w:pPr>
              <w:pageBreakBefore w:val="0"/>
              <w:kinsoku/>
              <w:wordWrap/>
              <w:overflowPunct/>
              <w:topLinePunct w:val="0"/>
              <w:bidi w:val="0"/>
              <w:spacing w:line="400" w:lineRule="exact"/>
              <w:jc w:val="center"/>
              <w:rPr>
                <w:rFonts w:hint="default" w:ascii="仿宋" w:hAnsi="仿宋" w:eastAsia="仿宋" w:cs="仿宋"/>
                <w:color w:val="auto"/>
                <w:kern w:val="1"/>
                <w:sz w:val="24"/>
                <w:highlight w:val="none"/>
                <w:lang w:val="en-US" w:eastAsia="zh-CN"/>
              </w:rPr>
            </w:pPr>
            <w:r>
              <w:rPr>
                <w:rFonts w:hint="eastAsia" w:ascii="仿宋" w:hAnsi="仿宋" w:eastAsia="仿宋" w:cs="仿宋"/>
                <w:color w:val="auto"/>
                <w:kern w:val="1"/>
                <w:sz w:val="24"/>
                <w:highlight w:val="none"/>
                <w:lang w:val="en-US" w:eastAsia="zh-CN"/>
              </w:rPr>
              <w:t>2</w:t>
            </w:r>
          </w:p>
        </w:tc>
        <w:tc>
          <w:tcPr>
            <w:tcW w:w="1236" w:type="dxa"/>
            <w:tcBorders>
              <w:top w:val="single" w:color="000000" w:sz="4" w:space="0"/>
              <w:left w:val="single" w:color="000000" w:sz="4" w:space="0"/>
              <w:bottom w:val="single" w:color="000000" w:sz="4" w:space="0"/>
              <w:right w:val="single" w:color="000000" w:sz="4" w:space="0"/>
            </w:tcBorders>
            <w:noWrap w:val="0"/>
            <w:vAlign w:val="center"/>
          </w:tcPr>
          <w:p w14:paraId="41031F39">
            <w:pPr>
              <w:pageBreakBefore w:val="0"/>
              <w:kinsoku/>
              <w:wordWrap/>
              <w:overflowPunct/>
              <w:topLinePunct w:val="0"/>
              <w:bidi w:val="0"/>
              <w:snapToGrid w:val="0"/>
              <w:spacing w:line="400" w:lineRule="exact"/>
              <w:jc w:val="center"/>
              <w:rPr>
                <w:rFonts w:hint="eastAsia" w:ascii="仿宋" w:hAnsi="仿宋" w:eastAsia="仿宋" w:cs="仿宋"/>
                <w:color w:val="auto"/>
                <w:kern w:val="1"/>
                <w:sz w:val="24"/>
                <w:szCs w:val="24"/>
                <w:highlight w:val="none"/>
              </w:rPr>
            </w:pPr>
            <w:r>
              <w:rPr>
                <w:rFonts w:hint="eastAsia" w:ascii="仿宋" w:hAnsi="仿宋" w:eastAsia="仿宋" w:cs="仿宋"/>
                <w:color w:val="auto"/>
                <w:sz w:val="24"/>
                <w:highlight w:val="none"/>
              </w:rPr>
              <w:t>付款方式</w:t>
            </w:r>
          </w:p>
        </w:tc>
        <w:tc>
          <w:tcPr>
            <w:tcW w:w="6648" w:type="dxa"/>
            <w:tcBorders>
              <w:top w:val="single" w:color="000000" w:sz="4" w:space="0"/>
              <w:left w:val="single" w:color="000000" w:sz="4" w:space="0"/>
              <w:bottom w:val="single" w:color="000000" w:sz="4" w:space="0"/>
              <w:right w:val="single" w:color="000000" w:sz="4" w:space="0"/>
            </w:tcBorders>
            <w:noWrap w:val="0"/>
            <w:vAlign w:val="center"/>
          </w:tcPr>
          <w:p w14:paraId="103FA798">
            <w:pPr>
              <w:pageBreakBefore w:val="0"/>
              <w:kinsoku/>
              <w:wordWrap/>
              <w:overflowPunct/>
              <w:topLinePunct w:val="0"/>
              <w:autoSpaceDE w:val="0"/>
              <w:autoSpaceDN w:val="0"/>
              <w:bidi w:val="0"/>
              <w:spacing w:line="400" w:lineRule="exact"/>
              <w:jc w:val="left"/>
              <w:rPr>
                <w:rFonts w:hint="default" w:eastAsia="仿宋"/>
                <w:color w:val="auto"/>
                <w:highlight w:val="none"/>
                <w:lang w:val="en-US" w:eastAsia="zh-CN"/>
              </w:rPr>
            </w:pPr>
            <w:r>
              <w:rPr>
                <w:rFonts w:hint="eastAsia" w:ascii="仿宋" w:hAnsi="仿宋" w:eastAsia="仿宋" w:cs="仿宋"/>
                <w:color w:val="auto"/>
                <w:sz w:val="24"/>
                <w:szCs w:val="24"/>
                <w:highlight w:val="none"/>
                <w:lang w:val="en-US" w:eastAsia="zh-CN"/>
              </w:rPr>
              <w:t>合同</w:t>
            </w:r>
            <w:r>
              <w:rPr>
                <w:rFonts w:hint="eastAsia" w:ascii="仿宋" w:hAnsi="仿宋" w:eastAsia="仿宋" w:cs="仿宋"/>
                <w:color w:val="auto"/>
                <w:sz w:val="24"/>
                <w:szCs w:val="24"/>
                <w:highlight w:val="none"/>
              </w:rPr>
              <w:t>签订</w:t>
            </w:r>
            <w:r>
              <w:rPr>
                <w:rFonts w:hint="eastAsia" w:ascii="仿宋" w:hAnsi="仿宋" w:eastAsia="仿宋" w:cs="仿宋"/>
                <w:color w:val="auto"/>
                <w:sz w:val="24"/>
                <w:szCs w:val="24"/>
                <w:highlight w:val="none"/>
                <w:lang w:val="en-US" w:eastAsia="zh-CN"/>
              </w:rPr>
              <w:t>并具备实施条件</w:t>
            </w:r>
            <w:r>
              <w:rPr>
                <w:rFonts w:hint="eastAsia" w:ascii="仿宋" w:hAnsi="仿宋" w:eastAsia="仿宋" w:cs="仿宋"/>
                <w:color w:val="auto"/>
                <w:sz w:val="24"/>
                <w:szCs w:val="24"/>
                <w:highlight w:val="none"/>
              </w:rPr>
              <w:t>后</w:t>
            </w:r>
            <w:r>
              <w:rPr>
                <w:rFonts w:hint="eastAsia" w:ascii="仿宋" w:hAnsi="仿宋" w:eastAsia="仿宋" w:cs="仿宋"/>
                <w:b/>
                <w:bCs/>
                <w:color w:val="auto"/>
                <w:sz w:val="24"/>
                <w:szCs w:val="24"/>
                <w:highlight w:val="none"/>
              </w:rPr>
              <w:t>支付</w:t>
            </w:r>
            <w:r>
              <w:rPr>
                <w:rFonts w:hint="eastAsia" w:ascii="仿宋" w:hAnsi="仿宋" w:eastAsia="仿宋" w:cs="仿宋"/>
                <w:b/>
                <w:bCs/>
                <w:color w:val="auto"/>
                <w:sz w:val="24"/>
                <w:szCs w:val="24"/>
                <w:highlight w:val="none"/>
                <w:lang w:val="en-US" w:eastAsia="zh-CN"/>
              </w:rPr>
              <w:t>合同价</w:t>
            </w:r>
            <w:r>
              <w:rPr>
                <w:rFonts w:hint="eastAsia" w:ascii="仿宋" w:hAnsi="仿宋" w:eastAsia="仿宋" w:cs="仿宋"/>
                <w:b/>
                <w:bCs/>
                <w:color w:val="auto"/>
                <w:sz w:val="24"/>
                <w:szCs w:val="24"/>
                <w:highlight w:val="none"/>
              </w:rPr>
              <w:t>的</w:t>
            </w:r>
            <w:r>
              <w:rPr>
                <w:rFonts w:hint="eastAsia" w:ascii="仿宋" w:hAnsi="仿宋" w:eastAsia="仿宋" w:cs="仿宋"/>
                <w:b/>
                <w:bCs/>
                <w:color w:val="auto"/>
                <w:sz w:val="24"/>
                <w:szCs w:val="24"/>
                <w:highlight w:val="none"/>
                <w:lang w:val="en-US" w:eastAsia="zh-CN"/>
              </w:rPr>
              <w:t>50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作为预付款</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汛期结束后，在10月底前支付合同价的40%，剩余10%待合同到期后根据考核结果支付。</w:t>
            </w:r>
            <w:r>
              <w:rPr>
                <w:rFonts w:hint="eastAsia" w:ascii="仿宋" w:hAnsi="仿宋" w:eastAsia="仿宋" w:cs="仿宋"/>
                <w:b w:val="0"/>
                <w:bCs w:val="0"/>
                <w:color w:val="auto"/>
                <w:sz w:val="24"/>
                <w:szCs w:val="24"/>
                <w:highlight w:val="none"/>
                <w:lang w:val="en-US" w:eastAsia="zh-CN"/>
              </w:rPr>
              <w:t>合计扣分在小于5分（含）以内全额支付合同价；合计扣分在5分至15分（含）内的扣除物业费用=（考核扣分-5）/100×合同价。</w:t>
            </w:r>
          </w:p>
        </w:tc>
      </w:tr>
      <w:tr w14:paraId="2F1034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8" w:hRule="atLeast"/>
        </w:trPr>
        <w:tc>
          <w:tcPr>
            <w:tcW w:w="724" w:type="dxa"/>
            <w:tcBorders>
              <w:top w:val="single" w:color="000000" w:sz="4" w:space="0"/>
              <w:left w:val="single" w:color="000000" w:sz="4" w:space="0"/>
              <w:bottom w:val="single" w:color="000000" w:sz="4" w:space="0"/>
              <w:right w:val="single" w:color="000000" w:sz="4" w:space="0"/>
            </w:tcBorders>
            <w:noWrap w:val="0"/>
            <w:vAlign w:val="center"/>
          </w:tcPr>
          <w:p w14:paraId="4FAF0027">
            <w:pPr>
              <w:pageBreakBefore w:val="0"/>
              <w:kinsoku/>
              <w:wordWrap/>
              <w:overflowPunct/>
              <w:topLinePunct w:val="0"/>
              <w:bidi w:val="0"/>
              <w:spacing w:line="400" w:lineRule="exact"/>
              <w:jc w:val="center"/>
              <w:rPr>
                <w:rFonts w:hint="eastAsia" w:ascii="仿宋" w:hAnsi="仿宋" w:eastAsia="仿宋" w:cs="仿宋"/>
                <w:color w:val="auto"/>
                <w:kern w:val="1"/>
                <w:sz w:val="24"/>
                <w:highlight w:val="none"/>
                <w:lang w:eastAsia="zh-CN"/>
              </w:rPr>
            </w:pPr>
            <w:r>
              <w:rPr>
                <w:rFonts w:hint="eastAsia" w:ascii="仿宋" w:hAnsi="仿宋" w:eastAsia="仿宋" w:cs="仿宋"/>
                <w:color w:val="auto"/>
                <w:kern w:val="1"/>
                <w:sz w:val="24"/>
                <w:highlight w:val="none"/>
                <w:lang w:val="en-US" w:eastAsia="zh-CN"/>
              </w:rPr>
              <w:t>3</w:t>
            </w:r>
          </w:p>
        </w:tc>
        <w:tc>
          <w:tcPr>
            <w:tcW w:w="1236" w:type="dxa"/>
            <w:tcBorders>
              <w:top w:val="single" w:color="000000" w:sz="4" w:space="0"/>
              <w:left w:val="single" w:color="000000" w:sz="4" w:space="0"/>
              <w:bottom w:val="single" w:color="000000" w:sz="4" w:space="0"/>
              <w:right w:val="single" w:color="000000" w:sz="4" w:space="0"/>
            </w:tcBorders>
            <w:noWrap w:val="0"/>
            <w:vAlign w:val="center"/>
          </w:tcPr>
          <w:p w14:paraId="2EDA0739">
            <w:pPr>
              <w:pageBreakBefore w:val="0"/>
              <w:kinsoku/>
              <w:wordWrap/>
              <w:overflowPunct/>
              <w:topLinePunct w:val="0"/>
              <w:bidi w:val="0"/>
              <w:snapToGrid w:val="0"/>
              <w:spacing w:line="400" w:lineRule="exact"/>
              <w:jc w:val="center"/>
              <w:rPr>
                <w:rFonts w:ascii="仿宋" w:hAnsi="仿宋" w:eastAsia="仿宋" w:cs="仿宋"/>
                <w:color w:val="auto"/>
                <w:kern w:val="1"/>
                <w:sz w:val="24"/>
                <w:highlight w:val="none"/>
              </w:rPr>
            </w:pPr>
            <w:r>
              <w:rPr>
                <w:rFonts w:hint="eastAsia" w:ascii="仿宋" w:hAnsi="仿宋" w:eastAsia="仿宋" w:cs="仿宋"/>
                <w:color w:val="auto"/>
                <w:sz w:val="24"/>
                <w:highlight w:val="none"/>
              </w:rPr>
              <w:t>履约保证金</w:t>
            </w:r>
          </w:p>
        </w:tc>
        <w:tc>
          <w:tcPr>
            <w:tcW w:w="6648" w:type="dxa"/>
            <w:tcBorders>
              <w:top w:val="single" w:color="000000" w:sz="4" w:space="0"/>
              <w:left w:val="single" w:color="000000" w:sz="4" w:space="0"/>
              <w:bottom w:val="single" w:color="000000" w:sz="4" w:space="0"/>
              <w:right w:val="single" w:color="000000" w:sz="4" w:space="0"/>
            </w:tcBorders>
            <w:noWrap w:val="0"/>
            <w:vAlign w:val="center"/>
          </w:tcPr>
          <w:p w14:paraId="793F8D78">
            <w:pPr>
              <w:pageBreakBefore w:val="0"/>
              <w:kinsoku/>
              <w:wordWrap/>
              <w:overflowPunct/>
              <w:topLinePunct w:val="0"/>
              <w:bidi w:val="0"/>
              <w:spacing w:line="400" w:lineRule="exact"/>
              <w:rPr>
                <w:rFonts w:ascii="仿宋" w:hAnsi="仿宋" w:eastAsia="仿宋" w:cs="仿宋"/>
                <w:color w:val="auto"/>
                <w:sz w:val="24"/>
                <w:highlight w:val="none"/>
              </w:rPr>
            </w:pPr>
            <w:r>
              <w:rPr>
                <w:rFonts w:hint="eastAsia" w:ascii="仿宋" w:hAnsi="仿宋" w:eastAsia="仿宋" w:cs="仿宋"/>
                <w:b w:val="0"/>
                <w:bCs/>
                <w:color w:val="auto"/>
                <w:sz w:val="24"/>
                <w:highlight w:val="none"/>
              </w:rPr>
              <w:t>中标后，由中标单位支付采购单位</w:t>
            </w:r>
            <w:r>
              <w:rPr>
                <w:rFonts w:hint="eastAsia" w:ascii="仿宋" w:hAnsi="仿宋" w:eastAsia="仿宋" w:cs="仿宋"/>
                <w:b w:val="0"/>
                <w:bCs/>
                <w:color w:val="auto"/>
                <w:sz w:val="24"/>
                <w:highlight w:val="none"/>
                <w:lang w:val="en-US" w:eastAsia="zh-CN"/>
              </w:rPr>
              <w:t>中标金额1%</w:t>
            </w:r>
            <w:r>
              <w:rPr>
                <w:rFonts w:hint="eastAsia" w:ascii="仿宋" w:hAnsi="仿宋" w:eastAsia="仿宋" w:cs="仿宋"/>
                <w:b w:val="0"/>
                <w:bCs/>
                <w:color w:val="auto"/>
                <w:sz w:val="24"/>
                <w:highlight w:val="none"/>
              </w:rPr>
              <w:t>的履约保证金，在服务期满后无违约问题10个工作日内无息退还。</w:t>
            </w:r>
          </w:p>
        </w:tc>
      </w:tr>
      <w:tr w14:paraId="3D98FF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1" w:hRule="atLeast"/>
        </w:trPr>
        <w:tc>
          <w:tcPr>
            <w:tcW w:w="724" w:type="dxa"/>
            <w:tcBorders>
              <w:top w:val="single" w:color="000000" w:sz="4" w:space="0"/>
              <w:left w:val="single" w:color="000000" w:sz="4" w:space="0"/>
              <w:bottom w:val="single" w:color="000000" w:sz="4" w:space="0"/>
              <w:right w:val="single" w:color="000000" w:sz="4" w:space="0"/>
            </w:tcBorders>
            <w:noWrap w:val="0"/>
            <w:vAlign w:val="center"/>
          </w:tcPr>
          <w:p w14:paraId="60BC86CF">
            <w:pPr>
              <w:pageBreakBefore w:val="0"/>
              <w:kinsoku/>
              <w:wordWrap/>
              <w:overflowPunct/>
              <w:topLinePunct w:val="0"/>
              <w:bidi w:val="0"/>
              <w:spacing w:line="400" w:lineRule="exact"/>
              <w:jc w:val="center"/>
              <w:rPr>
                <w:rFonts w:hint="default" w:ascii="仿宋" w:hAnsi="仿宋" w:eastAsia="仿宋" w:cs="仿宋"/>
                <w:color w:val="auto"/>
                <w:kern w:val="1"/>
                <w:sz w:val="24"/>
                <w:highlight w:val="none"/>
                <w:lang w:val="en-US" w:eastAsia="zh-CN"/>
              </w:rPr>
            </w:pPr>
            <w:r>
              <w:rPr>
                <w:rFonts w:hint="eastAsia" w:ascii="仿宋" w:hAnsi="仿宋" w:eastAsia="仿宋" w:cs="仿宋"/>
                <w:color w:val="auto"/>
                <w:kern w:val="1"/>
                <w:sz w:val="24"/>
                <w:highlight w:val="none"/>
                <w:lang w:val="en-US" w:eastAsia="zh-CN"/>
              </w:rPr>
              <w:t>4</w:t>
            </w:r>
          </w:p>
        </w:tc>
        <w:tc>
          <w:tcPr>
            <w:tcW w:w="1236" w:type="dxa"/>
            <w:tcBorders>
              <w:top w:val="single" w:color="000000" w:sz="4" w:space="0"/>
              <w:left w:val="single" w:color="000000" w:sz="4" w:space="0"/>
              <w:bottom w:val="single" w:color="000000" w:sz="4" w:space="0"/>
              <w:right w:val="single" w:color="000000" w:sz="4" w:space="0"/>
            </w:tcBorders>
            <w:noWrap w:val="0"/>
            <w:vAlign w:val="center"/>
          </w:tcPr>
          <w:p w14:paraId="6408726D">
            <w:pPr>
              <w:pageBreakBefore w:val="0"/>
              <w:kinsoku/>
              <w:wordWrap/>
              <w:overflowPunct/>
              <w:topLinePunct w:val="0"/>
              <w:bidi w:val="0"/>
              <w:snapToGrid w:val="0"/>
              <w:spacing w:line="40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报价要求</w:t>
            </w:r>
          </w:p>
        </w:tc>
        <w:tc>
          <w:tcPr>
            <w:tcW w:w="6648" w:type="dxa"/>
            <w:tcBorders>
              <w:top w:val="single" w:color="000000" w:sz="4" w:space="0"/>
              <w:left w:val="single" w:color="000000" w:sz="4" w:space="0"/>
              <w:bottom w:val="single" w:color="000000" w:sz="4" w:space="0"/>
              <w:right w:val="single" w:color="000000" w:sz="4" w:space="0"/>
            </w:tcBorders>
            <w:noWrap w:val="0"/>
            <w:vAlign w:val="center"/>
          </w:tcPr>
          <w:p w14:paraId="4CB2D0E7">
            <w:pPr>
              <w:pageBreakBefore w:val="0"/>
              <w:kinsoku/>
              <w:wordWrap/>
              <w:overflowPunct/>
              <w:topLinePunct w:val="0"/>
              <w:bidi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本项目投标报价包含维护绿化、资料管理、人员、设备维护、税金等一切与之相关的所有费用。</w:t>
            </w:r>
          </w:p>
          <w:p w14:paraId="67961A15">
            <w:pPr>
              <w:keepNext w:val="0"/>
              <w:keepLines w:val="0"/>
              <w:pageBreakBefore w:val="0"/>
              <w:widowControl w:val="0"/>
              <w:kinsoku/>
              <w:wordWrap/>
              <w:overflowPunct/>
              <w:topLinePunct w:val="0"/>
              <w:autoSpaceDE/>
              <w:autoSpaceDN/>
              <w:bidi w:val="0"/>
              <w:adjustRightInd w:val="0"/>
              <w:snapToGrid w:val="0"/>
              <w:spacing w:line="44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本项目投标报价按每座水库单独报价，总价为所有水库报价之和。每座水库报价包含水库整治提升施工期间物业费用，水库整治提升开工至完工验收期间不实施物业化管护，相关费用在结算时按实际工期扣除。</w:t>
            </w:r>
          </w:p>
          <w:p w14:paraId="3329366F">
            <w:pPr>
              <w:keepNext w:val="0"/>
              <w:keepLines w:val="0"/>
              <w:pageBreakBefore w:val="0"/>
              <w:widowControl w:val="0"/>
              <w:kinsoku/>
              <w:wordWrap/>
              <w:overflowPunct/>
              <w:topLinePunct w:val="0"/>
              <w:autoSpaceDE/>
              <w:autoSpaceDN/>
              <w:bidi w:val="0"/>
              <w:adjustRightInd w:val="0"/>
              <w:snapToGrid w:val="0"/>
              <w:spacing w:line="440" w:lineRule="exact"/>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color w:val="auto"/>
                <w:kern w:val="0"/>
                <w:sz w:val="24"/>
                <w:highlight w:val="none"/>
                <w:lang w:val="en-US" w:eastAsia="zh-CN"/>
              </w:rPr>
              <w:t>本项目采购上限价为67万元。</w:t>
            </w:r>
          </w:p>
        </w:tc>
      </w:tr>
    </w:tbl>
    <w:p w14:paraId="17AC0F1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12E14CE8">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47B53F99">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5F607645">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w:t>
      </w:r>
      <w:r>
        <w:rPr>
          <w:rFonts w:hint="eastAsia" w:ascii="仿宋" w:hAnsi="仿宋" w:eastAsia="仿宋" w:cs="仿宋"/>
          <w:b/>
          <w:color w:val="auto"/>
          <w:sz w:val="36"/>
          <w:szCs w:val="36"/>
          <w:highlight w:val="none"/>
          <w:lang w:val="en-US" w:eastAsia="zh-CN"/>
        </w:rPr>
        <w:t>四</w:t>
      </w:r>
      <w:r>
        <w:rPr>
          <w:rFonts w:hint="eastAsia" w:ascii="仿宋" w:hAnsi="仿宋" w:eastAsia="仿宋" w:cs="仿宋"/>
          <w:b/>
          <w:color w:val="auto"/>
          <w:sz w:val="36"/>
          <w:szCs w:val="36"/>
          <w:highlight w:val="none"/>
        </w:rPr>
        <w:t>部分  评标方法及标准</w:t>
      </w:r>
    </w:p>
    <w:p w14:paraId="74DBCABA">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1、评标方法：</w:t>
      </w:r>
    </w:p>
    <w:p w14:paraId="565A3A0D">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75711AEA">
      <w:pPr>
        <w:keepNext w:val="0"/>
        <w:keepLines w:val="0"/>
        <w:pageBreakBefore w:val="0"/>
        <w:widowControl w:val="0"/>
        <w:kinsoku/>
        <w:wordWrap/>
        <w:overflowPunct/>
        <w:topLinePunct w:val="0"/>
        <w:autoSpaceDE/>
        <w:autoSpaceDN/>
        <w:bidi w:val="0"/>
        <w:adjustRightInd w:val="0"/>
        <w:snapToGrid/>
        <w:spacing w:line="440" w:lineRule="exact"/>
        <w:ind w:firstLine="472" w:firstLineChars="196"/>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1699BA72">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非单一产品采购项目，采购人应当根据采购项目技术构成、产品价格比重等合理确定核心产品，并在招标文件中载明。多家投标人提供的核心产品品牌相同的，按前款规定处理。</w:t>
      </w:r>
    </w:p>
    <w:p w14:paraId="00079A5E">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2.评分标准：</w:t>
      </w:r>
      <w:r>
        <w:rPr>
          <w:rFonts w:hint="eastAsia" w:ascii="仿宋" w:hAnsi="仿宋" w:eastAsia="仿宋" w:cs="仿宋"/>
          <w:color w:val="auto"/>
          <w:sz w:val="24"/>
          <w:highlight w:val="none"/>
        </w:rPr>
        <w:t>共100分，其中商务技术分</w:t>
      </w:r>
      <w:r>
        <w:rPr>
          <w:rFonts w:hint="eastAsia" w:ascii="仿宋" w:hAnsi="仿宋" w:eastAsia="仿宋" w:cs="仿宋"/>
          <w:color w:val="auto"/>
          <w:sz w:val="24"/>
          <w:highlight w:val="none"/>
          <w:u w:val="single"/>
          <w:lang w:val="en-US" w:eastAsia="zh-CN"/>
        </w:rPr>
        <w:t>80</w:t>
      </w:r>
      <w:r>
        <w:rPr>
          <w:rFonts w:hint="eastAsia" w:ascii="仿宋" w:hAnsi="仿宋" w:eastAsia="仿宋" w:cs="仿宋"/>
          <w:color w:val="auto"/>
          <w:sz w:val="24"/>
          <w:highlight w:val="none"/>
        </w:rPr>
        <w:t>分，价格分</w:t>
      </w:r>
      <w:r>
        <w:rPr>
          <w:rFonts w:hint="eastAsia" w:ascii="仿宋" w:hAnsi="仿宋" w:eastAsia="仿宋" w:cs="仿宋"/>
          <w:color w:val="auto"/>
          <w:sz w:val="24"/>
          <w:highlight w:val="none"/>
          <w:u w:val="single"/>
          <w:lang w:val="en-US" w:eastAsia="zh-CN"/>
        </w:rPr>
        <w:t>20</w:t>
      </w:r>
      <w:r>
        <w:rPr>
          <w:rFonts w:hint="eastAsia" w:ascii="仿宋" w:hAnsi="仿宋" w:eastAsia="仿宋" w:cs="仿宋"/>
          <w:color w:val="auto"/>
          <w:sz w:val="24"/>
          <w:highlight w:val="none"/>
        </w:rPr>
        <w:t>分。评分依下述所列为评标打分依据，分值如下（计算分值时，按其算术平均值保留小数2位）。</w:t>
      </w:r>
    </w:p>
    <w:p w14:paraId="213493CF">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color w:val="auto"/>
          <w:sz w:val="32"/>
          <w:szCs w:val="20"/>
          <w:highlight w:val="none"/>
        </w:rPr>
      </w:pPr>
      <w:r>
        <w:rPr>
          <w:rFonts w:hint="eastAsia" w:ascii="仿宋" w:hAnsi="仿宋" w:eastAsia="仿宋" w:cs="仿宋"/>
          <w:b/>
          <w:bCs/>
          <w:iCs/>
          <w:color w:val="auto"/>
          <w:sz w:val="24"/>
          <w:highlight w:val="none"/>
        </w:rPr>
        <w:t>2.1商务技术分（</w:t>
      </w:r>
      <w:r>
        <w:rPr>
          <w:rFonts w:hint="eastAsia" w:ascii="仿宋" w:hAnsi="仿宋" w:eastAsia="仿宋" w:cs="仿宋"/>
          <w:b/>
          <w:bCs/>
          <w:iCs/>
          <w:color w:val="auto"/>
          <w:sz w:val="24"/>
          <w:highlight w:val="none"/>
          <w:u w:val="single"/>
          <w:lang w:val="en-US" w:eastAsia="zh-CN"/>
        </w:rPr>
        <w:t>80</w:t>
      </w:r>
      <w:r>
        <w:rPr>
          <w:rFonts w:hint="eastAsia" w:ascii="仿宋" w:hAnsi="仿宋" w:eastAsia="仿宋" w:cs="仿宋"/>
          <w:b/>
          <w:bCs/>
          <w:iCs/>
          <w:color w:val="auto"/>
          <w:sz w:val="24"/>
          <w:highlight w:val="none"/>
        </w:rPr>
        <w:t>分）</w:t>
      </w:r>
    </w:p>
    <w:tbl>
      <w:tblPr>
        <w:tblStyle w:val="63"/>
        <w:tblpPr w:leftFromText="180" w:rightFromText="180" w:vertAnchor="text" w:horzAnchor="page" w:tblpX="1615" w:tblpY="454"/>
        <w:tblOverlap w:val="never"/>
        <w:tblW w:w="85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0"/>
        <w:gridCol w:w="1305"/>
        <w:gridCol w:w="5715"/>
        <w:gridCol w:w="802"/>
      </w:tblGrid>
      <w:tr w14:paraId="259CE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0" w:type="dxa"/>
            <w:noWrap w:val="0"/>
            <w:vAlign w:val="center"/>
          </w:tcPr>
          <w:p w14:paraId="5A54BD49">
            <w:pPr>
              <w:keepNext w:val="0"/>
              <w:keepLines w:val="0"/>
              <w:pageBreakBefore w:val="0"/>
              <w:kinsoku/>
              <w:wordWrap/>
              <w:overflowPunct/>
              <w:topLinePunct w:val="0"/>
              <w:autoSpaceDE/>
              <w:autoSpaceDN/>
              <w:bidi w:val="0"/>
              <w:adjustRightInd w:val="0"/>
              <w:spacing w:line="400" w:lineRule="exact"/>
              <w:jc w:val="center"/>
              <w:outlineLvl w:val="0"/>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rPr>
              <w:t>序号</w:t>
            </w:r>
          </w:p>
        </w:tc>
        <w:tc>
          <w:tcPr>
            <w:tcW w:w="1305" w:type="dxa"/>
            <w:noWrap w:val="0"/>
            <w:vAlign w:val="center"/>
          </w:tcPr>
          <w:p w14:paraId="02E24A95">
            <w:pPr>
              <w:keepNext w:val="0"/>
              <w:keepLines w:val="0"/>
              <w:pageBreakBefore w:val="0"/>
              <w:kinsoku/>
              <w:wordWrap/>
              <w:overflowPunct/>
              <w:topLinePunct w:val="0"/>
              <w:autoSpaceDE/>
              <w:autoSpaceDN/>
              <w:bidi w:val="0"/>
              <w:adjustRightInd w:val="0"/>
              <w:spacing w:line="400" w:lineRule="exact"/>
              <w:jc w:val="center"/>
              <w:outlineLvl w:val="0"/>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rPr>
              <w:t>评标内容</w:t>
            </w:r>
          </w:p>
        </w:tc>
        <w:tc>
          <w:tcPr>
            <w:tcW w:w="5715" w:type="dxa"/>
            <w:noWrap w:val="0"/>
            <w:vAlign w:val="center"/>
          </w:tcPr>
          <w:p w14:paraId="4EC1D218">
            <w:pPr>
              <w:keepNext w:val="0"/>
              <w:keepLines w:val="0"/>
              <w:pageBreakBefore w:val="0"/>
              <w:kinsoku/>
              <w:wordWrap/>
              <w:overflowPunct/>
              <w:topLinePunct w:val="0"/>
              <w:autoSpaceDE/>
              <w:autoSpaceDN/>
              <w:bidi w:val="0"/>
              <w:adjustRightInd w:val="0"/>
              <w:spacing w:line="400" w:lineRule="exact"/>
              <w:jc w:val="center"/>
              <w:outlineLvl w:val="0"/>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rPr>
              <w:t>评标标准</w:t>
            </w:r>
          </w:p>
        </w:tc>
        <w:tc>
          <w:tcPr>
            <w:tcW w:w="802" w:type="dxa"/>
            <w:noWrap w:val="0"/>
            <w:vAlign w:val="center"/>
          </w:tcPr>
          <w:p w14:paraId="31D8D2FE">
            <w:pPr>
              <w:keepNext w:val="0"/>
              <w:keepLines w:val="0"/>
              <w:pageBreakBefore w:val="0"/>
              <w:kinsoku/>
              <w:wordWrap/>
              <w:overflowPunct/>
              <w:topLinePunct w:val="0"/>
              <w:autoSpaceDE/>
              <w:autoSpaceDN/>
              <w:bidi w:val="0"/>
              <w:adjustRightInd w:val="0"/>
              <w:spacing w:line="400" w:lineRule="exact"/>
              <w:jc w:val="center"/>
              <w:outlineLvl w:val="0"/>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rPr>
              <w:t>分值</w:t>
            </w:r>
          </w:p>
        </w:tc>
      </w:tr>
      <w:tr w14:paraId="3F9D7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0" w:type="dxa"/>
            <w:noWrap w:val="0"/>
            <w:vAlign w:val="center"/>
          </w:tcPr>
          <w:p w14:paraId="2130C0B3">
            <w:pPr>
              <w:keepNext w:val="0"/>
              <w:keepLines w:val="0"/>
              <w:pageBreakBefore w:val="0"/>
              <w:kinsoku/>
              <w:wordWrap/>
              <w:overflowPunct/>
              <w:topLinePunct w:val="0"/>
              <w:autoSpaceDE/>
              <w:autoSpaceDN/>
              <w:bidi w:val="0"/>
              <w:adjustRightInd w:val="0"/>
              <w:spacing w:line="400" w:lineRule="exact"/>
              <w:jc w:val="center"/>
              <w:outlineLvl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1</w:t>
            </w:r>
          </w:p>
        </w:tc>
        <w:tc>
          <w:tcPr>
            <w:tcW w:w="1305" w:type="dxa"/>
            <w:noWrap w:val="0"/>
            <w:vAlign w:val="center"/>
          </w:tcPr>
          <w:p w14:paraId="5424A5EE">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综合实力</w:t>
            </w:r>
          </w:p>
        </w:tc>
        <w:tc>
          <w:tcPr>
            <w:tcW w:w="5715" w:type="dxa"/>
            <w:noWrap w:val="0"/>
            <w:vAlign w:val="center"/>
          </w:tcPr>
          <w:p w14:paraId="7A1B0CFB">
            <w:pPr>
              <w:keepNext w:val="0"/>
              <w:keepLines w:val="0"/>
              <w:pageBreakBefore w:val="0"/>
              <w:widowControl/>
              <w:kinsoku/>
              <w:wordWrap/>
              <w:overflowPunct/>
              <w:topLinePunct w:val="0"/>
              <w:autoSpaceDE/>
              <w:autoSpaceDN/>
              <w:bidi w:val="0"/>
              <w:adjustRightInd w:val="0"/>
              <w:spacing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投标人具有水利水电工程物业管理服务能力评价证书丙级及以上且评价范围包含水库山塘类的，</w:t>
            </w:r>
            <w:r>
              <w:rPr>
                <w:rFonts w:hint="eastAsia" w:ascii="仿宋" w:hAnsi="仿宋" w:eastAsia="仿宋" w:cs="仿宋"/>
                <w:color w:val="auto"/>
                <w:sz w:val="24"/>
                <w:szCs w:val="24"/>
                <w:highlight w:val="none"/>
                <w:lang w:val="en-US" w:eastAsia="zh-CN"/>
              </w:rPr>
              <w:t>甲级得2分，乙级得1.5分，丙级得1分</w:t>
            </w:r>
            <w:r>
              <w:rPr>
                <w:rFonts w:hint="eastAsia" w:ascii="仿宋" w:hAnsi="仿宋" w:eastAsia="仿宋" w:cs="仿宋"/>
                <w:color w:val="auto"/>
                <w:sz w:val="24"/>
                <w:szCs w:val="24"/>
                <w:highlight w:val="none"/>
              </w:rPr>
              <w:t>。</w:t>
            </w:r>
          </w:p>
          <w:p w14:paraId="720C4805">
            <w:pPr>
              <w:keepNext w:val="0"/>
              <w:keepLines w:val="0"/>
              <w:pageBreakBefore w:val="0"/>
              <w:widowControl/>
              <w:kinsoku/>
              <w:wordWrap/>
              <w:overflowPunct/>
              <w:topLinePunct w:val="0"/>
              <w:autoSpaceDE/>
              <w:autoSpaceDN/>
              <w:bidi w:val="0"/>
              <w:adjustRightInd w:val="0"/>
              <w:spacing w:line="400" w:lineRule="exact"/>
              <w:textAlignment w:val="center"/>
              <w:rPr>
                <w:rFonts w:hint="eastAsia" w:ascii="仿宋" w:hAnsi="仿宋" w:eastAsia="仿宋" w:cs="仿宋"/>
                <w:i w:val="0"/>
                <w:iCs w:val="0"/>
                <w:color w:val="auto"/>
                <w:kern w:val="2"/>
                <w:sz w:val="24"/>
                <w:szCs w:val="24"/>
                <w:highlight w:val="none"/>
                <w:u w:val="none"/>
                <w:lang w:val="en-US" w:eastAsia="zh-CN" w:bidi="ar-SA"/>
              </w:rPr>
            </w:pPr>
            <w:r>
              <w:rPr>
                <w:rFonts w:hint="eastAsia" w:ascii="仿宋" w:hAnsi="仿宋" w:eastAsia="仿宋" w:cs="仿宋"/>
                <w:b/>
                <w:bCs/>
                <w:color w:val="auto"/>
                <w:sz w:val="24"/>
                <w:szCs w:val="24"/>
                <w:highlight w:val="none"/>
              </w:rPr>
              <w:t>注：投标时需提供相关证书扫描件</w:t>
            </w:r>
            <w:r>
              <w:rPr>
                <w:rFonts w:hint="eastAsia" w:ascii="仿宋" w:hAnsi="仿宋" w:eastAsia="仿宋" w:cs="仿宋"/>
                <w:b/>
                <w:bCs/>
                <w:color w:val="auto"/>
                <w:sz w:val="24"/>
                <w:szCs w:val="24"/>
                <w:highlight w:val="none"/>
                <w:lang w:val="en-US" w:eastAsia="zh-CN"/>
              </w:rPr>
              <w:t>加盖CA签章。</w:t>
            </w:r>
          </w:p>
        </w:tc>
        <w:tc>
          <w:tcPr>
            <w:tcW w:w="802" w:type="dxa"/>
            <w:noWrap w:val="0"/>
            <w:vAlign w:val="center"/>
          </w:tcPr>
          <w:p w14:paraId="14DAF984">
            <w:pPr>
              <w:keepNext w:val="0"/>
              <w:keepLines w:val="0"/>
              <w:pageBreakBefore w:val="0"/>
              <w:widowControl/>
              <w:kinsoku/>
              <w:wordWrap/>
              <w:overflowPunct/>
              <w:topLinePunct w:val="0"/>
              <w:autoSpaceDE/>
              <w:autoSpaceDN/>
              <w:bidi w:val="0"/>
              <w:adjustRightInd w:val="0"/>
              <w:spacing w:line="400" w:lineRule="exact"/>
              <w:jc w:val="center"/>
              <w:textAlignment w:val="center"/>
              <w:rPr>
                <w:rFonts w:hint="eastAsia" w:ascii="仿宋" w:hAnsi="仿宋" w:eastAsia="仿宋" w:cs="仿宋"/>
                <w:i w:val="0"/>
                <w:iCs w:val="0"/>
                <w:color w:val="auto"/>
                <w:kern w:val="2"/>
                <w:sz w:val="24"/>
                <w:szCs w:val="24"/>
                <w:highlight w:val="none"/>
                <w:u w:val="none"/>
                <w:lang w:val="en-US" w:eastAsia="zh-CN" w:bidi="ar-SA"/>
              </w:rPr>
            </w:pPr>
            <w:r>
              <w:rPr>
                <w:rStyle w:val="123"/>
                <w:rFonts w:hint="eastAsia" w:ascii="仿宋" w:hAnsi="仿宋" w:eastAsia="仿宋" w:cs="仿宋"/>
                <w:color w:val="auto"/>
                <w:sz w:val="24"/>
                <w:szCs w:val="24"/>
                <w:highlight w:val="none"/>
                <w:lang w:val="en-US" w:eastAsia="zh-CN"/>
              </w:rPr>
              <w:t>2分</w:t>
            </w:r>
          </w:p>
        </w:tc>
      </w:tr>
      <w:tr w14:paraId="660E3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0" w:type="dxa"/>
            <w:noWrap w:val="0"/>
            <w:vAlign w:val="center"/>
          </w:tcPr>
          <w:p w14:paraId="70A8A469">
            <w:pPr>
              <w:keepNext w:val="0"/>
              <w:keepLines w:val="0"/>
              <w:pageBreakBefore w:val="0"/>
              <w:kinsoku/>
              <w:wordWrap/>
              <w:overflowPunct/>
              <w:topLinePunct w:val="0"/>
              <w:autoSpaceDE/>
              <w:autoSpaceDN/>
              <w:bidi w:val="0"/>
              <w:adjustRightInd w:val="0"/>
              <w:spacing w:line="400" w:lineRule="exact"/>
              <w:jc w:val="center"/>
              <w:outlineLvl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2</w:t>
            </w:r>
          </w:p>
        </w:tc>
        <w:tc>
          <w:tcPr>
            <w:tcW w:w="1305" w:type="dxa"/>
            <w:noWrap w:val="0"/>
            <w:vAlign w:val="center"/>
          </w:tcPr>
          <w:p w14:paraId="5755518F">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成功案例</w:t>
            </w:r>
          </w:p>
        </w:tc>
        <w:tc>
          <w:tcPr>
            <w:tcW w:w="5715" w:type="dxa"/>
            <w:noWrap w:val="0"/>
            <w:vAlign w:val="center"/>
          </w:tcPr>
          <w:p w14:paraId="0E3D0961">
            <w:pPr>
              <w:keepNext w:val="0"/>
              <w:keepLines w:val="0"/>
              <w:pageBreakBefore w:val="0"/>
              <w:widowControl/>
              <w:kinsoku/>
              <w:wordWrap/>
              <w:overflowPunct/>
              <w:topLinePunct w:val="0"/>
              <w:autoSpaceDE/>
              <w:autoSpaceDN/>
              <w:bidi w:val="0"/>
              <w:adjustRightInd w:val="0"/>
              <w:spacing w:line="400" w:lineRule="exact"/>
              <w:jc w:val="left"/>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投标供应商自20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年1月1日至今承担过类似</w:t>
            </w:r>
            <w:r>
              <w:rPr>
                <w:rFonts w:hint="eastAsia" w:ascii="仿宋" w:hAnsi="仿宋" w:eastAsia="仿宋" w:cs="仿宋"/>
                <w:color w:val="auto"/>
                <w:sz w:val="24"/>
                <w:szCs w:val="24"/>
                <w:highlight w:val="none"/>
                <w:lang w:val="en-US" w:eastAsia="zh-CN"/>
              </w:rPr>
              <w:t>水利工程</w:t>
            </w:r>
            <w:r>
              <w:rPr>
                <w:rFonts w:hint="eastAsia" w:ascii="仿宋" w:hAnsi="仿宋" w:eastAsia="仿宋" w:cs="仿宋"/>
                <w:color w:val="auto"/>
                <w:sz w:val="24"/>
                <w:szCs w:val="24"/>
                <w:highlight w:val="none"/>
              </w:rPr>
              <w:t>项目的，每个得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分。本项最高得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分。注：</w:t>
            </w:r>
            <w:r>
              <w:rPr>
                <w:rFonts w:hint="eastAsia" w:ascii="仿宋" w:hAnsi="仿宋" w:eastAsia="仿宋" w:cs="仿宋"/>
                <w:b/>
                <w:bCs/>
                <w:color w:val="auto"/>
                <w:sz w:val="24"/>
                <w:szCs w:val="24"/>
                <w:highlight w:val="none"/>
                <w:lang w:val="zh-CN"/>
              </w:rPr>
              <w:t>提供相关</w:t>
            </w:r>
            <w:r>
              <w:rPr>
                <w:rFonts w:hint="eastAsia" w:ascii="仿宋" w:hAnsi="仿宋" w:eastAsia="仿宋" w:cs="仿宋"/>
                <w:b/>
                <w:bCs/>
                <w:color w:val="auto"/>
                <w:sz w:val="24"/>
                <w:szCs w:val="24"/>
                <w:highlight w:val="none"/>
                <w:lang w:val="en-US" w:eastAsia="zh-CN"/>
              </w:rPr>
              <w:t>案例</w:t>
            </w:r>
            <w:r>
              <w:rPr>
                <w:rFonts w:hint="eastAsia" w:ascii="仿宋" w:hAnsi="仿宋" w:eastAsia="仿宋" w:cs="仿宋"/>
                <w:b/>
                <w:bCs/>
                <w:color w:val="auto"/>
                <w:sz w:val="24"/>
                <w:szCs w:val="24"/>
                <w:highlight w:val="none"/>
                <w:lang w:val="zh-CN"/>
              </w:rPr>
              <w:t>的合同</w:t>
            </w:r>
            <w:r>
              <w:rPr>
                <w:rFonts w:hint="eastAsia" w:ascii="仿宋" w:hAnsi="仿宋" w:eastAsia="仿宋" w:cs="仿宋"/>
                <w:b/>
                <w:bCs/>
                <w:color w:val="auto"/>
                <w:sz w:val="24"/>
                <w:szCs w:val="24"/>
                <w:highlight w:val="none"/>
              </w:rPr>
              <w:t>扫描件</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中标通知书加盖CA签章</w:t>
            </w:r>
            <w:r>
              <w:rPr>
                <w:rFonts w:hint="eastAsia" w:ascii="仿宋" w:hAnsi="仿宋" w:eastAsia="仿宋" w:cs="仿宋"/>
                <w:b/>
                <w:bCs/>
                <w:color w:val="auto"/>
                <w:sz w:val="24"/>
                <w:szCs w:val="24"/>
                <w:highlight w:val="none"/>
                <w:lang w:val="zh-CN"/>
              </w:rPr>
              <w:t>。</w:t>
            </w:r>
          </w:p>
        </w:tc>
        <w:tc>
          <w:tcPr>
            <w:tcW w:w="802" w:type="dxa"/>
            <w:noWrap w:val="0"/>
            <w:vAlign w:val="center"/>
          </w:tcPr>
          <w:p w14:paraId="20FB7197">
            <w:pPr>
              <w:keepNext w:val="0"/>
              <w:keepLines w:val="0"/>
              <w:pageBreakBefore w:val="0"/>
              <w:widowControl/>
              <w:kinsoku/>
              <w:wordWrap/>
              <w:overflowPunct/>
              <w:topLinePunct w:val="0"/>
              <w:autoSpaceDE/>
              <w:autoSpaceDN/>
              <w:bidi w:val="0"/>
              <w:adjustRightInd w:val="0"/>
              <w:spacing w:line="400" w:lineRule="exact"/>
              <w:jc w:val="center"/>
              <w:textAlignment w:val="center"/>
              <w:rPr>
                <w:rFonts w:hint="eastAsia" w:ascii="仿宋" w:hAnsi="仿宋" w:eastAsia="仿宋" w:cs="仿宋"/>
                <w:color w:val="auto"/>
                <w:kern w:val="2"/>
                <w:sz w:val="24"/>
                <w:szCs w:val="24"/>
                <w:highlight w:val="none"/>
                <w:lang w:val="en-US" w:eastAsia="zh-CN" w:bidi="ar-SA"/>
              </w:rPr>
            </w:pPr>
            <w:r>
              <w:rPr>
                <w:rStyle w:val="123"/>
                <w:rFonts w:hint="eastAsia" w:ascii="仿宋" w:hAnsi="仿宋" w:eastAsia="仿宋" w:cs="仿宋"/>
                <w:color w:val="auto"/>
                <w:sz w:val="24"/>
                <w:szCs w:val="24"/>
                <w:highlight w:val="none"/>
                <w:lang w:val="en-US" w:eastAsia="zh-CN"/>
              </w:rPr>
              <w:t>2分</w:t>
            </w:r>
          </w:p>
        </w:tc>
      </w:tr>
      <w:tr w14:paraId="3C738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0" w:type="dxa"/>
            <w:vMerge w:val="restart"/>
            <w:noWrap w:val="0"/>
            <w:vAlign w:val="center"/>
          </w:tcPr>
          <w:p w14:paraId="44AD664B">
            <w:pPr>
              <w:keepNext w:val="0"/>
              <w:keepLines w:val="0"/>
              <w:pageBreakBefore w:val="0"/>
              <w:kinsoku/>
              <w:wordWrap/>
              <w:overflowPunct/>
              <w:topLinePunct w:val="0"/>
              <w:autoSpaceDE/>
              <w:autoSpaceDN/>
              <w:bidi w:val="0"/>
              <w:adjustRightInd w:val="0"/>
              <w:spacing w:line="400" w:lineRule="exact"/>
              <w:jc w:val="center"/>
              <w:outlineLvl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3</w:t>
            </w:r>
          </w:p>
        </w:tc>
        <w:tc>
          <w:tcPr>
            <w:tcW w:w="1305" w:type="dxa"/>
            <w:vMerge w:val="restart"/>
            <w:noWrap w:val="0"/>
            <w:vAlign w:val="center"/>
          </w:tcPr>
          <w:p w14:paraId="20007795">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技术力量</w:t>
            </w:r>
          </w:p>
        </w:tc>
        <w:tc>
          <w:tcPr>
            <w:tcW w:w="5715" w:type="dxa"/>
            <w:noWrap w:val="0"/>
            <w:vAlign w:val="center"/>
          </w:tcPr>
          <w:p w14:paraId="1754FE22">
            <w:pPr>
              <w:keepNext w:val="0"/>
              <w:keepLines w:val="0"/>
              <w:pageBreakBefore w:val="0"/>
              <w:widowControl/>
              <w:kinsoku/>
              <w:wordWrap/>
              <w:overflowPunct/>
              <w:topLinePunct w:val="0"/>
              <w:autoSpaceDE/>
              <w:autoSpaceDN/>
              <w:bidi w:val="0"/>
              <w:adjustRightInd w:val="0"/>
              <w:spacing w:line="400" w:lineRule="exact"/>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拟派的项目负责人具有水利相关专业高级工程师及以上职称的得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分，具有水利相关专业工程师职称的得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p w14:paraId="5BA10F26">
            <w:pPr>
              <w:keepNext w:val="0"/>
              <w:keepLines w:val="0"/>
              <w:pageBreakBefore w:val="0"/>
              <w:widowControl/>
              <w:kinsoku/>
              <w:wordWrap/>
              <w:overflowPunct/>
              <w:topLinePunct w:val="0"/>
              <w:autoSpaceDE/>
              <w:autoSpaceDN/>
              <w:bidi w:val="0"/>
              <w:adjustRightInd w:val="0"/>
              <w:spacing w:line="400" w:lineRule="exact"/>
              <w:jc w:val="left"/>
              <w:textAlignment w:val="center"/>
              <w:rPr>
                <w:rFonts w:hint="eastAsia" w:ascii="仿宋" w:hAnsi="仿宋" w:eastAsia="仿宋" w:cs="仿宋"/>
                <w:b/>
                <w:bCs/>
                <w:color w:val="auto"/>
                <w:spacing w:val="4"/>
                <w:kern w:val="2"/>
                <w:sz w:val="24"/>
                <w:szCs w:val="24"/>
                <w:highlight w:val="none"/>
                <w:lang w:val="en-US" w:eastAsia="zh-CN" w:bidi="ar-SA"/>
              </w:rPr>
            </w:pPr>
            <w:r>
              <w:rPr>
                <w:rFonts w:hint="eastAsia" w:ascii="仿宋" w:hAnsi="仿宋" w:eastAsia="仿宋" w:cs="仿宋"/>
                <w:b/>
                <w:bCs/>
                <w:color w:val="auto"/>
                <w:sz w:val="24"/>
                <w:szCs w:val="24"/>
                <w:highlight w:val="none"/>
              </w:rPr>
              <w:t>注：须提供职称证书（若职称证书不能体现水利行业的，应提供水利行业毕业证书）</w:t>
            </w:r>
            <w:r>
              <w:rPr>
                <w:rFonts w:hint="eastAsia" w:ascii="仿宋" w:hAnsi="仿宋" w:eastAsia="仿宋" w:cs="仿宋"/>
                <w:b/>
                <w:bCs/>
                <w:color w:val="auto"/>
                <w:sz w:val="24"/>
                <w:szCs w:val="24"/>
                <w:highlight w:val="none"/>
                <w:lang w:val="en-US" w:eastAsia="zh-CN"/>
              </w:rPr>
              <w:t>和近三个月社保证明</w:t>
            </w:r>
            <w:r>
              <w:rPr>
                <w:rFonts w:hint="eastAsia" w:ascii="仿宋" w:hAnsi="仿宋" w:eastAsia="仿宋" w:cs="仿宋"/>
                <w:b/>
                <w:bCs/>
                <w:color w:val="auto"/>
                <w:sz w:val="24"/>
                <w:szCs w:val="24"/>
                <w:highlight w:val="none"/>
              </w:rPr>
              <w:t>扫描件</w:t>
            </w:r>
            <w:r>
              <w:rPr>
                <w:rFonts w:hint="eastAsia" w:ascii="仿宋" w:hAnsi="仿宋" w:eastAsia="仿宋" w:cs="仿宋"/>
                <w:b/>
                <w:bCs/>
                <w:color w:val="auto"/>
                <w:sz w:val="24"/>
                <w:szCs w:val="24"/>
                <w:highlight w:val="none"/>
                <w:lang w:val="en-US" w:eastAsia="zh-CN"/>
              </w:rPr>
              <w:t>加盖CA签章</w:t>
            </w:r>
            <w:r>
              <w:rPr>
                <w:rFonts w:hint="eastAsia" w:ascii="仿宋" w:hAnsi="仿宋" w:eastAsia="仿宋" w:cs="仿宋"/>
                <w:b/>
                <w:bCs/>
                <w:color w:val="auto"/>
                <w:sz w:val="24"/>
                <w:szCs w:val="24"/>
                <w:highlight w:val="none"/>
              </w:rPr>
              <w:t>放入技术文件中，否则不得分。</w:t>
            </w:r>
          </w:p>
        </w:tc>
        <w:tc>
          <w:tcPr>
            <w:tcW w:w="802" w:type="dxa"/>
            <w:noWrap w:val="0"/>
            <w:vAlign w:val="center"/>
          </w:tcPr>
          <w:p w14:paraId="66BA1152">
            <w:pPr>
              <w:keepNext w:val="0"/>
              <w:keepLines w:val="0"/>
              <w:pageBreakBefore w:val="0"/>
              <w:widowControl/>
              <w:kinsoku/>
              <w:wordWrap/>
              <w:overflowPunct/>
              <w:topLinePunct w:val="0"/>
              <w:autoSpaceDE/>
              <w:autoSpaceDN/>
              <w:bidi w:val="0"/>
              <w:adjustRightInd w:val="0"/>
              <w:spacing w:line="400" w:lineRule="exact"/>
              <w:jc w:val="center"/>
              <w:textAlignment w:val="center"/>
              <w:rPr>
                <w:rFonts w:hint="eastAsia" w:ascii="仿宋" w:hAnsi="仿宋" w:eastAsia="仿宋" w:cs="仿宋"/>
                <w:color w:val="auto"/>
                <w:kern w:val="2"/>
                <w:sz w:val="24"/>
                <w:szCs w:val="24"/>
                <w:highlight w:val="none"/>
                <w:lang w:val="en-US" w:eastAsia="zh-CN" w:bidi="ar-SA"/>
              </w:rPr>
            </w:pPr>
            <w:r>
              <w:rPr>
                <w:rStyle w:val="123"/>
                <w:rFonts w:hint="eastAsia" w:ascii="仿宋" w:hAnsi="仿宋" w:eastAsia="仿宋" w:cs="仿宋"/>
                <w:color w:val="auto"/>
                <w:sz w:val="24"/>
                <w:szCs w:val="24"/>
                <w:highlight w:val="none"/>
                <w:lang w:val="en-US" w:eastAsia="zh-CN"/>
              </w:rPr>
              <w:t>5分</w:t>
            </w:r>
          </w:p>
        </w:tc>
      </w:tr>
      <w:tr w14:paraId="6D180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0" w:type="dxa"/>
            <w:vMerge w:val="continue"/>
            <w:noWrap w:val="0"/>
            <w:vAlign w:val="center"/>
          </w:tcPr>
          <w:p w14:paraId="28DA71F8">
            <w:pPr>
              <w:keepNext w:val="0"/>
              <w:keepLines w:val="0"/>
              <w:pageBreakBefore w:val="0"/>
              <w:kinsoku/>
              <w:wordWrap/>
              <w:overflowPunct/>
              <w:topLinePunct w:val="0"/>
              <w:autoSpaceDE/>
              <w:autoSpaceDN/>
              <w:bidi w:val="0"/>
              <w:adjustRightInd w:val="0"/>
              <w:spacing w:line="400" w:lineRule="exact"/>
              <w:outlineLvl w:val="0"/>
              <w:rPr>
                <w:rFonts w:hint="eastAsia" w:ascii="仿宋" w:hAnsi="仿宋" w:eastAsia="仿宋" w:cs="仿宋"/>
                <w:color w:val="auto"/>
                <w:kern w:val="2"/>
                <w:sz w:val="24"/>
                <w:szCs w:val="24"/>
                <w:highlight w:val="none"/>
                <w:lang w:val="en-US" w:eastAsia="zh-CN" w:bidi="ar-SA"/>
              </w:rPr>
            </w:pPr>
          </w:p>
        </w:tc>
        <w:tc>
          <w:tcPr>
            <w:tcW w:w="1305" w:type="dxa"/>
            <w:vMerge w:val="continue"/>
            <w:noWrap w:val="0"/>
            <w:vAlign w:val="center"/>
          </w:tcPr>
          <w:p w14:paraId="69516917">
            <w:pPr>
              <w:keepNext w:val="0"/>
              <w:keepLines w:val="0"/>
              <w:pageBreakBefore w:val="0"/>
              <w:kinsoku/>
              <w:wordWrap/>
              <w:overflowPunct/>
              <w:topLinePunct w:val="0"/>
              <w:autoSpaceDE/>
              <w:autoSpaceDN/>
              <w:bidi w:val="0"/>
              <w:adjustRightInd w:val="0"/>
              <w:spacing w:line="400" w:lineRule="exact"/>
              <w:outlineLvl w:val="0"/>
              <w:rPr>
                <w:rFonts w:hint="eastAsia" w:ascii="仿宋" w:hAnsi="仿宋" w:eastAsia="仿宋" w:cs="仿宋"/>
                <w:color w:val="auto"/>
                <w:kern w:val="2"/>
                <w:sz w:val="24"/>
                <w:szCs w:val="24"/>
                <w:highlight w:val="none"/>
                <w:lang w:val="en-US" w:eastAsia="zh-CN" w:bidi="ar-SA"/>
              </w:rPr>
            </w:pPr>
          </w:p>
        </w:tc>
        <w:tc>
          <w:tcPr>
            <w:tcW w:w="5715" w:type="dxa"/>
            <w:noWrap w:val="0"/>
            <w:vAlign w:val="center"/>
          </w:tcPr>
          <w:p w14:paraId="1A55DBF6">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项目组（除</w:t>
            </w:r>
            <w:r>
              <w:rPr>
                <w:rFonts w:hint="eastAsia" w:ascii="仿宋" w:hAnsi="仿宋" w:eastAsia="仿宋" w:cs="仿宋"/>
                <w:color w:val="auto"/>
                <w:sz w:val="24"/>
                <w:szCs w:val="24"/>
                <w:highlight w:val="none"/>
                <w:lang w:val="en-US" w:eastAsia="zh-CN"/>
              </w:rPr>
              <w:t>项目、技术</w:t>
            </w:r>
            <w:r>
              <w:rPr>
                <w:rFonts w:hint="eastAsia" w:ascii="仿宋" w:hAnsi="仿宋" w:eastAsia="仿宋" w:cs="仿宋"/>
                <w:color w:val="auto"/>
                <w:sz w:val="24"/>
                <w:szCs w:val="24"/>
                <w:highlight w:val="none"/>
              </w:rPr>
              <w:t>负责人外）的配备人员中：</w:t>
            </w:r>
          </w:p>
          <w:p w14:paraId="467634C9">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①具有</w:t>
            </w:r>
            <w:r>
              <w:rPr>
                <w:rFonts w:hint="eastAsia" w:ascii="仿宋" w:hAnsi="仿宋" w:eastAsia="仿宋" w:cs="仿宋"/>
                <w:color w:val="auto"/>
                <w:sz w:val="24"/>
                <w:szCs w:val="24"/>
                <w:highlight w:val="none"/>
                <w:lang w:val="en-US" w:eastAsia="zh-CN"/>
              </w:rPr>
              <w:t>水利类工程师</w:t>
            </w:r>
            <w:r>
              <w:rPr>
                <w:rFonts w:hint="eastAsia" w:ascii="仿宋" w:hAnsi="仿宋" w:eastAsia="仿宋" w:cs="仿宋"/>
                <w:color w:val="auto"/>
                <w:sz w:val="24"/>
                <w:szCs w:val="24"/>
                <w:highlight w:val="none"/>
              </w:rPr>
              <w:t>及以上职称的每人得1分，最高得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p w14:paraId="7FF878BA">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②具有水工监测工证书的每人得1分，最高得2分；</w:t>
            </w:r>
          </w:p>
          <w:p w14:paraId="7B19FF5E">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③具有闸门运行工证书的每人得1分，最高得2分。</w:t>
            </w:r>
          </w:p>
          <w:p w14:paraId="11F08277">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b/>
                <w:bCs/>
                <w:color w:val="auto"/>
                <w:kern w:val="2"/>
                <w:sz w:val="24"/>
                <w:szCs w:val="24"/>
                <w:highlight w:val="none"/>
                <w:u w:val="none"/>
                <w:lang w:val="en-US" w:eastAsia="zh-CN" w:bidi="ar-SA"/>
              </w:rPr>
            </w:pPr>
            <w:r>
              <w:rPr>
                <w:rFonts w:hint="eastAsia" w:ascii="仿宋" w:hAnsi="仿宋" w:eastAsia="仿宋" w:cs="仿宋"/>
                <w:b/>
                <w:bCs/>
                <w:color w:val="auto"/>
                <w:sz w:val="24"/>
                <w:szCs w:val="24"/>
                <w:highlight w:val="none"/>
              </w:rPr>
              <w:t>注：项目组人员一人多证的，只计一次分数</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投标时需提供人员清单、人员相关证书和</w:t>
            </w:r>
            <w:r>
              <w:rPr>
                <w:rFonts w:hint="eastAsia" w:ascii="仿宋" w:hAnsi="仿宋" w:eastAsia="仿宋" w:cs="仿宋"/>
                <w:b/>
                <w:bCs/>
                <w:color w:val="auto"/>
                <w:sz w:val="24"/>
                <w:szCs w:val="24"/>
                <w:highlight w:val="none"/>
                <w:lang w:val="en-US" w:eastAsia="zh-CN"/>
              </w:rPr>
              <w:t>近三个月</w:t>
            </w:r>
            <w:r>
              <w:rPr>
                <w:rFonts w:hint="eastAsia" w:ascii="仿宋" w:hAnsi="仿宋" w:eastAsia="仿宋" w:cs="仿宋"/>
                <w:b/>
                <w:bCs/>
                <w:color w:val="auto"/>
                <w:sz w:val="24"/>
                <w:szCs w:val="24"/>
                <w:highlight w:val="none"/>
              </w:rPr>
              <w:t>社保证明材料扫描件</w:t>
            </w:r>
            <w:r>
              <w:rPr>
                <w:rFonts w:hint="eastAsia" w:ascii="仿宋" w:hAnsi="仿宋" w:eastAsia="仿宋" w:cs="仿宋"/>
                <w:b/>
                <w:bCs/>
                <w:color w:val="auto"/>
                <w:sz w:val="24"/>
                <w:szCs w:val="24"/>
                <w:highlight w:val="none"/>
                <w:lang w:val="en-US" w:eastAsia="zh-CN"/>
              </w:rPr>
              <w:t>加盖CA签章。</w:t>
            </w:r>
          </w:p>
        </w:tc>
        <w:tc>
          <w:tcPr>
            <w:tcW w:w="802" w:type="dxa"/>
            <w:noWrap w:val="0"/>
            <w:vAlign w:val="center"/>
          </w:tcPr>
          <w:p w14:paraId="1B25D681">
            <w:pPr>
              <w:keepNext w:val="0"/>
              <w:keepLines w:val="0"/>
              <w:pageBreakBefore w:val="0"/>
              <w:kinsoku/>
              <w:wordWrap/>
              <w:overflowPunct/>
              <w:topLinePunct w:val="0"/>
              <w:autoSpaceDE/>
              <w:autoSpaceDN/>
              <w:bidi w:val="0"/>
              <w:adjustRightInd w:val="0"/>
              <w:spacing w:line="400" w:lineRule="exact"/>
              <w:jc w:val="center"/>
              <w:outlineLvl w:val="0"/>
              <w:rPr>
                <w:rFonts w:hint="eastAsia" w:ascii="仿宋" w:hAnsi="仿宋" w:eastAsia="仿宋" w:cs="仿宋"/>
                <w:b/>
                <w:bCs/>
                <w:color w:val="auto"/>
                <w:kern w:val="2"/>
                <w:sz w:val="24"/>
                <w:szCs w:val="24"/>
                <w:highlight w:val="none"/>
                <w:u w:val="none"/>
                <w:lang w:val="en-US" w:eastAsia="zh-CN" w:bidi="ar-SA"/>
              </w:rPr>
            </w:pPr>
            <w:r>
              <w:rPr>
                <w:rStyle w:val="123"/>
                <w:rFonts w:hint="eastAsia" w:ascii="仿宋" w:hAnsi="仿宋" w:eastAsia="仿宋" w:cs="仿宋"/>
                <w:b w:val="0"/>
                <w:bCs w:val="0"/>
                <w:color w:val="auto"/>
                <w:sz w:val="24"/>
                <w:szCs w:val="24"/>
                <w:highlight w:val="none"/>
                <w:lang w:val="en-US" w:eastAsia="zh-CN"/>
              </w:rPr>
              <w:t>6分</w:t>
            </w:r>
          </w:p>
        </w:tc>
      </w:tr>
      <w:tr w14:paraId="26E66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8" w:hRule="atLeast"/>
        </w:trPr>
        <w:tc>
          <w:tcPr>
            <w:tcW w:w="750" w:type="dxa"/>
            <w:noWrap w:val="0"/>
            <w:vAlign w:val="center"/>
          </w:tcPr>
          <w:p w14:paraId="04957851">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4</w:t>
            </w:r>
          </w:p>
        </w:tc>
        <w:tc>
          <w:tcPr>
            <w:tcW w:w="1305" w:type="dxa"/>
            <w:noWrap w:val="0"/>
            <w:vAlign w:val="center"/>
          </w:tcPr>
          <w:p w14:paraId="7143A141">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拟</w:t>
            </w:r>
            <w:r>
              <w:rPr>
                <w:rFonts w:hint="eastAsia" w:ascii="仿宋" w:hAnsi="仿宋" w:eastAsia="仿宋" w:cs="仿宋"/>
                <w:color w:val="auto"/>
                <w:sz w:val="24"/>
                <w:szCs w:val="24"/>
                <w:highlight w:val="none"/>
              </w:rPr>
              <w:t>投入设备</w:t>
            </w:r>
          </w:p>
        </w:tc>
        <w:tc>
          <w:tcPr>
            <w:tcW w:w="5715" w:type="dxa"/>
            <w:noWrap w:val="0"/>
            <w:vAlign w:val="center"/>
          </w:tcPr>
          <w:p w14:paraId="6D19809D">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①投标人拟投入设备中具有无人机、全站仪、水准仪、高压抽水机，每种得1分，本项最高得4分。</w:t>
            </w:r>
          </w:p>
          <w:p w14:paraId="25A4A1D6">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②投标人拟投入设备中具有</w:t>
            </w:r>
            <w:r>
              <w:rPr>
                <w:rFonts w:hint="eastAsia" w:ascii="仿宋" w:hAnsi="仿宋" w:eastAsia="仿宋" w:cs="仿宋"/>
                <w:color w:val="auto"/>
                <w:sz w:val="24"/>
                <w:szCs w:val="24"/>
                <w:highlight w:val="none"/>
                <w:lang w:val="en-US" w:eastAsia="zh-CN"/>
              </w:rPr>
              <w:t>业务车辆得1分，皮卡车得1分。</w:t>
            </w:r>
          </w:p>
          <w:p w14:paraId="1BC09856">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③投标人拟投入设备中具有割草机10台得2分；</w:t>
            </w:r>
          </w:p>
          <w:p w14:paraId="6546E520">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fldChar w:fldCharType="begin"/>
            </w:r>
            <w:r>
              <w:rPr>
                <w:rFonts w:hint="eastAsia" w:ascii="仿宋" w:hAnsi="仿宋" w:eastAsia="仿宋" w:cs="仿宋"/>
                <w:b w:val="0"/>
                <w:bCs w:val="0"/>
                <w:color w:val="auto"/>
                <w:sz w:val="24"/>
                <w:szCs w:val="24"/>
                <w:highlight w:val="none"/>
                <w:lang w:val="en-US" w:eastAsia="zh-CN"/>
              </w:rPr>
              <w:instrText xml:space="preserve"> = 4 \* GB3 \* MERGEFORMAT </w:instrText>
            </w:r>
            <w:r>
              <w:rPr>
                <w:rFonts w:hint="eastAsia" w:ascii="仿宋" w:hAnsi="仿宋" w:eastAsia="仿宋" w:cs="仿宋"/>
                <w:b w:val="0"/>
                <w:bCs w:val="0"/>
                <w:color w:val="auto"/>
                <w:sz w:val="24"/>
                <w:szCs w:val="24"/>
                <w:highlight w:val="none"/>
                <w:lang w:val="en-US" w:eastAsia="zh-CN"/>
              </w:rPr>
              <w:fldChar w:fldCharType="separate"/>
            </w:r>
            <w:r>
              <w:rPr>
                <w:rFonts w:hint="eastAsia" w:ascii="仿宋" w:hAnsi="仿宋" w:eastAsia="仿宋" w:cs="仿宋"/>
                <w:color w:val="auto"/>
                <w:sz w:val="24"/>
                <w:szCs w:val="24"/>
                <w:highlight w:val="none"/>
              </w:rPr>
              <w:t>④</w:t>
            </w:r>
            <w:r>
              <w:rPr>
                <w:rFonts w:hint="eastAsia" w:ascii="仿宋" w:hAnsi="仿宋" w:eastAsia="仿宋" w:cs="仿宋"/>
                <w:b w:val="0"/>
                <w:bCs w:val="0"/>
                <w:color w:val="auto"/>
                <w:sz w:val="24"/>
                <w:szCs w:val="24"/>
                <w:highlight w:val="none"/>
                <w:lang w:val="en-US" w:eastAsia="zh-CN"/>
              </w:rPr>
              <w:fldChar w:fldCharType="end"/>
            </w:r>
            <w:r>
              <w:rPr>
                <w:rFonts w:hint="eastAsia" w:ascii="仿宋" w:hAnsi="仿宋" w:eastAsia="仿宋" w:cs="仿宋"/>
                <w:b w:val="0"/>
                <w:bCs w:val="0"/>
                <w:color w:val="auto"/>
                <w:sz w:val="24"/>
                <w:szCs w:val="24"/>
                <w:highlight w:val="none"/>
                <w:lang w:val="en-US" w:eastAsia="zh-CN"/>
              </w:rPr>
              <w:t>投标人拟投入设备中具有应急发电车得2分。</w:t>
            </w:r>
          </w:p>
          <w:p w14:paraId="7B77DEC1">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注：提供设备清单、照片、发票（开票内容需与设备名称一致）扫描件并加盖CA签章,车辆的还须提供车辆行驶证扫描件。</w:t>
            </w:r>
          </w:p>
        </w:tc>
        <w:tc>
          <w:tcPr>
            <w:tcW w:w="802" w:type="dxa"/>
            <w:noWrap w:val="0"/>
            <w:vAlign w:val="center"/>
          </w:tcPr>
          <w:p w14:paraId="6CACC4E0">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10</w:t>
            </w:r>
            <w:r>
              <w:rPr>
                <w:rFonts w:hint="eastAsia" w:ascii="仿宋" w:hAnsi="仿宋" w:eastAsia="仿宋" w:cs="仿宋"/>
                <w:color w:val="auto"/>
                <w:kern w:val="0"/>
                <w:sz w:val="24"/>
                <w:szCs w:val="24"/>
                <w:highlight w:val="none"/>
              </w:rPr>
              <w:t>分</w:t>
            </w:r>
          </w:p>
        </w:tc>
      </w:tr>
      <w:tr w14:paraId="34476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0" w:type="dxa"/>
            <w:noWrap w:val="0"/>
            <w:vAlign w:val="center"/>
          </w:tcPr>
          <w:p w14:paraId="6AB56A2F">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5</w:t>
            </w:r>
          </w:p>
        </w:tc>
        <w:tc>
          <w:tcPr>
            <w:tcW w:w="1305" w:type="dxa"/>
            <w:noWrap w:val="0"/>
            <w:vAlign w:val="center"/>
          </w:tcPr>
          <w:p w14:paraId="61DC9196">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项目理解</w:t>
            </w:r>
          </w:p>
        </w:tc>
        <w:tc>
          <w:tcPr>
            <w:tcW w:w="5715" w:type="dxa"/>
            <w:noWrap w:val="0"/>
            <w:vAlign w:val="center"/>
          </w:tcPr>
          <w:p w14:paraId="6DD4EA8A">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投标人对项目背景、现状、目标任务熟悉情况</w:t>
            </w:r>
            <w:r>
              <w:rPr>
                <w:rFonts w:hint="eastAsia" w:ascii="仿宋" w:hAnsi="仿宋" w:eastAsia="仿宋" w:cs="仿宋"/>
                <w:color w:val="auto"/>
                <w:sz w:val="24"/>
                <w:szCs w:val="24"/>
                <w:highlight w:val="none"/>
                <w:lang w:eastAsia="zh-CN"/>
              </w:rPr>
              <w:t>。</w:t>
            </w:r>
            <w:r>
              <w:rPr>
                <w:rFonts w:hint="eastAsia" w:ascii="仿宋" w:hAnsi="仿宋" w:eastAsia="仿宋" w:cs="仿宋"/>
                <w:bCs/>
                <w:color w:val="auto"/>
                <w:sz w:val="24"/>
                <w:szCs w:val="24"/>
                <w:highlight w:val="none"/>
                <w:lang w:eastAsia="zh-CN"/>
              </w:rPr>
              <w:t>（评分分值范围：</w:t>
            </w:r>
            <w:r>
              <w:rPr>
                <w:rFonts w:hint="eastAsia" w:ascii="仿宋" w:hAnsi="仿宋" w:eastAsia="仿宋" w:cs="仿宋"/>
                <w:bCs/>
                <w:color w:val="auto"/>
                <w:sz w:val="24"/>
                <w:szCs w:val="24"/>
                <w:highlight w:val="none"/>
                <w:lang w:val="en-US" w:eastAsia="zh-CN"/>
              </w:rPr>
              <w:t>5，4.5</w:t>
            </w:r>
            <w:r>
              <w:rPr>
                <w:rFonts w:hint="eastAsia" w:ascii="仿宋" w:hAnsi="仿宋" w:eastAsia="仿宋" w:cs="仿宋"/>
                <w:bCs/>
                <w:color w:val="auto"/>
                <w:sz w:val="24"/>
                <w:szCs w:val="24"/>
                <w:highlight w:val="none"/>
                <w:lang w:eastAsia="zh-CN"/>
              </w:rPr>
              <w:t>,…,0，</w:t>
            </w:r>
            <w:r>
              <w:rPr>
                <w:rFonts w:hint="eastAsia" w:ascii="仿宋" w:hAnsi="仿宋" w:eastAsia="仿宋" w:cs="仿宋"/>
                <w:bCs/>
                <w:color w:val="auto"/>
                <w:sz w:val="24"/>
                <w:szCs w:val="24"/>
                <w:highlight w:val="none"/>
                <w:lang w:val="en-US" w:eastAsia="zh-CN"/>
              </w:rPr>
              <w:t>步幅0.5</w:t>
            </w:r>
            <w:r>
              <w:rPr>
                <w:rFonts w:hint="eastAsia" w:ascii="仿宋" w:hAnsi="仿宋" w:eastAsia="仿宋" w:cs="仿宋"/>
                <w:bCs/>
                <w:color w:val="auto"/>
                <w:sz w:val="24"/>
                <w:szCs w:val="24"/>
                <w:highlight w:val="none"/>
                <w:lang w:eastAsia="zh-CN"/>
              </w:rPr>
              <w:t>）</w:t>
            </w:r>
          </w:p>
        </w:tc>
        <w:tc>
          <w:tcPr>
            <w:tcW w:w="802" w:type="dxa"/>
            <w:noWrap w:val="0"/>
            <w:vAlign w:val="center"/>
          </w:tcPr>
          <w:p w14:paraId="3684A4B7">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5分</w:t>
            </w:r>
          </w:p>
        </w:tc>
      </w:tr>
      <w:tr w14:paraId="27E7C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0" w:type="dxa"/>
            <w:noWrap w:val="0"/>
            <w:vAlign w:val="center"/>
          </w:tcPr>
          <w:p w14:paraId="207E8C4A">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6</w:t>
            </w:r>
          </w:p>
        </w:tc>
        <w:tc>
          <w:tcPr>
            <w:tcW w:w="1305" w:type="dxa"/>
            <w:noWrap w:val="0"/>
            <w:vAlign w:val="center"/>
          </w:tcPr>
          <w:p w14:paraId="37C0E9A6">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项目计划安排</w:t>
            </w:r>
          </w:p>
        </w:tc>
        <w:tc>
          <w:tcPr>
            <w:tcW w:w="5715" w:type="dxa"/>
            <w:noWrap w:val="0"/>
            <w:vAlign w:val="center"/>
          </w:tcPr>
          <w:p w14:paraId="6055F07D">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项目实施计划的科学性、合理性、规范性和可操作性</w:t>
            </w:r>
            <w:r>
              <w:rPr>
                <w:rFonts w:hint="eastAsia" w:ascii="仿宋" w:hAnsi="仿宋" w:eastAsia="仿宋" w:cs="仿宋"/>
                <w:color w:val="auto"/>
                <w:sz w:val="24"/>
                <w:szCs w:val="24"/>
                <w:highlight w:val="none"/>
                <w:lang w:eastAsia="zh-CN"/>
              </w:rPr>
              <w:t>。</w:t>
            </w:r>
            <w:r>
              <w:rPr>
                <w:rFonts w:hint="eastAsia" w:ascii="仿宋" w:hAnsi="仿宋" w:eastAsia="仿宋" w:cs="仿宋"/>
                <w:bCs/>
                <w:color w:val="auto"/>
                <w:sz w:val="24"/>
                <w:szCs w:val="24"/>
                <w:highlight w:val="none"/>
                <w:lang w:eastAsia="zh-CN"/>
              </w:rPr>
              <w:t>（评分分值范围：</w:t>
            </w:r>
            <w:r>
              <w:rPr>
                <w:rFonts w:hint="eastAsia" w:ascii="仿宋" w:hAnsi="仿宋" w:eastAsia="仿宋" w:cs="仿宋"/>
                <w:bCs/>
                <w:color w:val="auto"/>
                <w:sz w:val="24"/>
                <w:szCs w:val="24"/>
                <w:highlight w:val="none"/>
                <w:lang w:val="en-US" w:eastAsia="zh-CN"/>
              </w:rPr>
              <w:t>5，4.5</w:t>
            </w:r>
            <w:r>
              <w:rPr>
                <w:rFonts w:hint="eastAsia" w:ascii="仿宋" w:hAnsi="仿宋" w:eastAsia="仿宋" w:cs="仿宋"/>
                <w:bCs/>
                <w:color w:val="auto"/>
                <w:sz w:val="24"/>
                <w:szCs w:val="24"/>
                <w:highlight w:val="none"/>
                <w:lang w:eastAsia="zh-CN"/>
              </w:rPr>
              <w:t>,…,0，</w:t>
            </w:r>
            <w:r>
              <w:rPr>
                <w:rFonts w:hint="eastAsia" w:ascii="仿宋" w:hAnsi="仿宋" w:eastAsia="仿宋" w:cs="仿宋"/>
                <w:bCs/>
                <w:color w:val="auto"/>
                <w:sz w:val="24"/>
                <w:szCs w:val="24"/>
                <w:highlight w:val="none"/>
                <w:lang w:val="en-US" w:eastAsia="zh-CN"/>
              </w:rPr>
              <w:t>步幅0.5</w:t>
            </w:r>
            <w:r>
              <w:rPr>
                <w:rFonts w:hint="eastAsia" w:ascii="仿宋" w:hAnsi="仿宋" w:eastAsia="仿宋" w:cs="仿宋"/>
                <w:bCs/>
                <w:color w:val="auto"/>
                <w:sz w:val="24"/>
                <w:szCs w:val="24"/>
                <w:highlight w:val="none"/>
                <w:lang w:eastAsia="zh-CN"/>
              </w:rPr>
              <w:t>）</w:t>
            </w:r>
          </w:p>
        </w:tc>
        <w:tc>
          <w:tcPr>
            <w:tcW w:w="802" w:type="dxa"/>
            <w:noWrap w:val="0"/>
            <w:vAlign w:val="center"/>
          </w:tcPr>
          <w:p w14:paraId="59F5C979">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分</w:t>
            </w:r>
          </w:p>
        </w:tc>
      </w:tr>
      <w:tr w14:paraId="4E363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0" w:type="dxa"/>
            <w:vMerge w:val="restart"/>
            <w:noWrap w:val="0"/>
            <w:vAlign w:val="center"/>
          </w:tcPr>
          <w:p w14:paraId="18CFDC3B">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7</w:t>
            </w:r>
          </w:p>
        </w:tc>
        <w:tc>
          <w:tcPr>
            <w:tcW w:w="1305" w:type="dxa"/>
            <w:vMerge w:val="restart"/>
            <w:noWrap w:val="0"/>
            <w:vAlign w:val="center"/>
          </w:tcPr>
          <w:p w14:paraId="223DB7F6">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实施方案</w:t>
            </w:r>
          </w:p>
        </w:tc>
        <w:tc>
          <w:tcPr>
            <w:tcW w:w="5715" w:type="dxa"/>
            <w:noWrap w:val="0"/>
            <w:vAlign w:val="center"/>
          </w:tcPr>
          <w:p w14:paraId="19C3589C">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color w:val="auto"/>
                <w:sz w:val="24"/>
                <w:szCs w:val="24"/>
                <w:highlight w:val="none"/>
                <w:lang w:val="zh-TW" w:eastAsia="zh-CN"/>
              </w:rPr>
            </w:pPr>
            <w:r>
              <w:rPr>
                <w:rFonts w:hint="eastAsia" w:ascii="仿宋" w:hAnsi="仿宋" w:eastAsia="仿宋" w:cs="仿宋"/>
                <w:color w:val="auto"/>
                <w:sz w:val="24"/>
                <w:szCs w:val="24"/>
                <w:highlight w:val="none"/>
                <w:lang w:val="zh-TW" w:eastAsia="zh-TW"/>
              </w:rPr>
              <w:t>投标人提出的运行操作、安全监测方案</w:t>
            </w:r>
            <w:r>
              <w:rPr>
                <w:rFonts w:hint="eastAsia" w:ascii="仿宋" w:hAnsi="仿宋" w:eastAsia="仿宋" w:cs="仿宋"/>
                <w:color w:val="auto"/>
                <w:sz w:val="24"/>
                <w:szCs w:val="24"/>
                <w:highlight w:val="none"/>
                <w:lang w:val="zh-TW" w:eastAsia="zh-CN"/>
              </w:rPr>
              <w:t>。</w:t>
            </w:r>
            <w:r>
              <w:rPr>
                <w:rFonts w:hint="eastAsia" w:ascii="仿宋" w:hAnsi="仿宋" w:eastAsia="仿宋" w:cs="仿宋"/>
                <w:bCs/>
                <w:color w:val="auto"/>
                <w:sz w:val="24"/>
                <w:szCs w:val="24"/>
                <w:highlight w:val="none"/>
                <w:lang w:eastAsia="zh-CN"/>
              </w:rPr>
              <w:t>（评分分值范围：</w:t>
            </w:r>
            <w:r>
              <w:rPr>
                <w:rFonts w:hint="eastAsia" w:ascii="仿宋" w:hAnsi="仿宋" w:eastAsia="仿宋" w:cs="仿宋"/>
                <w:bCs/>
                <w:color w:val="auto"/>
                <w:sz w:val="24"/>
                <w:szCs w:val="24"/>
                <w:highlight w:val="none"/>
                <w:lang w:val="en-US" w:eastAsia="zh-CN"/>
              </w:rPr>
              <w:t>5，4.5</w:t>
            </w:r>
            <w:r>
              <w:rPr>
                <w:rFonts w:hint="eastAsia" w:ascii="仿宋" w:hAnsi="仿宋" w:eastAsia="仿宋" w:cs="仿宋"/>
                <w:bCs/>
                <w:color w:val="auto"/>
                <w:sz w:val="24"/>
                <w:szCs w:val="24"/>
                <w:highlight w:val="none"/>
                <w:lang w:eastAsia="zh-CN"/>
              </w:rPr>
              <w:t>,…,0，</w:t>
            </w:r>
            <w:r>
              <w:rPr>
                <w:rFonts w:hint="eastAsia" w:ascii="仿宋" w:hAnsi="仿宋" w:eastAsia="仿宋" w:cs="仿宋"/>
                <w:bCs/>
                <w:color w:val="auto"/>
                <w:sz w:val="24"/>
                <w:szCs w:val="24"/>
                <w:highlight w:val="none"/>
                <w:lang w:val="en-US" w:eastAsia="zh-CN"/>
              </w:rPr>
              <w:t>步幅0.5</w:t>
            </w:r>
            <w:r>
              <w:rPr>
                <w:rFonts w:hint="eastAsia" w:ascii="仿宋" w:hAnsi="仿宋" w:eastAsia="仿宋" w:cs="仿宋"/>
                <w:bCs/>
                <w:color w:val="auto"/>
                <w:sz w:val="24"/>
                <w:szCs w:val="24"/>
                <w:highlight w:val="none"/>
                <w:lang w:eastAsia="zh-CN"/>
              </w:rPr>
              <w:t>）</w:t>
            </w:r>
          </w:p>
        </w:tc>
        <w:tc>
          <w:tcPr>
            <w:tcW w:w="802" w:type="dxa"/>
            <w:noWrap w:val="0"/>
            <w:vAlign w:val="center"/>
          </w:tcPr>
          <w:p w14:paraId="348DFB63">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5分</w:t>
            </w:r>
          </w:p>
        </w:tc>
      </w:tr>
      <w:tr w14:paraId="47105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0" w:type="dxa"/>
            <w:vMerge w:val="continue"/>
            <w:noWrap w:val="0"/>
            <w:vAlign w:val="center"/>
          </w:tcPr>
          <w:p w14:paraId="4D9C4E2C">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p>
        </w:tc>
        <w:tc>
          <w:tcPr>
            <w:tcW w:w="1305" w:type="dxa"/>
            <w:vMerge w:val="continue"/>
            <w:noWrap w:val="0"/>
            <w:vAlign w:val="center"/>
          </w:tcPr>
          <w:p w14:paraId="253E1AE7">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p>
        </w:tc>
        <w:tc>
          <w:tcPr>
            <w:tcW w:w="5715" w:type="dxa"/>
            <w:noWrap w:val="0"/>
            <w:vAlign w:val="center"/>
          </w:tcPr>
          <w:p w14:paraId="39862E7F">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color w:val="auto"/>
                <w:sz w:val="24"/>
                <w:szCs w:val="24"/>
                <w:highlight w:val="none"/>
                <w:lang w:val="zh-TW" w:eastAsia="zh-TW"/>
              </w:rPr>
              <w:t>投标人提出</w:t>
            </w:r>
            <w:r>
              <w:rPr>
                <w:rFonts w:hint="eastAsia" w:ascii="仿宋" w:hAnsi="仿宋" w:eastAsia="仿宋" w:cs="仿宋"/>
                <w:color w:val="auto"/>
                <w:sz w:val="24"/>
                <w:szCs w:val="24"/>
                <w:highlight w:val="none"/>
                <w:lang w:val="zh-TW"/>
              </w:rPr>
              <w:t>的维修养护方案。</w:t>
            </w:r>
            <w:r>
              <w:rPr>
                <w:rFonts w:hint="eastAsia" w:ascii="仿宋" w:hAnsi="仿宋" w:eastAsia="仿宋" w:cs="仿宋"/>
                <w:bCs/>
                <w:color w:val="auto"/>
                <w:sz w:val="24"/>
                <w:szCs w:val="24"/>
                <w:highlight w:val="none"/>
                <w:lang w:eastAsia="zh-CN"/>
              </w:rPr>
              <w:t>（评分分值范围：</w:t>
            </w:r>
            <w:r>
              <w:rPr>
                <w:rFonts w:hint="eastAsia" w:ascii="仿宋" w:hAnsi="仿宋" w:eastAsia="仿宋" w:cs="仿宋"/>
                <w:bCs/>
                <w:color w:val="auto"/>
                <w:sz w:val="24"/>
                <w:szCs w:val="24"/>
                <w:highlight w:val="none"/>
                <w:lang w:val="en-US" w:eastAsia="zh-CN"/>
              </w:rPr>
              <w:t>5，4.5</w:t>
            </w:r>
            <w:r>
              <w:rPr>
                <w:rFonts w:hint="eastAsia" w:ascii="仿宋" w:hAnsi="仿宋" w:eastAsia="仿宋" w:cs="仿宋"/>
                <w:bCs/>
                <w:color w:val="auto"/>
                <w:sz w:val="24"/>
                <w:szCs w:val="24"/>
                <w:highlight w:val="none"/>
                <w:lang w:eastAsia="zh-CN"/>
              </w:rPr>
              <w:t>,…,0，</w:t>
            </w:r>
            <w:r>
              <w:rPr>
                <w:rFonts w:hint="eastAsia" w:ascii="仿宋" w:hAnsi="仿宋" w:eastAsia="仿宋" w:cs="仿宋"/>
                <w:bCs/>
                <w:color w:val="auto"/>
                <w:sz w:val="24"/>
                <w:szCs w:val="24"/>
                <w:highlight w:val="none"/>
                <w:lang w:val="en-US" w:eastAsia="zh-CN"/>
              </w:rPr>
              <w:t>步幅0.5</w:t>
            </w:r>
            <w:r>
              <w:rPr>
                <w:rFonts w:hint="eastAsia" w:ascii="仿宋" w:hAnsi="仿宋" w:eastAsia="仿宋" w:cs="仿宋"/>
                <w:bCs/>
                <w:color w:val="auto"/>
                <w:sz w:val="24"/>
                <w:szCs w:val="24"/>
                <w:highlight w:val="none"/>
                <w:lang w:eastAsia="zh-CN"/>
              </w:rPr>
              <w:t>）</w:t>
            </w:r>
          </w:p>
        </w:tc>
        <w:tc>
          <w:tcPr>
            <w:tcW w:w="802" w:type="dxa"/>
            <w:noWrap w:val="0"/>
            <w:vAlign w:val="center"/>
          </w:tcPr>
          <w:p w14:paraId="0DF29CD5">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分</w:t>
            </w:r>
          </w:p>
        </w:tc>
      </w:tr>
      <w:tr w14:paraId="63A0B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0" w:type="dxa"/>
            <w:vMerge w:val="continue"/>
            <w:noWrap w:val="0"/>
            <w:vAlign w:val="center"/>
          </w:tcPr>
          <w:p w14:paraId="271FE713">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p>
        </w:tc>
        <w:tc>
          <w:tcPr>
            <w:tcW w:w="1305" w:type="dxa"/>
            <w:vMerge w:val="continue"/>
            <w:noWrap w:val="0"/>
            <w:vAlign w:val="center"/>
          </w:tcPr>
          <w:p w14:paraId="7BDAEB29">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p>
        </w:tc>
        <w:tc>
          <w:tcPr>
            <w:tcW w:w="5715" w:type="dxa"/>
            <w:noWrap w:val="0"/>
            <w:vAlign w:val="center"/>
          </w:tcPr>
          <w:p w14:paraId="7DA9E84E">
            <w:pPr>
              <w:keepNext w:val="0"/>
              <w:keepLines w:val="0"/>
              <w:pageBreakBefore w:val="0"/>
              <w:kinsoku/>
              <w:wordWrap/>
              <w:overflowPunct/>
              <w:topLinePunct w:val="0"/>
              <w:autoSpaceDE/>
              <w:autoSpaceDN/>
              <w:bidi w:val="0"/>
              <w:adjustRightInd w:val="0"/>
              <w:spacing w:line="400" w:lineRule="exact"/>
              <w:ind w:firstLine="0" w:firstLineChars="0"/>
              <w:rPr>
                <w:rFonts w:hint="eastAsia" w:ascii="仿宋" w:hAnsi="仿宋" w:eastAsia="仿宋" w:cs="仿宋"/>
                <w:color w:val="auto"/>
                <w:sz w:val="24"/>
                <w:szCs w:val="24"/>
                <w:highlight w:val="none"/>
                <w:lang w:val="zh-TW" w:eastAsia="zh-TW"/>
              </w:rPr>
            </w:pPr>
            <w:r>
              <w:rPr>
                <w:rFonts w:hint="eastAsia" w:ascii="仿宋" w:hAnsi="仿宋" w:eastAsia="仿宋" w:cs="仿宋"/>
                <w:color w:val="auto"/>
                <w:sz w:val="24"/>
                <w:szCs w:val="24"/>
                <w:highlight w:val="none"/>
                <w:lang w:val="en-US" w:eastAsia="zh-CN"/>
              </w:rPr>
              <w:t>投标人</w:t>
            </w:r>
            <w:r>
              <w:rPr>
                <w:rFonts w:hint="eastAsia" w:ascii="仿宋" w:hAnsi="仿宋" w:eastAsia="仿宋" w:cs="仿宋"/>
                <w:color w:val="auto"/>
                <w:sz w:val="24"/>
                <w:szCs w:val="24"/>
                <w:highlight w:val="none"/>
                <w:lang w:val="zh-TW" w:eastAsia="zh-TW"/>
              </w:rPr>
              <w:t>提出</w:t>
            </w:r>
            <w:r>
              <w:rPr>
                <w:rFonts w:hint="eastAsia" w:ascii="仿宋" w:hAnsi="仿宋" w:eastAsia="仿宋" w:cs="仿宋"/>
                <w:color w:val="auto"/>
                <w:sz w:val="24"/>
                <w:szCs w:val="24"/>
                <w:highlight w:val="none"/>
                <w:lang w:val="zh-TW"/>
              </w:rPr>
              <w:t>的</w:t>
            </w:r>
            <w:r>
              <w:rPr>
                <w:rFonts w:hint="eastAsia" w:ascii="仿宋" w:hAnsi="仿宋" w:eastAsia="仿宋" w:cs="仿宋"/>
                <w:color w:val="auto"/>
                <w:sz w:val="24"/>
                <w:szCs w:val="24"/>
                <w:highlight w:val="none"/>
              </w:rPr>
              <w:t>绿化保洁</w:t>
            </w:r>
            <w:r>
              <w:rPr>
                <w:rFonts w:hint="eastAsia" w:ascii="仿宋" w:hAnsi="仿宋" w:eastAsia="仿宋" w:cs="仿宋"/>
                <w:color w:val="auto"/>
                <w:sz w:val="24"/>
                <w:szCs w:val="24"/>
                <w:highlight w:val="none"/>
                <w:lang w:val="zh-TW"/>
              </w:rPr>
              <w:t>方案</w:t>
            </w:r>
            <w:r>
              <w:rPr>
                <w:rFonts w:hint="eastAsia" w:ascii="仿宋" w:hAnsi="仿宋" w:eastAsia="仿宋" w:cs="仿宋"/>
                <w:color w:val="auto"/>
                <w:sz w:val="24"/>
                <w:szCs w:val="24"/>
                <w:highlight w:val="none"/>
                <w:lang w:val="en-US" w:eastAsia="zh-CN"/>
              </w:rPr>
              <w:t>。</w:t>
            </w:r>
            <w:r>
              <w:rPr>
                <w:rFonts w:hint="eastAsia" w:ascii="仿宋" w:hAnsi="仿宋" w:eastAsia="仿宋" w:cs="仿宋"/>
                <w:bCs/>
                <w:color w:val="auto"/>
                <w:sz w:val="24"/>
                <w:szCs w:val="24"/>
                <w:highlight w:val="none"/>
                <w:lang w:eastAsia="zh-CN"/>
              </w:rPr>
              <w:t>（评分分值范围：</w:t>
            </w:r>
            <w:r>
              <w:rPr>
                <w:rFonts w:hint="eastAsia" w:ascii="仿宋" w:hAnsi="仿宋" w:eastAsia="仿宋" w:cs="仿宋"/>
                <w:bCs/>
                <w:color w:val="auto"/>
                <w:sz w:val="24"/>
                <w:szCs w:val="24"/>
                <w:highlight w:val="none"/>
                <w:lang w:val="en-US" w:eastAsia="zh-CN"/>
              </w:rPr>
              <w:t>5，4.5</w:t>
            </w:r>
            <w:r>
              <w:rPr>
                <w:rFonts w:hint="eastAsia" w:ascii="仿宋" w:hAnsi="仿宋" w:eastAsia="仿宋" w:cs="仿宋"/>
                <w:bCs/>
                <w:color w:val="auto"/>
                <w:sz w:val="24"/>
                <w:szCs w:val="24"/>
                <w:highlight w:val="none"/>
                <w:lang w:eastAsia="zh-CN"/>
              </w:rPr>
              <w:t>,…,0，</w:t>
            </w:r>
            <w:r>
              <w:rPr>
                <w:rFonts w:hint="eastAsia" w:ascii="仿宋" w:hAnsi="仿宋" w:eastAsia="仿宋" w:cs="仿宋"/>
                <w:bCs/>
                <w:color w:val="auto"/>
                <w:sz w:val="24"/>
                <w:szCs w:val="24"/>
                <w:highlight w:val="none"/>
                <w:lang w:val="en-US" w:eastAsia="zh-CN"/>
              </w:rPr>
              <w:t>步幅0.5</w:t>
            </w:r>
            <w:r>
              <w:rPr>
                <w:rFonts w:hint="eastAsia" w:ascii="仿宋" w:hAnsi="仿宋" w:eastAsia="仿宋" w:cs="仿宋"/>
                <w:bCs/>
                <w:color w:val="auto"/>
                <w:sz w:val="24"/>
                <w:szCs w:val="24"/>
                <w:highlight w:val="none"/>
                <w:lang w:eastAsia="zh-CN"/>
              </w:rPr>
              <w:t>）</w:t>
            </w:r>
          </w:p>
        </w:tc>
        <w:tc>
          <w:tcPr>
            <w:tcW w:w="802" w:type="dxa"/>
            <w:noWrap w:val="0"/>
            <w:vAlign w:val="center"/>
          </w:tcPr>
          <w:p w14:paraId="7A988905">
            <w:pPr>
              <w:keepNext w:val="0"/>
              <w:keepLines w:val="0"/>
              <w:pageBreakBefore w:val="0"/>
              <w:kinsoku/>
              <w:wordWrap/>
              <w:overflowPunct/>
              <w:topLinePunct w:val="0"/>
              <w:autoSpaceDE/>
              <w:autoSpaceDN/>
              <w:bidi w:val="0"/>
              <w:adjustRightInd w:val="0"/>
              <w:spacing w:line="400" w:lineRule="exact"/>
              <w:ind w:firstLine="0" w:firstLineChars="0"/>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5分</w:t>
            </w:r>
          </w:p>
        </w:tc>
      </w:tr>
      <w:tr w14:paraId="32361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0" w:type="dxa"/>
            <w:vMerge w:val="continue"/>
            <w:noWrap w:val="0"/>
            <w:vAlign w:val="center"/>
          </w:tcPr>
          <w:p w14:paraId="6F17FAD8">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p>
        </w:tc>
        <w:tc>
          <w:tcPr>
            <w:tcW w:w="1305" w:type="dxa"/>
            <w:vMerge w:val="continue"/>
            <w:noWrap w:val="0"/>
            <w:vAlign w:val="center"/>
          </w:tcPr>
          <w:p w14:paraId="0562812E">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p>
        </w:tc>
        <w:tc>
          <w:tcPr>
            <w:tcW w:w="5715" w:type="dxa"/>
            <w:noWrap w:val="0"/>
            <w:vAlign w:val="center"/>
          </w:tcPr>
          <w:p w14:paraId="4C5B1323">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color w:val="auto"/>
                <w:sz w:val="24"/>
                <w:szCs w:val="24"/>
                <w:highlight w:val="none"/>
                <w:lang w:val="zh-TW"/>
              </w:rPr>
              <w:t>投标人制定的</w:t>
            </w:r>
            <w:r>
              <w:rPr>
                <w:rFonts w:hint="eastAsia" w:ascii="仿宋" w:hAnsi="仿宋" w:eastAsia="仿宋" w:cs="仿宋"/>
                <w:color w:val="auto"/>
                <w:sz w:val="24"/>
                <w:szCs w:val="24"/>
                <w:highlight w:val="none"/>
              </w:rPr>
              <w:t>台账资料管理</w:t>
            </w:r>
            <w:r>
              <w:rPr>
                <w:rFonts w:hint="eastAsia" w:ascii="仿宋" w:hAnsi="仿宋" w:eastAsia="仿宋" w:cs="仿宋"/>
                <w:color w:val="auto"/>
                <w:sz w:val="24"/>
                <w:szCs w:val="24"/>
                <w:highlight w:val="none"/>
                <w:lang w:val="zh-TW"/>
              </w:rPr>
              <w:t>等方案</w:t>
            </w:r>
            <w:r>
              <w:rPr>
                <w:rFonts w:hint="eastAsia" w:ascii="仿宋" w:hAnsi="仿宋" w:eastAsia="仿宋" w:cs="仿宋"/>
                <w:color w:val="auto"/>
                <w:sz w:val="24"/>
                <w:szCs w:val="24"/>
                <w:highlight w:val="none"/>
              </w:rPr>
              <w:t>。</w:t>
            </w:r>
            <w:r>
              <w:rPr>
                <w:rFonts w:hint="eastAsia" w:ascii="仿宋" w:hAnsi="仿宋" w:eastAsia="仿宋" w:cs="仿宋"/>
                <w:bCs/>
                <w:color w:val="auto"/>
                <w:sz w:val="24"/>
                <w:szCs w:val="24"/>
                <w:highlight w:val="none"/>
                <w:lang w:eastAsia="zh-CN"/>
              </w:rPr>
              <w:t>（评分分值范围：</w:t>
            </w:r>
            <w:r>
              <w:rPr>
                <w:rFonts w:hint="eastAsia" w:ascii="仿宋" w:hAnsi="仿宋" w:eastAsia="仿宋" w:cs="仿宋"/>
                <w:bCs/>
                <w:color w:val="auto"/>
                <w:sz w:val="24"/>
                <w:szCs w:val="24"/>
                <w:highlight w:val="none"/>
                <w:lang w:val="en-US" w:eastAsia="zh-CN"/>
              </w:rPr>
              <w:t>5，4.5</w:t>
            </w:r>
            <w:r>
              <w:rPr>
                <w:rFonts w:hint="eastAsia" w:ascii="仿宋" w:hAnsi="仿宋" w:eastAsia="仿宋" w:cs="仿宋"/>
                <w:bCs/>
                <w:color w:val="auto"/>
                <w:sz w:val="24"/>
                <w:szCs w:val="24"/>
                <w:highlight w:val="none"/>
                <w:lang w:eastAsia="zh-CN"/>
              </w:rPr>
              <w:t>,…,0，</w:t>
            </w:r>
            <w:r>
              <w:rPr>
                <w:rFonts w:hint="eastAsia" w:ascii="仿宋" w:hAnsi="仿宋" w:eastAsia="仿宋" w:cs="仿宋"/>
                <w:bCs/>
                <w:color w:val="auto"/>
                <w:sz w:val="24"/>
                <w:szCs w:val="24"/>
                <w:highlight w:val="none"/>
                <w:lang w:val="en-US" w:eastAsia="zh-CN"/>
              </w:rPr>
              <w:t>步幅0.5</w:t>
            </w:r>
            <w:r>
              <w:rPr>
                <w:rFonts w:hint="eastAsia" w:ascii="仿宋" w:hAnsi="仿宋" w:eastAsia="仿宋" w:cs="仿宋"/>
                <w:bCs/>
                <w:color w:val="auto"/>
                <w:sz w:val="24"/>
                <w:szCs w:val="24"/>
                <w:highlight w:val="none"/>
                <w:lang w:eastAsia="zh-CN"/>
              </w:rPr>
              <w:t>）</w:t>
            </w:r>
          </w:p>
        </w:tc>
        <w:tc>
          <w:tcPr>
            <w:tcW w:w="802" w:type="dxa"/>
            <w:noWrap w:val="0"/>
            <w:vAlign w:val="center"/>
          </w:tcPr>
          <w:p w14:paraId="2000B32F">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分</w:t>
            </w:r>
          </w:p>
        </w:tc>
      </w:tr>
      <w:tr w14:paraId="57785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0" w:type="dxa"/>
            <w:vMerge w:val="continue"/>
            <w:noWrap w:val="0"/>
            <w:vAlign w:val="center"/>
          </w:tcPr>
          <w:p w14:paraId="66FD55C1">
            <w:pPr>
              <w:keepNext w:val="0"/>
              <w:keepLines w:val="0"/>
              <w:pageBreakBefore w:val="0"/>
              <w:kinsoku/>
              <w:wordWrap/>
              <w:overflowPunct/>
              <w:topLinePunct w:val="0"/>
              <w:autoSpaceDE/>
              <w:autoSpaceDN/>
              <w:bidi w:val="0"/>
              <w:adjustRightInd w:val="0"/>
              <w:spacing w:line="400" w:lineRule="exact"/>
              <w:ind w:firstLine="480" w:firstLineChars="200"/>
              <w:jc w:val="center"/>
              <w:rPr>
                <w:rFonts w:hint="eastAsia" w:ascii="仿宋" w:hAnsi="仿宋" w:eastAsia="仿宋" w:cs="仿宋"/>
                <w:color w:val="auto"/>
                <w:kern w:val="2"/>
                <w:sz w:val="24"/>
                <w:szCs w:val="24"/>
                <w:highlight w:val="none"/>
                <w:lang w:val="en-US" w:eastAsia="zh-CN" w:bidi="ar-SA"/>
              </w:rPr>
            </w:pPr>
          </w:p>
        </w:tc>
        <w:tc>
          <w:tcPr>
            <w:tcW w:w="1305" w:type="dxa"/>
            <w:vMerge w:val="continue"/>
            <w:noWrap w:val="0"/>
            <w:vAlign w:val="center"/>
          </w:tcPr>
          <w:p w14:paraId="0AAD67CA">
            <w:pPr>
              <w:keepNext w:val="0"/>
              <w:keepLines w:val="0"/>
              <w:pageBreakBefore w:val="0"/>
              <w:kinsoku/>
              <w:wordWrap/>
              <w:overflowPunct/>
              <w:topLinePunct w:val="0"/>
              <w:autoSpaceDE/>
              <w:autoSpaceDN/>
              <w:bidi w:val="0"/>
              <w:adjustRightInd w:val="0"/>
              <w:spacing w:line="400" w:lineRule="exact"/>
              <w:ind w:firstLine="480" w:firstLineChars="200"/>
              <w:jc w:val="center"/>
              <w:rPr>
                <w:rFonts w:hint="eastAsia" w:ascii="仿宋" w:hAnsi="仿宋" w:eastAsia="仿宋" w:cs="仿宋"/>
                <w:color w:val="auto"/>
                <w:kern w:val="2"/>
                <w:sz w:val="24"/>
                <w:szCs w:val="24"/>
                <w:highlight w:val="none"/>
                <w:lang w:val="en-US" w:eastAsia="zh-CN" w:bidi="ar-SA"/>
              </w:rPr>
            </w:pPr>
          </w:p>
        </w:tc>
        <w:tc>
          <w:tcPr>
            <w:tcW w:w="5715" w:type="dxa"/>
            <w:noWrap w:val="0"/>
            <w:vAlign w:val="center"/>
          </w:tcPr>
          <w:p w14:paraId="05DE7361">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color w:val="auto"/>
                <w:sz w:val="24"/>
                <w:szCs w:val="24"/>
                <w:highlight w:val="none"/>
                <w:lang w:val="zh-TW"/>
              </w:rPr>
              <w:t>投标人</w:t>
            </w:r>
            <w:r>
              <w:rPr>
                <w:rFonts w:hint="eastAsia" w:ascii="仿宋" w:hAnsi="仿宋" w:eastAsia="仿宋" w:cs="仿宋"/>
                <w:color w:val="auto"/>
                <w:sz w:val="24"/>
                <w:szCs w:val="24"/>
                <w:highlight w:val="none"/>
                <w:lang w:val="zh-TW" w:eastAsia="zh-TW"/>
              </w:rPr>
              <w:t>提出</w:t>
            </w:r>
            <w:r>
              <w:rPr>
                <w:rFonts w:hint="eastAsia" w:ascii="仿宋" w:hAnsi="仿宋" w:eastAsia="仿宋" w:cs="仿宋"/>
                <w:color w:val="auto"/>
                <w:sz w:val="24"/>
                <w:szCs w:val="24"/>
                <w:highlight w:val="none"/>
                <w:lang w:val="zh-TW"/>
              </w:rPr>
              <w:t>的</w:t>
            </w:r>
            <w:r>
              <w:rPr>
                <w:rFonts w:hint="eastAsia" w:ascii="仿宋" w:hAnsi="仿宋" w:eastAsia="仿宋" w:cs="仿宋"/>
                <w:color w:val="auto"/>
                <w:sz w:val="24"/>
                <w:szCs w:val="24"/>
                <w:highlight w:val="none"/>
              </w:rPr>
              <w:t>教育培训</w:t>
            </w:r>
            <w:r>
              <w:rPr>
                <w:rFonts w:hint="eastAsia" w:ascii="仿宋" w:hAnsi="仿宋" w:eastAsia="仿宋" w:cs="仿宋"/>
                <w:color w:val="auto"/>
                <w:sz w:val="24"/>
                <w:szCs w:val="24"/>
                <w:highlight w:val="none"/>
                <w:lang w:val="zh-TW"/>
              </w:rPr>
              <w:t>方案。</w:t>
            </w:r>
            <w:r>
              <w:rPr>
                <w:rFonts w:hint="eastAsia" w:ascii="仿宋" w:hAnsi="仿宋" w:eastAsia="仿宋" w:cs="仿宋"/>
                <w:bCs/>
                <w:color w:val="auto"/>
                <w:sz w:val="24"/>
                <w:szCs w:val="24"/>
                <w:highlight w:val="none"/>
                <w:lang w:eastAsia="zh-CN"/>
              </w:rPr>
              <w:t>（评分分值范围：</w:t>
            </w:r>
            <w:r>
              <w:rPr>
                <w:rFonts w:hint="eastAsia" w:ascii="仿宋" w:hAnsi="仿宋" w:eastAsia="仿宋" w:cs="仿宋"/>
                <w:bCs/>
                <w:color w:val="auto"/>
                <w:sz w:val="24"/>
                <w:szCs w:val="24"/>
                <w:highlight w:val="none"/>
                <w:lang w:val="en-US" w:eastAsia="zh-CN"/>
              </w:rPr>
              <w:t>5，4.5</w:t>
            </w:r>
            <w:r>
              <w:rPr>
                <w:rFonts w:hint="eastAsia" w:ascii="仿宋" w:hAnsi="仿宋" w:eastAsia="仿宋" w:cs="仿宋"/>
                <w:bCs/>
                <w:color w:val="auto"/>
                <w:sz w:val="24"/>
                <w:szCs w:val="24"/>
                <w:highlight w:val="none"/>
                <w:lang w:eastAsia="zh-CN"/>
              </w:rPr>
              <w:t>,…,0，</w:t>
            </w:r>
            <w:r>
              <w:rPr>
                <w:rFonts w:hint="eastAsia" w:ascii="仿宋" w:hAnsi="仿宋" w:eastAsia="仿宋" w:cs="仿宋"/>
                <w:bCs/>
                <w:color w:val="auto"/>
                <w:sz w:val="24"/>
                <w:szCs w:val="24"/>
                <w:highlight w:val="none"/>
                <w:lang w:val="en-US" w:eastAsia="zh-CN"/>
              </w:rPr>
              <w:t>步幅0.5</w:t>
            </w:r>
            <w:r>
              <w:rPr>
                <w:rFonts w:hint="eastAsia" w:ascii="仿宋" w:hAnsi="仿宋" w:eastAsia="仿宋" w:cs="仿宋"/>
                <w:bCs/>
                <w:color w:val="auto"/>
                <w:sz w:val="24"/>
                <w:szCs w:val="24"/>
                <w:highlight w:val="none"/>
                <w:lang w:eastAsia="zh-CN"/>
              </w:rPr>
              <w:t>）</w:t>
            </w:r>
          </w:p>
        </w:tc>
        <w:tc>
          <w:tcPr>
            <w:tcW w:w="802" w:type="dxa"/>
            <w:noWrap w:val="0"/>
            <w:vAlign w:val="center"/>
          </w:tcPr>
          <w:p w14:paraId="55E6B57F">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分</w:t>
            </w:r>
          </w:p>
        </w:tc>
      </w:tr>
      <w:tr w14:paraId="5E303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0" w:type="dxa"/>
            <w:vMerge w:val="continue"/>
            <w:noWrap w:val="0"/>
            <w:vAlign w:val="center"/>
          </w:tcPr>
          <w:p w14:paraId="13518B91">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color w:val="auto"/>
                <w:kern w:val="2"/>
                <w:sz w:val="24"/>
                <w:szCs w:val="24"/>
                <w:highlight w:val="none"/>
                <w:lang w:val="en-US" w:eastAsia="zh-CN" w:bidi="ar-SA"/>
              </w:rPr>
            </w:pPr>
          </w:p>
        </w:tc>
        <w:tc>
          <w:tcPr>
            <w:tcW w:w="1305" w:type="dxa"/>
            <w:vMerge w:val="continue"/>
            <w:noWrap w:val="0"/>
            <w:vAlign w:val="center"/>
          </w:tcPr>
          <w:p w14:paraId="7CB18EA3">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color w:val="auto"/>
                <w:kern w:val="2"/>
                <w:sz w:val="24"/>
                <w:szCs w:val="24"/>
                <w:highlight w:val="none"/>
                <w:lang w:val="en-US" w:eastAsia="zh-CN" w:bidi="ar-SA"/>
              </w:rPr>
            </w:pPr>
          </w:p>
        </w:tc>
        <w:tc>
          <w:tcPr>
            <w:tcW w:w="5715" w:type="dxa"/>
            <w:noWrap w:val="0"/>
            <w:vAlign w:val="center"/>
          </w:tcPr>
          <w:p w14:paraId="138360D0">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color w:val="auto"/>
                <w:sz w:val="24"/>
                <w:szCs w:val="24"/>
                <w:highlight w:val="none"/>
                <w:lang w:val="zh-TW"/>
              </w:rPr>
              <w:t>投标人</w:t>
            </w:r>
            <w:r>
              <w:rPr>
                <w:rFonts w:hint="eastAsia" w:ascii="仿宋" w:hAnsi="仿宋" w:eastAsia="仿宋" w:cs="仿宋"/>
                <w:color w:val="auto"/>
                <w:sz w:val="24"/>
                <w:szCs w:val="24"/>
                <w:highlight w:val="none"/>
                <w:lang w:val="zh-TW" w:eastAsia="zh-TW"/>
              </w:rPr>
              <w:t>提出</w:t>
            </w:r>
            <w:r>
              <w:rPr>
                <w:rFonts w:hint="eastAsia" w:ascii="仿宋" w:hAnsi="仿宋" w:eastAsia="仿宋" w:cs="仿宋"/>
                <w:color w:val="auto"/>
                <w:sz w:val="24"/>
                <w:szCs w:val="24"/>
                <w:highlight w:val="none"/>
                <w:lang w:val="zh-TW"/>
              </w:rPr>
              <w:t>的平台维护方案</w:t>
            </w:r>
            <w:r>
              <w:rPr>
                <w:rFonts w:hint="eastAsia" w:ascii="仿宋" w:hAnsi="仿宋" w:eastAsia="仿宋" w:cs="仿宋"/>
                <w:color w:val="auto"/>
                <w:sz w:val="24"/>
                <w:szCs w:val="24"/>
                <w:highlight w:val="none"/>
                <w:lang w:val="en-US" w:eastAsia="zh-CN"/>
              </w:rPr>
              <w:t>(包含平台资料维护的熟悉程度等)</w:t>
            </w:r>
            <w:r>
              <w:rPr>
                <w:rFonts w:hint="eastAsia" w:ascii="仿宋" w:hAnsi="仿宋" w:eastAsia="仿宋" w:cs="仿宋"/>
                <w:color w:val="auto"/>
                <w:sz w:val="24"/>
                <w:szCs w:val="24"/>
                <w:highlight w:val="none"/>
                <w:lang w:val="zh-TW"/>
              </w:rPr>
              <w:t>。</w:t>
            </w:r>
            <w:r>
              <w:rPr>
                <w:rFonts w:hint="eastAsia" w:ascii="仿宋" w:hAnsi="仿宋" w:eastAsia="仿宋" w:cs="仿宋"/>
                <w:bCs/>
                <w:color w:val="auto"/>
                <w:sz w:val="24"/>
                <w:szCs w:val="24"/>
                <w:highlight w:val="none"/>
                <w:lang w:eastAsia="zh-CN"/>
              </w:rPr>
              <w:t>（评分分值范围：</w:t>
            </w:r>
            <w:r>
              <w:rPr>
                <w:rFonts w:hint="eastAsia" w:ascii="仿宋" w:hAnsi="仿宋" w:eastAsia="仿宋" w:cs="仿宋"/>
                <w:bCs/>
                <w:color w:val="auto"/>
                <w:sz w:val="24"/>
                <w:szCs w:val="24"/>
                <w:highlight w:val="none"/>
                <w:lang w:val="en-US" w:eastAsia="zh-CN"/>
              </w:rPr>
              <w:t>5，4.5</w:t>
            </w:r>
            <w:r>
              <w:rPr>
                <w:rFonts w:hint="eastAsia" w:ascii="仿宋" w:hAnsi="仿宋" w:eastAsia="仿宋" w:cs="仿宋"/>
                <w:bCs/>
                <w:color w:val="auto"/>
                <w:sz w:val="24"/>
                <w:szCs w:val="24"/>
                <w:highlight w:val="none"/>
                <w:lang w:eastAsia="zh-CN"/>
              </w:rPr>
              <w:t>,…,0，</w:t>
            </w:r>
            <w:r>
              <w:rPr>
                <w:rFonts w:hint="eastAsia" w:ascii="仿宋" w:hAnsi="仿宋" w:eastAsia="仿宋" w:cs="仿宋"/>
                <w:bCs/>
                <w:color w:val="auto"/>
                <w:sz w:val="24"/>
                <w:szCs w:val="24"/>
                <w:highlight w:val="none"/>
                <w:lang w:val="en-US" w:eastAsia="zh-CN"/>
              </w:rPr>
              <w:t>步幅0.5</w:t>
            </w:r>
            <w:r>
              <w:rPr>
                <w:rFonts w:hint="eastAsia" w:ascii="仿宋" w:hAnsi="仿宋" w:eastAsia="仿宋" w:cs="仿宋"/>
                <w:bCs/>
                <w:color w:val="auto"/>
                <w:sz w:val="24"/>
                <w:szCs w:val="24"/>
                <w:highlight w:val="none"/>
                <w:lang w:eastAsia="zh-CN"/>
              </w:rPr>
              <w:t>）</w:t>
            </w:r>
          </w:p>
        </w:tc>
        <w:tc>
          <w:tcPr>
            <w:tcW w:w="802" w:type="dxa"/>
            <w:noWrap w:val="0"/>
            <w:vAlign w:val="center"/>
          </w:tcPr>
          <w:p w14:paraId="353DD27E">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bCs/>
                <w:color w:val="auto"/>
                <w:spacing w:val="4"/>
                <w:sz w:val="24"/>
                <w:szCs w:val="24"/>
                <w:highlight w:val="none"/>
                <w:lang w:val="en-US" w:eastAsia="zh-CN"/>
              </w:rPr>
              <w:t>5分</w:t>
            </w:r>
          </w:p>
        </w:tc>
      </w:tr>
      <w:tr w14:paraId="184E8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0" w:type="dxa"/>
            <w:noWrap w:val="0"/>
            <w:vAlign w:val="center"/>
          </w:tcPr>
          <w:p w14:paraId="1A2E96FD">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8</w:t>
            </w:r>
          </w:p>
        </w:tc>
        <w:tc>
          <w:tcPr>
            <w:tcW w:w="1305" w:type="dxa"/>
            <w:noWrap w:val="0"/>
            <w:vAlign w:val="center"/>
          </w:tcPr>
          <w:p w14:paraId="04E41298">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重点难点分析</w:t>
            </w:r>
          </w:p>
        </w:tc>
        <w:tc>
          <w:tcPr>
            <w:tcW w:w="5715" w:type="dxa"/>
            <w:noWrap w:val="0"/>
            <w:vAlign w:val="center"/>
          </w:tcPr>
          <w:p w14:paraId="549B88EA">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对项目重点难点分析及解决措施等进。</w:t>
            </w:r>
            <w:r>
              <w:rPr>
                <w:rFonts w:hint="eastAsia" w:ascii="仿宋" w:hAnsi="仿宋" w:eastAsia="仿宋" w:cs="仿宋"/>
                <w:bCs/>
                <w:color w:val="auto"/>
                <w:sz w:val="24"/>
                <w:szCs w:val="24"/>
                <w:highlight w:val="none"/>
                <w:lang w:eastAsia="zh-CN"/>
              </w:rPr>
              <w:t>（评分分值范围：</w:t>
            </w:r>
            <w:r>
              <w:rPr>
                <w:rFonts w:hint="eastAsia" w:ascii="仿宋" w:hAnsi="仿宋" w:eastAsia="仿宋" w:cs="仿宋"/>
                <w:bCs/>
                <w:color w:val="auto"/>
                <w:sz w:val="24"/>
                <w:szCs w:val="24"/>
                <w:highlight w:val="none"/>
                <w:lang w:val="en-US" w:eastAsia="zh-CN"/>
              </w:rPr>
              <w:t>5，4.5</w:t>
            </w:r>
            <w:r>
              <w:rPr>
                <w:rFonts w:hint="eastAsia" w:ascii="仿宋" w:hAnsi="仿宋" w:eastAsia="仿宋" w:cs="仿宋"/>
                <w:bCs/>
                <w:color w:val="auto"/>
                <w:sz w:val="24"/>
                <w:szCs w:val="24"/>
                <w:highlight w:val="none"/>
                <w:lang w:eastAsia="zh-CN"/>
              </w:rPr>
              <w:t>,…,0，</w:t>
            </w:r>
            <w:r>
              <w:rPr>
                <w:rFonts w:hint="eastAsia" w:ascii="仿宋" w:hAnsi="仿宋" w:eastAsia="仿宋" w:cs="仿宋"/>
                <w:bCs/>
                <w:color w:val="auto"/>
                <w:sz w:val="24"/>
                <w:szCs w:val="24"/>
                <w:highlight w:val="none"/>
                <w:lang w:val="en-US" w:eastAsia="zh-CN"/>
              </w:rPr>
              <w:t>步幅0.5</w:t>
            </w:r>
            <w:r>
              <w:rPr>
                <w:rFonts w:hint="eastAsia" w:ascii="仿宋" w:hAnsi="仿宋" w:eastAsia="仿宋" w:cs="仿宋"/>
                <w:bCs/>
                <w:color w:val="auto"/>
                <w:sz w:val="24"/>
                <w:szCs w:val="24"/>
                <w:highlight w:val="none"/>
                <w:lang w:eastAsia="zh-CN"/>
              </w:rPr>
              <w:t>）</w:t>
            </w:r>
          </w:p>
        </w:tc>
        <w:tc>
          <w:tcPr>
            <w:tcW w:w="802" w:type="dxa"/>
            <w:noWrap w:val="0"/>
            <w:vAlign w:val="center"/>
          </w:tcPr>
          <w:p w14:paraId="126D1740">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tc>
      </w:tr>
      <w:tr w14:paraId="2B473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0" w:type="dxa"/>
            <w:noWrap w:val="0"/>
            <w:vAlign w:val="center"/>
          </w:tcPr>
          <w:p w14:paraId="2BEA0AE8">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9</w:t>
            </w:r>
          </w:p>
        </w:tc>
        <w:tc>
          <w:tcPr>
            <w:tcW w:w="1305" w:type="dxa"/>
            <w:noWrap w:val="0"/>
            <w:vAlign w:val="center"/>
          </w:tcPr>
          <w:p w14:paraId="6187C7B0">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u w:val="none"/>
                <w:lang w:val="en-US" w:eastAsia="zh-CN" w:bidi="ar-SA"/>
              </w:rPr>
            </w:pPr>
            <w:r>
              <w:rPr>
                <w:rFonts w:hint="eastAsia" w:ascii="仿宋" w:hAnsi="仿宋" w:eastAsia="仿宋" w:cs="仿宋"/>
                <w:color w:val="auto"/>
                <w:sz w:val="24"/>
                <w:szCs w:val="24"/>
                <w:highlight w:val="none"/>
              </w:rPr>
              <w:t>应急处理</w:t>
            </w:r>
          </w:p>
        </w:tc>
        <w:tc>
          <w:tcPr>
            <w:tcW w:w="5715" w:type="dxa"/>
            <w:noWrap w:val="0"/>
            <w:vAlign w:val="center"/>
          </w:tcPr>
          <w:p w14:paraId="1503262A">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color w:val="auto"/>
                <w:sz w:val="24"/>
                <w:szCs w:val="24"/>
                <w:highlight w:val="none"/>
              </w:rPr>
              <w:t>对防汛预案、应急突发事件处置方案的可操作性、合理性。</w:t>
            </w:r>
            <w:r>
              <w:rPr>
                <w:rFonts w:hint="eastAsia" w:ascii="仿宋" w:hAnsi="仿宋" w:eastAsia="仿宋" w:cs="仿宋"/>
                <w:bCs/>
                <w:color w:val="auto"/>
                <w:sz w:val="24"/>
                <w:szCs w:val="24"/>
                <w:highlight w:val="none"/>
                <w:lang w:eastAsia="zh-CN"/>
              </w:rPr>
              <w:t>（评分分值范围：</w:t>
            </w:r>
            <w:r>
              <w:rPr>
                <w:rFonts w:hint="eastAsia" w:ascii="仿宋" w:hAnsi="仿宋" w:eastAsia="仿宋" w:cs="仿宋"/>
                <w:bCs/>
                <w:color w:val="auto"/>
                <w:sz w:val="24"/>
                <w:szCs w:val="24"/>
                <w:highlight w:val="none"/>
                <w:lang w:val="en-US" w:eastAsia="zh-CN"/>
              </w:rPr>
              <w:t>5，4.5</w:t>
            </w:r>
            <w:r>
              <w:rPr>
                <w:rFonts w:hint="eastAsia" w:ascii="仿宋" w:hAnsi="仿宋" w:eastAsia="仿宋" w:cs="仿宋"/>
                <w:bCs/>
                <w:color w:val="auto"/>
                <w:sz w:val="24"/>
                <w:szCs w:val="24"/>
                <w:highlight w:val="none"/>
                <w:lang w:eastAsia="zh-CN"/>
              </w:rPr>
              <w:t>,…,0，</w:t>
            </w:r>
            <w:r>
              <w:rPr>
                <w:rFonts w:hint="eastAsia" w:ascii="仿宋" w:hAnsi="仿宋" w:eastAsia="仿宋" w:cs="仿宋"/>
                <w:bCs/>
                <w:color w:val="auto"/>
                <w:sz w:val="24"/>
                <w:szCs w:val="24"/>
                <w:highlight w:val="none"/>
                <w:lang w:val="en-US" w:eastAsia="zh-CN"/>
              </w:rPr>
              <w:t>步幅0.5</w:t>
            </w:r>
            <w:r>
              <w:rPr>
                <w:rFonts w:hint="eastAsia" w:ascii="仿宋" w:hAnsi="仿宋" w:eastAsia="仿宋" w:cs="仿宋"/>
                <w:bCs/>
                <w:color w:val="auto"/>
                <w:sz w:val="24"/>
                <w:szCs w:val="24"/>
                <w:highlight w:val="none"/>
                <w:lang w:eastAsia="zh-CN"/>
              </w:rPr>
              <w:t>）</w:t>
            </w:r>
          </w:p>
        </w:tc>
        <w:tc>
          <w:tcPr>
            <w:tcW w:w="802" w:type="dxa"/>
            <w:noWrap w:val="0"/>
            <w:vAlign w:val="center"/>
          </w:tcPr>
          <w:p w14:paraId="0ABE5821">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tc>
      </w:tr>
      <w:tr w14:paraId="68060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0" w:type="dxa"/>
            <w:noWrap w:val="0"/>
            <w:vAlign w:val="center"/>
          </w:tcPr>
          <w:p w14:paraId="00D5DEB7">
            <w:pPr>
              <w:keepNext w:val="0"/>
              <w:keepLines w:val="0"/>
              <w:pageBreakBefore w:val="0"/>
              <w:kinsoku/>
              <w:wordWrap/>
              <w:overflowPunct/>
              <w:topLinePunct w:val="0"/>
              <w:autoSpaceDE/>
              <w:autoSpaceDN/>
              <w:bidi w:val="0"/>
              <w:adjustRightInd w:val="0"/>
              <w:snapToGrid w:val="0"/>
              <w:spacing w:line="400" w:lineRule="exact"/>
              <w:jc w:val="center"/>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bCs/>
                <w:color w:val="auto"/>
                <w:spacing w:val="4"/>
                <w:sz w:val="24"/>
                <w:szCs w:val="24"/>
                <w:highlight w:val="none"/>
                <w:lang w:val="en-US" w:eastAsia="zh-CN"/>
              </w:rPr>
              <w:t>10</w:t>
            </w:r>
          </w:p>
        </w:tc>
        <w:tc>
          <w:tcPr>
            <w:tcW w:w="1305" w:type="dxa"/>
            <w:noWrap w:val="0"/>
            <w:vAlign w:val="center"/>
          </w:tcPr>
          <w:p w14:paraId="6099F68B">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color w:val="auto"/>
                <w:sz w:val="24"/>
                <w:szCs w:val="24"/>
                <w:highlight w:val="none"/>
              </w:rPr>
              <w:t>保障措施</w:t>
            </w:r>
          </w:p>
        </w:tc>
        <w:tc>
          <w:tcPr>
            <w:tcW w:w="5715" w:type="dxa"/>
            <w:noWrap w:val="0"/>
            <w:vAlign w:val="center"/>
          </w:tcPr>
          <w:p w14:paraId="030D30C9">
            <w:pPr>
              <w:keepNext w:val="0"/>
              <w:keepLines w:val="0"/>
              <w:pageBreakBefore w:val="0"/>
              <w:kinsoku/>
              <w:wordWrap/>
              <w:overflowPunct/>
              <w:topLinePunct w:val="0"/>
              <w:autoSpaceDE/>
              <w:autoSpaceDN/>
              <w:bidi w:val="0"/>
              <w:adjustRightInd w:val="0"/>
              <w:spacing w:line="400" w:lineRule="exact"/>
              <w:rPr>
                <w:rFonts w:hint="eastAsia" w:ascii="仿宋" w:hAnsi="仿宋" w:eastAsia="仿宋" w:cs="仿宋"/>
                <w:bCs/>
                <w:color w:val="auto"/>
                <w:spacing w:val="4"/>
                <w:kern w:val="2"/>
                <w:sz w:val="24"/>
                <w:szCs w:val="24"/>
                <w:highlight w:val="none"/>
                <w:lang w:val="en-US" w:eastAsia="zh-CN" w:bidi="ar-SA"/>
              </w:rPr>
            </w:pPr>
            <w:r>
              <w:rPr>
                <w:rFonts w:hint="eastAsia" w:ascii="仿宋" w:hAnsi="仿宋" w:eastAsia="仿宋" w:cs="仿宋"/>
                <w:color w:val="auto"/>
                <w:sz w:val="24"/>
                <w:szCs w:val="24"/>
                <w:highlight w:val="none"/>
              </w:rPr>
              <w:t>质量保证措施、安全及文明保证措施的完整性、可操作性、合理性、科学性。</w:t>
            </w:r>
            <w:r>
              <w:rPr>
                <w:rFonts w:hint="eastAsia" w:ascii="仿宋" w:hAnsi="仿宋" w:eastAsia="仿宋" w:cs="仿宋"/>
                <w:bCs/>
                <w:color w:val="auto"/>
                <w:sz w:val="24"/>
                <w:szCs w:val="24"/>
                <w:highlight w:val="none"/>
                <w:lang w:eastAsia="zh-CN"/>
              </w:rPr>
              <w:t>（评分分值范围：</w:t>
            </w:r>
            <w:r>
              <w:rPr>
                <w:rFonts w:hint="eastAsia" w:ascii="仿宋" w:hAnsi="仿宋" w:eastAsia="仿宋" w:cs="仿宋"/>
                <w:bCs/>
                <w:color w:val="auto"/>
                <w:sz w:val="24"/>
                <w:szCs w:val="24"/>
                <w:highlight w:val="none"/>
                <w:lang w:val="en-US" w:eastAsia="zh-CN"/>
              </w:rPr>
              <w:t>5，4.5</w:t>
            </w:r>
            <w:r>
              <w:rPr>
                <w:rFonts w:hint="eastAsia" w:ascii="仿宋" w:hAnsi="仿宋" w:eastAsia="仿宋" w:cs="仿宋"/>
                <w:bCs/>
                <w:color w:val="auto"/>
                <w:sz w:val="24"/>
                <w:szCs w:val="24"/>
                <w:highlight w:val="none"/>
                <w:lang w:eastAsia="zh-CN"/>
              </w:rPr>
              <w:t>,…,0，</w:t>
            </w:r>
            <w:r>
              <w:rPr>
                <w:rFonts w:hint="eastAsia" w:ascii="仿宋" w:hAnsi="仿宋" w:eastAsia="仿宋" w:cs="仿宋"/>
                <w:bCs/>
                <w:color w:val="auto"/>
                <w:sz w:val="24"/>
                <w:szCs w:val="24"/>
                <w:highlight w:val="none"/>
                <w:lang w:val="en-US" w:eastAsia="zh-CN"/>
              </w:rPr>
              <w:t>步幅0.5</w:t>
            </w:r>
            <w:r>
              <w:rPr>
                <w:rFonts w:hint="eastAsia" w:ascii="仿宋" w:hAnsi="仿宋" w:eastAsia="仿宋" w:cs="仿宋"/>
                <w:bCs/>
                <w:color w:val="auto"/>
                <w:sz w:val="24"/>
                <w:szCs w:val="24"/>
                <w:highlight w:val="none"/>
                <w:lang w:eastAsia="zh-CN"/>
              </w:rPr>
              <w:t>）</w:t>
            </w:r>
          </w:p>
        </w:tc>
        <w:tc>
          <w:tcPr>
            <w:tcW w:w="802" w:type="dxa"/>
            <w:noWrap w:val="0"/>
            <w:vAlign w:val="center"/>
          </w:tcPr>
          <w:p w14:paraId="6EEAC4EE">
            <w:pPr>
              <w:keepNext w:val="0"/>
              <w:keepLines w:val="0"/>
              <w:pageBreakBefore w:val="0"/>
              <w:kinsoku/>
              <w:wordWrap/>
              <w:overflowPunct/>
              <w:topLinePunct w:val="0"/>
              <w:autoSpaceDE/>
              <w:autoSpaceDN/>
              <w:bidi w:val="0"/>
              <w:adjustRightInd w:val="0"/>
              <w:spacing w:line="40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tc>
      </w:tr>
    </w:tbl>
    <w:p w14:paraId="6FF3581E">
      <w:pPr>
        <w:keepNext w:val="0"/>
        <w:keepLines w:val="0"/>
        <w:pageBreakBefore w:val="0"/>
        <w:kinsoku/>
        <w:wordWrap/>
        <w:overflowPunct/>
        <w:topLinePunct w:val="0"/>
        <w:bidi w:val="0"/>
        <w:adjustRightInd w:val="0"/>
        <w:snapToGrid w:val="0"/>
        <w:spacing w:line="44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1C46925B">
      <w:pPr>
        <w:keepNext w:val="0"/>
        <w:keepLines w:val="0"/>
        <w:pageBreakBefore w:val="0"/>
        <w:kinsoku/>
        <w:wordWrap/>
        <w:overflowPunct/>
        <w:topLinePunct w:val="0"/>
        <w:bidi w:val="0"/>
        <w:adjustRightInd w:val="0"/>
        <w:spacing w:line="440" w:lineRule="exact"/>
        <w:ind w:firstLine="482" w:firstLineChars="200"/>
        <w:textAlignment w:val="auto"/>
        <w:rPr>
          <w:rFonts w:hint="eastAsia" w:ascii="仿宋" w:hAnsi="仿宋" w:eastAsia="仿宋" w:cs="仿宋"/>
          <w:b/>
          <w:bCs/>
          <w:iCs/>
          <w:color w:val="auto"/>
          <w:sz w:val="24"/>
          <w:highlight w:val="none"/>
        </w:rPr>
      </w:pPr>
      <w:r>
        <w:rPr>
          <w:rFonts w:hint="eastAsia" w:ascii="仿宋" w:hAnsi="仿宋" w:eastAsia="仿宋" w:cs="仿宋"/>
          <w:b/>
          <w:bCs/>
          <w:iCs/>
          <w:color w:val="auto"/>
          <w:sz w:val="24"/>
          <w:highlight w:val="none"/>
        </w:rPr>
        <w:t>2.2价格分（</w:t>
      </w:r>
      <w:r>
        <w:rPr>
          <w:rFonts w:hint="eastAsia" w:ascii="仿宋" w:hAnsi="仿宋" w:eastAsia="仿宋" w:cs="仿宋"/>
          <w:b/>
          <w:bCs/>
          <w:iCs/>
          <w:color w:val="auto"/>
          <w:sz w:val="24"/>
          <w:highlight w:val="none"/>
          <w:u w:val="single"/>
          <w:lang w:val="en-US" w:eastAsia="zh-CN"/>
        </w:rPr>
        <w:t>20</w:t>
      </w:r>
      <w:r>
        <w:rPr>
          <w:rFonts w:hint="eastAsia" w:ascii="仿宋" w:hAnsi="仿宋" w:eastAsia="仿宋" w:cs="仿宋"/>
          <w:b/>
          <w:bCs/>
          <w:iCs/>
          <w:color w:val="auto"/>
          <w:sz w:val="24"/>
          <w:highlight w:val="none"/>
        </w:rPr>
        <w:t>分）</w:t>
      </w:r>
    </w:p>
    <w:p w14:paraId="1E4EF18F">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2.2.1评标基准价：即满足招标文件要求且投标价格最低的投标报价为评标基准价，其价格分为满分。</w:t>
      </w:r>
    </w:p>
    <w:p w14:paraId="14918077">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2.2.2其他投标人的价格分统一按照下列公式计算：</w:t>
      </w:r>
    </w:p>
    <w:p w14:paraId="65D2FC81">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投标报价得分=(评标基准价／投标报价)×价格权值×100</w:t>
      </w:r>
    </w:p>
    <w:p w14:paraId="53A469A3">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highlight w:val="none"/>
          <w:lang w:val="en-US" w:eastAsia="zh-CN"/>
        </w:rPr>
      </w:pPr>
      <w:r>
        <w:rPr>
          <w:rFonts w:hint="eastAsia" w:ascii="仿宋" w:hAnsi="仿宋" w:eastAsia="仿宋" w:cs="仿宋"/>
          <w:bCs/>
          <w:iCs/>
          <w:color w:val="auto"/>
          <w:sz w:val="24"/>
          <w:highlight w:val="none"/>
        </w:rPr>
        <w:t>即：投标报价得分=(评标基准价／投标报价)×</w:t>
      </w:r>
      <w:r>
        <w:rPr>
          <w:rFonts w:hint="eastAsia" w:ascii="仿宋" w:hAnsi="仿宋" w:eastAsia="仿宋" w:cs="仿宋"/>
          <w:bCs/>
          <w:iCs/>
          <w:color w:val="auto"/>
          <w:sz w:val="24"/>
          <w:highlight w:val="none"/>
          <w:u w:val="single"/>
          <w:lang w:val="en-US" w:eastAsia="zh-CN"/>
        </w:rPr>
        <w:t xml:space="preserve"> 20% </w:t>
      </w:r>
      <w:r>
        <w:rPr>
          <w:rFonts w:hint="eastAsia" w:ascii="仿宋" w:hAnsi="仿宋" w:eastAsia="仿宋" w:cs="仿宋"/>
          <w:bCs/>
          <w:iCs/>
          <w:color w:val="auto"/>
          <w:sz w:val="24"/>
          <w:highlight w:val="none"/>
        </w:rPr>
        <w:t>×100</w:t>
      </w:r>
    </w:p>
    <w:p w14:paraId="6B09A95C">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
          <w:color w:val="auto"/>
          <w:sz w:val="36"/>
          <w:szCs w:val="36"/>
          <w:highlight w:val="none"/>
        </w:rPr>
      </w:pPr>
      <w:r>
        <w:rPr>
          <w:rFonts w:hint="eastAsia" w:ascii="仿宋" w:hAnsi="仿宋" w:eastAsia="仿宋" w:cs="仿宋"/>
          <w:bCs/>
          <w:iCs/>
          <w:color w:val="auto"/>
          <w:sz w:val="24"/>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并在评审报告中说明。</w:t>
      </w:r>
    </w:p>
    <w:p w14:paraId="105EE165">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0F9E2C6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7CBFDF3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4FD49B77">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23FFF41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39039F8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4F830B16">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仿宋" w:hAnsi="仿宋" w:eastAsia="仿宋" w:cs="仿宋"/>
          <w:b/>
          <w:color w:val="auto"/>
          <w:sz w:val="36"/>
          <w:szCs w:val="36"/>
          <w:highlight w:val="none"/>
        </w:rPr>
      </w:pPr>
    </w:p>
    <w:p w14:paraId="67A8B69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sectPr>
          <w:pgSz w:w="11907" w:h="16840"/>
          <w:pgMar w:top="1474" w:right="1814" w:bottom="1474" w:left="1814" w:header="851" w:footer="851" w:gutter="0"/>
          <w:pgNumType w:fmt="decimal"/>
          <w:cols w:space="720" w:num="1"/>
        </w:sectPr>
      </w:pPr>
    </w:p>
    <w:p w14:paraId="28E83F10">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w:t>
      </w:r>
      <w:r>
        <w:rPr>
          <w:rFonts w:hint="eastAsia" w:ascii="仿宋" w:hAnsi="仿宋" w:eastAsia="仿宋" w:cs="仿宋"/>
          <w:b/>
          <w:color w:val="auto"/>
          <w:sz w:val="36"/>
          <w:szCs w:val="36"/>
          <w:highlight w:val="none"/>
          <w:lang w:val="en-US" w:eastAsia="zh-CN"/>
        </w:rPr>
        <w:t>五</w:t>
      </w:r>
      <w:r>
        <w:rPr>
          <w:rFonts w:hint="eastAsia" w:ascii="仿宋" w:hAnsi="仿宋" w:eastAsia="仿宋" w:cs="仿宋"/>
          <w:b/>
          <w:color w:val="auto"/>
          <w:sz w:val="36"/>
          <w:szCs w:val="36"/>
          <w:highlight w:val="none"/>
        </w:rPr>
        <w:t>部分 拟签订的合同文本</w:t>
      </w:r>
    </w:p>
    <w:p w14:paraId="212FC107">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14:paraId="6956030E">
      <w:pPr>
        <w:spacing w:line="480" w:lineRule="auto"/>
        <w:jc w:val="center"/>
        <w:rPr>
          <w:rFonts w:hint="eastAsia" w:ascii="仿宋" w:hAnsi="仿宋" w:eastAsia="仿宋" w:cs="仿宋"/>
          <w:b/>
          <w:color w:val="auto"/>
          <w:sz w:val="28"/>
          <w:szCs w:val="28"/>
          <w:highlight w:val="none"/>
        </w:rPr>
      </w:pPr>
    </w:p>
    <w:p w14:paraId="6E65EAA0">
      <w:pPr>
        <w:spacing w:line="480" w:lineRule="auto"/>
        <w:jc w:val="center"/>
        <w:rPr>
          <w:rFonts w:hint="eastAsia" w:ascii="仿宋" w:hAnsi="仿宋" w:eastAsia="仿宋" w:cs="仿宋"/>
          <w:b/>
          <w:color w:val="auto"/>
          <w:sz w:val="24"/>
          <w:highlight w:val="none"/>
        </w:rPr>
      </w:pPr>
    </w:p>
    <w:p w14:paraId="26F1994E">
      <w:pPr>
        <w:spacing w:line="480" w:lineRule="auto"/>
        <w:jc w:val="center"/>
        <w:rPr>
          <w:rFonts w:hint="eastAsia" w:ascii="仿宋" w:hAnsi="仿宋" w:eastAsia="仿宋" w:cs="仿宋"/>
          <w:b/>
          <w:color w:val="auto"/>
          <w:sz w:val="24"/>
          <w:highlight w:val="none"/>
        </w:rPr>
      </w:pPr>
    </w:p>
    <w:p w14:paraId="6A63DF0B">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14:paraId="2310C9DC">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（服务类）</w:t>
      </w:r>
    </w:p>
    <w:p w14:paraId="36993028">
      <w:pPr>
        <w:spacing w:before="120" w:line="22" w:lineRule="atLeast"/>
        <w:rPr>
          <w:rFonts w:hint="eastAsia" w:ascii="仿宋" w:hAnsi="仿宋" w:eastAsia="仿宋" w:cs="仿宋"/>
          <w:color w:val="auto"/>
          <w:sz w:val="24"/>
          <w:highlight w:val="none"/>
        </w:rPr>
      </w:pPr>
    </w:p>
    <w:p w14:paraId="3C721B2C">
      <w:pPr>
        <w:pStyle w:val="6"/>
        <w:rPr>
          <w:rFonts w:hint="eastAsia" w:ascii="仿宋" w:hAnsi="仿宋" w:eastAsia="仿宋" w:cs="仿宋"/>
          <w:color w:val="auto"/>
          <w:highlight w:val="none"/>
        </w:rPr>
      </w:pPr>
    </w:p>
    <w:p w14:paraId="45779EF8">
      <w:pPr>
        <w:spacing w:before="120" w:line="22" w:lineRule="atLeast"/>
        <w:ind w:left="96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14:paraId="606ECEF7">
      <w:pPr>
        <w:pStyle w:val="599"/>
        <w:spacing w:before="120" w:line="22" w:lineRule="atLeast"/>
        <w:rPr>
          <w:rFonts w:hint="eastAsia" w:ascii="仿宋" w:hAnsi="仿宋" w:eastAsia="仿宋" w:cs="仿宋"/>
          <w:color w:val="auto"/>
          <w:szCs w:val="24"/>
          <w:highlight w:val="none"/>
        </w:rPr>
      </w:pPr>
    </w:p>
    <w:p w14:paraId="73A85A30">
      <w:pPr>
        <w:pStyle w:val="599"/>
        <w:spacing w:before="120" w:line="22" w:lineRule="atLeast"/>
        <w:rPr>
          <w:rFonts w:hint="eastAsia" w:ascii="仿宋" w:hAnsi="仿宋" w:eastAsia="仿宋" w:cs="仿宋"/>
          <w:color w:val="auto"/>
          <w:szCs w:val="24"/>
          <w:highlight w:val="none"/>
        </w:rPr>
      </w:pPr>
    </w:p>
    <w:p w14:paraId="5329ABC9">
      <w:pPr>
        <w:rPr>
          <w:rFonts w:hint="eastAsia" w:ascii="仿宋" w:hAnsi="仿宋" w:eastAsia="仿宋" w:cs="仿宋"/>
          <w:color w:val="auto"/>
          <w:sz w:val="24"/>
          <w:highlight w:val="none"/>
        </w:rPr>
      </w:pPr>
    </w:p>
    <w:p w14:paraId="78FEE91E">
      <w:pPr>
        <w:spacing w:before="120" w:line="22" w:lineRule="atLeast"/>
        <w:ind w:left="960"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14:paraId="4ECD85D9">
      <w:pPr>
        <w:spacing w:before="120" w:line="22" w:lineRule="atLeast"/>
        <w:rPr>
          <w:rFonts w:hint="eastAsia" w:ascii="仿宋" w:hAnsi="仿宋" w:eastAsia="仿宋" w:cs="仿宋"/>
          <w:color w:val="auto"/>
          <w:sz w:val="24"/>
          <w:highlight w:val="none"/>
        </w:rPr>
      </w:pPr>
    </w:p>
    <w:p w14:paraId="59B05771">
      <w:pPr>
        <w:spacing w:before="120" w:line="22" w:lineRule="atLeast"/>
        <w:ind w:left="960"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14:paraId="5FAA64DA">
      <w:pPr>
        <w:spacing w:before="120" w:line="22" w:lineRule="atLeast"/>
        <w:rPr>
          <w:rFonts w:hint="eastAsia" w:ascii="仿宋" w:hAnsi="仿宋" w:eastAsia="仿宋" w:cs="仿宋"/>
          <w:color w:val="auto"/>
          <w:sz w:val="24"/>
          <w:highlight w:val="none"/>
        </w:rPr>
      </w:pPr>
    </w:p>
    <w:p w14:paraId="51DF9A9E">
      <w:pPr>
        <w:spacing w:before="120" w:line="22" w:lineRule="atLeast"/>
        <w:ind w:firstLine="1440" w:firstLineChars="6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14:paraId="3A593398">
      <w:pPr>
        <w:spacing w:before="120" w:line="22" w:lineRule="atLeast"/>
        <w:rPr>
          <w:rFonts w:hint="eastAsia" w:ascii="仿宋" w:hAnsi="仿宋" w:eastAsia="仿宋" w:cs="仿宋"/>
          <w:color w:val="auto"/>
          <w:sz w:val="24"/>
          <w:highlight w:val="none"/>
        </w:rPr>
      </w:pPr>
    </w:p>
    <w:p w14:paraId="4FC0A129">
      <w:pPr>
        <w:spacing w:before="120" w:line="22" w:lineRule="atLeast"/>
        <w:ind w:firstLine="1440" w:firstLineChars="6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651E7A88">
      <w:pPr>
        <w:widowControl/>
        <w:jc w:val="left"/>
        <w:rPr>
          <w:rFonts w:hint="eastAsia" w:ascii="仿宋" w:hAnsi="仿宋" w:eastAsia="仿宋" w:cs="仿宋"/>
          <w:color w:val="auto"/>
          <w:kern w:val="0"/>
          <w:sz w:val="24"/>
          <w:highlight w:val="none"/>
        </w:rPr>
        <w:sectPr>
          <w:pgSz w:w="11907" w:h="16840"/>
          <w:pgMar w:top="1474" w:right="1814" w:bottom="1474" w:left="1814" w:header="851" w:footer="851" w:gutter="0"/>
          <w:pgNumType w:fmt="decimal"/>
          <w:cols w:space="720" w:num="1"/>
        </w:sectPr>
      </w:pPr>
    </w:p>
    <w:p w14:paraId="54151B8D">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（政府采购方式）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 xml:space="preserve">嵊州市小型水库物业化管理项目（第三批)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（中标或者成交供应商名称） </w:t>
      </w:r>
      <w:r>
        <w:rPr>
          <w:rFonts w:hint="eastAsia" w:ascii="仿宋" w:hAnsi="仿宋" w:eastAsia="仿宋" w:cs="仿宋"/>
          <w:color w:val="auto"/>
          <w:sz w:val="24"/>
          <w:highlight w:val="none"/>
        </w:rPr>
        <w:t>为该项目中标或者成交供应商。现于中标或者成交通知书发出之日起</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日内，按照采购文件确定的事项签订本合同。</w:t>
      </w:r>
    </w:p>
    <w:p w14:paraId="76EBB56D">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中标</w:t>
      </w:r>
      <w:r>
        <w:rPr>
          <w:rFonts w:hint="eastAsia" w:ascii="仿宋" w:hAnsi="仿宋" w:eastAsia="仿宋" w:cs="仿宋"/>
          <w:color w:val="auto"/>
          <w:sz w:val="24"/>
          <w:highlight w:val="none"/>
          <w:u w:val="single"/>
        </w:rPr>
        <w:t xml:space="preserve">或者成交标供应商名称）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14:paraId="506D7398">
      <w:pPr>
        <w:keepNext w:val="0"/>
        <w:keepLines w:val="0"/>
        <w:pageBreakBefore w:val="0"/>
        <w:widowControl w:val="0"/>
        <w:kinsoku/>
        <w:wordWrap/>
        <w:overflowPunct/>
        <w:topLinePunct w:val="0"/>
        <w:autoSpaceDE/>
        <w:autoSpaceDN/>
        <w:bidi w:val="0"/>
        <w:adjustRightInd w:val="0"/>
        <w:snapToGrid/>
        <w:spacing w:line="440" w:lineRule="exact"/>
        <w:ind w:left="0" w:leftChars="0" w:right="0" w:rightChars="0" w:firstLine="482" w:firstLineChars="200"/>
        <w:textAlignment w:val="auto"/>
        <w:outlineLvl w:val="1"/>
        <w:rPr>
          <w:rFonts w:hint="eastAsia" w:ascii="仿宋" w:hAnsi="仿宋" w:eastAsia="仿宋" w:cs="仿宋"/>
          <w:color w:val="auto"/>
          <w:sz w:val="24"/>
          <w:highlight w:val="none"/>
        </w:rPr>
      </w:pPr>
      <w:bookmarkStart w:id="80" w:name="_Toc28855"/>
      <w:bookmarkStart w:id="81" w:name="_Toc19273"/>
      <w:bookmarkStart w:id="82" w:name="_Toc20421"/>
      <w:bookmarkStart w:id="83" w:name="_Toc22967"/>
      <w:bookmarkStart w:id="84" w:name="_Toc15367"/>
      <w:r>
        <w:rPr>
          <w:rFonts w:hint="eastAsia" w:ascii="仿宋" w:hAnsi="仿宋" w:eastAsia="仿宋" w:cs="仿宋"/>
          <w:b/>
          <w:color w:val="auto"/>
          <w:sz w:val="24"/>
          <w:highlight w:val="none"/>
          <w:lang w:val="en-US" w:eastAsia="zh-CN"/>
        </w:rPr>
        <w:t>一、</w:t>
      </w:r>
      <w:r>
        <w:rPr>
          <w:rFonts w:hint="eastAsia" w:ascii="仿宋" w:hAnsi="仿宋" w:eastAsia="仿宋" w:cs="仿宋"/>
          <w:b/>
          <w:color w:val="auto"/>
          <w:sz w:val="24"/>
          <w:highlight w:val="none"/>
        </w:rPr>
        <w:t>合同组成部分</w:t>
      </w:r>
      <w:bookmarkEnd w:id="80"/>
      <w:bookmarkEnd w:id="81"/>
      <w:bookmarkEnd w:id="82"/>
      <w:bookmarkEnd w:id="83"/>
      <w:bookmarkEnd w:id="84"/>
    </w:p>
    <w:p w14:paraId="4203B7CD">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EB6178B">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14:paraId="0C82BCA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 中标或者成交通知书；</w:t>
      </w:r>
    </w:p>
    <w:p w14:paraId="42AE5730">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1.1.3 投标或者响应文件（含澄清或者说明文件）；</w:t>
      </w:r>
    </w:p>
    <w:p w14:paraId="22A88AA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1.1.4 采购文件（含澄清或者修改文件）；</w:t>
      </w:r>
    </w:p>
    <w:p w14:paraId="30D3A0A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1.1.5 其他相关采购文件。</w:t>
      </w:r>
    </w:p>
    <w:p w14:paraId="07FFF7E6">
      <w:pPr>
        <w:keepNext w:val="0"/>
        <w:keepLines w:val="0"/>
        <w:pageBreakBefore w:val="0"/>
        <w:widowControl w:val="0"/>
        <w:kinsoku/>
        <w:wordWrap/>
        <w:overflowPunct/>
        <w:topLinePunct w:val="0"/>
        <w:autoSpaceDE/>
        <w:autoSpaceDN/>
        <w:bidi w:val="0"/>
        <w:adjustRightInd w:val="0"/>
        <w:snapToGrid/>
        <w:spacing w:line="440" w:lineRule="exact"/>
        <w:ind w:left="0" w:leftChars="0" w:right="0" w:rightChars="0" w:firstLine="482" w:firstLineChars="200"/>
        <w:textAlignment w:val="auto"/>
        <w:outlineLvl w:val="1"/>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二、合同内容</w:t>
      </w:r>
    </w:p>
    <w:p w14:paraId="0192CC67">
      <w:pPr>
        <w:keepNext w:val="0"/>
        <w:keepLines w:val="0"/>
        <w:pageBreakBefore w:val="0"/>
        <w:widowControl w:val="0"/>
        <w:kinsoku/>
        <w:wordWrap/>
        <w:overflowPunct/>
        <w:topLinePunct w:val="0"/>
        <w:autoSpaceDE/>
        <w:autoSpaceDN/>
        <w:bidi w:val="0"/>
        <w:adjustRightInd w:val="0"/>
        <w:snapToGrid/>
        <w:spacing w:line="360" w:lineRule="auto"/>
        <w:ind w:left="0" w:leftChars="0" w:right="0" w:rightChars="0" w:firstLine="480" w:firstLineChars="200"/>
        <w:textAlignment w:val="auto"/>
        <w:outlineLvl w:val="9"/>
        <w:rPr>
          <w:rFonts w:hint="eastAsia" w:ascii="仿宋" w:hAnsi="仿宋" w:eastAsia="仿宋" w:cs="仿宋"/>
          <w:b w:val="0"/>
          <w:bCs/>
          <w:color w:val="auto"/>
          <w:sz w:val="24"/>
          <w:szCs w:val="24"/>
          <w:highlight w:val="none"/>
          <w:lang w:val="en-US" w:eastAsia="zh-CN"/>
        </w:rPr>
      </w:pPr>
      <w:bookmarkStart w:id="85" w:name="_Toc26916"/>
      <w:bookmarkStart w:id="86" w:name="_Toc3654"/>
      <w:bookmarkStart w:id="87" w:name="_Toc30506"/>
      <w:bookmarkStart w:id="88" w:name="_Toc30158"/>
      <w:bookmarkStart w:id="89" w:name="_Toc14993"/>
      <w:r>
        <w:rPr>
          <w:rFonts w:hint="eastAsia" w:ascii="仿宋" w:hAnsi="仿宋" w:eastAsia="仿宋" w:cs="仿宋"/>
          <w:b w:val="0"/>
          <w:bCs/>
          <w:color w:val="auto"/>
          <w:sz w:val="24"/>
          <w:szCs w:val="24"/>
          <w:highlight w:val="none"/>
          <w:lang w:val="en-US" w:eastAsia="zh-CN"/>
        </w:rPr>
        <w:t>对黄泽镇和崇仁镇42座小型水库实施水利工程物业化管理。主要工作内容为：运行操作、安全监测、维修养护、绿化保洁、台账资料、教育培训、数字化支撑等。</w:t>
      </w:r>
    </w:p>
    <w:p w14:paraId="4BF92022">
      <w:pPr>
        <w:pageBreakBefore w:val="0"/>
        <w:numPr>
          <w:ilvl w:val="0"/>
          <w:numId w:val="3"/>
        </w:numPr>
        <w:kinsoku/>
        <w:wordWrap/>
        <w:overflowPunct/>
        <w:topLinePunct w:val="0"/>
        <w:bidi w:val="0"/>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运行操作</w:t>
      </w:r>
    </w:p>
    <w:p w14:paraId="410522F7">
      <w:pPr>
        <w:pStyle w:val="6"/>
        <w:pageBreakBefore w:val="0"/>
        <w:numPr>
          <w:ilvl w:val="0"/>
          <w:numId w:val="0"/>
        </w:numPr>
        <w:kinsoku/>
        <w:wordWrap/>
        <w:overflowPunct/>
        <w:topLinePunct w:val="0"/>
        <w:bidi w:val="0"/>
        <w:spacing w:line="400" w:lineRule="exact"/>
        <w:ind w:leftChars="0" w:firstLine="480" w:firstLineChars="200"/>
        <w:rPr>
          <w:rFonts w:hint="default" w:ascii="仿宋" w:eastAsia="仿宋" w:cs="仿宋"/>
          <w:b w:val="0"/>
          <w:bCs w:val="0"/>
          <w:color w:val="auto"/>
          <w:kern w:val="2"/>
          <w:sz w:val="24"/>
          <w:szCs w:val="24"/>
          <w:highlight w:val="none"/>
          <w:lang w:eastAsia="zh-CN" w:bidi="ar-SA"/>
        </w:rPr>
      </w:pPr>
      <w:r>
        <w:rPr>
          <w:rFonts w:hint="eastAsia" w:ascii="仿宋" w:hAnsi="仿宋" w:eastAsia="仿宋" w:cs="仿宋"/>
          <w:b w:val="0"/>
          <w:bCs w:val="0"/>
          <w:color w:val="auto"/>
          <w:kern w:val="2"/>
          <w:sz w:val="24"/>
          <w:szCs w:val="24"/>
          <w:highlight w:val="none"/>
          <w:lang w:val="en-US" w:eastAsia="zh-CN" w:bidi="ar-SA"/>
        </w:rPr>
        <w:t>物业化单位应</w:t>
      </w:r>
      <w:r>
        <w:rPr>
          <w:rFonts w:hint="eastAsia" w:ascii="仿宋" w:eastAsia="仿宋" w:cs="仿宋"/>
          <w:b w:val="0"/>
          <w:bCs w:val="0"/>
          <w:color w:val="auto"/>
          <w:kern w:val="2"/>
          <w:sz w:val="24"/>
          <w:szCs w:val="24"/>
          <w:highlight w:val="none"/>
          <w:lang w:val="en-US" w:eastAsia="zh-CN" w:bidi="ar-SA"/>
        </w:rPr>
        <w:t>根据各水库实际情况及属地乡镇要求配合乡镇编制</w:t>
      </w:r>
      <w:r>
        <w:rPr>
          <w:rFonts w:hint="eastAsia" w:ascii="仿宋" w:hAnsi="仿宋" w:eastAsia="仿宋" w:cs="仿宋"/>
          <w:b w:val="0"/>
          <w:bCs w:val="0"/>
          <w:color w:val="auto"/>
          <w:kern w:val="2"/>
          <w:sz w:val="24"/>
          <w:szCs w:val="24"/>
          <w:highlight w:val="none"/>
          <w:lang w:val="en-US" w:eastAsia="zh-CN" w:bidi="ar-SA"/>
        </w:rPr>
        <w:t>年度</w:t>
      </w:r>
      <w:r>
        <w:rPr>
          <w:rFonts w:hint="eastAsia" w:ascii="仿宋" w:eastAsia="仿宋" w:cs="仿宋"/>
          <w:b w:val="0"/>
          <w:bCs w:val="0"/>
          <w:color w:val="auto"/>
          <w:kern w:val="2"/>
          <w:sz w:val="24"/>
          <w:szCs w:val="24"/>
          <w:highlight w:val="none"/>
          <w:lang w:val="en-US" w:eastAsia="zh-CN" w:bidi="ar-SA"/>
        </w:rPr>
        <w:t>控制运行计划、应急预案，并配合乡镇按照批复后的控运计划以及上级相关调度指令做好水库闸、涵等的运行操作。</w:t>
      </w:r>
      <w:r>
        <w:rPr>
          <w:rFonts w:hint="default" w:ascii="仿宋" w:eastAsia="仿宋" w:cs="仿宋"/>
          <w:b w:val="0"/>
          <w:bCs w:val="0"/>
          <w:color w:val="auto"/>
          <w:kern w:val="2"/>
          <w:sz w:val="24"/>
          <w:szCs w:val="24"/>
          <w:highlight w:val="none"/>
          <w:lang w:eastAsia="zh-CN" w:bidi="ar-SA"/>
        </w:rPr>
        <w:t>参与水库汛期应急抢险处置等工作</w:t>
      </w:r>
      <w:r>
        <w:rPr>
          <w:rFonts w:hint="eastAsia" w:ascii="仿宋" w:eastAsia="仿宋" w:cs="仿宋"/>
          <w:b w:val="0"/>
          <w:bCs w:val="0"/>
          <w:color w:val="auto"/>
          <w:kern w:val="2"/>
          <w:sz w:val="24"/>
          <w:szCs w:val="24"/>
          <w:highlight w:val="none"/>
          <w:lang w:eastAsia="zh-CN" w:bidi="ar-SA"/>
        </w:rPr>
        <w:t>，</w:t>
      </w:r>
      <w:r>
        <w:rPr>
          <w:rFonts w:hint="eastAsia" w:ascii="仿宋" w:eastAsia="仿宋" w:cs="仿宋"/>
          <w:b w:val="0"/>
          <w:bCs w:val="0"/>
          <w:color w:val="auto"/>
          <w:kern w:val="2"/>
          <w:sz w:val="24"/>
          <w:szCs w:val="24"/>
          <w:highlight w:val="none"/>
          <w:lang w:val="en-US" w:eastAsia="zh-CN" w:bidi="ar-SA"/>
        </w:rPr>
        <w:t>配合乡镇做好水库管理的相关工作</w:t>
      </w:r>
      <w:r>
        <w:rPr>
          <w:rFonts w:hint="default" w:ascii="仿宋" w:eastAsia="仿宋" w:cs="仿宋"/>
          <w:b w:val="0"/>
          <w:bCs w:val="0"/>
          <w:color w:val="auto"/>
          <w:kern w:val="2"/>
          <w:sz w:val="24"/>
          <w:szCs w:val="24"/>
          <w:highlight w:val="none"/>
          <w:lang w:eastAsia="zh-CN" w:bidi="ar-SA"/>
        </w:rPr>
        <w:t>。</w:t>
      </w:r>
    </w:p>
    <w:p w14:paraId="6B45C710">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安全监测</w:t>
      </w:r>
    </w:p>
    <w:p w14:paraId="264A4189">
      <w:pPr>
        <w:pStyle w:val="3"/>
        <w:pageBreakBefore w:val="0"/>
        <w:kinsoku/>
        <w:wordWrap/>
        <w:overflowPunct/>
        <w:topLinePunct w:val="0"/>
        <w:bidi w:val="0"/>
        <w:spacing w:line="400" w:lineRule="exact"/>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物业化单位应根据相关规范定期开展水库沉降、位移、渗流等安全监测工作。监测工作主要由人工监测原始记录、整理核对成果、监测资料整编分析等，成果经项目负责人签字后，交由管理单位并及时归档，同时录入电子文档。</w:t>
      </w:r>
    </w:p>
    <w:p w14:paraId="73745668">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维修养护</w:t>
      </w:r>
    </w:p>
    <w:p w14:paraId="59105526">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物业化单位应制定年度维修养护计划</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计划应结合市水利局</w:t>
      </w:r>
      <w:r>
        <w:rPr>
          <w:rFonts w:hint="eastAsia" w:ascii="仿宋" w:hAnsi="仿宋" w:eastAsia="仿宋" w:cs="仿宋"/>
          <w:color w:val="auto"/>
          <w:sz w:val="24"/>
          <w:szCs w:val="24"/>
          <w:highlight w:val="none"/>
        </w:rPr>
        <w:t>组织的汛前检查</w:t>
      </w:r>
      <w:r>
        <w:rPr>
          <w:rFonts w:hint="eastAsia" w:ascii="仿宋" w:hAnsi="仿宋" w:eastAsia="仿宋" w:cs="仿宋"/>
          <w:color w:val="auto"/>
          <w:sz w:val="24"/>
          <w:szCs w:val="24"/>
          <w:highlight w:val="none"/>
          <w:lang w:val="en-US" w:eastAsia="zh-CN"/>
        </w:rPr>
        <w:t>及</w:t>
      </w:r>
      <w:r>
        <w:rPr>
          <w:rFonts w:hint="eastAsia" w:ascii="仿宋" w:hAnsi="仿宋" w:eastAsia="仿宋" w:cs="仿宋"/>
          <w:color w:val="auto"/>
          <w:sz w:val="24"/>
          <w:szCs w:val="24"/>
          <w:highlight w:val="none"/>
        </w:rPr>
        <w:t>梅雨、台风、强降雨后检查</w:t>
      </w:r>
      <w:r>
        <w:rPr>
          <w:rFonts w:hint="eastAsia" w:ascii="仿宋" w:hAnsi="仿宋" w:eastAsia="仿宋" w:cs="仿宋"/>
          <w:color w:val="auto"/>
          <w:sz w:val="24"/>
          <w:szCs w:val="24"/>
          <w:highlight w:val="none"/>
          <w:lang w:val="en-US" w:eastAsia="zh-CN"/>
        </w:rPr>
        <w:t>和</w:t>
      </w:r>
      <w:r>
        <w:rPr>
          <w:rFonts w:hint="eastAsia" w:ascii="仿宋" w:hAnsi="仿宋" w:eastAsia="仿宋" w:cs="仿宋"/>
          <w:color w:val="auto"/>
          <w:sz w:val="24"/>
          <w:szCs w:val="24"/>
          <w:highlight w:val="none"/>
        </w:rPr>
        <w:t>年度检查</w:t>
      </w:r>
      <w:r>
        <w:rPr>
          <w:rFonts w:hint="eastAsia" w:ascii="仿宋" w:hAnsi="仿宋" w:eastAsia="仿宋" w:cs="仿宋"/>
          <w:color w:val="auto"/>
          <w:sz w:val="24"/>
          <w:szCs w:val="24"/>
          <w:highlight w:val="none"/>
          <w:lang w:val="en-US" w:eastAsia="zh-CN"/>
        </w:rPr>
        <w:t>等工作</w:t>
      </w:r>
      <w:r>
        <w:rPr>
          <w:rFonts w:hint="eastAsia" w:ascii="仿宋" w:hAnsi="仿宋" w:eastAsia="仿宋" w:cs="仿宋"/>
          <w:color w:val="auto"/>
          <w:sz w:val="24"/>
          <w:szCs w:val="24"/>
          <w:highlight w:val="none"/>
        </w:rPr>
        <w:t>，根据维修养护计划负责大坝、溢洪道、放水设施</w:t>
      </w:r>
      <w:r>
        <w:rPr>
          <w:rFonts w:hint="eastAsia" w:ascii="仿宋" w:hAnsi="仿宋" w:eastAsia="仿宋" w:cs="仿宋"/>
          <w:color w:val="auto"/>
          <w:sz w:val="24"/>
          <w:szCs w:val="24"/>
          <w:highlight w:val="none"/>
          <w:lang w:val="en-US" w:eastAsia="zh-CN"/>
        </w:rPr>
        <w:t>等水工建筑物以及雨水情、水工安全监测等</w:t>
      </w:r>
      <w:r>
        <w:rPr>
          <w:rFonts w:hint="eastAsia" w:ascii="仿宋" w:hAnsi="仿宋" w:eastAsia="仿宋" w:cs="仿宋"/>
          <w:color w:val="auto"/>
          <w:sz w:val="24"/>
          <w:szCs w:val="24"/>
          <w:highlight w:val="none"/>
        </w:rPr>
        <w:t>其他附属等设施的维护保养工作。</w:t>
      </w:r>
    </w:p>
    <w:p w14:paraId="2F245689">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（1）大坝</w:t>
      </w:r>
    </w:p>
    <w:p w14:paraId="4147DE11">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坝身维修养护；坝顶及</w:t>
      </w:r>
      <w:r>
        <w:rPr>
          <w:rFonts w:hint="eastAsia" w:ascii="仿宋" w:hAnsi="仿宋" w:eastAsia="仿宋" w:cs="仿宋"/>
          <w:color w:val="auto"/>
          <w:sz w:val="24"/>
          <w:szCs w:val="24"/>
          <w:highlight w:val="none"/>
          <w:lang w:val="en-US" w:eastAsia="zh-CN"/>
        </w:rPr>
        <w:t>坝</w:t>
      </w:r>
      <w:r>
        <w:rPr>
          <w:rFonts w:hint="eastAsia" w:ascii="仿宋" w:hAnsi="仿宋" w:eastAsia="仿宋" w:cs="仿宋"/>
          <w:color w:val="auto"/>
          <w:sz w:val="24"/>
          <w:szCs w:val="24"/>
          <w:highlight w:val="none"/>
        </w:rPr>
        <w:t>坡局部坑洼、凹陷土方修补回填（每处回填方量小于1m³），局部破损的砼进行修复（每处破损面积≤5m²，每处工程量≤1m³）；检查坝体有无白蚁活动迹象，存在白蚁活动迹象的须及时汇报；大坝有渗漏明流的及存在坍洞，可能影响坝体安全的，应及时报告。</w:t>
      </w:r>
    </w:p>
    <w:p w14:paraId="29B2D8F9">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（2）溢洪道</w:t>
      </w:r>
    </w:p>
    <w:p w14:paraId="0BA2809D">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清理阻碍泄洪的装置，如拦鱼网、拦鱼杆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块石、碎石、杂草</w:t>
      </w:r>
      <w:r>
        <w:rPr>
          <w:rFonts w:hint="eastAsia" w:ascii="仿宋" w:hAnsi="仿宋" w:eastAsia="仿宋" w:cs="仿宋"/>
          <w:color w:val="auto"/>
          <w:sz w:val="24"/>
          <w:szCs w:val="24"/>
          <w:highlight w:val="none"/>
        </w:rPr>
        <w:t>等；局部破损的砼进行修复（每处破损面积≤5m²，每处工程量≤1m³），超出维修养护范围的及时上报。</w:t>
      </w:r>
    </w:p>
    <w:p w14:paraId="325C9EFF">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（3）放水设施</w:t>
      </w:r>
    </w:p>
    <w:p w14:paraId="0188F144">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每年检查放水设施次数不少于２次，对放水隧洞要求每年进洞检查一次，清理洞内掉落的块石等物，检查坝下埋管出水口有无漏水情况，对存在漏水的情况要及时报告。</w:t>
      </w:r>
      <w:r>
        <w:rPr>
          <w:rFonts w:hint="eastAsia" w:ascii="仿宋" w:hAnsi="仿宋" w:eastAsia="仿宋" w:cs="仿宋"/>
          <w:color w:val="auto"/>
          <w:sz w:val="24"/>
          <w:szCs w:val="24"/>
          <w:highlight w:val="none"/>
          <w:lang w:val="en-US" w:eastAsia="zh-CN"/>
        </w:rPr>
        <w:t>对缺少限位装置的启闭机进行新增安装</w:t>
      </w:r>
      <w:r>
        <w:rPr>
          <w:rFonts w:hint="eastAsia" w:ascii="仿宋" w:hAnsi="仿宋" w:eastAsia="仿宋" w:cs="仿宋"/>
          <w:color w:val="auto"/>
          <w:sz w:val="24"/>
          <w:szCs w:val="24"/>
          <w:highlight w:val="none"/>
        </w:rPr>
        <w:t>，每年对启闭机、拉杆和闸门进行除锈防腐不得少于</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次。对虹吸放水装置要求检查有无漏气情况，存在漏气情况的，及时维修确保设备正常运行。及时清除闸阀、管身锈斑，除锈防腐工作每年不得少于</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次。</w:t>
      </w:r>
    </w:p>
    <w:p w14:paraId="1F0F61E5">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（4）其他附属设施</w:t>
      </w:r>
    </w:p>
    <w:p w14:paraId="314F2080">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1）上坝道路：要求及时修补坑洼，清理路面及排水沟中的落土、块石等物，确保上坝道路畅通。</w:t>
      </w:r>
    </w:p>
    <w:p w14:paraId="5FD044B2">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2）管理用房及启闭机房：检查有无漏水情况，修补剥落的墙面，整理屋顶瓦片、更换破损的门窗等，确保管理房和启闭机房正常使用。</w:t>
      </w:r>
    </w:p>
    <w:p w14:paraId="19184E3D">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3）水雨情</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视频等</w:t>
      </w:r>
      <w:r>
        <w:rPr>
          <w:rFonts w:hint="eastAsia" w:ascii="仿宋" w:hAnsi="仿宋" w:eastAsia="仿宋" w:cs="仿宋"/>
          <w:color w:val="auto"/>
          <w:sz w:val="24"/>
          <w:szCs w:val="24"/>
          <w:highlight w:val="none"/>
        </w:rPr>
        <w:t>观测设施：保持水位尺完整，及时汇报缺失情况并更换；</w:t>
      </w:r>
      <w:r>
        <w:rPr>
          <w:rFonts w:hint="eastAsia" w:ascii="仿宋" w:hAnsi="仿宋" w:eastAsia="仿宋" w:cs="仿宋"/>
          <w:color w:val="auto"/>
          <w:sz w:val="24"/>
          <w:szCs w:val="24"/>
          <w:highlight w:val="none"/>
          <w:lang w:val="en-US" w:eastAsia="zh-CN"/>
        </w:rPr>
        <w:t>做好水文监测环境保护；</w:t>
      </w:r>
      <w:r>
        <w:rPr>
          <w:rFonts w:hint="eastAsia" w:ascii="仿宋" w:hAnsi="仿宋" w:eastAsia="仿宋" w:cs="仿宋"/>
          <w:color w:val="auto"/>
          <w:sz w:val="24"/>
          <w:szCs w:val="24"/>
          <w:highlight w:val="none"/>
        </w:rPr>
        <w:t>检查水雨情遥测系统工作情况，发现存在故障的及时汇报，以确保设备的正常运行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发现视频监控设备损坏的及时汇报</w:t>
      </w:r>
      <w:r>
        <w:rPr>
          <w:rFonts w:hint="eastAsia" w:ascii="仿宋" w:hAnsi="仿宋" w:eastAsia="仿宋" w:cs="仿宋"/>
          <w:color w:val="auto"/>
          <w:sz w:val="24"/>
          <w:szCs w:val="24"/>
          <w:highlight w:val="none"/>
        </w:rPr>
        <w:t>。</w:t>
      </w:r>
    </w:p>
    <w:p w14:paraId="61EAF508">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4）工程范围内的坝体、溢洪道、启闭机拉杆等处的栏杆检查、维修；对工程范围内标识标牌有无缺失、完整、标识字迹清晰的检查更换。</w:t>
      </w:r>
    </w:p>
    <w:p w14:paraId="167BC9E5">
      <w:pPr>
        <w:widowControl/>
        <w:autoSpaceDE/>
        <w:autoSpaceDN/>
        <w:adjustRightInd/>
        <w:spacing w:line="400" w:lineRule="exact"/>
        <w:ind w:firstLine="480" w:firstLineChars="200"/>
        <w:rPr>
          <w:rFonts w:hint="default"/>
          <w:strike/>
          <w:dstrike w:val="0"/>
          <w:color w:val="auto"/>
          <w:highlight w:val="none"/>
          <w:lang w:val="en-US" w:eastAsia="zh-CN"/>
        </w:rPr>
      </w:pPr>
      <w:r>
        <w:rPr>
          <w:rFonts w:hint="eastAsia" w:ascii="仿宋" w:hAnsi="仿宋" w:eastAsia="仿宋" w:cs="仿宋"/>
          <w:color w:val="auto"/>
          <w:sz w:val="24"/>
          <w:szCs w:val="24"/>
          <w:highlight w:val="none"/>
          <w:lang w:val="en-US" w:eastAsia="zh-CN"/>
        </w:rPr>
        <w:t>单项5000元以内的维修由中标承担，费用包含在物业费用中，中标单位应无条件完成。</w:t>
      </w:r>
    </w:p>
    <w:p w14:paraId="2302A425">
      <w:pPr>
        <w:widowControl/>
        <w:autoSpaceDE/>
        <w:autoSpaceDN/>
        <w:adjustRightInd/>
        <w:spacing w:line="400" w:lineRule="exact"/>
        <w:ind w:firstLine="420" w:firstLineChars="200"/>
        <w:rPr>
          <w:rFonts w:hint="default"/>
          <w:strike/>
          <w:dstrike w:val="0"/>
          <w:color w:val="auto"/>
          <w:highlight w:val="none"/>
          <w:lang w:val="en-US" w:eastAsia="zh-CN"/>
        </w:rPr>
      </w:pPr>
    </w:p>
    <w:p w14:paraId="0A1165F3">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四</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绿化保洁</w:t>
      </w:r>
    </w:p>
    <w:p w14:paraId="47258570">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清扫大坝（坝</w:t>
      </w:r>
      <w:r>
        <w:rPr>
          <w:rFonts w:hint="eastAsia" w:ascii="仿宋" w:hAnsi="仿宋" w:eastAsia="仿宋" w:cs="仿宋"/>
          <w:color w:val="auto"/>
          <w:sz w:val="24"/>
          <w:szCs w:val="24"/>
          <w:highlight w:val="none"/>
          <w:lang w:val="en-US" w:eastAsia="zh-CN"/>
        </w:rPr>
        <w:t>坡</w:t>
      </w:r>
      <w:r>
        <w:rPr>
          <w:rFonts w:hint="eastAsia" w:ascii="仿宋" w:hAnsi="仿宋" w:eastAsia="仿宋" w:cs="仿宋"/>
          <w:color w:val="auto"/>
          <w:sz w:val="24"/>
          <w:szCs w:val="24"/>
          <w:highlight w:val="none"/>
        </w:rPr>
        <w:t>、坝顶、排水沟、马道）、溢洪道、管理房、启闭机房等垃圾</w:t>
      </w:r>
      <w:r>
        <w:rPr>
          <w:rFonts w:hint="eastAsia" w:ascii="仿宋" w:hAnsi="仿宋" w:eastAsia="仿宋" w:cs="仿宋"/>
          <w:color w:val="auto"/>
          <w:sz w:val="24"/>
          <w:szCs w:val="24"/>
          <w:highlight w:val="none"/>
          <w:lang w:val="en-US" w:eastAsia="zh-CN"/>
        </w:rPr>
        <w:t>并保持清洁</w:t>
      </w:r>
      <w:r>
        <w:rPr>
          <w:rFonts w:hint="eastAsia" w:ascii="仿宋" w:hAnsi="仿宋" w:eastAsia="仿宋" w:cs="仿宋"/>
          <w:color w:val="auto"/>
          <w:sz w:val="24"/>
          <w:szCs w:val="24"/>
          <w:highlight w:val="none"/>
        </w:rPr>
        <w:t>；清除大坝迎、背水坡、坝顶杂草，灌木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背水坡草皮修剪，要求确保草皮的长度不超过15cm，对背水坡有草皮且退化严重的进行修补</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，对坝肩、上下游坝坡两侧的山体1-2米范围内进行杂草、灌木清理</w:t>
      </w:r>
      <w:r>
        <w:rPr>
          <w:rFonts w:hint="eastAsia" w:ascii="仿宋" w:hAnsi="仿宋" w:eastAsia="仿宋" w:cs="仿宋"/>
          <w:color w:val="auto"/>
          <w:sz w:val="24"/>
          <w:szCs w:val="24"/>
          <w:highlight w:val="none"/>
          <w:lang w:eastAsia="zh-CN"/>
        </w:rPr>
        <w:t>（涉及饮用水的水库不得使用除草剂）</w:t>
      </w:r>
      <w:r>
        <w:rPr>
          <w:rFonts w:hint="eastAsia" w:ascii="仿宋" w:hAnsi="仿宋" w:eastAsia="仿宋" w:cs="仿宋"/>
          <w:color w:val="auto"/>
          <w:sz w:val="24"/>
          <w:szCs w:val="24"/>
          <w:highlight w:val="none"/>
        </w:rPr>
        <w:t>；及时清理堆积在溢洪道内的土石方，清理溢洪道两侧影响泄洪的杂草、灌木</w:t>
      </w:r>
      <w:r>
        <w:rPr>
          <w:rFonts w:hint="eastAsia" w:ascii="仿宋" w:hAnsi="仿宋" w:eastAsia="仿宋" w:cs="仿宋"/>
          <w:color w:val="auto"/>
          <w:sz w:val="24"/>
          <w:szCs w:val="24"/>
          <w:highlight w:val="none"/>
          <w:lang w:eastAsia="zh-CN"/>
        </w:rPr>
        <w:t>（涉及饮用水的水库不得使用除草剂）</w:t>
      </w:r>
      <w:r>
        <w:rPr>
          <w:rFonts w:hint="eastAsia" w:ascii="仿宋" w:hAnsi="仿宋" w:eastAsia="仿宋" w:cs="仿宋"/>
          <w:color w:val="auto"/>
          <w:sz w:val="24"/>
          <w:szCs w:val="24"/>
          <w:highlight w:val="none"/>
        </w:rPr>
        <w:t>；清理影响放水设施正常工作的杂物；及时清除道路上及两侧影响防汛车辆通行的杂草、灌木、垃圾；保持管理用房门窗、地面的整洁，清理出不属于水库维修养护和巡查管理的物品；保持库区水面清洁。</w:t>
      </w:r>
    </w:p>
    <w:p w14:paraId="2A6C8E21">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（五</w:t>
      </w:r>
      <w:r>
        <w:rPr>
          <w:rFonts w:hint="eastAsia" w:ascii="仿宋" w:hAnsi="仿宋" w:eastAsia="仿宋" w:cs="仿宋"/>
          <w:color w:val="auto"/>
          <w:sz w:val="24"/>
          <w:szCs w:val="24"/>
          <w:highlight w:val="none"/>
        </w:rPr>
        <w:t>）、台账资料</w:t>
      </w:r>
    </w:p>
    <w:p w14:paraId="56E9B140">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负责工程台账资料的收集、整理、上传、归档等工作。</w:t>
      </w:r>
    </w:p>
    <w:p w14:paraId="32603B81">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六</w:t>
      </w:r>
      <w:r>
        <w:rPr>
          <w:rFonts w:hint="eastAsia" w:ascii="仿宋" w:hAnsi="仿宋" w:eastAsia="仿宋" w:cs="仿宋"/>
          <w:color w:val="auto"/>
          <w:sz w:val="24"/>
          <w:szCs w:val="24"/>
          <w:highlight w:val="none"/>
        </w:rPr>
        <w:t>）、教育培训</w:t>
      </w:r>
    </w:p>
    <w:p w14:paraId="3777D23F">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物业化单位对其上岗人员每年组织一次培训，使其掌握标准职责；配合协助各乡镇（街道）每年组织一次“三个责任人”履职培训、完成 “三预”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预警、预演、预案</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推演，使其掌握标准职责。</w:t>
      </w:r>
    </w:p>
    <w:p w14:paraId="19DC4F9B">
      <w:pPr>
        <w:pageBreakBefore w:val="0"/>
        <w:kinsoku/>
        <w:wordWrap/>
        <w:overflowPunct/>
        <w:topLinePunct w:val="0"/>
        <w:bidi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七</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数字化支撑</w:t>
      </w:r>
    </w:p>
    <w:p w14:paraId="4484F482">
      <w:pPr>
        <w:keepNext w:val="0"/>
        <w:keepLines w:val="0"/>
        <w:pageBreakBefore w:val="0"/>
        <w:widowControl w:val="0"/>
        <w:kinsoku/>
        <w:wordWrap w:val="0"/>
        <w:overflowPunct/>
        <w:topLinePunct w:val="0"/>
        <w:autoSpaceDE/>
        <w:autoSpaceDN/>
        <w:bidi w:val="0"/>
        <w:adjustRightInd w:val="0"/>
        <w:snapToGrid/>
        <w:spacing w:line="40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配合协助完成水库各类平台，包括水利部、水利厅及</w:t>
      </w:r>
      <w:r>
        <w:rPr>
          <w:rFonts w:hint="eastAsia" w:ascii="仿宋" w:hAnsi="仿宋" w:eastAsia="仿宋" w:cs="仿宋"/>
          <w:color w:val="auto"/>
          <w:sz w:val="24"/>
          <w:szCs w:val="24"/>
          <w:highlight w:val="none"/>
          <w:lang w:val="en-US" w:eastAsia="zh-CN"/>
        </w:rPr>
        <w:t>市</w:t>
      </w:r>
      <w:r>
        <w:rPr>
          <w:rFonts w:hint="eastAsia" w:ascii="仿宋" w:hAnsi="仿宋" w:eastAsia="仿宋" w:cs="仿宋"/>
          <w:color w:val="auto"/>
          <w:sz w:val="24"/>
          <w:szCs w:val="24"/>
          <w:highlight w:val="none"/>
        </w:rPr>
        <w:t>级水库运行管理平台</w:t>
      </w:r>
      <w:r>
        <w:rPr>
          <w:rFonts w:hint="eastAsia" w:ascii="仿宋" w:hAnsi="仿宋" w:eastAsia="仿宋" w:cs="仿宋"/>
          <w:color w:val="auto"/>
          <w:sz w:val="24"/>
          <w:szCs w:val="24"/>
          <w:highlight w:val="none"/>
          <w:lang w:eastAsia="zh-CN"/>
        </w:rPr>
        <w:t>（https://sgpt.zjwater.com/#/qrLogin、http://sk.mwr.cn/ygweb/#/login?redirect=%2Fidentify%2Flist、bzh.zjdyit.com/Account/Login）</w:t>
      </w:r>
      <w:r>
        <w:rPr>
          <w:rFonts w:hint="eastAsia" w:ascii="仿宋" w:hAnsi="仿宋" w:eastAsia="仿宋" w:cs="仿宋"/>
          <w:color w:val="auto"/>
          <w:sz w:val="24"/>
          <w:szCs w:val="24"/>
          <w:highlight w:val="none"/>
        </w:rPr>
        <w:t>，确保数据实时更新</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完善，按上级要求及时上传；协助各乡镇（街道）做好巡查app的监管，汛期以星期为单位，非汛期以月为单位对水库巡查员巡查频次统计向各乡镇（街道）反馈，以此来督促巡查员按运行规程要求巡查。</w:t>
      </w:r>
    </w:p>
    <w:p w14:paraId="5CB151F2">
      <w:pPr>
        <w:keepNext w:val="0"/>
        <w:keepLines w:val="0"/>
        <w:pageBreakBefore w:val="0"/>
        <w:widowControl w:val="0"/>
        <w:kinsoku/>
        <w:wordWrap/>
        <w:overflowPunct/>
        <w:topLinePunct w:val="0"/>
        <w:autoSpaceDE/>
        <w:autoSpaceDN/>
        <w:bidi w:val="0"/>
        <w:adjustRightInd w:val="0"/>
        <w:snapToGrid/>
        <w:spacing w:line="440" w:lineRule="exact"/>
        <w:ind w:left="0" w:leftChars="0" w:right="0" w:rightChars="0" w:firstLine="482" w:firstLineChars="200"/>
        <w:textAlignment w:val="auto"/>
        <w:outlineLvl w:val="1"/>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三、合同金额</w:t>
      </w:r>
    </w:p>
    <w:p w14:paraId="1229F0CF">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szCs w:val="24"/>
          <w:highlight w:val="none"/>
        </w:rPr>
        <w:t>本合同总价（含税）为：￥</w:t>
      </w:r>
      <w:r>
        <w:rPr>
          <w:rFonts w:hint="eastAsia" w:ascii="仿宋" w:hAnsi="仿宋" w:eastAsia="仿宋" w:cs="仿宋"/>
          <w:b w:val="0"/>
          <w:bCs w:val="0"/>
          <w:color w:val="auto"/>
          <w:sz w:val="24"/>
          <w:szCs w:val="24"/>
          <w:highlight w:val="none"/>
          <w:u w:val="single"/>
        </w:rPr>
        <w:t xml:space="preserve">           </w:t>
      </w:r>
      <w:r>
        <w:rPr>
          <w:rFonts w:hint="eastAsia" w:ascii="仿宋" w:hAnsi="仿宋" w:eastAsia="仿宋" w:cs="仿宋"/>
          <w:b w:val="0"/>
          <w:bCs w:val="0"/>
          <w:color w:val="auto"/>
          <w:sz w:val="24"/>
          <w:szCs w:val="24"/>
          <w:highlight w:val="none"/>
        </w:rPr>
        <w:t>元（大写：</w:t>
      </w:r>
      <w:r>
        <w:rPr>
          <w:rFonts w:hint="eastAsia" w:ascii="仿宋" w:hAnsi="仿宋" w:eastAsia="仿宋" w:cs="仿宋"/>
          <w:b w:val="0"/>
          <w:bCs w:val="0"/>
          <w:color w:val="auto"/>
          <w:sz w:val="24"/>
          <w:szCs w:val="24"/>
          <w:highlight w:val="none"/>
          <w:u w:val="single"/>
        </w:rPr>
        <w:t xml:space="preserve">                 </w:t>
      </w:r>
      <w:r>
        <w:rPr>
          <w:rFonts w:hint="eastAsia" w:ascii="仿宋" w:hAnsi="仿宋" w:eastAsia="仿宋" w:cs="仿宋"/>
          <w:b w:val="0"/>
          <w:bCs w:val="0"/>
          <w:color w:val="auto"/>
          <w:sz w:val="24"/>
          <w:szCs w:val="24"/>
          <w:highlight w:val="none"/>
        </w:rPr>
        <w:t>元人民币）。</w:t>
      </w:r>
      <w:r>
        <w:rPr>
          <w:rFonts w:hint="eastAsia" w:ascii="仿宋" w:hAnsi="仿宋" w:eastAsia="仿宋" w:cs="仿宋"/>
          <w:b w:val="0"/>
          <w:bCs w:val="0"/>
          <w:color w:val="auto"/>
          <w:sz w:val="24"/>
          <w:highlight w:val="none"/>
          <w:lang w:val="en-US" w:eastAsia="zh-CN"/>
        </w:rPr>
        <w:t>本合同总价款含所有税费（包括本工程所需的设备、人工、交通、材料、管理费、税费、利润等全部费用）。本合同总价款包含水库整治提升施工期间物业费用，水库整治提升开工至完工验收期间不实施物业化管护，相关费用在结算时按每座水库报价及实际工期扣除。</w:t>
      </w:r>
    </w:p>
    <w:p w14:paraId="6BE17894">
      <w:pPr>
        <w:pageBreakBefore w:val="0"/>
        <w:kinsoku/>
        <w:wordWrap/>
        <w:overflowPunct/>
        <w:topLinePunct w:val="0"/>
        <w:autoSpaceDE/>
        <w:autoSpaceDN/>
        <w:bidi w:val="0"/>
        <w:snapToGrid/>
        <w:spacing w:line="440" w:lineRule="exact"/>
        <w:ind w:left="0" w:leftChars="0" w:right="0" w:rightChars="0" w:firstLine="482"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
          <w:bCs w:val="0"/>
          <w:color w:val="auto"/>
          <w:sz w:val="24"/>
          <w:highlight w:val="none"/>
          <w:lang w:val="en-US" w:eastAsia="zh-CN"/>
        </w:rPr>
        <w:t>四、</w:t>
      </w:r>
      <w:r>
        <w:rPr>
          <w:rFonts w:hint="eastAsia" w:ascii="仿宋" w:hAnsi="仿宋" w:eastAsia="仿宋" w:cs="仿宋"/>
          <w:b/>
          <w:bCs w:val="0"/>
          <w:color w:val="auto"/>
          <w:sz w:val="24"/>
          <w:highlight w:val="none"/>
        </w:rPr>
        <w:t>技术资料</w:t>
      </w:r>
    </w:p>
    <w:p w14:paraId="0F18E8AC">
      <w:pPr>
        <w:pStyle w:val="141"/>
        <w:keepNext w:val="0"/>
        <w:keepLines w:val="0"/>
        <w:pageBreakBefore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乙方</w:t>
      </w:r>
      <w:r>
        <w:rPr>
          <w:rFonts w:hint="eastAsia" w:ascii="仿宋" w:hAnsi="仿宋" w:eastAsia="仿宋" w:cs="仿宋"/>
          <w:color w:val="auto"/>
          <w:sz w:val="24"/>
          <w:szCs w:val="24"/>
          <w:highlight w:val="none"/>
        </w:rPr>
        <w:t>应按招标文件规定的时间向甲方提供有关技术资料。</w:t>
      </w:r>
    </w:p>
    <w:p w14:paraId="4EC6779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bCs/>
          <w:color w:val="auto"/>
          <w:sz w:val="24"/>
          <w:highlight w:val="none"/>
        </w:rPr>
      </w:pPr>
      <w:r>
        <w:rPr>
          <w:rFonts w:hint="eastAsia" w:ascii="仿宋" w:hAnsi="仿宋" w:eastAsia="仿宋" w:cs="仿宋"/>
          <w:color w:val="auto"/>
          <w:sz w:val="24"/>
          <w:highlight w:val="none"/>
        </w:rPr>
        <w:t>2.没有甲方事先书面同意，</w:t>
      </w:r>
      <w:r>
        <w:rPr>
          <w:rFonts w:hint="eastAsia" w:ascii="仿宋" w:hAnsi="仿宋" w:eastAsia="仿宋" w:cs="仿宋"/>
          <w:color w:val="auto"/>
          <w:sz w:val="24"/>
          <w:szCs w:val="24"/>
          <w:highlight w:val="none"/>
          <w:lang w:val="en-US" w:eastAsia="zh-CN"/>
        </w:rPr>
        <w:t>乙方</w:t>
      </w:r>
      <w:r>
        <w:rPr>
          <w:rFonts w:hint="eastAsia" w:ascii="仿宋" w:hAnsi="仿宋" w:eastAsia="仿宋" w:cs="仿宋"/>
          <w:color w:val="auto"/>
          <w:sz w:val="24"/>
          <w:highlight w:val="none"/>
        </w:rPr>
        <w:t>不得将由</w:t>
      </w:r>
      <w:r>
        <w:rPr>
          <w:rFonts w:hint="eastAsia" w:ascii="仿宋" w:hAnsi="仿宋" w:eastAsia="仿宋" w:cs="仿宋"/>
          <w:color w:val="auto"/>
          <w:sz w:val="24"/>
          <w:szCs w:val="24"/>
          <w:highlight w:val="none"/>
        </w:rPr>
        <w:t>甲方</w:t>
      </w:r>
      <w:r>
        <w:rPr>
          <w:rFonts w:hint="eastAsia" w:ascii="仿宋" w:hAnsi="仿宋" w:eastAsia="仿宋" w:cs="仿宋"/>
          <w:color w:val="auto"/>
          <w:sz w:val="24"/>
          <w:highlight w:val="none"/>
        </w:rPr>
        <w:t>提供的有关合同或任何合同条文、规格、计划或资料提供给与履行本合同无关的任何其他人。即使向履行本合同有关的人员提供，也应注意保密并限于履行合同的必需范围。</w:t>
      </w:r>
    </w:p>
    <w:bookmarkEnd w:id="85"/>
    <w:bookmarkEnd w:id="86"/>
    <w:bookmarkEnd w:id="87"/>
    <w:bookmarkEnd w:id="88"/>
    <w:bookmarkEnd w:id="89"/>
    <w:p w14:paraId="3E1AE084">
      <w:pPr>
        <w:keepNext/>
        <w:keepLines/>
        <w:widowControl w:val="0"/>
        <w:spacing w:line="360" w:lineRule="auto"/>
        <w:ind w:firstLine="484" w:firstLineChars="201"/>
        <w:jc w:val="both"/>
        <w:outlineLvl w:val="0"/>
        <w:rPr>
          <w:rFonts w:hint="eastAsia" w:ascii="仿宋" w:hAnsi="仿宋" w:eastAsia="仿宋" w:cs="仿宋"/>
          <w:b/>
          <w:bCs/>
          <w:color w:val="auto"/>
          <w:kern w:val="44"/>
          <w:sz w:val="24"/>
          <w:szCs w:val="24"/>
          <w:highlight w:val="none"/>
          <w:lang w:val="en-US" w:eastAsia="zh-CN" w:bidi="ar-SA"/>
        </w:rPr>
      </w:pPr>
      <w:bookmarkStart w:id="90" w:name="_Toc3625"/>
      <w:bookmarkStart w:id="91" w:name="_Toc10340"/>
      <w:bookmarkStart w:id="92" w:name="_Toc8772"/>
      <w:bookmarkStart w:id="93" w:name="_Toc1814"/>
      <w:bookmarkStart w:id="94" w:name="_Toc4760"/>
      <w:bookmarkStart w:id="95" w:name="_Toc22618"/>
      <w:bookmarkStart w:id="96" w:name="_Toc31421"/>
      <w:bookmarkStart w:id="97" w:name="_Toc11108"/>
      <w:r>
        <w:rPr>
          <w:rFonts w:hint="eastAsia" w:ascii="仿宋" w:hAnsi="仿宋" w:eastAsia="仿宋" w:cs="仿宋"/>
          <w:b/>
          <w:color w:val="auto"/>
          <w:sz w:val="24"/>
          <w:highlight w:val="none"/>
          <w:lang w:val="en-US" w:eastAsia="zh-CN"/>
        </w:rPr>
        <w:t>四</w:t>
      </w:r>
      <w:r>
        <w:rPr>
          <w:rFonts w:hint="eastAsia" w:ascii="仿宋" w:hAnsi="仿宋" w:eastAsia="仿宋" w:cs="仿宋"/>
          <w:b/>
          <w:color w:val="auto"/>
          <w:sz w:val="24"/>
          <w:highlight w:val="none"/>
        </w:rPr>
        <w:t>、</w:t>
      </w:r>
      <w:r>
        <w:rPr>
          <w:rFonts w:hint="eastAsia" w:ascii="仿宋" w:hAnsi="仿宋" w:eastAsia="仿宋" w:cs="仿宋"/>
          <w:b/>
          <w:color w:val="auto"/>
          <w:sz w:val="24"/>
          <w:szCs w:val="24"/>
          <w:highlight w:val="none"/>
          <w:lang w:val="en-US" w:eastAsia="zh-CN"/>
        </w:rPr>
        <w:t>服务期限</w:t>
      </w:r>
      <w:r>
        <w:rPr>
          <w:rFonts w:hint="eastAsia" w:ascii="仿宋" w:hAnsi="仿宋" w:eastAsia="仿宋" w:cs="仿宋"/>
          <w:b/>
          <w:bCs/>
          <w:color w:val="auto"/>
          <w:kern w:val="44"/>
          <w:sz w:val="24"/>
          <w:szCs w:val="24"/>
          <w:highlight w:val="none"/>
          <w:lang w:val="en-US" w:eastAsia="zh-CN" w:bidi="ar-SA"/>
        </w:rPr>
        <w:t>及履行地点</w:t>
      </w:r>
    </w:p>
    <w:p w14:paraId="3625CE68">
      <w:pPr>
        <w:adjustRightInd/>
        <w:spacing w:line="360" w:lineRule="auto"/>
        <w:ind w:firstLine="484" w:firstLineChars="202"/>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服务期限</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2025年5月1日至2025年12月31日。</w:t>
      </w:r>
    </w:p>
    <w:p w14:paraId="3FDF7B59">
      <w:pPr>
        <w:adjustRightInd/>
        <w:spacing w:line="360" w:lineRule="auto"/>
        <w:ind w:firstLine="484" w:firstLineChars="202"/>
        <w:rPr>
          <w:rFonts w:hint="eastAsia" w:ascii="仿宋" w:hAnsi="仿宋" w:eastAsia="仿宋" w:cs="仿宋"/>
          <w:b/>
          <w:color w:val="auto"/>
          <w:sz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2履行地点：甲方指定地点。</w:t>
      </w:r>
    </w:p>
    <w:p w14:paraId="0E934F53">
      <w:pPr>
        <w:pStyle w:val="960"/>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color w:val="auto"/>
          <w:highlight w:val="none"/>
          <w:lang w:val="en-US" w:eastAsia="zh-CN"/>
        </w:rPr>
      </w:pPr>
      <w:r>
        <w:rPr>
          <w:rFonts w:hint="eastAsia" w:ascii="仿宋" w:hAnsi="仿宋" w:eastAsia="仿宋" w:cs="仿宋"/>
          <w:b/>
          <w:color w:val="auto"/>
          <w:highlight w:val="none"/>
          <w:lang w:val="en-US" w:eastAsia="zh-CN"/>
        </w:rPr>
        <w:t>五、保密条款</w:t>
      </w:r>
    </w:p>
    <w:p w14:paraId="54847B92">
      <w:pPr>
        <w:pStyle w:val="960"/>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b w:val="0"/>
          <w:bCs/>
          <w:color w:val="auto"/>
          <w:highlight w:val="none"/>
          <w:lang w:val="en-US" w:eastAsia="zh-CN"/>
        </w:rPr>
      </w:pPr>
      <w:r>
        <w:rPr>
          <w:rFonts w:hint="eastAsia" w:ascii="仿宋" w:hAnsi="仿宋" w:eastAsia="仿宋" w:cs="仿宋"/>
          <w:b w:val="0"/>
          <w:bCs/>
          <w:color w:val="auto"/>
          <w:highlight w:val="none"/>
          <w:lang w:val="en-US" w:eastAsia="zh-CN"/>
        </w:rPr>
        <w:t>乙方对合同内容及履行合同过程中获悉的属于甲方的且无法自公开渠道获得的文件及资料，应负保密义务，非经甲方书面同意，不得擅自利用或对外发表或披露。违反前述约定的，乙方应向甲方支付违约金</w:t>
      </w:r>
      <w:r>
        <w:rPr>
          <w:rFonts w:hint="eastAsia" w:ascii="仿宋" w:hAnsi="仿宋" w:eastAsia="仿宋" w:cs="仿宋"/>
          <w:b w:val="0"/>
          <w:bCs/>
          <w:color w:val="auto"/>
          <w:highlight w:val="none"/>
          <w:u w:val="single"/>
          <w:lang w:val="en-US" w:eastAsia="zh-CN"/>
        </w:rPr>
        <w:t xml:space="preserve">    </w:t>
      </w:r>
      <w:r>
        <w:rPr>
          <w:rFonts w:hint="eastAsia" w:ascii="仿宋" w:hAnsi="仿宋" w:eastAsia="仿宋" w:cs="仿宋"/>
          <w:b w:val="0"/>
          <w:bCs/>
          <w:color w:val="auto"/>
          <w:highlight w:val="none"/>
          <w:lang w:val="en-US" w:eastAsia="zh-CN"/>
        </w:rPr>
        <w:t>万元；违约金不足以弥补甲方损失的，乙方还应负责赔偿。保密期限自乙方接受或知悉甲方信息资料之日起至该信息资料公开之日或甲方书面接触乙方保密义务之日止。</w:t>
      </w:r>
    </w:p>
    <w:p w14:paraId="43926DA6">
      <w:pPr>
        <w:pStyle w:val="96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left="0" w:leftChars="0" w:right="0" w:rightChars="0" w:firstLine="482" w:firstLineChars="200"/>
        <w:textAlignment w:val="auto"/>
        <w:outlineLvl w:val="1"/>
        <w:rPr>
          <w:rFonts w:hint="eastAsia" w:ascii="仿宋" w:hAnsi="仿宋" w:eastAsia="仿宋" w:cs="仿宋"/>
          <w:b/>
          <w:color w:val="auto"/>
          <w:highlight w:val="none"/>
          <w:lang w:val="en-US" w:eastAsia="zh-CN"/>
        </w:rPr>
      </w:pPr>
      <w:r>
        <w:rPr>
          <w:rFonts w:hint="eastAsia" w:ascii="仿宋" w:hAnsi="仿宋" w:eastAsia="仿宋" w:cs="仿宋"/>
          <w:b/>
          <w:color w:val="auto"/>
          <w:highlight w:val="none"/>
          <w:lang w:val="en-US" w:eastAsia="zh-CN"/>
        </w:rPr>
        <w:t>六、履约保证金</w:t>
      </w:r>
    </w:p>
    <w:p w14:paraId="64A77BC7">
      <w:pPr>
        <w:keepNext w:val="0"/>
        <w:keepLines w:val="0"/>
        <w:pageBreakBefore w:val="0"/>
        <w:kinsoku/>
        <w:wordWrap/>
        <w:overflowPunct/>
        <w:topLinePunct w:val="0"/>
        <w:autoSpaceDE/>
        <w:autoSpaceDN/>
        <w:bidi w:val="0"/>
        <w:snapToGrid/>
        <w:spacing w:line="360" w:lineRule="auto"/>
        <w:ind w:left="0" w:leftChars="0" w:right="0" w:rightChars="0" w:firstLine="480" w:firstLineChars="200"/>
        <w:textAlignment w:val="auto"/>
        <w:outlineLvl w:val="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是</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（是/否）需要支付履约保证金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金额为中标金额的1%</w:t>
      </w:r>
      <w:r>
        <w:rPr>
          <w:rFonts w:hint="eastAsia" w:ascii="仿宋" w:hAnsi="仿宋" w:eastAsia="仿宋" w:cs="仿宋"/>
          <w:b w:val="0"/>
          <w:bCs/>
          <w:color w:val="auto"/>
          <w:sz w:val="24"/>
          <w:szCs w:val="24"/>
          <w:highlight w:val="none"/>
        </w:rPr>
        <w:t>，在服务期满后无违约问题10个工作日内无息退还。</w:t>
      </w:r>
    </w:p>
    <w:p w14:paraId="3214257D">
      <w:pPr>
        <w:pStyle w:val="96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left="0" w:leftChars="0" w:right="0" w:rightChars="0" w:firstLine="482" w:firstLineChars="200"/>
        <w:textAlignment w:val="auto"/>
        <w:outlineLvl w:val="1"/>
        <w:rPr>
          <w:rFonts w:hint="default" w:ascii="仿宋" w:hAnsi="仿宋" w:eastAsia="仿宋" w:cs="仿宋"/>
          <w:b/>
          <w:color w:val="auto"/>
          <w:highlight w:val="none"/>
          <w:lang w:val="en-US" w:eastAsia="zh-CN"/>
        </w:rPr>
      </w:pPr>
      <w:r>
        <w:rPr>
          <w:rFonts w:hint="eastAsia" w:ascii="仿宋" w:hAnsi="仿宋" w:eastAsia="仿宋" w:cs="仿宋"/>
          <w:b/>
          <w:color w:val="auto"/>
          <w:highlight w:val="none"/>
          <w:lang w:val="en-US" w:eastAsia="zh-CN"/>
        </w:rPr>
        <w:t>七、质量标准和考核验收办法</w:t>
      </w:r>
    </w:p>
    <w:p w14:paraId="7EE36C50">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1按附件《水库物业化管理工作考核表》执行；</w:t>
      </w:r>
    </w:p>
    <w:p w14:paraId="1A434EEF">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2在履约保证期间，乙方应对出现的质量及安全问题负责处理解决并承担一切费用（不可抗力的除外）。</w:t>
      </w:r>
    </w:p>
    <w:p w14:paraId="4EB2904D">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八、付款方式</w:t>
      </w:r>
    </w:p>
    <w:bookmarkEnd w:id="90"/>
    <w:bookmarkEnd w:id="91"/>
    <w:bookmarkEnd w:id="92"/>
    <w:bookmarkEnd w:id="93"/>
    <w:bookmarkEnd w:id="94"/>
    <w:bookmarkEnd w:id="95"/>
    <w:bookmarkEnd w:id="96"/>
    <w:bookmarkEnd w:id="97"/>
    <w:p w14:paraId="5531FB84">
      <w:pPr>
        <w:numPr>
          <w:ilvl w:val="0"/>
          <w:numId w:val="0"/>
        </w:numPr>
        <w:ind w:firstLine="480" w:firstLineChars="200"/>
        <w:rPr>
          <w:rFonts w:hint="eastAsia" w:ascii="仿宋" w:hAnsi="仿宋" w:eastAsia="仿宋" w:cs="仿宋"/>
          <w:b w:val="0"/>
          <w:bCs w:val="0"/>
          <w:color w:val="auto"/>
          <w:sz w:val="24"/>
          <w:szCs w:val="24"/>
          <w:highlight w:val="none"/>
          <w:lang w:val="en-US" w:eastAsia="zh-CN"/>
        </w:rPr>
      </w:pPr>
      <w:bookmarkStart w:id="98" w:name="_Toc24662"/>
      <w:bookmarkStart w:id="99" w:name="_Toc8586"/>
      <w:bookmarkStart w:id="100" w:name="_Toc5698"/>
      <w:bookmarkStart w:id="101" w:name="_Toc2375"/>
      <w:bookmarkStart w:id="102" w:name="_Toc3079"/>
      <w:r>
        <w:rPr>
          <w:rFonts w:hint="eastAsia" w:ascii="仿宋" w:hAnsi="仿宋" w:eastAsia="仿宋" w:cs="仿宋"/>
          <w:color w:val="auto"/>
          <w:sz w:val="24"/>
          <w:szCs w:val="24"/>
          <w:highlight w:val="none"/>
          <w:lang w:val="en-US" w:eastAsia="zh-CN"/>
        </w:rPr>
        <w:t>合同</w:t>
      </w:r>
      <w:r>
        <w:rPr>
          <w:rFonts w:hint="eastAsia" w:ascii="仿宋" w:hAnsi="仿宋" w:eastAsia="仿宋" w:cs="仿宋"/>
          <w:color w:val="auto"/>
          <w:sz w:val="24"/>
          <w:szCs w:val="24"/>
          <w:highlight w:val="none"/>
        </w:rPr>
        <w:t>签订</w:t>
      </w:r>
      <w:r>
        <w:rPr>
          <w:rFonts w:hint="eastAsia" w:ascii="仿宋" w:hAnsi="仿宋" w:eastAsia="仿宋" w:cs="仿宋"/>
          <w:color w:val="auto"/>
          <w:sz w:val="24"/>
          <w:szCs w:val="24"/>
          <w:highlight w:val="none"/>
          <w:lang w:val="en-US" w:eastAsia="zh-CN"/>
        </w:rPr>
        <w:t>并具备实施条件</w:t>
      </w:r>
      <w:r>
        <w:rPr>
          <w:rFonts w:hint="eastAsia" w:ascii="仿宋" w:hAnsi="仿宋" w:eastAsia="仿宋" w:cs="仿宋"/>
          <w:color w:val="auto"/>
          <w:sz w:val="24"/>
          <w:szCs w:val="24"/>
          <w:highlight w:val="none"/>
        </w:rPr>
        <w:t>后</w:t>
      </w:r>
      <w:r>
        <w:rPr>
          <w:rFonts w:hint="eastAsia" w:ascii="仿宋" w:hAnsi="仿宋" w:eastAsia="仿宋" w:cs="仿宋"/>
          <w:b/>
          <w:bCs/>
          <w:color w:val="auto"/>
          <w:sz w:val="24"/>
          <w:szCs w:val="24"/>
          <w:highlight w:val="none"/>
        </w:rPr>
        <w:t>支付</w:t>
      </w:r>
      <w:r>
        <w:rPr>
          <w:rFonts w:hint="eastAsia" w:ascii="仿宋" w:hAnsi="仿宋" w:eastAsia="仿宋" w:cs="仿宋"/>
          <w:b/>
          <w:bCs/>
          <w:color w:val="auto"/>
          <w:sz w:val="24"/>
          <w:szCs w:val="24"/>
          <w:highlight w:val="none"/>
          <w:lang w:val="en-US" w:eastAsia="zh-CN"/>
        </w:rPr>
        <w:t>合同价</w:t>
      </w:r>
      <w:r>
        <w:rPr>
          <w:rFonts w:hint="eastAsia" w:ascii="仿宋" w:hAnsi="仿宋" w:eastAsia="仿宋" w:cs="仿宋"/>
          <w:b/>
          <w:bCs/>
          <w:color w:val="auto"/>
          <w:sz w:val="24"/>
          <w:szCs w:val="24"/>
          <w:highlight w:val="none"/>
        </w:rPr>
        <w:t>的</w:t>
      </w:r>
      <w:r>
        <w:rPr>
          <w:rFonts w:hint="eastAsia" w:ascii="仿宋" w:hAnsi="仿宋" w:eastAsia="仿宋" w:cs="仿宋"/>
          <w:b/>
          <w:bCs/>
          <w:color w:val="auto"/>
          <w:sz w:val="24"/>
          <w:szCs w:val="24"/>
          <w:highlight w:val="none"/>
          <w:lang w:val="en-US" w:eastAsia="zh-CN"/>
        </w:rPr>
        <w:t>50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作为预付款</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汛期结束后，在10月底前支付合同价的40%，剩余10%待合同到期后根据考核结果支付。</w:t>
      </w:r>
      <w:r>
        <w:rPr>
          <w:rFonts w:hint="eastAsia" w:ascii="仿宋" w:hAnsi="仿宋" w:eastAsia="仿宋" w:cs="仿宋"/>
          <w:color w:val="auto"/>
          <w:sz w:val="24"/>
          <w:szCs w:val="24"/>
          <w:highlight w:val="none"/>
        </w:rPr>
        <w:t>合计</w:t>
      </w:r>
      <w:r>
        <w:rPr>
          <w:rFonts w:hint="eastAsia" w:ascii="仿宋" w:hAnsi="仿宋" w:eastAsia="仿宋" w:cs="仿宋"/>
          <w:color w:val="auto"/>
          <w:sz w:val="24"/>
          <w:szCs w:val="24"/>
          <w:highlight w:val="none"/>
          <w:lang w:val="en-US" w:eastAsia="zh-CN"/>
        </w:rPr>
        <w:t>扣</w:t>
      </w:r>
      <w:r>
        <w:rPr>
          <w:rFonts w:hint="eastAsia" w:ascii="仿宋" w:hAnsi="仿宋" w:eastAsia="仿宋" w:cs="仿宋"/>
          <w:color w:val="auto"/>
          <w:sz w:val="24"/>
          <w:szCs w:val="24"/>
          <w:highlight w:val="none"/>
        </w:rPr>
        <w:t>分在</w:t>
      </w:r>
      <w:r>
        <w:rPr>
          <w:rFonts w:hint="eastAsia" w:ascii="仿宋" w:hAnsi="仿宋" w:eastAsia="仿宋" w:cs="仿宋"/>
          <w:color w:val="auto"/>
          <w:sz w:val="24"/>
          <w:szCs w:val="24"/>
          <w:highlight w:val="none"/>
          <w:lang w:val="en-US" w:eastAsia="zh-CN"/>
        </w:rPr>
        <w:t>小于5分（含）</w:t>
      </w:r>
      <w:r>
        <w:rPr>
          <w:rFonts w:hint="eastAsia" w:ascii="仿宋" w:hAnsi="仿宋" w:eastAsia="仿宋" w:cs="仿宋"/>
          <w:color w:val="auto"/>
          <w:sz w:val="24"/>
          <w:szCs w:val="24"/>
          <w:highlight w:val="none"/>
        </w:rPr>
        <w:t>以</w:t>
      </w:r>
      <w:r>
        <w:rPr>
          <w:rFonts w:hint="eastAsia" w:ascii="仿宋" w:hAnsi="仿宋" w:eastAsia="仿宋" w:cs="仿宋"/>
          <w:color w:val="auto"/>
          <w:sz w:val="24"/>
          <w:szCs w:val="24"/>
          <w:highlight w:val="none"/>
          <w:lang w:val="en-US" w:eastAsia="zh-CN"/>
        </w:rPr>
        <w:t>内</w:t>
      </w:r>
      <w:r>
        <w:rPr>
          <w:rFonts w:hint="eastAsia" w:ascii="仿宋" w:hAnsi="仿宋" w:eastAsia="仿宋" w:cs="仿宋"/>
          <w:color w:val="auto"/>
          <w:sz w:val="24"/>
          <w:szCs w:val="24"/>
          <w:highlight w:val="none"/>
        </w:rPr>
        <w:t>全额</w:t>
      </w:r>
      <w:r>
        <w:rPr>
          <w:rFonts w:hint="eastAsia" w:ascii="仿宋" w:hAnsi="仿宋" w:eastAsia="仿宋" w:cs="仿宋"/>
          <w:color w:val="auto"/>
          <w:sz w:val="24"/>
          <w:szCs w:val="24"/>
          <w:highlight w:val="none"/>
          <w:lang w:val="en-US" w:eastAsia="zh-CN"/>
        </w:rPr>
        <w:t>支付合同价</w:t>
      </w:r>
      <w:r>
        <w:rPr>
          <w:rFonts w:hint="eastAsia" w:ascii="仿宋" w:hAnsi="仿宋" w:eastAsia="仿宋" w:cs="仿宋"/>
          <w:color w:val="auto"/>
          <w:sz w:val="24"/>
          <w:szCs w:val="24"/>
          <w:highlight w:val="none"/>
        </w:rPr>
        <w:t>；合计</w:t>
      </w:r>
      <w:r>
        <w:rPr>
          <w:rFonts w:hint="eastAsia" w:ascii="仿宋" w:hAnsi="仿宋" w:eastAsia="仿宋" w:cs="仿宋"/>
          <w:color w:val="auto"/>
          <w:sz w:val="24"/>
          <w:szCs w:val="24"/>
          <w:highlight w:val="none"/>
          <w:lang w:val="en-US" w:eastAsia="zh-CN"/>
        </w:rPr>
        <w:t>扣</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在5分至15分（含）内</w:t>
      </w:r>
      <w:r>
        <w:rPr>
          <w:rFonts w:hint="eastAsia" w:ascii="仿宋" w:hAnsi="仿宋" w:eastAsia="仿宋" w:cs="仿宋"/>
          <w:color w:val="auto"/>
          <w:sz w:val="24"/>
          <w:szCs w:val="24"/>
          <w:highlight w:val="none"/>
        </w:rPr>
        <w:t>的扣除</w:t>
      </w:r>
      <w:r>
        <w:rPr>
          <w:rFonts w:hint="eastAsia" w:ascii="仿宋" w:hAnsi="仿宋" w:eastAsia="仿宋" w:cs="仿宋"/>
          <w:color w:val="auto"/>
          <w:sz w:val="24"/>
          <w:szCs w:val="24"/>
          <w:highlight w:val="none"/>
          <w:lang w:val="en-US" w:eastAsia="zh-CN"/>
        </w:rPr>
        <w:t>物业费用</w:t>
      </w:r>
      <w:r>
        <w:rPr>
          <w:rFonts w:hint="eastAsia" w:ascii="仿宋" w:hAnsi="仿宋" w:eastAsia="仿宋" w:cs="仿宋"/>
          <w:color w:val="auto"/>
          <w:sz w:val="24"/>
          <w:szCs w:val="24"/>
          <w:highlight w:val="none"/>
        </w:rPr>
        <w:t>=（考核</w:t>
      </w:r>
      <w:r>
        <w:rPr>
          <w:rFonts w:hint="eastAsia" w:ascii="仿宋" w:hAnsi="仿宋" w:eastAsia="仿宋" w:cs="仿宋"/>
          <w:color w:val="auto"/>
          <w:sz w:val="24"/>
          <w:szCs w:val="24"/>
          <w:highlight w:val="none"/>
          <w:lang w:val="en-US" w:eastAsia="zh-CN"/>
        </w:rPr>
        <w:t>扣</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/100</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合同价</w:t>
      </w:r>
      <w:r>
        <w:rPr>
          <w:rFonts w:hint="eastAsia" w:ascii="仿宋" w:hAnsi="仿宋" w:eastAsia="仿宋" w:cs="仿宋"/>
          <w:color w:val="auto"/>
          <w:sz w:val="24"/>
          <w:szCs w:val="24"/>
          <w:highlight w:val="none"/>
        </w:rPr>
        <w:t>。</w:t>
      </w:r>
    </w:p>
    <w:p w14:paraId="79360265">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b/>
          <w:color w:val="auto"/>
          <w:sz w:val="24"/>
          <w:highlight w:val="none"/>
          <w:lang w:val="en-US" w:eastAsia="zh-CN"/>
        </w:rPr>
      </w:pPr>
      <w:r>
        <w:rPr>
          <w:rFonts w:hint="eastAsia" w:ascii="仿宋" w:hAnsi="仿宋" w:eastAsia="仿宋" w:cs="仿宋"/>
          <w:b w:val="0"/>
          <w:bCs w:val="0"/>
          <w:color w:val="auto"/>
          <w:sz w:val="24"/>
          <w:szCs w:val="24"/>
          <w:highlight w:val="none"/>
          <w:lang w:val="en-US" w:eastAsia="zh-CN"/>
        </w:rPr>
        <w:t>注：</w:t>
      </w:r>
      <w:r>
        <w:rPr>
          <w:rFonts w:hint="eastAsia" w:ascii="仿宋" w:hAnsi="仿宋" w:eastAsia="仿宋" w:cs="仿宋"/>
          <w:b w:val="0"/>
          <w:bCs w:val="0"/>
          <w:color w:val="auto"/>
          <w:sz w:val="24"/>
          <w:szCs w:val="24"/>
          <w:highlight w:val="none"/>
        </w:rPr>
        <w:t>付款前，</w:t>
      </w:r>
      <w:r>
        <w:rPr>
          <w:rFonts w:hint="eastAsia" w:ascii="仿宋" w:hAnsi="仿宋" w:eastAsia="仿宋" w:cs="仿宋"/>
          <w:b w:val="0"/>
          <w:bCs w:val="0"/>
          <w:color w:val="auto"/>
          <w:sz w:val="24"/>
          <w:szCs w:val="24"/>
          <w:highlight w:val="none"/>
          <w:lang w:val="en-US" w:eastAsia="zh-CN"/>
        </w:rPr>
        <w:t>乙方</w:t>
      </w:r>
      <w:r>
        <w:rPr>
          <w:rFonts w:hint="eastAsia" w:ascii="仿宋" w:hAnsi="仿宋" w:eastAsia="仿宋" w:cs="仿宋"/>
          <w:b w:val="0"/>
          <w:bCs w:val="0"/>
          <w:color w:val="auto"/>
          <w:sz w:val="24"/>
          <w:szCs w:val="24"/>
          <w:highlight w:val="none"/>
        </w:rPr>
        <w:t>须提供符合要求的财务发票，否则</w:t>
      </w:r>
      <w:r>
        <w:rPr>
          <w:rFonts w:hint="eastAsia" w:ascii="仿宋" w:hAnsi="仿宋" w:eastAsia="仿宋" w:cs="仿宋"/>
          <w:b w:val="0"/>
          <w:bCs w:val="0"/>
          <w:color w:val="auto"/>
          <w:sz w:val="24"/>
          <w:szCs w:val="24"/>
          <w:highlight w:val="none"/>
          <w:lang w:val="en-US" w:eastAsia="zh-CN"/>
        </w:rPr>
        <w:t>甲方</w:t>
      </w:r>
      <w:r>
        <w:rPr>
          <w:rFonts w:hint="eastAsia" w:ascii="仿宋" w:hAnsi="仿宋" w:eastAsia="仿宋" w:cs="仿宋"/>
          <w:b w:val="0"/>
          <w:bCs w:val="0"/>
          <w:color w:val="auto"/>
          <w:sz w:val="24"/>
          <w:szCs w:val="24"/>
          <w:highlight w:val="none"/>
        </w:rPr>
        <w:t>有权不予支付，且不承担违约责任，但</w:t>
      </w:r>
      <w:r>
        <w:rPr>
          <w:rFonts w:hint="eastAsia" w:ascii="仿宋" w:hAnsi="仿宋" w:eastAsia="仿宋" w:cs="仿宋"/>
          <w:b w:val="0"/>
          <w:bCs w:val="0"/>
          <w:color w:val="auto"/>
          <w:sz w:val="24"/>
          <w:szCs w:val="24"/>
          <w:highlight w:val="none"/>
          <w:lang w:val="en-US" w:eastAsia="zh-CN"/>
        </w:rPr>
        <w:t>乙方</w:t>
      </w:r>
      <w:r>
        <w:rPr>
          <w:rFonts w:hint="eastAsia" w:ascii="仿宋" w:hAnsi="仿宋" w:eastAsia="仿宋" w:cs="仿宋"/>
          <w:b w:val="0"/>
          <w:bCs w:val="0"/>
          <w:color w:val="auto"/>
          <w:sz w:val="24"/>
          <w:szCs w:val="24"/>
          <w:highlight w:val="none"/>
        </w:rPr>
        <w:t>仍须履行本合同</w:t>
      </w:r>
      <w:r>
        <w:rPr>
          <w:rFonts w:hint="eastAsia" w:ascii="仿宋" w:hAnsi="仿宋" w:eastAsia="仿宋" w:cs="仿宋"/>
          <w:b w:val="0"/>
          <w:bCs w:val="0"/>
          <w:color w:val="auto"/>
          <w:sz w:val="24"/>
          <w:szCs w:val="24"/>
          <w:highlight w:val="none"/>
          <w:lang w:eastAsia="zh-CN"/>
        </w:rPr>
        <w:t>。</w:t>
      </w:r>
    </w:p>
    <w:p w14:paraId="370DAB8B">
      <w:pPr>
        <w:keepNext/>
        <w:keepLines/>
        <w:widowControl w:val="0"/>
        <w:spacing w:line="360" w:lineRule="auto"/>
        <w:ind w:firstLine="484" w:firstLineChars="201"/>
        <w:jc w:val="both"/>
        <w:outlineLvl w:val="0"/>
        <w:rPr>
          <w:rFonts w:hint="eastAsia" w:ascii="仿宋" w:hAnsi="仿宋" w:eastAsia="仿宋" w:cs="仿宋"/>
          <w:b/>
          <w:bCs/>
          <w:color w:val="auto"/>
          <w:kern w:val="44"/>
          <w:sz w:val="24"/>
          <w:szCs w:val="24"/>
          <w:highlight w:val="none"/>
          <w:lang w:val="en-US" w:eastAsia="zh-CN" w:bidi="ar-SA"/>
        </w:rPr>
      </w:pPr>
      <w:r>
        <w:rPr>
          <w:rFonts w:hint="eastAsia" w:ascii="仿宋" w:hAnsi="仿宋" w:eastAsia="仿宋" w:cs="仿宋"/>
          <w:b/>
          <w:bCs/>
          <w:color w:val="auto"/>
          <w:kern w:val="44"/>
          <w:sz w:val="24"/>
          <w:szCs w:val="24"/>
          <w:highlight w:val="none"/>
          <w:lang w:val="en-US" w:eastAsia="zh-CN" w:bidi="ar-SA"/>
        </w:rPr>
        <w:t>九、甲方的权利义务</w:t>
      </w:r>
    </w:p>
    <w:p w14:paraId="67EC0F2D">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b w:val="0"/>
          <w:bCs w:val="0"/>
          <w:color w:val="auto"/>
          <w:kern w:val="44"/>
          <w:sz w:val="24"/>
          <w:szCs w:val="24"/>
          <w:highlight w:val="none"/>
          <w:lang w:val="en-US" w:eastAsia="zh-CN" w:bidi="ar-SA"/>
        </w:rPr>
        <w:t>9.</w:t>
      </w:r>
      <w:r>
        <w:rPr>
          <w:rFonts w:hint="eastAsia" w:ascii="仿宋" w:hAnsi="仿宋" w:eastAsia="仿宋" w:cs="仿宋"/>
          <w:b w:val="0"/>
          <w:bCs w:val="0"/>
          <w:color w:val="auto"/>
          <w:sz w:val="24"/>
          <w:szCs w:val="24"/>
          <w:highlight w:val="none"/>
        </w:rPr>
        <w:t>1</w:t>
      </w:r>
      <w:r>
        <w:rPr>
          <w:rFonts w:hint="eastAsia" w:ascii="仿宋" w:hAnsi="仿宋" w:eastAsia="仿宋" w:cs="仿宋"/>
          <w:color w:val="auto"/>
          <w:sz w:val="24"/>
          <w:szCs w:val="24"/>
          <w:highlight w:val="none"/>
        </w:rPr>
        <w:t>甲方组织对乙方服务成果实行考核验收，并不定期抽查，考核验收结果由项目组织管理、安全管理、运行管理、维护管理等抽查结果和协调配合、管理台账等综合得出。考核验收按招标（采购）文件确定的《水库物业化管理工作考核表》执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在服务期间甲方有权对</w:t>
      </w:r>
      <w:r>
        <w:rPr>
          <w:rFonts w:hint="eastAsia" w:ascii="仿宋" w:hAnsi="仿宋" w:eastAsia="仿宋" w:cs="仿宋"/>
          <w:color w:val="auto"/>
          <w:sz w:val="24"/>
          <w:szCs w:val="24"/>
          <w:highlight w:val="none"/>
        </w:rPr>
        <w:t>考核表</w:t>
      </w:r>
      <w:r>
        <w:rPr>
          <w:rFonts w:hint="eastAsia" w:ascii="仿宋" w:hAnsi="仿宋" w:eastAsia="仿宋" w:cs="仿宋"/>
          <w:color w:val="auto"/>
          <w:sz w:val="24"/>
          <w:szCs w:val="24"/>
          <w:highlight w:val="none"/>
          <w:lang w:val="en-US" w:eastAsia="zh-CN"/>
        </w:rPr>
        <w:t>进行调整</w:t>
      </w:r>
      <w:r>
        <w:rPr>
          <w:rFonts w:hint="eastAsia" w:ascii="仿宋" w:hAnsi="仿宋" w:eastAsia="仿宋" w:cs="仿宋"/>
          <w:color w:val="auto"/>
          <w:sz w:val="24"/>
          <w:szCs w:val="24"/>
          <w:highlight w:val="none"/>
        </w:rPr>
        <w:t>；</w:t>
      </w:r>
    </w:p>
    <w:p w14:paraId="5F9A31A5">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b w:val="0"/>
          <w:bCs w:val="0"/>
          <w:color w:val="auto"/>
          <w:kern w:val="44"/>
          <w:sz w:val="24"/>
          <w:szCs w:val="24"/>
          <w:highlight w:val="none"/>
          <w:lang w:val="en-US" w:eastAsia="zh-CN" w:bidi="ar-SA"/>
        </w:rPr>
        <w:t>9.</w:t>
      </w:r>
      <w:r>
        <w:rPr>
          <w:rFonts w:hint="eastAsia" w:ascii="仿宋" w:hAnsi="仿宋" w:eastAsia="仿宋" w:cs="仿宋"/>
          <w:color w:val="auto"/>
          <w:sz w:val="24"/>
          <w:szCs w:val="24"/>
          <w:highlight w:val="none"/>
        </w:rPr>
        <w:t>2甲方有权要求乙方整改不符合合同内容、规章制度和违反程序的操作，并与乙方签订安全生产目标责任书；</w:t>
      </w:r>
    </w:p>
    <w:p w14:paraId="1C091DFC">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b w:val="0"/>
          <w:bCs w:val="0"/>
          <w:color w:val="auto"/>
          <w:kern w:val="44"/>
          <w:sz w:val="24"/>
          <w:szCs w:val="24"/>
          <w:highlight w:val="none"/>
          <w:lang w:val="en-US" w:eastAsia="zh-CN" w:bidi="ar-SA"/>
        </w:rPr>
        <w:t>9.</w:t>
      </w:r>
      <w:r>
        <w:rPr>
          <w:rFonts w:hint="eastAsia" w:ascii="仿宋" w:hAnsi="仿宋" w:eastAsia="仿宋" w:cs="仿宋"/>
          <w:color w:val="auto"/>
          <w:sz w:val="24"/>
          <w:szCs w:val="24"/>
          <w:highlight w:val="none"/>
        </w:rPr>
        <w:t>3如遇机构调整等导致物业管理范围和内容发生增减的，增减费用由甲乙双方协商解决；</w:t>
      </w:r>
    </w:p>
    <w:p w14:paraId="6B0F826F">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b w:val="0"/>
          <w:bCs w:val="0"/>
          <w:color w:val="auto"/>
          <w:kern w:val="44"/>
          <w:sz w:val="24"/>
          <w:szCs w:val="24"/>
          <w:highlight w:val="none"/>
          <w:lang w:val="en-US" w:eastAsia="zh-CN" w:bidi="ar-SA"/>
        </w:rPr>
        <w:t>9.</w:t>
      </w:r>
      <w:r>
        <w:rPr>
          <w:rFonts w:hint="eastAsia" w:ascii="仿宋" w:hAnsi="仿宋" w:eastAsia="仿宋" w:cs="仿宋"/>
          <w:color w:val="auto"/>
          <w:sz w:val="24"/>
          <w:szCs w:val="24"/>
          <w:highlight w:val="none"/>
        </w:rPr>
        <w:t>4合同结束时，乙方应配合做好清场、恢复、交接等相关工作，否则甲方有权扣留剩余物业管理合同款；</w:t>
      </w:r>
    </w:p>
    <w:p w14:paraId="0C4EDB99">
      <w:pPr>
        <w:keepNext w:val="0"/>
        <w:keepLines w:val="0"/>
        <w:pageBreakBefore w:val="0"/>
        <w:kinsoku/>
        <w:wordWrap/>
        <w:overflowPunct/>
        <w:topLinePunct w:val="0"/>
        <w:autoSpaceDE/>
        <w:autoSpaceDN/>
        <w:bidi w:val="0"/>
        <w:snapToGrid/>
        <w:spacing w:line="360" w:lineRule="auto"/>
        <w:ind w:left="0" w:leftChars="0" w:right="0" w:rightChars="0" w:firstLine="480" w:firstLineChars="200"/>
        <w:textAlignment w:val="auto"/>
        <w:outlineLvl w:val="0"/>
        <w:rPr>
          <w:rFonts w:hint="eastAsia" w:ascii="仿宋" w:hAnsi="仿宋" w:eastAsia="仿宋" w:cs="仿宋"/>
          <w:b/>
          <w:color w:val="auto"/>
          <w:sz w:val="24"/>
          <w:highlight w:val="none"/>
          <w:lang w:val="en-US" w:eastAsia="zh-CN"/>
        </w:rPr>
      </w:pPr>
      <w:r>
        <w:rPr>
          <w:rFonts w:hint="eastAsia" w:ascii="仿宋" w:hAnsi="仿宋" w:eastAsia="仿宋" w:cs="仿宋"/>
          <w:b w:val="0"/>
          <w:bCs w:val="0"/>
          <w:color w:val="auto"/>
          <w:kern w:val="44"/>
          <w:sz w:val="24"/>
          <w:szCs w:val="24"/>
          <w:highlight w:val="none"/>
          <w:lang w:val="en-US" w:eastAsia="zh-CN" w:bidi="ar-SA"/>
        </w:rPr>
        <w:t>9.</w:t>
      </w:r>
      <w:r>
        <w:rPr>
          <w:rFonts w:hint="eastAsia" w:ascii="仿宋" w:hAnsi="仿宋" w:eastAsia="仿宋" w:cs="仿宋"/>
          <w:color w:val="auto"/>
          <w:sz w:val="24"/>
          <w:szCs w:val="24"/>
          <w:highlight w:val="none"/>
        </w:rPr>
        <w:t>5甲方需遵守廉政纪律，不得利用职务上的便利，违法国家规定，收受各种名义的回扣、手续费等不正当利益，并与乙方签订政府采购项目廉政合同</w:t>
      </w:r>
      <w:r>
        <w:rPr>
          <w:rFonts w:hint="eastAsia" w:ascii="仿宋" w:hAnsi="仿宋" w:eastAsia="仿宋" w:cs="仿宋"/>
          <w:color w:val="auto"/>
          <w:sz w:val="24"/>
          <w:szCs w:val="24"/>
          <w:highlight w:val="none"/>
          <w:lang w:eastAsia="zh-CN"/>
        </w:rPr>
        <w:t>。</w:t>
      </w:r>
    </w:p>
    <w:p w14:paraId="17CFAB63">
      <w:pPr>
        <w:keepNext/>
        <w:keepLines/>
        <w:widowControl w:val="0"/>
        <w:spacing w:line="360" w:lineRule="auto"/>
        <w:ind w:firstLine="484" w:firstLineChars="201"/>
        <w:jc w:val="both"/>
        <w:outlineLvl w:val="0"/>
        <w:rPr>
          <w:rFonts w:hint="eastAsia" w:ascii="仿宋" w:hAnsi="仿宋" w:eastAsia="仿宋" w:cs="仿宋"/>
          <w:b/>
          <w:bCs/>
          <w:color w:val="auto"/>
          <w:kern w:val="44"/>
          <w:sz w:val="24"/>
          <w:szCs w:val="24"/>
          <w:highlight w:val="none"/>
          <w:lang w:val="en-US" w:eastAsia="zh-CN" w:bidi="ar-SA"/>
        </w:rPr>
      </w:pPr>
      <w:r>
        <w:rPr>
          <w:rFonts w:hint="eastAsia" w:ascii="仿宋" w:hAnsi="仿宋" w:eastAsia="仿宋" w:cs="仿宋"/>
          <w:b/>
          <w:bCs/>
          <w:color w:val="auto"/>
          <w:kern w:val="44"/>
          <w:sz w:val="24"/>
          <w:szCs w:val="24"/>
          <w:highlight w:val="none"/>
          <w:lang w:val="en-US" w:eastAsia="zh-CN" w:bidi="ar-SA"/>
        </w:rPr>
        <w:t>十、乙方的权利义务</w:t>
      </w:r>
    </w:p>
    <w:p w14:paraId="4E4B99A7">
      <w:pPr>
        <w:keepNext w:val="0"/>
        <w:keepLines w:val="0"/>
        <w:pageBreakBefore w:val="0"/>
        <w:widowControl/>
        <w:shd w:val="clear" w:color="auto" w:fill="auto"/>
        <w:kinsoku/>
        <w:wordWrap/>
        <w:overflowPunct/>
        <w:topLinePunct w:val="0"/>
        <w:autoSpaceDE/>
        <w:autoSpaceDN/>
        <w:bidi w:val="0"/>
        <w:adjustRightInd/>
        <w:snapToGrid/>
        <w:spacing w:after="0" w:line="360" w:lineRule="auto"/>
        <w:ind w:firstLine="484" w:firstLineChars="202"/>
        <w:textAlignment w:val="auto"/>
        <w:rPr>
          <w:rFonts w:hint="eastAsia" w:ascii="仿宋" w:hAnsi="仿宋" w:eastAsia="仿宋" w:cs="仿宋"/>
          <w:color w:val="auto"/>
          <w:kern w:val="44"/>
          <w:sz w:val="24"/>
          <w:szCs w:val="24"/>
          <w:highlight w:val="none"/>
          <w:shd w:val="clear" w:color="auto" w:fill="auto"/>
          <w:lang w:eastAsia="zh-CN"/>
        </w:rPr>
      </w:pPr>
      <w:r>
        <w:rPr>
          <w:rFonts w:hint="eastAsia" w:ascii="仿宋" w:hAnsi="仿宋" w:eastAsia="仿宋" w:cs="仿宋"/>
          <w:b w:val="0"/>
          <w:bCs w:val="0"/>
          <w:color w:val="auto"/>
          <w:kern w:val="44"/>
          <w:sz w:val="24"/>
          <w:szCs w:val="24"/>
          <w:highlight w:val="none"/>
          <w:lang w:val="en-US" w:eastAsia="zh-CN" w:bidi="ar-SA"/>
        </w:rPr>
        <w:t>10.</w:t>
      </w:r>
      <w:r>
        <w:rPr>
          <w:rFonts w:hint="eastAsia" w:ascii="仿宋" w:hAnsi="仿宋" w:eastAsia="仿宋" w:cs="仿宋"/>
          <w:b w:val="0"/>
          <w:bCs w:val="0"/>
          <w:color w:val="auto"/>
          <w:kern w:val="44"/>
          <w:sz w:val="24"/>
          <w:szCs w:val="24"/>
          <w:highlight w:val="none"/>
        </w:rPr>
        <w:t>1</w:t>
      </w:r>
      <w:r>
        <w:rPr>
          <w:rFonts w:hint="eastAsia" w:ascii="仿宋" w:hAnsi="仿宋" w:eastAsia="仿宋" w:cs="仿宋"/>
          <w:b w:val="0"/>
          <w:bCs w:val="0"/>
          <w:color w:val="auto"/>
          <w:kern w:val="44"/>
          <w:sz w:val="24"/>
          <w:szCs w:val="24"/>
          <w:highlight w:val="none"/>
          <w:lang w:val="en-US" w:eastAsia="zh-CN"/>
        </w:rPr>
        <w:t>乙方负责黄泽镇和崇仁镇42座小型水库的日常维修养护工作；统计并向各镇（街道）反馈水库巡查员巡查频次；承担信息化平台的使用和资料填报工作；提供小型水库坝体监测服务，遵守安全隐患申报制度；承担水库运行档案的整理工作；组织一次“三个责任人”履职培训、完成 “三预”（预警、预演、预案）推演；完成招投标文件及合同中规定的其他工作；完成水利局和工程所在地乡镇（街道）人民政府交办的其他工作。</w:t>
      </w:r>
    </w:p>
    <w:p w14:paraId="7B341926">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10.2</w:t>
      </w:r>
      <w:r>
        <w:rPr>
          <w:rFonts w:hint="eastAsia" w:ascii="仿宋" w:hAnsi="仿宋" w:eastAsia="仿宋" w:cs="仿宋"/>
          <w:color w:val="auto"/>
          <w:sz w:val="24"/>
          <w:szCs w:val="24"/>
          <w:highlight w:val="none"/>
        </w:rPr>
        <w:t>乙方要加强对工作人员的培训和教育，维护好工程设施设备，确保安全工作，杜绝各类事故。甲方要求完成的紧急工作任务，乙方必须无条件调动人员，保证完成工作；</w:t>
      </w:r>
    </w:p>
    <w:p w14:paraId="32CEF258">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b w:val="0"/>
          <w:bCs w:val="0"/>
          <w:color w:val="auto"/>
          <w:kern w:val="44"/>
          <w:sz w:val="24"/>
          <w:szCs w:val="24"/>
          <w:highlight w:val="none"/>
          <w:lang w:val="en-US" w:eastAsia="zh-CN" w:bidi="ar-SA"/>
        </w:rPr>
        <w:t>10.</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 xml:space="preserve"> 按要求配好工作人员，相关人员要持证上岗，确保工作质量，若甲方提出整改意见，乙方应立即予以整改；</w:t>
      </w:r>
    </w:p>
    <w:p w14:paraId="724C5841">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b w:val="0"/>
          <w:bCs w:val="0"/>
          <w:color w:val="auto"/>
          <w:kern w:val="44"/>
          <w:sz w:val="24"/>
          <w:szCs w:val="24"/>
          <w:highlight w:val="none"/>
          <w:lang w:val="en-US" w:eastAsia="zh-CN" w:bidi="ar-SA"/>
        </w:rPr>
        <w:t>10.</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乙方工作人员须穿统一工作服装，以示上岗，接受甲方监督；</w:t>
      </w:r>
    </w:p>
    <w:p w14:paraId="2898282A">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b w:val="0"/>
          <w:bCs w:val="0"/>
          <w:color w:val="auto"/>
          <w:kern w:val="44"/>
          <w:sz w:val="24"/>
          <w:szCs w:val="24"/>
          <w:highlight w:val="none"/>
          <w:lang w:val="en-US" w:eastAsia="zh-CN" w:bidi="ar-SA"/>
        </w:rPr>
        <w:t>10.</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乙方应为每一位职工缴纳人身意外险，如乙方不为职工办理人身意外险的，产生一切后果由乙方自行负责；</w:t>
      </w:r>
    </w:p>
    <w:p w14:paraId="25E0B7ED">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b w:val="0"/>
          <w:bCs w:val="0"/>
          <w:color w:val="auto"/>
          <w:kern w:val="44"/>
          <w:sz w:val="24"/>
          <w:szCs w:val="24"/>
          <w:highlight w:val="none"/>
          <w:lang w:val="en-US" w:eastAsia="zh-CN" w:bidi="ar-SA"/>
        </w:rPr>
        <w:t>10.</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乙方应制订防汛应急方案，落实防汛值班人员，服从防汛值班调度，按照防汛指令做好巡查、抢险等相关工作。</w:t>
      </w:r>
    </w:p>
    <w:p w14:paraId="5C337043">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b w:val="0"/>
          <w:bCs w:val="0"/>
          <w:color w:val="auto"/>
          <w:kern w:val="44"/>
          <w:sz w:val="24"/>
          <w:szCs w:val="24"/>
          <w:highlight w:val="none"/>
          <w:lang w:val="en-US" w:eastAsia="zh-CN" w:bidi="ar-SA"/>
        </w:rPr>
        <w:t>10.</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乙方需遵守廉政纪律，不得向甲方工作人员提供任何回扣、手续费等商业贿赂，不得为谋取不正当利益而实施违反商业竞争及公平交易的行为。</w:t>
      </w:r>
    </w:p>
    <w:p w14:paraId="4327F283">
      <w:pPr>
        <w:keepNext w:val="0"/>
        <w:keepLines w:val="0"/>
        <w:pageBreakBefore w:val="0"/>
        <w:kinsoku/>
        <w:wordWrap/>
        <w:overflowPunct/>
        <w:topLinePunct w:val="0"/>
        <w:autoSpaceDE/>
        <w:autoSpaceDN/>
        <w:bidi w:val="0"/>
        <w:snapToGrid/>
        <w:spacing w:line="360" w:lineRule="auto"/>
        <w:ind w:left="0" w:leftChars="0" w:right="0" w:rightChars="0" w:firstLine="480" w:firstLineChars="200"/>
        <w:textAlignment w:val="auto"/>
        <w:outlineLvl w:val="0"/>
        <w:rPr>
          <w:rFonts w:hint="eastAsia" w:ascii="仿宋" w:hAnsi="仿宋" w:eastAsia="仿宋" w:cs="仿宋"/>
          <w:b w:val="0"/>
          <w:bCs/>
          <w:color w:val="auto"/>
          <w:sz w:val="24"/>
          <w:highlight w:val="none"/>
          <w:lang w:val="en-US" w:eastAsia="zh-CN"/>
        </w:rPr>
      </w:pPr>
      <w:r>
        <w:rPr>
          <w:rFonts w:hint="eastAsia" w:ascii="仿宋" w:hAnsi="仿宋" w:eastAsia="仿宋" w:cs="仿宋"/>
          <w:b w:val="0"/>
          <w:bCs w:val="0"/>
          <w:color w:val="auto"/>
          <w:kern w:val="44"/>
          <w:sz w:val="24"/>
          <w:szCs w:val="24"/>
          <w:highlight w:val="none"/>
          <w:lang w:val="en-US" w:eastAsia="zh-CN" w:bidi="ar-SA"/>
        </w:rPr>
        <w:t>10.</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乙方应按合同约定指派（项目负责人/技术负责人），并在合同约定服务期限内到岗。服务期限内，乙方（项目负责人/技术负责人）每月驻现场的天数不少于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20</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天，每少一天支付违约金</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500</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上述违约金在当期结算款中直接扣除，连续2个月及以上每月驻现场的天数少于15天，甲方有权解除合同，驻现场天数按甲方考勤记录为准。项目负责人、技术负责人及物业骨干人员不得擅自更换，确需更换的，应征得甲方的同意，且更换后的人员不得低于原投标承诺人员所具有的资格和业绩条件。</w:t>
      </w:r>
    </w:p>
    <w:p w14:paraId="57392D4E">
      <w:pPr>
        <w:keepNext w:val="0"/>
        <w:keepLines w:val="0"/>
        <w:pageBreakBefore w:val="0"/>
        <w:kinsoku/>
        <w:wordWrap/>
        <w:overflowPunct/>
        <w:topLinePunct w:val="0"/>
        <w:autoSpaceDE/>
        <w:autoSpaceDN/>
        <w:bidi w:val="0"/>
        <w:snapToGrid/>
        <w:spacing w:line="360" w:lineRule="auto"/>
        <w:ind w:left="0" w:leftChars="0" w:right="0" w:rightChars="0" w:firstLine="482" w:firstLineChars="200"/>
        <w:textAlignment w:val="auto"/>
        <w:outlineLvl w:val="0"/>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lang w:val="en-US" w:eastAsia="zh-CN"/>
        </w:rPr>
        <w:t>十一、</w:t>
      </w:r>
      <w:r>
        <w:rPr>
          <w:rFonts w:hint="eastAsia" w:ascii="仿宋" w:hAnsi="仿宋" w:eastAsia="仿宋" w:cs="仿宋"/>
          <w:b/>
          <w:color w:val="auto"/>
          <w:sz w:val="24"/>
          <w:highlight w:val="none"/>
        </w:rPr>
        <w:t>违约责任</w:t>
      </w:r>
    </w:p>
    <w:p w14:paraId="5FAB37D4">
      <w:pPr>
        <w:keepNext w:val="0"/>
        <w:keepLines w:val="0"/>
        <w:pageBreakBefore w:val="0"/>
        <w:kinsoku/>
        <w:wordWrap/>
        <w:overflowPunct/>
        <w:topLinePunct w:val="0"/>
        <w:autoSpaceDE/>
        <w:autoSpaceDN/>
        <w:bidi w:val="0"/>
        <w:snapToGrid/>
        <w:spacing w:line="360" w:lineRule="auto"/>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rPr>
        <w:t>.1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highlight w:val="none"/>
          <w:u w:val="single"/>
          <w:lang w:val="en-US" w:eastAsia="zh-CN"/>
        </w:rPr>
        <w:t xml:space="preserve">   0.5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%；迟延履行的违约金计算数额达到前述最高限额之日起，甲方有权在要求乙方支付违约金的同时，书面通知乙方解除本合同；</w:t>
      </w:r>
    </w:p>
    <w:p w14:paraId="33059012">
      <w:pPr>
        <w:keepNext w:val="0"/>
        <w:keepLines w:val="0"/>
        <w:pageBreakBefore w:val="0"/>
        <w:kinsoku/>
        <w:wordWrap/>
        <w:overflowPunct/>
        <w:topLinePunct w:val="0"/>
        <w:autoSpaceDE/>
        <w:autoSpaceDN/>
        <w:bidi w:val="0"/>
        <w:snapToGrid/>
        <w:spacing w:line="360" w:lineRule="auto"/>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0.5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5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%；迟延付款的违约金计算数额达到前述最高限额之日起，乙方有权在要求甲方支付违约金的同时，书面通知甲方解除本合同；</w:t>
      </w:r>
    </w:p>
    <w:p w14:paraId="4C2A0D4B">
      <w:pPr>
        <w:keepNext w:val="0"/>
        <w:keepLines w:val="0"/>
        <w:pageBreakBefore w:val="0"/>
        <w:kinsoku/>
        <w:wordWrap/>
        <w:overflowPunct/>
        <w:topLinePunct w:val="0"/>
        <w:autoSpaceDE/>
        <w:autoSpaceDN/>
        <w:bidi w:val="0"/>
        <w:snapToGrid/>
        <w:spacing w:line="360" w:lineRule="auto"/>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 xml:space="preserve">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9546F45">
      <w:pPr>
        <w:keepNext w:val="0"/>
        <w:keepLines w:val="0"/>
        <w:pageBreakBefore w:val="0"/>
        <w:kinsoku/>
        <w:wordWrap/>
        <w:overflowPunct/>
        <w:topLinePunct w:val="0"/>
        <w:autoSpaceDE/>
        <w:autoSpaceDN/>
        <w:bidi w:val="0"/>
        <w:snapToGrid/>
        <w:spacing w:line="360" w:lineRule="auto"/>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 xml:space="preserve">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C01FC52">
      <w:pPr>
        <w:keepNext w:val="0"/>
        <w:keepLines w:val="0"/>
        <w:pageBreakBefore w:val="0"/>
        <w:kinsoku/>
        <w:wordWrap/>
        <w:overflowPunct/>
        <w:topLinePunct w:val="0"/>
        <w:autoSpaceDE/>
        <w:autoSpaceDN/>
        <w:bidi w:val="0"/>
        <w:snapToGrid/>
        <w:spacing w:line="360" w:lineRule="auto"/>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如果出现政府采购监督管理部门在处理投诉事项期间，书面通知甲方暂停采购活动的情形，或者询问或质疑事项可能影响中标或者成交结果的，导致甲方中止履行合同的情形，均不视为甲方违约。</w:t>
      </w:r>
    </w:p>
    <w:p w14:paraId="39177130">
      <w:pPr>
        <w:keepNext/>
        <w:keepLines/>
        <w:widowControl w:val="0"/>
        <w:spacing w:line="360" w:lineRule="auto"/>
        <w:ind w:firstLine="484" w:firstLineChars="201"/>
        <w:jc w:val="both"/>
        <w:outlineLvl w:val="0"/>
        <w:rPr>
          <w:rFonts w:hint="eastAsia" w:ascii="仿宋" w:hAnsi="仿宋" w:eastAsia="仿宋" w:cs="仿宋"/>
          <w:b/>
          <w:bCs/>
          <w:color w:val="auto"/>
          <w:kern w:val="44"/>
          <w:sz w:val="24"/>
          <w:szCs w:val="24"/>
          <w:highlight w:val="none"/>
          <w:lang w:val="en-US" w:eastAsia="zh-CN" w:bidi="ar-SA"/>
        </w:rPr>
      </w:pPr>
      <w:r>
        <w:rPr>
          <w:rFonts w:hint="eastAsia" w:ascii="仿宋" w:hAnsi="仿宋" w:eastAsia="仿宋" w:cs="仿宋"/>
          <w:b/>
          <w:bCs/>
          <w:color w:val="auto"/>
          <w:kern w:val="44"/>
          <w:sz w:val="24"/>
          <w:szCs w:val="24"/>
          <w:highlight w:val="none"/>
          <w:lang w:val="en-US" w:eastAsia="zh-CN" w:bidi="ar-SA"/>
        </w:rPr>
        <w:t>十二、质量保证及后续服务</w:t>
      </w:r>
    </w:p>
    <w:p w14:paraId="12096DF7">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12.1</w:t>
      </w:r>
      <w:r>
        <w:rPr>
          <w:rFonts w:hint="eastAsia" w:ascii="仿宋" w:hAnsi="仿宋" w:eastAsia="仿宋" w:cs="仿宋"/>
          <w:color w:val="auto"/>
          <w:sz w:val="24"/>
          <w:szCs w:val="24"/>
          <w:highlight w:val="none"/>
        </w:rPr>
        <w:t>乙方按采购文件规定向甲方提供服务；</w:t>
      </w:r>
    </w:p>
    <w:p w14:paraId="7DEA4C34">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2若乙方在服务期间，发生下列情形之一的，将被解除服务合同，由此造成的全部责任和损失由乙方承担；</w:t>
      </w:r>
    </w:p>
    <w:p w14:paraId="29F086D3">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（1）服务期内，季度考核不合格；</w:t>
      </w:r>
    </w:p>
    <w:p w14:paraId="6262D015">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（2）出现重大问题或重大事故造成严重影响的。</w:t>
      </w:r>
    </w:p>
    <w:p w14:paraId="7EA656A0">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因上述原因被解除合同的乙方不得参加本项目下一轮次的投标活动。</w:t>
      </w:r>
    </w:p>
    <w:p w14:paraId="447CE2BF">
      <w:pPr>
        <w:keepNext/>
        <w:keepLines/>
        <w:widowControl w:val="0"/>
        <w:spacing w:line="360" w:lineRule="auto"/>
        <w:ind w:firstLine="484" w:firstLineChars="201"/>
        <w:jc w:val="both"/>
        <w:outlineLvl w:val="0"/>
        <w:rPr>
          <w:rFonts w:hint="eastAsia" w:ascii="仿宋" w:hAnsi="仿宋" w:eastAsia="仿宋" w:cs="仿宋"/>
          <w:b/>
          <w:bCs/>
          <w:color w:val="auto"/>
          <w:kern w:val="44"/>
          <w:sz w:val="24"/>
          <w:szCs w:val="24"/>
          <w:highlight w:val="none"/>
          <w:lang w:val="en-US" w:eastAsia="zh-CN" w:bidi="ar-SA"/>
        </w:rPr>
      </w:pPr>
      <w:r>
        <w:rPr>
          <w:rFonts w:hint="eastAsia" w:ascii="仿宋" w:hAnsi="仿宋" w:eastAsia="仿宋" w:cs="仿宋"/>
          <w:b/>
          <w:bCs/>
          <w:color w:val="auto"/>
          <w:kern w:val="44"/>
          <w:sz w:val="24"/>
          <w:szCs w:val="24"/>
          <w:highlight w:val="none"/>
          <w:lang w:val="en-US" w:eastAsia="zh-CN" w:bidi="ar-SA"/>
        </w:rPr>
        <w:t>十三、知识产权</w:t>
      </w:r>
    </w:p>
    <w:p w14:paraId="1E998249">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乙方应保证提供服务过程中不会侵犯第三方的知识产权和其他权益。如因此发生任何针对甲方的争议、索赔、诉讼等，产生的一切法律责任与费用均由乙方承担。</w:t>
      </w:r>
    </w:p>
    <w:p w14:paraId="5033C272">
      <w:pPr>
        <w:keepNext/>
        <w:keepLines/>
        <w:widowControl w:val="0"/>
        <w:spacing w:line="360" w:lineRule="auto"/>
        <w:ind w:firstLine="484" w:firstLineChars="201"/>
        <w:jc w:val="both"/>
        <w:outlineLvl w:val="0"/>
        <w:rPr>
          <w:rFonts w:hint="eastAsia" w:ascii="仿宋" w:hAnsi="仿宋" w:eastAsia="仿宋" w:cs="仿宋"/>
          <w:b/>
          <w:bCs/>
          <w:color w:val="auto"/>
          <w:kern w:val="44"/>
          <w:sz w:val="24"/>
          <w:szCs w:val="24"/>
          <w:highlight w:val="none"/>
          <w:lang w:val="en-US" w:eastAsia="zh-CN" w:bidi="ar-SA"/>
        </w:rPr>
      </w:pPr>
      <w:r>
        <w:rPr>
          <w:rFonts w:hint="eastAsia" w:ascii="仿宋" w:hAnsi="仿宋" w:eastAsia="仿宋" w:cs="仿宋"/>
          <w:b/>
          <w:bCs/>
          <w:color w:val="auto"/>
          <w:kern w:val="44"/>
          <w:sz w:val="24"/>
          <w:szCs w:val="24"/>
          <w:highlight w:val="none"/>
          <w:lang w:val="en-US" w:eastAsia="zh-CN" w:bidi="ar-SA"/>
        </w:rPr>
        <w:t>十四、税费</w:t>
      </w:r>
    </w:p>
    <w:p w14:paraId="2AC15648">
      <w:pPr>
        <w:keepNext w:val="0"/>
        <w:keepLines w:val="0"/>
        <w:pageBreakBefore w:val="0"/>
        <w:kinsoku/>
        <w:wordWrap/>
        <w:overflowPunct/>
        <w:topLinePunct w:val="0"/>
        <w:autoSpaceDE/>
        <w:autoSpaceDN/>
        <w:bidi w:val="0"/>
        <w:snapToGrid/>
        <w:spacing w:line="360" w:lineRule="auto"/>
        <w:ind w:left="0" w:leftChars="0" w:right="0" w:rightChars="0" w:firstLine="480" w:firstLineChars="200"/>
        <w:textAlignment w:val="auto"/>
        <w:outlineLvl w:val="0"/>
        <w:rPr>
          <w:rFonts w:hint="eastAsia" w:ascii="仿宋" w:hAnsi="仿宋" w:eastAsia="仿宋" w:cs="仿宋"/>
          <w:b/>
          <w:color w:val="auto"/>
          <w:sz w:val="24"/>
          <w:highlight w:val="none"/>
          <w:lang w:val="en-US" w:eastAsia="zh-CN"/>
        </w:rPr>
      </w:pPr>
      <w:r>
        <w:rPr>
          <w:rFonts w:hint="eastAsia" w:ascii="仿宋" w:hAnsi="仿宋" w:eastAsia="仿宋" w:cs="仿宋"/>
          <w:color w:val="auto"/>
          <w:sz w:val="24"/>
          <w:szCs w:val="24"/>
          <w:highlight w:val="none"/>
        </w:rPr>
        <w:t>本合同执行中相关的一切税费均由乙方承担</w:t>
      </w:r>
      <w:r>
        <w:rPr>
          <w:rFonts w:hint="eastAsia" w:ascii="仿宋" w:hAnsi="仿宋" w:eastAsia="仿宋" w:cs="仿宋"/>
          <w:color w:val="auto"/>
          <w:sz w:val="24"/>
          <w:szCs w:val="24"/>
          <w:highlight w:val="none"/>
          <w:lang w:eastAsia="zh-CN"/>
        </w:rPr>
        <w:t>。</w:t>
      </w:r>
    </w:p>
    <w:p w14:paraId="4D639192">
      <w:pPr>
        <w:keepNext/>
        <w:keepLines/>
        <w:widowControl w:val="0"/>
        <w:spacing w:line="360" w:lineRule="auto"/>
        <w:ind w:firstLine="484" w:firstLineChars="201"/>
        <w:jc w:val="both"/>
        <w:outlineLvl w:val="0"/>
        <w:rPr>
          <w:rFonts w:hint="eastAsia" w:ascii="仿宋" w:hAnsi="仿宋" w:eastAsia="仿宋" w:cs="仿宋"/>
          <w:b/>
          <w:bCs/>
          <w:color w:val="auto"/>
          <w:kern w:val="44"/>
          <w:sz w:val="24"/>
          <w:szCs w:val="24"/>
          <w:highlight w:val="none"/>
          <w:lang w:val="en-US" w:eastAsia="zh-CN" w:bidi="ar-SA"/>
        </w:rPr>
      </w:pPr>
      <w:r>
        <w:rPr>
          <w:rFonts w:hint="eastAsia" w:ascii="仿宋" w:hAnsi="仿宋" w:eastAsia="仿宋" w:cs="仿宋"/>
          <w:b/>
          <w:bCs/>
          <w:color w:val="auto"/>
          <w:kern w:val="44"/>
          <w:sz w:val="24"/>
          <w:szCs w:val="24"/>
          <w:highlight w:val="none"/>
          <w:lang w:val="en-US" w:eastAsia="zh-CN" w:bidi="ar-SA"/>
        </w:rPr>
        <w:t>十五、合同的变更与终止</w:t>
      </w:r>
    </w:p>
    <w:p w14:paraId="13DCAF3B">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1.合同的变更与提前终止必须采用书面形式；</w:t>
      </w:r>
    </w:p>
    <w:p w14:paraId="6882DE61">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2.本合同规定的履行期限届满，合同自行终止；</w:t>
      </w:r>
    </w:p>
    <w:p w14:paraId="121CF3D9">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3.在合同履行过程中，如遇不可抗力的因素，双方协商以补充合同方式解决；</w:t>
      </w:r>
    </w:p>
    <w:p w14:paraId="7222C3A5">
      <w:pPr>
        <w:adjustRightInd/>
        <w:spacing w:line="360" w:lineRule="auto"/>
        <w:ind w:firstLine="484" w:firstLineChars="202"/>
        <w:rPr>
          <w:rFonts w:hint="eastAsia" w:ascii="仿宋" w:hAnsi="仿宋" w:eastAsia="仿宋" w:cs="仿宋"/>
          <w:b/>
          <w:color w:val="auto"/>
          <w:sz w:val="24"/>
          <w:highlight w:val="none"/>
          <w:lang w:val="en-US" w:eastAsia="zh-CN"/>
        </w:rPr>
      </w:pPr>
      <w:r>
        <w:rPr>
          <w:rFonts w:hint="eastAsia" w:ascii="仿宋" w:hAnsi="仿宋" w:eastAsia="仿宋" w:cs="仿宋"/>
          <w:color w:val="auto"/>
          <w:sz w:val="24"/>
          <w:szCs w:val="24"/>
          <w:highlight w:val="none"/>
        </w:rPr>
        <w:t>4.合同内容变更、提前终止必须提前一个月书面通知对方。</w:t>
      </w:r>
    </w:p>
    <w:p w14:paraId="641409EE">
      <w:pPr>
        <w:keepNext/>
        <w:keepLines/>
        <w:widowControl w:val="0"/>
        <w:spacing w:line="360" w:lineRule="auto"/>
        <w:ind w:firstLine="484" w:firstLineChars="201"/>
        <w:jc w:val="both"/>
        <w:outlineLvl w:val="0"/>
        <w:rPr>
          <w:rFonts w:hint="eastAsia" w:ascii="仿宋" w:hAnsi="仿宋" w:eastAsia="仿宋" w:cs="仿宋"/>
          <w:b/>
          <w:bCs/>
          <w:color w:val="auto"/>
          <w:kern w:val="44"/>
          <w:sz w:val="24"/>
          <w:szCs w:val="24"/>
          <w:highlight w:val="none"/>
          <w:lang w:val="en-US" w:eastAsia="zh-CN" w:bidi="ar-SA"/>
        </w:rPr>
      </w:pPr>
      <w:r>
        <w:rPr>
          <w:rFonts w:hint="eastAsia" w:ascii="仿宋" w:hAnsi="仿宋" w:eastAsia="仿宋" w:cs="仿宋"/>
          <w:b/>
          <w:bCs/>
          <w:color w:val="auto"/>
          <w:kern w:val="44"/>
          <w:sz w:val="24"/>
          <w:szCs w:val="24"/>
          <w:highlight w:val="none"/>
          <w:lang w:val="en-US" w:eastAsia="zh-CN" w:bidi="ar-SA"/>
        </w:rPr>
        <w:t>十六、合同解除</w:t>
      </w:r>
    </w:p>
    <w:p w14:paraId="2213C4F4">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若乙方在服务期间，发生下列情形之一的，将被解除服务合同，由此造成的全部责任和损失由乙方承担；</w:t>
      </w:r>
    </w:p>
    <w:p w14:paraId="71EF20F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1）服务期内，季度考核不合格；</w:t>
      </w:r>
    </w:p>
    <w:p w14:paraId="3B2F2A6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2）组织管理机构、人员素质、管理人员人数与投标承诺不符合，无法完成管护任务的；</w:t>
      </w:r>
    </w:p>
    <w:p w14:paraId="0481695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3）管理不善，造成人员伤亡，并负主要责任；</w:t>
      </w:r>
    </w:p>
    <w:p w14:paraId="43BB0F8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4）擅自将合同转包或部分分包给第三方的；</w:t>
      </w:r>
    </w:p>
    <w:p w14:paraId="5F4F0C35">
      <w:pPr>
        <w:adjustRightInd/>
        <w:spacing w:line="360" w:lineRule="auto"/>
        <w:ind w:firstLine="484" w:firstLineChars="20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5）服务期内，被市级以上媒体曝光累计3次，造成</w:t>
      </w:r>
      <w:r>
        <w:rPr>
          <w:rFonts w:hint="eastAsia" w:ascii="仿宋" w:hAnsi="仿宋" w:eastAsia="仿宋" w:cs="仿宋"/>
          <w:color w:val="auto"/>
          <w:sz w:val="24"/>
          <w:szCs w:val="24"/>
          <w:highlight w:val="none"/>
          <w:lang w:val="en-US" w:eastAsia="zh-CN"/>
        </w:rPr>
        <w:t>一定</w:t>
      </w:r>
      <w:r>
        <w:rPr>
          <w:rFonts w:hint="eastAsia" w:ascii="仿宋" w:hAnsi="仿宋" w:eastAsia="仿宋" w:cs="仿宋"/>
          <w:color w:val="auto"/>
          <w:sz w:val="24"/>
          <w:szCs w:val="24"/>
          <w:highlight w:val="none"/>
        </w:rPr>
        <w:t>影响的。</w:t>
      </w:r>
    </w:p>
    <w:p w14:paraId="4472ED0E">
      <w:pPr>
        <w:keepNext w:val="0"/>
        <w:keepLines w:val="0"/>
        <w:pageBreakBefore w:val="0"/>
        <w:kinsoku/>
        <w:wordWrap/>
        <w:overflowPunct/>
        <w:topLinePunct w:val="0"/>
        <w:autoSpaceDE/>
        <w:autoSpaceDN/>
        <w:bidi w:val="0"/>
        <w:snapToGrid/>
        <w:spacing w:line="360" w:lineRule="auto"/>
        <w:ind w:left="0" w:leftChars="0" w:right="0" w:righ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bCs/>
          <w:color w:val="auto"/>
          <w:kern w:val="44"/>
          <w:sz w:val="24"/>
          <w:szCs w:val="24"/>
          <w:highlight w:val="none"/>
          <w:lang w:val="en-US" w:eastAsia="zh-CN" w:bidi="ar-SA"/>
        </w:rPr>
        <w:t>十七、</w:t>
      </w:r>
      <w:r>
        <w:rPr>
          <w:rFonts w:hint="eastAsia" w:ascii="仿宋" w:hAnsi="仿宋" w:eastAsia="仿宋" w:cs="仿宋"/>
          <w:b/>
          <w:color w:val="auto"/>
          <w:sz w:val="24"/>
          <w:highlight w:val="none"/>
        </w:rPr>
        <w:t>合同争议的解决</w:t>
      </w:r>
    </w:p>
    <w:p w14:paraId="178F25C2">
      <w:pPr>
        <w:keepNext w:val="0"/>
        <w:keepLines w:val="0"/>
        <w:pageBreakBefore w:val="0"/>
        <w:widowControl w:val="0"/>
        <w:kinsoku/>
        <w:wordWrap/>
        <w:overflowPunct/>
        <w:topLinePunct w:val="0"/>
        <w:autoSpaceDE/>
        <w:autoSpaceDN/>
        <w:bidi w:val="0"/>
        <w:adjustRightInd w:val="0"/>
        <w:snapToGrid/>
        <w:spacing w:line="360" w:lineRule="auto"/>
        <w:ind w:left="0" w:leftChars="0" w:right="0" w:rightChars="0" w:firstLine="480" w:firstLineChars="200"/>
        <w:textAlignment w:val="auto"/>
        <w:outlineLvl w:val="9"/>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本合同履行过程中发生的任何争议，双方当事人均可通过和解或者调解解决；不愿和解、调解或者和解、调解不成的，将争议提交绍兴仲裁委员会仲裁。</w:t>
      </w:r>
    </w:p>
    <w:p w14:paraId="2A3A829A">
      <w:pPr>
        <w:keepNext w:val="0"/>
        <w:keepLines w:val="0"/>
        <w:pageBreakBefore w:val="0"/>
        <w:kinsoku/>
        <w:wordWrap/>
        <w:overflowPunct/>
        <w:topLinePunct w:val="0"/>
        <w:autoSpaceDE/>
        <w:autoSpaceDN/>
        <w:bidi w:val="0"/>
        <w:snapToGrid/>
        <w:spacing w:line="360" w:lineRule="auto"/>
        <w:ind w:left="0" w:leftChars="0" w:right="0" w:rightChars="0" w:firstLine="482" w:firstLineChars="200"/>
        <w:textAlignment w:val="auto"/>
        <w:outlineLvl w:val="0"/>
        <w:rPr>
          <w:rFonts w:hint="eastAsia" w:ascii="仿宋" w:hAnsi="仿宋" w:eastAsia="仿宋" w:cs="仿宋"/>
          <w:b/>
          <w:color w:val="auto"/>
          <w:sz w:val="24"/>
          <w:highlight w:val="none"/>
          <w:lang w:val="en-US" w:eastAsia="zh-CN"/>
        </w:rPr>
      </w:pPr>
      <w:r>
        <w:rPr>
          <w:rFonts w:hint="eastAsia" w:ascii="仿宋" w:hAnsi="仿宋" w:eastAsia="仿宋" w:cs="仿宋"/>
          <w:b/>
          <w:bCs/>
          <w:color w:val="auto"/>
          <w:kern w:val="44"/>
          <w:sz w:val="24"/>
          <w:szCs w:val="24"/>
          <w:highlight w:val="none"/>
          <w:lang w:val="en-US" w:eastAsia="zh-CN" w:bidi="ar-SA"/>
        </w:rPr>
        <w:t>十八、</w:t>
      </w:r>
      <w:r>
        <w:rPr>
          <w:rFonts w:hint="eastAsia" w:ascii="仿宋" w:hAnsi="仿宋" w:eastAsia="仿宋" w:cs="仿宋"/>
          <w:b/>
          <w:color w:val="auto"/>
          <w:sz w:val="24"/>
          <w:highlight w:val="none"/>
          <w:lang w:val="en-US" w:eastAsia="zh-CN"/>
        </w:rPr>
        <w:t>不可抗力事件处理</w:t>
      </w:r>
    </w:p>
    <w:p w14:paraId="20907404">
      <w:pPr>
        <w:keepNext w:val="0"/>
        <w:keepLines w:val="0"/>
        <w:pageBreakBefore w:val="0"/>
        <w:kinsoku/>
        <w:wordWrap/>
        <w:overflowPunct/>
        <w:topLinePunct w:val="0"/>
        <w:autoSpaceDE/>
        <w:autoSpaceDN/>
        <w:bidi w:val="0"/>
        <w:snapToGrid/>
        <w:spacing w:line="360" w:lineRule="auto"/>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18.</w:t>
      </w:r>
      <w:r>
        <w:rPr>
          <w:rFonts w:hint="eastAsia" w:ascii="仿宋" w:hAnsi="仿宋" w:eastAsia="仿宋" w:cs="仿宋"/>
          <w:color w:val="auto"/>
          <w:sz w:val="24"/>
          <w:highlight w:val="none"/>
        </w:rPr>
        <w:t>1在合同有效期内，任何一方因不可抗力事件导致不能履行合同，则合同履行期可延长，其延长期与不可抗力影响期相同。</w:t>
      </w:r>
    </w:p>
    <w:p w14:paraId="18C41F7D">
      <w:pPr>
        <w:keepNext w:val="0"/>
        <w:keepLines w:val="0"/>
        <w:pageBreakBefore w:val="0"/>
        <w:kinsoku/>
        <w:wordWrap/>
        <w:overflowPunct/>
        <w:topLinePunct w:val="0"/>
        <w:autoSpaceDE/>
        <w:autoSpaceDN/>
        <w:bidi w:val="0"/>
        <w:snapToGrid/>
        <w:spacing w:line="360" w:lineRule="auto"/>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18.</w:t>
      </w:r>
      <w:r>
        <w:rPr>
          <w:rFonts w:hint="eastAsia" w:ascii="仿宋" w:hAnsi="仿宋" w:eastAsia="仿宋" w:cs="仿宋"/>
          <w:color w:val="auto"/>
          <w:sz w:val="24"/>
          <w:highlight w:val="none"/>
        </w:rPr>
        <w:t>2不可抗力事件发生后，应立即通知对方，并寄送有关权威机构出具的证明。</w:t>
      </w:r>
    </w:p>
    <w:p w14:paraId="5EA37204">
      <w:pPr>
        <w:keepNext w:val="0"/>
        <w:keepLines w:val="0"/>
        <w:pageBreakBefore w:val="0"/>
        <w:kinsoku/>
        <w:wordWrap/>
        <w:overflowPunct/>
        <w:topLinePunct w:val="0"/>
        <w:autoSpaceDE/>
        <w:autoSpaceDN/>
        <w:bidi w:val="0"/>
        <w:snapToGrid/>
        <w:spacing w:line="360" w:lineRule="auto"/>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18.</w:t>
      </w:r>
      <w:r>
        <w:rPr>
          <w:rFonts w:hint="eastAsia" w:ascii="仿宋" w:hAnsi="仿宋" w:eastAsia="仿宋" w:cs="仿宋"/>
          <w:color w:val="auto"/>
          <w:sz w:val="24"/>
          <w:highlight w:val="none"/>
        </w:rPr>
        <w:t>3不可抗力事件延续30天以上，双方应通过友好协商，确定是否继续履行合同。</w:t>
      </w:r>
    </w:p>
    <w:p w14:paraId="7A938081">
      <w:pPr>
        <w:keepNext w:val="0"/>
        <w:keepLines w:val="0"/>
        <w:pageBreakBefore w:val="0"/>
        <w:kinsoku/>
        <w:wordWrap/>
        <w:overflowPunct/>
        <w:topLinePunct w:val="0"/>
        <w:bidi w:val="0"/>
        <w:snapToGrid/>
        <w:spacing w:line="360" w:lineRule="auto"/>
        <w:ind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bCs/>
          <w:color w:val="auto"/>
          <w:kern w:val="44"/>
          <w:sz w:val="24"/>
          <w:szCs w:val="24"/>
          <w:highlight w:val="none"/>
          <w:lang w:val="en-US" w:eastAsia="zh-CN" w:bidi="ar-SA"/>
        </w:rPr>
        <w:t>十九、</w:t>
      </w:r>
      <w:r>
        <w:rPr>
          <w:rFonts w:hint="eastAsia" w:ascii="仿宋" w:hAnsi="仿宋" w:eastAsia="仿宋" w:cs="仿宋"/>
          <w:b/>
          <w:color w:val="auto"/>
          <w:sz w:val="24"/>
          <w:highlight w:val="none"/>
        </w:rPr>
        <w:t>合同</w:t>
      </w:r>
      <w:r>
        <w:rPr>
          <w:rFonts w:hint="eastAsia" w:ascii="仿宋" w:hAnsi="仿宋" w:eastAsia="仿宋" w:cs="仿宋"/>
          <w:b/>
          <w:bCs/>
          <w:color w:val="auto"/>
          <w:kern w:val="44"/>
          <w:sz w:val="24"/>
          <w:szCs w:val="24"/>
          <w:highlight w:val="none"/>
          <w:lang w:val="en-US" w:eastAsia="zh-CN" w:bidi="ar-SA"/>
        </w:rPr>
        <w:t>转包或分包</w:t>
      </w:r>
    </w:p>
    <w:p w14:paraId="2B862EF5">
      <w:pPr>
        <w:keepNext w:val="0"/>
        <w:keepLines w:val="0"/>
        <w:pageBreakBefore w:val="0"/>
        <w:kinsoku/>
        <w:wordWrap/>
        <w:overflowPunct/>
        <w:topLinePunct w:val="0"/>
        <w:bidi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合同的权利义务依法不得转</w:t>
      </w:r>
      <w:r>
        <w:rPr>
          <w:rFonts w:hint="eastAsia" w:ascii="仿宋" w:hAnsi="仿宋" w:eastAsia="仿宋" w:cs="仿宋"/>
          <w:color w:val="auto"/>
          <w:sz w:val="24"/>
          <w:highlight w:val="none"/>
          <w:lang w:val="en-US" w:eastAsia="zh-CN"/>
        </w:rPr>
        <w:t>包</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分包</w:t>
      </w:r>
      <w:r>
        <w:rPr>
          <w:rFonts w:hint="eastAsia" w:ascii="仿宋" w:hAnsi="仿宋" w:eastAsia="仿宋" w:cs="仿宋"/>
          <w:color w:val="auto"/>
          <w:sz w:val="24"/>
          <w:highlight w:val="none"/>
        </w:rPr>
        <w:t>。</w:t>
      </w:r>
    </w:p>
    <w:p w14:paraId="0DA3B1E4">
      <w:pPr>
        <w:keepNext/>
        <w:keepLines/>
        <w:widowControl w:val="0"/>
        <w:spacing w:line="360" w:lineRule="auto"/>
        <w:ind w:firstLine="484" w:firstLineChars="201"/>
        <w:jc w:val="both"/>
        <w:outlineLvl w:val="0"/>
        <w:rPr>
          <w:rFonts w:hint="eastAsia" w:ascii="仿宋" w:hAnsi="仿宋" w:eastAsia="仿宋" w:cs="仿宋"/>
          <w:b/>
          <w:bCs/>
          <w:color w:val="auto"/>
          <w:kern w:val="44"/>
          <w:sz w:val="24"/>
          <w:szCs w:val="24"/>
          <w:highlight w:val="none"/>
          <w:lang w:val="en-US" w:eastAsia="zh-CN" w:bidi="ar-SA"/>
        </w:rPr>
      </w:pPr>
      <w:r>
        <w:rPr>
          <w:rFonts w:hint="eastAsia" w:ascii="仿宋" w:hAnsi="仿宋" w:eastAsia="仿宋" w:cs="仿宋"/>
          <w:b/>
          <w:bCs/>
          <w:color w:val="auto"/>
          <w:kern w:val="44"/>
          <w:sz w:val="24"/>
          <w:szCs w:val="24"/>
          <w:highlight w:val="none"/>
          <w:lang w:val="en-US" w:eastAsia="zh-CN" w:bidi="ar-SA"/>
        </w:rPr>
        <w:t>二十、约谈</w:t>
      </w:r>
    </w:p>
    <w:p w14:paraId="46CE613A">
      <w:pPr>
        <w:adjustRightInd/>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一旦出现以下情形的，甲方除根据本合同约定的</w:t>
      </w:r>
      <w:r>
        <w:rPr>
          <w:rFonts w:hint="eastAsia" w:ascii="仿宋" w:hAnsi="仿宋" w:eastAsia="仿宋" w:cs="仿宋"/>
          <w:b/>
          <w:bCs/>
          <w:color w:val="auto"/>
          <w:sz w:val="24"/>
          <w:szCs w:val="24"/>
          <w:highlight w:val="none"/>
        </w:rPr>
        <w:t>监督考核</w:t>
      </w:r>
      <w:r>
        <w:rPr>
          <w:rFonts w:hint="eastAsia" w:ascii="仿宋" w:hAnsi="仿宋" w:eastAsia="仿宋" w:cs="仿宋"/>
          <w:color w:val="auto"/>
          <w:sz w:val="24"/>
          <w:szCs w:val="24"/>
          <w:highlight w:val="none"/>
        </w:rPr>
        <w:t>对乙方进行相关处罚外，还将视情形召集乙方相关负责人现场约谈。</w:t>
      </w:r>
    </w:p>
    <w:p w14:paraId="4443B827">
      <w:pPr>
        <w:adjustRightInd/>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1.发生重大安全生产事故但未造成重大人员伤亡或财产损失；</w:t>
      </w:r>
    </w:p>
    <w:p w14:paraId="3365CBD3">
      <w:pPr>
        <w:adjustRightInd/>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2.无法对发现问题及时分析、协助制定应急方案和修复计划；</w:t>
      </w:r>
    </w:p>
    <w:p w14:paraId="70EFD4FD">
      <w:pPr>
        <w:adjustRightInd/>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3.对在水利工程管理范围进行堆放物料、倾倒垃圾、爆破、打井、采石、取土等影响工程运行和危害工程安全的行为，未及时发现、制止并通知甲方；</w:t>
      </w:r>
    </w:p>
    <w:p w14:paraId="7E168A8B">
      <w:pPr>
        <w:adjustRightInd/>
        <w:spacing w:line="360" w:lineRule="auto"/>
        <w:ind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4.对在水利工程保护范围内进行爆破、打井、采石、取土、挖砂、开矿等影响水利工程运行和危害水利工程安全的活动，未及时发现、制止并通知甲方；</w:t>
      </w:r>
    </w:p>
    <w:p w14:paraId="3057B31F">
      <w:pPr>
        <w:adjustRightInd/>
        <w:spacing w:line="360" w:lineRule="auto"/>
        <w:ind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5.任何设备软件装入及接入系统前未经甲方审核批准；</w:t>
      </w:r>
    </w:p>
    <w:p w14:paraId="0D248BAD">
      <w:pPr>
        <w:adjustRightInd/>
        <w:spacing w:line="360" w:lineRule="auto"/>
        <w:ind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6.合同所列所有人员未按应急响应任务要求时间，延时到岗超过30分钟；</w:t>
      </w:r>
    </w:p>
    <w:p w14:paraId="61BEDD32">
      <w:pPr>
        <w:adjustRightInd/>
        <w:spacing w:line="360" w:lineRule="auto"/>
        <w:ind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7.未根据放水预警方案及时预警；</w:t>
      </w:r>
    </w:p>
    <w:p w14:paraId="0B4464E0">
      <w:pPr>
        <w:adjustRightInd/>
        <w:spacing w:line="360" w:lineRule="auto"/>
        <w:ind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8.水闸、泵站接受指令后，非不可抗拒因素造成未及时启与闭，延时超过30分钟；</w:t>
      </w:r>
    </w:p>
    <w:p w14:paraId="1A915538">
      <w:pPr>
        <w:adjustRightInd/>
        <w:spacing w:line="360" w:lineRule="auto"/>
        <w:ind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9.需持证上岗的人员无证操作；</w:t>
      </w:r>
    </w:p>
    <w:p w14:paraId="717D2800">
      <w:pPr>
        <w:adjustRightInd/>
        <w:spacing w:line="360" w:lineRule="auto"/>
        <w:ind w:firstLine="484" w:firstLineChars="202"/>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10.其他甲方认为非常必要约谈的情形。</w:t>
      </w:r>
    </w:p>
    <w:p w14:paraId="12C365D9">
      <w:pPr>
        <w:keepNext w:val="0"/>
        <w:keepLines w:val="0"/>
        <w:pageBreakBefore w:val="0"/>
        <w:kinsoku/>
        <w:wordWrap/>
        <w:overflowPunct/>
        <w:topLinePunct w:val="0"/>
        <w:autoSpaceDE/>
        <w:autoSpaceDN/>
        <w:bidi w:val="0"/>
        <w:snapToGrid/>
        <w:spacing w:line="360" w:lineRule="auto"/>
        <w:ind w:left="0" w:leftChars="0" w:right="0" w:righ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bCs/>
          <w:color w:val="auto"/>
          <w:kern w:val="44"/>
          <w:sz w:val="24"/>
          <w:szCs w:val="24"/>
          <w:highlight w:val="none"/>
          <w:lang w:val="en-US" w:eastAsia="zh-CN" w:bidi="ar-SA"/>
        </w:rPr>
        <w:t>二十一、</w:t>
      </w:r>
      <w:r>
        <w:rPr>
          <w:rFonts w:hint="eastAsia" w:ascii="仿宋" w:hAnsi="仿宋" w:eastAsia="仿宋" w:cs="仿宋"/>
          <w:b/>
          <w:color w:val="auto"/>
          <w:sz w:val="24"/>
          <w:highlight w:val="none"/>
          <w:lang w:val="en-US" w:eastAsia="zh-CN"/>
        </w:rPr>
        <w:t>合同生效及其他</w:t>
      </w:r>
    </w:p>
    <w:p w14:paraId="440792B1">
      <w:pPr>
        <w:keepNext w:val="0"/>
        <w:keepLines w:val="0"/>
        <w:pageBreakBefore w:val="0"/>
        <w:kinsoku/>
        <w:wordWrap/>
        <w:overflowPunct/>
        <w:topLinePunct w:val="0"/>
        <w:autoSpaceDE/>
        <w:autoSpaceDN/>
        <w:bidi w:val="0"/>
        <w:snapToGrid/>
        <w:spacing w:line="360" w:lineRule="auto"/>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21.1</w:t>
      </w:r>
      <w:r>
        <w:rPr>
          <w:rFonts w:hint="eastAsia" w:ascii="仿宋" w:hAnsi="仿宋" w:eastAsia="仿宋" w:cs="仿宋"/>
          <w:color w:val="auto"/>
          <w:sz w:val="24"/>
          <w:highlight w:val="none"/>
        </w:rPr>
        <w:t>本合同自双方当事人盖章签字时生效。</w:t>
      </w:r>
    </w:p>
    <w:p w14:paraId="3DE37108">
      <w:pPr>
        <w:keepNext w:val="0"/>
        <w:keepLines w:val="0"/>
        <w:pageBreakBefore w:val="0"/>
        <w:kinsoku/>
        <w:wordWrap/>
        <w:overflowPunct/>
        <w:topLinePunct w:val="0"/>
        <w:autoSpaceDE/>
        <w:autoSpaceDN/>
        <w:bidi w:val="0"/>
        <w:snapToGrid/>
        <w:spacing w:line="360" w:lineRule="auto"/>
        <w:ind w:left="0" w:leftChars="0" w:right="0" w:righ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21.2本合同未尽事宜，遵照《民法典》有关条文执行。</w:t>
      </w:r>
    </w:p>
    <w:p w14:paraId="24DF9859">
      <w:pPr>
        <w:keepNext w:val="0"/>
        <w:keepLines w:val="0"/>
        <w:pageBreakBefore w:val="0"/>
        <w:kinsoku/>
        <w:wordWrap/>
        <w:overflowPunct/>
        <w:topLinePunct w:val="0"/>
        <w:autoSpaceDE/>
        <w:autoSpaceDN/>
        <w:bidi w:val="0"/>
        <w:snapToGrid/>
        <w:spacing w:line="360" w:lineRule="auto"/>
        <w:ind w:left="0" w:leftChars="0" w:right="0" w:rightChars="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21.3本合同一式伍份，甲乙双方各执贰份，代理机构备案壹份。</w:t>
      </w:r>
    </w:p>
    <w:bookmarkEnd w:id="98"/>
    <w:bookmarkEnd w:id="99"/>
    <w:bookmarkEnd w:id="100"/>
    <w:bookmarkEnd w:id="101"/>
    <w:bookmarkEnd w:id="102"/>
    <w:p w14:paraId="63D2C442">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b/>
          <w:color w:val="auto"/>
          <w:sz w:val="24"/>
          <w:highlight w:val="none"/>
          <w:lang w:val="zh-CN"/>
        </w:rPr>
      </w:pPr>
    </w:p>
    <w:p w14:paraId="199E5B5B">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b/>
          <w:color w:val="auto"/>
          <w:sz w:val="24"/>
          <w:highlight w:val="none"/>
          <w:lang w:val="en-US" w:eastAsia="zh-CN"/>
        </w:rPr>
        <w:t>盖章</w:t>
      </w:r>
      <w:r>
        <w:rPr>
          <w:rFonts w:hint="eastAsia" w:ascii="仿宋" w:hAnsi="仿宋" w:eastAsia="仿宋" w:cs="仿宋"/>
          <w:b/>
          <w:color w:val="auto"/>
          <w:sz w:val="24"/>
          <w:highlight w:val="none"/>
          <w:lang w:val="zh-CN"/>
        </w:rPr>
        <w:t>）</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乙方（</w:t>
      </w:r>
      <w:r>
        <w:rPr>
          <w:rFonts w:hint="eastAsia" w:ascii="仿宋" w:hAnsi="仿宋" w:eastAsia="仿宋" w:cs="仿宋"/>
          <w:b/>
          <w:color w:val="auto"/>
          <w:sz w:val="24"/>
          <w:highlight w:val="none"/>
          <w:lang w:val="en-US" w:eastAsia="zh-CN"/>
        </w:rPr>
        <w:t>盖章</w:t>
      </w:r>
      <w:r>
        <w:rPr>
          <w:rFonts w:hint="eastAsia" w:ascii="仿宋" w:hAnsi="仿宋" w:eastAsia="仿宋" w:cs="仿宋"/>
          <w:b/>
          <w:color w:val="auto"/>
          <w:sz w:val="24"/>
          <w:highlight w:val="none"/>
          <w:lang w:val="zh-CN"/>
        </w:rPr>
        <w:t>）</w:t>
      </w:r>
      <w:r>
        <w:rPr>
          <w:rFonts w:hint="eastAsia" w:ascii="仿宋" w:hAnsi="仿宋" w:eastAsia="仿宋" w:cs="仿宋"/>
          <w:color w:val="auto"/>
          <w:sz w:val="24"/>
          <w:highlight w:val="none"/>
          <w:lang w:val="zh-CN"/>
        </w:rPr>
        <w:t>：</w:t>
      </w:r>
    </w:p>
    <w:p w14:paraId="54E162A6">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法定代表人或</w:t>
      </w:r>
    </w:p>
    <w:p w14:paraId="5DE7D894">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授权代表（签字）: </w:t>
      </w:r>
    </w:p>
    <w:p w14:paraId="0465A22F">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14:paraId="5D0920D8">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14:paraId="7E2435FA">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14:paraId="677CBA03">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14:paraId="34C27C4C">
      <w:pPr>
        <w:widowControl/>
        <w:adjustRightInd/>
        <w:jc w:val="left"/>
        <w:rPr>
          <w:rFonts w:hint="eastAsia" w:ascii="仿宋" w:hAnsi="仿宋" w:eastAsia="仿宋" w:cs="仿宋"/>
          <w:b/>
          <w:color w:val="auto"/>
          <w:sz w:val="24"/>
          <w:highlight w:val="none"/>
        </w:rPr>
      </w:pPr>
      <w:r>
        <w:rPr>
          <w:rFonts w:hint="eastAsia" w:ascii="仿宋" w:hAnsi="仿宋" w:eastAsia="仿宋" w:cs="仿宋"/>
          <w:b/>
          <w:color w:val="auto"/>
          <w:highlight w:val="none"/>
        </w:rPr>
        <w:br w:type="page"/>
      </w:r>
    </w:p>
    <w:p w14:paraId="228EE743">
      <w:pPr>
        <w:widowControl/>
        <w:adjustRightInd/>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71"/>
      <w:r>
        <w:rPr>
          <w:rFonts w:hint="eastAsia" w:ascii="仿宋" w:hAnsi="仿宋" w:eastAsia="仿宋" w:cs="仿宋"/>
          <w:b/>
          <w:color w:val="auto"/>
          <w:sz w:val="36"/>
          <w:szCs w:val="20"/>
          <w:highlight w:val="none"/>
        </w:rPr>
        <w:t xml:space="preserve"> </w:t>
      </w:r>
      <w:bookmarkEnd w:id="72"/>
      <w:r>
        <w:rPr>
          <w:rFonts w:hint="eastAsia" w:ascii="仿宋" w:hAnsi="仿宋" w:eastAsia="仿宋" w:cs="仿宋"/>
          <w:b/>
          <w:color w:val="auto"/>
          <w:sz w:val="36"/>
          <w:szCs w:val="20"/>
          <w:highlight w:val="none"/>
        </w:rPr>
        <w:t>投标文件及其附件格式</w:t>
      </w:r>
    </w:p>
    <w:p w14:paraId="3B47CB2F">
      <w:pPr>
        <w:spacing w:line="360" w:lineRule="auto"/>
        <w:jc w:val="center"/>
        <w:outlineLvl w:val="0"/>
        <w:rPr>
          <w:rFonts w:hint="eastAsia" w:ascii="仿宋" w:hAnsi="仿宋" w:eastAsia="仿宋" w:cs="仿宋"/>
          <w:b/>
          <w:color w:val="auto"/>
          <w:kern w:val="0"/>
          <w:sz w:val="36"/>
          <w:szCs w:val="36"/>
          <w:highlight w:val="none"/>
        </w:rPr>
      </w:pPr>
    </w:p>
    <w:p w14:paraId="31D49A97">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0AE19A65">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1B187DD7">
      <w:pPr>
        <w:spacing w:line="360" w:lineRule="auto"/>
        <w:jc w:val="center"/>
        <w:outlineLvl w:val="0"/>
        <w:rPr>
          <w:rFonts w:hint="eastAsia" w:ascii="仿宋" w:hAnsi="仿宋" w:eastAsia="仿宋" w:cs="仿宋"/>
          <w:b/>
          <w:color w:val="auto"/>
          <w:kern w:val="0"/>
          <w:sz w:val="36"/>
          <w:szCs w:val="36"/>
          <w:highlight w:val="none"/>
        </w:rPr>
      </w:pPr>
    </w:p>
    <w:p w14:paraId="0BCF206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eastAsia="zh-CN"/>
        </w:rPr>
        <w:t>营业执照(或事业</w:t>
      </w:r>
      <w:r>
        <w:rPr>
          <w:rFonts w:hint="eastAsia" w:ascii="仿宋" w:hAnsi="仿宋" w:eastAsia="仿宋" w:cs="仿宋"/>
          <w:color w:val="auto"/>
          <w:sz w:val="24"/>
          <w:highlight w:val="none"/>
          <w:lang w:val="en-US" w:eastAsia="zh-CN"/>
        </w:rPr>
        <w:t>单位</w:t>
      </w:r>
      <w:r>
        <w:rPr>
          <w:rFonts w:hint="eastAsia" w:ascii="仿宋" w:hAnsi="仿宋" w:eastAsia="仿宋" w:cs="仿宋"/>
          <w:color w:val="auto"/>
          <w:sz w:val="24"/>
          <w:highlight w:val="none"/>
          <w:lang w:eastAsia="zh-CN"/>
        </w:rPr>
        <w:t>法人证书或其它工商等登记证明材料；自然人参与采购，提供身份证</w:t>
      </w:r>
      <w:r>
        <w:rPr>
          <w:rFonts w:hint="eastAsia" w:ascii="仿宋" w:hAnsi="仿宋" w:eastAsia="仿宋" w:cs="仿宋"/>
          <w:color w:val="auto"/>
          <w:sz w:val="24"/>
          <w:highlight w:val="none"/>
          <w:lang w:val="en-US" w:eastAsia="zh-CN"/>
        </w:rPr>
        <w:t>正反面</w:t>
      </w:r>
      <w:r>
        <w:rPr>
          <w:rFonts w:hint="eastAsia" w:ascii="仿宋" w:hAnsi="仿宋" w:eastAsia="仿宋" w:cs="仿宋"/>
          <w:color w:val="auto"/>
          <w:sz w:val="24"/>
          <w:highlight w:val="none"/>
          <w:lang w:eastAsia="zh-CN"/>
        </w:rPr>
        <w:t>)扫描件</w:t>
      </w:r>
      <w:r>
        <w:rPr>
          <w:rFonts w:hint="eastAsia" w:ascii="仿宋" w:hAnsi="仿宋" w:eastAsia="仿宋" w:cs="仿宋"/>
          <w:color w:val="auto"/>
          <w:sz w:val="24"/>
          <w:highlight w:val="none"/>
        </w:rPr>
        <w:t>………………………………………………………………（页码）</w:t>
      </w:r>
    </w:p>
    <w:p w14:paraId="2D3C583F">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w:t>
      </w:r>
      <w:r>
        <w:rPr>
          <w:rFonts w:hint="eastAsia" w:ascii="仿宋" w:hAnsi="仿宋" w:eastAsia="仿宋" w:cs="仿宋"/>
          <w:color w:val="auto"/>
          <w:sz w:val="24"/>
          <w:highlight w:val="none"/>
          <w:lang w:val="en-US" w:eastAsia="zh-CN"/>
        </w:rPr>
        <w:t>法定代表人身份证明书</w:t>
      </w:r>
      <w:r>
        <w:rPr>
          <w:rFonts w:hint="eastAsia" w:ascii="仿宋" w:hAnsi="仿宋" w:eastAsia="仿宋" w:cs="仿宋"/>
          <w:color w:val="auto"/>
          <w:sz w:val="24"/>
          <w:highlight w:val="none"/>
        </w:rPr>
        <w:t>…………………………………………………………（页码）</w:t>
      </w:r>
    </w:p>
    <w:p w14:paraId="7BE20216">
      <w:pPr>
        <w:pStyle w:val="2"/>
        <w:rPr>
          <w:rFonts w:hint="eastAsia" w:ascii="仿宋" w:hAnsi="仿宋" w:eastAsia="仿宋" w:cs="仿宋"/>
          <w:color w:val="auto"/>
          <w:highlight w:val="none"/>
          <w:lang w:eastAsia="zh-CN"/>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法定代表人授权委托书及授权代表社保证明（若委托）</w:t>
      </w:r>
      <w:r>
        <w:rPr>
          <w:rFonts w:hint="eastAsia" w:ascii="仿宋" w:hAnsi="仿宋" w:eastAsia="仿宋" w:cs="仿宋"/>
          <w:color w:val="auto"/>
          <w:sz w:val="24"/>
          <w:highlight w:val="none"/>
        </w:rPr>
        <w:t>……………………（页码）</w:t>
      </w:r>
    </w:p>
    <w:p w14:paraId="1807ABA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法定代表人及其授权代表身份证复印件（正反面）</w:t>
      </w:r>
      <w:r>
        <w:rPr>
          <w:rFonts w:hint="eastAsia" w:ascii="仿宋" w:hAnsi="仿宋" w:eastAsia="仿宋" w:cs="仿宋"/>
          <w:color w:val="auto"/>
          <w:sz w:val="24"/>
          <w:highlight w:val="none"/>
        </w:rPr>
        <w:t>…………………………（页码）</w:t>
      </w:r>
    </w:p>
    <w:p w14:paraId="2F5EFF9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符合参加政府采购活动应当具备的一般条件的承诺函</w:t>
      </w:r>
      <w:r>
        <w:rPr>
          <w:rFonts w:hint="eastAsia" w:ascii="仿宋" w:hAnsi="仿宋" w:eastAsia="仿宋" w:cs="仿宋"/>
          <w:color w:val="auto"/>
          <w:sz w:val="24"/>
          <w:highlight w:val="none"/>
        </w:rPr>
        <w:t>………………………（页码）</w:t>
      </w:r>
    </w:p>
    <w:p w14:paraId="1ADC9FE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中小企业声明函（或监狱企业声明函及其相关的充分的证明材料或残疾人福利性单位声明函）</w:t>
      </w:r>
      <w:r>
        <w:rPr>
          <w:rFonts w:hint="eastAsia" w:ascii="仿宋" w:hAnsi="仿宋" w:eastAsia="仿宋" w:cs="仿宋"/>
          <w:color w:val="auto"/>
          <w:sz w:val="24"/>
          <w:highlight w:val="none"/>
        </w:rPr>
        <w:t>……………………………………………………………………………（页码）</w:t>
      </w:r>
    </w:p>
    <w:p w14:paraId="758665F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本项目的特定资格要求（如果有)………………………………………………（页码）</w:t>
      </w:r>
    </w:p>
    <w:p w14:paraId="0AFDD967">
      <w:pPr>
        <w:snapToGrid w:val="0"/>
        <w:spacing w:line="360" w:lineRule="auto"/>
        <w:ind w:firstLine="480" w:firstLineChars="200"/>
        <w:rPr>
          <w:rFonts w:hint="eastAsia" w:ascii="仿宋" w:hAnsi="仿宋" w:eastAsia="仿宋" w:cs="仿宋"/>
          <w:color w:val="auto"/>
          <w:sz w:val="24"/>
          <w:highlight w:val="none"/>
        </w:rPr>
      </w:pPr>
    </w:p>
    <w:p w14:paraId="75CF0EB3">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注：在电子投标文件解密后，结合单位实际情况将《</w:t>
      </w:r>
      <w:r>
        <w:rPr>
          <w:rFonts w:hint="eastAsia" w:ascii="仿宋" w:hAnsi="仿宋" w:eastAsia="仿宋" w:cs="仿宋"/>
          <w:color w:val="auto"/>
          <w:sz w:val="24"/>
          <w:highlight w:val="none"/>
          <w:lang w:eastAsia="zh-CN"/>
        </w:rPr>
        <w:t>政府采购活动现场确认声明书</w:t>
      </w:r>
      <w:r>
        <w:rPr>
          <w:rFonts w:hint="eastAsia" w:ascii="仿宋" w:hAnsi="仿宋" w:eastAsia="仿宋" w:cs="仿宋"/>
          <w:color w:val="auto"/>
          <w:sz w:val="24"/>
          <w:highlight w:val="none"/>
        </w:rPr>
        <w:t>》填写完成，以PDF格式通过邮箱1132452991@qq.com传给代理机构</w:t>
      </w:r>
      <w:r>
        <w:rPr>
          <w:rFonts w:hint="eastAsia" w:ascii="仿宋" w:hAnsi="仿宋" w:eastAsia="仿宋" w:cs="仿宋"/>
          <w:color w:val="auto"/>
          <w:sz w:val="24"/>
          <w:highlight w:val="none"/>
          <w:lang w:eastAsia="zh-CN"/>
        </w:rPr>
        <w:t>。</w:t>
      </w:r>
    </w:p>
    <w:p w14:paraId="5D78EAC8">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lang w:val="en-US" w:eastAsia="zh-CN"/>
        </w:rPr>
        <w:t>一、营业执照(或事业单位法人证书或其它工商等登记证明材料；自然人参与采购，提供身份证正反面)扫描件</w:t>
      </w:r>
    </w:p>
    <w:p w14:paraId="5BB5EB8B">
      <w:pPr>
        <w:snapToGrid w:val="0"/>
        <w:spacing w:line="360" w:lineRule="auto"/>
        <w:ind w:right="480"/>
        <w:jc w:val="center"/>
        <w:rPr>
          <w:rFonts w:hint="eastAsia" w:ascii="仿宋" w:hAnsi="仿宋" w:eastAsia="仿宋" w:cs="仿宋"/>
          <w:b/>
          <w:color w:val="auto"/>
          <w:kern w:val="0"/>
          <w:sz w:val="32"/>
          <w:szCs w:val="32"/>
          <w:highlight w:val="none"/>
        </w:rPr>
      </w:pPr>
    </w:p>
    <w:p w14:paraId="154FB149">
      <w:pPr>
        <w:snapToGrid w:val="0"/>
        <w:spacing w:line="360" w:lineRule="auto"/>
        <w:ind w:right="480"/>
        <w:jc w:val="center"/>
        <w:rPr>
          <w:rFonts w:hint="eastAsia" w:ascii="仿宋" w:hAnsi="仿宋" w:eastAsia="仿宋" w:cs="仿宋"/>
          <w:b/>
          <w:color w:val="auto"/>
          <w:kern w:val="0"/>
          <w:sz w:val="32"/>
          <w:szCs w:val="32"/>
          <w:highlight w:val="none"/>
        </w:rPr>
      </w:pPr>
    </w:p>
    <w:p w14:paraId="5C2B8B59">
      <w:pPr>
        <w:snapToGrid w:val="0"/>
        <w:spacing w:line="360" w:lineRule="auto"/>
        <w:ind w:right="480"/>
        <w:jc w:val="center"/>
        <w:rPr>
          <w:rFonts w:hint="eastAsia" w:ascii="仿宋" w:hAnsi="仿宋" w:eastAsia="仿宋" w:cs="仿宋"/>
          <w:b/>
          <w:color w:val="auto"/>
          <w:kern w:val="0"/>
          <w:sz w:val="32"/>
          <w:szCs w:val="32"/>
          <w:highlight w:val="none"/>
          <w:lang w:val="en-US" w:eastAsia="zh-CN"/>
        </w:rPr>
      </w:pPr>
    </w:p>
    <w:p w14:paraId="3C77C6E5">
      <w:pPr>
        <w:snapToGrid w:val="0"/>
        <w:spacing w:line="360" w:lineRule="auto"/>
        <w:ind w:right="480"/>
        <w:jc w:val="center"/>
        <w:rPr>
          <w:rFonts w:hint="eastAsia" w:ascii="仿宋" w:hAnsi="仿宋" w:eastAsia="仿宋" w:cs="仿宋"/>
          <w:b/>
          <w:color w:val="auto"/>
          <w:kern w:val="0"/>
          <w:sz w:val="32"/>
          <w:szCs w:val="32"/>
          <w:highlight w:val="none"/>
          <w:lang w:val="en-US" w:eastAsia="zh-CN"/>
        </w:rPr>
      </w:pPr>
    </w:p>
    <w:p w14:paraId="65EAD9A8">
      <w:pPr>
        <w:snapToGrid w:val="0"/>
        <w:spacing w:line="360" w:lineRule="auto"/>
        <w:ind w:right="480"/>
        <w:jc w:val="center"/>
        <w:rPr>
          <w:rFonts w:hint="eastAsia" w:ascii="仿宋" w:hAnsi="仿宋" w:eastAsia="仿宋" w:cs="仿宋"/>
          <w:b/>
          <w:color w:val="auto"/>
          <w:kern w:val="0"/>
          <w:sz w:val="32"/>
          <w:szCs w:val="32"/>
          <w:highlight w:val="none"/>
          <w:lang w:val="en-US" w:eastAsia="zh-CN"/>
        </w:rPr>
      </w:pPr>
    </w:p>
    <w:p w14:paraId="4E9EFEE5">
      <w:pPr>
        <w:snapToGrid w:val="0"/>
        <w:spacing w:line="360" w:lineRule="auto"/>
        <w:ind w:right="480"/>
        <w:jc w:val="center"/>
        <w:rPr>
          <w:rFonts w:hint="eastAsia" w:ascii="仿宋" w:hAnsi="仿宋" w:eastAsia="仿宋" w:cs="仿宋"/>
          <w:b/>
          <w:color w:val="auto"/>
          <w:kern w:val="0"/>
          <w:sz w:val="32"/>
          <w:szCs w:val="32"/>
          <w:highlight w:val="none"/>
          <w:lang w:val="en-US" w:eastAsia="zh-CN"/>
        </w:rPr>
      </w:pPr>
    </w:p>
    <w:p w14:paraId="2844E79A">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二、</w:t>
      </w:r>
      <w:r>
        <w:rPr>
          <w:rFonts w:hint="eastAsia" w:ascii="仿宋" w:hAnsi="仿宋" w:eastAsia="仿宋" w:cs="仿宋"/>
          <w:b/>
          <w:color w:val="auto"/>
          <w:kern w:val="0"/>
          <w:sz w:val="32"/>
          <w:szCs w:val="32"/>
          <w:highlight w:val="none"/>
        </w:rPr>
        <w:t>法定代表人身份证明书</w:t>
      </w:r>
    </w:p>
    <w:p w14:paraId="4F188153">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 标 人：</w:t>
      </w:r>
      <w:r>
        <w:rPr>
          <w:rFonts w:hint="eastAsia" w:ascii="仿宋" w:hAnsi="仿宋" w:eastAsia="仿宋" w:cs="仿宋"/>
          <w:color w:val="auto"/>
          <w:sz w:val="24"/>
          <w:highlight w:val="none"/>
          <w:u w:val="single"/>
        </w:rPr>
        <w:t xml:space="preserve">                          </w:t>
      </w:r>
    </w:p>
    <w:p w14:paraId="72BB4FF8">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14:paraId="4605B536">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姓    名：</w:t>
      </w:r>
      <w:r>
        <w:rPr>
          <w:rFonts w:hint="eastAsia" w:ascii="仿宋" w:hAnsi="仿宋" w:eastAsia="仿宋" w:cs="仿宋"/>
          <w:color w:val="auto"/>
          <w:sz w:val="24"/>
          <w:highlight w:val="none"/>
          <w:u w:val="single"/>
        </w:rPr>
        <w:t xml:space="preserve">                          </w:t>
      </w:r>
    </w:p>
    <w:p w14:paraId="3B2B4B34">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14:paraId="3D5710EA">
      <w:pPr>
        <w:spacing w:line="440" w:lineRule="exact"/>
        <w:ind w:right="281" w:rightChars="134"/>
        <w:rPr>
          <w:rFonts w:hint="eastAsia" w:ascii="仿宋" w:hAnsi="仿宋" w:eastAsia="仿宋" w:cs="仿宋"/>
          <w:color w:val="auto"/>
          <w:sz w:val="24"/>
          <w:highlight w:val="none"/>
        </w:rPr>
      </w:pPr>
      <w:r>
        <w:rPr>
          <w:rFonts w:hint="eastAsia" w:ascii="仿宋" w:hAnsi="仿宋" w:eastAsia="仿宋" w:cs="仿宋"/>
          <w:color w:val="auto"/>
          <w:sz w:val="24"/>
          <w:highlight w:val="none"/>
        </w:rPr>
        <w:t>职   务：</w:t>
      </w:r>
      <w:r>
        <w:rPr>
          <w:rFonts w:hint="eastAsia" w:ascii="仿宋" w:hAnsi="仿宋" w:eastAsia="仿宋" w:cs="仿宋"/>
          <w:color w:val="auto"/>
          <w:sz w:val="24"/>
          <w:highlight w:val="none"/>
          <w:u w:val="single"/>
        </w:rPr>
        <w:t xml:space="preserve">                           </w:t>
      </w:r>
    </w:p>
    <w:p w14:paraId="2A511116">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（填写投标人名称）</w:t>
      </w:r>
      <w:r>
        <w:rPr>
          <w:rFonts w:hint="eastAsia" w:ascii="仿宋" w:hAnsi="仿宋" w:eastAsia="仿宋" w:cs="仿宋"/>
          <w:color w:val="auto"/>
          <w:sz w:val="24"/>
          <w:highlight w:val="none"/>
        </w:rPr>
        <w:t>的法定代表人。</w:t>
      </w:r>
    </w:p>
    <w:p w14:paraId="46BC1CEE">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14:paraId="0F1D61D7">
      <w:pPr>
        <w:spacing w:line="440" w:lineRule="exact"/>
        <w:rPr>
          <w:rFonts w:hint="eastAsia" w:ascii="仿宋" w:hAnsi="仿宋" w:eastAsia="仿宋" w:cs="仿宋"/>
          <w:color w:val="auto"/>
          <w:sz w:val="24"/>
          <w:highlight w:val="none"/>
        </w:rPr>
      </w:pPr>
    </w:p>
    <w:p w14:paraId="33A7C917">
      <w:pPr>
        <w:spacing w:line="440" w:lineRule="exact"/>
        <w:ind w:firstLine="5760" w:firstLineChars="24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sz w:val="24"/>
          <w:highlight w:val="none"/>
          <w:lang w:eastAsia="zh-CN"/>
        </w:rPr>
        <w:t>名称</w:t>
      </w:r>
      <w:r>
        <w:rPr>
          <w:rFonts w:hint="eastAsia" w:ascii="仿宋" w:hAnsi="仿宋" w:eastAsia="仿宋" w:cs="仿宋"/>
          <w:color w:val="auto"/>
          <w:sz w:val="24"/>
          <w:highlight w:val="none"/>
        </w:rPr>
        <w:t>（电子签章）：</w:t>
      </w:r>
    </w:p>
    <w:p w14:paraId="3EE689FF">
      <w:pPr>
        <w:spacing w:line="440" w:lineRule="exact"/>
        <w:ind w:right="480" w:firstLine="5760" w:firstLineChars="24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法定代表人（签字或盖章）：</w:t>
      </w:r>
    </w:p>
    <w:p w14:paraId="7FB47C73">
      <w:pPr>
        <w:spacing w:line="440" w:lineRule="exact"/>
        <w:ind w:right="720" w:firstLine="6720" w:firstLineChars="28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p w14:paraId="5D88ADF3">
      <w:pPr>
        <w:snapToGrid w:val="0"/>
        <w:spacing w:line="360" w:lineRule="auto"/>
        <w:ind w:right="480"/>
        <w:jc w:val="center"/>
        <w:rPr>
          <w:rFonts w:hint="eastAsia" w:ascii="仿宋" w:hAnsi="仿宋" w:eastAsia="仿宋" w:cs="仿宋"/>
          <w:b/>
          <w:color w:val="auto"/>
          <w:kern w:val="0"/>
          <w:sz w:val="32"/>
          <w:szCs w:val="32"/>
          <w:highlight w:val="none"/>
        </w:rPr>
      </w:pPr>
    </w:p>
    <w:p w14:paraId="709B8883">
      <w:pPr>
        <w:snapToGrid w:val="0"/>
        <w:spacing w:line="360" w:lineRule="auto"/>
        <w:ind w:right="480"/>
        <w:jc w:val="center"/>
        <w:rPr>
          <w:rFonts w:hint="eastAsia" w:ascii="仿宋" w:hAnsi="仿宋" w:eastAsia="仿宋" w:cs="仿宋"/>
          <w:b/>
          <w:color w:val="auto"/>
          <w:kern w:val="0"/>
          <w:sz w:val="32"/>
          <w:szCs w:val="32"/>
          <w:highlight w:val="none"/>
          <w:lang w:val="en-US" w:eastAsia="zh-CN"/>
        </w:rPr>
        <w:sectPr>
          <w:headerReference r:id="rId9" w:type="first"/>
          <w:footerReference r:id="rId11" w:type="first"/>
          <w:headerReference r:id="rId8" w:type="default"/>
          <w:footerReference r:id="rId10" w:type="default"/>
          <w:pgSz w:w="11906" w:h="16838"/>
          <w:pgMar w:top="1276" w:right="1418" w:bottom="1247" w:left="1418" w:header="851" w:footer="992" w:gutter="0"/>
          <w:pgNumType w:fmt="decimal"/>
          <w:cols w:space="720" w:num="1"/>
          <w:titlePg/>
          <w:docGrid w:linePitch="312" w:charSpace="0"/>
        </w:sectPr>
      </w:pPr>
    </w:p>
    <w:p w14:paraId="062B7DDD">
      <w:pPr>
        <w:snapToGrid w:val="0"/>
        <w:spacing w:line="360" w:lineRule="auto"/>
        <w:ind w:right="480"/>
        <w:jc w:val="center"/>
        <w:rPr>
          <w:rFonts w:hint="eastAsia" w:ascii="仿宋" w:hAnsi="仿宋" w:eastAsia="仿宋" w:cs="仿宋"/>
          <w:b/>
          <w:color w:val="auto"/>
          <w:kern w:val="0"/>
          <w:sz w:val="32"/>
          <w:szCs w:val="32"/>
          <w:highlight w:val="none"/>
          <w:lang w:val="en-US" w:eastAsia="zh-CN"/>
        </w:rPr>
      </w:pPr>
      <w:r>
        <w:rPr>
          <w:rFonts w:hint="eastAsia" w:ascii="仿宋" w:hAnsi="仿宋" w:eastAsia="仿宋" w:cs="仿宋"/>
          <w:b/>
          <w:color w:val="auto"/>
          <w:kern w:val="0"/>
          <w:sz w:val="32"/>
          <w:szCs w:val="32"/>
          <w:highlight w:val="none"/>
          <w:lang w:val="en-US" w:eastAsia="zh-CN"/>
        </w:rPr>
        <w:t>三、法定代表人授权委托书及授权代表社保证明（若委托）</w:t>
      </w:r>
    </w:p>
    <w:p w14:paraId="4FD14C83">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3DDE95B6">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38815D44">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05AE3E7C">
      <w:pPr>
        <w:snapToGrid w:val="0"/>
        <w:spacing w:line="600" w:lineRule="exact"/>
        <w:jc w:val="left"/>
        <w:rPr>
          <w:rFonts w:hint="eastAsia" w:ascii="仿宋" w:hAnsi="仿宋" w:eastAsia="仿宋" w:cs="仿宋"/>
          <w:color w:val="auto"/>
          <w:sz w:val="24"/>
          <w:highlight w:val="none"/>
        </w:rPr>
      </w:pPr>
    </w:p>
    <w:p w14:paraId="1965E1E5">
      <w:pPr>
        <w:keepNext w:val="0"/>
        <w:keepLines w:val="0"/>
        <w:pageBreakBefore w:val="0"/>
        <w:kinsoku/>
        <w:wordWrap/>
        <w:overflowPunct/>
        <w:topLinePunct w:val="0"/>
        <w:autoSpaceDE/>
        <w:autoSpaceDN/>
        <w:bidi w:val="0"/>
        <w:adjustRightIn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授权代表（签字或盖章）：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性别：               年龄：</w:t>
      </w:r>
    </w:p>
    <w:p w14:paraId="11D71339">
      <w:pPr>
        <w:keepNext w:val="0"/>
        <w:keepLines w:val="0"/>
        <w:pageBreakBefore w:val="0"/>
        <w:kinsoku/>
        <w:wordWrap/>
        <w:overflowPunct/>
        <w:topLinePunct w:val="0"/>
        <w:autoSpaceDE/>
        <w:autoSpaceDN/>
        <w:bidi w:val="0"/>
        <w:adjustRightIn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单位：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部门：               职务：</w:t>
      </w:r>
    </w:p>
    <w:p w14:paraId="578DDAC6">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 xml:space="preserve">办公地址：                  </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rPr>
        <w:t>联系电话：           传真：</w:t>
      </w:r>
    </w:p>
    <w:p w14:paraId="643EAD42">
      <w:pPr>
        <w:keepNext w:val="0"/>
        <w:keepLines w:val="0"/>
        <w:pageBreakBefore w:val="0"/>
        <w:kinsoku/>
        <w:wordWrap/>
        <w:overflowPunct/>
        <w:topLinePunct w:val="0"/>
        <w:autoSpaceDE/>
        <w:autoSpaceDN/>
        <w:bidi w:val="0"/>
        <w:adjustRightIn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kern w:val="0"/>
          <w:sz w:val="24"/>
          <w:highlight w:val="none"/>
          <w:lang w:val="zh-CN"/>
        </w:rPr>
        <w:t>电子签章</w:t>
      </w:r>
      <w:r>
        <w:rPr>
          <w:rFonts w:hint="eastAsia" w:ascii="仿宋" w:hAnsi="仿宋" w:eastAsia="仿宋" w:cs="仿宋"/>
          <w:color w:val="auto"/>
          <w:sz w:val="24"/>
          <w:highlight w:val="none"/>
        </w:rPr>
        <w:t>）：</w:t>
      </w:r>
    </w:p>
    <w:p w14:paraId="34B51135">
      <w:pPr>
        <w:keepNext w:val="0"/>
        <w:keepLines w:val="0"/>
        <w:pageBreakBefore w:val="0"/>
        <w:kinsoku/>
        <w:wordWrap/>
        <w:overflowPunct/>
        <w:topLinePunct w:val="0"/>
        <w:autoSpaceDE/>
        <w:autoSpaceDN/>
        <w:bidi w:val="0"/>
        <w:adjustRightIn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020215B0">
      <w:pPr>
        <w:spacing w:line="360" w:lineRule="exact"/>
        <w:rPr>
          <w:rFonts w:hint="eastAsia" w:ascii="仿宋" w:hAnsi="仿宋" w:eastAsia="仿宋" w:cs="仿宋"/>
          <w:color w:val="auto"/>
          <w:sz w:val="24"/>
          <w:highlight w:val="none"/>
        </w:rPr>
      </w:pPr>
    </w:p>
    <w:p w14:paraId="2F613E68">
      <w:pPr>
        <w:snapToGrid w:val="0"/>
        <w:spacing w:line="360" w:lineRule="auto"/>
        <w:ind w:right="480"/>
        <w:jc w:val="right"/>
        <w:rPr>
          <w:rFonts w:hint="eastAsia" w:ascii="仿宋" w:hAnsi="仿宋" w:eastAsia="仿宋" w:cs="仿宋"/>
          <w:b/>
          <w:color w:val="auto"/>
          <w:kern w:val="0"/>
          <w:sz w:val="32"/>
          <w:szCs w:val="32"/>
          <w:highlight w:val="none"/>
          <w:lang w:val="en-US" w:eastAsia="zh-CN"/>
        </w:rPr>
      </w:pPr>
      <w:r>
        <w:rPr>
          <w:rFonts w:hint="eastAsia" w:ascii="仿宋" w:hAnsi="仿宋" w:eastAsia="仿宋" w:cs="仿宋"/>
          <w:color w:val="auto"/>
          <w:sz w:val="24"/>
          <w:highlight w:val="none"/>
        </w:rPr>
        <w:t>日期：    年   月   日</w:t>
      </w:r>
    </w:p>
    <w:p w14:paraId="5321CC3F">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516CBA63">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0D4A121C">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3FB86118">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3EE257BE">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7B6D59C5">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08039816">
      <w:pPr>
        <w:snapToGrid w:val="0"/>
        <w:spacing w:line="360" w:lineRule="auto"/>
        <w:ind w:right="480"/>
        <w:jc w:val="left"/>
        <w:rPr>
          <w:rFonts w:hint="eastAsia" w:ascii="仿宋" w:hAnsi="仿宋" w:eastAsia="仿宋" w:cs="仿宋"/>
          <w:b/>
          <w:color w:val="auto"/>
          <w:kern w:val="0"/>
          <w:sz w:val="32"/>
          <w:szCs w:val="32"/>
          <w:highlight w:val="none"/>
        </w:rPr>
      </w:pPr>
      <w:r>
        <w:rPr>
          <w:rFonts w:hint="eastAsia" w:ascii="仿宋" w:hAnsi="仿宋" w:eastAsia="仿宋" w:cs="仿宋"/>
          <w:b/>
          <w:bCs w:val="0"/>
          <w:color w:val="auto"/>
          <w:kern w:val="0"/>
          <w:sz w:val="24"/>
          <w:szCs w:val="24"/>
          <w:highlight w:val="none"/>
          <w:lang w:val="en-US" w:eastAsia="zh-CN"/>
        </w:rPr>
        <w:t>提供由社保机构出具的该授权代表的社保证明（1.如该授权代表为离退休返聘人员的，需提供退休证明及单位聘用证明;2.如由第三方代理社保事项的，则需提供加盖投标人公章的委托代理协议复印件）</w:t>
      </w:r>
    </w:p>
    <w:p w14:paraId="71494071">
      <w:pPr>
        <w:snapToGrid w:val="0"/>
        <w:spacing w:line="360" w:lineRule="auto"/>
        <w:ind w:right="480"/>
        <w:jc w:val="center"/>
        <w:rPr>
          <w:rFonts w:hint="eastAsia" w:ascii="仿宋" w:hAnsi="仿宋" w:eastAsia="仿宋" w:cs="仿宋"/>
          <w:b/>
          <w:color w:val="auto"/>
          <w:kern w:val="0"/>
          <w:sz w:val="32"/>
          <w:szCs w:val="32"/>
          <w:highlight w:val="none"/>
          <w:lang w:val="en-US" w:eastAsia="zh-CN"/>
        </w:rPr>
      </w:pPr>
      <w:r>
        <w:rPr>
          <w:rFonts w:hint="eastAsia" w:ascii="仿宋" w:hAnsi="仿宋" w:eastAsia="仿宋" w:cs="仿宋"/>
          <w:b/>
          <w:color w:val="auto"/>
          <w:kern w:val="0"/>
          <w:sz w:val="32"/>
          <w:szCs w:val="32"/>
          <w:highlight w:val="none"/>
          <w:lang w:val="en-US" w:eastAsia="zh-CN"/>
        </w:rPr>
        <w:t>四、法定代表人及其授权代表身份证复印件</w:t>
      </w:r>
      <w:r>
        <w:rPr>
          <w:rFonts w:hint="eastAsia" w:ascii="仿宋" w:hAnsi="仿宋" w:eastAsia="仿宋" w:cs="仿宋"/>
          <w:b/>
          <w:color w:val="auto"/>
          <w:sz w:val="30"/>
          <w:szCs w:val="30"/>
          <w:highlight w:val="none"/>
        </w:rPr>
        <w:t>（正反面）</w:t>
      </w:r>
    </w:p>
    <w:p w14:paraId="45E1553F">
      <w:pPr>
        <w:snapToGrid w:val="0"/>
        <w:spacing w:line="360" w:lineRule="auto"/>
        <w:ind w:right="480"/>
        <w:jc w:val="center"/>
        <w:rPr>
          <w:rFonts w:hint="eastAsia" w:ascii="仿宋" w:hAnsi="仿宋" w:eastAsia="仿宋" w:cs="仿宋"/>
          <w:b/>
          <w:color w:val="auto"/>
          <w:kern w:val="0"/>
          <w:sz w:val="32"/>
          <w:szCs w:val="32"/>
          <w:highlight w:val="none"/>
        </w:rPr>
      </w:pPr>
    </w:p>
    <w:p w14:paraId="68F5E527">
      <w:pPr>
        <w:snapToGrid w:val="0"/>
        <w:spacing w:line="360" w:lineRule="auto"/>
        <w:ind w:right="480"/>
        <w:jc w:val="center"/>
        <w:rPr>
          <w:rFonts w:hint="eastAsia" w:ascii="仿宋" w:hAnsi="仿宋" w:eastAsia="仿宋" w:cs="仿宋"/>
          <w:b/>
          <w:color w:val="auto"/>
          <w:kern w:val="0"/>
          <w:sz w:val="32"/>
          <w:szCs w:val="32"/>
          <w:highlight w:val="none"/>
        </w:rPr>
      </w:pPr>
    </w:p>
    <w:p w14:paraId="78F6CC80">
      <w:pPr>
        <w:snapToGrid w:val="0"/>
        <w:spacing w:line="360" w:lineRule="auto"/>
        <w:ind w:right="480"/>
        <w:jc w:val="center"/>
        <w:rPr>
          <w:rFonts w:hint="eastAsia" w:ascii="仿宋" w:hAnsi="仿宋" w:eastAsia="仿宋" w:cs="仿宋"/>
          <w:b/>
          <w:color w:val="auto"/>
          <w:kern w:val="0"/>
          <w:sz w:val="32"/>
          <w:szCs w:val="32"/>
          <w:highlight w:val="none"/>
        </w:rPr>
      </w:pPr>
    </w:p>
    <w:p w14:paraId="77E0391B">
      <w:pPr>
        <w:snapToGrid w:val="0"/>
        <w:spacing w:line="360" w:lineRule="auto"/>
        <w:ind w:right="480"/>
        <w:jc w:val="center"/>
        <w:rPr>
          <w:rFonts w:hint="eastAsia" w:ascii="仿宋" w:hAnsi="仿宋" w:eastAsia="仿宋" w:cs="仿宋"/>
          <w:b/>
          <w:color w:val="auto"/>
          <w:kern w:val="0"/>
          <w:sz w:val="32"/>
          <w:szCs w:val="32"/>
          <w:highlight w:val="none"/>
        </w:rPr>
      </w:pPr>
    </w:p>
    <w:p w14:paraId="55A4C51E">
      <w:pPr>
        <w:snapToGrid w:val="0"/>
        <w:spacing w:line="360" w:lineRule="auto"/>
        <w:ind w:right="480"/>
        <w:jc w:val="center"/>
        <w:rPr>
          <w:rFonts w:hint="eastAsia" w:ascii="仿宋" w:hAnsi="仿宋" w:eastAsia="仿宋" w:cs="仿宋"/>
          <w:b/>
          <w:color w:val="auto"/>
          <w:kern w:val="0"/>
          <w:sz w:val="32"/>
          <w:szCs w:val="32"/>
          <w:highlight w:val="none"/>
        </w:rPr>
      </w:pPr>
    </w:p>
    <w:p w14:paraId="211ED5D9">
      <w:pPr>
        <w:snapToGrid w:val="0"/>
        <w:spacing w:line="360" w:lineRule="auto"/>
        <w:ind w:right="480"/>
        <w:jc w:val="center"/>
        <w:rPr>
          <w:rFonts w:hint="eastAsia" w:ascii="仿宋" w:hAnsi="仿宋" w:eastAsia="仿宋" w:cs="仿宋"/>
          <w:b/>
          <w:color w:val="auto"/>
          <w:kern w:val="0"/>
          <w:sz w:val="32"/>
          <w:szCs w:val="32"/>
          <w:highlight w:val="none"/>
        </w:rPr>
      </w:pPr>
    </w:p>
    <w:p w14:paraId="2A10774B">
      <w:pPr>
        <w:snapToGrid w:val="0"/>
        <w:spacing w:line="360" w:lineRule="auto"/>
        <w:ind w:right="480"/>
        <w:jc w:val="both"/>
        <w:rPr>
          <w:rFonts w:hint="eastAsia" w:ascii="仿宋" w:hAnsi="仿宋" w:eastAsia="仿宋" w:cs="仿宋"/>
          <w:b/>
          <w:color w:val="auto"/>
          <w:kern w:val="0"/>
          <w:sz w:val="32"/>
          <w:szCs w:val="32"/>
          <w:highlight w:val="none"/>
        </w:rPr>
      </w:pPr>
    </w:p>
    <w:p w14:paraId="0757EEBB">
      <w:pPr>
        <w:snapToGrid w:val="0"/>
        <w:spacing w:line="360" w:lineRule="auto"/>
        <w:ind w:right="480"/>
        <w:jc w:val="center"/>
        <w:rPr>
          <w:rFonts w:hint="eastAsia" w:ascii="仿宋" w:hAnsi="仿宋" w:eastAsia="仿宋" w:cs="仿宋"/>
          <w:b/>
          <w:color w:val="auto"/>
          <w:kern w:val="0"/>
          <w:sz w:val="32"/>
          <w:szCs w:val="32"/>
          <w:highlight w:val="none"/>
        </w:rPr>
      </w:pPr>
    </w:p>
    <w:p w14:paraId="4B423930">
      <w:pPr>
        <w:snapToGrid w:val="0"/>
        <w:spacing w:line="360" w:lineRule="auto"/>
        <w:ind w:right="480"/>
        <w:jc w:val="center"/>
        <w:rPr>
          <w:rFonts w:hint="eastAsia" w:ascii="仿宋" w:hAnsi="仿宋" w:eastAsia="仿宋" w:cs="仿宋"/>
          <w:b/>
          <w:color w:val="auto"/>
          <w:kern w:val="0"/>
          <w:sz w:val="32"/>
          <w:szCs w:val="32"/>
          <w:highlight w:val="none"/>
        </w:rPr>
      </w:pPr>
    </w:p>
    <w:p w14:paraId="7D55FADE">
      <w:pPr>
        <w:snapToGrid w:val="0"/>
        <w:spacing w:line="360" w:lineRule="auto"/>
        <w:ind w:right="480"/>
        <w:jc w:val="center"/>
        <w:rPr>
          <w:rFonts w:hint="eastAsia" w:ascii="仿宋" w:hAnsi="仿宋" w:eastAsia="仿宋" w:cs="仿宋"/>
          <w:b/>
          <w:color w:val="auto"/>
          <w:kern w:val="0"/>
          <w:sz w:val="32"/>
          <w:szCs w:val="32"/>
          <w:highlight w:val="none"/>
        </w:rPr>
      </w:pPr>
    </w:p>
    <w:p w14:paraId="24172BA2">
      <w:pPr>
        <w:snapToGrid w:val="0"/>
        <w:spacing w:line="360" w:lineRule="auto"/>
        <w:ind w:right="480"/>
        <w:jc w:val="center"/>
        <w:rPr>
          <w:rFonts w:hint="eastAsia" w:ascii="仿宋" w:hAnsi="仿宋" w:eastAsia="仿宋" w:cs="仿宋"/>
          <w:b/>
          <w:color w:val="auto"/>
          <w:kern w:val="0"/>
          <w:sz w:val="32"/>
          <w:szCs w:val="32"/>
          <w:highlight w:val="none"/>
          <w:lang w:val="en-US" w:eastAsia="zh-CN"/>
        </w:rPr>
      </w:pPr>
    </w:p>
    <w:p w14:paraId="1F8EEB80">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五</w:t>
      </w:r>
      <w:r>
        <w:rPr>
          <w:rFonts w:hint="eastAsia" w:ascii="仿宋" w:hAnsi="仿宋" w:eastAsia="仿宋" w:cs="仿宋"/>
          <w:b/>
          <w:color w:val="auto"/>
          <w:kern w:val="0"/>
          <w:sz w:val="32"/>
          <w:szCs w:val="32"/>
          <w:highlight w:val="none"/>
        </w:rPr>
        <w:t>、符合参加政府采购活动应当具备的一般条件的承诺函</w:t>
      </w:r>
    </w:p>
    <w:p w14:paraId="6693F64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26FCD83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lang w:eastAsia="zh-CN"/>
        </w:rPr>
        <w:t xml:space="preserve">嵊州市小型水库物业化管理项目（第三批) </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SXPZ-F20250326ZXX</w:t>
      </w:r>
      <w:r>
        <w:rPr>
          <w:rFonts w:hint="eastAsia" w:ascii="仿宋" w:hAnsi="仿宋" w:eastAsia="仿宋" w:cs="仿宋"/>
          <w:color w:val="auto"/>
          <w:sz w:val="24"/>
          <w:highlight w:val="none"/>
        </w:rPr>
        <w:t>】政府采购活动，郑重承诺：</w:t>
      </w:r>
    </w:p>
    <w:p w14:paraId="3A09020E">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66AC0EDE">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4629904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1C8E893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0C6B709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64D5F72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19FC304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1A92F9D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2F6DC2F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6E831B5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61FD472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4AE7864A">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投标人名称(电子签章)：</w:t>
      </w:r>
    </w:p>
    <w:p w14:paraId="7A14D2BD">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7C6AC8DE">
      <w:pPr>
        <w:snapToGrid w:val="0"/>
        <w:spacing w:line="360" w:lineRule="auto"/>
        <w:ind w:right="480"/>
        <w:jc w:val="center"/>
        <w:rPr>
          <w:rFonts w:hint="eastAsia" w:ascii="仿宋" w:hAnsi="仿宋" w:eastAsia="仿宋" w:cs="仿宋"/>
          <w:b/>
          <w:color w:val="auto"/>
          <w:kern w:val="0"/>
          <w:sz w:val="32"/>
          <w:szCs w:val="32"/>
          <w:highlight w:val="none"/>
        </w:rPr>
      </w:pPr>
    </w:p>
    <w:p w14:paraId="05305CF8">
      <w:pPr>
        <w:snapToGrid w:val="0"/>
        <w:spacing w:line="360" w:lineRule="auto"/>
        <w:ind w:right="480"/>
        <w:jc w:val="center"/>
        <w:rPr>
          <w:rFonts w:hint="eastAsia" w:ascii="仿宋" w:hAnsi="仿宋" w:eastAsia="仿宋" w:cs="仿宋"/>
          <w:b/>
          <w:color w:val="auto"/>
          <w:kern w:val="0"/>
          <w:sz w:val="32"/>
          <w:szCs w:val="32"/>
          <w:highlight w:val="none"/>
        </w:rPr>
      </w:pPr>
    </w:p>
    <w:p w14:paraId="5D2FE6DB">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73DD7350">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en-US" w:eastAsia="zh-CN"/>
        </w:rPr>
        <w:t>六、</w:t>
      </w:r>
      <w:r>
        <w:rPr>
          <w:rFonts w:hint="eastAsia" w:ascii="仿宋" w:hAnsi="仿宋" w:eastAsia="仿宋" w:cs="仿宋"/>
          <w:b/>
          <w:color w:val="auto"/>
          <w:sz w:val="32"/>
          <w:szCs w:val="32"/>
          <w:highlight w:val="none"/>
        </w:rPr>
        <w:t>中小企业声明函（服务）</w:t>
      </w:r>
    </w:p>
    <w:p w14:paraId="280D113D">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 xml:space="preserve">嵊州市小型水库物业化管理项目（第三批)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采购活动</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服务全部由符合政策要求的中小企业承接。相关企业（含联合体中的中小企业、签订分包意向协议的中小企业）的具体情况如下：</w:t>
      </w:r>
    </w:p>
    <w:p w14:paraId="6E200C67">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sz w:val="24"/>
          <w:highlight w:val="none"/>
          <w:u w:val="single"/>
          <w:lang w:eastAsia="zh-CN"/>
        </w:rPr>
        <w:t xml:space="preserve">嵊州市小型水库物业化管理项目（第三批)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其他未列明行业</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3422E44C">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6E74CB31">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44DD77AC">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w:t>
      </w:r>
      <w:r>
        <w:rPr>
          <w:rFonts w:hint="eastAsia" w:ascii="仿宋" w:hAnsi="仿宋" w:eastAsia="仿宋" w:cs="仿宋"/>
          <w:color w:val="auto"/>
          <w:kern w:val="0"/>
          <w:sz w:val="24"/>
          <w:highlight w:val="none"/>
          <w:lang w:val="zh-CN"/>
        </w:rPr>
        <w:t>电子签章</w:t>
      </w:r>
      <w:r>
        <w:rPr>
          <w:rFonts w:hint="eastAsia" w:ascii="仿宋" w:hAnsi="仿宋" w:eastAsia="仿宋" w:cs="仿宋"/>
          <w:color w:val="auto"/>
          <w:sz w:val="24"/>
          <w:highlight w:val="none"/>
        </w:rPr>
        <w:t>）：</w:t>
      </w:r>
    </w:p>
    <w:p w14:paraId="501B9526">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3DA13EB7">
      <w:pPr>
        <w:spacing w:line="360" w:lineRule="auto"/>
        <w:ind w:firstLine="310"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5198B43C">
      <w:pPr>
        <w:spacing w:line="360" w:lineRule="auto"/>
        <w:ind w:right="420"/>
        <w:rPr>
          <w:rFonts w:hint="eastAsia" w:ascii="仿宋" w:hAnsi="仿宋" w:eastAsia="仿宋" w:cs="仿宋"/>
          <w:color w:val="auto"/>
          <w:sz w:val="24"/>
          <w:highlight w:val="none"/>
        </w:rPr>
      </w:pPr>
    </w:p>
    <w:p w14:paraId="482C6F4A">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14:paraId="08C0EEDC">
      <w:pPr>
        <w:spacing w:line="360" w:lineRule="auto"/>
        <w:ind w:right="420"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07219917">
      <w:pPr>
        <w:widowControl/>
        <w:spacing w:line="360" w:lineRule="auto"/>
        <w:ind w:firstLine="480" w:firstLineChars="200"/>
        <w:jc w:val="left"/>
        <w:rPr>
          <w:rFonts w:hint="eastAsia" w:ascii="仿宋" w:hAnsi="仿宋" w:eastAsia="仿宋" w:cs="仿宋"/>
          <w:b/>
          <w:color w:val="auto"/>
          <w:kern w:val="0"/>
          <w:sz w:val="32"/>
          <w:szCs w:val="32"/>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F1E6A87">
      <w:pPr>
        <w:widowControl/>
        <w:spacing w:line="360" w:lineRule="auto"/>
        <w:ind w:firstLine="480" w:firstLineChars="20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28724DB6">
      <w:pPr>
        <w:jc w:val="center"/>
        <w:rPr>
          <w:rFonts w:hint="eastAsia" w:ascii="仿宋" w:hAnsi="仿宋" w:eastAsia="仿宋" w:cs="仿宋"/>
          <w:b/>
          <w:color w:val="auto"/>
          <w:spacing w:val="6"/>
          <w:sz w:val="32"/>
          <w:szCs w:val="32"/>
          <w:highlight w:val="none"/>
        </w:rPr>
      </w:pPr>
    </w:p>
    <w:p w14:paraId="5A867704">
      <w:pPr>
        <w:jc w:val="center"/>
        <w:rPr>
          <w:rFonts w:hint="eastAsia" w:ascii="仿宋" w:hAnsi="仿宋" w:eastAsia="仿宋" w:cs="仿宋"/>
          <w:b/>
          <w:color w:val="auto"/>
          <w:spacing w:val="6"/>
          <w:sz w:val="32"/>
          <w:szCs w:val="32"/>
          <w:highlight w:val="none"/>
        </w:rPr>
      </w:pPr>
    </w:p>
    <w:p w14:paraId="7822C94A">
      <w:pPr>
        <w:jc w:val="center"/>
        <w:rPr>
          <w:rFonts w:hint="eastAsia" w:ascii="仿宋" w:hAnsi="仿宋" w:eastAsia="仿宋" w:cs="仿宋"/>
          <w:b/>
          <w:color w:val="auto"/>
          <w:spacing w:val="6"/>
          <w:sz w:val="32"/>
          <w:szCs w:val="32"/>
          <w:highlight w:val="none"/>
        </w:rPr>
      </w:pPr>
    </w:p>
    <w:p w14:paraId="52F9592D">
      <w:pPr>
        <w:jc w:val="center"/>
        <w:rPr>
          <w:rFonts w:hint="eastAsia" w:ascii="仿宋" w:hAnsi="仿宋" w:eastAsia="仿宋" w:cs="仿宋"/>
          <w:b/>
          <w:color w:val="auto"/>
          <w:spacing w:val="6"/>
          <w:sz w:val="32"/>
          <w:szCs w:val="32"/>
          <w:highlight w:val="none"/>
        </w:rPr>
      </w:pPr>
    </w:p>
    <w:p w14:paraId="659753FC">
      <w:pPr>
        <w:jc w:val="center"/>
        <w:rPr>
          <w:rFonts w:hint="eastAsia" w:ascii="仿宋" w:hAnsi="仿宋" w:eastAsia="仿宋" w:cs="仿宋"/>
          <w:b/>
          <w:color w:val="auto"/>
          <w:spacing w:val="6"/>
          <w:sz w:val="32"/>
          <w:szCs w:val="32"/>
          <w:highlight w:val="none"/>
        </w:rPr>
      </w:pPr>
    </w:p>
    <w:p w14:paraId="53BF28B9">
      <w:pPr>
        <w:jc w:val="center"/>
        <w:rPr>
          <w:rFonts w:hint="eastAsia" w:ascii="仿宋" w:hAnsi="仿宋" w:eastAsia="仿宋" w:cs="仿宋"/>
          <w:b/>
          <w:color w:val="auto"/>
          <w:spacing w:val="6"/>
          <w:sz w:val="32"/>
          <w:szCs w:val="32"/>
          <w:highlight w:val="none"/>
        </w:rPr>
      </w:pPr>
    </w:p>
    <w:p w14:paraId="6A02B9B1">
      <w:pPr>
        <w:jc w:val="center"/>
        <w:rPr>
          <w:rFonts w:hint="eastAsia" w:ascii="仿宋" w:hAnsi="仿宋" w:eastAsia="仿宋" w:cs="仿宋"/>
          <w:b/>
          <w:color w:val="auto"/>
          <w:spacing w:val="6"/>
          <w:sz w:val="32"/>
          <w:szCs w:val="32"/>
          <w:highlight w:val="none"/>
        </w:rPr>
      </w:pPr>
    </w:p>
    <w:p w14:paraId="1B61F717">
      <w:pPr>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残疾人福利性单位声明函</w:t>
      </w:r>
    </w:p>
    <w:p w14:paraId="79021C4D">
      <w:pPr>
        <w:spacing w:line="360" w:lineRule="auto"/>
        <w:rPr>
          <w:rFonts w:hint="eastAsia" w:ascii="仿宋" w:hAnsi="仿宋" w:eastAsia="仿宋" w:cs="仿宋"/>
          <w:b/>
          <w:color w:val="auto"/>
          <w:spacing w:val="6"/>
          <w:sz w:val="30"/>
          <w:szCs w:val="30"/>
          <w:highlight w:val="none"/>
        </w:rPr>
      </w:pPr>
    </w:p>
    <w:p w14:paraId="1AF8839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510488E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373B0614">
      <w:pPr>
        <w:spacing w:line="360" w:lineRule="auto"/>
        <w:ind w:firstLine="480" w:firstLineChars="200"/>
        <w:rPr>
          <w:rFonts w:hint="eastAsia" w:ascii="仿宋" w:hAnsi="仿宋" w:eastAsia="仿宋" w:cs="仿宋"/>
          <w:color w:val="auto"/>
          <w:sz w:val="24"/>
          <w:highlight w:val="none"/>
        </w:rPr>
      </w:pPr>
    </w:p>
    <w:p w14:paraId="26ACEFF3">
      <w:pPr>
        <w:spacing w:line="360" w:lineRule="auto"/>
        <w:ind w:firstLine="480" w:firstLineChars="200"/>
        <w:rPr>
          <w:rFonts w:hint="eastAsia" w:ascii="仿宋" w:hAnsi="仿宋" w:eastAsia="仿宋" w:cs="仿宋"/>
          <w:color w:val="auto"/>
          <w:sz w:val="24"/>
          <w:highlight w:val="none"/>
        </w:rPr>
      </w:pPr>
    </w:p>
    <w:p w14:paraId="23EC0292">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投标人名称（电子签章）</w:t>
      </w:r>
      <w:r>
        <w:rPr>
          <w:rFonts w:hint="eastAsia" w:ascii="仿宋" w:hAnsi="仿宋" w:eastAsia="仿宋" w:cs="仿宋"/>
          <w:color w:val="auto"/>
          <w:sz w:val="24"/>
          <w:highlight w:val="none"/>
        </w:rPr>
        <w:t>：</w:t>
      </w:r>
    </w:p>
    <w:p w14:paraId="6C3B0E6B">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620281D4">
      <w:pPr>
        <w:autoSpaceDE w:val="0"/>
        <w:autoSpaceDN w:val="0"/>
        <w:jc w:val="center"/>
        <w:rPr>
          <w:rFonts w:hint="eastAsia" w:ascii="仿宋" w:hAnsi="仿宋" w:eastAsia="仿宋" w:cs="仿宋"/>
          <w:b/>
          <w:color w:val="auto"/>
          <w:spacing w:val="6"/>
          <w:sz w:val="32"/>
          <w:szCs w:val="32"/>
          <w:highlight w:val="none"/>
        </w:rPr>
      </w:pPr>
    </w:p>
    <w:p w14:paraId="79FA030E">
      <w:pPr>
        <w:spacing w:line="360" w:lineRule="auto"/>
        <w:jc w:val="center"/>
        <w:rPr>
          <w:rFonts w:hint="eastAsia" w:ascii="仿宋" w:hAnsi="仿宋" w:eastAsia="仿宋" w:cs="仿宋"/>
          <w:b/>
          <w:color w:val="auto"/>
          <w:spacing w:val="6"/>
          <w:sz w:val="32"/>
          <w:szCs w:val="32"/>
          <w:highlight w:val="none"/>
        </w:rPr>
      </w:pPr>
    </w:p>
    <w:p w14:paraId="0B177E4E">
      <w:pPr>
        <w:spacing w:line="360" w:lineRule="auto"/>
        <w:jc w:val="center"/>
        <w:rPr>
          <w:rFonts w:hint="eastAsia" w:ascii="仿宋" w:hAnsi="仿宋" w:eastAsia="仿宋" w:cs="仿宋"/>
          <w:b/>
          <w:color w:val="auto"/>
          <w:spacing w:val="6"/>
          <w:sz w:val="32"/>
          <w:szCs w:val="32"/>
          <w:highlight w:val="none"/>
        </w:rPr>
      </w:pPr>
    </w:p>
    <w:p w14:paraId="533381DB">
      <w:pPr>
        <w:spacing w:line="360" w:lineRule="auto"/>
        <w:jc w:val="center"/>
        <w:rPr>
          <w:rFonts w:hint="eastAsia" w:ascii="仿宋" w:hAnsi="仿宋" w:eastAsia="仿宋" w:cs="仿宋"/>
          <w:b/>
          <w:color w:val="auto"/>
          <w:spacing w:val="6"/>
          <w:sz w:val="32"/>
          <w:szCs w:val="32"/>
          <w:highlight w:val="none"/>
        </w:rPr>
      </w:pPr>
    </w:p>
    <w:p w14:paraId="0C9B1A32">
      <w:pPr>
        <w:spacing w:line="360" w:lineRule="auto"/>
        <w:jc w:val="center"/>
        <w:rPr>
          <w:rFonts w:hint="eastAsia" w:ascii="仿宋" w:hAnsi="仿宋" w:eastAsia="仿宋" w:cs="仿宋"/>
          <w:b/>
          <w:color w:val="auto"/>
          <w:spacing w:val="6"/>
          <w:sz w:val="32"/>
          <w:szCs w:val="32"/>
          <w:highlight w:val="none"/>
        </w:rPr>
      </w:pPr>
    </w:p>
    <w:p w14:paraId="3C916550">
      <w:pPr>
        <w:spacing w:line="360" w:lineRule="auto"/>
        <w:jc w:val="center"/>
        <w:rPr>
          <w:rFonts w:hint="eastAsia" w:ascii="仿宋" w:hAnsi="仿宋" w:eastAsia="仿宋" w:cs="仿宋"/>
          <w:b/>
          <w:color w:val="auto"/>
          <w:spacing w:val="6"/>
          <w:sz w:val="32"/>
          <w:szCs w:val="32"/>
          <w:highlight w:val="none"/>
        </w:rPr>
      </w:pPr>
    </w:p>
    <w:p w14:paraId="6A366997">
      <w:pPr>
        <w:spacing w:line="360" w:lineRule="auto"/>
        <w:jc w:val="center"/>
        <w:rPr>
          <w:rFonts w:hint="eastAsia" w:ascii="仿宋" w:hAnsi="仿宋" w:eastAsia="仿宋" w:cs="仿宋"/>
          <w:b/>
          <w:color w:val="auto"/>
          <w:spacing w:val="6"/>
          <w:sz w:val="32"/>
          <w:szCs w:val="32"/>
          <w:highlight w:val="none"/>
        </w:rPr>
      </w:pPr>
    </w:p>
    <w:p w14:paraId="52C76EFF">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监狱企业声明函</w:t>
      </w:r>
    </w:p>
    <w:p w14:paraId="2DDF5E92">
      <w:pPr>
        <w:autoSpaceDE w:val="0"/>
        <w:autoSpaceDN w:val="0"/>
        <w:jc w:val="center"/>
        <w:rPr>
          <w:rFonts w:hint="eastAsia" w:ascii="仿宋" w:hAnsi="仿宋" w:eastAsia="仿宋" w:cs="仿宋"/>
          <w:b/>
          <w:color w:val="auto"/>
          <w:spacing w:val="6"/>
          <w:sz w:val="32"/>
          <w:szCs w:val="32"/>
          <w:highlight w:val="none"/>
        </w:rPr>
      </w:pPr>
    </w:p>
    <w:p w14:paraId="5223E490">
      <w:pPr>
        <w:spacing w:line="48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本公司郑重声明，根据《关于政府采购支持监狱企业发展有关问题的通知》（财库[2014]68 号）的规定，本公司为监狱企业。</w:t>
      </w:r>
    </w:p>
    <w:p w14:paraId="7E1ECE39">
      <w:pPr>
        <w:spacing w:line="48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根据上述标准，我公司属于监狱企业的理由为：本公司为参加</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(采购人)</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单位的</w:t>
      </w:r>
      <w:r>
        <w:rPr>
          <w:rFonts w:hint="eastAsia" w:ascii="仿宋" w:hAnsi="仿宋" w:eastAsia="仿宋" w:cs="仿宋"/>
          <w:color w:val="auto"/>
          <w:sz w:val="24"/>
          <w:szCs w:val="24"/>
          <w:highlight w:val="none"/>
          <w:u w:val="single"/>
        </w:rPr>
        <w:t>（项目名称）</w:t>
      </w:r>
      <w:r>
        <w:rPr>
          <w:rFonts w:hint="eastAsia" w:ascii="仿宋" w:hAnsi="仿宋" w:eastAsia="仿宋" w:cs="仿宋"/>
          <w:color w:val="auto"/>
          <w:sz w:val="24"/>
          <w:szCs w:val="24"/>
          <w:highlight w:val="none"/>
        </w:rPr>
        <w:t>项目采购活动提供本企业提供服务</w:t>
      </w:r>
    </w:p>
    <w:p w14:paraId="50FFF35D">
      <w:pPr>
        <w:autoSpaceDE w:val="0"/>
        <w:autoSpaceDN w:val="0"/>
        <w:jc w:val="center"/>
        <w:rPr>
          <w:rFonts w:hint="eastAsia" w:ascii="仿宋" w:hAnsi="仿宋" w:eastAsia="仿宋" w:cs="仿宋"/>
          <w:b/>
          <w:color w:val="auto"/>
          <w:spacing w:val="6"/>
          <w:sz w:val="32"/>
          <w:szCs w:val="32"/>
          <w:highlight w:val="none"/>
        </w:rPr>
      </w:pPr>
      <w:r>
        <w:rPr>
          <w:rFonts w:hint="eastAsia" w:ascii="仿宋" w:hAnsi="仿宋" w:eastAsia="仿宋" w:cs="仿宋"/>
          <w:color w:val="auto"/>
          <w:sz w:val="24"/>
          <w:szCs w:val="24"/>
          <w:highlight w:val="none"/>
        </w:rPr>
        <w:t>本公司对上述声明的真实性负责。如有虚假，将依法承担相应责任。</w:t>
      </w:r>
    </w:p>
    <w:p w14:paraId="6873E83A">
      <w:pPr>
        <w:autoSpaceDE w:val="0"/>
        <w:autoSpaceDN w:val="0"/>
        <w:jc w:val="center"/>
        <w:rPr>
          <w:rFonts w:hint="eastAsia" w:ascii="仿宋" w:hAnsi="仿宋" w:eastAsia="仿宋" w:cs="仿宋"/>
          <w:b/>
          <w:color w:val="auto"/>
          <w:spacing w:val="6"/>
          <w:sz w:val="32"/>
          <w:szCs w:val="32"/>
          <w:highlight w:val="none"/>
        </w:rPr>
      </w:pPr>
    </w:p>
    <w:p w14:paraId="49C3E8B8">
      <w:pPr>
        <w:autoSpaceDE w:val="0"/>
        <w:autoSpaceDN w:val="0"/>
        <w:jc w:val="both"/>
        <w:rPr>
          <w:rFonts w:hint="eastAsia" w:ascii="仿宋" w:hAnsi="仿宋" w:eastAsia="仿宋" w:cs="仿宋"/>
          <w:b/>
          <w:color w:val="auto"/>
          <w:spacing w:val="6"/>
          <w:sz w:val="32"/>
          <w:szCs w:val="32"/>
          <w:highlight w:val="none"/>
        </w:rPr>
      </w:pPr>
    </w:p>
    <w:p w14:paraId="0037F85C">
      <w:pPr>
        <w:autoSpaceDE w:val="0"/>
        <w:autoSpaceDN w:val="0"/>
        <w:jc w:val="center"/>
        <w:rPr>
          <w:rFonts w:hint="eastAsia" w:ascii="仿宋" w:hAnsi="仿宋" w:eastAsia="仿宋" w:cs="仿宋"/>
          <w:b/>
          <w:color w:val="auto"/>
          <w:spacing w:val="6"/>
          <w:sz w:val="32"/>
          <w:szCs w:val="32"/>
          <w:highlight w:val="none"/>
        </w:rPr>
      </w:pPr>
    </w:p>
    <w:p w14:paraId="600BEE71">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投标人名称（电子签章）</w:t>
      </w:r>
      <w:r>
        <w:rPr>
          <w:rFonts w:hint="eastAsia" w:ascii="仿宋" w:hAnsi="仿宋" w:eastAsia="仿宋" w:cs="仿宋"/>
          <w:color w:val="auto"/>
          <w:sz w:val="24"/>
          <w:highlight w:val="none"/>
        </w:rPr>
        <w:t>：</w:t>
      </w:r>
    </w:p>
    <w:p w14:paraId="03CF5F4C">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6F6B16D9">
      <w:pPr>
        <w:widowControl/>
        <w:spacing w:line="360" w:lineRule="auto"/>
        <w:ind w:firstLine="643" w:firstLineChars="200"/>
        <w:jc w:val="center"/>
        <w:rPr>
          <w:rFonts w:hint="eastAsia" w:ascii="仿宋" w:hAnsi="仿宋" w:eastAsia="仿宋" w:cs="仿宋"/>
          <w:b/>
          <w:color w:val="auto"/>
          <w:kern w:val="0"/>
          <w:sz w:val="32"/>
          <w:szCs w:val="32"/>
          <w:highlight w:val="none"/>
        </w:rPr>
      </w:pPr>
    </w:p>
    <w:p w14:paraId="25DCE6AF">
      <w:pPr>
        <w:widowControl/>
        <w:spacing w:line="360" w:lineRule="auto"/>
        <w:ind w:firstLine="643" w:firstLineChars="200"/>
        <w:jc w:val="center"/>
        <w:rPr>
          <w:rFonts w:hint="eastAsia" w:ascii="仿宋" w:hAnsi="仿宋" w:eastAsia="仿宋" w:cs="仿宋"/>
          <w:b/>
          <w:color w:val="auto"/>
          <w:kern w:val="0"/>
          <w:sz w:val="32"/>
          <w:szCs w:val="32"/>
          <w:highlight w:val="none"/>
        </w:rPr>
      </w:pPr>
    </w:p>
    <w:p w14:paraId="29E11DF7">
      <w:pPr>
        <w:widowControl/>
        <w:spacing w:line="360" w:lineRule="auto"/>
        <w:ind w:firstLine="643" w:firstLineChars="200"/>
        <w:jc w:val="center"/>
        <w:rPr>
          <w:rFonts w:hint="eastAsia" w:ascii="仿宋" w:hAnsi="仿宋" w:eastAsia="仿宋" w:cs="仿宋"/>
          <w:b/>
          <w:color w:val="auto"/>
          <w:kern w:val="0"/>
          <w:sz w:val="32"/>
          <w:szCs w:val="32"/>
          <w:highlight w:val="none"/>
        </w:rPr>
      </w:pPr>
    </w:p>
    <w:p w14:paraId="698B1593">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七</w:t>
      </w:r>
      <w:r>
        <w:rPr>
          <w:rFonts w:hint="eastAsia" w:ascii="仿宋" w:hAnsi="仿宋" w:eastAsia="仿宋" w:cs="仿宋"/>
          <w:b/>
          <w:color w:val="auto"/>
          <w:kern w:val="0"/>
          <w:sz w:val="32"/>
          <w:szCs w:val="32"/>
          <w:highlight w:val="none"/>
        </w:rPr>
        <w:t>、本项目的特定资格要求（如果有)</w:t>
      </w:r>
    </w:p>
    <w:p w14:paraId="47D8E709">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64A76126">
      <w:pPr>
        <w:spacing w:line="360" w:lineRule="auto"/>
        <w:jc w:val="center"/>
        <w:outlineLvl w:val="0"/>
        <w:rPr>
          <w:rFonts w:hint="eastAsia" w:ascii="仿宋" w:hAnsi="仿宋" w:eastAsia="仿宋" w:cs="仿宋"/>
          <w:b/>
          <w:color w:val="auto"/>
          <w:kern w:val="0"/>
          <w:sz w:val="24"/>
          <w:highlight w:val="none"/>
        </w:rPr>
      </w:pPr>
    </w:p>
    <w:p w14:paraId="7B9DDC8F">
      <w:pPr>
        <w:spacing w:line="336" w:lineRule="auto"/>
        <w:jc w:val="center"/>
        <w:rPr>
          <w:rFonts w:hint="eastAsia" w:ascii="仿宋" w:hAnsi="仿宋" w:eastAsia="仿宋" w:cs="仿宋"/>
          <w:b/>
          <w:color w:val="auto"/>
          <w:kern w:val="0"/>
          <w:sz w:val="36"/>
          <w:szCs w:val="36"/>
          <w:highlight w:val="none"/>
        </w:rPr>
      </w:pPr>
    </w:p>
    <w:p w14:paraId="03E596AF">
      <w:pPr>
        <w:spacing w:line="336" w:lineRule="auto"/>
        <w:jc w:val="center"/>
        <w:rPr>
          <w:rFonts w:hint="eastAsia" w:ascii="仿宋" w:hAnsi="仿宋" w:eastAsia="仿宋" w:cs="仿宋"/>
          <w:b/>
          <w:color w:val="auto"/>
          <w:kern w:val="0"/>
          <w:sz w:val="36"/>
          <w:szCs w:val="36"/>
          <w:highlight w:val="none"/>
        </w:rPr>
      </w:pPr>
    </w:p>
    <w:p w14:paraId="454344BE">
      <w:pPr>
        <w:spacing w:line="336" w:lineRule="auto"/>
        <w:jc w:val="center"/>
        <w:rPr>
          <w:rFonts w:hint="eastAsia" w:ascii="仿宋" w:hAnsi="仿宋" w:eastAsia="仿宋" w:cs="仿宋"/>
          <w:b/>
          <w:color w:val="auto"/>
          <w:kern w:val="0"/>
          <w:sz w:val="36"/>
          <w:szCs w:val="36"/>
          <w:highlight w:val="none"/>
        </w:rPr>
      </w:pPr>
    </w:p>
    <w:p w14:paraId="786F72FC">
      <w:pPr>
        <w:spacing w:line="336" w:lineRule="auto"/>
        <w:jc w:val="center"/>
        <w:rPr>
          <w:rFonts w:hint="eastAsia" w:ascii="仿宋" w:hAnsi="仿宋" w:eastAsia="仿宋" w:cs="仿宋"/>
          <w:b/>
          <w:color w:val="auto"/>
          <w:kern w:val="0"/>
          <w:sz w:val="36"/>
          <w:szCs w:val="36"/>
          <w:highlight w:val="none"/>
        </w:rPr>
      </w:pPr>
    </w:p>
    <w:p w14:paraId="0A91F3F3">
      <w:pPr>
        <w:spacing w:line="336" w:lineRule="auto"/>
        <w:jc w:val="center"/>
        <w:rPr>
          <w:rFonts w:hint="eastAsia" w:ascii="仿宋" w:hAnsi="仿宋" w:eastAsia="仿宋" w:cs="仿宋"/>
          <w:b/>
          <w:color w:val="auto"/>
          <w:kern w:val="0"/>
          <w:sz w:val="36"/>
          <w:szCs w:val="36"/>
          <w:highlight w:val="none"/>
        </w:rPr>
      </w:pPr>
    </w:p>
    <w:p w14:paraId="17FC3DFA">
      <w:pPr>
        <w:pStyle w:val="966"/>
        <w:widowControl w:val="0"/>
        <w:snapToGrid w:val="0"/>
        <w:spacing w:line="500" w:lineRule="exact"/>
        <w:ind w:firstLine="0" w:firstLineChars="0"/>
        <w:jc w:val="center"/>
        <w:outlineLvl w:val="9"/>
        <w:rPr>
          <w:rFonts w:hint="eastAsia" w:ascii="仿宋" w:hAnsi="仿宋" w:eastAsia="仿宋" w:cs="仿宋"/>
          <w:b/>
          <w:bCs/>
          <w:color w:val="auto"/>
          <w:sz w:val="28"/>
          <w:szCs w:val="28"/>
          <w:highlight w:val="none"/>
        </w:rPr>
      </w:pPr>
    </w:p>
    <w:p w14:paraId="2C112B64">
      <w:pPr>
        <w:pStyle w:val="966"/>
        <w:widowControl w:val="0"/>
        <w:snapToGrid w:val="0"/>
        <w:spacing w:line="500" w:lineRule="exact"/>
        <w:ind w:firstLine="0" w:firstLineChars="0"/>
        <w:jc w:val="center"/>
        <w:outlineLvl w:val="9"/>
        <w:rPr>
          <w:rFonts w:hint="eastAsia" w:ascii="仿宋" w:hAnsi="仿宋" w:eastAsia="仿宋" w:cs="仿宋"/>
          <w:b/>
          <w:bCs/>
          <w:color w:val="auto"/>
          <w:sz w:val="28"/>
          <w:szCs w:val="28"/>
          <w:highlight w:val="none"/>
        </w:rPr>
      </w:pPr>
    </w:p>
    <w:p w14:paraId="6A61E571">
      <w:pPr>
        <w:pStyle w:val="966"/>
        <w:widowControl w:val="0"/>
        <w:snapToGrid w:val="0"/>
        <w:spacing w:line="500" w:lineRule="exact"/>
        <w:ind w:firstLine="0" w:firstLineChars="0"/>
        <w:jc w:val="center"/>
        <w:outlineLvl w:val="9"/>
        <w:rPr>
          <w:rFonts w:hint="eastAsia" w:ascii="仿宋" w:hAnsi="仿宋" w:eastAsia="仿宋" w:cs="仿宋"/>
          <w:b/>
          <w:bCs/>
          <w:color w:val="auto"/>
          <w:sz w:val="28"/>
          <w:szCs w:val="28"/>
          <w:highlight w:val="none"/>
        </w:rPr>
        <w:sectPr>
          <w:pgSz w:w="11906" w:h="16838"/>
          <w:pgMar w:top="1276" w:right="1418" w:bottom="1247" w:left="1418" w:header="851" w:footer="992" w:gutter="0"/>
          <w:pgNumType w:fmt="decimal"/>
          <w:cols w:space="720" w:num="1"/>
          <w:titlePg/>
          <w:docGrid w:linePitch="312" w:charSpace="0"/>
        </w:sectPr>
      </w:pPr>
    </w:p>
    <w:p w14:paraId="4ED3EBFC">
      <w:pPr>
        <w:pStyle w:val="966"/>
        <w:widowControl w:val="0"/>
        <w:snapToGrid w:val="0"/>
        <w:spacing w:line="500" w:lineRule="exact"/>
        <w:ind w:firstLine="0" w:firstLineChars="0"/>
        <w:jc w:val="center"/>
        <w:outlineLvl w:val="9"/>
        <w:rPr>
          <w:rFonts w:hint="eastAsia" w:ascii="仿宋" w:hAnsi="仿宋" w:eastAsia="仿宋" w:cs="仿宋"/>
          <w:color w:val="auto"/>
          <w:kern w:val="0"/>
          <w:sz w:val="24"/>
          <w:szCs w:val="24"/>
          <w:highlight w:val="none"/>
          <w:u w:val="single"/>
          <w:lang w:eastAsia="zh-CN"/>
        </w:rPr>
      </w:pPr>
      <w:r>
        <w:rPr>
          <w:rFonts w:hint="eastAsia" w:ascii="仿宋" w:hAnsi="仿宋" w:eastAsia="仿宋" w:cs="仿宋"/>
          <w:b/>
          <w:bCs/>
          <w:color w:val="auto"/>
          <w:sz w:val="28"/>
          <w:szCs w:val="28"/>
          <w:highlight w:val="none"/>
        </w:rPr>
        <w:t>政府采购活动现场确认声明书</w:t>
      </w:r>
    </w:p>
    <w:p w14:paraId="5A2B1889">
      <w:pPr>
        <w:pStyle w:val="966"/>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0" w:firstLineChars="0"/>
        <w:jc w:val="both"/>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color w:val="auto"/>
          <w:kern w:val="0"/>
          <w:sz w:val="24"/>
          <w:szCs w:val="24"/>
          <w:highlight w:val="none"/>
          <w:u w:val="single"/>
          <w:lang w:eastAsia="zh-CN"/>
        </w:rPr>
        <w:t>绍兴平准招标代理有限公司</w:t>
      </w:r>
      <w:r>
        <w:rPr>
          <w:rFonts w:hint="eastAsia" w:ascii="仿宋" w:hAnsi="仿宋" w:eastAsia="仿宋" w:cs="仿宋"/>
          <w:color w:val="auto"/>
          <w:kern w:val="0"/>
          <w:sz w:val="24"/>
          <w:szCs w:val="24"/>
          <w:highlight w:val="none"/>
        </w:rPr>
        <w:t>（采购组织机构名称）：</w:t>
      </w:r>
    </w:p>
    <w:p w14:paraId="6411A296">
      <w:pPr>
        <w:pStyle w:val="966"/>
        <w:keepNext w:val="0"/>
        <w:keepLines w:val="0"/>
        <w:pageBreakBefore w:val="0"/>
        <w:kinsoku/>
        <w:wordWrap w:val="0"/>
        <w:overflowPunct/>
        <w:topLinePunct w:val="0"/>
        <w:autoSpaceDE/>
        <w:autoSpaceDN/>
        <w:bidi w:val="0"/>
        <w:adjustRightInd w:val="0"/>
        <w:spacing w:line="360" w:lineRule="auto"/>
        <w:ind w:firstLine="504"/>
        <w:textAlignment w:val="auto"/>
        <w:outlineLvl w:val="9"/>
        <w:rPr>
          <w:rFonts w:hint="eastAsia" w:ascii="仿宋" w:hAnsi="仿宋" w:eastAsia="仿宋" w:cs="仿宋"/>
          <w:b/>
          <w:bCs/>
          <w:color w:val="auto"/>
          <w:spacing w:val="6"/>
          <w:sz w:val="24"/>
          <w:szCs w:val="24"/>
          <w:highlight w:val="none"/>
          <w:u w:val="single"/>
        </w:rPr>
      </w:pPr>
      <w:r>
        <w:rPr>
          <w:rFonts w:hint="eastAsia" w:ascii="仿宋" w:hAnsi="仿宋" w:eastAsia="仿宋" w:cs="仿宋"/>
          <w:color w:val="auto"/>
          <w:spacing w:val="6"/>
          <w:sz w:val="24"/>
          <w:szCs w:val="24"/>
          <w:highlight w:val="none"/>
        </w:rPr>
        <w:t>本人经由</w:t>
      </w:r>
      <w:r>
        <w:rPr>
          <w:rFonts w:hint="eastAsia" w:ascii="仿宋" w:hAnsi="仿宋" w:eastAsia="仿宋" w:cs="仿宋"/>
          <w:color w:val="auto"/>
          <w:spacing w:val="6"/>
          <w:sz w:val="24"/>
          <w:szCs w:val="24"/>
          <w:highlight w:val="none"/>
          <w:u w:val="single"/>
        </w:rPr>
        <w:t xml:space="preserve">                      </w:t>
      </w:r>
      <w:r>
        <w:rPr>
          <w:rFonts w:hint="eastAsia" w:ascii="仿宋" w:hAnsi="仿宋" w:eastAsia="仿宋" w:cs="仿宋"/>
          <w:color w:val="auto"/>
          <w:spacing w:val="6"/>
          <w:sz w:val="24"/>
          <w:szCs w:val="24"/>
          <w:highlight w:val="none"/>
        </w:rPr>
        <w:t>（单位）负责人</w:t>
      </w:r>
      <w:r>
        <w:rPr>
          <w:rFonts w:hint="eastAsia" w:ascii="仿宋" w:hAnsi="仿宋" w:eastAsia="仿宋" w:cs="仿宋"/>
          <w:color w:val="auto"/>
          <w:spacing w:val="6"/>
          <w:sz w:val="24"/>
          <w:szCs w:val="24"/>
          <w:highlight w:val="none"/>
          <w:u w:val="single"/>
        </w:rPr>
        <w:t xml:space="preserve">         （姓名）</w:t>
      </w:r>
      <w:r>
        <w:rPr>
          <w:rFonts w:hint="eastAsia" w:ascii="仿宋" w:hAnsi="仿宋" w:eastAsia="仿宋" w:cs="仿宋"/>
          <w:color w:val="auto"/>
          <w:spacing w:val="6"/>
          <w:sz w:val="24"/>
          <w:szCs w:val="24"/>
          <w:highlight w:val="none"/>
        </w:rPr>
        <w:t>合法授权参加</w:t>
      </w:r>
      <w:r>
        <w:rPr>
          <w:rFonts w:hint="eastAsia" w:ascii="仿宋" w:hAnsi="仿宋" w:eastAsia="仿宋" w:cs="仿宋"/>
          <w:color w:val="auto"/>
          <w:spacing w:val="6"/>
          <w:sz w:val="24"/>
          <w:szCs w:val="24"/>
          <w:highlight w:val="none"/>
          <w:u w:val="single"/>
          <w:lang w:eastAsia="zh-CN"/>
        </w:rPr>
        <w:t xml:space="preserve">嵊州市小型水库物业化管理项目（第三批) </w:t>
      </w:r>
      <w:r>
        <w:rPr>
          <w:rFonts w:hint="eastAsia" w:ascii="仿宋" w:hAnsi="仿宋" w:eastAsia="仿宋" w:cs="仿宋"/>
          <w:color w:val="auto"/>
          <w:spacing w:val="6"/>
          <w:sz w:val="24"/>
          <w:szCs w:val="24"/>
          <w:highlight w:val="none"/>
        </w:rPr>
        <w:t>（编号</w:t>
      </w:r>
      <w:r>
        <w:rPr>
          <w:rFonts w:hint="eastAsia" w:ascii="仿宋" w:hAnsi="仿宋" w:eastAsia="仿宋" w:cs="仿宋"/>
          <w:color w:val="auto"/>
          <w:spacing w:val="6"/>
          <w:sz w:val="24"/>
          <w:szCs w:val="24"/>
          <w:highlight w:val="none"/>
          <w:lang w:eastAsia="zh-CN"/>
        </w:rPr>
        <w:t>：</w:t>
      </w:r>
      <w:r>
        <w:rPr>
          <w:rFonts w:hint="eastAsia" w:ascii="仿宋" w:hAnsi="仿宋" w:eastAsia="仿宋" w:cs="仿宋"/>
          <w:color w:val="auto"/>
          <w:spacing w:val="6"/>
          <w:sz w:val="24"/>
          <w:szCs w:val="24"/>
          <w:highlight w:val="none"/>
          <w:u w:val="single"/>
          <w:lang w:eastAsia="zh-CN"/>
        </w:rPr>
        <w:t>SXPZ-F20250326ZXX</w:t>
      </w:r>
      <w:r>
        <w:rPr>
          <w:rFonts w:hint="eastAsia" w:ascii="仿宋" w:hAnsi="仿宋" w:eastAsia="仿宋" w:cs="仿宋"/>
          <w:color w:val="auto"/>
          <w:spacing w:val="6"/>
          <w:sz w:val="24"/>
          <w:szCs w:val="24"/>
          <w:highlight w:val="none"/>
        </w:rPr>
        <w:t xml:space="preserve">）政府采购活动，经与本单位法人代表（负责人）联系确认，现就有关公平竞争事项郑重声明如下： </w:t>
      </w:r>
    </w:p>
    <w:p w14:paraId="3D79CC73">
      <w:pPr>
        <w:pStyle w:val="967"/>
        <w:keepNext w:val="0"/>
        <w:keepLines w:val="0"/>
        <w:pageBreakBefore w:val="0"/>
        <w:widowControl/>
        <w:kinsoku/>
        <w:overflowPunct/>
        <w:topLinePunct w:val="0"/>
        <w:autoSpaceDE/>
        <w:autoSpaceDN/>
        <w:bidi w:val="0"/>
        <w:adjustRightInd w:val="0"/>
        <w:snapToGrid w:val="0"/>
        <w:spacing w:line="360" w:lineRule="auto"/>
        <w:ind w:firstLine="480"/>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一、本单位与采购人之间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szCs w:val="24"/>
          <w:highlight w:val="none"/>
        </w:rPr>
        <w:t xml:space="preserve">不存在利害关系 </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rPr>
        <w:t>存在下列利害关系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14:paraId="09239B4B">
      <w:pPr>
        <w:pStyle w:val="967"/>
        <w:keepNext w:val="0"/>
        <w:keepLines w:val="0"/>
        <w:pageBreakBefore w:val="0"/>
        <w:widowControl/>
        <w:kinsoku/>
        <w:overflowPunct/>
        <w:topLinePunct w:val="0"/>
        <w:autoSpaceDE/>
        <w:autoSpaceDN/>
        <w:bidi w:val="0"/>
        <w:adjustRightInd w:val="0"/>
        <w:snapToGrid w:val="0"/>
        <w:spacing w:line="360" w:lineRule="auto"/>
        <w:ind w:firstLine="480"/>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A.投资关系    B.行政隶属关系    C.业务指导关系</w:t>
      </w:r>
    </w:p>
    <w:p w14:paraId="54E57C4F">
      <w:pPr>
        <w:pStyle w:val="967"/>
        <w:keepNext w:val="0"/>
        <w:keepLines w:val="0"/>
        <w:pageBreakBefore w:val="0"/>
        <w:widowControl/>
        <w:kinsoku/>
        <w:overflowPunct/>
        <w:topLinePunct w:val="0"/>
        <w:autoSpaceDE/>
        <w:autoSpaceDN/>
        <w:bidi w:val="0"/>
        <w:adjustRightInd w:val="0"/>
        <w:snapToGrid w:val="0"/>
        <w:spacing w:line="360" w:lineRule="auto"/>
        <w:ind w:firstLine="48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D.其他可能</w:t>
      </w:r>
      <w:r>
        <w:rPr>
          <w:rFonts w:hint="eastAsia" w:ascii="仿宋" w:hAnsi="仿宋" w:eastAsia="仿宋" w:cs="仿宋"/>
          <w:color w:val="auto"/>
          <w:sz w:val="24"/>
          <w:szCs w:val="24"/>
          <w:highlight w:val="none"/>
        </w:rPr>
        <w:t>影响采购公正的</w:t>
      </w:r>
      <w:r>
        <w:rPr>
          <w:rFonts w:hint="eastAsia" w:ascii="仿宋" w:hAnsi="仿宋" w:eastAsia="仿宋" w:cs="仿宋"/>
          <w:color w:val="auto"/>
          <w:kern w:val="0"/>
          <w:sz w:val="24"/>
          <w:szCs w:val="24"/>
          <w:highlight w:val="none"/>
        </w:rPr>
        <w:t>利害关系</w:t>
      </w:r>
      <w:r>
        <w:rPr>
          <w:rFonts w:hint="eastAsia" w:ascii="仿宋" w:hAnsi="仿宋" w:eastAsia="仿宋" w:cs="仿宋"/>
          <w:color w:val="auto"/>
          <w:kern w:val="0"/>
          <w:sz w:val="24"/>
          <w:szCs w:val="24"/>
          <w:highlight w:val="none"/>
          <w:u w:val="single"/>
        </w:rPr>
        <w:t xml:space="preserve">（如有，请如实说明）               </w:t>
      </w:r>
      <w:r>
        <w:rPr>
          <w:rFonts w:hint="eastAsia" w:ascii="仿宋" w:hAnsi="仿宋" w:eastAsia="仿宋" w:cs="仿宋"/>
          <w:color w:val="auto"/>
          <w:kern w:val="0"/>
          <w:sz w:val="24"/>
          <w:szCs w:val="24"/>
          <w:highlight w:val="none"/>
        </w:rPr>
        <w:t>。</w:t>
      </w:r>
    </w:p>
    <w:p w14:paraId="12E69612">
      <w:pPr>
        <w:pStyle w:val="967"/>
        <w:keepNext w:val="0"/>
        <w:keepLines w:val="0"/>
        <w:pageBreakBefore w:val="0"/>
        <w:widowControl/>
        <w:kinsoku/>
        <w:overflowPunct/>
        <w:topLinePunct w:val="0"/>
        <w:autoSpaceDE/>
        <w:autoSpaceDN/>
        <w:bidi w:val="0"/>
        <w:adjustRightInd w:val="0"/>
        <w:snapToGrid w:val="0"/>
        <w:spacing w:line="360" w:lineRule="auto"/>
        <w:ind w:firstLine="504"/>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spacing w:val="6"/>
          <w:sz w:val="24"/>
          <w:szCs w:val="24"/>
          <w:highlight w:val="none"/>
        </w:rPr>
        <w:t>二、</w:t>
      </w:r>
      <w:r>
        <w:rPr>
          <w:rFonts w:hint="eastAsia" w:ascii="仿宋" w:hAnsi="仿宋" w:eastAsia="仿宋" w:cs="仿宋"/>
          <w:color w:val="auto"/>
          <w:kern w:val="0"/>
          <w:sz w:val="24"/>
          <w:szCs w:val="24"/>
          <w:highlight w:val="none"/>
        </w:rPr>
        <w:t xml:space="preserve">现已清楚知道参加本项目采购活动的其他所有供应商名称，本单位 </w:t>
      </w:r>
      <w:r>
        <w:rPr>
          <w:rFonts w:hint="eastAsia" w:ascii="仿宋" w:hAnsi="仿宋" w:eastAsia="仿宋" w:cs="仿宋"/>
          <w:color w:val="auto"/>
          <w:sz w:val="24"/>
          <w:szCs w:val="24"/>
          <w:highlight w:val="none"/>
        </w:rPr>
        <w:sym w:font="Wingdings 2" w:char="0052"/>
      </w:r>
      <w:r>
        <w:rPr>
          <w:rFonts w:hint="eastAsia" w:ascii="仿宋" w:hAnsi="仿宋" w:eastAsia="仿宋" w:cs="仿宋"/>
          <w:color w:val="auto"/>
          <w:kern w:val="0"/>
          <w:sz w:val="24"/>
          <w:szCs w:val="24"/>
          <w:highlight w:val="none"/>
        </w:rPr>
        <w:t xml:space="preserve">与其他所有供应商之间均不存在利害关系 </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rPr>
        <w:t>与</w:t>
      </w:r>
      <w:r>
        <w:rPr>
          <w:rFonts w:hint="eastAsia" w:ascii="仿宋" w:hAnsi="仿宋" w:eastAsia="仿宋" w:cs="仿宋"/>
          <w:color w:val="auto"/>
          <w:kern w:val="0"/>
          <w:sz w:val="24"/>
          <w:szCs w:val="24"/>
          <w:highlight w:val="none"/>
          <w:u w:val="single"/>
        </w:rPr>
        <w:t xml:space="preserve">           （供应商名称）</w:t>
      </w:r>
      <w:r>
        <w:rPr>
          <w:rFonts w:hint="eastAsia" w:ascii="仿宋" w:hAnsi="仿宋" w:eastAsia="仿宋" w:cs="仿宋"/>
          <w:color w:val="auto"/>
          <w:kern w:val="0"/>
          <w:sz w:val="24"/>
          <w:szCs w:val="24"/>
          <w:highlight w:val="none"/>
        </w:rPr>
        <w:t>之间存在下列利害关系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14:paraId="66F44780">
      <w:pPr>
        <w:pStyle w:val="966"/>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A.法定代表人或负责人或实际控制人是同一人</w:t>
      </w:r>
    </w:p>
    <w:p w14:paraId="1840FC0A">
      <w:pPr>
        <w:pStyle w:val="966"/>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仿宋" w:hAnsi="仿宋" w:eastAsia="仿宋" w:cs="仿宋"/>
          <w:color w:val="auto"/>
          <w:spacing w:val="6"/>
          <w:sz w:val="24"/>
          <w:szCs w:val="24"/>
          <w:highlight w:val="none"/>
        </w:rPr>
      </w:pPr>
      <w:r>
        <w:rPr>
          <w:rFonts w:hint="eastAsia" w:ascii="仿宋" w:hAnsi="仿宋" w:eastAsia="仿宋" w:cs="仿宋"/>
          <w:color w:val="auto"/>
          <w:kern w:val="0"/>
          <w:sz w:val="24"/>
          <w:szCs w:val="24"/>
          <w:highlight w:val="none"/>
        </w:rPr>
        <w:t xml:space="preserve"> B.法定代表人或负责人或实际控制人是夫妻关系</w:t>
      </w:r>
    </w:p>
    <w:p w14:paraId="5DF239D4">
      <w:pPr>
        <w:pStyle w:val="966"/>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仿宋" w:hAnsi="仿宋" w:eastAsia="仿宋" w:cs="仿宋"/>
          <w:color w:val="auto"/>
          <w:spacing w:val="6"/>
          <w:sz w:val="24"/>
          <w:szCs w:val="24"/>
          <w:highlight w:val="none"/>
        </w:rPr>
      </w:pPr>
      <w:r>
        <w:rPr>
          <w:rFonts w:hint="eastAsia" w:ascii="仿宋" w:hAnsi="仿宋" w:eastAsia="仿宋" w:cs="仿宋"/>
          <w:color w:val="auto"/>
          <w:kern w:val="0"/>
          <w:sz w:val="24"/>
          <w:szCs w:val="24"/>
          <w:highlight w:val="none"/>
        </w:rPr>
        <w:t xml:space="preserve"> C.法定代表人或负责人或实际控制人是直系血亲关系</w:t>
      </w:r>
    </w:p>
    <w:p w14:paraId="50C868CD">
      <w:pPr>
        <w:pStyle w:val="966"/>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仿宋" w:hAnsi="仿宋" w:eastAsia="仿宋" w:cs="仿宋"/>
          <w:color w:val="auto"/>
          <w:spacing w:val="6"/>
          <w:sz w:val="24"/>
          <w:szCs w:val="24"/>
          <w:highlight w:val="none"/>
        </w:rPr>
      </w:pPr>
      <w:r>
        <w:rPr>
          <w:rFonts w:hint="eastAsia" w:ascii="仿宋" w:hAnsi="仿宋" w:eastAsia="仿宋" w:cs="仿宋"/>
          <w:color w:val="auto"/>
          <w:kern w:val="0"/>
          <w:sz w:val="24"/>
          <w:szCs w:val="24"/>
          <w:highlight w:val="none"/>
        </w:rPr>
        <w:t xml:space="preserve"> D.法定代表人或负责人或实际控制人存在三代以内旁系血亲关系</w:t>
      </w:r>
    </w:p>
    <w:p w14:paraId="2E72DD2A">
      <w:pPr>
        <w:pStyle w:val="966"/>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E.法定代表人或负责人或实际控制人存在近姻亲关系</w:t>
      </w:r>
    </w:p>
    <w:p w14:paraId="69BEABA1">
      <w:pPr>
        <w:pStyle w:val="966"/>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F.法定代表人或负责人或实际控制人存在股份控制或实际控制关系</w:t>
      </w:r>
    </w:p>
    <w:p w14:paraId="15B0A86E">
      <w:pPr>
        <w:pStyle w:val="966"/>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bookmarkStart w:id="103" w:name="_Toc18026"/>
      <w:r>
        <w:rPr>
          <w:rFonts w:hint="eastAsia" w:ascii="仿宋" w:hAnsi="仿宋" w:eastAsia="仿宋" w:cs="仿宋"/>
          <w:color w:val="auto"/>
          <w:kern w:val="0"/>
          <w:sz w:val="24"/>
          <w:szCs w:val="24"/>
          <w:highlight w:val="none"/>
        </w:rPr>
        <w:t>G.存在共同直接或间接投资设立子公司、联营企业和合营企业情况</w:t>
      </w:r>
      <w:bookmarkEnd w:id="103"/>
    </w:p>
    <w:p w14:paraId="70C13D57">
      <w:pPr>
        <w:pStyle w:val="966"/>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 xml:space="preserve"> H.存在分级代理或代销关系、同一生产制造商关系、</w:t>
      </w:r>
      <w:r>
        <w:rPr>
          <w:rFonts w:hint="eastAsia" w:ascii="仿宋" w:hAnsi="仿宋" w:eastAsia="仿宋" w:cs="仿宋"/>
          <w:color w:val="auto"/>
          <w:sz w:val="24"/>
          <w:szCs w:val="24"/>
          <w:highlight w:val="none"/>
        </w:rPr>
        <w:t>管理关系、重要业务（占主营业务收入50%以上）或重要财务往来关系（如融资）等其他实质性控制关系</w:t>
      </w:r>
    </w:p>
    <w:p w14:paraId="54FB92F8">
      <w:pPr>
        <w:pStyle w:val="966"/>
        <w:keepNext w:val="0"/>
        <w:keepLines w:val="0"/>
        <w:pageBreakBefore w:val="0"/>
        <w:widowControl w:val="0"/>
        <w:tabs>
          <w:tab w:val="left" w:pos="426"/>
        </w:tabs>
        <w:kinsoku/>
        <w:overflowPunct/>
        <w:topLinePunct w:val="0"/>
        <w:autoSpaceDE/>
        <w:autoSpaceDN/>
        <w:bidi w:val="0"/>
        <w:adjustRightInd w:val="0"/>
        <w:snapToGrid w:val="0"/>
        <w:spacing w:line="360" w:lineRule="auto"/>
        <w:ind w:firstLine="480"/>
        <w:jc w:val="both"/>
        <w:textAlignment w:val="auto"/>
        <w:outlineLvl w:val="9"/>
        <w:rPr>
          <w:rFonts w:hint="eastAsia" w:ascii="仿宋" w:hAnsi="仿宋" w:eastAsia="仿宋" w:cs="仿宋"/>
          <w:color w:val="auto"/>
          <w:spacing w:val="6"/>
          <w:sz w:val="24"/>
          <w:szCs w:val="24"/>
          <w:highlight w:val="none"/>
        </w:rPr>
      </w:pPr>
      <w:r>
        <w:rPr>
          <w:rFonts w:hint="eastAsia" w:ascii="仿宋" w:hAnsi="仿宋" w:eastAsia="仿宋" w:cs="仿宋"/>
          <w:color w:val="auto"/>
          <w:sz w:val="24"/>
          <w:szCs w:val="24"/>
          <w:highlight w:val="none"/>
        </w:rPr>
        <w:t>I</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其他利害关系情况</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w:t>
      </w:r>
    </w:p>
    <w:p w14:paraId="0CDBD24C">
      <w:pPr>
        <w:pStyle w:val="967"/>
        <w:keepNext w:val="0"/>
        <w:keepLines w:val="0"/>
        <w:pageBreakBefore w:val="0"/>
        <w:widowControl/>
        <w:numPr>
          <w:ilvl w:val="0"/>
          <w:numId w:val="0"/>
        </w:numPr>
        <w:kinsoku/>
        <w:overflowPunct/>
        <w:topLinePunct w:val="0"/>
        <w:autoSpaceDE/>
        <w:autoSpaceDN/>
        <w:bidi w:val="0"/>
        <w:adjustRightInd w:val="0"/>
        <w:snapToGrid w:val="0"/>
        <w:spacing w:line="360" w:lineRule="auto"/>
        <w:ind w:left="0" w:leftChars="0" w:firstLine="480" w:firstLineChars="0"/>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bidi="ar-SA"/>
        </w:rPr>
        <w:t>三、</w:t>
      </w:r>
      <w:r>
        <w:rPr>
          <w:rFonts w:hint="eastAsia" w:ascii="仿宋" w:hAnsi="仿宋" w:eastAsia="仿宋" w:cs="仿宋"/>
          <w:color w:val="auto"/>
          <w:sz w:val="24"/>
          <w:szCs w:val="24"/>
          <w:highlight w:val="none"/>
        </w:rPr>
        <w:t>现已清楚知道并</w:t>
      </w:r>
      <w:r>
        <w:rPr>
          <w:rFonts w:hint="eastAsia" w:ascii="仿宋" w:hAnsi="仿宋" w:eastAsia="仿宋" w:cs="仿宋"/>
          <w:color w:val="auto"/>
          <w:kern w:val="0"/>
          <w:sz w:val="24"/>
          <w:szCs w:val="24"/>
          <w:highlight w:val="none"/>
        </w:rPr>
        <w:t>严格遵守政府采购法律法规和现场纪律。</w:t>
      </w:r>
    </w:p>
    <w:p w14:paraId="52853D19">
      <w:pPr>
        <w:pStyle w:val="967"/>
        <w:keepNext w:val="0"/>
        <w:keepLines w:val="0"/>
        <w:pageBreakBefore w:val="0"/>
        <w:widowControl/>
        <w:numPr>
          <w:ilvl w:val="0"/>
          <w:numId w:val="0"/>
        </w:numPr>
        <w:kinsoku/>
        <w:overflowPunct/>
        <w:topLinePunct w:val="0"/>
        <w:autoSpaceDE/>
        <w:autoSpaceDN/>
        <w:bidi w:val="0"/>
        <w:adjustRightInd w:val="0"/>
        <w:snapToGrid w:val="0"/>
        <w:spacing w:line="360" w:lineRule="auto"/>
        <w:ind w:left="0" w:leftChars="0" w:firstLine="48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四、</w:t>
      </w:r>
      <w:r>
        <w:rPr>
          <w:rFonts w:hint="eastAsia" w:ascii="仿宋" w:hAnsi="仿宋" w:eastAsia="仿宋" w:cs="仿宋"/>
          <w:color w:val="auto"/>
          <w:kern w:val="0"/>
          <w:sz w:val="24"/>
          <w:szCs w:val="24"/>
          <w:highlight w:val="none"/>
        </w:rPr>
        <w:t>我发现</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供应商之间存在或可能存在上述第二条第</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项利害关系。</w:t>
      </w:r>
    </w:p>
    <w:p w14:paraId="490715BA">
      <w:pPr>
        <w:pStyle w:val="966"/>
        <w:widowControl w:val="0"/>
        <w:snapToGrid w:val="0"/>
        <w:spacing w:line="440" w:lineRule="exact"/>
        <w:ind w:firstLine="480"/>
        <w:jc w:val="both"/>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（供应商代表签名）</w:t>
      </w:r>
    </w:p>
    <w:p w14:paraId="3D4BB2CB">
      <w:pPr>
        <w:pStyle w:val="966"/>
        <w:widowControl w:val="0"/>
        <w:snapToGrid w:val="0"/>
        <w:spacing w:line="440" w:lineRule="exact"/>
        <w:ind w:firstLine="480"/>
        <w:jc w:val="center"/>
        <w:outlineLvl w:val="9"/>
        <w:rPr>
          <w:rFonts w:hint="eastAsia" w:ascii="仿宋" w:hAnsi="仿宋" w:eastAsia="仿宋" w:cs="仿宋"/>
          <w:bCs/>
          <w:color w:val="auto"/>
          <w:sz w:val="24"/>
          <w:highlight w:val="none"/>
        </w:rPr>
      </w:pPr>
      <w:r>
        <w:rPr>
          <w:rFonts w:hint="eastAsia" w:ascii="仿宋" w:hAnsi="仿宋" w:eastAsia="仿宋" w:cs="仿宋"/>
          <w:color w:val="auto"/>
          <w:sz w:val="24"/>
          <w:szCs w:val="24"/>
          <w:highlight w:val="none"/>
        </w:rPr>
        <w:t xml:space="preserve">                                 年  月</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日</w:t>
      </w:r>
    </w:p>
    <w:p w14:paraId="637DF5B1">
      <w:pPr>
        <w:spacing w:line="336" w:lineRule="auto"/>
        <w:jc w:val="center"/>
        <w:rPr>
          <w:rFonts w:hint="eastAsia" w:ascii="仿宋" w:hAnsi="仿宋" w:eastAsia="仿宋" w:cs="仿宋"/>
          <w:b/>
          <w:color w:val="auto"/>
          <w:kern w:val="0"/>
          <w:sz w:val="36"/>
          <w:szCs w:val="36"/>
          <w:highlight w:val="none"/>
        </w:rPr>
      </w:pPr>
    </w:p>
    <w:p w14:paraId="4F6C27B0">
      <w:pPr>
        <w:pStyle w:val="2"/>
        <w:rPr>
          <w:rFonts w:hint="eastAsia"/>
          <w:color w:val="auto"/>
          <w:highlight w:val="none"/>
        </w:rPr>
      </w:pPr>
    </w:p>
    <w:p w14:paraId="522A48A1">
      <w:pPr>
        <w:spacing w:line="336" w:lineRule="auto"/>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1CA26B7F">
      <w:pPr>
        <w:spacing w:line="336" w:lineRule="auto"/>
        <w:jc w:val="center"/>
        <w:outlineLvl w:val="0"/>
        <w:rPr>
          <w:rFonts w:hint="eastAsia" w:ascii="仿宋" w:hAnsi="仿宋" w:eastAsia="仿宋" w:cs="仿宋"/>
          <w:b/>
          <w:color w:val="auto"/>
          <w:kern w:val="0"/>
          <w:sz w:val="24"/>
          <w:highlight w:val="none"/>
        </w:rPr>
      </w:pPr>
    </w:p>
    <w:p w14:paraId="429F31AE">
      <w:pPr>
        <w:spacing w:line="336"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63B8BBDB">
      <w:pPr>
        <w:pStyle w:val="906"/>
        <w:numPr>
          <w:ilvl w:val="0"/>
          <w:numId w:val="4"/>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eastAsia="zh-CN"/>
        </w:rPr>
        <w:t>营业执照(或事业</w:t>
      </w:r>
      <w:r>
        <w:rPr>
          <w:rFonts w:hint="eastAsia" w:ascii="仿宋" w:hAnsi="仿宋" w:eastAsia="仿宋" w:cs="仿宋"/>
          <w:color w:val="auto"/>
          <w:sz w:val="24"/>
          <w:highlight w:val="none"/>
          <w:lang w:val="en-US" w:eastAsia="zh-CN"/>
        </w:rPr>
        <w:t>单位</w:t>
      </w:r>
      <w:r>
        <w:rPr>
          <w:rFonts w:hint="eastAsia" w:ascii="仿宋" w:hAnsi="仿宋" w:eastAsia="仿宋" w:cs="仿宋"/>
          <w:color w:val="auto"/>
          <w:sz w:val="24"/>
          <w:highlight w:val="none"/>
          <w:lang w:eastAsia="zh-CN"/>
        </w:rPr>
        <w:t>法人证书或其它工商等登记证明材料；自然人参与采购，提供身份证</w:t>
      </w:r>
      <w:r>
        <w:rPr>
          <w:rFonts w:hint="eastAsia" w:ascii="仿宋" w:hAnsi="仿宋" w:eastAsia="仿宋" w:cs="仿宋"/>
          <w:color w:val="auto"/>
          <w:sz w:val="24"/>
          <w:highlight w:val="none"/>
          <w:lang w:val="en-US" w:eastAsia="zh-CN"/>
        </w:rPr>
        <w:t>正反面</w:t>
      </w:r>
      <w:r>
        <w:rPr>
          <w:rFonts w:hint="eastAsia" w:ascii="仿宋" w:hAnsi="仿宋" w:eastAsia="仿宋" w:cs="仿宋"/>
          <w:color w:val="auto"/>
          <w:sz w:val="24"/>
          <w:highlight w:val="none"/>
          <w:lang w:eastAsia="zh-CN"/>
        </w:rPr>
        <w:t>)扫描件</w:t>
      </w:r>
      <w:r>
        <w:rPr>
          <w:rFonts w:hint="eastAsia" w:ascii="仿宋" w:hAnsi="仿宋" w:eastAsia="仿宋" w:cs="仿宋"/>
          <w:color w:val="auto"/>
          <w:highlight w:val="none"/>
        </w:rPr>
        <w:t>………………………………………………………………（页码）</w:t>
      </w:r>
    </w:p>
    <w:p w14:paraId="13BD3FAD">
      <w:pPr>
        <w:pStyle w:val="906"/>
        <w:numPr>
          <w:ilvl w:val="0"/>
          <w:numId w:val="4"/>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eastAsia="zh-CN"/>
        </w:rPr>
        <w:t>投标函</w:t>
      </w:r>
      <w:r>
        <w:rPr>
          <w:rFonts w:hint="eastAsia" w:ascii="仿宋" w:hAnsi="仿宋" w:eastAsia="仿宋" w:cs="仿宋"/>
          <w:color w:val="auto"/>
          <w:highlight w:val="none"/>
        </w:rPr>
        <w:t>……………………………………………………………………………（页码）</w:t>
      </w:r>
    </w:p>
    <w:p w14:paraId="15C75D10">
      <w:pPr>
        <w:pStyle w:val="906"/>
        <w:numPr>
          <w:ilvl w:val="0"/>
          <w:numId w:val="4"/>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法定代表人身份证明书</w:t>
      </w:r>
      <w:r>
        <w:rPr>
          <w:rFonts w:hint="eastAsia" w:ascii="仿宋" w:hAnsi="仿宋" w:eastAsia="仿宋" w:cs="仿宋"/>
          <w:color w:val="auto"/>
          <w:highlight w:val="none"/>
        </w:rPr>
        <w:t>……………………………………………………… （页码）</w:t>
      </w:r>
    </w:p>
    <w:p w14:paraId="1AFC6015">
      <w:pPr>
        <w:pStyle w:val="906"/>
        <w:numPr>
          <w:ilvl w:val="0"/>
          <w:numId w:val="4"/>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法定代表人授权委托书及授权代表社保证明（若委托）</w:t>
      </w:r>
      <w:r>
        <w:rPr>
          <w:rFonts w:hint="eastAsia" w:ascii="仿宋" w:hAnsi="仿宋" w:eastAsia="仿宋" w:cs="仿宋"/>
          <w:color w:val="auto"/>
          <w:highlight w:val="none"/>
        </w:rPr>
        <w:t>……………………（页码）</w:t>
      </w:r>
    </w:p>
    <w:p w14:paraId="17E26A98">
      <w:pPr>
        <w:pStyle w:val="906"/>
        <w:numPr>
          <w:ilvl w:val="0"/>
          <w:numId w:val="4"/>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法定代表人及其授权代表身份证复印件（正反面）</w:t>
      </w:r>
      <w:r>
        <w:rPr>
          <w:rFonts w:hint="eastAsia" w:ascii="仿宋" w:hAnsi="仿宋" w:eastAsia="仿宋" w:cs="仿宋"/>
          <w:color w:val="auto"/>
          <w:highlight w:val="none"/>
        </w:rPr>
        <w:t>…………………………（页码）</w:t>
      </w:r>
    </w:p>
    <w:p w14:paraId="643F25A2">
      <w:pPr>
        <w:pStyle w:val="906"/>
        <w:numPr>
          <w:ilvl w:val="0"/>
          <w:numId w:val="4"/>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政府采购供应商廉洁自律承诺书</w:t>
      </w:r>
      <w:r>
        <w:rPr>
          <w:rFonts w:hint="eastAsia" w:ascii="仿宋" w:hAnsi="仿宋" w:eastAsia="仿宋" w:cs="仿宋"/>
          <w:color w:val="auto"/>
          <w:highlight w:val="none"/>
        </w:rPr>
        <w:t>………………………………………………（页码）</w:t>
      </w:r>
    </w:p>
    <w:p w14:paraId="1E87AEC9">
      <w:pPr>
        <w:pStyle w:val="906"/>
        <w:numPr>
          <w:ilvl w:val="0"/>
          <w:numId w:val="4"/>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评分索引表</w:t>
      </w:r>
      <w:r>
        <w:rPr>
          <w:rFonts w:hint="eastAsia" w:ascii="仿宋" w:hAnsi="仿宋" w:eastAsia="仿宋" w:cs="仿宋"/>
          <w:color w:val="auto"/>
          <w:highlight w:val="none"/>
        </w:rPr>
        <w:t>………………………………………………………………………（页码）</w:t>
      </w:r>
    </w:p>
    <w:p w14:paraId="39687F4D">
      <w:pPr>
        <w:pStyle w:val="906"/>
        <w:numPr>
          <w:ilvl w:val="0"/>
          <w:numId w:val="4"/>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资信及商务偏离表</w:t>
      </w:r>
      <w:r>
        <w:rPr>
          <w:rFonts w:hint="eastAsia" w:ascii="仿宋" w:hAnsi="仿宋" w:eastAsia="仿宋" w:cs="仿宋"/>
          <w:color w:val="auto"/>
          <w:highlight w:val="none"/>
        </w:rPr>
        <w:t>………………………………………………………………（页码）</w:t>
      </w:r>
    </w:p>
    <w:p w14:paraId="1D80909C">
      <w:pPr>
        <w:pStyle w:val="906"/>
        <w:numPr>
          <w:ilvl w:val="0"/>
          <w:numId w:val="4"/>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综合实力</w:t>
      </w:r>
      <w:r>
        <w:rPr>
          <w:rFonts w:hint="eastAsia" w:ascii="仿宋" w:hAnsi="仿宋" w:eastAsia="仿宋" w:cs="仿宋"/>
          <w:color w:val="auto"/>
          <w:highlight w:val="none"/>
        </w:rPr>
        <w:t>…………………………………………………………………………（页码）</w:t>
      </w:r>
    </w:p>
    <w:p w14:paraId="0D7D6B63">
      <w:pPr>
        <w:pStyle w:val="906"/>
        <w:numPr>
          <w:ilvl w:val="0"/>
          <w:numId w:val="4"/>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类似成功案例</w:t>
      </w:r>
      <w:r>
        <w:rPr>
          <w:rFonts w:hint="eastAsia" w:ascii="仿宋" w:hAnsi="仿宋" w:eastAsia="仿宋" w:cs="仿宋"/>
          <w:color w:val="auto"/>
          <w:highlight w:val="none"/>
        </w:rPr>
        <w:t>…………………………………………………………………（页码）</w:t>
      </w:r>
    </w:p>
    <w:p w14:paraId="36F18884">
      <w:pPr>
        <w:pStyle w:val="906"/>
        <w:numPr>
          <w:ilvl w:val="0"/>
          <w:numId w:val="4"/>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技术偏离表</w:t>
      </w:r>
      <w:r>
        <w:rPr>
          <w:rFonts w:hint="eastAsia" w:ascii="仿宋" w:hAnsi="仿宋" w:eastAsia="仿宋" w:cs="仿宋"/>
          <w:color w:val="auto"/>
          <w:highlight w:val="none"/>
        </w:rPr>
        <w:t>……………………………………………………………………（页码）</w:t>
      </w:r>
    </w:p>
    <w:p w14:paraId="33C457E9">
      <w:pPr>
        <w:pStyle w:val="906"/>
        <w:numPr>
          <w:ilvl w:val="0"/>
          <w:numId w:val="4"/>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hAnsi="仿宋" w:eastAsia="仿宋" w:cs="仿宋"/>
          <w:color w:val="auto"/>
          <w:sz w:val="24"/>
          <w:szCs w:val="24"/>
          <w:highlight w:val="none"/>
          <w:lang w:val="en-US" w:eastAsia="zh-CN"/>
        </w:rPr>
        <w:t>项目组成员</w:t>
      </w:r>
      <w:r>
        <w:rPr>
          <w:rFonts w:hint="eastAsia" w:ascii="仿宋" w:hAnsi="仿宋" w:eastAsia="仿宋" w:cs="仿宋"/>
          <w:color w:val="auto"/>
          <w:sz w:val="24"/>
          <w:highlight w:val="none"/>
          <w:lang w:val="en-US" w:eastAsia="zh-CN"/>
        </w:rPr>
        <w:t>……………………………………………………………………（页码）</w:t>
      </w:r>
    </w:p>
    <w:p w14:paraId="77AE9AE1">
      <w:pPr>
        <w:pStyle w:val="906"/>
        <w:numPr>
          <w:ilvl w:val="0"/>
          <w:numId w:val="4"/>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eastAsia="仿宋" w:cs="仿宋"/>
          <w:color w:val="auto"/>
          <w:sz w:val="24"/>
          <w:szCs w:val="24"/>
          <w:highlight w:val="none"/>
          <w:lang w:val="en-US" w:eastAsia="zh-CN"/>
        </w:rPr>
        <w:t>拟投入设备</w:t>
      </w:r>
      <w:r>
        <w:rPr>
          <w:rFonts w:hint="eastAsia" w:ascii="仿宋" w:hAnsi="仿宋" w:eastAsia="仿宋" w:cs="仿宋"/>
          <w:color w:val="auto"/>
          <w:sz w:val="24"/>
          <w:highlight w:val="none"/>
          <w:lang w:val="en-US" w:eastAsia="zh-CN"/>
        </w:rPr>
        <w:t>……………………………………………………………………（页码）</w:t>
      </w:r>
    </w:p>
    <w:p w14:paraId="483287C7">
      <w:pPr>
        <w:pStyle w:val="906"/>
        <w:numPr>
          <w:ilvl w:val="0"/>
          <w:numId w:val="4"/>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eastAsia="仿宋" w:cs="仿宋"/>
          <w:color w:val="auto"/>
          <w:sz w:val="24"/>
          <w:highlight w:val="none"/>
          <w:lang w:val="en-US" w:eastAsia="zh-CN"/>
        </w:rPr>
        <w:t>项目理解</w:t>
      </w:r>
      <w:r>
        <w:rPr>
          <w:rFonts w:hint="eastAsia" w:ascii="仿宋" w:hAnsi="仿宋" w:eastAsia="仿宋" w:cs="仿宋"/>
          <w:color w:val="auto"/>
          <w:sz w:val="24"/>
          <w:highlight w:val="none"/>
          <w:lang w:val="en-US" w:eastAsia="zh-CN"/>
        </w:rPr>
        <w:t>………………………………………………………………………（页码）</w:t>
      </w:r>
    </w:p>
    <w:p w14:paraId="69B10474">
      <w:pPr>
        <w:pStyle w:val="906"/>
        <w:numPr>
          <w:ilvl w:val="0"/>
          <w:numId w:val="4"/>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eastAsia="仿宋" w:cs="仿宋"/>
          <w:color w:val="auto"/>
          <w:sz w:val="24"/>
          <w:szCs w:val="24"/>
          <w:highlight w:val="none"/>
          <w:lang w:val="en-US" w:eastAsia="zh-CN"/>
        </w:rPr>
        <w:t>项目计划安排</w:t>
      </w:r>
      <w:r>
        <w:rPr>
          <w:rFonts w:hint="eastAsia" w:ascii="仿宋" w:hAnsi="仿宋" w:eastAsia="仿宋" w:cs="仿宋"/>
          <w:color w:val="auto"/>
          <w:sz w:val="24"/>
          <w:highlight w:val="none"/>
          <w:lang w:val="en-US" w:eastAsia="zh-CN"/>
        </w:rPr>
        <w:t>…………………………………………………………………（页码）</w:t>
      </w:r>
    </w:p>
    <w:p w14:paraId="100D84E5">
      <w:pPr>
        <w:pStyle w:val="906"/>
        <w:numPr>
          <w:ilvl w:val="0"/>
          <w:numId w:val="4"/>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eastAsia="仿宋" w:cs="仿宋"/>
          <w:color w:val="auto"/>
          <w:sz w:val="24"/>
          <w:szCs w:val="24"/>
          <w:highlight w:val="none"/>
          <w:lang w:val="en-US" w:eastAsia="zh-CN"/>
        </w:rPr>
        <w:t>实施方案</w:t>
      </w:r>
      <w:r>
        <w:rPr>
          <w:rFonts w:hint="eastAsia" w:ascii="仿宋" w:hAnsi="仿宋" w:eastAsia="仿宋" w:cs="仿宋"/>
          <w:color w:val="auto"/>
          <w:sz w:val="24"/>
          <w:highlight w:val="none"/>
          <w:lang w:val="en-US" w:eastAsia="zh-CN"/>
        </w:rPr>
        <w:t>………………………………………………………………………（页码）</w:t>
      </w:r>
    </w:p>
    <w:p w14:paraId="0ECB44A9">
      <w:pPr>
        <w:pStyle w:val="906"/>
        <w:numPr>
          <w:ilvl w:val="0"/>
          <w:numId w:val="4"/>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eastAsia="仿宋" w:cs="仿宋"/>
          <w:color w:val="auto"/>
          <w:sz w:val="24"/>
          <w:szCs w:val="24"/>
          <w:highlight w:val="none"/>
          <w:lang w:val="en-US" w:eastAsia="zh-CN"/>
        </w:rPr>
        <w:t>重点难点分析</w:t>
      </w:r>
      <w:r>
        <w:rPr>
          <w:rFonts w:hint="eastAsia" w:ascii="仿宋" w:hAnsi="仿宋" w:eastAsia="仿宋" w:cs="仿宋"/>
          <w:color w:val="auto"/>
          <w:sz w:val="24"/>
          <w:highlight w:val="none"/>
          <w:lang w:val="en-US" w:eastAsia="zh-CN"/>
        </w:rPr>
        <w:t>…………………………………………………………………（页码）</w:t>
      </w:r>
    </w:p>
    <w:p w14:paraId="6D13BBB8">
      <w:pPr>
        <w:pStyle w:val="906"/>
        <w:numPr>
          <w:ilvl w:val="0"/>
          <w:numId w:val="4"/>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eastAsia="仿宋" w:cs="仿宋"/>
          <w:color w:val="auto"/>
          <w:sz w:val="24"/>
          <w:szCs w:val="24"/>
          <w:highlight w:val="none"/>
          <w:lang w:val="en-US" w:eastAsia="zh-CN"/>
        </w:rPr>
        <w:t>应急处理</w:t>
      </w:r>
      <w:r>
        <w:rPr>
          <w:rFonts w:hint="eastAsia" w:ascii="仿宋" w:hAnsi="仿宋" w:eastAsia="仿宋" w:cs="仿宋"/>
          <w:color w:val="auto"/>
          <w:sz w:val="24"/>
          <w:highlight w:val="none"/>
          <w:lang w:val="en-US" w:eastAsia="zh-CN"/>
        </w:rPr>
        <w:t>………………………………………………………………………（页码）</w:t>
      </w:r>
    </w:p>
    <w:p w14:paraId="75509B1E">
      <w:pPr>
        <w:pStyle w:val="906"/>
        <w:numPr>
          <w:ilvl w:val="0"/>
          <w:numId w:val="4"/>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hAnsi="仿宋" w:eastAsia="仿宋" w:cs="仿宋"/>
          <w:color w:val="auto"/>
          <w:sz w:val="24"/>
          <w:szCs w:val="24"/>
          <w:highlight w:val="none"/>
        </w:rPr>
        <w:t>便利服务</w:t>
      </w:r>
      <w:r>
        <w:rPr>
          <w:rFonts w:hint="eastAsia" w:ascii="仿宋" w:hAnsi="仿宋" w:eastAsia="仿宋" w:cs="仿宋"/>
          <w:color w:val="auto"/>
          <w:sz w:val="24"/>
          <w:highlight w:val="none"/>
          <w:lang w:val="en-US" w:eastAsia="zh-CN"/>
        </w:rPr>
        <w:t>………………………………………………………………………（页码）</w:t>
      </w:r>
    </w:p>
    <w:p w14:paraId="302AD9E8">
      <w:pPr>
        <w:pStyle w:val="906"/>
        <w:numPr>
          <w:ilvl w:val="0"/>
          <w:numId w:val="4"/>
        </w:numPr>
        <w:spacing w:line="336" w:lineRule="auto"/>
        <w:ind w:left="0" w:firstLine="0" w:firstLineChars="0"/>
        <w:jc w:val="both"/>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未尽事宜请各投标单位按评分标准和相对应标项相关要求制作…………（页码）</w:t>
      </w:r>
    </w:p>
    <w:p w14:paraId="17959A90">
      <w:pPr>
        <w:pStyle w:val="906"/>
        <w:numPr>
          <w:ilvl w:val="0"/>
          <w:numId w:val="4"/>
        </w:numPr>
        <w:spacing w:line="336" w:lineRule="auto"/>
        <w:ind w:left="0" w:firstLine="0" w:firstLineChars="0"/>
        <w:jc w:val="both"/>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val="en-US" w:eastAsia="zh-CN"/>
        </w:rPr>
        <w:t>投标人需要说明的其他文件和说明（如果有)………………………</w:t>
      </w:r>
      <w:r>
        <w:rPr>
          <w:rFonts w:hint="eastAsia" w:ascii="仿宋" w:hAnsi="仿宋" w:eastAsia="仿宋" w:cs="仿宋"/>
          <w:color w:val="auto"/>
          <w:highlight w:val="none"/>
        </w:rPr>
        <w:t>…</w:t>
      </w:r>
      <w:r>
        <w:rPr>
          <w:rFonts w:hint="eastAsia" w:ascii="仿宋" w:hAnsi="仿宋" w:eastAsia="仿宋" w:cs="仿宋"/>
          <w:color w:val="auto"/>
          <w:sz w:val="24"/>
          <w:highlight w:val="none"/>
          <w:lang w:val="en-US" w:eastAsia="zh-CN"/>
        </w:rPr>
        <w:t>……（页码）</w:t>
      </w:r>
    </w:p>
    <w:p w14:paraId="38F3A5AD">
      <w:pPr>
        <w:snapToGrid w:val="0"/>
        <w:spacing w:line="360" w:lineRule="auto"/>
        <w:jc w:val="center"/>
        <w:rPr>
          <w:rFonts w:hint="eastAsia" w:ascii="仿宋" w:hAnsi="仿宋" w:eastAsia="仿宋" w:cs="仿宋"/>
          <w:b/>
          <w:color w:val="auto"/>
          <w:kern w:val="0"/>
          <w:sz w:val="32"/>
          <w:szCs w:val="32"/>
          <w:highlight w:val="none"/>
          <w:lang w:val="zh-CN"/>
        </w:rPr>
      </w:pPr>
    </w:p>
    <w:p w14:paraId="2FC003BC">
      <w:pPr>
        <w:snapToGrid w:val="0"/>
        <w:spacing w:line="360" w:lineRule="auto"/>
        <w:jc w:val="center"/>
        <w:rPr>
          <w:rFonts w:hint="eastAsia" w:ascii="仿宋" w:hAnsi="仿宋" w:eastAsia="仿宋" w:cs="仿宋"/>
          <w:b/>
          <w:color w:val="auto"/>
          <w:kern w:val="0"/>
          <w:sz w:val="32"/>
          <w:szCs w:val="32"/>
          <w:highlight w:val="none"/>
          <w:lang w:val="zh-CN"/>
        </w:rPr>
      </w:pPr>
    </w:p>
    <w:p w14:paraId="1AFC1E99">
      <w:pPr>
        <w:snapToGrid w:val="0"/>
        <w:spacing w:line="360" w:lineRule="auto"/>
        <w:jc w:val="center"/>
        <w:rPr>
          <w:rFonts w:hint="eastAsia" w:ascii="仿宋" w:hAnsi="仿宋" w:eastAsia="仿宋" w:cs="仿宋"/>
          <w:b/>
          <w:color w:val="auto"/>
          <w:kern w:val="0"/>
          <w:sz w:val="32"/>
          <w:szCs w:val="32"/>
          <w:highlight w:val="none"/>
          <w:lang w:val="zh-CN"/>
        </w:rPr>
      </w:pPr>
    </w:p>
    <w:p w14:paraId="44CF2D16">
      <w:pPr>
        <w:snapToGrid w:val="0"/>
        <w:spacing w:line="360" w:lineRule="auto"/>
        <w:jc w:val="both"/>
        <w:rPr>
          <w:rFonts w:hint="eastAsia" w:ascii="仿宋" w:hAnsi="仿宋" w:eastAsia="仿宋" w:cs="仿宋"/>
          <w:b/>
          <w:color w:val="auto"/>
          <w:kern w:val="0"/>
          <w:sz w:val="32"/>
          <w:szCs w:val="32"/>
          <w:highlight w:val="none"/>
          <w:lang w:val="zh-CN"/>
        </w:rPr>
      </w:pPr>
    </w:p>
    <w:p w14:paraId="67FEBAA2">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5637191E">
      <w:pPr>
        <w:snapToGrid w:val="0"/>
        <w:spacing w:line="360" w:lineRule="auto"/>
        <w:jc w:val="center"/>
        <w:outlineLvl w:val="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一、营业执照(或事业单位法人证书或其它工商等登记证明材料；自然人参与采购，提供身份证正反面)扫描件</w:t>
      </w:r>
    </w:p>
    <w:p w14:paraId="08067E2F">
      <w:pPr>
        <w:snapToGrid w:val="0"/>
        <w:spacing w:line="360" w:lineRule="auto"/>
        <w:jc w:val="center"/>
        <w:outlineLvl w:val="0"/>
        <w:rPr>
          <w:rFonts w:hint="eastAsia" w:ascii="仿宋" w:hAnsi="仿宋" w:eastAsia="仿宋" w:cs="仿宋"/>
          <w:b/>
          <w:color w:val="auto"/>
          <w:kern w:val="0"/>
          <w:sz w:val="32"/>
          <w:szCs w:val="32"/>
          <w:highlight w:val="none"/>
        </w:rPr>
      </w:pPr>
    </w:p>
    <w:p w14:paraId="4F8D71DA">
      <w:pPr>
        <w:snapToGrid w:val="0"/>
        <w:spacing w:line="360" w:lineRule="auto"/>
        <w:jc w:val="center"/>
        <w:outlineLvl w:val="0"/>
        <w:rPr>
          <w:rFonts w:hint="eastAsia" w:ascii="仿宋" w:hAnsi="仿宋" w:eastAsia="仿宋" w:cs="仿宋"/>
          <w:b/>
          <w:color w:val="auto"/>
          <w:kern w:val="0"/>
          <w:sz w:val="32"/>
          <w:szCs w:val="32"/>
          <w:highlight w:val="none"/>
        </w:rPr>
      </w:pPr>
    </w:p>
    <w:p w14:paraId="5861AA6F">
      <w:pPr>
        <w:snapToGrid w:val="0"/>
        <w:spacing w:line="360" w:lineRule="auto"/>
        <w:jc w:val="center"/>
        <w:outlineLvl w:val="0"/>
        <w:rPr>
          <w:rFonts w:hint="eastAsia" w:ascii="仿宋" w:hAnsi="仿宋" w:eastAsia="仿宋" w:cs="仿宋"/>
          <w:b/>
          <w:color w:val="auto"/>
          <w:kern w:val="0"/>
          <w:sz w:val="32"/>
          <w:szCs w:val="32"/>
          <w:highlight w:val="none"/>
        </w:rPr>
      </w:pPr>
    </w:p>
    <w:p w14:paraId="4D9FDA29">
      <w:pPr>
        <w:snapToGrid w:val="0"/>
        <w:spacing w:line="360" w:lineRule="auto"/>
        <w:jc w:val="center"/>
        <w:outlineLvl w:val="0"/>
        <w:rPr>
          <w:rFonts w:hint="eastAsia" w:ascii="仿宋" w:hAnsi="仿宋" w:eastAsia="仿宋" w:cs="仿宋"/>
          <w:b/>
          <w:color w:val="auto"/>
          <w:kern w:val="0"/>
          <w:sz w:val="32"/>
          <w:szCs w:val="32"/>
          <w:highlight w:val="none"/>
        </w:rPr>
      </w:pPr>
    </w:p>
    <w:p w14:paraId="59CB35C6">
      <w:pPr>
        <w:snapToGrid w:val="0"/>
        <w:spacing w:line="360" w:lineRule="auto"/>
        <w:jc w:val="center"/>
        <w:outlineLvl w:val="0"/>
        <w:rPr>
          <w:rFonts w:hint="eastAsia" w:ascii="仿宋" w:hAnsi="仿宋" w:eastAsia="仿宋" w:cs="仿宋"/>
          <w:b/>
          <w:color w:val="auto"/>
          <w:kern w:val="0"/>
          <w:sz w:val="32"/>
          <w:szCs w:val="32"/>
          <w:highlight w:val="none"/>
        </w:rPr>
      </w:pPr>
    </w:p>
    <w:p w14:paraId="79B16C20">
      <w:pPr>
        <w:snapToGrid w:val="0"/>
        <w:spacing w:line="360" w:lineRule="auto"/>
        <w:jc w:val="center"/>
        <w:outlineLvl w:val="0"/>
        <w:rPr>
          <w:rFonts w:hint="eastAsia" w:ascii="仿宋" w:hAnsi="仿宋" w:eastAsia="仿宋" w:cs="仿宋"/>
          <w:b/>
          <w:color w:val="auto"/>
          <w:kern w:val="0"/>
          <w:sz w:val="32"/>
          <w:szCs w:val="32"/>
          <w:highlight w:val="none"/>
        </w:rPr>
      </w:pPr>
    </w:p>
    <w:p w14:paraId="2D97841E">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lang w:val="en-US" w:eastAsia="zh-CN"/>
        </w:rPr>
        <w:t>二</w:t>
      </w:r>
      <w:r>
        <w:rPr>
          <w:rFonts w:hint="eastAsia" w:ascii="仿宋" w:hAnsi="仿宋" w:eastAsia="仿宋" w:cs="仿宋"/>
          <w:b/>
          <w:color w:val="auto"/>
          <w:kern w:val="0"/>
          <w:sz w:val="32"/>
          <w:szCs w:val="32"/>
          <w:highlight w:val="none"/>
        </w:rPr>
        <w:t>、投标</w:t>
      </w:r>
      <w:r>
        <w:rPr>
          <w:rFonts w:hint="eastAsia" w:ascii="仿宋" w:hAnsi="仿宋" w:eastAsia="仿宋" w:cs="仿宋"/>
          <w:b/>
          <w:color w:val="auto"/>
          <w:sz w:val="32"/>
          <w:szCs w:val="32"/>
          <w:highlight w:val="none"/>
        </w:rPr>
        <w:t>函</w:t>
      </w:r>
    </w:p>
    <w:p w14:paraId="79EA6B9E">
      <w:pPr>
        <w:pStyle w:val="397"/>
        <w:keepNext w:val="0"/>
        <w:keepLines w:val="0"/>
        <w:pageBreakBefore w:val="0"/>
        <w:kinsoku/>
        <w:wordWrap/>
        <w:overflowPunct/>
        <w:topLinePunct w:val="0"/>
        <w:autoSpaceDE/>
        <w:autoSpaceDN/>
        <w:bidi w:val="0"/>
        <w:spacing w:after="0" w:line="336"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lang w:val="en-US" w:eastAsia="zh-CN"/>
        </w:rPr>
        <w:t xml:space="preserve">              </w:t>
      </w:r>
    </w:p>
    <w:p w14:paraId="6A2E9416">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根据贵方招标文件（</w:t>
      </w:r>
      <w:r>
        <w:rPr>
          <w:rFonts w:hint="eastAsia" w:ascii="仿宋" w:hAnsi="仿宋" w:eastAsia="仿宋" w:cs="仿宋"/>
          <w:b/>
          <w:color w:val="auto"/>
          <w:sz w:val="24"/>
          <w:szCs w:val="24"/>
          <w:highlight w:val="none"/>
          <w:u w:val="single"/>
        </w:rPr>
        <w:t>填写招标编号：</w:t>
      </w:r>
      <w:r>
        <w:rPr>
          <w:rFonts w:hint="eastAsia" w:ascii="仿宋" w:hAnsi="仿宋" w:eastAsia="仿宋" w:cs="仿宋"/>
          <w:color w:val="auto"/>
          <w:sz w:val="24"/>
          <w:szCs w:val="24"/>
          <w:highlight w:val="none"/>
        </w:rPr>
        <w:t>）的要求，正式授权</w:t>
      </w:r>
      <w:r>
        <w:rPr>
          <w:rFonts w:hint="eastAsia" w:ascii="仿宋" w:hAnsi="仿宋" w:eastAsia="仿宋" w:cs="仿宋"/>
          <w:b/>
          <w:color w:val="auto"/>
          <w:sz w:val="24"/>
          <w:szCs w:val="24"/>
          <w:highlight w:val="none"/>
          <w:u w:val="single"/>
        </w:rPr>
        <w:t>（全权代表姓名    、单位    、职务   ）</w:t>
      </w:r>
      <w:r>
        <w:rPr>
          <w:rFonts w:hint="eastAsia" w:ascii="仿宋" w:hAnsi="仿宋" w:eastAsia="仿宋" w:cs="仿宋"/>
          <w:color w:val="auto"/>
          <w:sz w:val="24"/>
          <w:szCs w:val="24"/>
          <w:highlight w:val="none"/>
        </w:rPr>
        <w:t>代表投标人</w:t>
      </w:r>
      <w:r>
        <w:rPr>
          <w:rFonts w:hint="eastAsia" w:ascii="仿宋" w:hAnsi="仿宋" w:eastAsia="仿宋" w:cs="仿宋"/>
          <w:color w:val="auto"/>
          <w:sz w:val="24"/>
          <w:szCs w:val="24"/>
          <w:highlight w:val="none"/>
          <w:u w:val="single"/>
        </w:rPr>
        <w:t>（</w:t>
      </w:r>
      <w:r>
        <w:rPr>
          <w:rFonts w:hint="eastAsia" w:ascii="仿宋" w:hAnsi="仿宋" w:eastAsia="仿宋" w:cs="仿宋"/>
          <w:b/>
          <w:color w:val="auto"/>
          <w:sz w:val="24"/>
          <w:szCs w:val="24"/>
          <w:highlight w:val="none"/>
          <w:u w:val="single"/>
        </w:rPr>
        <w:t xml:space="preserve">填写单位    、地址   </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提交投标文件。</w:t>
      </w:r>
    </w:p>
    <w:p w14:paraId="7829D8B6">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我方已完全明白招标文件的所有条款要求，兹声明同意如下：</w:t>
      </w:r>
    </w:p>
    <w:p w14:paraId="3F0D08E8">
      <w:pPr>
        <w:pStyle w:val="17"/>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1.我方同意在投标人</w:t>
      </w:r>
      <w:r>
        <w:rPr>
          <w:rFonts w:hint="eastAsia" w:ascii="仿宋" w:hAnsi="仿宋" w:eastAsia="仿宋" w:cs="仿宋"/>
          <w:color w:val="auto"/>
          <w:kern w:val="44"/>
          <w:sz w:val="24"/>
          <w:szCs w:val="24"/>
          <w:highlight w:val="none"/>
        </w:rPr>
        <w:t>须知</w:t>
      </w:r>
      <w:r>
        <w:rPr>
          <w:rFonts w:hint="eastAsia" w:ascii="仿宋" w:hAnsi="仿宋" w:eastAsia="仿宋" w:cs="仿宋"/>
          <w:color w:val="auto"/>
          <w:sz w:val="24"/>
          <w:szCs w:val="24"/>
          <w:highlight w:val="none"/>
        </w:rPr>
        <w:t>规定的开标日期起遵守本投标文件中的承诺且在投标有效期满之前均具有约束力。</w:t>
      </w:r>
    </w:p>
    <w:p w14:paraId="1E85289F">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2.我方承诺已经具备《中华人民共和国政府采购法》中规定的参加政府采购活动的供应商应当具备的条件。</w:t>
      </w:r>
    </w:p>
    <w:p w14:paraId="696FBF22">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3.本公司投标文件中填列的技术参数、配置、服务、数量等相关内容都是真实、准确的。保证在本次项目中所提供的资料全部真实和合法。同意向</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提供可能另外要求的与投标有关的任何数据或资料。</w:t>
      </w:r>
    </w:p>
    <w:p w14:paraId="3EFBBA3E">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4.我方理解贵方将不受你们所收到的最低报价的约束。</w:t>
      </w:r>
    </w:p>
    <w:p w14:paraId="2C2793BF">
      <w:pPr>
        <w:pStyle w:val="17"/>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5.本投标自开标之日（投标截止之日）起90天内有效。</w:t>
      </w:r>
    </w:p>
    <w:p w14:paraId="31DD9D41">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38618EC4">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a)提供虚假材料谋取中标、成交的；</w:t>
      </w:r>
    </w:p>
    <w:p w14:paraId="2E0C51E6">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b)采取不正当手段诋毁、排挤其他供应商的；</w:t>
      </w:r>
    </w:p>
    <w:p w14:paraId="5AFEB175">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c)与采购人、其它供应商或者采购代理机构恶意串通的；</w:t>
      </w:r>
    </w:p>
    <w:p w14:paraId="3892ACE4">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d)向采购人、采购代理机构行贿或者提供其他不正当利益的；</w:t>
      </w:r>
    </w:p>
    <w:p w14:paraId="33211972">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e)在招标采购过程中与采购人进行协商谈判的；</w:t>
      </w:r>
    </w:p>
    <w:p w14:paraId="087E72ED">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f)拒绝有关部门监督检查或提供虚假情况的。</w:t>
      </w:r>
    </w:p>
    <w:p w14:paraId="33998E4B">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供应商有前款第a)至e)项情形之一的，中标、成交无效。</w:t>
      </w:r>
    </w:p>
    <w:p w14:paraId="14ED4BAA">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　　　　　　　　　　　　　　　邮政编码：</w:t>
      </w:r>
    </w:p>
    <w:p w14:paraId="06048AFD">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                              传真：</w:t>
      </w:r>
    </w:p>
    <w:p w14:paraId="7E9AB4B4">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                          帐号：</w:t>
      </w:r>
    </w:p>
    <w:p w14:paraId="62E6C1A2">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法定代表人或其授权代表(签字或盖章)：</w:t>
      </w:r>
    </w:p>
    <w:p w14:paraId="0FCCAEFA">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color w:val="auto"/>
          <w:sz w:val="24"/>
          <w:szCs w:val="24"/>
          <w:highlight w:val="none"/>
        </w:rPr>
      </w:pPr>
    </w:p>
    <w:p w14:paraId="298BEB25">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投标人(电子签章)：　　　　　　　　　日期：  </w:t>
      </w:r>
    </w:p>
    <w:p w14:paraId="5AF0FC0D">
      <w:pPr>
        <w:pStyle w:val="81"/>
        <w:rPr>
          <w:rFonts w:hint="eastAsia" w:ascii="仿宋" w:hAnsi="仿宋" w:eastAsia="仿宋" w:cs="仿宋"/>
          <w:color w:val="auto"/>
          <w:sz w:val="24"/>
          <w:szCs w:val="24"/>
          <w:highlight w:val="none"/>
        </w:rPr>
      </w:pPr>
    </w:p>
    <w:p w14:paraId="21BED9FA">
      <w:pPr>
        <w:rPr>
          <w:rFonts w:hint="eastAsia" w:ascii="仿宋" w:hAnsi="仿宋" w:eastAsia="仿宋" w:cs="仿宋"/>
          <w:color w:val="auto"/>
          <w:sz w:val="24"/>
          <w:szCs w:val="24"/>
          <w:highlight w:val="none"/>
        </w:rPr>
      </w:pPr>
    </w:p>
    <w:p w14:paraId="21A768D1">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三、</w:t>
      </w:r>
      <w:r>
        <w:rPr>
          <w:rFonts w:hint="eastAsia" w:ascii="仿宋" w:hAnsi="仿宋" w:eastAsia="仿宋" w:cs="仿宋"/>
          <w:b/>
          <w:color w:val="auto"/>
          <w:kern w:val="0"/>
          <w:sz w:val="32"/>
          <w:szCs w:val="32"/>
          <w:highlight w:val="none"/>
        </w:rPr>
        <w:t>法定代表人身份证明书</w:t>
      </w:r>
    </w:p>
    <w:p w14:paraId="293A61C4">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 标 人：</w:t>
      </w:r>
      <w:r>
        <w:rPr>
          <w:rFonts w:hint="eastAsia" w:ascii="仿宋" w:hAnsi="仿宋" w:eastAsia="仿宋" w:cs="仿宋"/>
          <w:color w:val="auto"/>
          <w:sz w:val="24"/>
          <w:highlight w:val="none"/>
          <w:u w:val="single"/>
        </w:rPr>
        <w:t xml:space="preserve">                          </w:t>
      </w:r>
    </w:p>
    <w:p w14:paraId="66E81618">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14:paraId="726C70DE">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姓    名：</w:t>
      </w:r>
      <w:r>
        <w:rPr>
          <w:rFonts w:hint="eastAsia" w:ascii="仿宋" w:hAnsi="仿宋" w:eastAsia="仿宋" w:cs="仿宋"/>
          <w:color w:val="auto"/>
          <w:sz w:val="24"/>
          <w:highlight w:val="none"/>
          <w:u w:val="single"/>
        </w:rPr>
        <w:t xml:space="preserve">                          </w:t>
      </w:r>
    </w:p>
    <w:p w14:paraId="5F49D0E2">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14:paraId="0965C173">
      <w:pPr>
        <w:spacing w:line="440" w:lineRule="exact"/>
        <w:ind w:right="281" w:rightChars="134"/>
        <w:rPr>
          <w:rFonts w:hint="eastAsia" w:ascii="仿宋" w:hAnsi="仿宋" w:eastAsia="仿宋" w:cs="仿宋"/>
          <w:color w:val="auto"/>
          <w:sz w:val="24"/>
          <w:highlight w:val="none"/>
        </w:rPr>
      </w:pPr>
      <w:r>
        <w:rPr>
          <w:rFonts w:hint="eastAsia" w:ascii="仿宋" w:hAnsi="仿宋" w:eastAsia="仿宋" w:cs="仿宋"/>
          <w:color w:val="auto"/>
          <w:sz w:val="24"/>
          <w:highlight w:val="none"/>
        </w:rPr>
        <w:t>职   务：</w:t>
      </w:r>
      <w:r>
        <w:rPr>
          <w:rFonts w:hint="eastAsia" w:ascii="仿宋" w:hAnsi="仿宋" w:eastAsia="仿宋" w:cs="仿宋"/>
          <w:color w:val="auto"/>
          <w:sz w:val="24"/>
          <w:highlight w:val="none"/>
          <w:u w:val="single"/>
        </w:rPr>
        <w:t xml:space="preserve">                           </w:t>
      </w:r>
    </w:p>
    <w:p w14:paraId="25DD0F86">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（填写投标人名称）</w:t>
      </w:r>
      <w:r>
        <w:rPr>
          <w:rFonts w:hint="eastAsia" w:ascii="仿宋" w:hAnsi="仿宋" w:eastAsia="仿宋" w:cs="仿宋"/>
          <w:color w:val="auto"/>
          <w:sz w:val="24"/>
          <w:highlight w:val="none"/>
        </w:rPr>
        <w:t>的法定代表人。</w:t>
      </w:r>
    </w:p>
    <w:p w14:paraId="75A9E133">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14:paraId="0DB541DB">
      <w:pPr>
        <w:spacing w:line="440" w:lineRule="exact"/>
        <w:rPr>
          <w:rFonts w:hint="eastAsia" w:ascii="仿宋" w:hAnsi="仿宋" w:eastAsia="仿宋" w:cs="仿宋"/>
          <w:color w:val="auto"/>
          <w:sz w:val="24"/>
          <w:highlight w:val="none"/>
        </w:rPr>
      </w:pPr>
    </w:p>
    <w:p w14:paraId="05B55408">
      <w:pPr>
        <w:spacing w:line="440" w:lineRule="exact"/>
        <w:ind w:firstLine="5760" w:firstLineChars="24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sz w:val="24"/>
          <w:highlight w:val="none"/>
          <w:lang w:eastAsia="zh-CN"/>
        </w:rPr>
        <w:t>名称</w:t>
      </w:r>
      <w:r>
        <w:rPr>
          <w:rFonts w:hint="eastAsia" w:ascii="仿宋" w:hAnsi="仿宋" w:eastAsia="仿宋" w:cs="仿宋"/>
          <w:color w:val="auto"/>
          <w:sz w:val="24"/>
          <w:highlight w:val="none"/>
        </w:rPr>
        <w:t>（电子签章）：</w:t>
      </w:r>
    </w:p>
    <w:p w14:paraId="124F8A8A">
      <w:pPr>
        <w:spacing w:line="440" w:lineRule="exact"/>
        <w:ind w:right="480" w:firstLine="5760" w:firstLineChars="24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法定代表人（签字或盖章）：</w:t>
      </w:r>
    </w:p>
    <w:p w14:paraId="3FC96775">
      <w:pPr>
        <w:spacing w:line="440" w:lineRule="exact"/>
        <w:ind w:right="720" w:firstLine="6720" w:firstLineChars="280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p w14:paraId="6E72B2BD">
      <w:pPr>
        <w:snapToGrid w:val="0"/>
        <w:spacing w:line="360" w:lineRule="auto"/>
        <w:ind w:right="480"/>
        <w:jc w:val="center"/>
        <w:rPr>
          <w:rFonts w:hint="eastAsia" w:ascii="仿宋" w:hAnsi="仿宋" w:eastAsia="仿宋" w:cs="仿宋"/>
          <w:b/>
          <w:color w:val="auto"/>
          <w:kern w:val="0"/>
          <w:sz w:val="32"/>
          <w:szCs w:val="32"/>
          <w:highlight w:val="none"/>
        </w:rPr>
      </w:pPr>
    </w:p>
    <w:p w14:paraId="4F5DD719">
      <w:pPr>
        <w:snapToGrid w:val="0"/>
        <w:spacing w:line="360" w:lineRule="auto"/>
        <w:ind w:right="480"/>
        <w:jc w:val="center"/>
        <w:rPr>
          <w:rFonts w:hint="eastAsia" w:ascii="仿宋" w:hAnsi="仿宋" w:eastAsia="仿宋" w:cs="仿宋"/>
          <w:b/>
          <w:color w:val="auto"/>
          <w:kern w:val="0"/>
          <w:sz w:val="32"/>
          <w:szCs w:val="32"/>
          <w:highlight w:val="none"/>
          <w:lang w:val="en-US" w:eastAsia="zh-CN"/>
        </w:rPr>
        <w:sectPr>
          <w:headerReference r:id="rId13" w:type="first"/>
          <w:footerReference r:id="rId15" w:type="first"/>
          <w:headerReference r:id="rId12" w:type="default"/>
          <w:footerReference r:id="rId14" w:type="default"/>
          <w:pgSz w:w="11906" w:h="16838"/>
          <w:pgMar w:top="1276" w:right="1418" w:bottom="1247" w:left="1418" w:header="851" w:footer="992" w:gutter="0"/>
          <w:pgNumType w:fmt="decimal"/>
          <w:cols w:space="720" w:num="1"/>
          <w:titlePg/>
          <w:docGrid w:linePitch="312" w:charSpace="0"/>
        </w:sectPr>
      </w:pPr>
    </w:p>
    <w:p w14:paraId="4D6D31AD">
      <w:pPr>
        <w:snapToGrid w:val="0"/>
        <w:spacing w:line="360" w:lineRule="auto"/>
        <w:ind w:right="480"/>
        <w:jc w:val="center"/>
        <w:rPr>
          <w:rFonts w:hint="eastAsia" w:ascii="仿宋" w:hAnsi="仿宋" w:eastAsia="仿宋" w:cs="仿宋"/>
          <w:b/>
          <w:color w:val="auto"/>
          <w:kern w:val="0"/>
          <w:sz w:val="32"/>
          <w:szCs w:val="32"/>
          <w:highlight w:val="none"/>
          <w:lang w:val="en-US" w:eastAsia="zh-CN"/>
        </w:rPr>
      </w:pPr>
      <w:r>
        <w:rPr>
          <w:rFonts w:hint="eastAsia" w:ascii="仿宋" w:hAnsi="仿宋" w:eastAsia="仿宋" w:cs="仿宋"/>
          <w:b/>
          <w:color w:val="auto"/>
          <w:kern w:val="0"/>
          <w:sz w:val="32"/>
          <w:szCs w:val="32"/>
          <w:highlight w:val="none"/>
          <w:lang w:val="en-US" w:eastAsia="zh-CN"/>
        </w:rPr>
        <w:t>四、法定代表人授权委托书及授权代表社保证明（若委托）</w:t>
      </w:r>
    </w:p>
    <w:p w14:paraId="11A076A9">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4E54D8D3">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37B68C86">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3959F0DB">
      <w:pPr>
        <w:snapToGrid w:val="0"/>
        <w:spacing w:line="600" w:lineRule="exact"/>
        <w:jc w:val="left"/>
        <w:rPr>
          <w:rFonts w:hint="eastAsia" w:ascii="仿宋" w:hAnsi="仿宋" w:eastAsia="仿宋" w:cs="仿宋"/>
          <w:color w:val="auto"/>
          <w:sz w:val="24"/>
          <w:highlight w:val="none"/>
        </w:rPr>
      </w:pPr>
    </w:p>
    <w:p w14:paraId="1D407131">
      <w:pPr>
        <w:keepNext w:val="0"/>
        <w:keepLines w:val="0"/>
        <w:pageBreakBefore w:val="0"/>
        <w:kinsoku/>
        <w:wordWrap/>
        <w:overflowPunct/>
        <w:topLinePunct w:val="0"/>
        <w:autoSpaceDE/>
        <w:autoSpaceDN/>
        <w:bidi w:val="0"/>
        <w:adjustRightIn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授权代表（签字或盖章）：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性别：               年龄：</w:t>
      </w:r>
    </w:p>
    <w:p w14:paraId="4F58D029">
      <w:pPr>
        <w:keepNext w:val="0"/>
        <w:keepLines w:val="0"/>
        <w:pageBreakBefore w:val="0"/>
        <w:kinsoku/>
        <w:wordWrap/>
        <w:overflowPunct/>
        <w:topLinePunct w:val="0"/>
        <w:autoSpaceDE/>
        <w:autoSpaceDN/>
        <w:bidi w:val="0"/>
        <w:adjustRightIn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单位：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部门：               职务：</w:t>
      </w:r>
    </w:p>
    <w:p w14:paraId="58B8E561">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 xml:space="preserve">办公地址：                  </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rPr>
        <w:t>联系电话：           传真：</w:t>
      </w:r>
    </w:p>
    <w:p w14:paraId="40CD0422">
      <w:pPr>
        <w:keepNext w:val="0"/>
        <w:keepLines w:val="0"/>
        <w:pageBreakBefore w:val="0"/>
        <w:kinsoku/>
        <w:wordWrap/>
        <w:overflowPunct/>
        <w:topLinePunct w:val="0"/>
        <w:autoSpaceDE/>
        <w:autoSpaceDN/>
        <w:bidi w:val="0"/>
        <w:adjustRightIn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kern w:val="0"/>
          <w:sz w:val="24"/>
          <w:highlight w:val="none"/>
          <w:lang w:val="zh-CN"/>
        </w:rPr>
        <w:t>电子签章</w:t>
      </w:r>
      <w:r>
        <w:rPr>
          <w:rFonts w:hint="eastAsia" w:ascii="仿宋" w:hAnsi="仿宋" w:eastAsia="仿宋" w:cs="仿宋"/>
          <w:color w:val="auto"/>
          <w:sz w:val="24"/>
          <w:highlight w:val="none"/>
        </w:rPr>
        <w:t>）：</w:t>
      </w:r>
    </w:p>
    <w:p w14:paraId="5F5C96D1">
      <w:pPr>
        <w:keepNext w:val="0"/>
        <w:keepLines w:val="0"/>
        <w:pageBreakBefore w:val="0"/>
        <w:kinsoku/>
        <w:wordWrap/>
        <w:overflowPunct/>
        <w:topLinePunct w:val="0"/>
        <w:autoSpaceDE/>
        <w:autoSpaceDN/>
        <w:bidi w:val="0"/>
        <w:adjustRightInd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6A94C453">
      <w:pPr>
        <w:spacing w:line="360" w:lineRule="exact"/>
        <w:rPr>
          <w:rFonts w:hint="eastAsia" w:ascii="仿宋" w:hAnsi="仿宋" w:eastAsia="仿宋" w:cs="仿宋"/>
          <w:color w:val="auto"/>
          <w:sz w:val="24"/>
          <w:highlight w:val="none"/>
        </w:rPr>
      </w:pPr>
    </w:p>
    <w:p w14:paraId="50F90D30">
      <w:pPr>
        <w:snapToGrid w:val="0"/>
        <w:spacing w:line="360" w:lineRule="auto"/>
        <w:ind w:right="480"/>
        <w:jc w:val="right"/>
        <w:rPr>
          <w:rFonts w:hint="eastAsia" w:ascii="仿宋" w:hAnsi="仿宋" w:eastAsia="仿宋" w:cs="仿宋"/>
          <w:b/>
          <w:color w:val="auto"/>
          <w:kern w:val="0"/>
          <w:sz w:val="32"/>
          <w:szCs w:val="32"/>
          <w:highlight w:val="none"/>
          <w:lang w:val="en-US" w:eastAsia="zh-CN"/>
        </w:rPr>
      </w:pPr>
      <w:r>
        <w:rPr>
          <w:rFonts w:hint="eastAsia" w:ascii="仿宋" w:hAnsi="仿宋" w:eastAsia="仿宋" w:cs="仿宋"/>
          <w:color w:val="auto"/>
          <w:sz w:val="24"/>
          <w:highlight w:val="none"/>
        </w:rPr>
        <w:t>日期：    年   月   日</w:t>
      </w:r>
    </w:p>
    <w:p w14:paraId="58FFA4E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0E0DC34B">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1766FCF0">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02C5F2AE">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6386462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17F1FE15">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仿宋" w:hAnsi="仿宋" w:eastAsia="仿宋" w:cs="仿宋"/>
          <w:b/>
          <w:bCs w:val="0"/>
          <w:color w:val="auto"/>
          <w:kern w:val="0"/>
          <w:sz w:val="24"/>
          <w:szCs w:val="24"/>
          <w:highlight w:val="none"/>
          <w:lang w:val="en-US" w:eastAsia="zh-CN"/>
        </w:rPr>
      </w:pPr>
    </w:p>
    <w:p w14:paraId="06B372EC">
      <w:pPr>
        <w:snapToGrid w:val="0"/>
        <w:spacing w:line="360" w:lineRule="auto"/>
        <w:ind w:right="480"/>
        <w:jc w:val="left"/>
        <w:rPr>
          <w:rFonts w:hint="eastAsia" w:ascii="仿宋" w:hAnsi="仿宋" w:eastAsia="仿宋" w:cs="仿宋"/>
          <w:b/>
          <w:color w:val="auto"/>
          <w:kern w:val="0"/>
          <w:sz w:val="32"/>
          <w:szCs w:val="32"/>
          <w:highlight w:val="none"/>
        </w:rPr>
      </w:pPr>
      <w:r>
        <w:rPr>
          <w:rFonts w:hint="eastAsia" w:ascii="仿宋" w:hAnsi="仿宋" w:eastAsia="仿宋" w:cs="仿宋"/>
          <w:b/>
          <w:bCs w:val="0"/>
          <w:color w:val="auto"/>
          <w:kern w:val="0"/>
          <w:sz w:val="24"/>
          <w:szCs w:val="24"/>
          <w:highlight w:val="none"/>
          <w:lang w:val="en-US" w:eastAsia="zh-CN"/>
        </w:rPr>
        <w:t>提供由社保机构出具的该授权代表的社保证明（1.如该授权代表为离退休返聘人员的，需提供退休证明及单位聘用证明;2.如由第三方代理社保事项的，则需提供加盖投标人公章的委托代理协议复印件）</w:t>
      </w:r>
    </w:p>
    <w:p w14:paraId="5654FB39">
      <w:pPr>
        <w:pStyle w:val="81"/>
        <w:numPr>
          <w:ilvl w:val="0"/>
          <w:numId w:val="0"/>
        </w:numPr>
        <w:ind w:left="0" w:leftChars="0" w:firstLine="480" w:firstLineChars="0"/>
        <w:jc w:val="center"/>
        <w:rPr>
          <w:rFonts w:hint="eastAsia" w:ascii="仿宋" w:hAnsi="仿宋" w:eastAsia="仿宋" w:cs="仿宋"/>
          <w:b/>
          <w:color w:val="auto"/>
          <w:sz w:val="30"/>
          <w:szCs w:val="30"/>
          <w:highlight w:val="none"/>
        </w:rPr>
      </w:pPr>
      <w:r>
        <w:rPr>
          <w:rFonts w:hint="eastAsia" w:ascii="仿宋" w:hAnsi="仿宋" w:eastAsia="仿宋" w:cs="仿宋"/>
          <w:b/>
          <w:color w:val="auto"/>
          <w:kern w:val="44"/>
          <w:sz w:val="30"/>
          <w:szCs w:val="30"/>
          <w:highlight w:val="none"/>
          <w:lang w:val="en-US" w:eastAsia="zh-CN" w:bidi="ar-SA"/>
        </w:rPr>
        <w:t>五、</w:t>
      </w:r>
      <w:r>
        <w:rPr>
          <w:rFonts w:hint="eastAsia" w:ascii="仿宋" w:hAnsi="仿宋" w:eastAsia="仿宋" w:cs="仿宋"/>
          <w:b/>
          <w:color w:val="auto"/>
          <w:kern w:val="0"/>
          <w:sz w:val="32"/>
          <w:szCs w:val="32"/>
          <w:highlight w:val="none"/>
          <w:lang w:val="en-US" w:eastAsia="zh-CN"/>
        </w:rPr>
        <w:t>法定代表人及其授权代表身份证复印件</w:t>
      </w:r>
      <w:r>
        <w:rPr>
          <w:rFonts w:hint="eastAsia" w:ascii="仿宋" w:hAnsi="仿宋" w:eastAsia="仿宋" w:cs="仿宋"/>
          <w:b/>
          <w:color w:val="auto"/>
          <w:sz w:val="30"/>
          <w:szCs w:val="30"/>
          <w:highlight w:val="none"/>
        </w:rPr>
        <w:t>（正反面）</w:t>
      </w:r>
    </w:p>
    <w:p w14:paraId="4BFA818A">
      <w:pPr>
        <w:pStyle w:val="81"/>
        <w:keepNext/>
        <w:keepLines/>
        <w:pageBreakBefore w:val="0"/>
        <w:widowControl w:val="0"/>
        <w:numPr>
          <w:ilvl w:val="0"/>
          <w:numId w:val="0"/>
        </w:numPr>
        <w:kinsoku/>
        <w:wordWrap/>
        <w:overflowPunct/>
        <w:topLinePunct w:val="0"/>
        <w:autoSpaceDE/>
        <w:autoSpaceDN/>
        <w:bidi w:val="0"/>
        <w:adjustRightInd w:val="0"/>
        <w:snapToGrid/>
        <w:spacing w:before="0" w:after="313" w:afterLines="100" w:line="360" w:lineRule="auto"/>
        <w:ind w:left="0" w:leftChars="0" w:firstLine="482" w:firstLineChars="0"/>
        <w:jc w:val="center"/>
        <w:textAlignment w:val="auto"/>
        <w:rPr>
          <w:rFonts w:hint="eastAsia" w:ascii="仿宋" w:hAnsi="仿宋" w:eastAsia="仿宋" w:cs="仿宋"/>
          <w:b/>
          <w:bCs/>
          <w:color w:val="auto"/>
          <w:sz w:val="32"/>
          <w:szCs w:val="32"/>
          <w:highlight w:val="none"/>
          <w:lang w:val="en-US" w:eastAsia="zh-CN"/>
        </w:rPr>
      </w:pPr>
    </w:p>
    <w:p w14:paraId="6BFF63BA">
      <w:pPr>
        <w:pStyle w:val="81"/>
        <w:keepNext/>
        <w:keepLines/>
        <w:pageBreakBefore w:val="0"/>
        <w:widowControl w:val="0"/>
        <w:numPr>
          <w:ilvl w:val="0"/>
          <w:numId w:val="0"/>
        </w:numPr>
        <w:kinsoku/>
        <w:wordWrap/>
        <w:overflowPunct/>
        <w:topLinePunct w:val="0"/>
        <w:autoSpaceDE/>
        <w:autoSpaceDN/>
        <w:bidi w:val="0"/>
        <w:adjustRightInd w:val="0"/>
        <w:snapToGrid/>
        <w:spacing w:before="0" w:after="313" w:afterLines="100" w:line="360" w:lineRule="auto"/>
        <w:ind w:left="0" w:leftChars="0" w:firstLine="482" w:firstLineChars="0"/>
        <w:jc w:val="center"/>
        <w:textAlignment w:val="auto"/>
        <w:rPr>
          <w:rFonts w:hint="eastAsia" w:ascii="仿宋" w:hAnsi="仿宋" w:eastAsia="仿宋" w:cs="仿宋"/>
          <w:b/>
          <w:bCs/>
          <w:color w:val="auto"/>
          <w:sz w:val="32"/>
          <w:szCs w:val="32"/>
          <w:highlight w:val="none"/>
          <w:lang w:val="en-US" w:eastAsia="zh-CN"/>
        </w:rPr>
      </w:pPr>
    </w:p>
    <w:p w14:paraId="7105571A">
      <w:pPr>
        <w:pStyle w:val="81"/>
        <w:keepNext/>
        <w:keepLines/>
        <w:pageBreakBefore w:val="0"/>
        <w:widowControl w:val="0"/>
        <w:numPr>
          <w:ilvl w:val="0"/>
          <w:numId w:val="0"/>
        </w:numPr>
        <w:kinsoku/>
        <w:wordWrap/>
        <w:overflowPunct/>
        <w:topLinePunct w:val="0"/>
        <w:autoSpaceDE/>
        <w:autoSpaceDN/>
        <w:bidi w:val="0"/>
        <w:adjustRightInd w:val="0"/>
        <w:snapToGrid/>
        <w:spacing w:before="0" w:after="313" w:afterLines="100" w:line="440" w:lineRule="exact"/>
        <w:ind w:left="0" w:leftChars="0" w:firstLine="482" w:firstLineChars="0"/>
        <w:jc w:val="center"/>
        <w:textAlignment w:val="auto"/>
        <w:rPr>
          <w:rFonts w:hint="eastAsia" w:ascii="仿宋" w:hAnsi="仿宋" w:eastAsia="仿宋" w:cs="仿宋"/>
          <w:color w:val="auto"/>
          <w:sz w:val="24"/>
          <w:highlight w:val="none"/>
        </w:rPr>
      </w:pPr>
      <w:r>
        <w:rPr>
          <w:rFonts w:hint="eastAsia" w:ascii="仿宋" w:hAnsi="仿宋" w:eastAsia="仿宋" w:cs="仿宋"/>
          <w:b/>
          <w:bCs/>
          <w:color w:val="auto"/>
          <w:sz w:val="32"/>
          <w:szCs w:val="32"/>
          <w:highlight w:val="none"/>
          <w:lang w:val="en-US" w:eastAsia="zh-CN"/>
        </w:rPr>
        <w:t>六、</w:t>
      </w:r>
      <w:r>
        <w:rPr>
          <w:rFonts w:hint="eastAsia" w:ascii="仿宋" w:hAnsi="仿宋" w:eastAsia="仿宋" w:cs="仿宋"/>
          <w:b/>
          <w:color w:val="auto"/>
          <w:kern w:val="0"/>
          <w:sz w:val="32"/>
          <w:szCs w:val="32"/>
          <w:highlight w:val="none"/>
          <w:lang w:val="zh-CN"/>
        </w:rPr>
        <w:t>政府采购供应商廉洁自律承诺书</w:t>
      </w:r>
    </w:p>
    <w:p w14:paraId="3380662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26FE93D5">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13413BED">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55A2E5C9">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0F726A43">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49FC65B8">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53CF2B98">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2745CA74">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30F3B036">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1826D3AB">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3B9CEBE9">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0E6E2273">
      <w:pPr>
        <w:autoSpaceDE w:val="0"/>
        <w:autoSpaceDN w:val="0"/>
        <w:spacing w:line="360" w:lineRule="auto"/>
        <w:ind w:left="2"/>
        <w:jc w:val="left"/>
        <w:rPr>
          <w:rFonts w:hint="eastAsia" w:ascii="仿宋" w:hAnsi="仿宋" w:eastAsia="仿宋" w:cs="仿宋"/>
          <w:color w:val="auto"/>
          <w:kern w:val="0"/>
          <w:sz w:val="24"/>
          <w:highlight w:val="none"/>
          <w:lang w:val="zh-CN"/>
        </w:rPr>
      </w:pPr>
    </w:p>
    <w:p w14:paraId="2CAAE9BD">
      <w:pPr>
        <w:autoSpaceDE w:val="0"/>
        <w:autoSpaceDN w:val="0"/>
        <w:spacing w:line="360" w:lineRule="auto"/>
        <w:ind w:left="2"/>
        <w:jc w:val="left"/>
        <w:rPr>
          <w:rFonts w:hint="eastAsia" w:ascii="仿宋" w:hAnsi="仿宋" w:eastAsia="仿宋" w:cs="仿宋"/>
          <w:color w:val="auto"/>
          <w:kern w:val="0"/>
          <w:sz w:val="24"/>
          <w:highlight w:val="none"/>
          <w:lang w:val="zh-CN"/>
        </w:rPr>
      </w:pPr>
    </w:p>
    <w:p w14:paraId="0263BDDE">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lang w:val="en-US" w:eastAsia="zh-CN"/>
        </w:rPr>
        <w:t>电子签章</w:t>
      </w:r>
      <w:r>
        <w:rPr>
          <w:rFonts w:hint="eastAsia" w:ascii="仿宋" w:hAnsi="仿宋" w:eastAsia="仿宋" w:cs="仿宋"/>
          <w:color w:val="auto"/>
          <w:kern w:val="0"/>
          <w:sz w:val="24"/>
          <w:highlight w:val="none"/>
          <w:lang w:val="zh-CN"/>
        </w:rPr>
        <w:t xml:space="preserve">）：                                                                                                                                                                                                               </w:t>
      </w:r>
    </w:p>
    <w:p w14:paraId="1B94322D">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0E85473E">
      <w:pPr>
        <w:spacing w:line="360" w:lineRule="auto"/>
        <w:jc w:val="center"/>
        <w:rPr>
          <w:rFonts w:hint="eastAsia" w:ascii="仿宋" w:hAnsi="仿宋" w:eastAsia="仿宋" w:cs="仿宋"/>
          <w:b/>
          <w:bCs/>
          <w:color w:val="auto"/>
          <w:sz w:val="24"/>
          <w:highlight w:val="none"/>
        </w:rPr>
      </w:pPr>
    </w:p>
    <w:p w14:paraId="0910F614">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781BA17E">
      <w:pPr>
        <w:jc w:val="center"/>
        <w:rPr>
          <w:rFonts w:hint="eastAsia" w:ascii="仿宋" w:hAnsi="仿宋" w:eastAsia="仿宋" w:cs="仿宋"/>
          <w:b/>
          <w:color w:val="auto"/>
          <w:kern w:val="0"/>
          <w:sz w:val="32"/>
          <w:szCs w:val="32"/>
          <w:highlight w:val="none"/>
          <w:lang w:val="en-US" w:eastAsia="zh-CN"/>
        </w:rPr>
      </w:pPr>
      <w:r>
        <w:rPr>
          <w:rFonts w:hint="eastAsia" w:ascii="仿宋" w:hAnsi="仿宋" w:eastAsia="仿宋" w:cs="仿宋"/>
          <w:b/>
          <w:bCs w:val="0"/>
          <w:color w:val="auto"/>
          <w:kern w:val="0"/>
          <w:sz w:val="32"/>
          <w:szCs w:val="32"/>
          <w:highlight w:val="none"/>
          <w:lang w:val="en-US" w:eastAsia="zh-CN"/>
        </w:rPr>
        <w:t>七、评分索引表</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1559"/>
        <w:gridCol w:w="2127"/>
        <w:gridCol w:w="992"/>
        <w:gridCol w:w="1276"/>
        <w:gridCol w:w="1134"/>
      </w:tblGrid>
      <w:tr w14:paraId="080E2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exact"/>
          <w:jc w:val="center"/>
        </w:trPr>
        <w:tc>
          <w:tcPr>
            <w:tcW w:w="1384" w:type="dxa"/>
            <w:noWrap w:val="0"/>
            <w:vAlign w:val="center"/>
          </w:tcPr>
          <w:p w14:paraId="4C24910F">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559" w:type="dxa"/>
            <w:noWrap w:val="0"/>
            <w:vAlign w:val="center"/>
          </w:tcPr>
          <w:p w14:paraId="2BA1B58B">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评审内容</w:t>
            </w:r>
          </w:p>
        </w:tc>
        <w:tc>
          <w:tcPr>
            <w:tcW w:w="2127" w:type="dxa"/>
            <w:noWrap w:val="0"/>
            <w:vAlign w:val="center"/>
          </w:tcPr>
          <w:p w14:paraId="13AD587A">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评分细则及要求</w:t>
            </w:r>
          </w:p>
        </w:tc>
        <w:tc>
          <w:tcPr>
            <w:tcW w:w="992" w:type="dxa"/>
            <w:noWrap w:val="0"/>
            <w:vAlign w:val="center"/>
          </w:tcPr>
          <w:p w14:paraId="65D17D39">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分值</w:t>
            </w:r>
          </w:p>
        </w:tc>
        <w:tc>
          <w:tcPr>
            <w:tcW w:w="1276" w:type="dxa"/>
            <w:noWrap w:val="0"/>
            <w:vAlign w:val="center"/>
          </w:tcPr>
          <w:p w14:paraId="2ED7C4A5">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对应页码</w:t>
            </w:r>
          </w:p>
        </w:tc>
        <w:tc>
          <w:tcPr>
            <w:tcW w:w="1134" w:type="dxa"/>
            <w:noWrap w:val="0"/>
            <w:vAlign w:val="center"/>
          </w:tcPr>
          <w:p w14:paraId="0CDF0764">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自评分</w:t>
            </w:r>
          </w:p>
        </w:tc>
      </w:tr>
      <w:tr w14:paraId="6E8DE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1FFBE5D2">
            <w:pPr>
              <w:adjustRightInd/>
              <w:spacing w:line="380" w:lineRule="exact"/>
              <w:jc w:val="center"/>
              <w:outlineLvl w:val="9"/>
              <w:rPr>
                <w:rFonts w:hint="eastAsia" w:ascii="仿宋" w:hAnsi="仿宋" w:eastAsia="仿宋" w:cs="仿宋"/>
                <w:color w:val="auto"/>
                <w:sz w:val="24"/>
                <w:szCs w:val="24"/>
                <w:highlight w:val="none"/>
              </w:rPr>
            </w:pPr>
          </w:p>
        </w:tc>
        <w:tc>
          <w:tcPr>
            <w:tcW w:w="1559" w:type="dxa"/>
            <w:noWrap w:val="0"/>
            <w:vAlign w:val="center"/>
          </w:tcPr>
          <w:p w14:paraId="3B02E6CA">
            <w:pPr>
              <w:adjustRightInd/>
              <w:spacing w:line="380" w:lineRule="exact"/>
              <w:jc w:val="center"/>
              <w:outlineLvl w:val="9"/>
              <w:rPr>
                <w:rFonts w:hint="eastAsia" w:ascii="仿宋" w:hAnsi="仿宋" w:eastAsia="仿宋" w:cs="仿宋"/>
                <w:color w:val="auto"/>
                <w:sz w:val="24"/>
                <w:szCs w:val="24"/>
                <w:highlight w:val="none"/>
              </w:rPr>
            </w:pPr>
          </w:p>
        </w:tc>
        <w:tc>
          <w:tcPr>
            <w:tcW w:w="2127" w:type="dxa"/>
            <w:noWrap w:val="0"/>
            <w:vAlign w:val="center"/>
          </w:tcPr>
          <w:p w14:paraId="6653B668">
            <w:pPr>
              <w:adjustRightInd/>
              <w:spacing w:line="380" w:lineRule="exact"/>
              <w:jc w:val="center"/>
              <w:outlineLvl w:val="9"/>
              <w:rPr>
                <w:rFonts w:hint="eastAsia" w:ascii="仿宋" w:hAnsi="仿宋" w:eastAsia="仿宋" w:cs="仿宋"/>
                <w:color w:val="auto"/>
                <w:sz w:val="24"/>
                <w:szCs w:val="24"/>
                <w:highlight w:val="none"/>
              </w:rPr>
            </w:pPr>
          </w:p>
        </w:tc>
        <w:tc>
          <w:tcPr>
            <w:tcW w:w="992" w:type="dxa"/>
            <w:noWrap w:val="0"/>
            <w:vAlign w:val="center"/>
          </w:tcPr>
          <w:p w14:paraId="72531EA5">
            <w:pPr>
              <w:adjustRightInd/>
              <w:spacing w:line="380" w:lineRule="exact"/>
              <w:jc w:val="center"/>
              <w:outlineLvl w:val="9"/>
              <w:rPr>
                <w:rFonts w:hint="eastAsia" w:ascii="仿宋" w:hAnsi="仿宋" w:eastAsia="仿宋" w:cs="仿宋"/>
                <w:color w:val="auto"/>
                <w:sz w:val="24"/>
                <w:szCs w:val="24"/>
                <w:highlight w:val="none"/>
              </w:rPr>
            </w:pPr>
          </w:p>
        </w:tc>
        <w:tc>
          <w:tcPr>
            <w:tcW w:w="1276" w:type="dxa"/>
            <w:noWrap w:val="0"/>
            <w:vAlign w:val="center"/>
          </w:tcPr>
          <w:p w14:paraId="78A80422">
            <w:pPr>
              <w:adjustRightInd/>
              <w:spacing w:line="380" w:lineRule="exact"/>
              <w:jc w:val="center"/>
              <w:outlineLvl w:val="9"/>
              <w:rPr>
                <w:rFonts w:hint="eastAsia" w:ascii="仿宋" w:hAnsi="仿宋" w:eastAsia="仿宋" w:cs="仿宋"/>
                <w:color w:val="auto"/>
                <w:sz w:val="24"/>
                <w:szCs w:val="24"/>
                <w:highlight w:val="none"/>
              </w:rPr>
            </w:pPr>
          </w:p>
        </w:tc>
        <w:tc>
          <w:tcPr>
            <w:tcW w:w="1134" w:type="dxa"/>
            <w:noWrap w:val="0"/>
            <w:vAlign w:val="center"/>
          </w:tcPr>
          <w:p w14:paraId="31FBB4F8">
            <w:pPr>
              <w:adjustRightInd/>
              <w:spacing w:line="380" w:lineRule="exact"/>
              <w:jc w:val="center"/>
              <w:outlineLvl w:val="9"/>
              <w:rPr>
                <w:rFonts w:hint="eastAsia" w:ascii="仿宋" w:hAnsi="仿宋" w:eastAsia="仿宋" w:cs="仿宋"/>
                <w:color w:val="auto"/>
                <w:sz w:val="24"/>
                <w:szCs w:val="24"/>
                <w:highlight w:val="none"/>
              </w:rPr>
            </w:pPr>
          </w:p>
        </w:tc>
      </w:tr>
      <w:tr w14:paraId="4866E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21A2299F">
            <w:pPr>
              <w:adjustRightInd/>
              <w:spacing w:line="380" w:lineRule="exact"/>
              <w:jc w:val="center"/>
              <w:outlineLvl w:val="9"/>
              <w:rPr>
                <w:rFonts w:hint="eastAsia" w:ascii="仿宋" w:hAnsi="仿宋" w:eastAsia="仿宋" w:cs="仿宋"/>
                <w:color w:val="auto"/>
                <w:sz w:val="24"/>
                <w:szCs w:val="24"/>
                <w:highlight w:val="none"/>
              </w:rPr>
            </w:pPr>
          </w:p>
        </w:tc>
        <w:tc>
          <w:tcPr>
            <w:tcW w:w="1559" w:type="dxa"/>
            <w:noWrap w:val="0"/>
            <w:vAlign w:val="center"/>
          </w:tcPr>
          <w:p w14:paraId="192F7650">
            <w:pPr>
              <w:adjustRightInd/>
              <w:spacing w:line="380" w:lineRule="exact"/>
              <w:jc w:val="center"/>
              <w:outlineLvl w:val="9"/>
              <w:rPr>
                <w:rFonts w:hint="eastAsia" w:ascii="仿宋" w:hAnsi="仿宋" w:eastAsia="仿宋" w:cs="仿宋"/>
                <w:color w:val="auto"/>
                <w:sz w:val="24"/>
                <w:szCs w:val="24"/>
                <w:highlight w:val="none"/>
              </w:rPr>
            </w:pPr>
          </w:p>
        </w:tc>
        <w:tc>
          <w:tcPr>
            <w:tcW w:w="2127" w:type="dxa"/>
            <w:noWrap w:val="0"/>
            <w:vAlign w:val="center"/>
          </w:tcPr>
          <w:p w14:paraId="58CF5656">
            <w:pPr>
              <w:adjustRightInd/>
              <w:spacing w:line="380" w:lineRule="exact"/>
              <w:jc w:val="center"/>
              <w:outlineLvl w:val="9"/>
              <w:rPr>
                <w:rFonts w:hint="eastAsia" w:ascii="仿宋" w:hAnsi="仿宋" w:eastAsia="仿宋" w:cs="仿宋"/>
                <w:color w:val="auto"/>
                <w:sz w:val="24"/>
                <w:szCs w:val="24"/>
                <w:highlight w:val="none"/>
              </w:rPr>
            </w:pPr>
          </w:p>
        </w:tc>
        <w:tc>
          <w:tcPr>
            <w:tcW w:w="992" w:type="dxa"/>
            <w:noWrap w:val="0"/>
            <w:vAlign w:val="center"/>
          </w:tcPr>
          <w:p w14:paraId="49CCDBE4">
            <w:pPr>
              <w:adjustRightInd/>
              <w:spacing w:line="380" w:lineRule="exact"/>
              <w:jc w:val="center"/>
              <w:outlineLvl w:val="9"/>
              <w:rPr>
                <w:rFonts w:hint="eastAsia" w:ascii="仿宋" w:hAnsi="仿宋" w:eastAsia="仿宋" w:cs="仿宋"/>
                <w:color w:val="auto"/>
                <w:sz w:val="24"/>
                <w:szCs w:val="24"/>
                <w:highlight w:val="none"/>
              </w:rPr>
            </w:pPr>
          </w:p>
        </w:tc>
        <w:tc>
          <w:tcPr>
            <w:tcW w:w="1276" w:type="dxa"/>
            <w:noWrap w:val="0"/>
            <w:vAlign w:val="center"/>
          </w:tcPr>
          <w:p w14:paraId="51A800B1">
            <w:pPr>
              <w:adjustRightInd/>
              <w:spacing w:line="380" w:lineRule="exact"/>
              <w:jc w:val="center"/>
              <w:outlineLvl w:val="9"/>
              <w:rPr>
                <w:rFonts w:hint="eastAsia" w:ascii="仿宋" w:hAnsi="仿宋" w:eastAsia="仿宋" w:cs="仿宋"/>
                <w:color w:val="auto"/>
                <w:sz w:val="24"/>
                <w:szCs w:val="24"/>
                <w:highlight w:val="none"/>
              </w:rPr>
            </w:pPr>
          </w:p>
        </w:tc>
        <w:tc>
          <w:tcPr>
            <w:tcW w:w="1134" w:type="dxa"/>
            <w:noWrap w:val="0"/>
            <w:vAlign w:val="center"/>
          </w:tcPr>
          <w:p w14:paraId="5A404834">
            <w:pPr>
              <w:adjustRightInd/>
              <w:spacing w:line="380" w:lineRule="exact"/>
              <w:jc w:val="center"/>
              <w:outlineLvl w:val="9"/>
              <w:rPr>
                <w:rFonts w:hint="eastAsia" w:ascii="仿宋" w:hAnsi="仿宋" w:eastAsia="仿宋" w:cs="仿宋"/>
                <w:color w:val="auto"/>
                <w:sz w:val="24"/>
                <w:szCs w:val="24"/>
                <w:highlight w:val="none"/>
              </w:rPr>
            </w:pPr>
          </w:p>
        </w:tc>
      </w:tr>
      <w:tr w14:paraId="35716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14989FF0">
            <w:pPr>
              <w:adjustRightInd/>
              <w:spacing w:line="380" w:lineRule="exact"/>
              <w:jc w:val="center"/>
              <w:outlineLvl w:val="9"/>
              <w:rPr>
                <w:rFonts w:hint="eastAsia" w:ascii="仿宋" w:hAnsi="仿宋" w:eastAsia="仿宋" w:cs="仿宋"/>
                <w:color w:val="auto"/>
                <w:sz w:val="24"/>
                <w:szCs w:val="24"/>
                <w:highlight w:val="none"/>
              </w:rPr>
            </w:pPr>
          </w:p>
        </w:tc>
        <w:tc>
          <w:tcPr>
            <w:tcW w:w="1559" w:type="dxa"/>
            <w:noWrap w:val="0"/>
            <w:vAlign w:val="center"/>
          </w:tcPr>
          <w:p w14:paraId="3858C2CC">
            <w:pPr>
              <w:adjustRightInd/>
              <w:spacing w:line="380" w:lineRule="exact"/>
              <w:jc w:val="center"/>
              <w:outlineLvl w:val="9"/>
              <w:rPr>
                <w:rFonts w:hint="eastAsia" w:ascii="仿宋" w:hAnsi="仿宋" w:eastAsia="仿宋" w:cs="仿宋"/>
                <w:color w:val="auto"/>
                <w:sz w:val="24"/>
                <w:szCs w:val="24"/>
                <w:highlight w:val="none"/>
              </w:rPr>
            </w:pPr>
          </w:p>
        </w:tc>
        <w:tc>
          <w:tcPr>
            <w:tcW w:w="2127" w:type="dxa"/>
            <w:noWrap w:val="0"/>
            <w:vAlign w:val="center"/>
          </w:tcPr>
          <w:p w14:paraId="476590AE">
            <w:pPr>
              <w:adjustRightInd/>
              <w:spacing w:line="380" w:lineRule="exact"/>
              <w:jc w:val="center"/>
              <w:outlineLvl w:val="9"/>
              <w:rPr>
                <w:rFonts w:hint="eastAsia" w:ascii="仿宋" w:hAnsi="仿宋" w:eastAsia="仿宋" w:cs="仿宋"/>
                <w:color w:val="auto"/>
                <w:sz w:val="24"/>
                <w:szCs w:val="24"/>
                <w:highlight w:val="none"/>
              </w:rPr>
            </w:pPr>
          </w:p>
        </w:tc>
        <w:tc>
          <w:tcPr>
            <w:tcW w:w="992" w:type="dxa"/>
            <w:noWrap w:val="0"/>
            <w:vAlign w:val="center"/>
          </w:tcPr>
          <w:p w14:paraId="2ECE612C">
            <w:pPr>
              <w:adjustRightInd/>
              <w:spacing w:line="380" w:lineRule="exact"/>
              <w:jc w:val="center"/>
              <w:outlineLvl w:val="9"/>
              <w:rPr>
                <w:rFonts w:hint="eastAsia" w:ascii="仿宋" w:hAnsi="仿宋" w:eastAsia="仿宋" w:cs="仿宋"/>
                <w:color w:val="auto"/>
                <w:sz w:val="24"/>
                <w:szCs w:val="24"/>
                <w:highlight w:val="none"/>
              </w:rPr>
            </w:pPr>
          </w:p>
        </w:tc>
        <w:tc>
          <w:tcPr>
            <w:tcW w:w="1276" w:type="dxa"/>
            <w:noWrap w:val="0"/>
            <w:vAlign w:val="center"/>
          </w:tcPr>
          <w:p w14:paraId="598E6456">
            <w:pPr>
              <w:adjustRightInd/>
              <w:spacing w:line="380" w:lineRule="exact"/>
              <w:jc w:val="center"/>
              <w:outlineLvl w:val="9"/>
              <w:rPr>
                <w:rFonts w:hint="eastAsia" w:ascii="仿宋" w:hAnsi="仿宋" w:eastAsia="仿宋" w:cs="仿宋"/>
                <w:color w:val="auto"/>
                <w:sz w:val="24"/>
                <w:szCs w:val="24"/>
                <w:highlight w:val="none"/>
              </w:rPr>
            </w:pPr>
          </w:p>
        </w:tc>
        <w:tc>
          <w:tcPr>
            <w:tcW w:w="1134" w:type="dxa"/>
            <w:noWrap w:val="0"/>
            <w:vAlign w:val="center"/>
          </w:tcPr>
          <w:p w14:paraId="2EE06683">
            <w:pPr>
              <w:adjustRightInd/>
              <w:spacing w:line="380" w:lineRule="exact"/>
              <w:jc w:val="center"/>
              <w:outlineLvl w:val="9"/>
              <w:rPr>
                <w:rFonts w:hint="eastAsia" w:ascii="仿宋" w:hAnsi="仿宋" w:eastAsia="仿宋" w:cs="仿宋"/>
                <w:color w:val="auto"/>
                <w:sz w:val="24"/>
                <w:szCs w:val="24"/>
                <w:highlight w:val="none"/>
              </w:rPr>
            </w:pPr>
          </w:p>
        </w:tc>
      </w:tr>
      <w:tr w14:paraId="2BD9B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6B69FE32">
            <w:pPr>
              <w:adjustRightInd/>
              <w:spacing w:line="380" w:lineRule="exact"/>
              <w:jc w:val="center"/>
              <w:outlineLvl w:val="9"/>
              <w:rPr>
                <w:rFonts w:hint="eastAsia" w:ascii="仿宋" w:hAnsi="仿宋" w:eastAsia="仿宋" w:cs="仿宋"/>
                <w:color w:val="auto"/>
                <w:sz w:val="24"/>
                <w:szCs w:val="24"/>
                <w:highlight w:val="none"/>
              </w:rPr>
            </w:pPr>
          </w:p>
        </w:tc>
        <w:tc>
          <w:tcPr>
            <w:tcW w:w="1559" w:type="dxa"/>
            <w:noWrap w:val="0"/>
            <w:vAlign w:val="center"/>
          </w:tcPr>
          <w:p w14:paraId="23E29E75">
            <w:pPr>
              <w:adjustRightInd/>
              <w:spacing w:line="380" w:lineRule="exact"/>
              <w:jc w:val="center"/>
              <w:outlineLvl w:val="9"/>
              <w:rPr>
                <w:rFonts w:hint="eastAsia" w:ascii="仿宋" w:hAnsi="仿宋" w:eastAsia="仿宋" w:cs="仿宋"/>
                <w:color w:val="auto"/>
                <w:sz w:val="24"/>
                <w:szCs w:val="24"/>
                <w:highlight w:val="none"/>
              </w:rPr>
            </w:pPr>
          </w:p>
        </w:tc>
        <w:tc>
          <w:tcPr>
            <w:tcW w:w="2127" w:type="dxa"/>
            <w:noWrap w:val="0"/>
            <w:vAlign w:val="center"/>
          </w:tcPr>
          <w:p w14:paraId="6B86CB11">
            <w:pPr>
              <w:adjustRightInd/>
              <w:spacing w:line="380" w:lineRule="exact"/>
              <w:jc w:val="center"/>
              <w:outlineLvl w:val="9"/>
              <w:rPr>
                <w:rFonts w:hint="eastAsia" w:ascii="仿宋" w:hAnsi="仿宋" w:eastAsia="仿宋" w:cs="仿宋"/>
                <w:color w:val="auto"/>
                <w:sz w:val="24"/>
                <w:szCs w:val="24"/>
                <w:highlight w:val="none"/>
              </w:rPr>
            </w:pPr>
          </w:p>
        </w:tc>
        <w:tc>
          <w:tcPr>
            <w:tcW w:w="992" w:type="dxa"/>
            <w:noWrap w:val="0"/>
            <w:vAlign w:val="center"/>
          </w:tcPr>
          <w:p w14:paraId="0E0E6501">
            <w:pPr>
              <w:adjustRightInd/>
              <w:spacing w:line="380" w:lineRule="exact"/>
              <w:jc w:val="center"/>
              <w:outlineLvl w:val="9"/>
              <w:rPr>
                <w:rFonts w:hint="eastAsia" w:ascii="仿宋" w:hAnsi="仿宋" w:eastAsia="仿宋" w:cs="仿宋"/>
                <w:color w:val="auto"/>
                <w:sz w:val="24"/>
                <w:szCs w:val="24"/>
                <w:highlight w:val="none"/>
              </w:rPr>
            </w:pPr>
          </w:p>
        </w:tc>
        <w:tc>
          <w:tcPr>
            <w:tcW w:w="1276" w:type="dxa"/>
            <w:noWrap w:val="0"/>
            <w:vAlign w:val="center"/>
          </w:tcPr>
          <w:p w14:paraId="0708A213">
            <w:pPr>
              <w:adjustRightInd/>
              <w:spacing w:line="380" w:lineRule="exact"/>
              <w:jc w:val="center"/>
              <w:outlineLvl w:val="9"/>
              <w:rPr>
                <w:rFonts w:hint="eastAsia" w:ascii="仿宋" w:hAnsi="仿宋" w:eastAsia="仿宋" w:cs="仿宋"/>
                <w:color w:val="auto"/>
                <w:sz w:val="24"/>
                <w:szCs w:val="24"/>
                <w:highlight w:val="none"/>
              </w:rPr>
            </w:pPr>
          </w:p>
        </w:tc>
        <w:tc>
          <w:tcPr>
            <w:tcW w:w="1134" w:type="dxa"/>
            <w:noWrap w:val="0"/>
            <w:vAlign w:val="center"/>
          </w:tcPr>
          <w:p w14:paraId="55511DB9">
            <w:pPr>
              <w:adjustRightInd/>
              <w:spacing w:line="380" w:lineRule="exact"/>
              <w:jc w:val="center"/>
              <w:outlineLvl w:val="9"/>
              <w:rPr>
                <w:rFonts w:hint="eastAsia" w:ascii="仿宋" w:hAnsi="仿宋" w:eastAsia="仿宋" w:cs="仿宋"/>
                <w:color w:val="auto"/>
                <w:sz w:val="24"/>
                <w:szCs w:val="24"/>
                <w:highlight w:val="none"/>
              </w:rPr>
            </w:pPr>
          </w:p>
        </w:tc>
      </w:tr>
      <w:tr w14:paraId="5FB96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66523EB9">
            <w:pPr>
              <w:adjustRightInd/>
              <w:spacing w:line="380" w:lineRule="exact"/>
              <w:jc w:val="center"/>
              <w:outlineLvl w:val="9"/>
              <w:rPr>
                <w:rFonts w:hint="eastAsia" w:ascii="仿宋" w:hAnsi="仿宋" w:eastAsia="仿宋" w:cs="仿宋"/>
                <w:color w:val="auto"/>
                <w:sz w:val="24"/>
                <w:szCs w:val="24"/>
                <w:highlight w:val="none"/>
              </w:rPr>
            </w:pPr>
          </w:p>
        </w:tc>
        <w:tc>
          <w:tcPr>
            <w:tcW w:w="1559" w:type="dxa"/>
            <w:noWrap w:val="0"/>
            <w:vAlign w:val="center"/>
          </w:tcPr>
          <w:p w14:paraId="66DFB2AD">
            <w:pPr>
              <w:adjustRightInd/>
              <w:spacing w:line="380" w:lineRule="exact"/>
              <w:jc w:val="center"/>
              <w:outlineLvl w:val="9"/>
              <w:rPr>
                <w:rFonts w:hint="eastAsia" w:ascii="仿宋" w:hAnsi="仿宋" w:eastAsia="仿宋" w:cs="仿宋"/>
                <w:color w:val="auto"/>
                <w:sz w:val="24"/>
                <w:szCs w:val="24"/>
                <w:highlight w:val="none"/>
              </w:rPr>
            </w:pPr>
          </w:p>
        </w:tc>
        <w:tc>
          <w:tcPr>
            <w:tcW w:w="2127" w:type="dxa"/>
            <w:noWrap w:val="0"/>
            <w:vAlign w:val="center"/>
          </w:tcPr>
          <w:p w14:paraId="656C8573">
            <w:pPr>
              <w:adjustRightInd/>
              <w:spacing w:line="380" w:lineRule="exact"/>
              <w:jc w:val="center"/>
              <w:outlineLvl w:val="9"/>
              <w:rPr>
                <w:rFonts w:hint="eastAsia" w:ascii="仿宋" w:hAnsi="仿宋" w:eastAsia="仿宋" w:cs="仿宋"/>
                <w:color w:val="auto"/>
                <w:sz w:val="24"/>
                <w:szCs w:val="24"/>
                <w:highlight w:val="none"/>
              </w:rPr>
            </w:pPr>
          </w:p>
        </w:tc>
        <w:tc>
          <w:tcPr>
            <w:tcW w:w="992" w:type="dxa"/>
            <w:noWrap w:val="0"/>
            <w:vAlign w:val="center"/>
          </w:tcPr>
          <w:p w14:paraId="6FD45479">
            <w:pPr>
              <w:adjustRightInd/>
              <w:spacing w:line="380" w:lineRule="exact"/>
              <w:jc w:val="center"/>
              <w:outlineLvl w:val="9"/>
              <w:rPr>
                <w:rFonts w:hint="eastAsia" w:ascii="仿宋" w:hAnsi="仿宋" w:eastAsia="仿宋" w:cs="仿宋"/>
                <w:color w:val="auto"/>
                <w:sz w:val="24"/>
                <w:szCs w:val="24"/>
                <w:highlight w:val="none"/>
              </w:rPr>
            </w:pPr>
          </w:p>
        </w:tc>
        <w:tc>
          <w:tcPr>
            <w:tcW w:w="1276" w:type="dxa"/>
            <w:noWrap w:val="0"/>
            <w:vAlign w:val="center"/>
          </w:tcPr>
          <w:p w14:paraId="330C655C">
            <w:pPr>
              <w:adjustRightInd/>
              <w:spacing w:line="380" w:lineRule="exact"/>
              <w:jc w:val="center"/>
              <w:outlineLvl w:val="9"/>
              <w:rPr>
                <w:rFonts w:hint="eastAsia" w:ascii="仿宋" w:hAnsi="仿宋" w:eastAsia="仿宋" w:cs="仿宋"/>
                <w:color w:val="auto"/>
                <w:sz w:val="24"/>
                <w:szCs w:val="24"/>
                <w:highlight w:val="none"/>
              </w:rPr>
            </w:pPr>
          </w:p>
        </w:tc>
        <w:tc>
          <w:tcPr>
            <w:tcW w:w="1134" w:type="dxa"/>
            <w:noWrap w:val="0"/>
            <w:vAlign w:val="center"/>
          </w:tcPr>
          <w:p w14:paraId="25AC3386">
            <w:pPr>
              <w:adjustRightInd/>
              <w:spacing w:line="380" w:lineRule="exact"/>
              <w:jc w:val="center"/>
              <w:outlineLvl w:val="9"/>
              <w:rPr>
                <w:rFonts w:hint="eastAsia" w:ascii="仿宋" w:hAnsi="仿宋" w:eastAsia="仿宋" w:cs="仿宋"/>
                <w:color w:val="auto"/>
                <w:sz w:val="24"/>
                <w:szCs w:val="24"/>
                <w:highlight w:val="none"/>
              </w:rPr>
            </w:pPr>
          </w:p>
        </w:tc>
      </w:tr>
    </w:tbl>
    <w:p w14:paraId="303B0947">
      <w:pPr>
        <w:keepNext w:val="0"/>
        <w:keepLines w:val="0"/>
        <w:pageBreakBefore w:val="0"/>
        <w:widowControl w:val="0"/>
        <w:kinsoku/>
        <w:wordWrap/>
        <w:overflowPunct/>
        <w:topLinePunct w:val="0"/>
        <w:autoSpaceDE/>
        <w:autoSpaceDN/>
        <w:bidi w:val="0"/>
        <w:adjustRightInd w:val="0"/>
        <w:snapToGrid/>
        <w:spacing w:line="360" w:lineRule="auto"/>
        <w:ind w:firstLine="240" w:firstLineChars="100"/>
        <w:jc w:val="both"/>
        <w:textAlignment w:val="auto"/>
        <w:rPr>
          <w:rFonts w:hint="eastAsia" w:ascii="仿宋" w:hAnsi="仿宋" w:eastAsia="仿宋" w:cs="仿宋"/>
          <w:b/>
          <w:color w:val="auto"/>
          <w:kern w:val="0"/>
          <w:sz w:val="32"/>
          <w:szCs w:val="32"/>
          <w:highlight w:val="none"/>
          <w:lang w:eastAsia="zh-CN"/>
        </w:rPr>
      </w:pPr>
      <w:r>
        <w:rPr>
          <w:rFonts w:hint="eastAsia" w:ascii="仿宋" w:hAnsi="仿宋" w:eastAsia="仿宋" w:cs="仿宋"/>
          <w:b w:val="0"/>
          <w:bCs/>
          <w:color w:val="auto"/>
          <w:kern w:val="0"/>
          <w:sz w:val="24"/>
          <w:szCs w:val="24"/>
          <w:highlight w:val="none"/>
          <w:lang w:val="en-US" w:eastAsia="zh-CN"/>
        </w:rPr>
        <w:t>对应第四部分评标方法及标准（报价除外）</w:t>
      </w:r>
    </w:p>
    <w:p w14:paraId="003D37FE">
      <w:pPr>
        <w:spacing w:line="800" w:lineRule="exact"/>
        <w:rPr>
          <w:rFonts w:hint="eastAsia" w:ascii="仿宋" w:hAnsi="仿宋" w:eastAsia="仿宋" w:cs="仿宋"/>
          <w:b/>
          <w:color w:val="auto"/>
          <w:sz w:val="24"/>
          <w:highlight w:val="none"/>
        </w:rPr>
      </w:pPr>
    </w:p>
    <w:p w14:paraId="2C6B0EF8">
      <w:pPr>
        <w:jc w:val="center"/>
        <w:rPr>
          <w:rFonts w:hint="eastAsia" w:ascii="仿宋" w:hAnsi="仿宋" w:eastAsia="仿宋" w:cs="仿宋"/>
          <w:b/>
          <w:color w:val="auto"/>
          <w:kern w:val="0"/>
          <w:sz w:val="32"/>
          <w:szCs w:val="32"/>
          <w:highlight w:val="none"/>
        </w:rPr>
      </w:pPr>
    </w:p>
    <w:p w14:paraId="35748AB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kern w:val="0"/>
          <w:sz w:val="32"/>
          <w:szCs w:val="32"/>
          <w:highlight w:val="none"/>
          <w:lang w:val="en-US" w:eastAsia="zh-CN"/>
        </w:rPr>
        <w:sectPr>
          <w:pgSz w:w="11906" w:h="16838"/>
          <w:pgMar w:top="1276" w:right="1418" w:bottom="1247" w:left="1418" w:header="851" w:footer="992" w:gutter="0"/>
          <w:pgNumType w:fmt="decimal"/>
          <w:cols w:space="720" w:num="1"/>
          <w:titlePg/>
          <w:docGrid w:linePitch="312" w:charSpace="0"/>
        </w:sectPr>
      </w:pPr>
    </w:p>
    <w:p w14:paraId="2349CCE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八、</w:t>
      </w:r>
      <w:r>
        <w:rPr>
          <w:rFonts w:hint="eastAsia" w:ascii="仿宋" w:hAnsi="仿宋" w:eastAsia="仿宋" w:cs="仿宋"/>
          <w:b/>
          <w:color w:val="auto"/>
          <w:kern w:val="0"/>
          <w:sz w:val="32"/>
          <w:szCs w:val="32"/>
          <w:highlight w:val="none"/>
        </w:rPr>
        <w:t>资信及商务</w:t>
      </w:r>
      <w:r>
        <w:rPr>
          <w:rFonts w:hint="eastAsia" w:ascii="仿宋" w:hAnsi="仿宋" w:eastAsia="仿宋" w:cs="仿宋"/>
          <w:b/>
          <w:color w:val="auto"/>
          <w:kern w:val="0"/>
          <w:sz w:val="32"/>
          <w:szCs w:val="32"/>
          <w:highlight w:val="none"/>
          <w:lang w:val="en-US" w:eastAsia="zh-CN"/>
        </w:rPr>
        <w:t>偏离</w:t>
      </w:r>
      <w:r>
        <w:rPr>
          <w:rFonts w:hint="eastAsia" w:ascii="仿宋" w:hAnsi="仿宋" w:eastAsia="仿宋" w:cs="仿宋"/>
          <w:b/>
          <w:color w:val="auto"/>
          <w:kern w:val="0"/>
          <w:sz w:val="32"/>
          <w:szCs w:val="32"/>
          <w:highlight w:val="none"/>
        </w:rPr>
        <w:t>表</w:t>
      </w:r>
    </w:p>
    <w:p w14:paraId="7AE2EB3E">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kern w:val="0"/>
          <w:sz w:val="32"/>
          <w:szCs w:val="32"/>
          <w:highlight w:val="none"/>
        </w:rPr>
      </w:pPr>
      <w:r>
        <w:rPr>
          <w:rFonts w:hint="eastAsia" w:ascii="仿宋" w:hAnsi="仿宋" w:eastAsia="仿宋" w:cs="仿宋"/>
          <w:color w:val="auto"/>
          <w:sz w:val="24"/>
          <w:highlight w:val="none"/>
        </w:rPr>
        <w:t>（由投标人根据采购需求及招标文件要求编制）</w:t>
      </w:r>
    </w:p>
    <w:tbl>
      <w:tblPr>
        <w:tblStyle w:val="63"/>
        <w:tblW w:w="91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4"/>
        <w:gridCol w:w="1417"/>
        <w:gridCol w:w="2835"/>
        <w:gridCol w:w="2835"/>
        <w:gridCol w:w="1260"/>
      </w:tblGrid>
      <w:tr w14:paraId="6C805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vAlign w:val="center"/>
          </w:tcPr>
          <w:p w14:paraId="391366FA">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417" w:type="dxa"/>
            <w:vAlign w:val="center"/>
          </w:tcPr>
          <w:p w14:paraId="5DF303A0">
            <w:pPr>
              <w:adjustRightInd/>
              <w:spacing w:line="380" w:lineRule="exact"/>
              <w:jc w:val="center"/>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名称</w:t>
            </w:r>
          </w:p>
        </w:tc>
        <w:tc>
          <w:tcPr>
            <w:tcW w:w="2835" w:type="dxa"/>
            <w:vAlign w:val="center"/>
          </w:tcPr>
          <w:p w14:paraId="4D04776E">
            <w:pPr>
              <w:adjustRightInd/>
              <w:spacing w:line="380" w:lineRule="exact"/>
              <w:jc w:val="cente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招标文件</w:t>
            </w:r>
            <w:r>
              <w:rPr>
                <w:rFonts w:hint="eastAsia" w:ascii="仿宋" w:hAnsi="仿宋" w:eastAsia="仿宋" w:cs="仿宋"/>
                <w:color w:val="auto"/>
                <w:sz w:val="24"/>
                <w:szCs w:val="24"/>
                <w:highlight w:val="none"/>
                <w:lang w:val="en-US" w:eastAsia="zh-CN"/>
              </w:rPr>
              <w:t>要求</w:t>
            </w:r>
          </w:p>
        </w:tc>
        <w:tc>
          <w:tcPr>
            <w:tcW w:w="2835" w:type="dxa"/>
            <w:vAlign w:val="center"/>
          </w:tcPr>
          <w:p w14:paraId="17A0648E">
            <w:pPr>
              <w:adjustRightInd/>
              <w:spacing w:line="380" w:lineRule="exact"/>
              <w:jc w:val="cente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投标文件</w:t>
            </w:r>
            <w:r>
              <w:rPr>
                <w:rFonts w:hint="eastAsia" w:ascii="仿宋" w:hAnsi="仿宋" w:eastAsia="仿宋" w:cs="仿宋"/>
                <w:color w:val="auto"/>
                <w:sz w:val="24"/>
                <w:szCs w:val="24"/>
                <w:highlight w:val="none"/>
                <w:lang w:val="en-US" w:eastAsia="zh-CN"/>
              </w:rPr>
              <w:t>响应</w:t>
            </w:r>
          </w:p>
        </w:tc>
        <w:tc>
          <w:tcPr>
            <w:tcW w:w="1260" w:type="dxa"/>
            <w:vAlign w:val="center"/>
          </w:tcPr>
          <w:p w14:paraId="6B3FAD7C">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偏离说明</w:t>
            </w:r>
          </w:p>
        </w:tc>
      </w:tr>
      <w:tr w14:paraId="34A77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vAlign w:val="center"/>
          </w:tcPr>
          <w:p w14:paraId="49281DB0">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417" w:type="dxa"/>
            <w:vAlign w:val="center"/>
          </w:tcPr>
          <w:p w14:paraId="2422A58F">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kern w:val="2"/>
                <w:sz w:val="24"/>
                <w:szCs w:val="24"/>
                <w:highlight w:val="none"/>
                <w:lang w:val="en-US" w:eastAsia="zh-CN" w:bidi="ar-SA"/>
              </w:rPr>
            </w:pPr>
          </w:p>
          <w:p w14:paraId="05E59AFA">
            <w:pPr>
              <w:pStyle w:val="2"/>
              <w:rPr>
                <w:rFonts w:hint="eastAsia"/>
                <w:color w:val="auto"/>
                <w:highlight w:val="none"/>
                <w:lang w:val="en-US" w:eastAsia="zh-CN"/>
              </w:rPr>
            </w:pPr>
          </w:p>
        </w:tc>
        <w:tc>
          <w:tcPr>
            <w:tcW w:w="2835" w:type="dxa"/>
          </w:tcPr>
          <w:p w14:paraId="642674E3">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10E9D6B2">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37A5516A">
            <w:pPr>
              <w:adjustRightInd/>
              <w:spacing w:line="380" w:lineRule="exact"/>
              <w:jc w:val="center"/>
              <w:outlineLvl w:val="9"/>
              <w:rPr>
                <w:rFonts w:hint="eastAsia" w:ascii="仿宋" w:hAnsi="仿宋" w:eastAsia="仿宋" w:cs="仿宋"/>
                <w:color w:val="auto"/>
                <w:sz w:val="24"/>
                <w:szCs w:val="24"/>
                <w:highlight w:val="none"/>
              </w:rPr>
            </w:pPr>
          </w:p>
        </w:tc>
      </w:tr>
      <w:tr w14:paraId="65C93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vAlign w:val="center"/>
          </w:tcPr>
          <w:p w14:paraId="29D3FE94">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417" w:type="dxa"/>
            <w:shd w:val="clear" w:color="auto" w:fill="auto"/>
            <w:vAlign w:val="center"/>
          </w:tcPr>
          <w:p w14:paraId="0DE494A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kern w:val="2"/>
                <w:sz w:val="24"/>
                <w:szCs w:val="24"/>
                <w:highlight w:val="none"/>
                <w:lang w:val="en-US" w:eastAsia="zh-CN" w:bidi="ar-SA"/>
              </w:rPr>
            </w:pPr>
          </w:p>
        </w:tc>
        <w:tc>
          <w:tcPr>
            <w:tcW w:w="2835" w:type="dxa"/>
          </w:tcPr>
          <w:p w14:paraId="58ACA526">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24240E1B">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31D80AD3">
            <w:pPr>
              <w:adjustRightInd/>
              <w:spacing w:line="380" w:lineRule="exact"/>
              <w:jc w:val="center"/>
              <w:outlineLvl w:val="9"/>
              <w:rPr>
                <w:rFonts w:hint="eastAsia" w:ascii="仿宋" w:hAnsi="仿宋" w:eastAsia="仿宋" w:cs="仿宋"/>
                <w:color w:val="auto"/>
                <w:sz w:val="24"/>
                <w:szCs w:val="24"/>
                <w:highlight w:val="none"/>
              </w:rPr>
            </w:pPr>
          </w:p>
        </w:tc>
      </w:tr>
      <w:tr w14:paraId="0492F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vAlign w:val="center"/>
          </w:tcPr>
          <w:p w14:paraId="63D26945">
            <w:pPr>
              <w:adjustRightInd/>
              <w:spacing w:line="380" w:lineRule="exact"/>
              <w:jc w:val="center"/>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417" w:type="dxa"/>
            <w:shd w:val="clear" w:color="auto" w:fill="auto"/>
            <w:vAlign w:val="center"/>
          </w:tcPr>
          <w:p w14:paraId="078F864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kern w:val="2"/>
                <w:sz w:val="24"/>
                <w:szCs w:val="24"/>
                <w:highlight w:val="none"/>
                <w:lang w:val="en-US" w:eastAsia="zh-CN" w:bidi="ar-SA"/>
              </w:rPr>
            </w:pPr>
          </w:p>
        </w:tc>
        <w:tc>
          <w:tcPr>
            <w:tcW w:w="2835" w:type="dxa"/>
          </w:tcPr>
          <w:p w14:paraId="63FB08E8">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23931CE8">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1B0B95A7">
            <w:pPr>
              <w:adjustRightInd/>
              <w:spacing w:line="380" w:lineRule="exact"/>
              <w:jc w:val="center"/>
              <w:outlineLvl w:val="9"/>
              <w:rPr>
                <w:rFonts w:hint="eastAsia" w:ascii="仿宋" w:hAnsi="仿宋" w:eastAsia="仿宋" w:cs="仿宋"/>
                <w:color w:val="auto"/>
                <w:sz w:val="24"/>
                <w:szCs w:val="24"/>
                <w:highlight w:val="none"/>
              </w:rPr>
            </w:pPr>
          </w:p>
        </w:tc>
      </w:tr>
      <w:tr w14:paraId="6349A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vAlign w:val="center"/>
          </w:tcPr>
          <w:p w14:paraId="7C3313B7">
            <w:pPr>
              <w:adjustRightInd/>
              <w:spacing w:line="380" w:lineRule="exact"/>
              <w:jc w:val="center"/>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1417" w:type="dxa"/>
            <w:shd w:val="clear" w:color="auto" w:fill="auto"/>
            <w:vAlign w:val="center"/>
          </w:tcPr>
          <w:p w14:paraId="0288372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kern w:val="2"/>
                <w:sz w:val="24"/>
                <w:szCs w:val="24"/>
                <w:highlight w:val="none"/>
                <w:lang w:val="en-US" w:eastAsia="zh-CN" w:bidi="ar-SA"/>
              </w:rPr>
            </w:pPr>
          </w:p>
        </w:tc>
        <w:tc>
          <w:tcPr>
            <w:tcW w:w="2835" w:type="dxa"/>
          </w:tcPr>
          <w:p w14:paraId="28762F03">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7AA66D22">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537C6AC3">
            <w:pPr>
              <w:adjustRightInd/>
              <w:spacing w:line="380" w:lineRule="exact"/>
              <w:jc w:val="center"/>
              <w:outlineLvl w:val="9"/>
              <w:rPr>
                <w:rFonts w:hint="eastAsia" w:ascii="仿宋" w:hAnsi="仿宋" w:eastAsia="仿宋" w:cs="仿宋"/>
                <w:color w:val="auto"/>
                <w:sz w:val="24"/>
                <w:szCs w:val="24"/>
                <w:highlight w:val="none"/>
              </w:rPr>
            </w:pPr>
          </w:p>
        </w:tc>
      </w:tr>
      <w:tr w14:paraId="3BAF5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shd w:val="clear" w:color="auto" w:fill="auto"/>
            <w:vAlign w:val="center"/>
          </w:tcPr>
          <w:p w14:paraId="21BE7AFE">
            <w:pPr>
              <w:adjustRightInd/>
              <w:spacing w:line="380" w:lineRule="exact"/>
              <w:jc w:val="center"/>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5</w:t>
            </w:r>
          </w:p>
        </w:tc>
        <w:tc>
          <w:tcPr>
            <w:tcW w:w="1417" w:type="dxa"/>
            <w:shd w:val="clear" w:color="auto" w:fill="auto"/>
            <w:vAlign w:val="center"/>
          </w:tcPr>
          <w:p w14:paraId="0E21220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 w:hAnsi="仿宋" w:eastAsia="仿宋" w:cs="仿宋"/>
                <w:b w:val="0"/>
                <w:bCs w:val="0"/>
                <w:snapToGrid w:val="0"/>
                <w:color w:val="auto"/>
                <w:kern w:val="2"/>
                <w:sz w:val="24"/>
                <w:szCs w:val="24"/>
                <w:highlight w:val="none"/>
                <w:lang w:val="en-US" w:eastAsia="zh-CN" w:bidi="ar-SA"/>
              </w:rPr>
            </w:pPr>
          </w:p>
        </w:tc>
        <w:tc>
          <w:tcPr>
            <w:tcW w:w="2835" w:type="dxa"/>
          </w:tcPr>
          <w:p w14:paraId="01047833">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21F87E83">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41DCF71A">
            <w:pPr>
              <w:adjustRightInd/>
              <w:spacing w:line="380" w:lineRule="exact"/>
              <w:jc w:val="center"/>
              <w:outlineLvl w:val="9"/>
              <w:rPr>
                <w:rFonts w:hint="eastAsia" w:ascii="仿宋" w:hAnsi="仿宋" w:eastAsia="仿宋" w:cs="仿宋"/>
                <w:color w:val="auto"/>
                <w:sz w:val="24"/>
                <w:szCs w:val="24"/>
                <w:highlight w:val="none"/>
              </w:rPr>
            </w:pPr>
          </w:p>
        </w:tc>
      </w:tr>
      <w:tr w14:paraId="6BAB1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shd w:val="clear" w:color="auto" w:fill="auto"/>
            <w:vAlign w:val="center"/>
          </w:tcPr>
          <w:p w14:paraId="2D195C46">
            <w:pPr>
              <w:adjustRightInd/>
              <w:spacing w:line="380" w:lineRule="exact"/>
              <w:jc w:val="center"/>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6</w:t>
            </w:r>
          </w:p>
        </w:tc>
        <w:tc>
          <w:tcPr>
            <w:tcW w:w="1417" w:type="dxa"/>
            <w:shd w:val="clear" w:color="auto" w:fill="auto"/>
            <w:vAlign w:val="center"/>
          </w:tcPr>
          <w:p w14:paraId="5B89293F">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kern w:val="2"/>
                <w:sz w:val="24"/>
                <w:szCs w:val="24"/>
                <w:highlight w:val="none"/>
                <w:lang w:val="en-US" w:eastAsia="zh-CN" w:bidi="ar-SA"/>
              </w:rPr>
            </w:pPr>
          </w:p>
        </w:tc>
        <w:tc>
          <w:tcPr>
            <w:tcW w:w="2835" w:type="dxa"/>
          </w:tcPr>
          <w:p w14:paraId="111722E3">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3FA9D333">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4771F82C">
            <w:pPr>
              <w:adjustRightInd/>
              <w:spacing w:line="380" w:lineRule="exact"/>
              <w:jc w:val="center"/>
              <w:outlineLvl w:val="9"/>
              <w:rPr>
                <w:rFonts w:hint="eastAsia" w:ascii="仿宋" w:hAnsi="仿宋" w:eastAsia="仿宋" w:cs="仿宋"/>
                <w:color w:val="auto"/>
                <w:sz w:val="24"/>
                <w:szCs w:val="24"/>
                <w:highlight w:val="none"/>
              </w:rPr>
            </w:pPr>
          </w:p>
        </w:tc>
      </w:tr>
      <w:tr w14:paraId="1B987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shd w:val="clear" w:color="auto" w:fill="auto"/>
            <w:vAlign w:val="center"/>
          </w:tcPr>
          <w:p w14:paraId="35BC477C">
            <w:pPr>
              <w:adjustRightInd/>
              <w:spacing w:line="380" w:lineRule="exact"/>
              <w:jc w:val="center"/>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7</w:t>
            </w:r>
          </w:p>
        </w:tc>
        <w:tc>
          <w:tcPr>
            <w:tcW w:w="1417" w:type="dxa"/>
            <w:shd w:val="clear" w:color="auto" w:fill="auto"/>
            <w:vAlign w:val="center"/>
          </w:tcPr>
          <w:p w14:paraId="19FA1C4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 w:hAnsi="仿宋" w:eastAsia="仿宋" w:cs="仿宋"/>
                <w:b w:val="0"/>
                <w:bCs w:val="0"/>
                <w:snapToGrid w:val="0"/>
                <w:color w:val="auto"/>
                <w:kern w:val="2"/>
                <w:sz w:val="24"/>
                <w:szCs w:val="24"/>
                <w:highlight w:val="none"/>
                <w:lang w:val="en-US" w:eastAsia="zh-CN" w:bidi="ar-SA"/>
              </w:rPr>
            </w:pPr>
          </w:p>
        </w:tc>
        <w:tc>
          <w:tcPr>
            <w:tcW w:w="2835" w:type="dxa"/>
          </w:tcPr>
          <w:p w14:paraId="3D6762F1">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58A925BD">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01090384">
            <w:pPr>
              <w:adjustRightInd/>
              <w:spacing w:line="380" w:lineRule="exact"/>
              <w:jc w:val="center"/>
              <w:outlineLvl w:val="9"/>
              <w:rPr>
                <w:rFonts w:hint="eastAsia" w:ascii="仿宋" w:hAnsi="仿宋" w:eastAsia="仿宋" w:cs="仿宋"/>
                <w:color w:val="auto"/>
                <w:sz w:val="24"/>
                <w:szCs w:val="24"/>
                <w:highlight w:val="none"/>
              </w:rPr>
            </w:pPr>
          </w:p>
        </w:tc>
      </w:tr>
      <w:tr w14:paraId="05036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shd w:val="clear" w:color="auto" w:fill="auto"/>
            <w:vAlign w:val="center"/>
          </w:tcPr>
          <w:p w14:paraId="01930A11">
            <w:pPr>
              <w:adjustRightInd/>
              <w:spacing w:line="380" w:lineRule="exact"/>
              <w:jc w:val="center"/>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8</w:t>
            </w:r>
          </w:p>
        </w:tc>
        <w:tc>
          <w:tcPr>
            <w:tcW w:w="1417" w:type="dxa"/>
            <w:shd w:val="clear" w:color="auto" w:fill="auto"/>
            <w:vAlign w:val="center"/>
          </w:tcPr>
          <w:p w14:paraId="322FD9A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kern w:val="2"/>
                <w:sz w:val="24"/>
                <w:szCs w:val="24"/>
                <w:highlight w:val="none"/>
                <w:lang w:val="en-US" w:eastAsia="zh-CN" w:bidi="ar-SA"/>
              </w:rPr>
            </w:pPr>
          </w:p>
        </w:tc>
        <w:tc>
          <w:tcPr>
            <w:tcW w:w="2835" w:type="dxa"/>
          </w:tcPr>
          <w:p w14:paraId="54F01442">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6E8DE19F">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471CFA9E">
            <w:pPr>
              <w:adjustRightInd/>
              <w:spacing w:line="380" w:lineRule="exact"/>
              <w:jc w:val="center"/>
              <w:outlineLvl w:val="9"/>
              <w:rPr>
                <w:rFonts w:hint="eastAsia" w:ascii="仿宋" w:hAnsi="仿宋" w:eastAsia="仿宋" w:cs="仿宋"/>
                <w:color w:val="auto"/>
                <w:sz w:val="24"/>
                <w:szCs w:val="24"/>
                <w:highlight w:val="none"/>
              </w:rPr>
            </w:pPr>
          </w:p>
        </w:tc>
      </w:tr>
      <w:tr w14:paraId="5191E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shd w:val="clear" w:color="auto" w:fill="auto"/>
            <w:vAlign w:val="center"/>
          </w:tcPr>
          <w:p w14:paraId="727F18D1">
            <w:pPr>
              <w:adjustRightInd/>
              <w:spacing w:line="380" w:lineRule="exact"/>
              <w:jc w:val="center"/>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9</w:t>
            </w:r>
          </w:p>
        </w:tc>
        <w:tc>
          <w:tcPr>
            <w:tcW w:w="1417" w:type="dxa"/>
            <w:shd w:val="clear" w:color="auto" w:fill="auto"/>
            <w:vAlign w:val="center"/>
          </w:tcPr>
          <w:p w14:paraId="3CA118E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kern w:val="2"/>
                <w:sz w:val="24"/>
                <w:szCs w:val="24"/>
                <w:highlight w:val="none"/>
                <w:lang w:val="en-US" w:eastAsia="zh-CN" w:bidi="ar-SA"/>
              </w:rPr>
            </w:pPr>
          </w:p>
        </w:tc>
        <w:tc>
          <w:tcPr>
            <w:tcW w:w="2835" w:type="dxa"/>
          </w:tcPr>
          <w:p w14:paraId="51B2D94F">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43E2B4C0">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3B08FD96">
            <w:pPr>
              <w:adjustRightInd/>
              <w:spacing w:line="380" w:lineRule="exact"/>
              <w:jc w:val="center"/>
              <w:outlineLvl w:val="9"/>
              <w:rPr>
                <w:rFonts w:hint="eastAsia" w:ascii="仿宋" w:hAnsi="仿宋" w:eastAsia="仿宋" w:cs="仿宋"/>
                <w:color w:val="auto"/>
                <w:sz w:val="24"/>
                <w:szCs w:val="24"/>
                <w:highlight w:val="none"/>
              </w:rPr>
            </w:pPr>
          </w:p>
        </w:tc>
      </w:tr>
      <w:tr w14:paraId="7D1B5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vAlign w:val="center"/>
          </w:tcPr>
          <w:p w14:paraId="22BDE5C2">
            <w:pPr>
              <w:adjustRightInd/>
              <w:spacing w:line="380" w:lineRule="exact"/>
              <w:jc w:val="center"/>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1417" w:type="dxa"/>
            <w:shd w:val="clear" w:color="auto" w:fill="auto"/>
            <w:vAlign w:val="center"/>
          </w:tcPr>
          <w:p w14:paraId="15CC157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 w:hAnsi="仿宋" w:eastAsia="仿宋" w:cs="仿宋"/>
                <w:b w:val="0"/>
                <w:bCs w:val="0"/>
                <w:color w:val="auto"/>
                <w:sz w:val="24"/>
                <w:szCs w:val="24"/>
                <w:highlight w:val="none"/>
                <w:lang w:val="en-US" w:eastAsia="zh-CN"/>
              </w:rPr>
            </w:pPr>
          </w:p>
        </w:tc>
        <w:tc>
          <w:tcPr>
            <w:tcW w:w="2835" w:type="dxa"/>
          </w:tcPr>
          <w:p w14:paraId="37ABD147">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33FBB91F">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6D9FE090">
            <w:pPr>
              <w:adjustRightInd/>
              <w:spacing w:line="380" w:lineRule="exact"/>
              <w:jc w:val="center"/>
              <w:outlineLvl w:val="9"/>
              <w:rPr>
                <w:rFonts w:hint="eastAsia" w:ascii="仿宋" w:hAnsi="仿宋" w:eastAsia="仿宋" w:cs="仿宋"/>
                <w:color w:val="auto"/>
                <w:sz w:val="24"/>
                <w:szCs w:val="24"/>
                <w:highlight w:val="none"/>
              </w:rPr>
            </w:pPr>
          </w:p>
        </w:tc>
      </w:tr>
    </w:tbl>
    <w:p w14:paraId="7FDACBB8">
      <w:pPr>
        <w:keepNext w:val="0"/>
        <w:keepLines w:val="0"/>
        <w:pageBreakBefore w:val="0"/>
        <w:widowControl w:val="0"/>
        <w:kinsoku/>
        <w:wordWrap/>
        <w:overflowPunct/>
        <w:topLinePunct w:val="0"/>
        <w:autoSpaceDE/>
        <w:autoSpaceDN/>
        <w:bidi w:val="0"/>
        <w:adjustRightInd w:val="0"/>
        <w:snapToGrid/>
        <w:spacing w:line="360" w:lineRule="auto"/>
        <w:ind w:right="-21" w:rightChars="-1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注：1.投标人应根据相关要求、对照招标文件要求在“偏离说明”栏注明“正偏离”、“负偏离”或“无偏离”。</w:t>
      </w:r>
      <w:r>
        <w:rPr>
          <w:rFonts w:hint="eastAsia" w:ascii="仿宋" w:hAnsi="仿宋" w:eastAsia="仿宋" w:cs="仿宋"/>
          <w:b/>
          <w:bCs/>
          <w:color w:val="auto"/>
          <w:sz w:val="24"/>
          <w:highlight w:val="none"/>
        </w:rPr>
        <w:t>以上内容为实质性条款，若“负偏离”作无效标处理。</w:t>
      </w:r>
    </w:p>
    <w:p w14:paraId="4B9D513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2.不</w:t>
      </w:r>
      <w:r>
        <w:rPr>
          <w:rFonts w:hint="eastAsia" w:ascii="仿宋" w:hAnsi="仿宋" w:eastAsia="仿宋" w:cs="仿宋"/>
          <w:color w:val="auto"/>
          <w:sz w:val="24"/>
          <w:highlight w:val="none"/>
          <w:lang w:val="en-US" w:eastAsia="zh-CN"/>
        </w:rPr>
        <w:t>填写</w:t>
      </w:r>
      <w:r>
        <w:rPr>
          <w:rFonts w:hint="eastAsia" w:ascii="仿宋" w:hAnsi="仿宋" w:eastAsia="仿宋" w:cs="仿宋"/>
          <w:color w:val="auto"/>
          <w:sz w:val="24"/>
          <w:highlight w:val="none"/>
        </w:rPr>
        <w:t>此表或注明“无偏离”均将视为投标人完全响应及满足招标文件要求。</w:t>
      </w:r>
    </w:p>
    <w:p w14:paraId="773B4B92">
      <w:pPr>
        <w:spacing w:line="360" w:lineRule="auto"/>
        <w:ind w:right="420"/>
        <w:rPr>
          <w:rFonts w:hint="eastAsia" w:ascii="仿宋" w:hAnsi="仿宋" w:eastAsia="仿宋" w:cs="仿宋"/>
          <w:b/>
          <w:bCs/>
          <w:color w:val="auto"/>
          <w:sz w:val="32"/>
          <w:szCs w:val="32"/>
          <w:highlight w:val="none"/>
        </w:rPr>
      </w:pPr>
    </w:p>
    <w:p w14:paraId="31632F13">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lang w:eastAsia="zh-CN"/>
        </w:rPr>
        <w:t>电子签章</w:t>
      </w:r>
      <w:r>
        <w:rPr>
          <w:rFonts w:hint="eastAsia" w:ascii="仿宋" w:hAnsi="仿宋" w:eastAsia="仿宋" w:cs="仿宋"/>
          <w:color w:val="auto"/>
          <w:kern w:val="0"/>
          <w:sz w:val="24"/>
          <w:highlight w:val="none"/>
          <w:lang w:val="zh-CN"/>
        </w:rPr>
        <w:t xml:space="preserve">）：                                                                                                                                                                                                               </w:t>
      </w:r>
    </w:p>
    <w:p w14:paraId="0F365520">
      <w:pPr>
        <w:spacing w:line="360" w:lineRule="auto"/>
        <w:ind w:left="4620" w:leftChars="2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295D7A6E">
      <w:pPr>
        <w:jc w:val="center"/>
        <w:rPr>
          <w:rFonts w:hint="eastAsia" w:ascii="仿宋" w:hAnsi="仿宋" w:eastAsia="仿宋" w:cs="仿宋"/>
          <w:b/>
          <w:color w:val="auto"/>
          <w:kern w:val="0"/>
          <w:sz w:val="32"/>
          <w:szCs w:val="32"/>
          <w:highlight w:val="none"/>
        </w:rPr>
      </w:pPr>
    </w:p>
    <w:p w14:paraId="6B7641C2">
      <w:pPr>
        <w:jc w:val="both"/>
        <w:rPr>
          <w:rFonts w:hint="eastAsia" w:ascii="仿宋" w:hAnsi="仿宋" w:eastAsia="仿宋" w:cs="仿宋"/>
          <w:b/>
          <w:color w:val="auto"/>
          <w:kern w:val="0"/>
          <w:sz w:val="32"/>
          <w:szCs w:val="32"/>
          <w:highlight w:val="none"/>
        </w:rPr>
      </w:pPr>
    </w:p>
    <w:p w14:paraId="0DCAC908">
      <w:pPr>
        <w:spacing w:line="336" w:lineRule="auto"/>
        <w:jc w:val="center"/>
        <w:rPr>
          <w:rFonts w:hint="eastAsia" w:ascii="仿宋" w:hAnsi="仿宋" w:eastAsia="仿宋" w:cs="仿宋"/>
          <w:b/>
          <w:bCs/>
          <w:color w:val="auto"/>
          <w:sz w:val="32"/>
          <w:szCs w:val="32"/>
          <w:highlight w:val="none"/>
          <w:lang w:val="en-US" w:eastAsia="zh-CN"/>
        </w:rPr>
      </w:pPr>
    </w:p>
    <w:p w14:paraId="6FD683F1">
      <w:pPr>
        <w:spacing w:line="336" w:lineRule="auto"/>
        <w:jc w:val="center"/>
        <w:rPr>
          <w:rFonts w:hint="eastAsia" w:ascii="仿宋" w:hAnsi="仿宋" w:eastAsia="仿宋" w:cs="仿宋"/>
          <w:b/>
          <w:bCs/>
          <w:color w:val="auto"/>
          <w:sz w:val="32"/>
          <w:szCs w:val="32"/>
          <w:highlight w:val="none"/>
          <w:lang w:val="en-US" w:eastAsia="zh-CN"/>
        </w:rPr>
      </w:pPr>
    </w:p>
    <w:p w14:paraId="1831060B">
      <w:pPr>
        <w:spacing w:line="336" w:lineRule="auto"/>
        <w:jc w:val="center"/>
        <w:rPr>
          <w:rFonts w:hint="eastAsia" w:ascii="仿宋" w:hAnsi="仿宋" w:eastAsia="仿宋" w:cs="仿宋"/>
          <w:b/>
          <w:bCs/>
          <w:color w:val="auto"/>
          <w:sz w:val="32"/>
          <w:szCs w:val="32"/>
          <w:highlight w:val="none"/>
          <w:lang w:val="en-US" w:eastAsia="zh-CN"/>
        </w:rPr>
      </w:pPr>
    </w:p>
    <w:p w14:paraId="236A2963">
      <w:pPr>
        <w:spacing w:line="336"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九</w:t>
      </w:r>
      <w:r>
        <w:rPr>
          <w:rFonts w:hint="eastAsia" w:ascii="仿宋" w:hAnsi="仿宋" w:eastAsia="仿宋" w:cs="仿宋"/>
          <w:b/>
          <w:bCs/>
          <w:color w:val="auto"/>
          <w:sz w:val="32"/>
          <w:szCs w:val="32"/>
          <w:highlight w:val="none"/>
        </w:rPr>
        <w:t>、综合实力</w:t>
      </w:r>
    </w:p>
    <w:p w14:paraId="1E7926A7">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46C0FC23">
      <w:pPr>
        <w:spacing w:line="336" w:lineRule="auto"/>
        <w:ind w:firstLine="3600" w:firstLineChars="1500"/>
        <w:rPr>
          <w:rFonts w:hint="eastAsia" w:ascii="仿宋" w:hAnsi="仿宋" w:eastAsia="仿宋" w:cs="仿宋"/>
          <w:color w:val="auto"/>
          <w:sz w:val="24"/>
          <w:highlight w:val="none"/>
        </w:rPr>
      </w:pPr>
    </w:p>
    <w:p w14:paraId="492E132A">
      <w:pPr>
        <w:spacing w:line="336" w:lineRule="auto"/>
        <w:jc w:val="both"/>
        <w:rPr>
          <w:rFonts w:hint="eastAsia" w:ascii="仿宋" w:hAnsi="仿宋" w:eastAsia="仿宋" w:cs="仿宋"/>
          <w:color w:val="auto"/>
          <w:sz w:val="24"/>
          <w:highlight w:val="none"/>
        </w:rPr>
      </w:pPr>
    </w:p>
    <w:p w14:paraId="1780CAAE">
      <w:pPr>
        <w:spacing w:line="336" w:lineRule="auto"/>
        <w:jc w:val="both"/>
        <w:rPr>
          <w:rFonts w:hint="eastAsia" w:ascii="仿宋" w:hAnsi="仿宋" w:eastAsia="仿宋" w:cs="仿宋"/>
          <w:b/>
          <w:bCs/>
          <w:color w:val="auto"/>
          <w:sz w:val="32"/>
          <w:szCs w:val="32"/>
          <w:highlight w:val="none"/>
          <w:lang w:val="en-US" w:eastAsia="zh-CN"/>
        </w:rPr>
      </w:pPr>
    </w:p>
    <w:p w14:paraId="2E985724">
      <w:pPr>
        <w:spacing w:line="336" w:lineRule="auto"/>
        <w:jc w:val="center"/>
        <w:rPr>
          <w:rFonts w:hint="eastAsia" w:ascii="仿宋" w:hAnsi="仿宋" w:eastAsia="仿宋" w:cs="仿宋"/>
          <w:b/>
          <w:bCs/>
          <w:color w:val="auto"/>
          <w:sz w:val="32"/>
          <w:szCs w:val="32"/>
          <w:highlight w:val="none"/>
          <w:lang w:val="en-US" w:eastAsia="zh-CN"/>
        </w:rPr>
      </w:pPr>
    </w:p>
    <w:p w14:paraId="7E9B0930">
      <w:pPr>
        <w:spacing w:line="336" w:lineRule="auto"/>
        <w:jc w:val="center"/>
        <w:rPr>
          <w:rFonts w:hint="eastAsia" w:ascii="仿宋" w:hAnsi="仿宋" w:eastAsia="仿宋" w:cs="仿宋"/>
          <w:b/>
          <w:bCs/>
          <w:color w:val="auto"/>
          <w:sz w:val="32"/>
          <w:szCs w:val="32"/>
          <w:highlight w:val="none"/>
          <w:lang w:val="en-US" w:eastAsia="zh-CN"/>
        </w:rPr>
      </w:pPr>
    </w:p>
    <w:p w14:paraId="50516627">
      <w:pPr>
        <w:spacing w:line="336" w:lineRule="auto"/>
        <w:jc w:val="center"/>
        <w:rPr>
          <w:rFonts w:hint="eastAsia" w:ascii="仿宋" w:hAnsi="仿宋" w:eastAsia="仿宋" w:cs="仿宋"/>
          <w:b/>
          <w:bCs/>
          <w:color w:val="auto"/>
          <w:sz w:val="32"/>
          <w:szCs w:val="32"/>
          <w:highlight w:val="none"/>
          <w:lang w:val="en-US" w:eastAsia="zh-CN"/>
        </w:rPr>
      </w:pPr>
    </w:p>
    <w:p w14:paraId="6B0DE71B">
      <w:pPr>
        <w:spacing w:line="336" w:lineRule="auto"/>
        <w:jc w:val="center"/>
        <w:rPr>
          <w:rFonts w:hint="eastAsia" w:ascii="仿宋" w:hAnsi="仿宋" w:eastAsia="仿宋" w:cs="仿宋"/>
          <w:b/>
          <w:bCs/>
          <w:color w:val="auto"/>
          <w:sz w:val="32"/>
          <w:szCs w:val="32"/>
          <w:highlight w:val="none"/>
          <w:lang w:val="en-US" w:eastAsia="zh-CN"/>
        </w:rPr>
      </w:pPr>
    </w:p>
    <w:p w14:paraId="351A8756">
      <w:pPr>
        <w:spacing w:line="336"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十</w:t>
      </w:r>
      <w:r>
        <w:rPr>
          <w:rFonts w:hint="eastAsia" w:ascii="仿宋" w:hAnsi="仿宋" w:eastAsia="仿宋" w:cs="仿宋"/>
          <w:b/>
          <w:bCs/>
          <w:color w:val="auto"/>
          <w:sz w:val="32"/>
          <w:szCs w:val="32"/>
          <w:highlight w:val="none"/>
        </w:rPr>
        <w:t>、类似成功案例</w:t>
      </w:r>
    </w:p>
    <w:tbl>
      <w:tblPr>
        <w:tblStyle w:val="62"/>
        <w:tblW w:w="883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7"/>
        <w:gridCol w:w="1150"/>
        <w:gridCol w:w="1317"/>
        <w:gridCol w:w="1266"/>
        <w:gridCol w:w="2040"/>
        <w:gridCol w:w="2344"/>
      </w:tblGrid>
      <w:tr w14:paraId="70F579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439" w:hRule="atLeast"/>
          <w:jc w:val="center"/>
        </w:trPr>
        <w:tc>
          <w:tcPr>
            <w:tcW w:w="717" w:type="dxa"/>
            <w:tcBorders>
              <w:top w:val="single" w:color="auto" w:sz="4" w:space="0"/>
              <w:left w:val="single" w:color="auto" w:sz="4" w:space="0"/>
              <w:right w:val="single" w:color="auto" w:sz="4" w:space="0"/>
            </w:tcBorders>
            <w:vAlign w:val="center"/>
          </w:tcPr>
          <w:p w14:paraId="3CCAA182">
            <w:pPr>
              <w:shd w:val="clear" w:color="auto" w:fill="FFFFFF"/>
              <w:autoSpaceDE w:val="0"/>
              <w:jc w:val="center"/>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序号</w:t>
            </w:r>
          </w:p>
        </w:tc>
        <w:tc>
          <w:tcPr>
            <w:tcW w:w="1150" w:type="dxa"/>
            <w:tcBorders>
              <w:top w:val="single" w:color="auto" w:sz="4" w:space="0"/>
              <w:left w:val="single" w:color="auto" w:sz="4" w:space="0"/>
              <w:right w:val="single" w:color="auto" w:sz="4" w:space="0"/>
            </w:tcBorders>
            <w:vAlign w:val="center"/>
          </w:tcPr>
          <w:p w14:paraId="1A0D292E">
            <w:pPr>
              <w:shd w:val="clear" w:color="auto" w:fill="FFFFFF"/>
              <w:autoSpaceDE w:val="0"/>
              <w:jc w:val="center"/>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采购单位名称</w:t>
            </w:r>
          </w:p>
        </w:tc>
        <w:tc>
          <w:tcPr>
            <w:tcW w:w="1317" w:type="dxa"/>
            <w:tcBorders>
              <w:top w:val="single" w:color="auto" w:sz="4" w:space="0"/>
              <w:left w:val="single" w:color="auto" w:sz="4" w:space="0"/>
              <w:right w:val="single" w:color="auto" w:sz="4" w:space="0"/>
            </w:tcBorders>
            <w:vAlign w:val="center"/>
          </w:tcPr>
          <w:p w14:paraId="3C8B619F">
            <w:pPr>
              <w:shd w:val="clear" w:color="auto" w:fill="FFFFFF"/>
              <w:autoSpaceDE w:val="0"/>
              <w:jc w:val="center"/>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项目名称</w:t>
            </w:r>
          </w:p>
        </w:tc>
        <w:tc>
          <w:tcPr>
            <w:tcW w:w="1266" w:type="dxa"/>
            <w:tcBorders>
              <w:top w:val="single" w:color="auto" w:sz="4" w:space="0"/>
              <w:left w:val="single" w:color="auto" w:sz="4" w:space="0"/>
              <w:right w:val="single" w:color="auto" w:sz="4" w:space="0"/>
            </w:tcBorders>
            <w:vAlign w:val="center"/>
          </w:tcPr>
          <w:p w14:paraId="29016D60">
            <w:pPr>
              <w:shd w:val="clear" w:color="auto" w:fill="FFFFFF"/>
              <w:autoSpaceDE w:val="0"/>
              <w:jc w:val="center"/>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合同金额</w:t>
            </w:r>
          </w:p>
          <w:p w14:paraId="4C0E954D">
            <w:pPr>
              <w:shd w:val="clear" w:color="auto" w:fill="FFFFFF"/>
              <w:autoSpaceDE w:val="0"/>
              <w:jc w:val="center"/>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（万元）</w:t>
            </w:r>
          </w:p>
        </w:tc>
        <w:tc>
          <w:tcPr>
            <w:tcW w:w="2040" w:type="dxa"/>
            <w:tcBorders>
              <w:top w:val="single" w:color="auto" w:sz="4" w:space="0"/>
              <w:left w:val="single" w:color="auto" w:sz="4" w:space="0"/>
              <w:bottom w:val="single" w:color="auto" w:sz="4" w:space="0"/>
              <w:right w:val="single" w:color="auto" w:sz="4" w:space="0"/>
            </w:tcBorders>
            <w:vAlign w:val="center"/>
          </w:tcPr>
          <w:p w14:paraId="72C3F912">
            <w:pPr>
              <w:shd w:val="clear" w:color="auto" w:fill="FFFFFF"/>
              <w:autoSpaceDE w:val="0"/>
              <w:jc w:val="center"/>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合同签订时间</w:t>
            </w:r>
          </w:p>
        </w:tc>
        <w:tc>
          <w:tcPr>
            <w:tcW w:w="2344" w:type="dxa"/>
            <w:tcBorders>
              <w:top w:val="single" w:color="auto" w:sz="4" w:space="0"/>
              <w:left w:val="single" w:color="auto" w:sz="4" w:space="0"/>
              <w:right w:val="single" w:color="auto" w:sz="4" w:space="0"/>
            </w:tcBorders>
            <w:vAlign w:val="center"/>
          </w:tcPr>
          <w:p w14:paraId="7A9234C4">
            <w:pPr>
              <w:shd w:val="clear" w:color="auto" w:fill="FFFFFF"/>
              <w:autoSpaceDE w:val="0"/>
              <w:jc w:val="center"/>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采购单位联系人及联系电话</w:t>
            </w:r>
          </w:p>
        </w:tc>
      </w:tr>
      <w:tr w14:paraId="120F17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17" w:type="dxa"/>
            <w:tcBorders>
              <w:top w:val="single" w:color="auto" w:sz="4" w:space="0"/>
              <w:left w:val="single" w:color="auto" w:sz="4" w:space="0"/>
              <w:bottom w:val="single" w:color="auto" w:sz="4" w:space="0"/>
              <w:right w:val="single" w:color="auto" w:sz="4" w:space="0"/>
            </w:tcBorders>
            <w:vAlign w:val="center"/>
          </w:tcPr>
          <w:p w14:paraId="44084BAF">
            <w:pPr>
              <w:shd w:val="clear" w:color="auto" w:fill="FFFFFF"/>
              <w:autoSpaceDE w:val="0"/>
              <w:jc w:val="center"/>
              <w:rPr>
                <w:rFonts w:hint="eastAsia" w:ascii="仿宋" w:hAnsi="仿宋" w:eastAsia="仿宋" w:cs="仿宋"/>
                <w:bCs/>
                <w:color w:val="auto"/>
                <w:kern w:val="0"/>
                <w:sz w:val="24"/>
                <w:highlight w:val="none"/>
              </w:rPr>
            </w:pPr>
          </w:p>
        </w:tc>
        <w:tc>
          <w:tcPr>
            <w:tcW w:w="1150" w:type="dxa"/>
            <w:tcBorders>
              <w:top w:val="single" w:color="auto" w:sz="4" w:space="0"/>
              <w:left w:val="single" w:color="auto" w:sz="4" w:space="0"/>
              <w:bottom w:val="single" w:color="auto" w:sz="4" w:space="0"/>
              <w:right w:val="single" w:color="auto" w:sz="4" w:space="0"/>
            </w:tcBorders>
            <w:vAlign w:val="center"/>
          </w:tcPr>
          <w:p w14:paraId="747E18CE">
            <w:pPr>
              <w:shd w:val="clear" w:color="auto" w:fill="FFFFFF"/>
              <w:autoSpaceDE w:val="0"/>
              <w:jc w:val="center"/>
              <w:rPr>
                <w:rFonts w:hint="eastAsia" w:ascii="仿宋" w:hAnsi="仿宋" w:eastAsia="仿宋" w:cs="仿宋"/>
                <w:bCs/>
                <w:color w:val="auto"/>
                <w:kern w:val="0"/>
                <w:sz w:val="24"/>
                <w:highlight w:val="none"/>
              </w:rPr>
            </w:pPr>
          </w:p>
        </w:tc>
        <w:tc>
          <w:tcPr>
            <w:tcW w:w="1317" w:type="dxa"/>
            <w:tcBorders>
              <w:top w:val="single" w:color="auto" w:sz="4" w:space="0"/>
              <w:left w:val="single" w:color="auto" w:sz="4" w:space="0"/>
              <w:bottom w:val="single" w:color="auto" w:sz="4" w:space="0"/>
              <w:right w:val="single" w:color="auto" w:sz="4" w:space="0"/>
            </w:tcBorders>
            <w:vAlign w:val="center"/>
          </w:tcPr>
          <w:p w14:paraId="0D551663">
            <w:pPr>
              <w:shd w:val="clear" w:color="auto" w:fill="FFFFFF"/>
              <w:autoSpaceDE w:val="0"/>
              <w:jc w:val="center"/>
              <w:rPr>
                <w:rFonts w:hint="eastAsia" w:ascii="仿宋" w:hAnsi="仿宋" w:eastAsia="仿宋" w:cs="仿宋"/>
                <w:bCs/>
                <w:color w:val="auto"/>
                <w:kern w:val="0"/>
                <w:sz w:val="24"/>
                <w:highlight w:val="none"/>
              </w:rPr>
            </w:pPr>
          </w:p>
        </w:tc>
        <w:tc>
          <w:tcPr>
            <w:tcW w:w="1266" w:type="dxa"/>
            <w:tcBorders>
              <w:top w:val="single" w:color="auto" w:sz="4" w:space="0"/>
              <w:left w:val="single" w:color="auto" w:sz="4" w:space="0"/>
              <w:bottom w:val="single" w:color="auto" w:sz="4" w:space="0"/>
              <w:right w:val="single" w:color="auto" w:sz="4" w:space="0"/>
            </w:tcBorders>
            <w:vAlign w:val="center"/>
          </w:tcPr>
          <w:p w14:paraId="4ECD17C6">
            <w:pPr>
              <w:shd w:val="clear" w:color="auto" w:fill="FFFFFF"/>
              <w:autoSpaceDE w:val="0"/>
              <w:jc w:val="center"/>
              <w:rPr>
                <w:rFonts w:hint="eastAsia" w:ascii="仿宋" w:hAnsi="仿宋" w:eastAsia="仿宋" w:cs="仿宋"/>
                <w:bCs/>
                <w:color w:val="auto"/>
                <w:kern w:val="0"/>
                <w:sz w:val="24"/>
                <w:highlight w:val="none"/>
              </w:rPr>
            </w:pPr>
          </w:p>
        </w:tc>
        <w:tc>
          <w:tcPr>
            <w:tcW w:w="2040" w:type="dxa"/>
            <w:tcBorders>
              <w:top w:val="single" w:color="auto" w:sz="4" w:space="0"/>
              <w:left w:val="single" w:color="auto" w:sz="4" w:space="0"/>
              <w:bottom w:val="single" w:color="auto" w:sz="4" w:space="0"/>
              <w:right w:val="single" w:color="auto" w:sz="4" w:space="0"/>
            </w:tcBorders>
            <w:vAlign w:val="center"/>
          </w:tcPr>
          <w:p w14:paraId="6EC81C1B">
            <w:pPr>
              <w:shd w:val="clear" w:color="auto" w:fill="FFFFFF"/>
              <w:autoSpaceDE w:val="0"/>
              <w:jc w:val="center"/>
              <w:rPr>
                <w:rFonts w:hint="eastAsia" w:ascii="仿宋" w:hAnsi="仿宋" w:eastAsia="仿宋" w:cs="仿宋"/>
                <w:bCs/>
                <w:color w:val="auto"/>
                <w:kern w:val="0"/>
                <w:sz w:val="24"/>
                <w:highlight w:val="none"/>
              </w:rPr>
            </w:pPr>
          </w:p>
        </w:tc>
        <w:tc>
          <w:tcPr>
            <w:tcW w:w="2344" w:type="dxa"/>
            <w:tcBorders>
              <w:top w:val="single" w:color="auto" w:sz="4" w:space="0"/>
              <w:left w:val="single" w:color="auto" w:sz="4" w:space="0"/>
              <w:bottom w:val="single" w:color="auto" w:sz="4" w:space="0"/>
              <w:right w:val="single" w:color="auto" w:sz="4" w:space="0"/>
            </w:tcBorders>
            <w:vAlign w:val="center"/>
          </w:tcPr>
          <w:p w14:paraId="7425FC7A">
            <w:pPr>
              <w:shd w:val="clear" w:color="auto" w:fill="FFFFFF"/>
              <w:autoSpaceDE w:val="0"/>
              <w:jc w:val="center"/>
              <w:rPr>
                <w:rFonts w:hint="eastAsia" w:ascii="仿宋" w:hAnsi="仿宋" w:eastAsia="仿宋" w:cs="仿宋"/>
                <w:bCs/>
                <w:color w:val="auto"/>
                <w:kern w:val="0"/>
                <w:sz w:val="24"/>
                <w:highlight w:val="none"/>
              </w:rPr>
            </w:pPr>
          </w:p>
        </w:tc>
      </w:tr>
      <w:tr w14:paraId="19DA17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17" w:type="dxa"/>
            <w:tcBorders>
              <w:top w:val="single" w:color="auto" w:sz="4" w:space="0"/>
              <w:left w:val="single" w:color="auto" w:sz="4" w:space="0"/>
              <w:bottom w:val="single" w:color="auto" w:sz="4" w:space="0"/>
              <w:right w:val="single" w:color="auto" w:sz="4" w:space="0"/>
            </w:tcBorders>
            <w:vAlign w:val="center"/>
          </w:tcPr>
          <w:p w14:paraId="02E8C35A">
            <w:pPr>
              <w:shd w:val="clear" w:color="auto" w:fill="FFFFFF"/>
              <w:autoSpaceDE w:val="0"/>
              <w:jc w:val="center"/>
              <w:rPr>
                <w:rFonts w:hint="eastAsia" w:ascii="仿宋" w:hAnsi="仿宋" w:eastAsia="仿宋" w:cs="仿宋"/>
                <w:bCs/>
                <w:color w:val="auto"/>
                <w:kern w:val="0"/>
                <w:sz w:val="24"/>
                <w:highlight w:val="none"/>
              </w:rPr>
            </w:pPr>
          </w:p>
        </w:tc>
        <w:tc>
          <w:tcPr>
            <w:tcW w:w="1150" w:type="dxa"/>
            <w:tcBorders>
              <w:top w:val="single" w:color="auto" w:sz="4" w:space="0"/>
              <w:left w:val="single" w:color="auto" w:sz="4" w:space="0"/>
              <w:bottom w:val="single" w:color="auto" w:sz="4" w:space="0"/>
              <w:right w:val="single" w:color="auto" w:sz="4" w:space="0"/>
            </w:tcBorders>
            <w:vAlign w:val="center"/>
          </w:tcPr>
          <w:p w14:paraId="134EE6FA">
            <w:pPr>
              <w:shd w:val="clear" w:color="auto" w:fill="FFFFFF"/>
              <w:autoSpaceDE w:val="0"/>
              <w:jc w:val="center"/>
              <w:rPr>
                <w:rFonts w:hint="eastAsia" w:ascii="仿宋" w:hAnsi="仿宋" w:eastAsia="仿宋" w:cs="仿宋"/>
                <w:bCs/>
                <w:color w:val="auto"/>
                <w:kern w:val="0"/>
                <w:sz w:val="24"/>
                <w:highlight w:val="none"/>
              </w:rPr>
            </w:pPr>
          </w:p>
        </w:tc>
        <w:tc>
          <w:tcPr>
            <w:tcW w:w="1317" w:type="dxa"/>
            <w:tcBorders>
              <w:top w:val="single" w:color="auto" w:sz="4" w:space="0"/>
              <w:left w:val="single" w:color="auto" w:sz="4" w:space="0"/>
              <w:bottom w:val="single" w:color="auto" w:sz="4" w:space="0"/>
              <w:right w:val="single" w:color="auto" w:sz="4" w:space="0"/>
            </w:tcBorders>
            <w:vAlign w:val="center"/>
          </w:tcPr>
          <w:p w14:paraId="59F51CA8">
            <w:pPr>
              <w:shd w:val="clear" w:color="auto" w:fill="FFFFFF"/>
              <w:autoSpaceDE w:val="0"/>
              <w:jc w:val="center"/>
              <w:rPr>
                <w:rFonts w:hint="eastAsia" w:ascii="仿宋" w:hAnsi="仿宋" w:eastAsia="仿宋" w:cs="仿宋"/>
                <w:bCs/>
                <w:color w:val="auto"/>
                <w:kern w:val="0"/>
                <w:sz w:val="24"/>
                <w:highlight w:val="none"/>
              </w:rPr>
            </w:pPr>
          </w:p>
        </w:tc>
        <w:tc>
          <w:tcPr>
            <w:tcW w:w="1266" w:type="dxa"/>
            <w:tcBorders>
              <w:top w:val="single" w:color="auto" w:sz="4" w:space="0"/>
              <w:left w:val="single" w:color="auto" w:sz="4" w:space="0"/>
              <w:bottom w:val="single" w:color="auto" w:sz="4" w:space="0"/>
              <w:right w:val="single" w:color="auto" w:sz="4" w:space="0"/>
            </w:tcBorders>
            <w:vAlign w:val="center"/>
          </w:tcPr>
          <w:p w14:paraId="3AD0160D">
            <w:pPr>
              <w:shd w:val="clear" w:color="auto" w:fill="FFFFFF"/>
              <w:autoSpaceDE w:val="0"/>
              <w:jc w:val="center"/>
              <w:rPr>
                <w:rFonts w:hint="eastAsia" w:ascii="仿宋" w:hAnsi="仿宋" w:eastAsia="仿宋" w:cs="仿宋"/>
                <w:bCs/>
                <w:color w:val="auto"/>
                <w:kern w:val="0"/>
                <w:sz w:val="24"/>
                <w:highlight w:val="none"/>
              </w:rPr>
            </w:pPr>
          </w:p>
        </w:tc>
        <w:tc>
          <w:tcPr>
            <w:tcW w:w="2040" w:type="dxa"/>
            <w:tcBorders>
              <w:top w:val="single" w:color="auto" w:sz="4" w:space="0"/>
              <w:left w:val="single" w:color="auto" w:sz="4" w:space="0"/>
              <w:bottom w:val="single" w:color="auto" w:sz="4" w:space="0"/>
              <w:right w:val="single" w:color="auto" w:sz="4" w:space="0"/>
            </w:tcBorders>
            <w:vAlign w:val="center"/>
          </w:tcPr>
          <w:p w14:paraId="24CFFA18">
            <w:pPr>
              <w:shd w:val="clear" w:color="auto" w:fill="FFFFFF"/>
              <w:autoSpaceDE w:val="0"/>
              <w:jc w:val="center"/>
              <w:rPr>
                <w:rFonts w:hint="eastAsia" w:ascii="仿宋" w:hAnsi="仿宋" w:eastAsia="仿宋" w:cs="仿宋"/>
                <w:bCs/>
                <w:color w:val="auto"/>
                <w:kern w:val="0"/>
                <w:sz w:val="24"/>
                <w:highlight w:val="none"/>
              </w:rPr>
            </w:pPr>
          </w:p>
        </w:tc>
        <w:tc>
          <w:tcPr>
            <w:tcW w:w="2344" w:type="dxa"/>
            <w:tcBorders>
              <w:top w:val="single" w:color="auto" w:sz="4" w:space="0"/>
              <w:left w:val="single" w:color="auto" w:sz="4" w:space="0"/>
              <w:bottom w:val="single" w:color="auto" w:sz="4" w:space="0"/>
              <w:right w:val="single" w:color="auto" w:sz="4" w:space="0"/>
            </w:tcBorders>
            <w:vAlign w:val="center"/>
          </w:tcPr>
          <w:p w14:paraId="0B763705">
            <w:pPr>
              <w:shd w:val="clear" w:color="auto" w:fill="FFFFFF"/>
              <w:autoSpaceDE w:val="0"/>
              <w:jc w:val="center"/>
              <w:rPr>
                <w:rFonts w:hint="eastAsia" w:ascii="仿宋" w:hAnsi="仿宋" w:eastAsia="仿宋" w:cs="仿宋"/>
                <w:bCs/>
                <w:color w:val="auto"/>
                <w:kern w:val="0"/>
                <w:sz w:val="24"/>
                <w:highlight w:val="none"/>
              </w:rPr>
            </w:pPr>
          </w:p>
        </w:tc>
      </w:tr>
      <w:tr w14:paraId="576FD3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17" w:type="dxa"/>
            <w:tcBorders>
              <w:top w:val="single" w:color="auto" w:sz="4" w:space="0"/>
              <w:left w:val="single" w:color="auto" w:sz="4" w:space="0"/>
              <w:bottom w:val="single" w:color="auto" w:sz="4" w:space="0"/>
              <w:right w:val="single" w:color="auto" w:sz="4" w:space="0"/>
            </w:tcBorders>
            <w:vAlign w:val="center"/>
          </w:tcPr>
          <w:p w14:paraId="48C3A36E">
            <w:pPr>
              <w:shd w:val="clear" w:color="auto" w:fill="FFFFFF"/>
              <w:autoSpaceDE w:val="0"/>
              <w:jc w:val="center"/>
              <w:rPr>
                <w:rFonts w:hint="eastAsia" w:ascii="仿宋" w:hAnsi="仿宋" w:eastAsia="仿宋" w:cs="仿宋"/>
                <w:bCs/>
                <w:color w:val="auto"/>
                <w:kern w:val="0"/>
                <w:sz w:val="24"/>
                <w:highlight w:val="none"/>
              </w:rPr>
            </w:pPr>
          </w:p>
        </w:tc>
        <w:tc>
          <w:tcPr>
            <w:tcW w:w="1150" w:type="dxa"/>
            <w:tcBorders>
              <w:top w:val="single" w:color="auto" w:sz="4" w:space="0"/>
              <w:left w:val="single" w:color="auto" w:sz="4" w:space="0"/>
              <w:bottom w:val="single" w:color="auto" w:sz="4" w:space="0"/>
              <w:right w:val="single" w:color="auto" w:sz="4" w:space="0"/>
            </w:tcBorders>
            <w:vAlign w:val="center"/>
          </w:tcPr>
          <w:p w14:paraId="1C53FD8A">
            <w:pPr>
              <w:shd w:val="clear" w:color="auto" w:fill="FFFFFF"/>
              <w:autoSpaceDE w:val="0"/>
              <w:jc w:val="center"/>
              <w:rPr>
                <w:rFonts w:hint="eastAsia" w:ascii="仿宋" w:hAnsi="仿宋" w:eastAsia="仿宋" w:cs="仿宋"/>
                <w:bCs/>
                <w:color w:val="auto"/>
                <w:kern w:val="0"/>
                <w:sz w:val="24"/>
                <w:highlight w:val="none"/>
              </w:rPr>
            </w:pPr>
          </w:p>
        </w:tc>
        <w:tc>
          <w:tcPr>
            <w:tcW w:w="1317" w:type="dxa"/>
            <w:tcBorders>
              <w:top w:val="single" w:color="auto" w:sz="4" w:space="0"/>
              <w:left w:val="single" w:color="auto" w:sz="4" w:space="0"/>
              <w:bottom w:val="single" w:color="auto" w:sz="4" w:space="0"/>
              <w:right w:val="single" w:color="auto" w:sz="4" w:space="0"/>
            </w:tcBorders>
            <w:vAlign w:val="center"/>
          </w:tcPr>
          <w:p w14:paraId="3E8CF9E8">
            <w:pPr>
              <w:shd w:val="clear" w:color="auto" w:fill="FFFFFF"/>
              <w:autoSpaceDE w:val="0"/>
              <w:jc w:val="center"/>
              <w:rPr>
                <w:rFonts w:hint="eastAsia" w:ascii="仿宋" w:hAnsi="仿宋" w:eastAsia="仿宋" w:cs="仿宋"/>
                <w:bCs/>
                <w:color w:val="auto"/>
                <w:kern w:val="0"/>
                <w:sz w:val="24"/>
                <w:highlight w:val="none"/>
              </w:rPr>
            </w:pPr>
          </w:p>
        </w:tc>
        <w:tc>
          <w:tcPr>
            <w:tcW w:w="1266" w:type="dxa"/>
            <w:tcBorders>
              <w:top w:val="single" w:color="auto" w:sz="4" w:space="0"/>
              <w:left w:val="single" w:color="auto" w:sz="4" w:space="0"/>
              <w:bottom w:val="single" w:color="auto" w:sz="4" w:space="0"/>
              <w:right w:val="single" w:color="auto" w:sz="4" w:space="0"/>
            </w:tcBorders>
            <w:vAlign w:val="center"/>
          </w:tcPr>
          <w:p w14:paraId="27E3E2F9">
            <w:pPr>
              <w:shd w:val="clear" w:color="auto" w:fill="FFFFFF"/>
              <w:autoSpaceDE w:val="0"/>
              <w:jc w:val="center"/>
              <w:rPr>
                <w:rFonts w:hint="eastAsia" w:ascii="仿宋" w:hAnsi="仿宋" w:eastAsia="仿宋" w:cs="仿宋"/>
                <w:bCs/>
                <w:color w:val="auto"/>
                <w:kern w:val="0"/>
                <w:sz w:val="24"/>
                <w:highlight w:val="none"/>
              </w:rPr>
            </w:pPr>
          </w:p>
        </w:tc>
        <w:tc>
          <w:tcPr>
            <w:tcW w:w="2040" w:type="dxa"/>
            <w:tcBorders>
              <w:top w:val="single" w:color="auto" w:sz="4" w:space="0"/>
              <w:left w:val="single" w:color="auto" w:sz="4" w:space="0"/>
              <w:bottom w:val="single" w:color="auto" w:sz="4" w:space="0"/>
              <w:right w:val="single" w:color="auto" w:sz="4" w:space="0"/>
            </w:tcBorders>
            <w:vAlign w:val="center"/>
          </w:tcPr>
          <w:p w14:paraId="793A5043">
            <w:pPr>
              <w:shd w:val="clear" w:color="auto" w:fill="FFFFFF"/>
              <w:autoSpaceDE w:val="0"/>
              <w:jc w:val="center"/>
              <w:rPr>
                <w:rFonts w:hint="eastAsia" w:ascii="仿宋" w:hAnsi="仿宋" w:eastAsia="仿宋" w:cs="仿宋"/>
                <w:bCs/>
                <w:color w:val="auto"/>
                <w:kern w:val="0"/>
                <w:sz w:val="24"/>
                <w:highlight w:val="none"/>
              </w:rPr>
            </w:pPr>
          </w:p>
        </w:tc>
        <w:tc>
          <w:tcPr>
            <w:tcW w:w="2344" w:type="dxa"/>
            <w:tcBorders>
              <w:top w:val="single" w:color="auto" w:sz="4" w:space="0"/>
              <w:left w:val="single" w:color="auto" w:sz="4" w:space="0"/>
              <w:bottom w:val="single" w:color="auto" w:sz="4" w:space="0"/>
              <w:right w:val="single" w:color="auto" w:sz="4" w:space="0"/>
            </w:tcBorders>
            <w:vAlign w:val="center"/>
          </w:tcPr>
          <w:p w14:paraId="38B2016B">
            <w:pPr>
              <w:shd w:val="clear" w:color="auto" w:fill="FFFFFF"/>
              <w:autoSpaceDE w:val="0"/>
              <w:jc w:val="center"/>
              <w:rPr>
                <w:rFonts w:hint="eastAsia" w:ascii="仿宋" w:hAnsi="仿宋" w:eastAsia="仿宋" w:cs="仿宋"/>
                <w:bCs/>
                <w:color w:val="auto"/>
                <w:kern w:val="0"/>
                <w:sz w:val="24"/>
                <w:highlight w:val="none"/>
              </w:rPr>
            </w:pPr>
          </w:p>
        </w:tc>
      </w:tr>
      <w:tr w14:paraId="72D5FD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17" w:type="dxa"/>
            <w:tcBorders>
              <w:top w:val="single" w:color="auto" w:sz="4" w:space="0"/>
              <w:left w:val="single" w:color="auto" w:sz="4" w:space="0"/>
              <w:bottom w:val="single" w:color="auto" w:sz="4" w:space="0"/>
              <w:right w:val="single" w:color="auto" w:sz="4" w:space="0"/>
            </w:tcBorders>
            <w:vAlign w:val="center"/>
          </w:tcPr>
          <w:p w14:paraId="04B2C5E2">
            <w:pPr>
              <w:shd w:val="clear" w:color="auto" w:fill="FFFFFF"/>
              <w:autoSpaceDE w:val="0"/>
              <w:jc w:val="center"/>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w:t>
            </w:r>
          </w:p>
        </w:tc>
        <w:tc>
          <w:tcPr>
            <w:tcW w:w="1150" w:type="dxa"/>
            <w:tcBorders>
              <w:top w:val="single" w:color="auto" w:sz="4" w:space="0"/>
              <w:left w:val="single" w:color="auto" w:sz="4" w:space="0"/>
              <w:bottom w:val="single" w:color="auto" w:sz="4" w:space="0"/>
              <w:right w:val="single" w:color="auto" w:sz="4" w:space="0"/>
            </w:tcBorders>
            <w:vAlign w:val="center"/>
          </w:tcPr>
          <w:p w14:paraId="27E74D28">
            <w:pPr>
              <w:shd w:val="clear" w:color="auto" w:fill="FFFFFF"/>
              <w:autoSpaceDE w:val="0"/>
              <w:jc w:val="center"/>
              <w:rPr>
                <w:rFonts w:hint="eastAsia" w:ascii="仿宋" w:hAnsi="仿宋" w:eastAsia="仿宋" w:cs="仿宋"/>
                <w:bCs/>
                <w:color w:val="auto"/>
                <w:kern w:val="0"/>
                <w:sz w:val="24"/>
                <w:highlight w:val="none"/>
              </w:rPr>
            </w:pPr>
          </w:p>
        </w:tc>
        <w:tc>
          <w:tcPr>
            <w:tcW w:w="1317" w:type="dxa"/>
            <w:tcBorders>
              <w:top w:val="single" w:color="auto" w:sz="4" w:space="0"/>
              <w:left w:val="single" w:color="auto" w:sz="4" w:space="0"/>
              <w:bottom w:val="single" w:color="auto" w:sz="4" w:space="0"/>
              <w:right w:val="single" w:color="auto" w:sz="4" w:space="0"/>
            </w:tcBorders>
            <w:vAlign w:val="center"/>
          </w:tcPr>
          <w:p w14:paraId="6F706173">
            <w:pPr>
              <w:shd w:val="clear" w:color="auto" w:fill="FFFFFF"/>
              <w:autoSpaceDE w:val="0"/>
              <w:jc w:val="center"/>
              <w:rPr>
                <w:rFonts w:hint="eastAsia" w:ascii="仿宋" w:hAnsi="仿宋" w:eastAsia="仿宋" w:cs="仿宋"/>
                <w:bCs/>
                <w:color w:val="auto"/>
                <w:kern w:val="0"/>
                <w:sz w:val="24"/>
                <w:highlight w:val="none"/>
              </w:rPr>
            </w:pPr>
          </w:p>
        </w:tc>
        <w:tc>
          <w:tcPr>
            <w:tcW w:w="1266" w:type="dxa"/>
            <w:tcBorders>
              <w:top w:val="single" w:color="auto" w:sz="4" w:space="0"/>
              <w:left w:val="single" w:color="auto" w:sz="4" w:space="0"/>
              <w:bottom w:val="single" w:color="auto" w:sz="4" w:space="0"/>
              <w:right w:val="single" w:color="auto" w:sz="4" w:space="0"/>
            </w:tcBorders>
            <w:vAlign w:val="center"/>
          </w:tcPr>
          <w:p w14:paraId="21FD5E3A">
            <w:pPr>
              <w:shd w:val="clear" w:color="auto" w:fill="FFFFFF"/>
              <w:autoSpaceDE w:val="0"/>
              <w:jc w:val="center"/>
              <w:rPr>
                <w:rFonts w:hint="eastAsia" w:ascii="仿宋" w:hAnsi="仿宋" w:eastAsia="仿宋" w:cs="仿宋"/>
                <w:bCs/>
                <w:color w:val="auto"/>
                <w:kern w:val="0"/>
                <w:sz w:val="24"/>
                <w:highlight w:val="none"/>
              </w:rPr>
            </w:pPr>
          </w:p>
        </w:tc>
        <w:tc>
          <w:tcPr>
            <w:tcW w:w="2040" w:type="dxa"/>
            <w:tcBorders>
              <w:top w:val="single" w:color="auto" w:sz="4" w:space="0"/>
              <w:left w:val="single" w:color="auto" w:sz="4" w:space="0"/>
              <w:bottom w:val="single" w:color="auto" w:sz="4" w:space="0"/>
              <w:right w:val="single" w:color="auto" w:sz="4" w:space="0"/>
            </w:tcBorders>
            <w:vAlign w:val="center"/>
          </w:tcPr>
          <w:p w14:paraId="0AF547BC">
            <w:pPr>
              <w:shd w:val="clear" w:color="auto" w:fill="FFFFFF"/>
              <w:autoSpaceDE w:val="0"/>
              <w:jc w:val="center"/>
              <w:rPr>
                <w:rFonts w:hint="eastAsia" w:ascii="仿宋" w:hAnsi="仿宋" w:eastAsia="仿宋" w:cs="仿宋"/>
                <w:bCs/>
                <w:color w:val="auto"/>
                <w:kern w:val="0"/>
                <w:sz w:val="24"/>
                <w:highlight w:val="none"/>
              </w:rPr>
            </w:pPr>
          </w:p>
        </w:tc>
        <w:tc>
          <w:tcPr>
            <w:tcW w:w="2344" w:type="dxa"/>
            <w:tcBorders>
              <w:top w:val="single" w:color="auto" w:sz="4" w:space="0"/>
              <w:left w:val="single" w:color="auto" w:sz="4" w:space="0"/>
              <w:bottom w:val="single" w:color="auto" w:sz="4" w:space="0"/>
              <w:right w:val="single" w:color="auto" w:sz="4" w:space="0"/>
            </w:tcBorders>
            <w:vAlign w:val="center"/>
          </w:tcPr>
          <w:p w14:paraId="7C9B697E">
            <w:pPr>
              <w:shd w:val="clear" w:color="auto" w:fill="FFFFFF"/>
              <w:autoSpaceDE w:val="0"/>
              <w:jc w:val="center"/>
              <w:rPr>
                <w:rFonts w:hint="eastAsia" w:ascii="仿宋" w:hAnsi="仿宋" w:eastAsia="仿宋" w:cs="仿宋"/>
                <w:bCs/>
                <w:color w:val="auto"/>
                <w:kern w:val="0"/>
                <w:sz w:val="24"/>
                <w:highlight w:val="none"/>
              </w:rPr>
            </w:pPr>
          </w:p>
        </w:tc>
      </w:tr>
      <w:tr w14:paraId="0EB71E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717" w:type="dxa"/>
            <w:tcBorders>
              <w:top w:val="single" w:color="auto" w:sz="4" w:space="0"/>
              <w:left w:val="single" w:color="auto" w:sz="4" w:space="0"/>
              <w:bottom w:val="single" w:color="auto" w:sz="4" w:space="0"/>
              <w:right w:val="single" w:color="auto" w:sz="4" w:space="0"/>
            </w:tcBorders>
            <w:vAlign w:val="center"/>
          </w:tcPr>
          <w:p w14:paraId="7EE846D4">
            <w:pPr>
              <w:shd w:val="clear" w:color="auto" w:fill="FFFFFF"/>
              <w:autoSpaceDE w:val="0"/>
              <w:jc w:val="center"/>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备注</w:t>
            </w:r>
          </w:p>
        </w:tc>
        <w:tc>
          <w:tcPr>
            <w:tcW w:w="8117" w:type="dxa"/>
            <w:gridSpan w:val="5"/>
            <w:tcBorders>
              <w:top w:val="single" w:color="auto" w:sz="4" w:space="0"/>
              <w:left w:val="single" w:color="auto" w:sz="4" w:space="0"/>
              <w:bottom w:val="single" w:color="auto" w:sz="4" w:space="0"/>
              <w:right w:val="single" w:color="auto" w:sz="4" w:space="0"/>
            </w:tcBorders>
            <w:vAlign w:val="center"/>
          </w:tcPr>
          <w:p w14:paraId="3D1FFD60">
            <w:pPr>
              <w:shd w:val="clear" w:color="auto" w:fill="FFFFFF"/>
              <w:autoSpaceDE w:val="0"/>
              <w:rPr>
                <w:rFonts w:hint="eastAsia"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结合评分标准提供相关材料附后。</w:t>
            </w:r>
          </w:p>
        </w:tc>
      </w:tr>
    </w:tbl>
    <w:p w14:paraId="4C5E77E0">
      <w:pPr>
        <w:spacing w:line="336" w:lineRule="auto"/>
        <w:ind w:firstLine="3600" w:firstLineChars="1500"/>
        <w:rPr>
          <w:rFonts w:hint="eastAsia" w:ascii="仿宋" w:hAnsi="仿宋" w:eastAsia="仿宋" w:cs="仿宋"/>
          <w:color w:val="auto"/>
          <w:sz w:val="24"/>
          <w:highlight w:val="none"/>
        </w:rPr>
      </w:pPr>
    </w:p>
    <w:p w14:paraId="527B2808">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3AF72E96">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7450A10">
      <w:pPr>
        <w:jc w:val="center"/>
        <w:rPr>
          <w:rFonts w:hint="eastAsia" w:ascii="仿宋" w:hAnsi="仿宋" w:eastAsia="仿宋" w:cs="仿宋"/>
          <w:b/>
          <w:color w:val="auto"/>
          <w:kern w:val="0"/>
          <w:sz w:val="32"/>
          <w:szCs w:val="32"/>
          <w:highlight w:val="none"/>
          <w:lang w:val="en-US" w:eastAsia="zh-CN"/>
        </w:rPr>
      </w:pPr>
    </w:p>
    <w:p w14:paraId="515788C7">
      <w:pPr>
        <w:jc w:val="center"/>
        <w:rPr>
          <w:rFonts w:hint="eastAsia" w:ascii="仿宋" w:hAnsi="仿宋" w:eastAsia="仿宋" w:cs="仿宋"/>
          <w:b/>
          <w:color w:val="auto"/>
          <w:kern w:val="0"/>
          <w:sz w:val="32"/>
          <w:szCs w:val="32"/>
          <w:highlight w:val="none"/>
          <w:lang w:val="en-US" w:eastAsia="zh-CN"/>
        </w:rPr>
      </w:pPr>
    </w:p>
    <w:p w14:paraId="0CF525A3">
      <w:pPr>
        <w:jc w:val="center"/>
        <w:rPr>
          <w:rFonts w:hint="eastAsia" w:ascii="仿宋" w:hAnsi="仿宋" w:eastAsia="仿宋" w:cs="仿宋"/>
          <w:b/>
          <w:color w:val="auto"/>
          <w:kern w:val="0"/>
          <w:sz w:val="32"/>
          <w:szCs w:val="32"/>
          <w:highlight w:val="none"/>
          <w:lang w:val="en-US" w:eastAsia="zh-CN"/>
        </w:rPr>
      </w:pPr>
    </w:p>
    <w:p w14:paraId="1E1E2644">
      <w:pPr>
        <w:jc w:val="center"/>
        <w:rPr>
          <w:rFonts w:hint="eastAsia" w:ascii="仿宋" w:hAnsi="仿宋" w:eastAsia="仿宋" w:cs="仿宋"/>
          <w:b/>
          <w:color w:val="auto"/>
          <w:kern w:val="0"/>
          <w:sz w:val="32"/>
          <w:szCs w:val="32"/>
          <w:highlight w:val="none"/>
          <w:lang w:val="en-US" w:eastAsia="zh-CN"/>
        </w:rPr>
      </w:pPr>
    </w:p>
    <w:p w14:paraId="6C9DBB53">
      <w:pPr>
        <w:numPr>
          <w:ilvl w:val="0"/>
          <w:numId w:val="0"/>
        </w:numPr>
        <w:jc w:val="center"/>
        <w:rPr>
          <w:rFonts w:hint="eastAsia" w:ascii="仿宋" w:hAnsi="仿宋" w:eastAsia="仿宋" w:cs="仿宋"/>
          <w:b/>
          <w:color w:val="auto"/>
          <w:kern w:val="0"/>
          <w:sz w:val="32"/>
          <w:szCs w:val="32"/>
          <w:highlight w:val="none"/>
          <w:lang w:val="en-US" w:eastAsia="zh-CN" w:bidi="ar-SA"/>
        </w:rPr>
      </w:pPr>
    </w:p>
    <w:p w14:paraId="7837FE26">
      <w:pPr>
        <w:numPr>
          <w:ilvl w:val="0"/>
          <w:numId w:val="0"/>
        </w:numPr>
        <w:jc w:val="center"/>
        <w:rPr>
          <w:rFonts w:hint="eastAsia" w:ascii="仿宋" w:hAnsi="仿宋" w:eastAsia="仿宋" w:cs="仿宋"/>
          <w:b/>
          <w:color w:val="auto"/>
          <w:kern w:val="0"/>
          <w:sz w:val="32"/>
          <w:szCs w:val="32"/>
          <w:highlight w:val="none"/>
          <w:lang w:val="en-US" w:eastAsia="zh-CN" w:bidi="ar-SA"/>
        </w:rPr>
      </w:pPr>
    </w:p>
    <w:p w14:paraId="4A0E8D47">
      <w:pPr>
        <w:numPr>
          <w:ilvl w:val="0"/>
          <w:numId w:val="0"/>
        </w:numPr>
        <w:jc w:val="center"/>
        <w:rPr>
          <w:rFonts w:hint="eastAsia" w:ascii="仿宋" w:hAnsi="仿宋" w:eastAsia="仿宋" w:cs="仿宋"/>
          <w:b/>
          <w:color w:val="auto"/>
          <w:kern w:val="0"/>
          <w:sz w:val="32"/>
          <w:szCs w:val="32"/>
          <w:highlight w:val="none"/>
          <w:lang w:val="en-US" w:eastAsia="zh-CN" w:bidi="ar-SA"/>
        </w:rPr>
      </w:pPr>
    </w:p>
    <w:p w14:paraId="05595F27">
      <w:pPr>
        <w:spacing w:line="336"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lang w:val="en-US" w:eastAsia="zh-CN"/>
        </w:rPr>
        <w:t>十一、技术偏离表</w:t>
      </w:r>
    </w:p>
    <w:tbl>
      <w:tblPr>
        <w:tblStyle w:val="63"/>
        <w:tblW w:w="90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3241"/>
        <w:gridCol w:w="2835"/>
        <w:gridCol w:w="1260"/>
      </w:tblGrid>
      <w:tr w14:paraId="4EB2B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4" w:type="dxa"/>
            <w:vAlign w:val="center"/>
          </w:tcPr>
          <w:p w14:paraId="28C92AD1">
            <w:pPr>
              <w:adjustRightInd/>
              <w:spacing w:line="380" w:lineRule="exact"/>
              <w:jc w:val="center"/>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名称</w:t>
            </w:r>
          </w:p>
        </w:tc>
        <w:tc>
          <w:tcPr>
            <w:tcW w:w="3241" w:type="dxa"/>
            <w:vAlign w:val="center"/>
          </w:tcPr>
          <w:p w14:paraId="3C7C00BB">
            <w:pPr>
              <w:adjustRightInd/>
              <w:spacing w:line="380" w:lineRule="exact"/>
              <w:jc w:val="cente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招标文件</w:t>
            </w:r>
            <w:r>
              <w:rPr>
                <w:rFonts w:hint="eastAsia" w:ascii="仿宋" w:hAnsi="仿宋" w:eastAsia="仿宋" w:cs="仿宋"/>
                <w:color w:val="auto"/>
                <w:sz w:val="24"/>
                <w:szCs w:val="24"/>
                <w:highlight w:val="none"/>
                <w:lang w:val="en-US" w:eastAsia="zh-CN"/>
              </w:rPr>
              <w:t>要求</w:t>
            </w:r>
          </w:p>
        </w:tc>
        <w:tc>
          <w:tcPr>
            <w:tcW w:w="2835" w:type="dxa"/>
            <w:vAlign w:val="center"/>
          </w:tcPr>
          <w:p w14:paraId="0D6C82F0">
            <w:pPr>
              <w:adjustRightInd/>
              <w:spacing w:line="380" w:lineRule="exact"/>
              <w:jc w:val="center"/>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投标文件</w:t>
            </w:r>
            <w:r>
              <w:rPr>
                <w:rFonts w:hint="eastAsia" w:ascii="仿宋" w:hAnsi="仿宋" w:eastAsia="仿宋" w:cs="仿宋"/>
                <w:color w:val="auto"/>
                <w:sz w:val="24"/>
                <w:szCs w:val="24"/>
                <w:highlight w:val="none"/>
                <w:lang w:val="en-US" w:eastAsia="zh-CN"/>
              </w:rPr>
              <w:t>响应</w:t>
            </w:r>
          </w:p>
        </w:tc>
        <w:tc>
          <w:tcPr>
            <w:tcW w:w="1260" w:type="dxa"/>
            <w:vAlign w:val="center"/>
          </w:tcPr>
          <w:p w14:paraId="7B4195FC">
            <w:pPr>
              <w:adjustRightInd/>
              <w:spacing w:line="380" w:lineRule="exact"/>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偏离说明</w:t>
            </w:r>
          </w:p>
        </w:tc>
      </w:tr>
      <w:tr w14:paraId="59504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shd w:val="clear" w:color="auto" w:fill="FFFFFF"/>
            <w:vAlign w:val="center"/>
          </w:tcPr>
          <w:p w14:paraId="6E107AD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Cs/>
                <w:color w:val="auto"/>
                <w:sz w:val="24"/>
                <w:szCs w:val="24"/>
                <w:highlight w:val="none"/>
                <w:lang w:val="en-US" w:eastAsia="zh-CN"/>
              </w:rPr>
              <w:t>★</w:t>
            </w:r>
            <w:r>
              <w:rPr>
                <w:rFonts w:hint="eastAsia" w:ascii="仿宋" w:hAnsi="仿宋" w:eastAsia="仿宋" w:cs="仿宋"/>
                <w:b/>
                <w:bCs/>
                <w:color w:val="auto"/>
                <w:sz w:val="24"/>
                <w:szCs w:val="24"/>
                <w:highlight w:val="none"/>
              </w:rPr>
              <w:t>项目要求</w:t>
            </w:r>
          </w:p>
        </w:tc>
        <w:tc>
          <w:tcPr>
            <w:tcW w:w="3241" w:type="dxa"/>
          </w:tcPr>
          <w:p w14:paraId="34878C93">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668649DF">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070AA349">
            <w:pPr>
              <w:adjustRightInd/>
              <w:spacing w:line="380" w:lineRule="exact"/>
              <w:jc w:val="center"/>
              <w:outlineLvl w:val="9"/>
              <w:rPr>
                <w:rFonts w:hint="eastAsia" w:ascii="仿宋" w:hAnsi="仿宋" w:eastAsia="仿宋" w:cs="仿宋"/>
                <w:color w:val="auto"/>
                <w:sz w:val="24"/>
                <w:szCs w:val="24"/>
                <w:highlight w:val="none"/>
              </w:rPr>
            </w:pPr>
          </w:p>
        </w:tc>
      </w:tr>
      <w:tr w14:paraId="6D6AA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Merge w:val="restart"/>
            <w:shd w:val="clear" w:color="auto" w:fill="FFFFFF"/>
            <w:vAlign w:val="center"/>
          </w:tcPr>
          <w:p w14:paraId="1C0F1E6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sz w:val="24"/>
                <w:szCs w:val="24"/>
                <w:highlight w:val="none"/>
              </w:rPr>
              <w:t>维保要求</w:t>
            </w:r>
          </w:p>
        </w:tc>
        <w:tc>
          <w:tcPr>
            <w:tcW w:w="3241" w:type="dxa"/>
          </w:tcPr>
          <w:p w14:paraId="0F0D7E49">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47449481">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12B169DE">
            <w:pPr>
              <w:adjustRightInd/>
              <w:spacing w:line="380" w:lineRule="exact"/>
              <w:jc w:val="center"/>
              <w:outlineLvl w:val="9"/>
              <w:rPr>
                <w:rFonts w:hint="eastAsia" w:ascii="仿宋" w:hAnsi="仿宋" w:eastAsia="仿宋" w:cs="仿宋"/>
                <w:color w:val="auto"/>
                <w:sz w:val="24"/>
                <w:szCs w:val="24"/>
                <w:highlight w:val="none"/>
              </w:rPr>
            </w:pPr>
          </w:p>
        </w:tc>
      </w:tr>
      <w:tr w14:paraId="78610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Merge w:val="continue"/>
            <w:vAlign w:val="center"/>
          </w:tcPr>
          <w:p w14:paraId="2088A86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sz w:val="24"/>
                <w:szCs w:val="24"/>
                <w:highlight w:val="none"/>
              </w:rPr>
            </w:pPr>
          </w:p>
        </w:tc>
        <w:tc>
          <w:tcPr>
            <w:tcW w:w="3241" w:type="dxa"/>
          </w:tcPr>
          <w:p w14:paraId="3B691B49">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007C4444">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047700D8">
            <w:pPr>
              <w:adjustRightInd/>
              <w:spacing w:line="380" w:lineRule="exact"/>
              <w:jc w:val="center"/>
              <w:outlineLvl w:val="9"/>
              <w:rPr>
                <w:rFonts w:hint="eastAsia" w:ascii="仿宋" w:hAnsi="仿宋" w:eastAsia="仿宋" w:cs="仿宋"/>
                <w:color w:val="auto"/>
                <w:sz w:val="24"/>
                <w:szCs w:val="24"/>
                <w:highlight w:val="none"/>
              </w:rPr>
            </w:pPr>
          </w:p>
        </w:tc>
      </w:tr>
      <w:tr w14:paraId="1856C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Merge w:val="continue"/>
            <w:vAlign w:val="center"/>
          </w:tcPr>
          <w:p w14:paraId="150C8D2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sz w:val="24"/>
                <w:szCs w:val="24"/>
                <w:highlight w:val="none"/>
              </w:rPr>
            </w:pPr>
          </w:p>
        </w:tc>
        <w:tc>
          <w:tcPr>
            <w:tcW w:w="3241" w:type="dxa"/>
          </w:tcPr>
          <w:p w14:paraId="42E92EB4">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7DBE4F31">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1A78D3CA">
            <w:pPr>
              <w:adjustRightInd/>
              <w:spacing w:line="380" w:lineRule="exact"/>
              <w:jc w:val="center"/>
              <w:outlineLvl w:val="9"/>
              <w:rPr>
                <w:rFonts w:hint="eastAsia" w:ascii="仿宋" w:hAnsi="仿宋" w:eastAsia="仿宋" w:cs="仿宋"/>
                <w:color w:val="auto"/>
                <w:sz w:val="24"/>
                <w:szCs w:val="24"/>
                <w:highlight w:val="none"/>
              </w:rPr>
            </w:pPr>
          </w:p>
        </w:tc>
      </w:tr>
      <w:tr w14:paraId="11350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Merge w:val="continue"/>
            <w:vAlign w:val="center"/>
          </w:tcPr>
          <w:p w14:paraId="5D39A2C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sz w:val="24"/>
                <w:szCs w:val="24"/>
                <w:highlight w:val="none"/>
              </w:rPr>
            </w:pPr>
          </w:p>
        </w:tc>
        <w:tc>
          <w:tcPr>
            <w:tcW w:w="3241" w:type="dxa"/>
          </w:tcPr>
          <w:p w14:paraId="7F56111B">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440DC204">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1D0764AD">
            <w:pPr>
              <w:adjustRightInd/>
              <w:spacing w:line="380" w:lineRule="exact"/>
              <w:jc w:val="center"/>
              <w:outlineLvl w:val="9"/>
              <w:rPr>
                <w:rFonts w:hint="eastAsia" w:ascii="仿宋" w:hAnsi="仿宋" w:eastAsia="仿宋" w:cs="仿宋"/>
                <w:color w:val="auto"/>
                <w:sz w:val="24"/>
                <w:szCs w:val="24"/>
                <w:highlight w:val="none"/>
              </w:rPr>
            </w:pPr>
          </w:p>
        </w:tc>
      </w:tr>
      <w:tr w14:paraId="30496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Merge w:val="continue"/>
            <w:vAlign w:val="center"/>
          </w:tcPr>
          <w:p w14:paraId="74FB2F2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sz w:val="24"/>
                <w:szCs w:val="24"/>
                <w:highlight w:val="none"/>
              </w:rPr>
            </w:pPr>
          </w:p>
        </w:tc>
        <w:tc>
          <w:tcPr>
            <w:tcW w:w="3241" w:type="dxa"/>
          </w:tcPr>
          <w:p w14:paraId="3000D97E">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466BC2AE">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4656097E">
            <w:pPr>
              <w:adjustRightInd/>
              <w:spacing w:line="380" w:lineRule="exact"/>
              <w:jc w:val="center"/>
              <w:outlineLvl w:val="9"/>
              <w:rPr>
                <w:rFonts w:hint="eastAsia" w:ascii="仿宋" w:hAnsi="仿宋" w:eastAsia="仿宋" w:cs="仿宋"/>
                <w:color w:val="auto"/>
                <w:sz w:val="24"/>
                <w:szCs w:val="24"/>
                <w:highlight w:val="none"/>
              </w:rPr>
            </w:pPr>
          </w:p>
        </w:tc>
      </w:tr>
      <w:tr w14:paraId="2924E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Merge w:val="restart"/>
            <w:shd w:val="clear" w:color="auto" w:fill="auto"/>
            <w:vAlign w:val="center"/>
          </w:tcPr>
          <w:p w14:paraId="3AFBDD4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sz w:val="24"/>
                <w:szCs w:val="24"/>
                <w:highlight w:val="none"/>
              </w:rPr>
              <w:t>驻场要求</w:t>
            </w:r>
          </w:p>
        </w:tc>
        <w:tc>
          <w:tcPr>
            <w:tcW w:w="3241" w:type="dxa"/>
          </w:tcPr>
          <w:p w14:paraId="0ABC4C37">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4930FA0B">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1B2CA730">
            <w:pPr>
              <w:adjustRightInd/>
              <w:spacing w:line="380" w:lineRule="exact"/>
              <w:jc w:val="center"/>
              <w:outlineLvl w:val="9"/>
              <w:rPr>
                <w:rFonts w:hint="eastAsia" w:ascii="仿宋" w:hAnsi="仿宋" w:eastAsia="仿宋" w:cs="仿宋"/>
                <w:color w:val="auto"/>
                <w:sz w:val="24"/>
                <w:szCs w:val="24"/>
                <w:highlight w:val="none"/>
              </w:rPr>
            </w:pPr>
          </w:p>
        </w:tc>
      </w:tr>
      <w:tr w14:paraId="7258B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Merge w:val="continue"/>
            <w:shd w:val="clear" w:color="auto" w:fill="auto"/>
            <w:vAlign w:val="center"/>
          </w:tcPr>
          <w:p w14:paraId="62D78B1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kern w:val="2"/>
                <w:sz w:val="24"/>
                <w:szCs w:val="24"/>
                <w:highlight w:val="none"/>
                <w:lang w:val="en-US" w:eastAsia="zh-CN" w:bidi="ar-SA"/>
              </w:rPr>
            </w:pPr>
          </w:p>
        </w:tc>
        <w:tc>
          <w:tcPr>
            <w:tcW w:w="3241" w:type="dxa"/>
          </w:tcPr>
          <w:p w14:paraId="39915716">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65E5EB08">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3447F8C7">
            <w:pPr>
              <w:adjustRightInd/>
              <w:spacing w:line="380" w:lineRule="exact"/>
              <w:jc w:val="center"/>
              <w:outlineLvl w:val="9"/>
              <w:rPr>
                <w:rFonts w:hint="eastAsia" w:ascii="仿宋" w:hAnsi="仿宋" w:eastAsia="仿宋" w:cs="仿宋"/>
                <w:color w:val="auto"/>
                <w:sz w:val="24"/>
                <w:szCs w:val="24"/>
                <w:highlight w:val="none"/>
              </w:rPr>
            </w:pPr>
          </w:p>
        </w:tc>
      </w:tr>
      <w:tr w14:paraId="67417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Merge w:val="restart"/>
            <w:shd w:val="clear" w:color="auto" w:fill="auto"/>
            <w:vAlign w:val="center"/>
          </w:tcPr>
          <w:p w14:paraId="49135F7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sz w:val="24"/>
                <w:szCs w:val="24"/>
                <w:highlight w:val="none"/>
              </w:rPr>
              <w:t>安全服务要求</w:t>
            </w:r>
          </w:p>
        </w:tc>
        <w:tc>
          <w:tcPr>
            <w:tcW w:w="3241" w:type="dxa"/>
          </w:tcPr>
          <w:p w14:paraId="763C0BA6">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5FE6F26D">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29DFFB54">
            <w:pPr>
              <w:adjustRightInd/>
              <w:spacing w:line="380" w:lineRule="exact"/>
              <w:jc w:val="center"/>
              <w:outlineLvl w:val="9"/>
              <w:rPr>
                <w:rFonts w:hint="eastAsia" w:ascii="仿宋" w:hAnsi="仿宋" w:eastAsia="仿宋" w:cs="仿宋"/>
                <w:color w:val="auto"/>
                <w:sz w:val="24"/>
                <w:szCs w:val="24"/>
                <w:highlight w:val="none"/>
              </w:rPr>
            </w:pPr>
          </w:p>
        </w:tc>
      </w:tr>
      <w:tr w14:paraId="436B7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Merge w:val="continue"/>
            <w:shd w:val="clear" w:color="auto" w:fill="auto"/>
            <w:vAlign w:val="center"/>
          </w:tcPr>
          <w:p w14:paraId="3A3B9F9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kern w:val="2"/>
                <w:sz w:val="24"/>
                <w:szCs w:val="24"/>
                <w:highlight w:val="none"/>
                <w:lang w:val="en-US" w:eastAsia="zh-CN" w:bidi="ar-SA"/>
              </w:rPr>
            </w:pPr>
          </w:p>
        </w:tc>
        <w:tc>
          <w:tcPr>
            <w:tcW w:w="3241" w:type="dxa"/>
          </w:tcPr>
          <w:p w14:paraId="37264856">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5114D1C6">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70DEAD97">
            <w:pPr>
              <w:adjustRightInd/>
              <w:spacing w:line="380" w:lineRule="exact"/>
              <w:jc w:val="center"/>
              <w:outlineLvl w:val="9"/>
              <w:rPr>
                <w:rFonts w:hint="eastAsia" w:ascii="仿宋" w:hAnsi="仿宋" w:eastAsia="仿宋" w:cs="仿宋"/>
                <w:color w:val="auto"/>
                <w:sz w:val="24"/>
                <w:szCs w:val="24"/>
                <w:highlight w:val="none"/>
              </w:rPr>
            </w:pPr>
          </w:p>
        </w:tc>
      </w:tr>
      <w:tr w14:paraId="545C4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Merge w:val="continue"/>
            <w:vAlign w:val="center"/>
          </w:tcPr>
          <w:p w14:paraId="600A04F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sz w:val="24"/>
                <w:highlight w:val="none"/>
              </w:rPr>
            </w:pPr>
          </w:p>
        </w:tc>
        <w:tc>
          <w:tcPr>
            <w:tcW w:w="3241" w:type="dxa"/>
          </w:tcPr>
          <w:p w14:paraId="5B342589">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6501C856">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4E264E26">
            <w:pPr>
              <w:adjustRightInd/>
              <w:spacing w:line="380" w:lineRule="exact"/>
              <w:jc w:val="center"/>
              <w:outlineLvl w:val="9"/>
              <w:rPr>
                <w:rFonts w:hint="eastAsia" w:ascii="仿宋" w:hAnsi="仿宋" w:eastAsia="仿宋" w:cs="仿宋"/>
                <w:color w:val="auto"/>
                <w:sz w:val="24"/>
                <w:szCs w:val="24"/>
                <w:highlight w:val="none"/>
              </w:rPr>
            </w:pPr>
          </w:p>
        </w:tc>
      </w:tr>
      <w:tr w14:paraId="31B17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Merge w:val="continue"/>
            <w:vAlign w:val="center"/>
          </w:tcPr>
          <w:p w14:paraId="0A25676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sz w:val="24"/>
                <w:highlight w:val="none"/>
              </w:rPr>
            </w:pPr>
          </w:p>
        </w:tc>
        <w:tc>
          <w:tcPr>
            <w:tcW w:w="3241" w:type="dxa"/>
          </w:tcPr>
          <w:p w14:paraId="368C3895">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540B6921">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037DDFAA">
            <w:pPr>
              <w:adjustRightInd/>
              <w:spacing w:line="380" w:lineRule="exact"/>
              <w:jc w:val="center"/>
              <w:outlineLvl w:val="9"/>
              <w:rPr>
                <w:rFonts w:hint="eastAsia" w:ascii="仿宋" w:hAnsi="仿宋" w:eastAsia="仿宋" w:cs="仿宋"/>
                <w:color w:val="auto"/>
                <w:sz w:val="24"/>
                <w:szCs w:val="24"/>
                <w:highlight w:val="none"/>
              </w:rPr>
            </w:pPr>
          </w:p>
        </w:tc>
      </w:tr>
      <w:tr w14:paraId="40927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Align w:val="center"/>
          </w:tcPr>
          <w:p w14:paraId="54CE6E5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sz w:val="24"/>
                <w:highlight w:val="none"/>
              </w:rPr>
            </w:pPr>
            <w:r>
              <w:rPr>
                <w:rFonts w:hint="eastAsia" w:ascii="仿宋" w:hAnsi="仿宋" w:eastAsia="仿宋" w:cs="仿宋"/>
                <w:b/>
                <w:bCs/>
                <w:color w:val="auto"/>
                <w:sz w:val="24"/>
                <w:szCs w:val="24"/>
                <w:highlight w:val="none"/>
              </w:rPr>
              <w:t>应急服务</w:t>
            </w:r>
          </w:p>
        </w:tc>
        <w:tc>
          <w:tcPr>
            <w:tcW w:w="3241" w:type="dxa"/>
          </w:tcPr>
          <w:p w14:paraId="369903F0">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2C733BCB">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4148FCD1">
            <w:pPr>
              <w:adjustRightInd/>
              <w:spacing w:line="380" w:lineRule="exact"/>
              <w:jc w:val="center"/>
              <w:outlineLvl w:val="9"/>
              <w:rPr>
                <w:rFonts w:hint="eastAsia" w:ascii="仿宋" w:hAnsi="仿宋" w:eastAsia="仿宋" w:cs="仿宋"/>
                <w:color w:val="auto"/>
                <w:sz w:val="24"/>
                <w:szCs w:val="24"/>
                <w:highlight w:val="none"/>
              </w:rPr>
            </w:pPr>
          </w:p>
        </w:tc>
      </w:tr>
      <w:tr w14:paraId="27004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Align w:val="center"/>
          </w:tcPr>
          <w:p w14:paraId="2701123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highlight w:val="none"/>
              </w:rPr>
              <w:t>▲</w:t>
            </w:r>
            <w:r>
              <w:rPr>
                <w:rFonts w:hint="eastAsia" w:ascii="仿宋" w:hAnsi="仿宋" w:eastAsia="仿宋" w:cs="仿宋"/>
                <w:b/>
                <w:bCs/>
                <w:color w:val="auto"/>
                <w:sz w:val="24"/>
                <w:szCs w:val="24"/>
                <w:highlight w:val="none"/>
              </w:rPr>
              <w:t>服务响应</w:t>
            </w:r>
          </w:p>
        </w:tc>
        <w:tc>
          <w:tcPr>
            <w:tcW w:w="3241" w:type="dxa"/>
          </w:tcPr>
          <w:p w14:paraId="134D73E5">
            <w:pPr>
              <w:adjustRightInd/>
              <w:spacing w:line="380" w:lineRule="exact"/>
              <w:jc w:val="center"/>
              <w:outlineLvl w:val="9"/>
              <w:rPr>
                <w:rFonts w:hint="eastAsia" w:ascii="仿宋" w:hAnsi="仿宋" w:eastAsia="仿宋" w:cs="仿宋"/>
                <w:color w:val="auto"/>
                <w:sz w:val="24"/>
                <w:szCs w:val="24"/>
                <w:highlight w:val="none"/>
              </w:rPr>
            </w:pPr>
          </w:p>
        </w:tc>
        <w:tc>
          <w:tcPr>
            <w:tcW w:w="2835" w:type="dxa"/>
          </w:tcPr>
          <w:p w14:paraId="44329532">
            <w:pPr>
              <w:adjustRightInd/>
              <w:spacing w:line="380" w:lineRule="exact"/>
              <w:jc w:val="center"/>
              <w:outlineLvl w:val="9"/>
              <w:rPr>
                <w:rFonts w:hint="eastAsia" w:ascii="仿宋" w:hAnsi="仿宋" w:eastAsia="仿宋" w:cs="仿宋"/>
                <w:color w:val="auto"/>
                <w:sz w:val="24"/>
                <w:szCs w:val="24"/>
                <w:highlight w:val="none"/>
              </w:rPr>
            </w:pPr>
          </w:p>
        </w:tc>
        <w:tc>
          <w:tcPr>
            <w:tcW w:w="1260" w:type="dxa"/>
          </w:tcPr>
          <w:p w14:paraId="5B326FC8">
            <w:pPr>
              <w:adjustRightInd/>
              <w:spacing w:line="380" w:lineRule="exact"/>
              <w:jc w:val="center"/>
              <w:outlineLvl w:val="9"/>
              <w:rPr>
                <w:rFonts w:hint="eastAsia" w:ascii="仿宋" w:hAnsi="仿宋" w:eastAsia="仿宋" w:cs="仿宋"/>
                <w:color w:val="auto"/>
                <w:sz w:val="24"/>
                <w:szCs w:val="24"/>
                <w:highlight w:val="none"/>
              </w:rPr>
            </w:pPr>
          </w:p>
        </w:tc>
      </w:tr>
    </w:tbl>
    <w:p w14:paraId="0423E8D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注：1.投标人应根据</w:t>
      </w:r>
      <w:r>
        <w:rPr>
          <w:rFonts w:hint="eastAsia" w:ascii="仿宋" w:hAnsi="仿宋" w:eastAsia="仿宋" w:cs="仿宋"/>
          <w:b w:val="0"/>
          <w:bCs/>
          <w:color w:val="auto"/>
          <w:kern w:val="0"/>
          <w:sz w:val="24"/>
          <w:szCs w:val="24"/>
          <w:highlight w:val="none"/>
        </w:rPr>
        <w:t>维保服务相关要求</w:t>
      </w:r>
      <w:r>
        <w:rPr>
          <w:rFonts w:hint="eastAsia" w:ascii="仿宋" w:hAnsi="仿宋" w:eastAsia="仿宋" w:cs="仿宋"/>
          <w:color w:val="auto"/>
          <w:sz w:val="24"/>
          <w:highlight w:val="none"/>
        </w:rPr>
        <w:t>、对照招标文件要求在“偏离说明”栏注明“正偏离”、“负偏离”或“无偏离”。“★”系指实质性指标要求条款，“▲”系指主要性能指标要求条款。如任意一条打“★”的指标出现负偏离视为实质性不响应招标文件要求，作无效投标处理；如任意一条打“▲”的指标出现负偏离按评分标准作扣分处理。</w:t>
      </w:r>
    </w:p>
    <w:p w14:paraId="4B8EFD3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lang w:val="en-US" w:eastAsia="zh-CN"/>
        </w:rPr>
        <w:t>2.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r>
        <w:rPr>
          <w:rFonts w:hint="eastAsia" w:ascii="仿宋" w:hAnsi="仿宋" w:eastAsia="仿宋" w:cs="仿宋"/>
          <w:color w:val="auto"/>
          <w:sz w:val="24"/>
          <w:highlight w:val="none"/>
        </w:rPr>
        <w:t>。</w:t>
      </w:r>
    </w:p>
    <w:p w14:paraId="778F6F34">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p>
    <w:p w14:paraId="748A383D">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lang w:eastAsia="zh-CN"/>
        </w:rPr>
        <w:t>电子签章</w:t>
      </w:r>
      <w:r>
        <w:rPr>
          <w:rFonts w:hint="eastAsia" w:ascii="仿宋" w:hAnsi="仿宋" w:eastAsia="仿宋" w:cs="仿宋"/>
          <w:color w:val="auto"/>
          <w:kern w:val="0"/>
          <w:sz w:val="24"/>
          <w:highlight w:val="none"/>
          <w:lang w:val="zh-CN"/>
        </w:rPr>
        <w:t xml:space="preserve">）：                                                                                                                                                                                                               </w:t>
      </w:r>
    </w:p>
    <w:p w14:paraId="4C68A706">
      <w:pPr>
        <w:spacing w:line="360" w:lineRule="auto"/>
        <w:ind w:left="4620" w:leftChars="2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6BD7DC28">
      <w:pPr>
        <w:spacing w:line="336" w:lineRule="auto"/>
        <w:jc w:val="center"/>
        <w:rPr>
          <w:rFonts w:hint="eastAsia" w:ascii="仿宋" w:hAnsi="仿宋" w:eastAsia="仿宋" w:cs="仿宋"/>
          <w:b/>
          <w:bCs/>
          <w:color w:val="auto"/>
          <w:sz w:val="32"/>
          <w:szCs w:val="32"/>
          <w:highlight w:val="none"/>
          <w:lang w:val="en-US" w:eastAsia="zh-CN"/>
        </w:rPr>
      </w:pPr>
    </w:p>
    <w:p w14:paraId="75B534AC">
      <w:pPr>
        <w:spacing w:line="336" w:lineRule="auto"/>
        <w:jc w:val="center"/>
        <w:rPr>
          <w:rFonts w:hint="eastAsia" w:ascii="仿宋" w:hAnsi="仿宋" w:eastAsia="仿宋" w:cs="仿宋"/>
          <w:b/>
          <w:bCs/>
          <w:color w:val="auto"/>
          <w:sz w:val="32"/>
          <w:szCs w:val="32"/>
          <w:highlight w:val="none"/>
          <w:lang w:val="en-US" w:eastAsia="zh-CN"/>
        </w:rPr>
      </w:pPr>
    </w:p>
    <w:p w14:paraId="148FDC3D">
      <w:pPr>
        <w:spacing w:line="336"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十二</w:t>
      </w:r>
      <w:r>
        <w:rPr>
          <w:rFonts w:hint="eastAsia" w:ascii="仿宋" w:hAnsi="仿宋" w:eastAsia="仿宋" w:cs="仿宋"/>
          <w:b/>
          <w:bCs/>
          <w:color w:val="auto"/>
          <w:sz w:val="32"/>
          <w:szCs w:val="32"/>
          <w:highlight w:val="none"/>
        </w:rPr>
        <w:t>、项目组成员</w:t>
      </w:r>
    </w:p>
    <w:p w14:paraId="1CF709C0">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6E688625">
      <w:pPr>
        <w:spacing w:line="336" w:lineRule="auto"/>
        <w:ind w:firstLine="3600" w:firstLineChars="1500"/>
        <w:rPr>
          <w:rFonts w:hint="eastAsia" w:ascii="仿宋" w:hAnsi="仿宋" w:eastAsia="仿宋" w:cs="仿宋"/>
          <w:color w:val="auto"/>
          <w:sz w:val="24"/>
          <w:highlight w:val="none"/>
        </w:rPr>
      </w:pPr>
    </w:p>
    <w:p w14:paraId="0274EEDB">
      <w:pPr>
        <w:spacing w:line="336" w:lineRule="auto"/>
        <w:ind w:firstLine="3600" w:firstLineChars="1500"/>
        <w:rPr>
          <w:rFonts w:hint="eastAsia" w:ascii="仿宋" w:hAnsi="仿宋" w:eastAsia="仿宋" w:cs="仿宋"/>
          <w:color w:val="auto"/>
          <w:sz w:val="24"/>
          <w:highlight w:val="none"/>
        </w:rPr>
      </w:pPr>
    </w:p>
    <w:p w14:paraId="6CFC93EE">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3F743F8F">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B731B23">
      <w:pPr>
        <w:pStyle w:val="6"/>
        <w:ind w:left="0" w:leftChars="0" w:firstLine="0" w:firstLineChars="0"/>
        <w:rPr>
          <w:rFonts w:hint="eastAsia"/>
          <w:color w:val="auto"/>
          <w:highlight w:val="none"/>
        </w:rPr>
      </w:pPr>
    </w:p>
    <w:p w14:paraId="68812588">
      <w:pPr>
        <w:spacing w:line="336" w:lineRule="auto"/>
        <w:jc w:val="center"/>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ab/>
      </w:r>
    </w:p>
    <w:p w14:paraId="56661AE9">
      <w:pPr>
        <w:spacing w:line="336" w:lineRule="auto"/>
        <w:jc w:val="center"/>
        <w:rPr>
          <w:rFonts w:hint="eastAsia" w:ascii="仿宋" w:hAnsi="仿宋" w:eastAsia="仿宋" w:cs="仿宋"/>
          <w:color w:val="auto"/>
          <w:highlight w:val="none"/>
          <w:lang w:eastAsia="zh-CN"/>
        </w:rPr>
      </w:pPr>
    </w:p>
    <w:p w14:paraId="32753CCB">
      <w:pPr>
        <w:spacing w:line="336" w:lineRule="auto"/>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val="en-US" w:eastAsia="zh-CN"/>
        </w:rPr>
        <w:t>十三</w:t>
      </w:r>
      <w:r>
        <w:rPr>
          <w:rFonts w:hint="eastAsia" w:ascii="仿宋" w:hAnsi="仿宋" w:eastAsia="仿宋" w:cs="仿宋"/>
          <w:b/>
          <w:bCs/>
          <w:color w:val="auto"/>
          <w:sz w:val="32"/>
          <w:szCs w:val="32"/>
          <w:highlight w:val="none"/>
        </w:rPr>
        <w:t>、</w:t>
      </w:r>
      <w:r>
        <w:rPr>
          <w:rFonts w:hint="eastAsia" w:ascii="仿宋" w:hAnsi="仿宋" w:eastAsia="仿宋" w:cs="仿宋"/>
          <w:b/>
          <w:bCs/>
          <w:color w:val="auto"/>
          <w:sz w:val="32"/>
          <w:szCs w:val="32"/>
          <w:highlight w:val="none"/>
          <w:lang w:eastAsia="zh-CN"/>
        </w:rPr>
        <w:t>拟投入设备</w:t>
      </w:r>
    </w:p>
    <w:p w14:paraId="36BB9F52">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0007488D">
      <w:pPr>
        <w:spacing w:line="336" w:lineRule="auto"/>
        <w:ind w:firstLine="3600" w:firstLineChars="1500"/>
        <w:rPr>
          <w:rFonts w:hint="eastAsia" w:ascii="仿宋" w:hAnsi="仿宋" w:eastAsia="仿宋" w:cs="仿宋"/>
          <w:color w:val="auto"/>
          <w:sz w:val="24"/>
          <w:highlight w:val="none"/>
        </w:rPr>
      </w:pPr>
    </w:p>
    <w:p w14:paraId="3E65F899">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2B305FC5">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34878F2">
      <w:pPr>
        <w:pStyle w:val="79"/>
        <w:tabs>
          <w:tab w:val="left" w:pos="5409"/>
        </w:tabs>
        <w:rPr>
          <w:rFonts w:hint="eastAsia" w:ascii="仿宋" w:hAnsi="仿宋" w:eastAsia="仿宋" w:cs="仿宋"/>
          <w:color w:val="auto"/>
          <w:highlight w:val="none"/>
          <w:lang w:eastAsia="zh-CN"/>
        </w:rPr>
      </w:pPr>
    </w:p>
    <w:p w14:paraId="77CF62D6">
      <w:pPr>
        <w:bidi w:val="0"/>
        <w:rPr>
          <w:rFonts w:hint="eastAsia" w:ascii="仿宋" w:hAnsi="仿宋" w:eastAsia="仿宋" w:cs="仿宋"/>
          <w:color w:val="auto"/>
          <w:highlight w:val="none"/>
          <w:lang w:eastAsia="zh-CN"/>
        </w:rPr>
      </w:pPr>
    </w:p>
    <w:p w14:paraId="5D809336">
      <w:pPr>
        <w:bidi w:val="0"/>
        <w:rPr>
          <w:rFonts w:hint="eastAsia" w:ascii="仿宋" w:hAnsi="仿宋" w:eastAsia="仿宋" w:cs="仿宋"/>
          <w:color w:val="auto"/>
          <w:highlight w:val="none"/>
          <w:lang w:eastAsia="zh-CN"/>
        </w:rPr>
      </w:pPr>
    </w:p>
    <w:p w14:paraId="79BED2C9">
      <w:pPr>
        <w:bidi w:val="0"/>
        <w:rPr>
          <w:rFonts w:hint="eastAsia" w:ascii="仿宋" w:hAnsi="仿宋" w:eastAsia="仿宋" w:cs="仿宋"/>
          <w:color w:val="auto"/>
          <w:highlight w:val="none"/>
          <w:lang w:eastAsia="zh-CN"/>
        </w:rPr>
      </w:pPr>
    </w:p>
    <w:p w14:paraId="5AB380FB">
      <w:pPr>
        <w:bidi w:val="0"/>
        <w:rPr>
          <w:rFonts w:hint="eastAsia" w:ascii="仿宋" w:hAnsi="仿宋" w:eastAsia="仿宋" w:cs="仿宋"/>
          <w:color w:val="auto"/>
          <w:highlight w:val="none"/>
          <w:lang w:eastAsia="zh-CN"/>
        </w:rPr>
      </w:pPr>
    </w:p>
    <w:p w14:paraId="0CB04BF1">
      <w:pPr>
        <w:spacing w:line="336" w:lineRule="auto"/>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val="en-US" w:eastAsia="zh-CN"/>
        </w:rPr>
        <w:t>十四</w:t>
      </w:r>
      <w:r>
        <w:rPr>
          <w:rFonts w:hint="eastAsia" w:ascii="仿宋" w:hAnsi="仿宋" w:eastAsia="仿宋" w:cs="仿宋"/>
          <w:b/>
          <w:bCs/>
          <w:color w:val="auto"/>
          <w:sz w:val="32"/>
          <w:szCs w:val="32"/>
          <w:highlight w:val="none"/>
        </w:rPr>
        <w:t>、</w:t>
      </w:r>
      <w:r>
        <w:rPr>
          <w:rFonts w:hint="eastAsia" w:ascii="仿宋" w:hAnsi="仿宋" w:eastAsia="仿宋" w:cs="仿宋"/>
          <w:b/>
          <w:bCs/>
          <w:color w:val="auto"/>
          <w:sz w:val="32"/>
          <w:szCs w:val="32"/>
          <w:highlight w:val="none"/>
          <w:lang w:eastAsia="zh-CN"/>
        </w:rPr>
        <w:t>项目理解</w:t>
      </w:r>
    </w:p>
    <w:p w14:paraId="77527CFC">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54B47283">
      <w:pPr>
        <w:spacing w:line="336" w:lineRule="auto"/>
        <w:ind w:firstLine="3600" w:firstLineChars="1500"/>
        <w:rPr>
          <w:rFonts w:hint="eastAsia" w:ascii="仿宋" w:hAnsi="仿宋" w:eastAsia="仿宋" w:cs="仿宋"/>
          <w:color w:val="auto"/>
          <w:sz w:val="24"/>
          <w:highlight w:val="none"/>
        </w:rPr>
      </w:pPr>
    </w:p>
    <w:p w14:paraId="06299553">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7DB0F814">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F4A05A1">
      <w:pPr>
        <w:bidi w:val="0"/>
        <w:jc w:val="center"/>
        <w:rPr>
          <w:rFonts w:hint="eastAsia" w:ascii="仿宋" w:hAnsi="仿宋" w:eastAsia="仿宋" w:cs="仿宋"/>
          <w:color w:val="auto"/>
          <w:highlight w:val="none"/>
          <w:lang w:eastAsia="zh-CN"/>
        </w:rPr>
      </w:pPr>
    </w:p>
    <w:p w14:paraId="594B2A24">
      <w:pPr>
        <w:spacing w:line="360" w:lineRule="auto"/>
        <w:jc w:val="center"/>
        <w:outlineLvl w:val="0"/>
        <w:rPr>
          <w:rFonts w:hint="eastAsia" w:ascii="仿宋" w:hAnsi="仿宋" w:eastAsia="仿宋" w:cs="仿宋"/>
          <w:b/>
          <w:color w:val="auto"/>
          <w:kern w:val="0"/>
          <w:sz w:val="36"/>
          <w:szCs w:val="36"/>
          <w:highlight w:val="none"/>
        </w:rPr>
      </w:pPr>
    </w:p>
    <w:p w14:paraId="116A50B4">
      <w:pPr>
        <w:spacing w:line="336" w:lineRule="auto"/>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val="en-US" w:eastAsia="zh-CN"/>
        </w:rPr>
        <w:t>十五</w:t>
      </w:r>
      <w:r>
        <w:rPr>
          <w:rFonts w:hint="eastAsia" w:ascii="仿宋" w:hAnsi="仿宋" w:eastAsia="仿宋" w:cs="仿宋"/>
          <w:b/>
          <w:bCs/>
          <w:color w:val="auto"/>
          <w:sz w:val="32"/>
          <w:szCs w:val="32"/>
          <w:highlight w:val="none"/>
        </w:rPr>
        <w:t>、</w:t>
      </w:r>
      <w:r>
        <w:rPr>
          <w:rFonts w:hint="eastAsia" w:ascii="仿宋" w:hAnsi="仿宋" w:eastAsia="仿宋" w:cs="仿宋"/>
          <w:b/>
          <w:bCs/>
          <w:color w:val="auto"/>
          <w:sz w:val="32"/>
          <w:szCs w:val="32"/>
          <w:highlight w:val="none"/>
          <w:lang w:eastAsia="zh-CN"/>
        </w:rPr>
        <w:t>项目计划安排</w:t>
      </w:r>
    </w:p>
    <w:p w14:paraId="7552ADDA">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312BF6E7">
      <w:pPr>
        <w:spacing w:line="336" w:lineRule="auto"/>
        <w:ind w:firstLine="3600" w:firstLineChars="1500"/>
        <w:rPr>
          <w:rFonts w:hint="eastAsia" w:ascii="仿宋" w:hAnsi="仿宋" w:eastAsia="仿宋" w:cs="仿宋"/>
          <w:color w:val="auto"/>
          <w:sz w:val="24"/>
          <w:highlight w:val="none"/>
        </w:rPr>
      </w:pPr>
    </w:p>
    <w:p w14:paraId="503C0708">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254B3F50">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color w:val="auto"/>
          <w:sz w:val="24"/>
          <w:highlight w:val="none"/>
        </w:rPr>
        <w:t xml:space="preserve">     日期：  年   月   日</w:t>
      </w:r>
    </w:p>
    <w:p w14:paraId="58B9F4E7">
      <w:pPr>
        <w:spacing w:line="336" w:lineRule="auto"/>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val="en-US" w:eastAsia="zh-CN"/>
        </w:rPr>
        <w:t>十六</w:t>
      </w:r>
      <w:r>
        <w:rPr>
          <w:rFonts w:hint="eastAsia" w:ascii="仿宋" w:hAnsi="仿宋" w:eastAsia="仿宋" w:cs="仿宋"/>
          <w:b/>
          <w:bCs/>
          <w:color w:val="auto"/>
          <w:sz w:val="32"/>
          <w:szCs w:val="32"/>
          <w:highlight w:val="none"/>
        </w:rPr>
        <w:t>、</w:t>
      </w:r>
      <w:r>
        <w:rPr>
          <w:rFonts w:hint="eastAsia" w:ascii="仿宋" w:hAnsi="仿宋" w:eastAsia="仿宋" w:cs="仿宋"/>
          <w:b/>
          <w:bCs/>
          <w:color w:val="auto"/>
          <w:sz w:val="32"/>
          <w:szCs w:val="32"/>
          <w:highlight w:val="none"/>
          <w:lang w:eastAsia="zh-CN"/>
        </w:rPr>
        <w:t>实施方案</w:t>
      </w:r>
    </w:p>
    <w:p w14:paraId="53889BD2">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397312BE">
      <w:pPr>
        <w:spacing w:line="336" w:lineRule="auto"/>
        <w:ind w:firstLine="3600" w:firstLineChars="1500"/>
        <w:rPr>
          <w:rFonts w:hint="eastAsia" w:ascii="仿宋" w:hAnsi="仿宋" w:eastAsia="仿宋" w:cs="仿宋"/>
          <w:color w:val="auto"/>
          <w:sz w:val="24"/>
          <w:highlight w:val="none"/>
        </w:rPr>
      </w:pPr>
    </w:p>
    <w:p w14:paraId="324F2DE9">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46F06B7D">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color w:val="auto"/>
          <w:sz w:val="24"/>
          <w:highlight w:val="none"/>
        </w:rPr>
        <w:t xml:space="preserve">     日期：  年   月   日</w:t>
      </w:r>
    </w:p>
    <w:p w14:paraId="649C25F0">
      <w:pPr>
        <w:spacing w:line="336" w:lineRule="auto"/>
        <w:jc w:val="center"/>
        <w:rPr>
          <w:rFonts w:hint="eastAsia" w:ascii="仿宋" w:hAnsi="仿宋" w:eastAsia="仿宋" w:cs="仿宋"/>
          <w:b/>
          <w:bCs/>
          <w:color w:val="auto"/>
          <w:sz w:val="32"/>
          <w:szCs w:val="32"/>
          <w:highlight w:val="none"/>
          <w:lang w:val="en-US" w:eastAsia="zh-CN"/>
        </w:rPr>
      </w:pPr>
    </w:p>
    <w:p w14:paraId="62FA1103">
      <w:pPr>
        <w:spacing w:line="336" w:lineRule="auto"/>
        <w:jc w:val="center"/>
        <w:rPr>
          <w:rFonts w:hint="eastAsia" w:ascii="仿宋" w:hAnsi="仿宋" w:eastAsia="仿宋" w:cs="仿宋"/>
          <w:b/>
          <w:bCs/>
          <w:color w:val="auto"/>
          <w:sz w:val="32"/>
          <w:szCs w:val="32"/>
          <w:highlight w:val="none"/>
          <w:lang w:val="en-US" w:eastAsia="zh-CN"/>
        </w:rPr>
      </w:pPr>
    </w:p>
    <w:p w14:paraId="4DAF94D8">
      <w:pPr>
        <w:spacing w:line="336" w:lineRule="auto"/>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val="en-US" w:eastAsia="zh-CN"/>
        </w:rPr>
        <w:t>十七</w:t>
      </w:r>
      <w:r>
        <w:rPr>
          <w:rFonts w:hint="eastAsia" w:ascii="仿宋" w:hAnsi="仿宋" w:eastAsia="仿宋" w:cs="仿宋"/>
          <w:b/>
          <w:bCs/>
          <w:color w:val="auto"/>
          <w:sz w:val="32"/>
          <w:szCs w:val="32"/>
          <w:highlight w:val="none"/>
        </w:rPr>
        <w:t>、</w:t>
      </w:r>
      <w:r>
        <w:rPr>
          <w:rFonts w:hint="eastAsia" w:ascii="仿宋" w:hAnsi="仿宋" w:eastAsia="仿宋" w:cs="仿宋"/>
          <w:b/>
          <w:bCs/>
          <w:color w:val="auto"/>
          <w:sz w:val="32"/>
          <w:szCs w:val="32"/>
          <w:highlight w:val="none"/>
          <w:lang w:eastAsia="zh-CN"/>
        </w:rPr>
        <w:t>重点难点分析</w:t>
      </w:r>
    </w:p>
    <w:p w14:paraId="725FB386">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7412A24E">
      <w:pPr>
        <w:spacing w:line="336" w:lineRule="auto"/>
        <w:ind w:firstLine="3600" w:firstLineChars="1500"/>
        <w:rPr>
          <w:rFonts w:hint="eastAsia" w:ascii="仿宋" w:hAnsi="仿宋" w:eastAsia="仿宋" w:cs="仿宋"/>
          <w:color w:val="auto"/>
          <w:sz w:val="24"/>
          <w:highlight w:val="none"/>
        </w:rPr>
      </w:pPr>
    </w:p>
    <w:p w14:paraId="086BAE02">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2CC261E6">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color w:val="auto"/>
          <w:sz w:val="24"/>
          <w:highlight w:val="none"/>
        </w:rPr>
        <w:t xml:space="preserve">     日期：  年   月   日</w:t>
      </w:r>
    </w:p>
    <w:p w14:paraId="1C0BA307">
      <w:pPr>
        <w:spacing w:line="336" w:lineRule="auto"/>
        <w:jc w:val="center"/>
        <w:rPr>
          <w:rFonts w:hint="eastAsia" w:ascii="仿宋" w:hAnsi="仿宋" w:eastAsia="仿宋" w:cs="仿宋"/>
          <w:b/>
          <w:bCs/>
          <w:color w:val="auto"/>
          <w:sz w:val="32"/>
          <w:szCs w:val="32"/>
          <w:highlight w:val="none"/>
          <w:lang w:val="en-US" w:eastAsia="zh-CN"/>
        </w:rPr>
      </w:pPr>
    </w:p>
    <w:p w14:paraId="4D851875">
      <w:pPr>
        <w:spacing w:line="336" w:lineRule="auto"/>
        <w:jc w:val="center"/>
        <w:rPr>
          <w:rFonts w:hint="eastAsia" w:ascii="仿宋" w:hAnsi="仿宋" w:eastAsia="仿宋" w:cs="仿宋"/>
          <w:b/>
          <w:bCs/>
          <w:color w:val="auto"/>
          <w:sz w:val="32"/>
          <w:szCs w:val="32"/>
          <w:highlight w:val="none"/>
          <w:lang w:val="en-US" w:eastAsia="zh-CN"/>
        </w:rPr>
      </w:pPr>
    </w:p>
    <w:p w14:paraId="02B087A9">
      <w:pPr>
        <w:spacing w:line="336" w:lineRule="auto"/>
        <w:jc w:val="center"/>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val="en-US" w:eastAsia="zh-CN"/>
        </w:rPr>
        <w:t>十八</w:t>
      </w:r>
      <w:r>
        <w:rPr>
          <w:rFonts w:hint="eastAsia" w:ascii="仿宋" w:hAnsi="仿宋" w:eastAsia="仿宋" w:cs="仿宋"/>
          <w:b/>
          <w:bCs/>
          <w:color w:val="auto"/>
          <w:sz w:val="32"/>
          <w:szCs w:val="32"/>
          <w:highlight w:val="none"/>
        </w:rPr>
        <w:t>、</w:t>
      </w:r>
      <w:r>
        <w:rPr>
          <w:rFonts w:hint="eastAsia" w:ascii="仿宋" w:hAnsi="仿宋" w:eastAsia="仿宋" w:cs="仿宋"/>
          <w:b/>
          <w:bCs/>
          <w:color w:val="auto"/>
          <w:sz w:val="32"/>
          <w:szCs w:val="32"/>
          <w:highlight w:val="none"/>
          <w:lang w:eastAsia="zh-CN"/>
        </w:rPr>
        <w:t>应急处理</w:t>
      </w:r>
    </w:p>
    <w:p w14:paraId="270C99C5">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29E3CB4C">
      <w:pPr>
        <w:spacing w:line="336" w:lineRule="auto"/>
        <w:ind w:firstLine="3600" w:firstLineChars="1500"/>
        <w:rPr>
          <w:rFonts w:hint="eastAsia" w:ascii="仿宋" w:hAnsi="仿宋" w:eastAsia="仿宋" w:cs="仿宋"/>
          <w:color w:val="auto"/>
          <w:sz w:val="24"/>
          <w:highlight w:val="none"/>
        </w:rPr>
      </w:pPr>
    </w:p>
    <w:p w14:paraId="35E84F61">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21A5D01D">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color w:val="auto"/>
          <w:sz w:val="24"/>
          <w:highlight w:val="none"/>
        </w:rPr>
        <w:t xml:space="preserve">     日期：  年   月   日</w:t>
      </w:r>
    </w:p>
    <w:p w14:paraId="459718A5">
      <w:pPr>
        <w:spacing w:line="336" w:lineRule="auto"/>
        <w:jc w:val="center"/>
        <w:rPr>
          <w:rFonts w:hint="eastAsia" w:ascii="仿宋" w:hAnsi="仿宋" w:eastAsia="仿宋" w:cs="仿宋"/>
          <w:b/>
          <w:bCs/>
          <w:color w:val="auto"/>
          <w:sz w:val="32"/>
          <w:szCs w:val="32"/>
          <w:highlight w:val="none"/>
          <w:lang w:val="en-US" w:eastAsia="zh-CN"/>
        </w:rPr>
      </w:pPr>
    </w:p>
    <w:p w14:paraId="3908958E">
      <w:pPr>
        <w:spacing w:line="336" w:lineRule="auto"/>
        <w:jc w:val="center"/>
        <w:rPr>
          <w:rFonts w:hint="eastAsia" w:ascii="仿宋" w:hAnsi="仿宋" w:eastAsia="仿宋" w:cs="仿宋"/>
          <w:b/>
          <w:bCs/>
          <w:color w:val="auto"/>
          <w:sz w:val="32"/>
          <w:szCs w:val="32"/>
          <w:highlight w:val="none"/>
          <w:lang w:val="en-US" w:eastAsia="zh-CN"/>
        </w:rPr>
      </w:pPr>
    </w:p>
    <w:p w14:paraId="5A201547">
      <w:pPr>
        <w:spacing w:line="360" w:lineRule="auto"/>
        <w:ind w:firstLine="643" w:firstLineChars="200"/>
        <w:jc w:val="center"/>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十九</w:t>
      </w:r>
      <w:r>
        <w:rPr>
          <w:rFonts w:hint="eastAsia" w:ascii="仿宋" w:hAnsi="仿宋" w:eastAsia="仿宋" w:cs="仿宋"/>
          <w:b/>
          <w:bCs/>
          <w:color w:val="auto"/>
          <w:sz w:val="32"/>
          <w:szCs w:val="32"/>
          <w:highlight w:val="none"/>
        </w:rPr>
        <w:t>、</w:t>
      </w:r>
      <w:r>
        <w:rPr>
          <w:rFonts w:hint="eastAsia" w:ascii="仿宋" w:hAnsi="仿宋" w:eastAsia="仿宋" w:cs="仿宋"/>
          <w:b/>
          <w:bCs/>
          <w:color w:val="auto"/>
          <w:sz w:val="32"/>
          <w:szCs w:val="32"/>
          <w:highlight w:val="none"/>
          <w:lang w:val="en-US" w:eastAsia="zh-CN"/>
        </w:rPr>
        <w:t>便利服务</w:t>
      </w:r>
    </w:p>
    <w:p w14:paraId="4B63DDB8">
      <w:pPr>
        <w:spacing w:line="360" w:lineRule="auto"/>
        <w:ind w:firstLine="480" w:firstLineChars="200"/>
        <w:jc w:val="center"/>
        <w:rPr>
          <w:rFonts w:hint="eastAsia" w:ascii="仿宋" w:hAnsi="仿宋" w:eastAsia="仿宋" w:cs="仿宋"/>
          <w:color w:val="auto"/>
          <w:sz w:val="24"/>
          <w:szCs w:val="20"/>
          <w:highlight w:val="none"/>
        </w:rPr>
      </w:pPr>
      <w:r>
        <w:rPr>
          <w:rFonts w:hint="eastAsia" w:ascii="仿宋" w:hAnsi="仿宋" w:eastAsia="仿宋" w:cs="仿宋"/>
          <w:color w:val="auto"/>
          <w:sz w:val="24"/>
          <w:highlight w:val="none"/>
        </w:rPr>
        <w:t>（由投标人根据采购需求及招标文件评分要求编制）</w:t>
      </w:r>
    </w:p>
    <w:p w14:paraId="11BE70F6">
      <w:pPr>
        <w:spacing w:line="336" w:lineRule="auto"/>
        <w:ind w:firstLine="3600" w:firstLineChars="1500"/>
        <w:rPr>
          <w:rFonts w:hint="eastAsia" w:ascii="仿宋" w:hAnsi="仿宋" w:eastAsia="仿宋" w:cs="仿宋"/>
          <w:color w:val="auto"/>
          <w:sz w:val="24"/>
          <w:highlight w:val="none"/>
        </w:rPr>
      </w:pPr>
    </w:p>
    <w:p w14:paraId="050B906A">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投标人名称（电子签章）：                          </w:t>
      </w:r>
    </w:p>
    <w:p w14:paraId="0117B762">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color w:val="auto"/>
          <w:sz w:val="24"/>
          <w:highlight w:val="none"/>
        </w:rPr>
        <w:t xml:space="preserve">     日期：  年   月   日</w:t>
      </w:r>
    </w:p>
    <w:p w14:paraId="1AD3F2CD">
      <w:pPr>
        <w:spacing w:line="336" w:lineRule="auto"/>
        <w:jc w:val="center"/>
        <w:rPr>
          <w:rFonts w:hint="eastAsia" w:ascii="仿宋" w:hAnsi="仿宋" w:eastAsia="仿宋" w:cs="仿宋"/>
          <w:b/>
          <w:bCs/>
          <w:color w:val="auto"/>
          <w:sz w:val="32"/>
          <w:szCs w:val="32"/>
          <w:highlight w:val="none"/>
          <w:lang w:val="en-US" w:eastAsia="zh-CN"/>
        </w:rPr>
      </w:pPr>
    </w:p>
    <w:p w14:paraId="48F8869A">
      <w:pPr>
        <w:spacing w:line="336" w:lineRule="auto"/>
        <w:jc w:val="center"/>
        <w:rPr>
          <w:rFonts w:hint="eastAsia" w:ascii="仿宋" w:hAnsi="仿宋" w:eastAsia="仿宋" w:cs="仿宋"/>
          <w:b/>
          <w:bCs/>
          <w:color w:val="auto"/>
          <w:sz w:val="32"/>
          <w:szCs w:val="32"/>
          <w:highlight w:val="none"/>
        </w:rPr>
      </w:pPr>
      <w:r>
        <w:rPr>
          <w:rFonts w:hint="eastAsia" w:ascii="仿宋" w:hAnsi="仿宋" w:eastAsia="仿宋" w:cs="仿宋"/>
          <w:b/>
          <w:color w:val="auto"/>
          <w:kern w:val="0"/>
          <w:sz w:val="32"/>
          <w:szCs w:val="32"/>
          <w:highlight w:val="none"/>
          <w:lang w:val="en-US" w:eastAsia="zh-CN"/>
        </w:rPr>
        <w:t>二十、</w:t>
      </w:r>
      <w:r>
        <w:rPr>
          <w:rFonts w:hint="eastAsia" w:ascii="仿宋" w:hAnsi="仿宋" w:eastAsia="仿宋" w:cs="仿宋"/>
          <w:b/>
          <w:bCs/>
          <w:color w:val="auto"/>
          <w:sz w:val="32"/>
          <w:szCs w:val="32"/>
          <w:highlight w:val="none"/>
        </w:rPr>
        <w:t>未尽事宜请各投标单位按评分标准和相对应标项相关要求制作</w:t>
      </w:r>
    </w:p>
    <w:p w14:paraId="26E6DD73">
      <w:pPr>
        <w:spacing w:line="360" w:lineRule="auto"/>
        <w:jc w:val="center"/>
        <w:outlineLvl w:val="0"/>
        <w:rPr>
          <w:rFonts w:hint="eastAsia" w:ascii="仿宋" w:hAnsi="仿宋" w:eastAsia="仿宋" w:cs="仿宋"/>
          <w:b/>
          <w:color w:val="auto"/>
          <w:kern w:val="0"/>
          <w:sz w:val="32"/>
          <w:szCs w:val="32"/>
          <w:highlight w:val="none"/>
          <w:lang w:val="en-US" w:eastAsia="zh-CN"/>
        </w:rPr>
      </w:pPr>
    </w:p>
    <w:p w14:paraId="7E183285">
      <w:pPr>
        <w:spacing w:line="360" w:lineRule="auto"/>
        <w:jc w:val="center"/>
        <w:outlineLvl w:val="0"/>
        <w:rPr>
          <w:rFonts w:hint="eastAsia" w:ascii="仿宋" w:hAnsi="仿宋" w:eastAsia="仿宋" w:cs="仿宋"/>
          <w:b/>
          <w:color w:val="auto"/>
          <w:kern w:val="0"/>
          <w:sz w:val="32"/>
          <w:szCs w:val="32"/>
          <w:highlight w:val="none"/>
          <w:lang w:val="en-US" w:eastAsia="zh-CN"/>
        </w:rPr>
      </w:pPr>
    </w:p>
    <w:p w14:paraId="74C021C7">
      <w:pPr>
        <w:spacing w:line="360" w:lineRule="auto"/>
        <w:jc w:val="center"/>
        <w:outlineLvl w:val="0"/>
        <w:rPr>
          <w:rFonts w:hint="eastAsia" w:ascii="仿宋" w:hAnsi="仿宋" w:eastAsia="仿宋" w:cs="仿宋"/>
          <w:b/>
          <w:color w:val="auto"/>
          <w:kern w:val="0"/>
          <w:sz w:val="32"/>
          <w:szCs w:val="32"/>
          <w:highlight w:val="none"/>
          <w:lang w:val="en-US" w:eastAsia="zh-CN"/>
        </w:rPr>
      </w:pPr>
      <w:r>
        <w:rPr>
          <w:rFonts w:hint="eastAsia" w:ascii="仿宋" w:hAnsi="仿宋" w:eastAsia="仿宋" w:cs="仿宋"/>
          <w:b/>
          <w:color w:val="auto"/>
          <w:kern w:val="0"/>
          <w:sz w:val="32"/>
          <w:szCs w:val="32"/>
          <w:highlight w:val="none"/>
          <w:lang w:val="en-US" w:eastAsia="zh-CN"/>
        </w:rPr>
        <w:t>二十一、投标人需要说明的其他文件和说明（如果有)</w:t>
      </w:r>
    </w:p>
    <w:p w14:paraId="7BF12D76">
      <w:pPr>
        <w:spacing w:line="360" w:lineRule="auto"/>
        <w:jc w:val="center"/>
        <w:outlineLvl w:val="0"/>
        <w:rPr>
          <w:rFonts w:hint="eastAsia" w:ascii="仿宋" w:hAnsi="仿宋" w:eastAsia="仿宋" w:cs="仿宋"/>
          <w:b/>
          <w:color w:val="auto"/>
          <w:kern w:val="0"/>
          <w:sz w:val="36"/>
          <w:szCs w:val="36"/>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pgNumType w:fmt="decimal"/>
          <w:cols w:space="720" w:num="1"/>
          <w:titlePg/>
          <w:docGrid w:linePitch="312" w:charSpace="0"/>
        </w:sectPr>
      </w:pPr>
    </w:p>
    <w:p w14:paraId="12372613">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6E770014">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1527C268">
      <w:pPr>
        <w:spacing w:line="360" w:lineRule="auto"/>
        <w:jc w:val="center"/>
        <w:outlineLvl w:val="0"/>
        <w:rPr>
          <w:rFonts w:hint="eastAsia" w:ascii="仿宋" w:hAnsi="仿宋" w:eastAsia="仿宋" w:cs="仿宋"/>
          <w:b/>
          <w:color w:val="auto"/>
          <w:kern w:val="0"/>
          <w:sz w:val="36"/>
          <w:szCs w:val="36"/>
          <w:highlight w:val="none"/>
        </w:rPr>
      </w:pPr>
    </w:p>
    <w:p w14:paraId="4B3C578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（1）开标一览表……………………………………………………………………（页码）</w:t>
      </w:r>
    </w:p>
    <w:p w14:paraId="514DAB19">
      <w:pPr>
        <w:pStyle w:val="2"/>
        <w:numPr>
          <w:ilvl w:val="0"/>
          <w:numId w:val="0"/>
        </w:num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eastAsia="zh-CN"/>
        </w:rPr>
        <w:t>投标人针对报价需要说明的其他文件和说明</w:t>
      </w:r>
      <w:r>
        <w:rPr>
          <w:rFonts w:hint="eastAsia" w:ascii="仿宋" w:hAnsi="仿宋" w:eastAsia="仿宋" w:cs="仿宋"/>
          <w:color w:val="auto"/>
          <w:sz w:val="24"/>
          <w:highlight w:val="none"/>
          <w:lang w:val="en-US" w:eastAsia="zh-CN"/>
        </w:rPr>
        <w:t>（如果有)</w:t>
      </w:r>
      <w:r>
        <w:rPr>
          <w:rFonts w:hint="eastAsia" w:ascii="仿宋" w:hAnsi="仿宋" w:eastAsia="仿宋" w:cs="仿宋"/>
          <w:color w:val="auto"/>
          <w:sz w:val="24"/>
          <w:highlight w:val="none"/>
        </w:rPr>
        <w:t>……………………（页码）</w:t>
      </w:r>
    </w:p>
    <w:p w14:paraId="287CAD89">
      <w:pPr>
        <w:snapToGrid w:val="0"/>
        <w:spacing w:line="360" w:lineRule="auto"/>
        <w:ind w:right="480"/>
        <w:jc w:val="center"/>
        <w:rPr>
          <w:rFonts w:hint="eastAsia" w:ascii="仿宋" w:hAnsi="仿宋" w:eastAsia="仿宋" w:cs="仿宋"/>
          <w:b/>
          <w:color w:val="auto"/>
          <w:kern w:val="0"/>
          <w:sz w:val="32"/>
          <w:szCs w:val="32"/>
          <w:highlight w:val="none"/>
        </w:rPr>
      </w:pPr>
    </w:p>
    <w:p w14:paraId="1F53A996">
      <w:pPr>
        <w:snapToGrid w:val="0"/>
        <w:spacing w:line="360" w:lineRule="auto"/>
        <w:ind w:right="480"/>
        <w:jc w:val="center"/>
        <w:rPr>
          <w:rFonts w:hint="eastAsia" w:ascii="仿宋" w:hAnsi="仿宋" w:eastAsia="仿宋" w:cs="仿宋"/>
          <w:b/>
          <w:color w:val="auto"/>
          <w:kern w:val="0"/>
          <w:sz w:val="32"/>
          <w:szCs w:val="32"/>
          <w:highlight w:val="none"/>
        </w:rPr>
      </w:pPr>
    </w:p>
    <w:p w14:paraId="0D0A8AF4">
      <w:pPr>
        <w:snapToGrid w:val="0"/>
        <w:spacing w:line="360" w:lineRule="auto"/>
        <w:ind w:right="480"/>
        <w:jc w:val="center"/>
        <w:rPr>
          <w:rFonts w:hint="eastAsia" w:ascii="仿宋" w:hAnsi="仿宋" w:eastAsia="仿宋" w:cs="仿宋"/>
          <w:b/>
          <w:color w:val="auto"/>
          <w:kern w:val="0"/>
          <w:sz w:val="32"/>
          <w:szCs w:val="32"/>
          <w:highlight w:val="none"/>
        </w:rPr>
      </w:pPr>
    </w:p>
    <w:p w14:paraId="4F107BCD">
      <w:pPr>
        <w:snapToGrid w:val="0"/>
        <w:spacing w:line="360" w:lineRule="auto"/>
        <w:ind w:right="480"/>
        <w:jc w:val="center"/>
        <w:rPr>
          <w:rFonts w:hint="eastAsia" w:ascii="仿宋" w:hAnsi="仿宋" w:eastAsia="仿宋" w:cs="仿宋"/>
          <w:b/>
          <w:color w:val="auto"/>
          <w:kern w:val="0"/>
          <w:sz w:val="32"/>
          <w:szCs w:val="32"/>
          <w:highlight w:val="none"/>
        </w:rPr>
      </w:pPr>
    </w:p>
    <w:p w14:paraId="21A3F9D7">
      <w:pPr>
        <w:snapToGrid w:val="0"/>
        <w:spacing w:line="360" w:lineRule="auto"/>
        <w:ind w:right="480"/>
        <w:jc w:val="center"/>
        <w:rPr>
          <w:rFonts w:hint="eastAsia" w:ascii="仿宋" w:hAnsi="仿宋" w:eastAsia="仿宋" w:cs="仿宋"/>
          <w:b/>
          <w:color w:val="auto"/>
          <w:kern w:val="0"/>
          <w:sz w:val="32"/>
          <w:szCs w:val="32"/>
          <w:highlight w:val="none"/>
        </w:rPr>
      </w:pPr>
    </w:p>
    <w:p w14:paraId="56E451C1">
      <w:pPr>
        <w:snapToGrid w:val="0"/>
        <w:spacing w:line="360" w:lineRule="auto"/>
        <w:ind w:right="480"/>
        <w:jc w:val="center"/>
        <w:rPr>
          <w:rFonts w:hint="eastAsia" w:ascii="仿宋" w:hAnsi="仿宋" w:eastAsia="仿宋" w:cs="仿宋"/>
          <w:b/>
          <w:color w:val="auto"/>
          <w:kern w:val="0"/>
          <w:sz w:val="32"/>
          <w:szCs w:val="32"/>
          <w:highlight w:val="none"/>
        </w:rPr>
      </w:pPr>
    </w:p>
    <w:p w14:paraId="4BB852E8">
      <w:pPr>
        <w:snapToGrid w:val="0"/>
        <w:spacing w:line="360" w:lineRule="auto"/>
        <w:ind w:right="480"/>
        <w:jc w:val="center"/>
        <w:rPr>
          <w:rFonts w:hint="eastAsia" w:ascii="仿宋" w:hAnsi="仿宋" w:eastAsia="仿宋" w:cs="仿宋"/>
          <w:b/>
          <w:color w:val="auto"/>
          <w:kern w:val="0"/>
          <w:sz w:val="32"/>
          <w:szCs w:val="32"/>
          <w:highlight w:val="none"/>
        </w:rPr>
      </w:pPr>
    </w:p>
    <w:p w14:paraId="0EEE89C0">
      <w:pPr>
        <w:snapToGrid w:val="0"/>
        <w:spacing w:line="360" w:lineRule="auto"/>
        <w:ind w:right="480"/>
        <w:jc w:val="center"/>
        <w:rPr>
          <w:rFonts w:hint="eastAsia" w:ascii="仿宋" w:hAnsi="仿宋" w:eastAsia="仿宋" w:cs="仿宋"/>
          <w:b/>
          <w:color w:val="auto"/>
          <w:kern w:val="0"/>
          <w:sz w:val="32"/>
          <w:szCs w:val="32"/>
          <w:highlight w:val="none"/>
        </w:rPr>
      </w:pPr>
    </w:p>
    <w:p w14:paraId="2F4FC0F9">
      <w:pPr>
        <w:snapToGrid w:val="0"/>
        <w:spacing w:line="360" w:lineRule="auto"/>
        <w:ind w:right="480"/>
        <w:jc w:val="center"/>
        <w:rPr>
          <w:rFonts w:hint="eastAsia" w:ascii="仿宋" w:hAnsi="仿宋" w:eastAsia="仿宋" w:cs="仿宋"/>
          <w:b/>
          <w:color w:val="auto"/>
          <w:kern w:val="0"/>
          <w:sz w:val="32"/>
          <w:szCs w:val="32"/>
          <w:highlight w:val="none"/>
        </w:rPr>
      </w:pPr>
    </w:p>
    <w:p w14:paraId="56E11AF2">
      <w:pPr>
        <w:snapToGrid w:val="0"/>
        <w:spacing w:line="360" w:lineRule="auto"/>
        <w:ind w:right="480"/>
        <w:jc w:val="center"/>
        <w:rPr>
          <w:rFonts w:hint="eastAsia" w:ascii="仿宋" w:hAnsi="仿宋" w:eastAsia="仿宋" w:cs="仿宋"/>
          <w:b/>
          <w:color w:val="auto"/>
          <w:kern w:val="0"/>
          <w:sz w:val="32"/>
          <w:szCs w:val="32"/>
          <w:highlight w:val="none"/>
        </w:rPr>
      </w:pPr>
    </w:p>
    <w:p w14:paraId="12A438F0">
      <w:pPr>
        <w:snapToGrid w:val="0"/>
        <w:spacing w:line="360" w:lineRule="auto"/>
        <w:ind w:right="480"/>
        <w:jc w:val="center"/>
        <w:rPr>
          <w:rFonts w:hint="eastAsia" w:ascii="仿宋" w:hAnsi="仿宋" w:eastAsia="仿宋" w:cs="仿宋"/>
          <w:b/>
          <w:color w:val="auto"/>
          <w:kern w:val="0"/>
          <w:sz w:val="32"/>
          <w:szCs w:val="32"/>
          <w:highlight w:val="none"/>
        </w:rPr>
      </w:pPr>
    </w:p>
    <w:p w14:paraId="6979F6B5">
      <w:pPr>
        <w:snapToGrid w:val="0"/>
        <w:spacing w:line="360" w:lineRule="auto"/>
        <w:ind w:right="480"/>
        <w:jc w:val="center"/>
        <w:rPr>
          <w:rFonts w:hint="eastAsia" w:ascii="仿宋" w:hAnsi="仿宋" w:eastAsia="仿宋" w:cs="仿宋"/>
          <w:b/>
          <w:color w:val="auto"/>
          <w:kern w:val="0"/>
          <w:sz w:val="32"/>
          <w:szCs w:val="32"/>
          <w:highlight w:val="none"/>
        </w:rPr>
      </w:pPr>
    </w:p>
    <w:p w14:paraId="3CB662E7">
      <w:pPr>
        <w:snapToGrid w:val="0"/>
        <w:spacing w:line="360" w:lineRule="auto"/>
        <w:ind w:right="480"/>
        <w:jc w:val="center"/>
        <w:rPr>
          <w:rFonts w:hint="eastAsia" w:ascii="仿宋" w:hAnsi="仿宋" w:eastAsia="仿宋" w:cs="仿宋"/>
          <w:b/>
          <w:color w:val="auto"/>
          <w:kern w:val="0"/>
          <w:sz w:val="32"/>
          <w:szCs w:val="32"/>
          <w:highlight w:val="none"/>
        </w:rPr>
      </w:pPr>
    </w:p>
    <w:p w14:paraId="665FABCA">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pgSz w:w="11906" w:h="16838"/>
          <w:pgMar w:top="1276" w:right="1418" w:bottom="1247" w:left="1418" w:header="851" w:footer="992" w:gutter="0"/>
          <w:pgNumType w:fmt="decimal"/>
          <w:cols w:space="720" w:num="1"/>
          <w:titlePg/>
          <w:docGrid w:linePitch="312" w:charSpace="0"/>
        </w:sectPr>
      </w:pPr>
    </w:p>
    <w:p w14:paraId="11CE102C">
      <w:pPr>
        <w:spacing w:line="360" w:lineRule="auto"/>
        <w:jc w:val="center"/>
        <w:rPr>
          <w:rFonts w:hint="eastAsia" w:ascii="仿宋" w:hAnsi="仿宋" w:eastAsia="仿宋" w:cs="仿宋"/>
          <w:color w:val="auto"/>
          <w:sz w:val="24"/>
          <w:highlight w:val="none"/>
        </w:rPr>
      </w:pPr>
      <w:r>
        <w:rPr>
          <w:rFonts w:hint="eastAsia" w:ascii="仿宋" w:hAnsi="仿宋" w:eastAsia="仿宋" w:cs="仿宋"/>
          <w:b/>
          <w:bCs/>
          <w:color w:val="auto"/>
          <w:sz w:val="32"/>
          <w:szCs w:val="32"/>
          <w:highlight w:val="none"/>
        </w:rPr>
        <w:t>一、开标一览表</w:t>
      </w:r>
    </w:p>
    <w:p w14:paraId="556BA671">
      <w:pPr>
        <w:spacing w:line="360" w:lineRule="auto"/>
        <w:jc w:val="right"/>
        <w:rPr>
          <w:rFonts w:hint="eastAsia" w:ascii="仿宋" w:hAnsi="仿宋" w:eastAsia="仿宋" w:cs="仿宋"/>
          <w:color w:val="auto"/>
          <w:kern w:val="2"/>
          <w:sz w:val="32"/>
          <w:szCs w:val="32"/>
          <w:highlight w:val="none"/>
        </w:rPr>
      </w:pPr>
      <w:r>
        <w:rPr>
          <w:rFonts w:hint="eastAsia" w:ascii="仿宋" w:hAnsi="仿宋" w:eastAsia="仿宋" w:cs="仿宋"/>
          <w:b/>
          <w:color w:val="auto"/>
          <w:kern w:val="0"/>
          <w:sz w:val="24"/>
          <w:highlight w:val="none"/>
          <w:lang w:val="zh-CN"/>
        </w:rPr>
        <w:t>(单位均为人民币元)</w:t>
      </w:r>
    </w:p>
    <w:p w14:paraId="695E5735">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eastAsia="zh-CN"/>
        </w:rPr>
        <w:t>嵊州市水利水电局、绍兴平准招标代理有限公司</w:t>
      </w:r>
      <w:r>
        <w:rPr>
          <w:rFonts w:hint="eastAsia" w:ascii="仿宋" w:hAnsi="仿宋" w:eastAsia="仿宋" w:cs="仿宋"/>
          <w:color w:val="auto"/>
          <w:kern w:val="0"/>
          <w:sz w:val="24"/>
          <w:highlight w:val="none"/>
          <w:lang w:val="zh-CN"/>
        </w:rPr>
        <w:t>：</w:t>
      </w:r>
    </w:p>
    <w:p w14:paraId="054334A4">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b/>
          <w:bCs/>
          <w:color w:val="auto"/>
          <w:sz w:val="24"/>
          <w:highlight w:val="none"/>
          <w:lang w:eastAsia="zh-CN"/>
        </w:rPr>
        <w:t>嵊州市小型水库物业化管理项目(第</w:t>
      </w:r>
      <w:r>
        <w:rPr>
          <w:rFonts w:hint="eastAsia" w:ascii="仿宋" w:hAnsi="仿宋" w:eastAsia="仿宋" w:cs="仿宋"/>
          <w:b/>
          <w:bCs/>
          <w:color w:val="auto"/>
          <w:sz w:val="24"/>
          <w:highlight w:val="none"/>
          <w:lang w:val="en-US" w:eastAsia="zh-CN"/>
        </w:rPr>
        <w:t>三</w:t>
      </w:r>
      <w:r>
        <w:rPr>
          <w:rFonts w:hint="eastAsia" w:ascii="仿宋" w:hAnsi="仿宋" w:eastAsia="仿宋" w:cs="仿宋"/>
          <w:b/>
          <w:bCs/>
          <w:color w:val="auto"/>
          <w:sz w:val="24"/>
          <w:highlight w:val="none"/>
          <w:lang w:eastAsia="zh-CN"/>
        </w:rPr>
        <w:t>批)</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kern w:val="0"/>
          <w:sz w:val="24"/>
          <w:highlight w:val="none"/>
          <w:lang w:val="en-US" w:eastAsia="zh-CN"/>
        </w:rPr>
        <w:t>项目</w:t>
      </w:r>
      <w:r>
        <w:rPr>
          <w:rFonts w:hint="eastAsia" w:ascii="仿宋" w:hAnsi="仿宋" w:eastAsia="仿宋" w:cs="仿宋"/>
          <w:b/>
          <w:bCs/>
          <w:color w:val="auto"/>
          <w:kern w:val="0"/>
          <w:sz w:val="24"/>
          <w:highlight w:val="none"/>
          <w:lang w:val="zh-CN"/>
        </w:rPr>
        <w:t>编号：SXPZ-F20250326ZXX</w:t>
      </w:r>
      <w:r>
        <w:rPr>
          <w:rFonts w:hint="eastAsia" w:ascii="仿宋" w:hAnsi="仿宋" w:eastAsia="仿宋" w:cs="仿宋"/>
          <w:b/>
          <w:bCs/>
          <w:color w:val="auto"/>
          <w:sz w:val="24"/>
          <w:highlight w:val="none"/>
        </w:rPr>
        <w:t>】</w:t>
      </w:r>
      <w:r>
        <w:rPr>
          <w:rFonts w:hint="eastAsia" w:ascii="仿宋" w:hAnsi="仿宋" w:eastAsia="仿宋" w:cs="仿宋"/>
          <w:color w:val="auto"/>
          <w:sz w:val="24"/>
          <w:highlight w:val="none"/>
        </w:rPr>
        <w:t>的实施</w:t>
      </w:r>
      <w:r>
        <w:rPr>
          <w:rFonts w:hint="eastAsia" w:ascii="仿宋" w:hAnsi="仿宋" w:eastAsia="仿宋" w:cs="仿宋"/>
          <w:color w:val="auto"/>
          <w:kern w:val="0"/>
          <w:sz w:val="24"/>
          <w:highlight w:val="none"/>
          <w:lang w:val="zh-CN"/>
        </w:rPr>
        <w:t>。</w:t>
      </w:r>
    </w:p>
    <w:tbl>
      <w:tblPr>
        <w:tblStyle w:val="62"/>
        <w:tblW w:w="144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837"/>
        <w:gridCol w:w="1322"/>
        <w:gridCol w:w="1186"/>
        <w:gridCol w:w="2829"/>
        <w:gridCol w:w="1403"/>
        <w:gridCol w:w="964"/>
        <w:gridCol w:w="1431"/>
        <w:gridCol w:w="1378"/>
        <w:gridCol w:w="1268"/>
      </w:tblGrid>
      <w:tr w14:paraId="16C99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817" w:type="dxa"/>
            <w:noWrap w:val="0"/>
            <w:vAlign w:val="center"/>
          </w:tcPr>
          <w:p w14:paraId="444714F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837" w:type="dxa"/>
            <w:noWrap w:val="0"/>
            <w:vAlign w:val="center"/>
          </w:tcPr>
          <w:p w14:paraId="4308078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322" w:type="dxa"/>
            <w:noWrap w:val="0"/>
            <w:vAlign w:val="center"/>
          </w:tcPr>
          <w:p w14:paraId="4CD3BAF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1186" w:type="dxa"/>
            <w:noWrap w:val="0"/>
            <w:vAlign w:val="center"/>
          </w:tcPr>
          <w:p w14:paraId="2398A18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829" w:type="dxa"/>
            <w:noWrap w:val="0"/>
            <w:vAlign w:val="center"/>
          </w:tcPr>
          <w:p w14:paraId="1AAA4B84">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1403" w:type="dxa"/>
            <w:noWrap w:val="0"/>
            <w:vAlign w:val="center"/>
          </w:tcPr>
          <w:p w14:paraId="62EEFCB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964" w:type="dxa"/>
            <w:noWrap w:val="0"/>
            <w:vAlign w:val="center"/>
          </w:tcPr>
          <w:p w14:paraId="5B79DF59">
            <w:pPr>
              <w:spacing w:line="360" w:lineRule="auto"/>
              <w:jc w:val="cente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US" w:eastAsia="zh-CN"/>
              </w:rPr>
              <w:t>数量</w:t>
            </w:r>
          </w:p>
        </w:tc>
        <w:tc>
          <w:tcPr>
            <w:tcW w:w="1431" w:type="dxa"/>
            <w:noWrap w:val="0"/>
            <w:vAlign w:val="center"/>
          </w:tcPr>
          <w:p w14:paraId="342D0865">
            <w:pPr>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单价</w:t>
            </w:r>
          </w:p>
        </w:tc>
        <w:tc>
          <w:tcPr>
            <w:tcW w:w="1378" w:type="dxa"/>
            <w:noWrap w:val="0"/>
            <w:vAlign w:val="center"/>
          </w:tcPr>
          <w:p w14:paraId="3367B060">
            <w:pPr>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合计</w:t>
            </w:r>
          </w:p>
        </w:tc>
        <w:tc>
          <w:tcPr>
            <w:tcW w:w="1268" w:type="dxa"/>
            <w:noWrap w:val="0"/>
            <w:vAlign w:val="center"/>
          </w:tcPr>
          <w:p w14:paraId="34B18B80">
            <w:pPr>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备注</w:t>
            </w:r>
          </w:p>
        </w:tc>
      </w:tr>
      <w:tr w14:paraId="4BB45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17" w:type="dxa"/>
            <w:noWrap w:val="0"/>
            <w:vAlign w:val="center"/>
          </w:tcPr>
          <w:p w14:paraId="33D96435">
            <w:pPr>
              <w:keepNext w:val="0"/>
              <w:keepLines w:val="0"/>
              <w:widowControl/>
              <w:suppressLineNumbers w:val="0"/>
              <w:jc w:val="center"/>
              <w:textAlignment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i w:val="0"/>
                <w:iCs w:val="0"/>
                <w:color w:val="auto"/>
                <w:kern w:val="0"/>
                <w:sz w:val="24"/>
                <w:szCs w:val="24"/>
                <w:highlight w:val="none"/>
                <w:u w:val="none"/>
                <w:lang w:val="en-US" w:eastAsia="zh-CN" w:bidi="ar"/>
              </w:rPr>
              <w:t>1</w:t>
            </w:r>
          </w:p>
        </w:tc>
        <w:tc>
          <w:tcPr>
            <w:tcW w:w="1837" w:type="dxa"/>
            <w:noWrap w:val="0"/>
            <w:vAlign w:val="center"/>
          </w:tcPr>
          <w:p w14:paraId="42BCB08D">
            <w:pPr>
              <w:keepNext w:val="0"/>
              <w:keepLines w:val="0"/>
              <w:widowControl/>
              <w:suppressLineNumbers w:val="0"/>
              <w:jc w:val="center"/>
              <w:textAlignment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小（1）型水库</w:t>
            </w:r>
          </w:p>
        </w:tc>
        <w:tc>
          <w:tcPr>
            <w:tcW w:w="1322" w:type="dxa"/>
            <w:noWrap w:val="0"/>
            <w:vAlign w:val="center"/>
          </w:tcPr>
          <w:p w14:paraId="1D3991D7">
            <w:pPr>
              <w:snapToGrid w:val="0"/>
              <w:spacing w:line="360" w:lineRule="auto"/>
              <w:jc w:val="center"/>
              <w:rPr>
                <w:rFonts w:hint="eastAsia" w:ascii="仿宋" w:hAnsi="仿宋" w:eastAsia="仿宋" w:cs="仿宋"/>
                <w:b w:val="0"/>
                <w:bCs w:val="0"/>
                <w:color w:val="auto"/>
                <w:sz w:val="24"/>
                <w:highlight w:val="none"/>
              </w:rPr>
            </w:pPr>
          </w:p>
        </w:tc>
        <w:tc>
          <w:tcPr>
            <w:tcW w:w="1186" w:type="dxa"/>
            <w:noWrap w:val="0"/>
            <w:vAlign w:val="center"/>
          </w:tcPr>
          <w:p w14:paraId="0F2FE3DF">
            <w:pPr>
              <w:snapToGrid w:val="0"/>
              <w:spacing w:line="360" w:lineRule="auto"/>
              <w:jc w:val="center"/>
              <w:rPr>
                <w:rFonts w:hint="eastAsia" w:ascii="仿宋" w:hAnsi="仿宋" w:eastAsia="仿宋" w:cs="仿宋"/>
                <w:b w:val="0"/>
                <w:bCs w:val="0"/>
                <w:color w:val="auto"/>
                <w:sz w:val="24"/>
                <w:highlight w:val="none"/>
              </w:rPr>
            </w:pPr>
          </w:p>
        </w:tc>
        <w:tc>
          <w:tcPr>
            <w:tcW w:w="2829" w:type="dxa"/>
            <w:noWrap w:val="0"/>
            <w:vAlign w:val="center"/>
          </w:tcPr>
          <w:p w14:paraId="3F1DE22D">
            <w:pPr>
              <w:snapToGrid w:val="0"/>
              <w:spacing w:line="360" w:lineRule="auto"/>
              <w:jc w:val="center"/>
              <w:rPr>
                <w:rFonts w:hint="default" w:ascii="仿宋" w:hAnsi="仿宋" w:eastAsia="仿宋" w:cs="仿宋"/>
                <w:b w:val="0"/>
                <w:bCs w:val="0"/>
                <w:color w:val="auto"/>
                <w:sz w:val="24"/>
                <w:highlight w:val="none"/>
                <w:lang w:val="en-US" w:eastAsia="zh-CN"/>
              </w:rPr>
            </w:pPr>
            <w:r>
              <w:rPr>
                <w:rFonts w:hint="default" w:ascii="仿宋" w:hAnsi="仿宋" w:eastAsia="仿宋" w:cs="仿宋"/>
                <w:b w:val="0"/>
                <w:bCs w:val="0"/>
                <w:color w:val="auto"/>
                <w:sz w:val="24"/>
                <w:highlight w:val="none"/>
                <w:lang w:val="en-US" w:eastAsia="zh-CN"/>
              </w:rPr>
              <w:t>2025</w:t>
            </w:r>
            <w:r>
              <w:rPr>
                <w:rFonts w:hint="eastAsia" w:ascii="仿宋" w:hAnsi="仿宋" w:eastAsia="仿宋" w:cs="仿宋"/>
                <w:b w:val="0"/>
                <w:bCs w:val="0"/>
                <w:color w:val="auto"/>
                <w:sz w:val="24"/>
                <w:highlight w:val="none"/>
                <w:lang w:val="en-US" w:eastAsia="zh-CN"/>
              </w:rPr>
              <w:t>.</w:t>
            </w:r>
            <w:r>
              <w:rPr>
                <w:rFonts w:hint="default" w:ascii="仿宋" w:hAnsi="仿宋" w:eastAsia="仿宋" w:cs="仿宋"/>
                <w:b w:val="0"/>
                <w:bCs w:val="0"/>
                <w:color w:val="auto"/>
                <w:sz w:val="24"/>
                <w:highlight w:val="none"/>
                <w:lang w:val="en-US" w:eastAsia="zh-CN"/>
              </w:rPr>
              <w:t>5</w:t>
            </w:r>
            <w:r>
              <w:rPr>
                <w:rFonts w:hint="eastAsia" w:ascii="仿宋" w:hAnsi="仿宋" w:eastAsia="仿宋" w:cs="仿宋"/>
                <w:b w:val="0"/>
                <w:bCs w:val="0"/>
                <w:color w:val="auto"/>
                <w:sz w:val="24"/>
                <w:highlight w:val="none"/>
                <w:lang w:val="en-US" w:eastAsia="zh-CN"/>
              </w:rPr>
              <w:t>.</w:t>
            </w:r>
            <w:r>
              <w:rPr>
                <w:rFonts w:hint="default" w:ascii="仿宋" w:hAnsi="仿宋" w:eastAsia="仿宋" w:cs="仿宋"/>
                <w:b w:val="0"/>
                <w:bCs w:val="0"/>
                <w:color w:val="auto"/>
                <w:sz w:val="24"/>
                <w:highlight w:val="none"/>
                <w:lang w:val="en-US" w:eastAsia="zh-CN"/>
              </w:rPr>
              <w:t>1</w:t>
            </w:r>
            <w:r>
              <w:rPr>
                <w:rFonts w:hint="eastAsia" w:ascii="仿宋" w:hAnsi="仿宋" w:eastAsia="仿宋" w:cs="仿宋"/>
                <w:b w:val="0"/>
                <w:bCs w:val="0"/>
                <w:color w:val="auto"/>
                <w:sz w:val="24"/>
                <w:highlight w:val="none"/>
                <w:lang w:val="en-US" w:eastAsia="zh-CN"/>
              </w:rPr>
              <w:t>-</w:t>
            </w:r>
            <w:r>
              <w:rPr>
                <w:rFonts w:hint="default" w:ascii="仿宋" w:hAnsi="仿宋" w:eastAsia="仿宋" w:cs="仿宋"/>
                <w:b w:val="0"/>
                <w:bCs w:val="0"/>
                <w:color w:val="auto"/>
                <w:sz w:val="24"/>
                <w:highlight w:val="none"/>
                <w:lang w:val="en-US" w:eastAsia="zh-CN"/>
              </w:rPr>
              <w:t>2025</w:t>
            </w:r>
            <w:r>
              <w:rPr>
                <w:rFonts w:hint="eastAsia" w:ascii="仿宋" w:hAnsi="仿宋" w:eastAsia="仿宋" w:cs="仿宋"/>
                <w:b w:val="0"/>
                <w:bCs w:val="0"/>
                <w:color w:val="auto"/>
                <w:sz w:val="24"/>
                <w:highlight w:val="none"/>
                <w:lang w:val="en-US" w:eastAsia="zh-CN"/>
              </w:rPr>
              <w:t>.</w:t>
            </w:r>
            <w:r>
              <w:rPr>
                <w:rFonts w:hint="default" w:ascii="仿宋" w:hAnsi="仿宋" w:eastAsia="仿宋" w:cs="仿宋"/>
                <w:b w:val="0"/>
                <w:bCs w:val="0"/>
                <w:color w:val="auto"/>
                <w:sz w:val="24"/>
                <w:highlight w:val="none"/>
                <w:lang w:val="en-US" w:eastAsia="zh-CN"/>
              </w:rPr>
              <w:t>12</w:t>
            </w:r>
            <w:r>
              <w:rPr>
                <w:rFonts w:hint="eastAsia" w:ascii="仿宋" w:hAnsi="仿宋" w:eastAsia="仿宋" w:cs="仿宋"/>
                <w:b w:val="0"/>
                <w:bCs w:val="0"/>
                <w:color w:val="auto"/>
                <w:sz w:val="24"/>
                <w:highlight w:val="none"/>
                <w:lang w:val="en-US" w:eastAsia="zh-CN"/>
              </w:rPr>
              <w:t>.</w:t>
            </w:r>
            <w:r>
              <w:rPr>
                <w:rFonts w:hint="default" w:ascii="仿宋" w:hAnsi="仿宋" w:eastAsia="仿宋" w:cs="仿宋"/>
                <w:b w:val="0"/>
                <w:bCs w:val="0"/>
                <w:color w:val="auto"/>
                <w:sz w:val="24"/>
                <w:highlight w:val="none"/>
                <w:lang w:val="en-US" w:eastAsia="zh-CN"/>
              </w:rPr>
              <w:t>31</w:t>
            </w:r>
          </w:p>
        </w:tc>
        <w:tc>
          <w:tcPr>
            <w:tcW w:w="1403" w:type="dxa"/>
            <w:noWrap w:val="0"/>
            <w:vAlign w:val="center"/>
          </w:tcPr>
          <w:p w14:paraId="4EC6143C">
            <w:pPr>
              <w:spacing w:line="360" w:lineRule="auto"/>
              <w:jc w:val="center"/>
              <w:rPr>
                <w:rFonts w:hint="eastAsia" w:ascii="仿宋" w:hAnsi="仿宋" w:eastAsia="仿宋" w:cs="仿宋"/>
                <w:b w:val="0"/>
                <w:bCs w:val="0"/>
                <w:color w:val="auto"/>
                <w:sz w:val="24"/>
                <w:highlight w:val="none"/>
              </w:rPr>
            </w:pPr>
          </w:p>
        </w:tc>
        <w:tc>
          <w:tcPr>
            <w:tcW w:w="964" w:type="dxa"/>
            <w:noWrap w:val="0"/>
            <w:vAlign w:val="top"/>
          </w:tcPr>
          <w:p w14:paraId="2FCB023F">
            <w:pPr>
              <w:spacing w:line="360" w:lineRule="auto"/>
              <w:jc w:val="center"/>
              <w:rPr>
                <w:rFonts w:hint="default" w:ascii="仿宋" w:hAnsi="仿宋" w:eastAsia="仿宋" w:cs="仿宋"/>
                <w:b w:val="0"/>
                <w:bCs w:val="0"/>
                <w:color w:val="auto"/>
                <w:sz w:val="24"/>
                <w:highlight w:val="none"/>
                <w:lang w:val="en-US" w:eastAsia="zh-CN"/>
              </w:rPr>
            </w:pPr>
          </w:p>
        </w:tc>
        <w:tc>
          <w:tcPr>
            <w:tcW w:w="1431" w:type="dxa"/>
            <w:noWrap w:val="0"/>
            <w:vAlign w:val="center"/>
          </w:tcPr>
          <w:p w14:paraId="0DB4E79F">
            <w:pPr>
              <w:spacing w:line="360" w:lineRule="auto"/>
              <w:jc w:val="center"/>
              <w:rPr>
                <w:rFonts w:hint="eastAsia" w:ascii="仿宋" w:hAnsi="仿宋" w:eastAsia="仿宋" w:cs="仿宋"/>
                <w:b w:val="0"/>
                <w:bCs w:val="0"/>
                <w:color w:val="auto"/>
                <w:sz w:val="24"/>
                <w:highlight w:val="none"/>
              </w:rPr>
            </w:pPr>
          </w:p>
        </w:tc>
        <w:tc>
          <w:tcPr>
            <w:tcW w:w="1378" w:type="dxa"/>
            <w:noWrap w:val="0"/>
            <w:vAlign w:val="center"/>
          </w:tcPr>
          <w:p w14:paraId="0C54B39C">
            <w:pPr>
              <w:spacing w:line="360" w:lineRule="auto"/>
              <w:jc w:val="center"/>
              <w:rPr>
                <w:rFonts w:hint="eastAsia" w:ascii="仿宋" w:hAnsi="仿宋" w:eastAsia="仿宋" w:cs="仿宋"/>
                <w:b w:val="0"/>
                <w:bCs w:val="0"/>
                <w:color w:val="auto"/>
                <w:sz w:val="24"/>
                <w:highlight w:val="none"/>
              </w:rPr>
            </w:pPr>
          </w:p>
        </w:tc>
        <w:tc>
          <w:tcPr>
            <w:tcW w:w="1268" w:type="dxa"/>
            <w:noWrap w:val="0"/>
            <w:vAlign w:val="center"/>
          </w:tcPr>
          <w:p w14:paraId="5D26DA25">
            <w:pPr>
              <w:spacing w:line="360" w:lineRule="auto"/>
              <w:jc w:val="center"/>
              <w:rPr>
                <w:rFonts w:hint="eastAsia" w:ascii="仿宋" w:hAnsi="仿宋" w:eastAsia="仿宋" w:cs="仿宋"/>
                <w:b w:val="0"/>
                <w:bCs w:val="0"/>
                <w:color w:val="auto"/>
                <w:sz w:val="24"/>
                <w:highlight w:val="none"/>
              </w:rPr>
            </w:pPr>
          </w:p>
        </w:tc>
      </w:tr>
      <w:tr w14:paraId="11171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noWrap w:val="0"/>
            <w:vAlign w:val="center"/>
          </w:tcPr>
          <w:p w14:paraId="11C320C6">
            <w:pPr>
              <w:keepNext w:val="0"/>
              <w:keepLines w:val="0"/>
              <w:widowControl/>
              <w:suppressLineNumbers w:val="0"/>
              <w:jc w:val="center"/>
              <w:textAlignment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i w:val="0"/>
                <w:iCs w:val="0"/>
                <w:color w:val="auto"/>
                <w:kern w:val="0"/>
                <w:sz w:val="24"/>
                <w:szCs w:val="24"/>
                <w:highlight w:val="none"/>
                <w:u w:val="none"/>
                <w:lang w:val="en-US" w:eastAsia="zh-CN" w:bidi="ar"/>
              </w:rPr>
              <w:t>2</w:t>
            </w:r>
          </w:p>
        </w:tc>
        <w:tc>
          <w:tcPr>
            <w:tcW w:w="1837" w:type="dxa"/>
            <w:noWrap w:val="0"/>
            <w:vAlign w:val="center"/>
          </w:tcPr>
          <w:p w14:paraId="06BDF5DD">
            <w:pPr>
              <w:keepNext w:val="0"/>
              <w:keepLines w:val="0"/>
              <w:widowControl/>
              <w:suppressLineNumbers w:val="0"/>
              <w:jc w:val="center"/>
              <w:textAlignment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rPr>
              <w:t>小（2）型水库</w:t>
            </w:r>
          </w:p>
        </w:tc>
        <w:tc>
          <w:tcPr>
            <w:tcW w:w="1322" w:type="dxa"/>
            <w:noWrap w:val="0"/>
            <w:vAlign w:val="center"/>
          </w:tcPr>
          <w:p w14:paraId="433A3446">
            <w:pPr>
              <w:snapToGrid w:val="0"/>
              <w:spacing w:line="360" w:lineRule="auto"/>
              <w:jc w:val="center"/>
              <w:rPr>
                <w:rFonts w:hint="eastAsia" w:ascii="仿宋" w:hAnsi="仿宋" w:eastAsia="仿宋" w:cs="仿宋"/>
                <w:b w:val="0"/>
                <w:bCs w:val="0"/>
                <w:color w:val="auto"/>
                <w:kern w:val="2"/>
                <w:sz w:val="24"/>
                <w:szCs w:val="24"/>
                <w:highlight w:val="none"/>
                <w:lang w:val="en-US" w:eastAsia="zh-CN" w:bidi="ar-SA"/>
              </w:rPr>
            </w:pPr>
          </w:p>
        </w:tc>
        <w:tc>
          <w:tcPr>
            <w:tcW w:w="1186" w:type="dxa"/>
            <w:noWrap w:val="0"/>
            <w:vAlign w:val="center"/>
          </w:tcPr>
          <w:p w14:paraId="35965357">
            <w:pPr>
              <w:snapToGrid w:val="0"/>
              <w:spacing w:line="360" w:lineRule="auto"/>
              <w:jc w:val="center"/>
              <w:rPr>
                <w:rFonts w:hint="eastAsia" w:ascii="仿宋" w:hAnsi="仿宋" w:eastAsia="仿宋" w:cs="仿宋"/>
                <w:b w:val="0"/>
                <w:bCs w:val="0"/>
                <w:color w:val="auto"/>
                <w:kern w:val="2"/>
                <w:sz w:val="24"/>
                <w:szCs w:val="24"/>
                <w:highlight w:val="none"/>
                <w:lang w:val="en-US" w:eastAsia="zh-CN" w:bidi="ar-SA"/>
              </w:rPr>
            </w:pPr>
          </w:p>
        </w:tc>
        <w:tc>
          <w:tcPr>
            <w:tcW w:w="2829" w:type="dxa"/>
            <w:noWrap w:val="0"/>
            <w:vAlign w:val="center"/>
          </w:tcPr>
          <w:p w14:paraId="579F8B75">
            <w:pPr>
              <w:snapToGrid w:val="0"/>
              <w:spacing w:line="360" w:lineRule="auto"/>
              <w:jc w:val="center"/>
              <w:rPr>
                <w:rFonts w:hint="eastAsia" w:ascii="仿宋" w:hAnsi="仿宋" w:eastAsia="仿宋" w:cs="仿宋"/>
                <w:b w:val="0"/>
                <w:bCs w:val="0"/>
                <w:color w:val="auto"/>
                <w:kern w:val="2"/>
                <w:sz w:val="24"/>
                <w:szCs w:val="24"/>
                <w:highlight w:val="none"/>
                <w:lang w:val="en-US" w:eastAsia="zh-CN" w:bidi="ar-SA"/>
              </w:rPr>
            </w:pPr>
            <w:r>
              <w:rPr>
                <w:rFonts w:hint="default" w:ascii="仿宋" w:hAnsi="仿宋" w:eastAsia="仿宋" w:cs="仿宋"/>
                <w:b w:val="0"/>
                <w:bCs w:val="0"/>
                <w:color w:val="auto"/>
                <w:sz w:val="24"/>
                <w:highlight w:val="none"/>
                <w:lang w:val="en-US" w:eastAsia="zh-CN"/>
              </w:rPr>
              <w:t>2025</w:t>
            </w:r>
            <w:r>
              <w:rPr>
                <w:rFonts w:hint="eastAsia" w:ascii="仿宋" w:hAnsi="仿宋" w:eastAsia="仿宋" w:cs="仿宋"/>
                <w:b w:val="0"/>
                <w:bCs w:val="0"/>
                <w:color w:val="auto"/>
                <w:sz w:val="24"/>
                <w:highlight w:val="none"/>
                <w:lang w:val="en-US" w:eastAsia="zh-CN"/>
              </w:rPr>
              <w:t>.</w:t>
            </w:r>
            <w:r>
              <w:rPr>
                <w:rFonts w:hint="default" w:ascii="仿宋" w:hAnsi="仿宋" w:eastAsia="仿宋" w:cs="仿宋"/>
                <w:b w:val="0"/>
                <w:bCs w:val="0"/>
                <w:color w:val="auto"/>
                <w:sz w:val="24"/>
                <w:highlight w:val="none"/>
                <w:lang w:val="en-US" w:eastAsia="zh-CN"/>
              </w:rPr>
              <w:t>5</w:t>
            </w:r>
            <w:r>
              <w:rPr>
                <w:rFonts w:hint="eastAsia" w:ascii="仿宋" w:hAnsi="仿宋" w:eastAsia="仿宋" w:cs="仿宋"/>
                <w:b w:val="0"/>
                <w:bCs w:val="0"/>
                <w:color w:val="auto"/>
                <w:sz w:val="24"/>
                <w:highlight w:val="none"/>
                <w:lang w:val="en-US" w:eastAsia="zh-CN"/>
              </w:rPr>
              <w:t>.</w:t>
            </w:r>
            <w:r>
              <w:rPr>
                <w:rFonts w:hint="default" w:ascii="仿宋" w:hAnsi="仿宋" w:eastAsia="仿宋" w:cs="仿宋"/>
                <w:b w:val="0"/>
                <w:bCs w:val="0"/>
                <w:color w:val="auto"/>
                <w:sz w:val="24"/>
                <w:highlight w:val="none"/>
                <w:lang w:val="en-US" w:eastAsia="zh-CN"/>
              </w:rPr>
              <w:t>1</w:t>
            </w:r>
            <w:r>
              <w:rPr>
                <w:rFonts w:hint="eastAsia" w:ascii="仿宋" w:hAnsi="仿宋" w:eastAsia="仿宋" w:cs="仿宋"/>
                <w:b w:val="0"/>
                <w:bCs w:val="0"/>
                <w:color w:val="auto"/>
                <w:sz w:val="24"/>
                <w:highlight w:val="none"/>
                <w:lang w:val="en-US" w:eastAsia="zh-CN"/>
              </w:rPr>
              <w:t>-</w:t>
            </w:r>
            <w:r>
              <w:rPr>
                <w:rFonts w:hint="default" w:ascii="仿宋" w:hAnsi="仿宋" w:eastAsia="仿宋" w:cs="仿宋"/>
                <w:b w:val="0"/>
                <w:bCs w:val="0"/>
                <w:color w:val="auto"/>
                <w:sz w:val="24"/>
                <w:highlight w:val="none"/>
                <w:lang w:val="en-US" w:eastAsia="zh-CN"/>
              </w:rPr>
              <w:t>2025</w:t>
            </w:r>
            <w:r>
              <w:rPr>
                <w:rFonts w:hint="eastAsia" w:ascii="仿宋" w:hAnsi="仿宋" w:eastAsia="仿宋" w:cs="仿宋"/>
                <w:b w:val="0"/>
                <w:bCs w:val="0"/>
                <w:color w:val="auto"/>
                <w:sz w:val="24"/>
                <w:highlight w:val="none"/>
                <w:lang w:val="en-US" w:eastAsia="zh-CN"/>
              </w:rPr>
              <w:t>.</w:t>
            </w:r>
            <w:r>
              <w:rPr>
                <w:rFonts w:hint="default" w:ascii="仿宋" w:hAnsi="仿宋" w:eastAsia="仿宋" w:cs="仿宋"/>
                <w:b w:val="0"/>
                <w:bCs w:val="0"/>
                <w:color w:val="auto"/>
                <w:sz w:val="24"/>
                <w:highlight w:val="none"/>
                <w:lang w:val="en-US" w:eastAsia="zh-CN"/>
              </w:rPr>
              <w:t>12</w:t>
            </w:r>
            <w:r>
              <w:rPr>
                <w:rFonts w:hint="eastAsia" w:ascii="仿宋" w:hAnsi="仿宋" w:eastAsia="仿宋" w:cs="仿宋"/>
                <w:b w:val="0"/>
                <w:bCs w:val="0"/>
                <w:color w:val="auto"/>
                <w:sz w:val="24"/>
                <w:highlight w:val="none"/>
                <w:lang w:val="en-US" w:eastAsia="zh-CN"/>
              </w:rPr>
              <w:t>.</w:t>
            </w:r>
            <w:r>
              <w:rPr>
                <w:rFonts w:hint="default" w:ascii="仿宋" w:hAnsi="仿宋" w:eastAsia="仿宋" w:cs="仿宋"/>
                <w:b w:val="0"/>
                <w:bCs w:val="0"/>
                <w:color w:val="auto"/>
                <w:sz w:val="24"/>
                <w:highlight w:val="none"/>
                <w:lang w:val="en-US" w:eastAsia="zh-CN"/>
              </w:rPr>
              <w:t>31</w:t>
            </w:r>
          </w:p>
        </w:tc>
        <w:tc>
          <w:tcPr>
            <w:tcW w:w="1403" w:type="dxa"/>
            <w:noWrap w:val="0"/>
            <w:vAlign w:val="center"/>
          </w:tcPr>
          <w:p w14:paraId="1EEA78E4">
            <w:pPr>
              <w:spacing w:line="360" w:lineRule="auto"/>
              <w:jc w:val="center"/>
              <w:rPr>
                <w:rFonts w:hint="eastAsia" w:ascii="仿宋" w:hAnsi="仿宋" w:eastAsia="仿宋" w:cs="仿宋"/>
                <w:b w:val="0"/>
                <w:bCs w:val="0"/>
                <w:color w:val="auto"/>
                <w:kern w:val="2"/>
                <w:sz w:val="24"/>
                <w:szCs w:val="24"/>
                <w:highlight w:val="none"/>
                <w:lang w:val="en-US" w:eastAsia="zh-CN" w:bidi="ar-SA"/>
              </w:rPr>
            </w:pPr>
          </w:p>
        </w:tc>
        <w:tc>
          <w:tcPr>
            <w:tcW w:w="964" w:type="dxa"/>
            <w:noWrap w:val="0"/>
            <w:vAlign w:val="top"/>
          </w:tcPr>
          <w:p w14:paraId="4DB98A6D">
            <w:pPr>
              <w:spacing w:line="360" w:lineRule="auto"/>
              <w:jc w:val="center"/>
              <w:rPr>
                <w:rFonts w:hint="default" w:ascii="仿宋" w:hAnsi="仿宋" w:eastAsia="仿宋" w:cs="仿宋"/>
                <w:b w:val="0"/>
                <w:bCs w:val="0"/>
                <w:color w:val="auto"/>
                <w:kern w:val="2"/>
                <w:sz w:val="24"/>
                <w:szCs w:val="24"/>
                <w:highlight w:val="none"/>
                <w:lang w:val="en-US" w:eastAsia="zh-CN" w:bidi="ar-SA"/>
              </w:rPr>
            </w:pPr>
          </w:p>
        </w:tc>
        <w:tc>
          <w:tcPr>
            <w:tcW w:w="1431" w:type="dxa"/>
            <w:noWrap w:val="0"/>
            <w:vAlign w:val="center"/>
          </w:tcPr>
          <w:p w14:paraId="40B4C010">
            <w:pPr>
              <w:spacing w:line="360" w:lineRule="auto"/>
              <w:jc w:val="center"/>
              <w:rPr>
                <w:rFonts w:hint="eastAsia" w:ascii="仿宋" w:hAnsi="仿宋" w:eastAsia="仿宋" w:cs="仿宋"/>
                <w:b w:val="0"/>
                <w:bCs w:val="0"/>
                <w:color w:val="auto"/>
                <w:sz w:val="24"/>
                <w:highlight w:val="none"/>
              </w:rPr>
            </w:pPr>
          </w:p>
        </w:tc>
        <w:tc>
          <w:tcPr>
            <w:tcW w:w="1378" w:type="dxa"/>
            <w:noWrap w:val="0"/>
            <w:vAlign w:val="center"/>
          </w:tcPr>
          <w:p w14:paraId="2BA80082">
            <w:pPr>
              <w:spacing w:line="360" w:lineRule="auto"/>
              <w:jc w:val="center"/>
              <w:rPr>
                <w:rFonts w:hint="eastAsia" w:ascii="仿宋" w:hAnsi="仿宋" w:eastAsia="仿宋" w:cs="仿宋"/>
                <w:b w:val="0"/>
                <w:bCs w:val="0"/>
                <w:color w:val="auto"/>
                <w:sz w:val="24"/>
                <w:highlight w:val="none"/>
              </w:rPr>
            </w:pPr>
          </w:p>
        </w:tc>
        <w:tc>
          <w:tcPr>
            <w:tcW w:w="1268" w:type="dxa"/>
            <w:noWrap w:val="0"/>
            <w:vAlign w:val="center"/>
          </w:tcPr>
          <w:p w14:paraId="2DEB41C0">
            <w:pPr>
              <w:spacing w:line="360" w:lineRule="auto"/>
              <w:jc w:val="center"/>
              <w:rPr>
                <w:rFonts w:hint="eastAsia" w:ascii="仿宋" w:hAnsi="仿宋" w:eastAsia="仿宋" w:cs="仿宋"/>
                <w:b w:val="0"/>
                <w:bCs w:val="0"/>
                <w:color w:val="auto"/>
                <w:sz w:val="24"/>
                <w:highlight w:val="none"/>
              </w:rPr>
            </w:pPr>
          </w:p>
        </w:tc>
      </w:tr>
      <w:tr w14:paraId="50A92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5162" w:type="dxa"/>
            <w:gridSpan w:val="4"/>
            <w:noWrap w:val="0"/>
            <w:vAlign w:val="center"/>
          </w:tcPr>
          <w:p w14:paraId="00EA8C19">
            <w:pPr>
              <w:spacing w:line="360" w:lineRule="auto"/>
              <w:jc w:val="center"/>
              <w:rPr>
                <w:rFonts w:hint="eastAsia" w:ascii="仿宋" w:hAnsi="仿宋" w:eastAsia="仿宋" w:cs="仿宋"/>
                <w:b w:val="0"/>
                <w:color w:val="auto"/>
                <w:sz w:val="24"/>
                <w:highlight w:val="none"/>
              </w:rPr>
            </w:pPr>
            <w:r>
              <w:rPr>
                <w:rFonts w:hint="eastAsia" w:ascii="仿宋" w:hAnsi="仿宋" w:eastAsia="仿宋" w:cs="仿宋"/>
                <w:b w:val="0"/>
                <w:color w:val="auto"/>
                <w:sz w:val="24"/>
                <w:highlight w:val="none"/>
              </w:rPr>
              <w:t>投标报价（小写）</w:t>
            </w:r>
          </w:p>
        </w:tc>
        <w:tc>
          <w:tcPr>
            <w:tcW w:w="9273" w:type="dxa"/>
            <w:gridSpan w:val="6"/>
            <w:noWrap w:val="0"/>
            <w:vAlign w:val="top"/>
          </w:tcPr>
          <w:p w14:paraId="716C203F">
            <w:pPr>
              <w:spacing w:line="360" w:lineRule="auto"/>
              <w:jc w:val="center"/>
              <w:rPr>
                <w:rFonts w:hint="eastAsia" w:ascii="仿宋" w:hAnsi="仿宋" w:eastAsia="仿宋" w:cs="仿宋"/>
                <w:color w:val="auto"/>
                <w:sz w:val="24"/>
                <w:highlight w:val="none"/>
              </w:rPr>
            </w:pPr>
          </w:p>
        </w:tc>
      </w:tr>
      <w:tr w14:paraId="1164E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5162" w:type="dxa"/>
            <w:gridSpan w:val="4"/>
            <w:noWrap w:val="0"/>
            <w:vAlign w:val="center"/>
          </w:tcPr>
          <w:p w14:paraId="2835249E">
            <w:pPr>
              <w:spacing w:line="360" w:lineRule="auto"/>
              <w:jc w:val="center"/>
              <w:rPr>
                <w:rFonts w:hint="eastAsia" w:ascii="仿宋" w:hAnsi="仿宋" w:eastAsia="仿宋" w:cs="仿宋"/>
                <w:b w:val="0"/>
                <w:color w:val="auto"/>
                <w:sz w:val="24"/>
                <w:highlight w:val="none"/>
              </w:rPr>
            </w:pPr>
            <w:r>
              <w:rPr>
                <w:rFonts w:hint="eastAsia" w:ascii="仿宋" w:hAnsi="仿宋" w:eastAsia="仿宋" w:cs="仿宋"/>
                <w:b w:val="0"/>
                <w:color w:val="auto"/>
                <w:sz w:val="24"/>
                <w:highlight w:val="none"/>
              </w:rPr>
              <w:t>投标报价（大写）</w:t>
            </w:r>
          </w:p>
        </w:tc>
        <w:tc>
          <w:tcPr>
            <w:tcW w:w="9273" w:type="dxa"/>
            <w:gridSpan w:val="6"/>
            <w:noWrap w:val="0"/>
            <w:vAlign w:val="top"/>
          </w:tcPr>
          <w:p w14:paraId="2BDBDE43">
            <w:pPr>
              <w:spacing w:line="360" w:lineRule="auto"/>
              <w:jc w:val="center"/>
              <w:rPr>
                <w:rFonts w:hint="eastAsia" w:ascii="仿宋" w:hAnsi="仿宋" w:eastAsia="仿宋" w:cs="仿宋"/>
                <w:color w:val="auto"/>
                <w:sz w:val="24"/>
                <w:highlight w:val="none"/>
              </w:rPr>
            </w:pPr>
          </w:p>
        </w:tc>
      </w:tr>
    </w:tbl>
    <w:p w14:paraId="5622E76E">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61D0ED37">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w:t>
      </w:r>
      <w:r>
        <w:rPr>
          <w:rFonts w:hint="eastAsia" w:ascii="仿宋" w:hAnsi="仿宋" w:eastAsia="仿宋" w:cs="仿宋"/>
          <w:color w:val="auto"/>
          <w:kern w:val="0"/>
          <w:sz w:val="24"/>
          <w:highlight w:val="none"/>
          <w:lang w:val="zh-CN"/>
        </w:rPr>
        <w:t>。</w:t>
      </w:r>
    </w:p>
    <w:p w14:paraId="22D4E1C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1CA019E5">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1127F07">
      <w:pPr>
        <w:spacing w:line="360" w:lineRule="auto"/>
        <w:ind w:firstLine="482" w:firstLineChars="200"/>
        <w:rPr>
          <w:rFonts w:hint="eastAsia" w:ascii="仿宋" w:hAnsi="仿宋" w:eastAsia="仿宋" w:cs="仿宋"/>
          <w:b/>
          <w:color w:val="auto"/>
          <w:kern w:val="0"/>
          <w:sz w:val="24"/>
          <w:highlight w:val="none"/>
        </w:rPr>
      </w:pPr>
    </w:p>
    <w:p w14:paraId="3AB1C3AC">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p>
    <w:p w14:paraId="56BD221C">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日期：  年   月   日</w:t>
      </w:r>
    </w:p>
    <w:p w14:paraId="55888C86">
      <w:pPr>
        <w:rPr>
          <w:rFonts w:hint="eastAsia" w:ascii="仿宋" w:hAnsi="仿宋" w:eastAsia="仿宋" w:cs="仿宋"/>
          <w:b/>
          <w:color w:val="auto"/>
          <w:spacing w:val="6"/>
          <w:sz w:val="32"/>
          <w:szCs w:val="32"/>
          <w:highlight w:val="none"/>
        </w:rPr>
        <w:sectPr>
          <w:headerReference r:id="rId21" w:type="first"/>
          <w:footerReference r:id="rId24" w:type="first"/>
          <w:headerReference r:id="rId20" w:type="default"/>
          <w:footerReference r:id="rId22" w:type="default"/>
          <w:footerReference r:id="rId23" w:type="even"/>
          <w:pgSz w:w="16838" w:h="11906" w:orient="landscape"/>
          <w:pgMar w:top="1418" w:right="1276" w:bottom="1418" w:left="1247" w:header="851" w:footer="992" w:gutter="0"/>
          <w:pgNumType w:fmt="decimal"/>
          <w:cols w:space="720" w:num="1"/>
          <w:titlePg/>
          <w:docGrid w:linePitch="312" w:charSpace="0"/>
        </w:sectPr>
      </w:pPr>
    </w:p>
    <w:p w14:paraId="7C7E086A">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附件1：质疑函范本及制作说明</w:t>
      </w:r>
    </w:p>
    <w:p w14:paraId="349FEEAD">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58392AF7">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7C8D81B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350FB40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35F2CDD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5DF63EE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6014C14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6CA41AE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0AEF26D7">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52C653E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178BB0C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473DD8F4">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7F0AE2A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1605D2FE">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75DCD1EC">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7A1F386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73EF715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4DDDCFE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389134FC">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204E330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4062DA1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03CBE8FD">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1DC3394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60FA211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36882D5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2E3C5926">
      <w:pPr>
        <w:spacing w:line="360" w:lineRule="auto"/>
        <w:jc w:val="center"/>
        <w:rPr>
          <w:rFonts w:hint="eastAsia" w:ascii="仿宋" w:hAnsi="仿宋" w:eastAsia="仿宋" w:cs="仿宋"/>
          <w:b/>
          <w:bCs/>
          <w:color w:val="auto"/>
          <w:sz w:val="24"/>
          <w:highlight w:val="none"/>
        </w:rPr>
      </w:pPr>
    </w:p>
    <w:p w14:paraId="07E74883">
      <w:pPr>
        <w:spacing w:line="360" w:lineRule="auto"/>
        <w:rPr>
          <w:rFonts w:hint="eastAsia" w:ascii="仿宋" w:hAnsi="仿宋" w:eastAsia="仿宋" w:cs="仿宋"/>
          <w:b/>
          <w:color w:val="auto"/>
          <w:sz w:val="24"/>
          <w:highlight w:val="none"/>
        </w:rPr>
      </w:pPr>
    </w:p>
    <w:p w14:paraId="3CE95DD2">
      <w:pPr>
        <w:spacing w:line="360" w:lineRule="auto"/>
        <w:rPr>
          <w:rFonts w:hint="eastAsia" w:ascii="仿宋" w:hAnsi="仿宋" w:eastAsia="仿宋" w:cs="仿宋"/>
          <w:b/>
          <w:color w:val="auto"/>
          <w:sz w:val="24"/>
          <w:highlight w:val="none"/>
        </w:rPr>
      </w:pPr>
    </w:p>
    <w:p w14:paraId="446F0CA9">
      <w:pPr>
        <w:spacing w:line="360" w:lineRule="auto"/>
        <w:rPr>
          <w:rFonts w:hint="eastAsia" w:ascii="仿宋" w:hAnsi="仿宋" w:eastAsia="仿宋" w:cs="仿宋"/>
          <w:b/>
          <w:color w:val="auto"/>
          <w:sz w:val="24"/>
          <w:highlight w:val="none"/>
        </w:rPr>
      </w:pPr>
    </w:p>
    <w:p w14:paraId="29D8C3BB">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35469CC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4A3FECA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51A9C1D4">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16570D5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168DD19F">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20BE32C3">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5C4DC70D">
      <w:pPr>
        <w:widowControl/>
        <w:spacing w:line="360" w:lineRule="auto"/>
        <w:ind w:firstLine="600" w:firstLineChars="200"/>
        <w:jc w:val="left"/>
        <w:rPr>
          <w:rFonts w:hint="eastAsia" w:ascii="仿宋" w:hAnsi="仿宋" w:eastAsia="仿宋" w:cs="仿宋"/>
          <w:color w:val="auto"/>
          <w:sz w:val="30"/>
          <w:szCs w:val="30"/>
          <w:highlight w:val="none"/>
        </w:rPr>
      </w:pPr>
    </w:p>
    <w:p w14:paraId="3A2744DD">
      <w:pPr>
        <w:spacing w:line="360" w:lineRule="auto"/>
        <w:jc w:val="center"/>
        <w:rPr>
          <w:rFonts w:hint="eastAsia" w:ascii="仿宋" w:hAnsi="仿宋" w:eastAsia="仿宋" w:cs="仿宋"/>
          <w:b/>
          <w:color w:val="auto"/>
          <w:spacing w:val="6"/>
          <w:sz w:val="32"/>
          <w:szCs w:val="32"/>
          <w:highlight w:val="none"/>
        </w:rPr>
      </w:pPr>
    </w:p>
    <w:p w14:paraId="3FACCE55">
      <w:pPr>
        <w:spacing w:line="360" w:lineRule="auto"/>
        <w:jc w:val="center"/>
        <w:rPr>
          <w:rFonts w:hint="eastAsia" w:ascii="仿宋" w:hAnsi="仿宋" w:eastAsia="仿宋" w:cs="仿宋"/>
          <w:b/>
          <w:color w:val="auto"/>
          <w:spacing w:val="6"/>
          <w:sz w:val="32"/>
          <w:szCs w:val="32"/>
          <w:highlight w:val="none"/>
        </w:rPr>
      </w:pPr>
    </w:p>
    <w:p w14:paraId="218DA21A">
      <w:pPr>
        <w:spacing w:line="360" w:lineRule="auto"/>
        <w:jc w:val="center"/>
        <w:rPr>
          <w:rFonts w:hint="eastAsia" w:ascii="仿宋" w:hAnsi="仿宋" w:eastAsia="仿宋" w:cs="仿宋"/>
          <w:b/>
          <w:color w:val="auto"/>
          <w:spacing w:val="6"/>
          <w:sz w:val="32"/>
          <w:szCs w:val="32"/>
          <w:highlight w:val="none"/>
        </w:rPr>
      </w:pPr>
    </w:p>
    <w:p w14:paraId="6BCD6B15">
      <w:pPr>
        <w:spacing w:line="360" w:lineRule="auto"/>
        <w:jc w:val="center"/>
        <w:rPr>
          <w:rFonts w:hint="eastAsia" w:ascii="仿宋" w:hAnsi="仿宋" w:eastAsia="仿宋" w:cs="仿宋"/>
          <w:b/>
          <w:color w:val="auto"/>
          <w:spacing w:val="6"/>
          <w:sz w:val="32"/>
          <w:szCs w:val="32"/>
          <w:highlight w:val="none"/>
        </w:rPr>
      </w:pPr>
    </w:p>
    <w:p w14:paraId="4CE517D8">
      <w:pPr>
        <w:spacing w:line="360" w:lineRule="auto"/>
        <w:jc w:val="center"/>
        <w:rPr>
          <w:rFonts w:hint="eastAsia" w:ascii="仿宋" w:hAnsi="仿宋" w:eastAsia="仿宋" w:cs="仿宋"/>
          <w:b/>
          <w:color w:val="auto"/>
          <w:spacing w:val="6"/>
          <w:sz w:val="32"/>
          <w:szCs w:val="32"/>
          <w:highlight w:val="none"/>
        </w:rPr>
      </w:pPr>
    </w:p>
    <w:p w14:paraId="7687B69D">
      <w:pPr>
        <w:spacing w:line="360" w:lineRule="auto"/>
        <w:jc w:val="center"/>
        <w:rPr>
          <w:rFonts w:hint="eastAsia" w:ascii="仿宋" w:hAnsi="仿宋" w:eastAsia="仿宋" w:cs="仿宋"/>
          <w:b/>
          <w:color w:val="auto"/>
          <w:spacing w:val="6"/>
          <w:sz w:val="32"/>
          <w:szCs w:val="32"/>
          <w:highlight w:val="none"/>
        </w:rPr>
      </w:pPr>
    </w:p>
    <w:p w14:paraId="54D59721">
      <w:pPr>
        <w:spacing w:line="360" w:lineRule="auto"/>
        <w:jc w:val="center"/>
        <w:rPr>
          <w:rFonts w:hint="eastAsia" w:ascii="仿宋" w:hAnsi="仿宋" w:eastAsia="仿宋" w:cs="仿宋"/>
          <w:b/>
          <w:color w:val="auto"/>
          <w:spacing w:val="6"/>
          <w:sz w:val="32"/>
          <w:szCs w:val="32"/>
          <w:highlight w:val="none"/>
        </w:rPr>
      </w:pPr>
    </w:p>
    <w:p w14:paraId="555CBCAA">
      <w:pPr>
        <w:spacing w:line="360" w:lineRule="auto"/>
        <w:jc w:val="left"/>
        <w:rPr>
          <w:rFonts w:hint="eastAsia" w:ascii="仿宋" w:hAnsi="仿宋" w:eastAsia="仿宋" w:cs="仿宋"/>
          <w:b/>
          <w:color w:val="auto"/>
          <w:spacing w:val="6"/>
          <w:sz w:val="32"/>
          <w:szCs w:val="32"/>
          <w:highlight w:val="none"/>
        </w:rPr>
      </w:pPr>
    </w:p>
    <w:p w14:paraId="6245E5D3">
      <w:pPr>
        <w:spacing w:line="360" w:lineRule="auto"/>
        <w:jc w:val="left"/>
        <w:rPr>
          <w:rFonts w:hint="eastAsia" w:ascii="仿宋" w:hAnsi="仿宋" w:eastAsia="仿宋" w:cs="仿宋"/>
          <w:b/>
          <w:color w:val="auto"/>
          <w:spacing w:val="6"/>
          <w:sz w:val="32"/>
          <w:szCs w:val="32"/>
          <w:highlight w:val="none"/>
        </w:rPr>
      </w:pPr>
    </w:p>
    <w:p w14:paraId="16B2A3D3">
      <w:pPr>
        <w:spacing w:line="360" w:lineRule="auto"/>
        <w:jc w:val="left"/>
        <w:rPr>
          <w:rFonts w:hint="eastAsia" w:ascii="仿宋" w:hAnsi="仿宋" w:eastAsia="仿宋" w:cs="仿宋"/>
          <w:b/>
          <w:color w:val="auto"/>
          <w:spacing w:val="6"/>
          <w:sz w:val="32"/>
          <w:szCs w:val="32"/>
          <w:highlight w:val="none"/>
        </w:rPr>
      </w:pPr>
    </w:p>
    <w:p w14:paraId="1530C040">
      <w:pPr>
        <w:spacing w:line="360" w:lineRule="auto"/>
        <w:jc w:val="left"/>
        <w:rPr>
          <w:rFonts w:hint="eastAsia" w:ascii="仿宋" w:hAnsi="仿宋" w:eastAsia="仿宋" w:cs="仿宋"/>
          <w:b/>
          <w:color w:val="auto"/>
          <w:spacing w:val="6"/>
          <w:sz w:val="32"/>
          <w:szCs w:val="32"/>
          <w:highlight w:val="none"/>
        </w:rPr>
      </w:pPr>
    </w:p>
    <w:p w14:paraId="2584F1D8">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0C44CF88">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2</w:t>
      </w:r>
      <w:r>
        <w:rPr>
          <w:rFonts w:hint="eastAsia" w:ascii="仿宋" w:hAnsi="仿宋" w:eastAsia="仿宋" w:cs="仿宋"/>
          <w:b/>
          <w:color w:val="auto"/>
          <w:spacing w:val="6"/>
          <w:sz w:val="32"/>
          <w:szCs w:val="32"/>
          <w:highlight w:val="none"/>
        </w:rPr>
        <w:t>：投诉书范本及制作说明</w:t>
      </w:r>
    </w:p>
    <w:p w14:paraId="704028E3">
      <w:pPr>
        <w:spacing w:line="360" w:lineRule="auto"/>
        <w:jc w:val="center"/>
        <w:rPr>
          <w:rFonts w:hint="eastAsia" w:ascii="仿宋" w:hAnsi="仿宋" w:eastAsia="仿宋" w:cs="仿宋"/>
          <w:b/>
          <w:color w:val="auto"/>
          <w:sz w:val="24"/>
          <w:highlight w:val="none"/>
        </w:rPr>
      </w:pPr>
    </w:p>
    <w:p w14:paraId="209859F2">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395E41A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774CF4D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29C31CC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5F71561">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06029B32">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5EB44D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787B5970">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098E294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3A5C80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CA17E85">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AEC429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27558EE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2F6585E0">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5B70B3B">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5C025D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D366E7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2876B1E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41E4908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707F164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7C7D56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25AED7DE">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2726B275">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5CBD10C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6775C9E9">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5B599FB6">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570B6DA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38AF690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00A628C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7B6F0E6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671DB7B0">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39C74D0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3DD1CB7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747EF79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2544B05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15910BA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4A0F800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65ADFBAC">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2DE1700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73404AC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21F9DF92">
      <w:pPr>
        <w:spacing w:line="360" w:lineRule="auto"/>
        <w:rPr>
          <w:rFonts w:hint="eastAsia" w:ascii="仿宋" w:hAnsi="仿宋" w:eastAsia="仿宋" w:cs="仿宋"/>
          <w:b/>
          <w:color w:val="auto"/>
          <w:sz w:val="24"/>
          <w:highlight w:val="none"/>
        </w:rPr>
      </w:pPr>
    </w:p>
    <w:p w14:paraId="45E56CED">
      <w:pPr>
        <w:spacing w:line="360" w:lineRule="auto"/>
        <w:rPr>
          <w:rFonts w:hint="eastAsia" w:ascii="仿宋" w:hAnsi="仿宋" w:eastAsia="仿宋" w:cs="仿宋"/>
          <w:b/>
          <w:color w:val="auto"/>
          <w:sz w:val="24"/>
          <w:highlight w:val="none"/>
        </w:rPr>
      </w:pPr>
    </w:p>
    <w:p w14:paraId="633731B6">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34E657D1">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09F79DD3">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35B44E96">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45E9E52A">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18CB87A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3274950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0E607542">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197266B2">
      <w:pPr>
        <w:spacing w:line="360" w:lineRule="auto"/>
        <w:rPr>
          <w:rFonts w:hint="eastAsia" w:ascii="仿宋" w:hAnsi="仿宋" w:eastAsia="仿宋" w:cs="仿宋"/>
          <w:b/>
          <w:color w:val="auto"/>
          <w:sz w:val="24"/>
          <w:highlight w:val="none"/>
        </w:rPr>
      </w:pPr>
    </w:p>
    <w:p w14:paraId="6C39F8F1">
      <w:pPr>
        <w:autoSpaceDE w:val="0"/>
        <w:autoSpaceDN w:val="0"/>
        <w:jc w:val="center"/>
        <w:rPr>
          <w:rFonts w:hint="eastAsia" w:ascii="仿宋" w:hAnsi="仿宋" w:eastAsia="仿宋" w:cs="仿宋"/>
          <w:b/>
          <w:color w:val="auto"/>
          <w:spacing w:val="6"/>
          <w:sz w:val="32"/>
          <w:szCs w:val="32"/>
          <w:highlight w:val="none"/>
        </w:rPr>
      </w:pPr>
    </w:p>
    <w:p w14:paraId="53FBD3A5">
      <w:pPr>
        <w:autoSpaceDE w:val="0"/>
        <w:autoSpaceDN w:val="0"/>
        <w:jc w:val="center"/>
        <w:rPr>
          <w:rFonts w:hint="eastAsia" w:ascii="仿宋" w:hAnsi="仿宋" w:eastAsia="仿宋" w:cs="仿宋"/>
          <w:b/>
          <w:color w:val="auto"/>
          <w:spacing w:val="6"/>
          <w:sz w:val="32"/>
          <w:szCs w:val="32"/>
          <w:highlight w:val="none"/>
        </w:rPr>
      </w:pPr>
    </w:p>
    <w:p w14:paraId="26F794A9">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2C0C7C25">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3</w:t>
      </w:r>
      <w:r>
        <w:rPr>
          <w:rFonts w:hint="eastAsia" w:ascii="仿宋" w:hAnsi="仿宋" w:eastAsia="仿宋" w:cs="仿宋"/>
          <w:b/>
          <w:color w:val="auto"/>
          <w:spacing w:val="6"/>
          <w:sz w:val="32"/>
          <w:szCs w:val="32"/>
          <w:highlight w:val="none"/>
        </w:rPr>
        <w:t>：</w:t>
      </w:r>
      <w:r>
        <w:rPr>
          <w:rFonts w:hint="eastAsia" w:ascii="仿宋" w:hAnsi="仿宋" w:eastAsia="仿宋" w:cs="仿宋"/>
          <w:b/>
          <w:bCs/>
          <w:color w:val="auto"/>
          <w:sz w:val="32"/>
          <w:szCs w:val="32"/>
          <w:highlight w:val="none"/>
        </w:rPr>
        <w:t>业务专用章使用说明函</w:t>
      </w:r>
    </w:p>
    <w:p w14:paraId="52DAE130">
      <w:pPr>
        <w:spacing w:line="360" w:lineRule="auto"/>
        <w:rPr>
          <w:rFonts w:hint="eastAsia" w:ascii="仿宋" w:hAnsi="仿宋" w:eastAsia="仿宋" w:cs="仿宋"/>
          <w:color w:val="auto"/>
          <w:sz w:val="24"/>
          <w:highlight w:val="none"/>
          <w:u w:val="single"/>
        </w:rPr>
      </w:pPr>
    </w:p>
    <w:p w14:paraId="0E73DA20">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31E958B6">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w:t>
      </w:r>
      <w:r>
        <w:rPr>
          <w:rFonts w:hint="eastAsia" w:ascii="仿宋" w:hAnsi="仿宋" w:eastAsia="仿宋" w:cs="仿宋"/>
          <w:color w:val="auto"/>
          <w:sz w:val="24"/>
          <w:highlight w:val="none"/>
          <w:lang w:eastAsia="zh-CN"/>
        </w:rPr>
        <w:t xml:space="preserve">嵊州市小型水库物业化管理项目（第三批) </w:t>
      </w:r>
      <w:r>
        <w:rPr>
          <w:rFonts w:hint="eastAsia" w:ascii="仿宋" w:hAnsi="仿宋" w:eastAsia="仿宋" w:cs="仿宋"/>
          <w:color w:val="auto"/>
          <w:sz w:val="24"/>
          <w:highlight w:val="none"/>
        </w:rPr>
        <w:t>【招标编号：（采购编号）】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0BD4C22F">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458A9956">
      <w:pPr>
        <w:spacing w:line="360" w:lineRule="auto"/>
        <w:ind w:firstLine="494"/>
        <w:rPr>
          <w:rFonts w:hint="eastAsia" w:ascii="仿宋" w:hAnsi="仿宋" w:eastAsia="仿宋" w:cs="仿宋"/>
          <w:color w:val="auto"/>
          <w:sz w:val="24"/>
          <w:highlight w:val="none"/>
        </w:rPr>
      </w:pPr>
    </w:p>
    <w:p w14:paraId="416AD51A">
      <w:pPr>
        <w:spacing w:line="360" w:lineRule="auto"/>
        <w:ind w:firstLine="494"/>
        <w:rPr>
          <w:rFonts w:hint="eastAsia" w:ascii="仿宋" w:hAnsi="仿宋" w:eastAsia="仿宋" w:cs="仿宋"/>
          <w:color w:val="auto"/>
          <w:sz w:val="24"/>
          <w:highlight w:val="none"/>
        </w:rPr>
      </w:pPr>
    </w:p>
    <w:p w14:paraId="2BD07235">
      <w:pPr>
        <w:spacing w:line="360" w:lineRule="auto"/>
        <w:ind w:firstLine="494"/>
        <w:rPr>
          <w:rFonts w:hint="eastAsia" w:ascii="仿宋" w:hAnsi="仿宋" w:eastAsia="仿宋" w:cs="仿宋"/>
          <w:color w:val="auto"/>
          <w:sz w:val="24"/>
          <w:highlight w:val="none"/>
        </w:rPr>
      </w:pPr>
    </w:p>
    <w:p w14:paraId="15DEA1C7">
      <w:pPr>
        <w:spacing w:line="360" w:lineRule="auto"/>
        <w:ind w:firstLine="494"/>
        <w:rPr>
          <w:rFonts w:hint="eastAsia" w:ascii="仿宋" w:hAnsi="仿宋" w:eastAsia="仿宋" w:cs="仿宋"/>
          <w:color w:val="auto"/>
          <w:sz w:val="24"/>
          <w:highlight w:val="none"/>
        </w:rPr>
      </w:pPr>
    </w:p>
    <w:p w14:paraId="57247158">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5D3F2F2E">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6328CF4">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149FB2CB">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0" distR="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0784042D">
      <w:pPr>
        <w:autoSpaceDE w:val="0"/>
        <w:autoSpaceDN w:val="0"/>
        <w:jc w:val="center"/>
        <w:rPr>
          <w:rFonts w:hint="eastAsia" w:ascii="仿宋" w:hAnsi="仿宋" w:eastAsia="仿宋" w:cs="仿宋"/>
          <w:b/>
          <w:color w:val="auto"/>
          <w:spacing w:val="6"/>
          <w:sz w:val="32"/>
          <w:szCs w:val="32"/>
          <w:highlight w:val="none"/>
        </w:rPr>
      </w:pPr>
    </w:p>
    <w:p w14:paraId="5C2A69F4">
      <w:pPr>
        <w:autoSpaceDE w:val="0"/>
        <w:autoSpaceDN w:val="0"/>
        <w:jc w:val="center"/>
        <w:rPr>
          <w:rFonts w:hint="eastAsia" w:ascii="仿宋" w:hAnsi="仿宋" w:eastAsia="仿宋" w:cs="仿宋"/>
          <w:b/>
          <w:color w:val="auto"/>
          <w:spacing w:val="6"/>
          <w:sz w:val="32"/>
          <w:szCs w:val="32"/>
          <w:highlight w:val="none"/>
        </w:rPr>
      </w:pPr>
    </w:p>
    <w:p w14:paraId="03696D1E">
      <w:pPr>
        <w:autoSpaceDE w:val="0"/>
        <w:autoSpaceDN w:val="0"/>
        <w:jc w:val="center"/>
        <w:rPr>
          <w:rFonts w:hint="eastAsia" w:ascii="仿宋" w:hAnsi="仿宋" w:eastAsia="仿宋" w:cs="仿宋"/>
          <w:b/>
          <w:color w:val="auto"/>
          <w:spacing w:val="6"/>
          <w:sz w:val="32"/>
          <w:szCs w:val="32"/>
          <w:highlight w:val="none"/>
        </w:rPr>
      </w:pPr>
    </w:p>
    <w:p w14:paraId="6262677D">
      <w:pPr>
        <w:autoSpaceDE w:val="0"/>
        <w:autoSpaceDN w:val="0"/>
        <w:jc w:val="center"/>
        <w:rPr>
          <w:rFonts w:hint="eastAsia" w:ascii="仿宋" w:hAnsi="仿宋" w:eastAsia="仿宋" w:cs="仿宋"/>
          <w:b/>
          <w:color w:val="auto"/>
          <w:spacing w:val="6"/>
          <w:sz w:val="32"/>
          <w:szCs w:val="32"/>
          <w:highlight w:val="none"/>
        </w:rPr>
      </w:pPr>
    </w:p>
    <w:p w14:paraId="599798B9">
      <w:pPr>
        <w:autoSpaceDE w:val="0"/>
        <w:autoSpaceDN w:val="0"/>
        <w:jc w:val="center"/>
        <w:rPr>
          <w:rFonts w:hint="eastAsia" w:ascii="仿宋" w:hAnsi="仿宋" w:eastAsia="仿宋" w:cs="仿宋"/>
          <w:b/>
          <w:color w:val="auto"/>
          <w:spacing w:val="6"/>
          <w:sz w:val="32"/>
          <w:szCs w:val="32"/>
          <w:highlight w:val="none"/>
        </w:rPr>
      </w:pPr>
    </w:p>
    <w:p w14:paraId="0CECA5E9">
      <w:pPr>
        <w:autoSpaceDE w:val="0"/>
        <w:autoSpaceDN w:val="0"/>
        <w:jc w:val="center"/>
        <w:rPr>
          <w:rFonts w:hint="eastAsia" w:ascii="仿宋" w:hAnsi="仿宋" w:eastAsia="仿宋" w:cs="仿宋"/>
          <w:b/>
          <w:color w:val="auto"/>
          <w:spacing w:val="6"/>
          <w:sz w:val="32"/>
          <w:szCs w:val="32"/>
          <w:highlight w:val="none"/>
        </w:rPr>
      </w:pPr>
    </w:p>
    <w:p w14:paraId="07B21B43">
      <w:pPr>
        <w:autoSpaceDE w:val="0"/>
        <w:autoSpaceDN w:val="0"/>
        <w:jc w:val="center"/>
        <w:rPr>
          <w:rFonts w:hint="eastAsia" w:ascii="仿宋" w:hAnsi="仿宋" w:eastAsia="仿宋" w:cs="仿宋"/>
          <w:b/>
          <w:color w:val="auto"/>
          <w:spacing w:val="6"/>
          <w:sz w:val="32"/>
          <w:szCs w:val="32"/>
          <w:highlight w:val="none"/>
        </w:rPr>
      </w:pPr>
    </w:p>
    <w:p w14:paraId="6CF1F2AE">
      <w:pPr>
        <w:autoSpaceDE w:val="0"/>
        <w:autoSpaceDN w:val="0"/>
        <w:jc w:val="center"/>
        <w:rPr>
          <w:rFonts w:hint="eastAsia" w:ascii="仿宋" w:hAnsi="仿宋" w:eastAsia="仿宋" w:cs="仿宋"/>
          <w:b/>
          <w:color w:val="auto"/>
          <w:spacing w:val="6"/>
          <w:sz w:val="32"/>
          <w:szCs w:val="32"/>
          <w:highlight w:val="none"/>
        </w:rPr>
      </w:pPr>
    </w:p>
    <w:p w14:paraId="1B8A2A2D">
      <w:pPr>
        <w:autoSpaceDE w:val="0"/>
        <w:autoSpaceDN w:val="0"/>
        <w:jc w:val="center"/>
        <w:rPr>
          <w:rFonts w:hint="eastAsia" w:ascii="仿宋" w:hAnsi="仿宋" w:eastAsia="仿宋" w:cs="仿宋"/>
          <w:b/>
          <w:color w:val="auto"/>
          <w:spacing w:val="6"/>
          <w:sz w:val="32"/>
          <w:szCs w:val="32"/>
          <w:highlight w:val="none"/>
        </w:rPr>
      </w:pPr>
    </w:p>
    <w:p w14:paraId="21ACB454">
      <w:pPr>
        <w:autoSpaceDE w:val="0"/>
        <w:autoSpaceDN w:val="0"/>
        <w:jc w:val="center"/>
        <w:rPr>
          <w:rFonts w:hint="eastAsia" w:ascii="仿宋" w:hAnsi="仿宋" w:eastAsia="仿宋" w:cs="仿宋"/>
          <w:b/>
          <w:color w:val="auto"/>
          <w:spacing w:val="6"/>
          <w:sz w:val="32"/>
          <w:szCs w:val="32"/>
          <w:highlight w:val="none"/>
        </w:rPr>
      </w:pPr>
    </w:p>
    <w:p w14:paraId="5FF77CC4">
      <w:pPr>
        <w:autoSpaceDE w:val="0"/>
        <w:autoSpaceDN w:val="0"/>
        <w:jc w:val="center"/>
        <w:rPr>
          <w:rFonts w:hint="eastAsia" w:ascii="仿宋" w:hAnsi="仿宋" w:eastAsia="仿宋" w:cs="仿宋"/>
          <w:b/>
          <w:color w:val="auto"/>
          <w:spacing w:val="6"/>
          <w:sz w:val="32"/>
          <w:szCs w:val="32"/>
          <w:highlight w:val="none"/>
        </w:rPr>
      </w:pPr>
    </w:p>
    <w:p w14:paraId="1E209392">
      <w:pPr>
        <w:autoSpaceDE w:val="0"/>
        <w:autoSpaceDN w:val="0"/>
        <w:jc w:val="center"/>
        <w:rPr>
          <w:rFonts w:hint="eastAsia" w:ascii="仿宋" w:hAnsi="仿宋" w:eastAsia="仿宋" w:cs="仿宋"/>
          <w:b/>
          <w:color w:val="auto"/>
          <w:spacing w:val="6"/>
          <w:sz w:val="32"/>
          <w:szCs w:val="32"/>
          <w:highlight w:val="none"/>
        </w:rPr>
      </w:pPr>
    </w:p>
    <w:p w14:paraId="3063CB21">
      <w:pPr>
        <w:autoSpaceDE w:val="0"/>
        <w:autoSpaceDN w:val="0"/>
        <w:jc w:val="center"/>
        <w:rPr>
          <w:rFonts w:hint="eastAsia" w:ascii="仿宋" w:hAnsi="仿宋" w:eastAsia="仿宋" w:cs="仿宋"/>
          <w:b/>
          <w:color w:val="auto"/>
          <w:spacing w:val="6"/>
          <w:sz w:val="32"/>
          <w:szCs w:val="32"/>
          <w:highlight w:val="none"/>
        </w:rPr>
      </w:pPr>
    </w:p>
    <w:p w14:paraId="78D5BBD4">
      <w:pPr>
        <w:autoSpaceDE w:val="0"/>
        <w:autoSpaceDN w:val="0"/>
        <w:jc w:val="center"/>
        <w:rPr>
          <w:rFonts w:hint="eastAsia" w:ascii="仿宋" w:hAnsi="仿宋" w:eastAsia="仿宋" w:cs="仿宋"/>
          <w:b/>
          <w:color w:val="auto"/>
          <w:spacing w:val="6"/>
          <w:sz w:val="32"/>
          <w:szCs w:val="32"/>
          <w:highlight w:val="none"/>
        </w:rPr>
      </w:pPr>
    </w:p>
    <w:p w14:paraId="2B6F6972">
      <w:pPr>
        <w:autoSpaceDE w:val="0"/>
        <w:autoSpaceDN w:val="0"/>
        <w:jc w:val="center"/>
        <w:rPr>
          <w:rFonts w:hint="eastAsia" w:ascii="仿宋" w:hAnsi="仿宋" w:eastAsia="仿宋" w:cs="仿宋"/>
          <w:b/>
          <w:color w:val="auto"/>
          <w:spacing w:val="6"/>
          <w:sz w:val="32"/>
          <w:szCs w:val="32"/>
          <w:highlight w:val="none"/>
        </w:rPr>
      </w:pPr>
    </w:p>
    <w:p w14:paraId="5B6F6B84">
      <w:pPr>
        <w:autoSpaceDE w:val="0"/>
        <w:autoSpaceDN w:val="0"/>
        <w:jc w:val="center"/>
        <w:rPr>
          <w:rFonts w:hint="eastAsia" w:ascii="仿宋" w:hAnsi="仿宋" w:eastAsia="仿宋" w:cs="仿宋"/>
          <w:b/>
          <w:color w:val="auto"/>
          <w:spacing w:val="6"/>
          <w:sz w:val="32"/>
          <w:szCs w:val="32"/>
          <w:highlight w:val="none"/>
        </w:rPr>
      </w:pPr>
    </w:p>
    <w:p w14:paraId="621D05A8">
      <w:pPr>
        <w:autoSpaceDE w:val="0"/>
        <w:autoSpaceDN w:val="0"/>
        <w:jc w:val="center"/>
        <w:rPr>
          <w:rFonts w:hint="eastAsia" w:ascii="仿宋" w:hAnsi="仿宋" w:eastAsia="仿宋" w:cs="仿宋"/>
          <w:b/>
          <w:color w:val="auto"/>
          <w:spacing w:val="6"/>
          <w:sz w:val="32"/>
          <w:szCs w:val="32"/>
          <w:highlight w:val="none"/>
        </w:rPr>
      </w:pPr>
    </w:p>
    <w:p w14:paraId="44816B6C">
      <w:pP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1DDF3633">
      <w:pPr>
        <w:autoSpaceDE w:val="0"/>
        <w:autoSpaceDN w:val="0"/>
        <w:jc w:val="center"/>
        <w:rPr>
          <w:rFonts w:hint="eastAsia" w:ascii="仿宋" w:hAnsi="仿宋" w:eastAsia="仿宋" w:cs="仿宋"/>
          <w:b/>
          <w:color w:val="auto"/>
          <w:kern w:val="0"/>
          <w:sz w:val="32"/>
          <w:szCs w:val="32"/>
          <w:highlight w:val="none"/>
          <w:lang w:val="en-US" w:eastAsia="zh-CN"/>
        </w:rPr>
      </w:pPr>
      <w:r>
        <w:rPr>
          <w:rFonts w:hint="eastAsia" w:ascii="仿宋" w:hAnsi="仿宋" w:eastAsia="仿宋" w:cs="仿宋"/>
          <w:b/>
          <w:color w:val="auto"/>
          <w:kern w:val="0"/>
          <w:sz w:val="32"/>
          <w:szCs w:val="32"/>
          <w:highlight w:val="none"/>
          <w:lang w:val="zh-CN"/>
        </w:rPr>
        <w:t>联合</w:t>
      </w:r>
      <w:r>
        <w:rPr>
          <w:rFonts w:hint="eastAsia" w:ascii="仿宋" w:hAnsi="仿宋" w:eastAsia="仿宋" w:cs="仿宋"/>
          <w:b/>
          <w:color w:val="auto"/>
          <w:kern w:val="0"/>
          <w:sz w:val="32"/>
          <w:szCs w:val="32"/>
          <w:highlight w:val="none"/>
          <w:lang w:val="en-US" w:eastAsia="zh-CN"/>
        </w:rPr>
        <w:t>体</w:t>
      </w:r>
      <w:r>
        <w:rPr>
          <w:rFonts w:hint="eastAsia" w:ascii="仿宋" w:hAnsi="仿宋" w:eastAsia="仿宋" w:cs="仿宋"/>
          <w:b/>
          <w:color w:val="auto"/>
          <w:kern w:val="0"/>
          <w:sz w:val="32"/>
          <w:szCs w:val="32"/>
          <w:highlight w:val="none"/>
          <w:lang w:val="zh-CN"/>
        </w:rPr>
        <w:t>协议</w:t>
      </w:r>
      <w:r>
        <w:rPr>
          <w:rFonts w:hint="eastAsia" w:ascii="仿宋" w:hAnsi="仿宋" w:eastAsia="仿宋" w:cs="仿宋"/>
          <w:b/>
          <w:color w:val="auto"/>
          <w:kern w:val="0"/>
          <w:sz w:val="32"/>
          <w:szCs w:val="32"/>
          <w:highlight w:val="none"/>
          <w:lang w:val="en-US" w:eastAsia="zh-CN"/>
        </w:rPr>
        <w:t>书（本项目不适用）</w:t>
      </w:r>
    </w:p>
    <w:p w14:paraId="73307506">
      <w:pPr>
        <w:keepNext w:val="0"/>
        <w:keepLines w:val="0"/>
        <w:pageBreakBefore w:val="0"/>
        <w:widowControl/>
        <w:kinsoku/>
        <w:wordWrap/>
        <w:overflowPunct/>
        <w:topLinePunct w:val="0"/>
        <w:autoSpaceDE/>
        <w:autoSpaceDN/>
        <w:bidi w:val="0"/>
        <w:adjustRightInd w:val="0"/>
        <w:spacing w:line="440" w:lineRule="exact"/>
        <w:ind w:righ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（以联合体形式投标的，提供联合体协议书；本项目不接受联合体投标或者投标人不以联合体形式投标的，则不需要提供）</w:t>
      </w:r>
    </w:p>
    <w:p w14:paraId="5E647333">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lang w:eastAsia="zh-CN"/>
        </w:rPr>
        <w:t xml:space="preserve">嵊州市小型水库物业化管理项目（第三批) </w:t>
      </w:r>
      <w:r>
        <w:rPr>
          <w:rFonts w:hint="eastAsia" w:ascii="仿宋" w:hAnsi="仿宋" w:eastAsia="仿宋" w:cs="仿宋"/>
          <w:color w:val="auto"/>
          <w:sz w:val="24"/>
          <w:highlight w:val="none"/>
        </w:rPr>
        <w:t>【招标编号：（采购编号）】</w:t>
      </w:r>
      <w:r>
        <w:rPr>
          <w:rFonts w:hint="eastAsia" w:ascii="仿宋" w:hAnsi="仿宋" w:eastAsia="仿宋" w:cs="仿宋"/>
          <w:color w:val="auto"/>
          <w:kern w:val="0"/>
          <w:sz w:val="24"/>
          <w:highlight w:val="none"/>
          <w:lang w:val="zh-CN"/>
        </w:rPr>
        <w:t xml:space="preserve">投标。 </w:t>
      </w:r>
    </w:p>
    <w:p w14:paraId="1733FC8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2B9CCFCA">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4FD45835">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19F3F351">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57AC7B00">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073730E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36268445">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2264AE4E">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104" w:name="_Hlk101131882"/>
      <w:r>
        <w:rPr>
          <w:rFonts w:hint="eastAsia" w:ascii="仿宋" w:hAnsi="仿宋" w:eastAsia="仿宋" w:cs="仿宋"/>
          <w:color w:val="auto"/>
          <w:kern w:val="0"/>
          <w:sz w:val="24"/>
          <w:highlight w:val="none"/>
          <w:u w:val="single"/>
        </w:rPr>
        <w:t>联合体成员X,……</w:t>
      </w:r>
      <w:bookmarkEnd w:id="104"/>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105" w:name="_Hlk101133598"/>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105"/>
      <w:r>
        <w:rPr>
          <w:rFonts w:hint="eastAsia" w:ascii="仿宋" w:hAnsi="仿宋" w:eastAsia="仿宋" w:cs="仿宋"/>
          <w:b/>
          <w:color w:val="auto"/>
          <w:kern w:val="0"/>
          <w:sz w:val="24"/>
          <w:highlight w:val="none"/>
          <w:lang w:val="zh-CN"/>
        </w:rPr>
        <w:t>）</w:t>
      </w:r>
    </w:p>
    <w:p w14:paraId="79880F5A">
      <w:pPr>
        <w:keepNext w:val="0"/>
        <w:keepLines w:val="0"/>
        <w:pageBreakBefore w:val="0"/>
        <w:kinsoku/>
        <w:wordWrap/>
        <w:overflowPunct/>
        <w:topLinePunct w:val="0"/>
        <w:autoSpaceDE/>
        <w:autoSpaceDN/>
        <w:bidi w:val="0"/>
        <w:adjustRightInd w:val="0"/>
        <w:spacing w:line="440" w:lineRule="exact"/>
        <w:ind w:right="0" w:firstLine="600" w:firstLineChars="250"/>
        <w:textAlignment w:val="auto"/>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106"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106"/>
    </w:p>
    <w:p w14:paraId="2D41C6D9">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7564BB96">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33AEA4C6">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5447A2C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638633A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25595587">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联合体成员名称(电子签章/公章)：</w:t>
      </w:r>
    </w:p>
    <w:p w14:paraId="2D4350E5">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联合体成员名称(电子签章/公章)：</w:t>
      </w:r>
    </w:p>
    <w:p w14:paraId="73520504">
      <w:pPr>
        <w:keepNext w:val="0"/>
        <w:keepLines w:val="0"/>
        <w:pageBreakBefore w:val="0"/>
        <w:kinsoku/>
        <w:wordWrap/>
        <w:overflowPunct/>
        <w:topLinePunct w:val="0"/>
        <w:autoSpaceDE/>
        <w:autoSpaceDN/>
        <w:bidi w:val="0"/>
        <w:adjustRightInd w:val="0"/>
        <w:snapToGrid w:val="0"/>
        <w:spacing w:line="440" w:lineRule="exact"/>
        <w:ind w:right="0"/>
        <w:jc w:val="center"/>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08AE4176">
      <w:pPr>
        <w:keepNext w:val="0"/>
        <w:keepLines w:val="0"/>
        <w:pageBreakBefore w:val="0"/>
        <w:kinsoku/>
        <w:wordWrap/>
        <w:overflowPunct/>
        <w:topLinePunct w:val="0"/>
        <w:autoSpaceDE/>
        <w:autoSpaceDN/>
        <w:bidi w:val="0"/>
        <w:adjustRightInd w:val="0"/>
        <w:snapToGrid w:val="0"/>
        <w:spacing w:line="440" w:lineRule="exact"/>
        <w:ind w:right="0"/>
        <w:jc w:val="righ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513422C5">
      <w:pPr>
        <w:keepNext w:val="0"/>
        <w:keepLines w:val="0"/>
        <w:pageBreakBefore w:val="0"/>
        <w:kinsoku/>
        <w:wordWrap/>
        <w:overflowPunct/>
        <w:topLinePunct w:val="0"/>
        <w:autoSpaceDE/>
        <w:autoSpaceDN/>
        <w:bidi w:val="0"/>
        <w:adjustRightInd w:val="0"/>
        <w:spacing w:line="440" w:lineRule="exact"/>
        <w:ind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1806A88A">
      <w:pPr>
        <w:autoSpaceDE w:val="0"/>
        <w:autoSpaceDN w:val="0"/>
        <w:jc w:val="center"/>
        <w:rPr>
          <w:rFonts w:hint="eastAsia" w:ascii="仿宋" w:hAnsi="仿宋" w:eastAsia="仿宋" w:cs="仿宋"/>
          <w:b/>
          <w:color w:val="auto"/>
          <w:spacing w:val="6"/>
          <w:sz w:val="32"/>
          <w:szCs w:val="32"/>
          <w:highlight w:val="none"/>
        </w:rPr>
      </w:pPr>
    </w:p>
    <w:p w14:paraId="4CDA0B1E">
      <w:pPr>
        <w:autoSpaceDE w:val="0"/>
        <w:autoSpaceDN w:val="0"/>
        <w:jc w:val="center"/>
        <w:rPr>
          <w:rFonts w:hint="eastAsia" w:ascii="仿宋" w:hAnsi="仿宋" w:eastAsia="仿宋" w:cs="仿宋"/>
          <w:b/>
          <w:color w:val="auto"/>
          <w:spacing w:val="6"/>
          <w:sz w:val="32"/>
          <w:szCs w:val="32"/>
          <w:highlight w:val="none"/>
        </w:rPr>
      </w:pPr>
    </w:p>
    <w:p w14:paraId="36ABDBAD">
      <w:pPr>
        <w:autoSpaceDE w:val="0"/>
        <w:autoSpaceDN w:val="0"/>
        <w:jc w:val="center"/>
        <w:rPr>
          <w:rFonts w:hint="eastAsia" w:ascii="仿宋" w:hAnsi="仿宋" w:eastAsia="仿宋" w:cs="仿宋"/>
          <w:b/>
          <w:color w:val="auto"/>
          <w:spacing w:val="6"/>
          <w:sz w:val="32"/>
          <w:szCs w:val="32"/>
          <w:highlight w:val="none"/>
        </w:rPr>
      </w:pPr>
    </w:p>
    <w:p w14:paraId="7D5B00BB">
      <w:pPr>
        <w:autoSpaceDE w:val="0"/>
        <w:autoSpaceDN w:val="0"/>
        <w:jc w:val="center"/>
        <w:rPr>
          <w:rFonts w:hint="eastAsia" w:ascii="仿宋" w:hAnsi="仿宋" w:eastAsia="仿宋" w:cs="仿宋"/>
          <w:b/>
          <w:color w:val="auto"/>
          <w:spacing w:val="6"/>
          <w:sz w:val="32"/>
          <w:szCs w:val="32"/>
          <w:highlight w:val="none"/>
        </w:rPr>
      </w:pPr>
    </w:p>
    <w:p w14:paraId="670B86E2">
      <w:pPr>
        <w:autoSpaceDE w:val="0"/>
        <w:autoSpaceDN w:val="0"/>
        <w:jc w:val="center"/>
        <w:rPr>
          <w:rFonts w:hint="eastAsia" w:ascii="仿宋" w:hAnsi="仿宋" w:eastAsia="仿宋" w:cs="仿宋"/>
          <w:b/>
          <w:color w:val="auto"/>
          <w:spacing w:val="6"/>
          <w:sz w:val="32"/>
          <w:szCs w:val="32"/>
          <w:highlight w:val="none"/>
        </w:rPr>
      </w:pPr>
    </w:p>
    <w:p w14:paraId="0E78367F">
      <w:pPr>
        <w:autoSpaceDE w:val="0"/>
        <w:autoSpaceDN w:val="0"/>
        <w:jc w:val="center"/>
        <w:rPr>
          <w:rFonts w:hint="eastAsia" w:ascii="仿宋" w:hAnsi="仿宋" w:eastAsia="仿宋" w:cs="仿宋"/>
          <w:b/>
          <w:color w:val="auto"/>
          <w:spacing w:val="6"/>
          <w:sz w:val="32"/>
          <w:szCs w:val="32"/>
          <w:highlight w:val="none"/>
        </w:rPr>
      </w:pPr>
    </w:p>
    <w:p w14:paraId="422B18B0">
      <w:pPr>
        <w:autoSpaceDE w:val="0"/>
        <w:autoSpaceDN w:val="0"/>
        <w:jc w:val="center"/>
        <w:rPr>
          <w:rFonts w:hint="eastAsia" w:ascii="仿宋" w:hAnsi="仿宋" w:eastAsia="仿宋" w:cs="仿宋"/>
          <w:b/>
          <w:color w:val="auto"/>
          <w:spacing w:val="6"/>
          <w:sz w:val="32"/>
          <w:szCs w:val="32"/>
          <w:highlight w:val="none"/>
        </w:rPr>
      </w:pPr>
    </w:p>
    <w:p w14:paraId="13BB93B3">
      <w:pPr>
        <w:autoSpaceDE w:val="0"/>
        <w:autoSpaceDN w:val="0"/>
        <w:jc w:val="center"/>
        <w:rPr>
          <w:rFonts w:hint="eastAsia" w:ascii="仿宋" w:hAnsi="仿宋" w:eastAsia="仿宋" w:cs="仿宋"/>
          <w:b/>
          <w:color w:val="auto"/>
          <w:spacing w:val="6"/>
          <w:sz w:val="32"/>
          <w:szCs w:val="32"/>
          <w:highlight w:val="none"/>
        </w:rPr>
      </w:pPr>
    </w:p>
    <w:p w14:paraId="4D19CACD">
      <w:pPr>
        <w:autoSpaceDE w:val="0"/>
        <w:autoSpaceDN w:val="0"/>
        <w:jc w:val="center"/>
        <w:rPr>
          <w:rFonts w:hint="eastAsia" w:ascii="仿宋" w:hAnsi="仿宋" w:eastAsia="仿宋" w:cs="仿宋"/>
          <w:b/>
          <w:color w:val="auto"/>
          <w:spacing w:val="6"/>
          <w:sz w:val="32"/>
          <w:szCs w:val="32"/>
          <w:highlight w:val="none"/>
        </w:rPr>
      </w:pPr>
    </w:p>
    <w:p w14:paraId="568FA459">
      <w:pPr>
        <w:autoSpaceDE w:val="0"/>
        <w:autoSpaceDN w:val="0"/>
        <w:jc w:val="center"/>
        <w:rPr>
          <w:rFonts w:hint="eastAsia" w:ascii="仿宋" w:hAnsi="仿宋" w:eastAsia="仿宋" w:cs="仿宋"/>
          <w:b/>
          <w:color w:val="auto"/>
          <w:spacing w:val="6"/>
          <w:sz w:val="32"/>
          <w:szCs w:val="32"/>
          <w:highlight w:val="none"/>
        </w:rPr>
      </w:pPr>
    </w:p>
    <w:p w14:paraId="71D80785">
      <w:pPr>
        <w:autoSpaceDE w:val="0"/>
        <w:autoSpaceDN w:val="0"/>
        <w:jc w:val="center"/>
        <w:rPr>
          <w:rFonts w:hint="eastAsia" w:ascii="仿宋" w:hAnsi="仿宋" w:eastAsia="仿宋" w:cs="仿宋"/>
          <w:b/>
          <w:color w:val="auto"/>
          <w:spacing w:val="6"/>
          <w:sz w:val="32"/>
          <w:szCs w:val="32"/>
          <w:highlight w:val="none"/>
        </w:rPr>
      </w:pPr>
    </w:p>
    <w:p w14:paraId="2D43FD7F">
      <w:pPr>
        <w:autoSpaceDE w:val="0"/>
        <w:autoSpaceDN w:val="0"/>
        <w:jc w:val="center"/>
        <w:rPr>
          <w:rFonts w:hint="eastAsia" w:ascii="仿宋" w:hAnsi="仿宋" w:eastAsia="仿宋" w:cs="仿宋"/>
          <w:b/>
          <w:color w:val="auto"/>
          <w:spacing w:val="6"/>
          <w:sz w:val="32"/>
          <w:szCs w:val="32"/>
          <w:highlight w:val="none"/>
        </w:rPr>
      </w:pPr>
    </w:p>
    <w:p w14:paraId="18EFC5C6">
      <w:pPr>
        <w:autoSpaceDE w:val="0"/>
        <w:autoSpaceDN w:val="0"/>
        <w:jc w:val="center"/>
        <w:rPr>
          <w:rFonts w:hint="eastAsia" w:ascii="仿宋" w:hAnsi="仿宋" w:eastAsia="仿宋" w:cs="仿宋"/>
          <w:b/>
          <w:color w:val="auto"/>
          <w:spacing w:val="6"/>
          <w:sz w:val="32"/>
          <w:szCs w:val="32"/>
          <w:highlight w:val="none"/>
        </w:rPr>
      </w:pPr>
    </w:p>
    <w:p w14:paraId="67263D04">
      <w:pPr>
        <w:autoSpaceDE w:val="0"/>
        <w:autoSpaceDN w:val="0"/>
        <w:jc w:val="center"/>
        <w:rPr>
          <w:rFonts w:hint="eastAsia" w:ascii="仿宋" w:hAnsi="仿宋" w:eastAsia="仿宋" w:cs="仿宋"/>
          <w:b/>
          <w:color w:val="auto"/>
          <w:spacing w:val="6"/>
          <w:sz w:val="32"/>
          <w:szCs w:val="32"/>
          <w:highlight w:val="none"/>
        </w:rPr>
      </w:pPr>
    </w:p>
    <w:p w14:paraId="0AE5F562">
      <w:pPr>
        <w:autoSpaceDE w:val="0"/>
        <w:autoSpaceDN w:val="0"/>
        <w:jc w:val="center"/>
        <w:rPr>
          <w:rFonts w:hint="eastAsia" w:ascii="仿宋" w:hAnsi="仿宋" w:eastAsia="仿宋" w:cs="仿宋"/>
          <w:b/>
          <w:color w:val="auto"/>
          <w:spacing w:val="6"/>
          <w:sz w:val="32"/>
          <w:szCs w:val="32"/>
          <w:highlight w:val="none"/>
        </w:rPr>
      </w:pPr>
    </w:p>
    <w:p w14:paraId="1BAEA868">
      <w:pPr>
        <w:autoSpaceDE w:val="0"/>
        <w:autoSpaceDN w:val="0"/>
        <w:jc w:val="center"/>
        <w:rPr>
          <w:rFonts w:hint="eastAsia" w:ascii="仿宋" w:hAnsi="仿宋" w:eastAsia="仿宋" w:cs="仿宋"/>
          <w:b/>
          <w:color w:val="auto"/>
          <w:spacing w:val="6"/>
          <w:sz w:val="32"/>
          <w:szCs w:val="32"/>
          <w:highlight w:val="none"/>
        </w:rPr>
      </w:pPr>
    </w:p>
    <w:p w14:paraId="4DF04E04">
      <w:pPr>
        <w:autoSpaceDE w:val="0"/>
        <w:autoSpaceDN w:val="0"/>
        <w:jc w:val="center"/>
        <w:rPr>
          <w:rFonts w:hint="eastAsia" w:ascii="仿宋" w:hAnsi="仿宋" w:eastAsia="仿宋" w:cs="仿宋"/>
          <w:b/>
          <w:color w:val="auto"/>
          <w:spacing w:val="6"/>
          <w:sz w:val="32"/>
          <w:szCs w:val="32"/>
          <w:highlight w:val="none"/>
        </w:rPr>
      </w:pPr>
    </w:p>
    <w:p w14:paraId="186C8D81">
      <w:pPr>
        <w:autoSpaceDE w:val="0"/>
        <w:autoSpaceDN w:val="0"/>
        <w:jc w:val="center"/>
        <w:rPr>
          <w:rFonts w:hint="eastAsia" w:ascii="仿宋" w:hAnsi="仿宋" w:eastAsia="仿宋" w:cs="仿宋"/>
          <w:b/>
          <w:color w:val="auto"/>
          <w:spacing w:val="6"/>
          <w:sz w:val="32"/>
          <w:szCs w:val="32"/>
          <w:highlight w:val="none"/>
        </w:rPr>
      </w:pPr>
    </w:p>
    <w:p w14:paraId="3896BF73">
      <w:pPr>
        <w:autoSpaceDE w:val="0"/>
        <w:autoSpaceDN w:val="0"/>
        <w:jc w:val="center"/>
        <w:rPr>
          <w:rFonts w:hint="eastAsia" w:ascii="仿宋" w:hAnsi="仿宋" w:eastAsia="仿宋" w:cs="仿宋"/>
          <w:b/>
          <w:color w:val="auto"/>
          <w:spacing w:val="6"/>
          <w:sz w:val="32"/>
          <w:szCs w:val="32"/>
          <w:highlight w:val="none"/>
        </w:rPr>
      </w:pPr>
    </w:p>
    <w:p w14:paraId="49072AFE">
      <w:pPr>
        <w:autoSpaceDE w:val="0"/>
        <w:autoSpaceDN w:val="0"/>
        <w:jc w:val="center"/>
        <w:rPr>
          <w:rFonts w:hint="eastAsia" w:ascii="仿宋" w:hAnsi="仿宋" w:eastAsia="仿宋" w:cs="仿宋"/>
          <w:b/>
          <w:color w:val="auto"/>
          <w:spacing w:val="6"/>
          <w:sz w:val="32"/>
          <w:szCs w:val="32"/>
          <w:highlight w:val="none"/>
        </w:rPr>
      </w:pPr>
    </w:p>
    <w:p w14:paraId="54907757">
      <w:pPr>
        <w:autoSpaceDE w:val="0"/>
        <w:autoSpaceDN w:val="0"/>
        <w:jc w:val="center"/>
        <w:rPr>
          <w:rFonts w:hint="eastAsia" w:ascii="仿宋" w:hAnsi="仿宋" w:eastAsia="仿宋" w:cs="仿宋"/>
          <w:b/>
          <w:color w:val="auto"/>
          <w:spacing w:val="6"/>
          <w:sz w:val="32"/>
          <w:szCs w:val="32"/>
          <w:highlight w:val="none"/>
        </w:rPr>
      </w:pPr>
    </w:p>
    <w:p w14:paraId="49D101E0">
      <w:pPr>
        <w:autoSpaceDE w:val="0"/>
        <w:autoSpaceDN w:val="0"/>
        <w:jc w:val="center"/>
        <w:rPr>
          <w:rFonts w:hint="eastAsia" w:ascii="仿宋" w:hAnsi="仿宋" w:eastAsia="仿宋" w:cs="仿宋"/>
          <w:b/>
          <w:color w:val="auto"/>
          <w:spacing w:val="6"/>
          <w:sz w:val="32"/>
          <w:szCs w:val="32"/>
          <w:highlight w:val="none"/>
        </w:rPr>
      </w:pPr>
    </w:p>
    <w:p w14:paraId="3344AA61">
      <w:pPr>
        <w:autoSpaceDE w:val="0"/>
        <w:autoSpaceDN w:val="0"/>
        <w:jc w:val="center"/>
        <w:rPr>
          <w:rFonts w:hint="eastAsia" w:ascii="仿宋" w:hAnsi="仿宋" w:eastAsia="仿宋" w:cs="仿宋"/>
          <w:b/>
          <w:color w:val="auto"/>
          <w:spacing w:val="6"/>
          <w:sz w:val="32"/>
          <w:szCs w:val="32"/>
          <w:highlight w:val="none"/>
        </w:rPr>
      </w:pPr>
    </w:p>
    <w:p w14:paraId="5E52E5D4">
      <w:pPr>
        <w:snapToGrid w:val="0"/>
        <w:spacing w:line="360" w:lineRule="auto"/>
        <w:ind w:firstLine="3666" w:firstLineChars="1100"/>
        <w:rPr>
          <w:rFonts w:hint="eastAsia" w:ascii="仿宋" w:hAnsi="仿宋" w:eastAsia="仿宋" w:cs="仿宋"/>
          <w:b/>
          <w:color w:val="auto"/>
          <w:spacing w:val="6"/>
          <w:sz w:val="32"/>
          <w:szCs w:val="32"/>
          <w:highlight w:val="none"/>
        </w:rPr>
      </w:pPr>
    </w:p>
    <w:p w14:paraId="3B719BD4">
      <w:pPr>
        <w:widowControl/>
        <w:adjustRightInd/>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2BE0B8BF">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分包意向协议</w:t>
      </w:r>
      <w:r>
        <w:rPr>
          <w:rFonts w:hint="eastAsia" w:ascii="仿宋" w:hAnsi="仿宋" w:eastAsia="仿宋" w:cs="仿宋"/>
          <w:b/>
          <w:color w:val="auto"/>
          <w:kern w:val="0"/>
          <w:sz w:val="32"/>
          <w:szCs w:val="32"/>
          <w:highlight w:val="none"/>
          <w:lang w:val="en-US" w:eastAsia="zh-CN"/>
        </w:rPr>
        <w:t>（本项目不适用）</w:t>
      </w:r>
    </w:p>
    <w:p w14:paraId="33DABAB8">
      <w:pPr>
        <w:pageBreakBefore w:val="0"/>
        <w:widowControl/>
        <w:kinsoku/>
        <w:wordWrap/>
        <w:overflowPunct/>
        <w:topLinePunct w:val="0"/>
        <w:autoSpaceDE/>
        <w:autoSpaceDN/>
        <w:bidi w:val="0"/>
        <w:spacing w:line="440" w:lineRule="exact"/>
        <w:ind w:left="0" w:leftChars="0" w:right="0" w:firstLine="120" w:firstLineChars="5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09FCF858">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lang w:val="en-US" w:eastAsia="zh-CN"/>
        </w:rPr>
        <w:t>项目名称</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rPr>
        <w:t>【招标编号：（采购编号）】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609688A8">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1C06A139">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54C52FD3">
      <w:pPr>
        <w:pStyle w:val="6"/>
        <w:pageBreakBefore w:val="0"/>
        <w:kinsoku/>
        <w:wordWrap/>
        <w:overflowPunct/>
        <w:topLinePunct w:val="0"/>
        <w:autoSpaceDE/>
        <w:autoSpaceDN/>
        <w:bidi w:val="0"/>
        <w:spacing w:line="440" w:lineRule="exact"/>
        <w:ind w:left="0" w:leftChars="0" w:right="0" w:firstLine="229" w:firstLineChars="95"/>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38FFD81E">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14:paraId="527BEF97">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5BA77D5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27BAE9FD">
      <w:pPr>
        <w:pageBreakBefore w:val="0"/>
        <w:kinsoku/>
        <w:wordWrap/>
        <w:overflowPunct/>
        <w:topLinePunct w:val="0"/>
        <w:autoSpaceDE/>
        <w:autoSpaceDN/>
        <w:bidi w:val="0"/>
        <w:spacing w:line="440" w:lineRule="exact"/>
        <w:ind w:left="0" w:leftChars="0" w:right="0" w:firstLine="480" w:firstLineChars="200"/>
        <w:textAlignment w:val="auto"/>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48ED82B2">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422AC4C4">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2C0ABE26">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0C1F0DFB">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480536F5">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6655F0A9">
      <w:pPr>
        <w:pageBreakBefore w:val="0"/>
        <w:kinsoku/>
        <w:wordWrap/>
        <w:overflowPunct/>
        <w:topLinePunct w:val="0"/>
        <w:autoSpaceDE/>
        <w:autoSpaceDN/>
        <w:bidi w:val="0"/>
        <w:snapToGrid w:val="0"/>
        <w:spacing w:line="440" w:lineRule="exact"/>
        <w:ind w:left="0" w:leftChars="0" w:right="0" w:firstLine="525" w:firstLineChars="25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2BAEB2F0">
      <w:pPr>
        <w:pageBreakBefore w:val="0"/>
        <w:kinsoku/>
        <w:wordWrap/>
        <w:overflowPunct/>
        <w:topLinePunct w:val="0"/>
        <w:autoSpaceDE/>
        <w:autoSpaceDN/>
        <w:bidi w:val="0"/>
        <w:snapToGrid w:val="0"/>
        <w:spacing w:line="440" w:lineRule="exact"/>
        <w:ind w:left="0" w:leftChars="0" w:right="0" w:firstLine="600" w:firstLineChars="25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4DBD9C8D">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D9E04C6">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30537B76">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8F215AD">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5FE6795F">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投标人名称(电子签章)：</w:t>
      </w:r>
    </w:p>
    <w:p w14:paraId="27821A7F">
      <w:pPr>
        <w:pageBreakBefore w:val="0"/>
        <w:kinsoku/>
        <w:wordWrap/>
        <w:overflowPunct/>
        <w:topLinePunct w:val="0"/>
        <w:autoSpaceDE/>
        <w:autoSpaceDN/>
        <w:bidi w:val="0"/>
        <w:snapToGrid w:val="0"/>
        <w:spacing w:line="440" w:lineRule="exact"/>
        <w:ind w:left="0" w:leftChars="0" w:right="0"/>
        <w:jc w:val="righ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分包供应商名称(电子签章/公章)：</w:t>
      </w:r>
    </w:p>
    <w:p w14:paraId="2D3327F9">
      <w:pPr>
        <w:pageBreakBefore w:val="0"/>
        <w:kinsoku/>
        <w:wordWrap/>
        <w:overflowPunct/>
        <w:topLinePunct w:val="0"/>
        <w:autoSpaceDE/>
        <w:autoSpaceDN/>
        <w:bidi w:val="0"/>
        <w:snapToGrid w:val="0"/>
        <w:spacing w:line="440" w:lineRule="exact"/>
        <w:ind w:left="0" w:leftChars="0" w:right="0" w:firstLine="5760" w:firstLineChars="2400"/>
        <w:textAlignment w:val="auto"/>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34D687E1">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2EEA4BD3">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462E38EB">
      <w:pPr>
        <w:autoSpaceDE w:val="0"/>
        <w:autoSpaceDN w:val="0"/>
        <w:jc w:val="center"/>
        <w:rPr>
          <w:rFonts w:hint="eastAsia" w:ascii="仿宋" w:hAnsi="仿宋" w:eastAsia="仿宋" w:cs="仿宋"/>
          <w:b/>
          <w:color w:val="auto"/>
          <w:spacing w:val="6"/>
          <w:sz w:val="32"/>
          <w:szCs w:val="32"/>
          <w:highlight w:val="none"/>
        </w:rPr>
      </w:pPr>
    </w:p>
    <w:p w14:paraId="1E6586FF">
      <w:pPr>
        <w:autoSpaceDE w:val="0"/>
        <w:autoSpaceDN w:val="0"/>
        <w:jc w:val="center"/>
        <w:rPr>
          <w:rFonts w:hint="eastAsia" w:ascii="仿宋" w:hAnsi="仿宋" w:eastAsia="仿宋" w:cs="仿宋"/>
          <w:b/>
          <w:color w:val="auto"/>
          <w:spacing w:val="6"/>
          <w:sz w:val="32"/>
          <w:szCs w:val="32"/>
          <w:highlight w:val="none"/>
        </w:rPr>
      </w:pPr>
    </w:p>
    <w:p w14:paraId="5124C75B">
      <w:pPr>
        <w:autoSpaceDE w:val="0"/>
        <w:autoSpaceDN w:val="0"/>
        <w:jc w:val="center"/>
        <w:rPr>
          <w:rFonts w:hint="eastAsia" w:ascii="仿宋" w:hAnsi="仿宋" w:eastAsia="仿宋" w:cs="仿宋"/>
          <w:b/>
          <w:color w:val="auto"/>
          <w:spacing w:val="6"/>
          <w:sz w:val="32"/>
          <w:szCs w:val="32"/>
          <w:highlight w:val="none"/>
        </w:rPr>
      </w:pPr>
    </w:p>
    <w:p w14:paraId="42B23819">
      <w:pPr>
        <w:pStyle w:val="79"/>
        <w:rPr>
          <w:rFonts w:hint="eastAsia" w:ascii="仿宋" w:hAnsi="仿宋" w:eastAsia="仿宋" w:cs="仿宋"/>
          <w:b/>
          <w:color w:val="auto"/>
          <w:spacing w:val="6"/>
          <w:sz w:val="32"/>
          <w:szCs w:val="32"/>
          <w:highlight w:val="none"/>
        </w:rPr>
      </w:pPr>
    </w:p>
    <w:p w14:paraId="0436B6E0">
      <w:pPr>
        <w:pStyle w:val="82"/>
        <w:rPr>
          <w:rFonts w:hint="eastAsia" w:ascii="仿宋" w:hAnsi="仿宋" w:eastAsia="仿宋" w:cs="仿宋"/>
          <w:b/>
          <w:color w:val="auto"/>
          <w:spacing w:val="6"/>
          <w:sz w:val="32"/>
          <w:szCs w:val="32"/>
          <w:highlight w:val="none"/>
        </w:rPr>
      </w:pPr>
    </w:p>
    <w:p w14:paraId="601CFDA1">
      <w:pPr>
        <w:rPr>
          <w:rFonts w:hint="eastAsia" w:ascii="仿宋" w:hAnsi="仿宋" w:eastAsia="仿宋" w:cs="仿宋"/>
          <w:b/>
          <w:color w:val="auto"/>
          <w:spacing w:val="6"/>
          <w:sz w:val="32"/>
          <w:szCs w:val="32"/>
          <w:highlight w:val="none"/>
        </w:rPr>
      </w:pPr>
    </w:p>
    <w:p w14:paraId="4026D67B">
      <w:pPr>
        <w:pStyle w:val="79"/>
        <w:rPr>
          <w:rFonts w:hint="eastAsia" w:ascii="仿宋" w:hAnsi="仿宋" w:eastAsia="仿宋" w:cs="仿宋"/>
          <w:b/>
          <w:color w:val="auto"/>
          <w:spacing w:val="6"/>
          <w:sz w:val="32"/>
          <w:szCs w:val="32"/>
          <w:highlight w:val="none"/>
        </w:rPr>
      </w:pPr>
    </w:p>
    <w:p w14:paraId="7EC10DA1">
      <w:pPr>
        <w:pStyle w:val="82"/>
        <w:rPr>
          <w:rFonts w:hint="eastAsia" w:ascii="仿宋" w:hAnsi="仿宋" w:eastAsia="仿宋" w:cs="仿宋"/>
          <w:b/>
          <w:color w:val="auto"/>
          <w:spacing w:val="6"/>
          <w:sz w:val="32"/>
          <w:szCs w:val="32"/>
          <w:highlight w:val="none"/>
        </w:rPr>
      </w:pPr>
    </w:p>
    <w:p w14:paraId="6D6FB39D">
      <w:pPr>
        <w:rPr>
          <w:rFonts w:hint="eastAsia" w:ascii="仿宋" w:hAnsi="仿宋" w:eastAsia="仿宋" w:cs="仿宋"/>
          <w:b/>
          <w:color w:val="auto"/>
          <w:spacing w:val="6"/>
          <w:sz w:val="32"/>
          <w:szCs w:val="32"/>
          <w:highlight w:val="none"/>
        </w:rPr>
      </w:pPr>
    </w:p>
    <w:p w14:paraId="740DCC52">
      <w:pPr>
        <w:pStyle w:val="79"/>
        <w:rPr>
          <w:rFonts w:hint="eastAsia" w:ascii="仿宋" w:hAnsi="仿宋" w:eastAsia="仿宋" w:cs="仿宋"/>
          <w:b/>
          <w:color w:val="auto"/>
          <w:spacing w:val="6"/>
          <w:sz w:val="32"/>
          <w:szCs w:val="32"/>
          <w:highlight w:val="none"/>
        </w:rPr>
      </w:pPr>
    </w:p>
    <w:p w14:paraId="450C249B">
      <w:pPr>
        <w:pStyle w:val="82"/>
        <w:rPr>
          <w:rFonts w:hint="eastAsia" w:ascii="仿宋" w:hAnsi="仿宋" w:eastAsia="仿宋" w:cs="仿宋"/>
          <w:b/>
          <w:color w:val="auto"/>
          <w:spacing w:val="6"/>
          <w:sz w:val="32"/>
          <w:szCs w:val="32"/>
          <w:highlight w:val="none"/>
        </w:rPr>
      </w:pPr>
    </w:p>
    <w:p w14:paraId="20F5C5D0">
      <w:pPr>
        <w:rPr>
          <w:rFonts w:hint="eastAsia" w:ascii="仿宋" w:hAnsi="仿宋" w:eastAsia="仿宋" w:cs="仿宋"/>
          <w:b/>
          <w:color w:val="auto"/>
          <w:spacing w:val="6"/>
          <w:sz w:val="32"/>
          <w:szCs w:val="32"/>
          <w:highlight w:val="none"/>
        </w:rPr>
      </w:pPr>
    </w:p>
    <w:p w14:paraId="7095F68B">
      <w:pPr>
        <w:pStyle w:val="79"/>
        <w:rPr>
          <w:rFonts w:hint="eastAsia" w:ascii="仿宋" w:hAnsi="仿宋" w:eastAsia="仿宋" w:cs="仿宋"/>
          <w:b/>
          <w:color w:val="auto"/>
          <w:spacing w:val="6"/>
          <w:sz w:val="32"/>
          <w:szCs w:val="32"/>
          <w:highlight w:val="none"/>
        </w:rPr>
      </w:pPr>
    </w:p>
    <w:p w14:paraId="6523DAB9">
      <w:pPr>
        <w:pStyle w:val="82"/>
        <w:rPr>
          <w:rFonts w:hint="eastAsia" w:ascii="仿宋" w:hAnsi="仿宋" w:eastAsia="仿宋" w:cs="仿宋"/>
          <w:b/>
          <w:color w:val="auto"/>
          <w:spacing w:val="6"/>
          <w:sz w:val="32"/>
          <w:szCs w:val="32"/>
          <w:highlight w:val="none"/>
        </w:rPr>
      </w:pPr>
    </w:p>
    <w:p w14:paraId="1F75AF01">
      <w:pPr>
        <w:rPr>
          <w:rFonts w:hint="eastAsia" w:ascii="仿宋" w:hAnsi="仿宋" w:eastAsia="仿宋" w:cs="仿宋"/>
          <w:b/>
          <w:color w:val="auto"/>
          <w:spacing w:val="6"/>
          <w:sz w:val="32"/>
          <w:szCs w:val="32"/>
          <w:highlight w:val="none"/>
        </w:rPr>
      </w:pPr>
    </w:p>
    <w:p w14:paraId="0F7F4603">
      <w:pPr>
        <w:pStyle w:val="79"/>
        <w:rPr>
          <w:rFonts w:hint="eastAsia" w:ascii="仿宋" w:hAnsi="仿宋" w:eastAsia="仿宋" w:cs="仿宋"/>
          <w:b/>
          <w:color w:val="auto"/>
          <w:spacing w:val="6"/>
          <w:sz w:val="32"/>
          <w:szCs w:val="32"/>
          <w:highlight w:val="none"/>
        </w:rPr>
      </w:pPr>
    </w:p>
    <w:p w14:paraId="2FACA162">
      <w:pPr>
        <w:pStyle w:val="82"/>
        <w:rPr>
          <w:rFonts w:hint="eastAsia" w:ascii="仿宋" w:hAnsi="仿宋" w:eastAsia="仿宋" w:cs="仿宋"/>
          <w:b/>
          <w:color w:val="auto"/>
          <w:spacing w:val="6"/>
          <w:sz w:val="32"/>
          <w:szCs w:val="32"/>
          <w:highlight w:val="none"/>
        </w:rPr>
      </w:pPr>
    </w:p>
    <w:p w14:paraId="431F2302">
      <w:pPr>
        <w:rPr>
          <w:rFonts w:hint="eastAsia" w:ascii="仿宋" w:hAnsi="仿宋" w:eastAsia="仿宋" w:cs="仿宋"/>
          <w:b/>
          <w:color w:val="auto"/>
          <w:spacing w:val="6"/>
          <w:sz w:val="32"/>
          <w:szCs w:val="32"/>
          <w:highlight w:val="none"/>
        </w:rPr>
      </w:pPr>
    </w:p>
    <w:p w14:paraId="736DF288">
      <w:pPr>
        <w:pStyle w:val="79"/>
        <w:rPr>
          <w:rFonts w:hint="eastAsia" w:ascii="仿宋" w:hAnsi="仿宋" w:eastAsia="仿宋" w:cs="仿宋"/>
          <w:b/>
          <w:color w:val="auto"/>
          <w:spacing w:val="6"/>
          <w:sz w:val="32"/>
          <w:szCs w:val="32"/>
          <w:highlight w:val="none"/>
        </w:rPr>
      </w:pPr>
    </w:p>
    <w:p w14:paraId="1E56312C">
      <w:pPr>
        <w:pStyle w:val="82"/>
        <w:rPr>
          <w:rFonts w:hint="eastAsia" w:ascii="仿宋" w:hAnsi="仿宋" w:eastAsia="仿宋" w:cs="仿宋"/>
          <w:b/>
          <w:color w:val="auto"/>
          <w:spacing w:val="6"/>
          <w:sz w:val="32"/>
          <w:szCs w:val="32"/>
          <w:highlight w:val="none"/>
        </w:rPr>
      </w:pPr>
    </w:p>
    <w:p w14:paraId="159D6A67">
      <w:pPr>
        <w:rPr>
          <w:rFonts w:hint="eastAsia" w:ascii="仿宋" w:hAnsi="仿宋" w:eastAsia="仿宋" w:cs="仿宋"/>
          <w:b/>
          <w:color w:val="auto"/>
          <w:spacing w:val="6"/>
          <w:sz w:val="32"/>
          <w:szCs w:val="32"/>
          <w:highlight w:val="none"/>
        </w:rPr>
      </w:pPr>
    </w:p>
    <w:p w14:paraId="5AAD332D">
      <w:pPr>
        <w:pStyle w:val="79"/>
        <w:rPr>
          <w:rFonts w:hint="eastAsia" w:ascii="仿宋" w:hAnsi="仿宋" w:eastAsia="仿宋" w:cs="仿宋"/>
          <w:color w:val="auto"/>
          <w:highlight w:val="none"/>
        </w:rPr>
      </w:pPr>
    </w:p>
    <w:p w14:paraId="29D94AD7">
      <w:pPr>
        <w:autoSpaceDE w:val="0"/>
        <w:autoSpaceDN w:val="0"/>
        <w:jc w:val="center"/>
        <w:rPr>
          <w:rFonts w:hint="eastAsia" w:ascii="仿宋" w:hAnsi="仿宋" w:eastAsia="仿宋" w:cs="仿宋"/>
          <w:b/>
          <w:color w:val="auto"/>
          <w:spacing w:val="6"/>
          <w:sz w:val="32"/>
          <w:szCs w:val="32"/>
          <w:highlight w:val="none"/>
        </w:rPr>
      </w:pPr>
    </w:p>
    <w:p w14:paraId="39F195C1">
      <w:pPr>
        <w:autoSpaceDE w:val="0"/>
        <w:autoSpaceDN w:val="0"/>
        <w:jc w:val="center"/>
        <w:rPr>
          <w:rFonts w:hint="eastAsia" w:ascii="仿宋" w:hAnsi="仿宋" w:eastAsia="仿宋" w:cs="仿宋"/>
          <w:b/>
          <w:color w:val="auto"/>
          <w:spacing w:val="6"/>
          <w:sz w:val="32"/>
          <w:szCs w:val="32"/>
          <w:highlight w:val="none"/>
        </w:rPr>
      </w:pPr>
    </w:p>
    <w:p w14:paraId="7972C1E6">
      <w:pPr>
        <w:autoSpaceDE w:val="0"/>
        <w:autoSpaceDN w:val="0"/>
        <w:jc w:val="center"/>
        <w:rPr>
          <w:rFonts w:hint="eastAsia" w:ascii="仿宋" w:hAnsi="仿宋" w:eastAsia="仿宋" w:cs="仿宋"/>
          <w:b/>
          <w:color w:val="auto"/>
          <w:spacing w:val="6"/>
          <w:sz w:val="32"/>
          <w:szCs w:val="32"/>
          <w:highlight w:val="none"/>
        </w:rPr>
      </w:pPr>
    </w:p>
    <w:p w14:paraId="7260A17B">
      <w:pPr>
        <w:autoSpaceDE w:val="0"/>
        <w:autoSpaceDN w:val="0"/>
        <w:jc w:val="center"/>
        <w:rPr>
          <w:rFonts w:hint="eastAsia" w:ascii="仿宋" w:hAnsi="仿宋" w:eastAsia="仿宋" w:cs="仿宋"/>
          <w:b/>
          <w:color w:val="auto"/>
          <w:spacing w:val="6"/>
          <w:sz w:val="32"/>
          <w:szCs w:val="32"/>
          <w:highlight w:val="none"/>
        </w:rPr>
      </w:pPr>
    </w:p>
    <w:p w14:paraId="4BBF6DBF">
      <w:pPr>
        <w:spacing w:line="360" w:lineRule="auto"/>
        <w:jc w:val="center"/>
        <w:rPr>
          <w:rFonts w:hint="eastAsia" w:ascii="仿宋" w:hAnsi="仿宋" w:eastAsia="仿宋" w:cs="仿宋"/>
          <w:b/>
          <w:color w:val="auto"/>
          <w:spacing w:val="6"/>
          <w:sz w:val="32"/>
          <w:szCs w:val="32"/>
          <w:highlight w:val="none"/>
        </w:rPr>
      </w:pPr>
    </w:p>
    <w:p w14:paraId="6FEC32C2">
      <w:pPr>
        <w:pageBreakBefore/>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国家统计局关于印发《统计上大中小微型企业划分办法（2017）》的通知</w:t>
      </w:r>
    </w:p>
    <w:p w14:paraId="25766DA0">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各省、自治区、直辖市统计局，新疆生产建设兵团统计局，国务院各有关部门，国家统计局各调查总队：</w:t>
      </w:r>
    </w:p>
    <w:p w14:paraId="04DF3CB1">
      <w:pPr>
        <w:widowControl/>
        <w:shd w:val="clear" w:color="auto" w:fill="FFFFFF"/>
        <w:spacing w:before="150" w:line="420" w:lineRule="atLeast"/>
        <w:ind w:firstLine="420" w:firstLineChars="200"/>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2A071A06">
      <w:pPr>
        <w:widowControl/>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附件：《统计上大中小微型企业划分办法（2017）》修订说明</w:t>
      </w:r>
    </w:p>
    <w:p w14:paraId="585D8AF4">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国家统计局  </w:t>
      </w:r>
    </w:p>
    <w:p w14:paraId="2E85D9F9">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2017年12月28日</w:t>
      </w:r>
    </w:p>
    <w:p w14:paraId="5888F44B">
      <w:pPr>
        <w:pStyle w:val="2"/>
        <w:rPr>
          <w:rFonts w:hint="eastAsia" w:ascii="仿宋" w:hAnsi="仿宋" w:eastAsia="仿宋" w:cs="仿宋"/>
          <w:color w:val="auto"/>
          <w:highlight w:val="none"/>
          <w:lang w:val="en-US" w:eastAsia="zh-CN"/>
        </w:rPr>
      </w:pPr>
    </w:p>
    <w:p w14:paraId="7E2EB3B9">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w:t>
      </w:r>
    </w:p>
    <w:p w14:paraId="343C95AA">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1418E3E1">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二、本办法适用对象为在中华人民共和国境内依法设立的各种组织形式的法人企业或单位。个体工商户参照本办法进行划分。</w:t>
      </w:r>
    </w:p>
    <w:p w14:paraId="13038C77">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06013333">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14:paraId="360C0A4C">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五、企业划分由政府综合统计部门根据统计年报每年确定一次，定报统计原则上不进行调整。</w:t>
      </w:r>
    </w:p>
    <w:p w14:paraId="32E5B099">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六、本办法自印发之日起执行，国家统计局2011年印发的《统计上大中小微型企业划分办法》（国统字〔2011〕75号）同时废止。</w:t>
      </w:r>
    </w:p>
    <w:p w14:paraId="3DB4C236">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附表：统计上大中小微型企业划分标准</w:t>
      </w:r>
    </w:p>
    <w:p w14:paraId="5687FE08">
      <w:pPr>
        <w:widowControl/>
        <w:jc w:val="left"/>
        <w:rPr>
          <w:rFonts w:hint="eastAsia" w:ascii="仿宋" w:hAnsi="仿宋" w:eastAsia="仿宋" w:cs="仿宋"/>
          <w:color w:val="auto"/>
          <w:kern w:val="0"/>
          <w:sz w:val="24"/>
          <w:highlight w:val="none"/>
        </w:rPr>
      </w:pPr>
    </w:p>
    <w:p w14:paraId="768390F0">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385915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7340D222">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行业名称</w:t>
            </w:r>
          </w:p>
        </w:tc>
        <w:tc>
          <w:tcPr>
            <w:tcW w:w="1560" w:type="dxa"/>
            <w:tcMar>
              <w:top w:w="75" w:type="dxa"/>
              <w:left w:w="75" w:type="dxa"/>
              <w:bottom w:w="75" w:type="dxa"/>
              <w:right w:w="75" w:type="dxa"/>
            </w:tcMar>
            <w:vAlign w:val="bottom"/>
          </w:tcPr>
          <w:p w14:paraId="6CF5B719">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指标名称</w:t>
            </w:r>
          </w:p>
        </w:tc>
        <w:tc>
          <w:tcPr>
            <w:tcW w:w="671" w:type="dxa"/>
            <w:tcMar>
              <w:top w:w="75" w:type="dxa"/>
              <w:left w:w="75" w:type="dxa"/>
              <w:bottom w:w="75" w:type="dxa"/>
              <w:right w:w="75" w:type="dxa"/>
            </w:tcMar>
            <w:vAlign w:val="bottom"/>
          </w:tcPr>
          <w:p w14:paraId="53C47FE8">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计量单位</w:t>
            </w:r>
          </w:p>
        </w:tc>
        <w:tc>
          <w:tcPr>
            <w:tcW w:w="1231" w:type="dxa"/>
            <w:tcMar>
              <w:top w:w="75" w:type="dxa"/>
              <w:left w:w="75" w:type="dxa"/>
              <w:bottom w:w="75" w:type="dxa"/>
              <w:right w:w="75" w:type="dxa"/>
            </w:tcMar>
            <w:vAlign w:val="bottom"/>
          </w:tcPr>
          <w:p w14:paraId="55635187">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大型</w:t>
            </w:r>
          </w:p>
        </w:tc>
        <w:tc>
          <w:tcPr>
            <w:tcW w:w="1891" w:type="dxa"/>
            <w:tcMar>
              <w:top w:w="75" w:type="dxa"/>
              <w:left w:w="75" w:type="dxa"/>
              <w:bottom w:w="75" w:type="dxa"/>
              <w:right w:w="75" w:type="dxa"/>
            </w:tcMar>
            <w:vAlign w:val="bottom"/>
          </w:tcPr>
          <w:p w14:paraId="376FE525">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中型</w:t>
            </w:r>
          </w:p>
        </w:tc>
        <w:tc>
          <w:tcPr>
            <w:tcW w:w="1730" w:type="dxa"/>
            <w:tcMar>
              <w:top w:w="75" w:type="dxa"/>
              <w:left w:w="75" w:type="dxa"/>
              <w:bottom w:w="75" w:type="dxa"/>
              <w:right w:w="75" w:type="dxa"/>
            </w:tcMar>
            <w:vAlign w:val="bottom"/>
          </w:tcPr>
          <w:p w14:paraId="4A582401">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小型</w:t>
            </w:r>
          </w:p>
        </w:tc>
        <w:tc>
          <w:tcPr>
            <w:tcW w:w="1203" w:type="dxa"/>
            <w:tcMar>
              <w:top w:w="75" w:type="dxa"/>
              <w:left w:w="75" w:type="dxa"/>
              <w:bottom w:w="75" w:type="dxa"/>
              <w:right w:w="75" w:type="dxa"/>
            </w:tcMar>
            <w:vAlign w:val="bottom"/>
          </w:tcPr>
          <w:p w14:paraId="11445BB9">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微型</w:t>
            </w:r>
          </w:p>
        </w:tc>
      </w:tr>
      <w:tr w14:paraId="2FD9D9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08819AB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农、林、牧、渔业</w:t>
            </w:r>
          </w:p>
        </w:tc>
        <w:tc>
          <w:tcPr>
            <w:tcW w:w="1560" w:type="dxa"/>
            <w:vAlign w:val="center"/>
          </w:tcPr>
          <w:p w14:paraId="30E95AB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8DFC50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A13275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3AD3110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6342E3C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50≤Y＜500</w:t>
            </w:r>
          </w:p>
        </w:tc>
        <w:tc>
          <w:tcPr>
            <w:tcW w:w="1203" w:type="dxa"/>
            <w:vAlign w:val="center"/>
          </w:tcPr>
          <w:p w14:paraId="4590D77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2007E2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947CCE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工业 *</w:t>
            </w:r>
          </w:p>
        </w:tc>
        <w:tc>
          <w:tcPr>
            <w:tcW w:w="1560" w:type="dxa"/>
            <w:vAlign w:val="center"/>
          </w:tcPr>
          <w:p w14:paraId="724AF0D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3D4375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42F03F6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17C263F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6C5A6BE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23EF219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07FF6C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DD7F6D0">
            <w:pPr>
              <w:widowControl/>
              <w:jc w:val="left"/>
              <w:rPr>
                <w:rFonts w:hint="eastAsia" w:ascii="仿宋" w:hAnsi="仿宋" w:eastAsia="仿宋" w:cs="仿宋"/>
                <w:color w:val="auto"/>
                <w:kern w:val="0"/>
                <w:sz w:val="24"/>
                <w:highlight w:val="none"/>
              </w:rPr>
            </w:pPr>
          </w:p>
        </w:tc>
        <w:tc>
          <w:tcPr>
            <w:tcW w:w="1560" w:type="dxa"/>
            <w:vAlign w:val="center"/>
          </w:tcPr>
          <w:p w14:paraId="6BE9CF6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139943A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40D5CC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4D60808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2000≤Y＜40000</w:t>
            </w:r>
          </w:p>
        </w:tc>
        <w:tc>
          <w:tcPr>
            <w:tcW w:w="1730" w:type="dxa"/>
            <w:vAlign w:val="center"/>
          </w:tcPr>
          <w:p w14:paraId="49A9BCF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300≤Y＜2000</w:t>
            </w:r>
          </w:p>
        </w:tc>
        <w:tc>
          <w:tcPr>
            <w:tcW w:w="1203" w:type="dxa"/>
            <w:vAlign w:val="center"/>
          </w:tcPr>
          <w:p w14:paraId="4A55124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63BC0D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A8B9AF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建筑业</w:t>
            </w:r>
          </w:p>
        </w:tc>
        <w:tc>
          <w:tcPr>
            <w:tcW w:w="1560" w:type="dxa"/>
            <w:vAlign w:val="center"/>
          </w:tcPr>
          <w:p w14:paraId="1038537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2DEDCFE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499F92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Y≥80000</w:t>
            </w:r>
          </w:p>
        </w:tc>
        <w:tc>
          <w:tcPr>
            <w:tcW w:w="1891" w:type="dxa"/>
            <w:vAlign w:val="center"/>
          </w:tcPr>
          <w:p w14:paraId="297AF6B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6000≤Y＜80000</w:t>
            </w:r>
          </w:p>
        </w:tc>
        <w:tc>
          <w:tcPr>
            <w:tcW w:w="1730" w:type="dxa"/>
            <w:vAlign w:val="center"/>
          </w:tcPr>
          <w:p w14:paraId="2AFEF45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300≤Y＜6000</w:t>
            </w:r>
          </w:p>
        </w:tc>
        <w:tc>
          <w:tcPr>
            <w:tcW w:w="1203" w:type="dxa"/>
            <w:vAlign w:val="center"/>
          </w:tcPr>
          <w:p w14:paraId="658E2F8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265936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A4CAB91">
            <w:pPr>
              <w:widowControl/>
              <w:jc w:val="left"/>
              <w:rPr>
                <w:rFonts w:hint="eastAsia" w:ascii="仿宋" w:hAnsi="仿宋" w:eastAsia="仿宋" w:cs="仿宋"/>
                <w:color w:val="auto"/>
                <w:kern w:val="0"/>
                <w:sz w:val="24"/>
                <w:highlight w:val="none"/>
              </w:rPr>
            </w:pPr>
          </w:p>
        </w:tc>
        <w:tc>
          <w:tcPr>
            <w:tcW w:w="1560" w:type="dxa"/>
            <w:vAlign w:val="center"/>
          </w:tcPr>
          <w:p w14:paraId="20D6AFE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2C7B781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40D84D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Z≥80000</w:t>
            </w:r>
          </w:p>
        </w:tc>
        <w:tc>
          <w:tcPr>
            <w:tcW w:w="1891" w:type="dxa"/>
            <w:vAlign w:val="center"/>
          </w:tcPr>
          <w:p w14:paraId="765A695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5000≤Z＜80000</w:t>
            </w:r>
          </w:p>
        </w:tc>
        <w:tc>
          <w:tcPr>
            <w:tcW w:w="1730" w:type="dxa"/>
            <w:vAlign w:val="center"/>
          </w:tcPr>
          <w:p w14:paraId="2D57160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300≤Z＜5000</w:t>
            </w:r>
          </w:p>
        </w:tc>
        <w:tc>
          <w:tcPr>
            <w:tcW w:w="1203" w:type="dxa"/>
            <w:vAlign w:val="center"/>
          </w:tcPr>
          <w:p w14:paraId="082D0D5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Z＜300</w:t>
            </w:r>
          </w:p>
        </w:tc>
      </w:tr>
      <w:tr w14:paraId="7A85DC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E7FB69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批发业</w:t>
            </w:r>
          </w:p>
        </w:tc>
        <w:tc>
          <w:tcPr>
            <w:tcW w:w="1560" w:type="dxa"/>
            <w:vAlign w:val="center"/>
          </w:tcPr>
          <w:p w14:paraId="79FD44D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587476F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538522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04830F2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20≤X＜200</w:t>
            </w:r>
          </w:p>
        </w:tc>
        <w:tc>
          <w:tcPr>
            <w:tcW w:w="1730" w:type="dxa"/>
            <w:vAlign w:val="center"/>
          </w:tcPr>
          <w:p w14:paraId="477FCC5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5≤X＜20</w:t>
            </w:r>
          </w:p>
        </w:tc>
        <w:tc>
          <w:tcPr>
            <w:tcW w:w="1203" w:type="dxa"/>
            <w:vAlign w:val="center"/>
          </w:tcPr>
          <w:p w14:paraId="580F1ED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X＜5</w:t>
            </w:r>
          </w:p>
        </w:tc>
      </w:tr>
      <w:tr w14:paraId="70834F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8099EBE">
            <w:pPr>
              <w:widowControl/>
              <w:jc w:val="left"/>
              <w:rPr>
                <w:rFonts w:hint="eastAsia" w:ascii="仿宋" w:hAnsi="仿宋" w:eastAsia="仿宋" w:cs="仿宋"/>
                <w:color w:val="auto"/>
                <w:kern w:val="0"/>
                <w:sz w:val="24"/>
                <w:highlight w:val="none"/>
              </w:rPr>
            </w:pPr>
          </w:p>
        </w:tc>
        <w:tc>
          <w:tcPr>
            <w:tcW w:w="1560" w:type="dxa"/>
            <w:vAlign w:val="center"/>
          </w:tcPr>
          <w:p w14:paraId="45CAE4F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FE6FD4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354EBB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3D32620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5000≤Y＜40000</w:t>
            </w:r>
          </w:p>
        </w:tc>
        <w:tc>
          <w:tcPr>
            <w:tcW w:w="1730" w:type="dxa"/>
            <w:vAlign w:val="center"/>
          </w:tcPr>
          <w:p w14:paraId="6BB05FD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203" w:type="dxa"/>
            <w:vAlign w:val="center"/>
          </w:tcPr>
          <w:p w14:paraId="1E00FFF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w:t>
            </w:r>
          </w:p>
        </w:tc>
      </w:tr>
      <w:tr w14:paraId="463F92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F7D542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零售业</w:t>
            </w:r>
          </w:p>
        </w:tc>
        <w:tc>
          <w:tcPr>
            <w:tcW w:w="1560" w:type="dxa"/>
            <w:vAlign w:val="center"/>
          </w:tcPr>
          <w:p w14:paraId="11CBF38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5CC02BA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CA45E7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1408C8E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50≤X＜300</w:t>
            </w:r>
          </w:p>
        </w:tc>
        <w:tc>
          <w:tcPr>
            <w:tcW w:w="1730" w:type="dxa"/>
            <w:vAlign w:val="center"/>
          </w:tcPr>
          <w:p w14:paraId="1C9811A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10≤X＜50</w:t>
            </w:r>
          </w:p>
        </w:tc>
        <w:tc>
          <w:tcPr>
            <w:tcW w:w="1203" w:type="dxa"/>
            <w:vAlign w:val="center"/>
          </w:tcPr>
          <w:p w14:paraId="07E88C5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40DA7E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C1ED787">
            <w:pPr>
              <w:widowControl/>
              <w:jc w:val="left"/>
              <w:rPr>
                <w:rFonts w:hint="eastAsia" w:ascii="仿宋" w:hAnsi="仿宋" w:eastAsia="仿宋" w:cs="仿宋"/>
                <w:color w:val="auto"/>
                <w:kern w:val="0"/>
                <w:sz w:val="24"/>
                <w:highlight w:val="none"/>
              </w:rPr>
            </w:pPr>
          </w:p>
        </w:tc>
        <w:tc>
          <w:tcPr>
            <w:tcW w:w="1560" w:type="dxa"/>
            <w:vAlign w:val="center"/>
          </w:tcPr>
          <w:p w14:paraId="13CB76B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490E2B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F22787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65DC647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2D47F43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100≤Y＜500</w:t>
            </w:r>
          </w:p>
        </w:tc>
        <w:tc>
          <w:tcPr>
            <w:tcW w:w="1203" w:type="dxa"/>
            <w:vAlign w:val="center"/>
          </w:tcPr>
          <w:p w14:paraId="2B3C384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0B07C6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800818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交通运输业 *</w:t>
            </w:r>
          </w:p>
        </w:tc>
        <w:tc>
          <w:tcPr>
            <w:tcW w:w="1560" w:type="dxa"/>
            <w:vAlign w:val="center"/>
          </w:tcPr>
          <w:p w14:paraId="4E50A80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A0AECA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7DD90C3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75473CB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28C066A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397EF4E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4E7B61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7AA3AA7">
            <w:pPr>
              <w:widowControl/>
              <w:jc w:val="left"/>
              <w:rPr>
                <w:rFonts w:hint="eastAsia" w:ascii="仿宋" w:hAnsi="仿宋" w:eastAsia="仿宋" w:cs="仿宋"/>
                <w:color w:val="auto"/>
                <w:kern w:val="0"/>
                <w:sz w:val="24"/>
                <w:highlight w:val="none"/>
              </w:rPr>
            </w:pPr>
          </w:p>
        </w:tc>
        <w:tc>
          <w:tcPr>
            <w:tcW w:w="1560" w:type="dxa"/>
            <w:vAlign w:val="center"/>
          </w:tcPr>
          <w:p w14:paraId="3F3632C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0602143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74C11C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48B54E9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3000≤Y＜30000</w:t>
            </w:r>
          </w:p>
        </w:tc>
        <w:tc>
          <w:tcPr>
            <w:tcW w:w="1730" w:type="dxa"/>
            <w:vAlign w:val="center"/>
          </w:tcPr>
          <w:p w14:paraId="7E49B4F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200≤Y＜3000</w:t>
            </w:r>
          </w:p>
        </w:tc>
        <w:tc>
          <w:tcPr>
            <w:tcW w:w="1203" w:type="dxa"/>
            <w:vAlign w:val="center"/>
          </w:tcPr>
          <w:p w14:paraId="6B9E376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w:t>
            </w:r>
          </w:p>
        </w:tc>
      </w:tr>
      <w:tr w14:paraId="0AC139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0321C0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仓储业*</w:t>
            </w:r>
          </w:p>
        </w:tc>
        <w:tc>
          <w:tcPr>
            <w:tcW w:w="1560" w:type="dxa"/>
            <w:vAlign w:val="center"/>
          </w:tcPr>
          <w:p w14:paraId="30A7405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1472F9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FC14B5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0A71876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w:t>
            </w:r>
          </w:p>
        </w:tc>
        <w:tc>
          <w:tcPr>
            <w:tcW w:w="1730" w:type="dxa"/>
            <w:vAlign w:val="center"/>
          </w:tcPr>
          <w:p w14:paraId="6A87B91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20≤X＜100</w:t>
            </w:r>
          </w:p>
        </w:tc>
        <w:tc>
          <w:tcPr>
            <w:tcW w:w="1203" w:type="dxa"/>
            <w:vAlign w:val="center"/>
          </w:tcPr>
          <w:p w14:paraId="246715D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248A38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C34F45F">
            <w:pPr>
              <w:widowControl/>
              <w:jc w:val="left"/>
              <w:rPr>
                <w:rFonts w:hint="eastAsia" w:ascii="仿宋" w:hAnsi="仿宋" w:eastAsia="仿宋" w:cs="仿宋"/>
                <w:color w:val="auto"/>
                <w:kern w:val="0"/>
                <w:sz w:val="24"/>
                <w:highlight w:val="none"/>
              </w:rPr>
            </w:pPr>
          </w:p>
        </w:tc>
        <w:tc>
          <w:tcPr>
            <w:tcW w:w="1560" w:type="dxa"/>
            <w:vAlign w:val="center"/>
          </w:tcPr>
          <w:p w14:paraId="13F590E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C7353C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85B513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4B661F2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1000≤Y＜30000</w:t>
            </w:r>
          </w:p>
        </w:tc>
        <w:tc>
          <w:tcPr>
            <w:tcW w:w="1730" w:type="dxa"/>
            <w:vAlign w:val="center"/>
          </w:tcPr>
          <w:p w14:paraId="68F6968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08B04F6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3352CB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7DE6D9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邮政业</w:t>
            </w:r>
          </w:p>
        </w:tc>
        <w:tc>
          <w:tcPr>
            <w:tcW w:w="1560" w:type="dxa"/>
            <w:vAlign w:val="center"/>
          </w:tcPr>
          <w:p w14:paraId="07E95E7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58C98EF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4E19A6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3497B12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2DFCCC7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73F2628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5A8B26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AC7C3E5">
            <w:pPr>
              <w:widowControl/>
              <w:jc w:val="left"/>
              <w:rPr>
                <w:rFonts w:hint="eastAsia" w:ascii="仿宋" w:hAnsi="仿宋" w:eastAsia="仿宋" w:cs="仿宋"/>
                <w:color w:val="auto"/>
                <w:kern w:val="0"/>
                <w:sz w:val="24"/>
                <w:highlight w:val="none"/>
              </w:rPr>
            </w:pPr>
          </w:p>
        </w:tc>
        <w:tc>
          <w:tcPr>
            <w:tcW w:w="1560" w:type="dxa"/>
            <w:vAlign w:val="center"/>
          </w:tcPr>
          <w:p w14:paraId="7C311C7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4C8200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E3B17B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69D2279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2000≤Y＜30000</w:t>
            </w:r>
          </w:p>
        </w:tc>
        <w:tc>
          <w:tcPr>
            <w:tcW w:w="1730" w:type="dxa"/>
            <w:vAlign w:val="center"/>
          </w:tcPr>
          <w:p w14:paraId="02F39C0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11E5BA8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343C11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DA6E5B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住宿业</w:t>
            </w:r>
          </w:p>
        </w:tc>
        <w:tc>
          <w:tcPr>
            <w:tcW w:w="1560" w:type="dxa"/>
            <w:vAlign w:val="center"/>
          </w:tcPr>
          <w:p w14:paraId="1783CC7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18E911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680C9AA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5B5BC47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26F97BB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68ABDBC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4AC917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B03B395">
            <w:pPr>
              <w:widowControl/>
              <w:jc w:val="left"/>
              <w:rPr>
                <w:rFonts w:hint="eastAsia" w:ascii="仿宋" w:hAnsi="仿宋" w:eastAsia="仿宋" w:cs="仿宋"/>
                <w:color w:val="auto"/>
                <w:kern w:val="0"/>
                <w:sz w:val="24"/>
                <w:highlight w:val="none"/>
              </w:rPr>
            </w:pPr>
          </w:p>
        </w:tc>
        <w:tc>
          <w:tcPr>
            <w:tcW w:w="1560" w:type="dxa"/>
            <w:vAlign w:val="center"/>
          </w:tcPr>
          <w:p w14:paraId="46FBFB6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E31A8B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6B1F1A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147C786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144E1FD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5B7BF28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07C5B4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E1E846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餐饮业</w:t>
            </w:r>
          </w:p>
        </w:tc>
        <w:tc>
          <w:tcPr>
            <w:tcW w:w="1560" w:type="dxa"/>
            <w:vAlign w:val="center"/>
          </w:tcPr>
          <w:p w14:paraId="11A8517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476D66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4F68684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160C129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4AEEEF9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35EA8AC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73352F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10A5435">
            <w:pPr>
              <w:widowControl/>
              <w:jc w:val="left"/>
              <w:rPr>
                <w:rFonts w:hint="eastAsia" w:ascii="仿宋" w:hAnsi="仿宋" w:eastAsia="仿宋" w:cs="仿宋"/>
                <w:color w:val="auto"/>
                <w:kern w:val="0"/>
                <w:sz w:val="24"/>
                <w:highlight w:val="none"/>
              </w:rPr>
            </w:pPr>
          </w:p>
        </w:tc>
        <w:tc>
          <w:tcPr>
            <w:tcW w:w="1560" w:type="dxa"/>
            <w:vAlign w:val="center"/>
          </w:tcPr>
          <w:p w14:paraId="48B2174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5B89B3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2C6C5B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1E27CD4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4EF64A7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7F1C2C4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25E95D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5BBCFF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信息传输业 *</w:t>
            </w:r>
          </w:p>
        </w:tc>
        <w:tc>
          <w:tcPr>
            <w:tcW w:w="1560" w:type="dxa"/>
            <w:vAlign w:val="center"/>
          </w:tcPr>
          <w:p w14:paraId="3581D1A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61A325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900205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X≥2000</w:t>
            </w:r>
          </w:p>
        </w:tc>
        <w:tc>
          <w:tcPr>
            <w:tcW w:w="1891" w:type="dxa"/>
            <w:vAlign w:val="center"/>
          </w:tcPr>
          <w:p w14:paraId="5E75BE3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100≤X＜2000</w:t>
            </w:r>
          </w:p>
        </w:tc>
        <w:tc>
          <w:tcPr>
            <w:tcW w:w="1730" w:type="dxa"/>
            <w:vAlign w:val="center"/>
          </w:tcPr>
          <w:p w14:paraId="1C15B4D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7071C06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14AC9D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CEDC2A0">
            <w:pPr>
              <w:widowControl/>
              <w:jc w:val="left"/>
              <w:rPr>
                <w:rFonts w:hint="eastAsia" w:ascii="仿宋" w:hAnsi="仿宋" w:eastAsia="仿宋" w:cs="仿宋"/>
                <w:color w:val="auto"/>
                <w:kern w:val="0"/>
                <w:sz w:val="24"/>
                <w:highlight w:val="none"/>
              </w:rPr>
            </w:pPr>
          </w:p>
        </w:tc>
        <w:tc>
          <w:tcPr>
            <w:tcW w:w="1560" w:type="dxa"/>
            <w:vAlign w:val="center"/>
          </w:tcPr>
          <w:p w14:paraId="01100FC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797579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4ACCE2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Y≥100000</w:t>
            </w:r>
          </w:p>
        </w:tc>
        <w:tc>
          <w:tcPr>
            <w:tcW w:w="1891" w:type="dxa"/>
            <w:vAlign w:val="center"/>
          </w:tcPr>
          <w:p w14:paraId="03D0CC4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1000≤Y＜100000</w:t>
            </w:r>
          </w:p>
        </w:tc>
        <w:tc>
          <w:tcPr>
            <w:tcW w:w="1730" w:type="dxa"/>
            <w:vAlign w:val="center"/>
          </w:tcPr>
          <w:p w14:paraId="2CBD8E7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5AEED53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29AB9F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2506E6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软件和信息技术服务业</w:t>
            </w:r>
          </w:p>
        </w:tc>
        <w:tc>
          <w:tcPr>
            <w:tcW w:w="1560" w:type="dxa"/>
            <w:vAlign w:val="center"/>
          </w:tcPr>
          <w:p w14:paraId="5905A7B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0A62B09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39CF11B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7A71059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5D6E35A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3C17EEE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3AEEF0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5FE0EEA">
            <w:pPr>
              <w:widowControl/>
              <w:jc w:val="left"/>
              <w:rPr>
                <w:rFonts w:hint="eastAsia" w:ascii="仿宋" w:hAnsi="仿宋" w:eastAsia="仿宋" w:cs="仿宋"/>
                <w:color w:val="auto"/>
                <w:kern w:val="0"/>
                <w:sz w:val="24"/>
                <w:highlight w:val="none"/>
              </w:rPr>
            </w:pPr>
          </w:p>
        </w:tc>
        <w:tc>
          <w:tcPr>
            <w:tcW w:w="1560" w:type="dxa"/>
            <w:vAlign w:val="center"/>
          </w:tcPr>
          <w:p w14:paraId="09C4A9C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3EBE9C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9F488B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0627C37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w:t>
            </w:r>
          </w:p>
        </w:tc>
        <w:tc>
          <w:tcPr>
            <w:tcW w:w="1730" w:type="dxa"/>
            <w:vAlign w:val="center"/>
          </w:tcPr>
          <w:p w14:paraId="723F1B9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50≤Y＜1000</w:t>
            </w:r>
          </w:p>
        </w:tc>
        <w:tc>
          <w:tcPr>
            <w:tcW w:w="1203" w:type="dxa"/>
            <w:vAlign w:val="center"/>
          </w:tcPr>
          <w:p w14:paraId="0232093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6FF018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324BC9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房地产开发经营</w:t>
            </w:r>
          </w:p>
        </w:tc>
        <w:tc>
          <w:tcPr>
            <w:tcW w:w="1560" w:type="dxa"/>
            <w:vAlign w:val="center"/>
          </w:tcPr>
          <w:p w14:paraId="05D1E69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264D314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2EDFDC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Y≥200000</w:t>
            </w:r>
          </w:p>
        </w:tc>
        <w:tc>
          <w:tcPr>
            <w:tcW w:w="1891" w:type="dxa"/>
            <w:vAlign w:val="center"/>
          </w:tcPr>
          <w:p w14:paraId="192538C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1000≤Y＜200000</w:t>
            </w:r>
          </w:p>
        </w:tc>
        <w:tc>
          <w:tcPr>
            <w:tcW w:w="1730" w:type="dxa"/>
            <w:vAlign w:val="center"/>
          </w:tcPr>
          <w:p w14:paraId="7FCE117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4505B83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0B549C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B2F379E">
            <w:pPr>
              <w:widowControl/>
              <w:jc w:val="left"/>
              <w:rPr>
                <w:rFonts w:hint="eastAsia" w:ascii="仿宋" w:hAnsi="仿宋" w:eastAsia="仿宋" w:cs="仿宋"/>
                <w:color w:val="auto"/>
                <w:kern w:val="0"/>
                <w:sz w:val="24"/>
                <w:highlight w:val="none"/>
              </w:rPr>
            </w:pPr>
          </w:p>
        </w:tc>
        <w:tc>
          <w:tcPr>
            <w:tcW w:w="1560" w:type="dxa"/>
            <w:vAlign w:val="center"/>
          </w:tcPr>
          <w:p w14:paraId="3BBAFDC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3281A2C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4B4438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Z≥10000</w:t>
            </w:r>
          </w:p>
        </w:tc>
        <w:tc>
          <w:tcPr>
            <w:tcW w:w="1891" w:type="dxa"/>
            <w:vAlign w:val="center"/>
          </w:tcPr>
          <w:p w14:paraId="4584E4C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5000≤Z＜10000</w:t>
            </w:r>
          </w:p>
        </w:tc>
        <w:tc>
          <w:tcPr>
            <w:tcW w:w="1730" w:type="dxa"/>
            <w:vAlign w:val="center"/>
          </w:tcPr>
          <w:p w14:paraId="2F42652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2000≤Z＜5000</w:t>
            </w:r>
          </w:p>
        </w:tc>
        <w:tc>
          <w:tcPr>
            <w:tcW w:w="1203" w:type="dxa"/>
            <w:vAlign w:val="center"/>
          </w:tcPr>
          <w:p w14:paraId="0BF56FD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Z＜2000</w:t>
            </w:r>
          </w:p>
        </w:tc>
      </w:tr>
      <w:tr w14:paraId="33263E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095CD3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物业管理</w:t>
            </w:r>
          </w:p>
        </w:tc>
        <w:tc>
          <w:tcPr>
            <w:tcW w:w="1560" w:type="dxa"/>
            <w:vAlign w:val="center"/>
          </w:tcPr>
          <w:p w14:paraId="7EB4A24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513FA65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3B9D6E3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7A77EE1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6AF661D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203" w:type="dxa"/>
            <w:vAlign w:val="center"/>
          </w:tcPr>
          <w:p w14:paraId="4BF7694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w:t>
            </w:r>
          </w:p>
        </w:tc>
      </w:tr>
      <w:tr w14:paraId="3963D4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0313E57">
            <w:pPr>
              <w:widowControl/>
              <w:jc w:val="left"/>
              <w:rPr>
                <w:rFonts w:hint="eastAsia" w:ascii="仿宋" w:hAnsi="仿宋" w:eastAsia="仿宋" w:cs="仿宋"/>
                <w:color w:val="auto"/>
                <w:kern w:val="0"/>
                <w:sz w:val="24"/>
                <w:highlight w:val="none"/>
              </w:rPr>
            </w:pPr>
          </w:p>
        </w:tc>
        <w:tc>
          <w:tcPr>
            <w:tcW w:w="1560" w:type="dxa"/>
            <w:vAlign w:val="center"/>
          </w:tcPr>
          <w:p w14:paraId="22000D3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AFB6C7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78C90E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Y≥5000</w:t>
            </w:r>
          </w:p>
        </w:tc>
        <w:tc>
          <w:tcPr>
            <w:tcW w:w="1891" w:type="dxa"/>
            <w:vAlign w:val="center"/>
          </w:tcPr>
          <w:p w14:paraId="40B882F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730" w:type="dxa"/>
            <w:vAlign w:val="center"/>
          </w:tcPr>
          <w:p w14:paraId="18DFA18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500≤Y＜1000</w:t>
            </w:r>
          </w:p>
        </w:tc>
        <w:tc>
          <w:tcPr>
            <w:tcW w:w="1203" w:type="dxa"/>
            <w:vAlign w:val="center"/>
          </w:tcPr>
          <w:p w14:paraId="10F2D83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w:t>
            </w:r>
          </w:p>
        </w:tc>
      </w:tr>
      <w:tr w14:paraId="49E2F3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49C3EA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租赁和商务服务业</w:t>
            </w:r>
          </w:p>
        </w:tc>
        <w:tc>
          <w:tcPr>
            <w:tcW w:w="1560" w:type="dxa"/>
            <w:vAlign w:val="center"/>
          </w:tcPr>
          <w:p w14:paraId="612EDAD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5EE57BC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4AC5098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4459FD3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73F09B2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2490BD6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3F1154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0FB0F41">
            <w:pPr>
              <w:widowControl/>
              <w:jc w:val="left"/>
              <w:rPr>
                <w:rFonts w:hint="eastAsia" w:ascii="仿宋" w:hAnsi="仿宋" w:eastAsia="仿宋" w:cs="仿宋"/>
                <w:color w:val="auto"/>
                <w:kern w:val="0"/>
                <w:sz w:val="24"/>
                <w:highlight w:val="none"/>
              </w:rPr>
            </w:pPr>
          </w:p>
        </w:tc>
        <w:tc>
          <w:tcPr>
            <w:tcW w:w="1560" w:type="dxa"/>
            <w:vAlign w:val="center"/>
          </w:tcPr>
          <w:p w14:paraId="23C1F55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2D76161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833C21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Z≥120000</w:t>
            </w:r>
          </w:p>
        </w:tc>
        <w:tc>
          <w:tcPr>
            <w:tcW w:w="1891" w:type="dxa"/>
            <w:vAlign w:val="center"/>
          </w:tcPr>
          <w:p w14:paraId="24C59BF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8000≤Z＜120000</w:t>
            </w:r>
          </w:p>
        </w:tc>
        <w:tc>
          <w:tcPr>
            <w:tcW w:w="1730" w:type="dxa"/>
            <w:vAlign w:val="center"/>
          </w:tcPr>
          <w:p w14:paraId="29CE2CA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100≤Z＜8000</w:t>
            </w:r>
          </w:p>
        </w:tc>
        <w:tc>
          <w:tcPr>
            <w:tcW w:w="1203" w:type="dxa"/>
            <w:vAlign w:val="center"/>
          </w:tcPr>
          <w:p w14:paraId="55241D5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w:t>
            </w:r>
          </w:p>
        </w:tc>
      </w:tr>
      <w:tr w14:paraId="2F3E9F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5D0219B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其他未列明行业 *</w:t>
            </w:r>
          </w:p>
        </w:tc>
        <w:tc>
          <w:tcPr>
            <w:tcW w:w="1560" w:type="dxa"/>
            <w:vAlign w:val="center"/>
          </w:tcPr>
          <w:p w14:paraId="4B62D8D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A01573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912370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7F43D55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38E40DB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2C010D6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bl>
    <w:p w14:paraId="02CE183C">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说明： 　　</w:t>
      </w:r>
    </w:p>
    <w:p w14:paraId="79F87BA2">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1.大型、中型和小型企业须同时满足所列指标的下限，否则下划一档；微型企业只须满足所列指标中的一项即可。 　　</w:t>
      </w:r>
    </w:p>
    <w:p w14:paraId="46ED8DF7">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20FBF1B8">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3.企业划分指标以现行统计制度为准。</w:t>
      </w:r>
    </w:p>
    <w:p w14:paraId="429A5B58">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（1）从业人员，是指期末从业人员数，没有期末从业人员数的，采用全年平均人员数代替。</w:t>
      </w:r>
    </w:p>
    <w:p w14:paraId="0F1144E2">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70D965FD">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（3）资产总额，采用资产总计代替。</w:t>
      </w:r>
    </w:p>
    <w:p w14:paraId="5E0BD403">
      <w:pPr>
        <w:widowControl/>
        <w:jc w:val="left"/>
        <w:rPr>
          <w:rFonts w:hint="eastAsia" w:ascii="仿宋" w:hAnsi="仿宋" w:eastAsia="仿宋" w:cs="仿宋"/>
          <w:color w:val="auto"/>
          <w:kern w:val="0"/>
          <w:sz w:val="24"/>
          <w:highlight w:val="none"/>
        </w:rPr>
      </w:pPr>
    </w:p>
    <w:p w14:paraId="3E53F951">
      <w:pPr>
        <w:widowControl/>
        <w:jc w:val="left"/>
        <w:rPr>
          <w:rFonts w:hint="eastAsia" w:ascii="仿宋" w:hAnsi="仿宋" w:eastAsia="仿宋" w:cs="仿宋"/>
          <w:color w:val="auto"/>
          <w:kern w:val="0"/>
          <w:sz w:val="24"/>
          <w:highlight w:val="none"/>
        </w:rPr>
      </w:pPr>
    </w:p>
    <w:p w14:paraId="05731550">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《统计上大中小微型企业划分办法（2017）》修订说明</w:t>
      </w:r>
    </w:p>
    <w:p w14:paraId="540B9A02">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一、修订背景</w:t>
      </w:r>
    </w:p>
    <w:p w14:paraId="17B7D53A">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1B8CAA37">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33098E07">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二、修订主要内容</w:t>
      </w:r>
    </w:p>
    <w:p w14:paraId="4C546032">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3B7E94FA">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将交通运输业中包括的“装卸搬运和运输代理业”修改为“多式联运和运输代理业、装卸搬运”。</w:t>
      </w:r>
    </w:p>
    <w:p w14:paraId="58372064">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仓储业所包括的行业中类，根据《国民经济行业分类》（GB/T4754—2017）调整为“通用仓储，低温仓储，危险品仓储，谷物、棉花等农产品仓储，中药材仓储和其他仓储业”。</w:t>
      </w:r>
    </w:p>
    <w:p w14:paraId="3F48BADD">
      <w:pPr>
        <w:widowControl/>
        <w:jc w:val="left"/>
        <w:rPr>
          <w:rFonts w:hint="eastAsia" w:ascii="仿宋" w:hAnsi="仿宋" w:eastAsia="仿宋" w:cs="仿宋"/>
          <w:color w:val="auto"/>
          <w:kern w:val="0"/>
          <w:sz w:val="18"/>
          <w:szCs w:val="18"/>
          <w:highlight w:val="none"/>
        </w:rPr>
      </w:pPr>
    </w:p>
    <w:p w14:paraId="29C33D3F">
      <w:pPr>
        <w:widowControl/>
        <w:jc w:val="left"/>
        <w:rPr>
          <w:rFonts w:hint="eastAsia" w:ascii="仿宋" w:hAnsi="仿宋" w:eastAsia="仿宋" w:cs="仿宋"/>
          <w:color w:val="auto"/>
          <w:kern w:val="0"/>
          <w:sz w:val="18"/>
          <w:szCs w:val="18"/>
          <w:highlight w:val="none"/>
        </w:rPr>
      </w:pPr>
    </w:p>
    <w:p w14:paraId="53B1F337">
      <w:pPr>
        <w:widowControl/>
        <w:jc w:val="left"/>
        <w:rPr>
          <w:rFonts w:hint="eastAsia" w:ascii="仿宋" w:hAnsi="仿宋" w:eastAsia="仿宋" w:cs="仿宋"/>
          <w:color w:val="auto"/>
          <w:kern w:val="0"/>
          <w:sz w:val="18"/>
          <w:szCs w:val="18"/>
          <w:highlight w:val="none"/>
        </w:rPr>
      </w:pPr>
    </w:p>
    <w:p w14:paraId="31994A56">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中国人民银行中国银行业监督管理委员会</w:t>
      </w:r>
    </w:p>
    <w:p w14:paraId="49EFC1AB">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中国证券监督管理委员会中国保险监督管理委员会</w:t>
      </w:r>
    </w:p>
    <w:p w14:paraId="13023F67">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国家统计局关于印发《金融业企业划型标准规定》的通知</w:t>
      </w:r>
    </w:p>
    <w:p w14:paraId="52C32641">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77BEE9D0">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请人民银行上海总部，各分行、营业管理部、省会（首府）城市中心支行、副省级城市中心支行会同所在省（区、市）银监局、证监局、保监局、统计局将本通知联合转发至辖内相关机构。</w:t>
      </w:r>
    </w:p>
    <w:p w14:paraId="3A413977">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附件：金融业企业划型标准规定</w:t>
      </w:r>
    </w:p>
    <w:p w14:paraId="34451872">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金融业企业划型标准规定</w:t>
      </w:r>
    </w:p>
    <w:p w14:paraId="5C1E3913">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一、根据《中华人民共和国中小企业促进法》、《国务院关于进一步促进中小企业发展的若干意见》（国发〔2009〕36号）和《国务院办公厅关于金融支持小微企业发展的实施意见》（国办发〔2013〕87号），制定本规定。</w:t>
      </w:r>
    </w:p>
    <w:p w14:paraId="18179B9A">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二、适用范围。本规定适用于从事《国民经济行业分类》(GB/T4754-2011)中J门类（金融业）活动的企业。</w:t>
      </w:r>
    </w:p>
    <w:p w14:paraId="27B24AF8">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7E2BE3B6">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四、划型标准指标。采用一个完整会计年度中四个季度末法人并表口径的资产总额（信托公司为信托资产）平均值作为划型指标，该指标以监管部门数据为准。</w:t>
      </w:r>
    </w:p>
    <w:p w14:paraId="6E80DD8E">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五、指标标准值。依据指标标准值，将各类金融业企业划分为大、中、小、微四个规模类型，中型企业标准上限及以上的为大型企业。</w:t>
      </w:r>
    </w:p>
    <w:p w14:paraId="7592D278">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(一) 银行业存款类金融机构。资产总额40000亿元以下的为中小微型企业。其中，资产总额5000亿元及以上的为中型企业，资产总额50亿元及以上的为小型企业，资产总额50亿元以下的为微型企业。</w:t>
      </w:r>
    </w:p>
    <w:p w14:paraId="19ECB55D">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p>
    <w:p w14:paraId="49CDD324">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14:paraId="53A82495">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14:paraId="721943B9">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(五) 保险业金融机构。资产总额5000亿元以下的为中小微型企业。其中，资产总额400亿元及以上的为中型企业，资产总额20亿元及以上的为小型企业，资产总额20亿元以下的为微型企业。</w:t>
      </w:r>
    </w:p>
    <w:p w14:paraId="1DBA86B7">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14:paraId="3EADC850">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14:paraId="3BFCB5AB">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5614A182">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062EF292">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七、标准值的评估和调整。金融业企业划型标准工作组毎五年对划型标准值受经济发展与通货膨胀等因素的响程度进行评估和调整。</w:t>
      </w:r>
    </w:p>
    <w:p w14:paraId="4BA33B85">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八、本规定的中型金融业企业标准上限即为大型金融业企业下限。国务院有关部门据此进行相关数据的统计分析，不得制定与本规定不一致的金融业企业划型标准。</w:t>
      </w:r>
    </w:p>
    <w:p w14:paraId="3889F857">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九</w:t>
      </w:r>
      <w:r>
        <w:rPr>
          <w:rFonts w:hint="eastAsia" w:ascii="仿宋" w:hAnsi="仿宋" w:eastAsia="仿宋" w:cs="仿宋"/>
          <w:color w:val="auto"/>
          <w:kern w:val="0"/>
          <w:szCs w:val="21"/>
          <w:highlight w:val="none"/>
          <w:lang w:eastAsia="zh-CN"/>
        </w:rPr>
        <w:t>、</w:t>
      </w:r>
      <w:r>
        <w:rPr>
          <w:rFonts w:hint="eastAsia" w:ascii="仿宋" w:hAnsi="仿宋" w:eastAsia="仿宋" w:cs="仿宋"/>
          <w:color w:val="auto"/>
          <w:kern w:val="0"/>
          <w:szCs w:val="21"/>
          <w:highlight w:val="none"/>
        </w:rPr>
        <w:t>融资担保公司参照本规定中“除贷款公司、小额贷款公司、典当行以外的其他金融机构”标准划型。</w:t>
      </w:r>
    </w:p>
    <w:p w14:paraId="6C3EB8D8">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十、本规定由人民银行会同银监会，证监会、保监会和统计局负责解释。</w:t>
      </w:r>
    </w:p>
    <w:p w14:paraId="281107C9">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eastAsia" w:ascii="仿宋" w:hAnsi="仿宋" w:eastAsia="仿宋" w:cs="仿宋"/>
          <w:color w:val="auto"/>
          <w:kern w:val="0"/>
          <w:szCs w:val="21"/>
          <w:highlight w:val="none"/>
          <w:lang w:val="en-US" w:eastAsia="zh-CN"/>
        </w:rPr>
        <w:t xml:space="preserve"> </w:t>
      </w:r>
      <w:r>
        <w:rPr>
          <w:rFonts w:hint="eastAsia" w:ascii="仿宋" w:hAnsi="仿宋" w:eastAsia="仿宋" w:cs="仿宋"/>
          <w:color w:val="auto"/>
          <w:kern w:val="0"/>
          <w:szCs w:val="21"/>
          <w:highlight w:val="none"/>
        </w:rPr>
        <w:t>十一、本规定自发布之日起实施。</w:t>
      </w:r>
    </w:p>
    <w:p w14:paraId="449EEA11">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附：金融业企业划型标准</w:t>
      </w:r>
    </w:p>
    <w:p w14:paraId="7B0BAB62">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30F610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222E9A19">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w:t>
            </w:r>
          </w:p>
        </w:tc>
        <w:tc>
          <w:tcPr>
            <w:tcW w:w="2836" w:type="dxa"/>
            <w:tcMar>
              <w:top w:w="75" w:type="dxa"/>
              <w:left w:w="75" w:type="dxa"/>
              <w:bottom w:w="75" w:type="dxa"/>
              <w:right w:w="75" w:type="dxa"/>
            </w:tcMar>
            <w:vAlign w:val="bottom"/>
          </w:tcPr>
          <w:p w14:paraId="6859F3A2">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类别</w:t>
            </w:r>
          </w:p>
        </w:tc>
        <w:tc>
          <w:tcPr>
            <w:tcW w:w="606" w:type="dxa"/>
            <w:tcMar>
              <w:top w:w="75" w:type="dxa"/>
              <w:left w:w="75" w:type="dxa"/>
              <w:bottom w:w="75" w:type="dxa"/>
              <w:right w:w="75" w:type="dxa"/>
            </w:tcMar>
            <w:vAlign w:val="bottom"/>
          </w:tcPr>
          <w:p w14:paraId="4DAC3B09">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类型</w:t>
            </w:r>
          </w:p>
        </w:tc>
        <w:tc>
          <w:tcPr>
            <w:tcW w:w="3326" w:type="dxa"/>
            <w:tcMar>
              <w:top w:w="75" w:type="dxa"/>
              <w:left w:w="75" w:type="dxa"/>
              <w:bottom w:w="75" w:type="dxa"/>
              <w:right w:w="75" w:type="dxa"/>
            </w:tcMar>
            <w:vAlign w:val="bottom"/>
          </w:tcPr>
          <w:p w14:paraId="45651004">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资产总额</w:t>
            </w:r>
          </w:p>
        </w:tc>
      </w:tr>
      <w:tr w14:paraId="32BA9A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77D904B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货币金融服务</w:t>
            </w:r>
          </w:p>
        </w:tc>
        <w:tc>
          <w:tcPr>
            <w:tcW w:w="1025" w:type="dxa"/>
            <w:vMerge w:val="restart"/>
            <w:vAlign w:val="center"/>
          </w:tcPr>
          <w:p w14:paraId="0C941E6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货币银行服务</w:t>
            </w:r>
          </w:p>
        </w:tc>
        <w:tc>
          <w:tcPr>
            <w:tcW w:w="2836" w:type="dxa"/>
            <w:vMerge w:val="restart"/>
            <w:vAlign w:val="center"/>
          </w:tcPr>
          <w:p w14:paraId="195A31B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银行业存款类金融机构</w:t>
            </w:r>
          </w:p>
        </w:tc>
        <w:tc>
          <w:tcPr>
            <w:tcW w:w="606" w:type="dxa"/>
            <w:vAlign w:val="center"/>
          </w:tcPr>
          <w:p w14:paraId="30FF7AD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24AD35B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718525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C40C501">
            <w:pPr>
              <w:widowControl/>
              <w:jc w:val="left"/>
              <w:rPr>
                <w:rFonts w:hint="eastAsia" w:ascii="仿宋" w:hAnsi="仿宋" w:eastAsia="仿宋" w:cs="仿宋"/>
                <w:color w:val="auto"/>
                <w:kern w:val="0"/>
                <w:sz w:val="24"/>
                <w:highlight w:val="none"/>
              </w:rPr>
            </w:pPr>
          </w:p>
        </w:tc>
        <w:tc>
          <w:tcPr>
            <w:tcW w:w="1025" w:type="dxa"/>
            <w:vMerge w:val="continue"/>
            <w:vAlign w:val="center"/>
          </w:tcPr>
          <w:p w14:paraId="386A5FDD">
            <w:pPr>
              <w:widowControl/>
              <w:jc w:val="left"/>
              <w:rPr>
                <w:rFonts w:hint="eastAsia" w:ascii="仿宋" w:hAnsi="仿宋" w:eastAsia="仿宋" w:cs="仿宋"/>
                <w:color w:val="auto"/>
                <w:kern w:val="0"/>
                <w:sz w:val="24"/>
                <w:highlight w:val="none"/>
              </w:rPr>
            </w:pPr>
          </w:p>
        </w:tc>
        <w:tc>
          <w:tcPr>
            <w:tcW w:w="2836" w:type="dxa"/>
            <w:vMerge w:val="continue"/>
            <w:vAlign w:val="center"/>
          </w:tcPr>
          <w:p w14:paraId="7B73A5DF">
            <w:pPr>
              <w:widowControl/>
              <w:jc w:val="left"/>
              <w:rPr>
                <w:rFonts w:hint="eastAsia" w:ascii="仿宋" w:hAnsi="仿宋" w:eastAsia="仿宋" w:cs="仿宋"/>
                <w:color w:val="auto"/>
                <w:kern w:val="0"/>
                <w:sz w:val="24"/>
                <w:highlight w:val="none"/>
              </w:rPr>
            </w:pPr>
          </w:p>
        </w:tc>
        <w:tc>
          <w:tcPr>
            <w:tcW w:w="606" w:type="dxa"/>
            <w:vAlign w:val="center"/>
          </w:tcPr>
          <w:p w14:paraId="2AB69F0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015F91E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48E3C6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472DDDD">
            <w:pPr>
              <w:widowControl/>
              <w:jc w:val="left"/>
              <w:rPr>
                <w:rFonts w:hint="eastAsia" w:ascii="仿宋" w:hAnsi="仿宋" w:eastAsia="仿宋" w:cs="仿宋"/>
                <w:color w:val="auto"/>
                <w:kern w:val="0"/>
                <w:sz w:val="24"/>
                <w:highlight w:val="none"/>
              </w:rPr>
            </w:pPr>
          </w:p>
        </w:tc>
        <w:tc>
          <w:tcPr>
            <w:tcW w:w="1025" w:type="dxa"/>
            <w:vMerge w:val="continue"/>
            <w:vAlign w:val="center"/>
          </w:tcPr>
          <w:p w14:paraId="50DC3140">
            <w:pPr>
              <w:widowControl/>
              <w:jc w:val="left"/>
              <w:rPr>
                <w:rFonts w:hint="eastAsia" w:ascii="仿宋" w:hAnsi="仿宋" w:eastAsia="仿宋" w:cs="仿宋"/>
                <w:color w:val="auto"/>
                <w:kern w:val="0"/>
                <w:sz w:val="24"/>
                <w:highlight w:val="none"/>
              </w:rPr>
            </w:pPr>
          </w:p>
        </w:tc>
        <w:tc>
          <w:tcPr>
            <w:tcW w:w="2836" w:type="dxa"/>
            <w:vMerge w:val="continue"/>
            <w:vAlign w:val="center"/>
          </w:tcPr>
          <w:p w14:paraId="11AC465D">
            <w:pPr>
              <w:widowControl/>
              <w:jc w:val="left"/>
              <w:rPr>
                <w:rFonts w:hint="eastAsia" w:ascii="仿宋" w:hAnsi="仿宋" w:eastAsia="仿宋" w:cs="仿宋"/>
                <w:color w:val="auto"/>
                <w:kern w:val="0"/>
                <w:sz w:val="24"/>
                <w:highlight w:val="none"/>
              </w:rPr>
            </w:pPr>
          </w:p>
        </w:tc>
        <w:tc>
          <w:tcPr>
            <w:tcW w:w="606" w:type="dxa"/>
            <w:vAlign w:val="center"/>
          </w:tcPr>
          <w:p w14:paraId="5FB46E1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530EFEB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7936A8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BC4B37E">
            <w:pPr>
              <w:widowControl/>
              <w:jc w:val="left"/>
              <w:rPr>
                <w:rFonts w:hint="eastAsia" w:ascii="仿宋" w:hAnsi="仿宋" w:eastAsia="仿宋" w:cs="仿宋"/>
                <w:color w:val="auto"/>
                <w:kern w:val="0"/>
                <w:sz w:val="24"/>
                <w:highlight w:val="none"/>
              </w:rPr>
            </w:pPr>
          </w:p>
        </w:tc>
        <w:tc>
          <w:tcPr>
            <w:tcW w:w="1025" w:type="dxa"/>
            <w:vMerge w:val="restart"/>
            <w:vAlign w:val="center"/>
          </w:tcPr>
          <w:p w14:paraId="5214AB0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非货币银行服务</w:t>
            </w:r>
          </w:p>
        </w:tc>
        <w:tc>
          <w:tcPr>
            <w:tcW w:w="2836" w:type="dxa"/>
            <w:vMerge w:val="restart"/>
            <w:vAlign w:val="center"/>
          </w:tcPr>
          <w:p w14:paraId="79D1329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银行业非存款类金融机构</w:t>
            </w:r>
          </w:p>
        </w:tc>
        <w:tc>
          <w:tcPr>
            <w:tcW w:w="606" w:type="dxa"/>
            <w:vAlign w:val="center"/>
          </w:tcPr>
          <w:p w14:paraId="3EA9B46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12D3691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57460E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B2F315B">
            <w:pPr>
              <w:widowControl/>
              <w:jc w:val="left"/>
              <w:rPr>
                <w:rFonts w:hint="eastAsia" w:ascii="仿宋" w:hAnsi="仿宋" w:eastAsia="仿宋" w:cs="仿宋"/>
                <w:color w:val="auto"/>
                <w:kern w:val="0"/>
                <w:sz w:val="24"/>
                <w:highlight w:val="none"/>
              </w:rPr>
            </w:pPr>
          </w:p>
        </w:tc>
        <w:tc>
          <w:tcPr>
            <w:tcW w:w="1025" w:type="dxa"/>
            <w:vMerge w:val="continue"/>
            <w:vAlign w:val="center"/>
          </w:tcPr>
          <w:p w14:paraId="4936FF6F">
            <w:pPr>
              <w:widowControl/>
              <w:jc w:val="left"/>
              <w:rPr>
                <w:rFonts w:hint="eastAsia" w:ascii="仿宋" w:hAnsi="仿宋" w:eastAsia="仿宋" w:cs="仿宋"/>
                <w:color w:val="auto"/>
                <w:kern w:val="0"/>
                <w:sz w:val="24"/>
                <w:highlight w:val="none"/>
              </w:rPr>
            </w:pPr>
          </w:p>
        </w:tc>
        <w:tc>
          <w:tcPr>
            <w:tcW w:w="2836" w:type="dxa"/>
            <w:vMerge w:val="continue"/>
            <w:vAlign w:val="center"/>
          </w:tcPr>
          <w:p w14:paraId="0F324BCA">
            <w:pPr>
              <w:widowControl/>
              <w:jc w:val="left"/>
              <w:rPr>
                <w:rFonts w:hint="eastAsia" w:ascii="仿宋" w:hAnsi="仿宋" w:eastAsia="仿宋" w:cs="仿宋"/>
                <w:color w:val="auto"/>
                <w:kern w:val="0"/>
                <w:sz w:val="24"/>
                <w:highlight w:val="none"/>
              </w:rPr>
            </w:pPr>
          </w:p>
        </w:tc>
        <w:tc>
          <w:tcPr>
            <w:tcW w:w="606" w:type="dxa"/>
            <w:vAlign w:val="center"/>
          </w:tcPr>
          <w:p w14:paraId="6CF891F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40E7404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6DB86C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ACDA1B9">
            <w:pPr>
              <w:widowControl/>
              <w:jc w:val="left"/>
              <w:rPr>
                <w:rFonts w:hint="eastAsia" w:ascii="仿宋" w:hAnsi="仿宋" w:eastAsia="仿宋" w:cs="仿宋"/>
                <w:color w:val="auto"/>
                <w:kern w:val="0"/>
                <w:sz w:val="24"/>
                <w:highlight w:val="none"/>
              </w:rPr>
            </w:pPr>
          </w:p>
        </w:tc>
        <w:tc>
          <w:tcPr>
            <w:tcW w:w="1025" w:type="dxa"/>
            <w:vMerge w:val="continue"/>
            <w:vAlign w:val="center"/>
          </w:tcPr>
          <w:p w14:paraId="3B9E7798">
            <w:pPr>
              <w:widowControl/>
              <w:jc w:val="left"/>
              <w:rPr>
                <w:rFonts w:hint="eastAsia" w:ascii="仿宋" w:hAnsi="仿宋" w:eastAsia="仿宋" w:cs="仿宋"/>
                <w:color w:val="auto"/>
                <w:kern w:val="0"/>
                <w:sz w:val="24"/>
                <w:highlight w:val="none"/>
              </w:rPr>
            </w:pPr>
          </w:p>
        </w:tc>
        <w:tc>
          <w:tcPr>
            <w:tcW w:w="2836" w:type="dxa"/>
            <w:vMerge w:val="continue"/>
            <w:vAlign w:val="center"/>
          </w:tcPr>
          <w:p w14:paraId="0E93E8CA">
            <w:pPr>
              <w:widowControl/>
              <w:jc w:val="left"/>
              <w:rPr>
                <w:rFonts w:hint="eastAsia" w:ascii="仿宋" w:hAnsi="仿宋" w:eastAsia="仿宋" w:cs="仿宋"/>
                <w:color w:val="auto"/>
                <w:kern w:val="0"/>
                <w:sz w:val="24"/>
                <w:highlight w:val="none"/>
              </w:rPr>
            </w:pPr>
          </w:p>
        </w:tc>
        <w:tc>
          <w:tcPr>
            <w:tcW w:w="606" w:type="dxa"/>
            <w:vAlign w:val="center"/>
          </w:tcPr>
          <w:p w14:paraId="04CB9D7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5568908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28A638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44A5E55">
            <w:pPr>
              <w:widowControl/>
              <w:jc w:val="left"/>
              <w:rPr>
                <w:rFonts w:hint="eastAsia" w:ascii="仿宋" w:hAnsi="仿宋" w:eastAsia="仿宋" w:cs="仿宋"/>
                <w:color w:val="auto"/>
                <w:kern w:val="0"/>
                <w:sz w:val="24"/>
                <w:highlight w:val="none"/>
              </w:rPr>
            </w:pPr>
          </w:p>
        </w:tc>
        <w:tc>
          <w:tcPr>
            <w:tcW w:w="1025" w:type="dxa"/>
            <w:vMerge w:val="continue"/>
            <w:vAlign w:val="center"/>
          </w:tcPr>
          <w:p w14:paraId="6FBE4452">
            <w:pPr>
              <w:widowControl/>
              <w:jc w:val="left"/>
              <w:rPr>
                <w:rFonts w:hint="eastAsia" w:ascii="仿宋" w:hAnsi="仿宋" w:eastAsia="仿宋" w:cs="仿宋"/>
                <w:color w:val="auto"/>
                <w:kern w:val="0"/>
                <w:sz w:val="24"/>
                <w:highlight w:val="none"/>
              </w:rPr>
            </w:pPr>
          </w:p>
        </w:tc>
        <w:tc>
          <w:tcPr>
            <w:tcW w:w="2836" w:type="dxa"/>
            <w:vMerge w:val="restart"/>
            <w:vAlign w:val="center"/>
          </w:tcPr>
          <w:p w14:paraId="15EAC0E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贷款公司、小额贷款公司及典当行</w:t>
            </w:r>
          </w:p>
        </w:tc>
        <w:tc>
          <w:tcPr>
            <w:tcW w:w="606" w:type="dxa"/>
            <w:vAlign w:val="center"/>
          </w:tcPr>
          <w:p w14:paraId="6D590E5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72472DA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41E11A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D1F6C94">
            <w:pPr>
              <w:widowControl/>
              <w:jc w:val="left"/>
              <w:rPr>
                <w:rFonts w:hint="eastAsia" w:ascii="仿宋" w:hAnsi="仿宋" w:eastAsia="仿宋" w:cs="仿宋"/>
                <w:color w:val="auto"/>
                <w:kern w:val="0"/>
                <w:sz w:val="24"/>
                <w:highlight w:val="none"/>
              </w:rPr>
            </w:pPr>
          </w:p>
        </w:tc>
        <w:tc>
          <w:tcPr>
            <w:tcW w:w="1025" w:type="dxa"/>
            <w:vMerge w:val="continue"/>
            <w:vAlign w:val="center"/>
          </w:tcPr>
          <w:p w14:paraId="6FF4C61C">
            <w:pPr>
              <w:widowControl/>
              <w:jc w:val="left"/>
              <w:rPr>
                <w:rFonts w:hint="eastAsia" w:ascii="仿宋" w:hAnsi="仿宋" w:eastAsia="仿宋" w:cs="仿宋"/>
                <w:color w:val="auto"/>
                <w:kern w:val="0"/>
                <w:sz w:val="24"/>
                <w:highlight w:val="none"/>
              </w:rPr>
            </w:pPr>
          </w:p>
        </w:tc>
        <w:tc>
          <w:tcPr>
            <w:tcW w:w="2836" w:type="dxa"/>
            <w:vMerge w:val="continue"/>
            <w:vAlign w:val="center"/>
          </w:tcPr>
          <w:p w14:paraId="5A6737F9">
            <w:pPr>
              <w:widowControl/>
              <w:jc w:val="left"/>
              <w:rPr>
                <w:rFonts w:hint="eastAsia" w:ascii="仿宋" w:hAnsi="仿宋" w:eastAsia="仿宋" w:cs="仿宋"/>
                <w:color w:val="auto"/>
                <w:kern w:val="0"/>
                <w:sz w:val="24"/>
                <w:highlight w:val="none"/>
              </w:rPr>
            </w:pPr>
          </w:p>
        </w:tc>
        <w:tc>
          <w:tcPr>
            <w:tcW w:w="606" w:type="dxa"/>
            <w:vAlign w:val="center"/>
          </w:tcPr>
          <w:p w14:paraId="7818C67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7134EB4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27724B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3D18212">
            <w:pPr>
              <w:widowControl/>
              <w:jc w:val="left"/>
              <w:rPr>
                <w:rFonts w:hint="eastAsia" w:ascii="仿宋" w:hAnsi="仿宋" w:eastAsia="仿宋" w:cs="仿宋"/>
                <w:color w:val="auto"/>
                <w:kern w:val="0"/>
                <w:sz w:val="24"/>
                <w:highlight w:val="none"/>
              </w:rPr>
            </w:pPr>
          </w:p>
        </w:tc>
        <w:tc>
          <w:tcPr>
            <w:tcW w:w="1025" w:type="dxa"/>
            <w:vMerge w:val="continue"/>
            <w:vAlign w:val="center"/>
          </w:tcPr>
          <w:p w14:paraId="16B14EE5">
            <w:pPr>
              <w:widowControl/>
              <w:jc w:val="left"/>
              <w:rPr>
                <w:rFonts w:hint="eastAsia" w:ascii="仿宋" w:hAnsi="仿宋" w:eastAsia="仿宋" w:cs="仿宋"/>
                <w:color w:val="auto"/>
                <w:kern w:val="0"/>
                <w:sz w:val="24"/>
                <w:highlight w:val="none"/>
              </w:rPr>
            </w:pPr>
          </w:p>
        </w:tc>
        <w:tc>
          <w:tcPr>
            <w:tcW w:w="2836" w:type="dxa"/>
            <w:vMerge w:val="continue"/>
            <w:vAlign w:val="center"/>
          </w:tcPr>
          <w:p w14:paraId="4D834560">
            <w:pPr>
              <w:widowControl/>
              <w:jc w:val="left"/>
              <w:rPr>
                <w:rFonts w:hint="eastAsia" w:ascii="仿宋" w:hAnsi="仿宋" w:eastAsia="仿宋" w:cs="仿宋"/>
                <w:color w:val="auto"/>
                <w:kern w:val="0"/>
                <w:sz w:val="24"/>
                <w:highlight w:val="none"/>
              </w:rPr>
            </w:pPr>
          </w:p>
        </w:tc>
        <w:tc>
          <w:tcPr>
            <w:tcW w:w="606" w:type="dxa"/>
            <w:vAlign w:val="center"/>
          </w:tcPr>
          <w:p w14:paraId="1FBDBB2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7205C08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27AEB4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4716FB8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资本市场服务</w:t>
            </w:r>
          </w:p>
        </w:tc>
        <w:tc>
          <w:tcPr>
            <w:tcW w:w="2836" w:type="dxa"/>
            <w:vMerge w:val="restart"/>
            <w:vAlign w:val="center"/>
          </w:tcPr>
          <w:p w14:paraId="3CDB1B6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证券业金融机构</w:t>
            </w:r>
          </w:p>
        </w:tc>
        <w:tc>
          <w:tcPr>
            <w:tcW w:w="606" w:type="dxa"/>
            <w:vAlign w:val="center"/>
          </w:tcPr>
          <w:p w14:paraId="5BF4B20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000D201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100亿元（含）至1000亿元</w:t>
            </w:r>
          </w:p>
        </w:tc>
      </w:tr>
      <w:tr w14:paraId="246B3C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CBEE424">
            <w:pPr>
              <w:widowControl/>
              <w:jc w:val="left"/>
              <w:rPr>
                <w:rFonts w:hint="eastAsia" w:ascii="仿宋" w:hAnsi="仿宋" w:eastAsia="仿宋" w:cs="仿宋"/>
                <w:color w:val="auto"/>
                <w:kern w:val="0"/>
                <w:sz w:val="24"/>
                <w:highlight w:val="none"/>
              </w:rPr>
            </w:pPr>
          </w:p>
        </w:tc>
        <w:tc>
          <w:tcPr>
            <w:tcW w:w="2836" w:type="dxa"/>
            <w:vMerge w:val="continue"/>
            <w:vAlign w:val="center"/>
          </w:tcPr>
          <w:p w14:paraId="5AA206AD">
            <w:pPr>
              <w:widowControl/>
              <w:jc w:val="left"/>
              <w:rPr>
                <w:rFonts w:hint="eastAsia" w:ascii="仿宋" w:hAnsi="仿宋" w:eastAsia="仿宋" w:cs="仿宋"/>
                <w:color w:val="auto"/>
                <w:kern w:val="0"/>
                <w:sz w:val="24"/>
                <w:highlight w:val="none"/>
              </w:rPr>
            </w:pPr>
          </w:p>
        </w:tc>
        <w:tc>
          <w:tcPr>
            <w:tcW w:w="606" w:type="dxa"/>
            <w:vAlign w:val="center"/>
          </w:tcPr>
          <w:p w14:paraId="131B337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1DE42FF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10亿元（含）至100亿元</w:t>
            </w:r>
          </w:p>
        </w:tc>
      </w:tr>
      <w:tr w14:paraId="29DE5D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5BBBC30">
            <w:pPr>
              <w:widowControl/>
              <w:jc w:val="left"/>
              <w:rPr>
                <w:rFonts w:hint="eastAsia" w:ascii="仿宋" w:hAnsi="仿宋" w:eastAsia="仿宋" w:cs="仿宋"/>
                <w:color w:val="auto"/>
                <w:kern w:val="0"/>
                <w:sz w:val="24"/>
                <w:highlight w:val="none"/>
              </w:rPr>
            </w:pPr>
          </w:p>
        </w:tc>
        <w:tc>
          <w:tcPr>
            <w:tcW w:w="2836" w:type="dxa"/>
            <w:vMerge w:val="continue"/>
            <w:vAlign w:val="center"/>
          </w:tcPr>
          <w:p w14:paraId="36AD4A2C">
            <w:pPr>
              <w:widowControl/>
              <w:jc w:val="left"/>
              <w:rPr>
                <w:rFonts w:hint="eastAsia" w:ascii="仿宋" w:hAnsi="仿宋" w:eastAsia="仿宋" w:cs="仿宋"/>
                <w:color w:val="auto"/>
                <w:kern w:val="0"/>
                <w:sz w:val="24"/>
                <w:highlight w:val="none"/>
              </w:rPr>
            </w:pPr>
          </w:p>
        </w:tc>
        <w:tc>
          <w:tcPr>
            <w:tcW w:w="606" w:type="dxa"/>
            <w:vAlign w:val="center"/>
          </w:tcPr>
          <w:p w14:paraId="26B77FF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4FFEF2F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10亿元以下</w:t>
            </w:r>
          </w:p>
        </w:tc>
      </w:tr>
      <w:tr w14:paraId="66BA7D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7286084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w:t>
            </w:r>
          </w:p>
        </w:tc>
        <w:tc>
          <w:tcPr>
            <w:tcW w:w="2836" w:type="dxa"/>
            <w:vMerge w:val="restart"/>
            <w:vAlign w:val="center"/>
          </w:tcPr>
          <w:p w14:paraId="0A1EDDF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保险业金融机构</w:t>
            </w:r>
          </w:p>
        </w:tc>
        <w:tc>
          <w:tcPr>
            <w:tcW w:w="606" w:type="dxa"/>
            <w:vAlign w:val="center"/>
          </w:tcPr>
          <w:p w14:paraId="69D3493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28D8F8F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400亿元（含）至5000亿元</w:t>
            </w:r>
          </w:p>
        </w:tc>
      </w:tr>
      <w:tr w14:paraId="5FF2B9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325F4DBC">
            <w:pPr>
              <w:widowControl/>
              <w:jc w:val="left"/>
              <w:rPr>
                <w:rFonts w:hint="eastAsia" w:ascii="仿宋" w:hAnsi="仿宋" w:eastAsia="仿宋" w:cs="仿宋"/>
                <w:color w:val="auto"/>
                <w:kern w:val="0"/>
                <w:sz w:val="24"/>
                <w:highlight w:val="none"/>
              </w:rPr>
            </w:pPr>
          </w:p>
        </w:tc>
        <w:tc>
          <w:tcPr>
            <w:tcW w:w="2836" w:type="dxa"/>
            <w:vMerge w:val="continue"/>
            <w:vAlign w:val="center"/>
          </w:tcPr>
          <w:p w14:paraId="4C53CF63">
            <w:pPr>
              <w:widowControl/>
              <w:jc w:val="left"/>
              <w:rPr>
                <w:rFonts w:hint="eastAsia" w:ascii="仿宋" w:hAnsi="仿宋" w:eastAsia="仿宋" w:cs="仿宋"/>
                <w:color w:val="auto"/>
                <w:kern w:val="0"/>
                <w:sz w:val="24"/>
                <w:highlight w:val="none"/>
              </w:rPr>
            </w:pPr>
          </w:p>
        </w:tc>
        <w:tc>
          <w:tcPr>
            <w:tcW w:w="606" w:type="dxa"/>
            <w:vAlign w:val="center"/>
          </w:tcPr>
          <w:p w14:paraId="4509B6C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0BF33A7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1BE8C3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3C9555D3">
            <w:pPr>
              <w:widowControl/>
              <w:jc w:val="left"/>
              <w:rPr>
                <w:rFonts w:hint="eastAsia" w:ascii="仿宋" w:hAnsi="仿宋" w:eastAsia="仿宋" w:cs="仿宋"/>
                <w:color w:val="auto"/>
                <w:kern w:val="0"/>
                <w:sz w:val="24"/>
                <w:highlight w:val="none"/>
              </w:rPr>
            </w:pPr>
          </w:p>
        </w:tc>
        <w:tc>
          <w:tcPr>
            <w:tcW w:w="2836" w:type="dxa"/>
            <w:vMerge w:val="continue"/>
            <w:vAlign w:val="center"/>
          </w:tcPr>
          <w:p w14:paraId="2A207ED0">
            <w:pPr>
              <w:widowControl/>
              <w:jc w:val="left"/>
              <w:rPr>
                <w:rFonts w:hint="eastAsia" w:ascii="仿宋" w:hAnsi="仿宋" w:eastAsia="仿宋" w:cs="仿宋"/>
                <w:color w:val="auto"/>
                <w:kern w:val="0"/>
                <w:sz w:val="24"/>
                <w:highlight w:val="none"/>
              </w:rPr>
            </w:pPr>
          </w:p>
        </w:tc>
        <w:tc>
          <w:tcPr>
            <w:tcW w:w="606" w:type="dxa"/>
            <w:vAlign w:val="center"/>
          </w:tcPr>
          <w:p w14:paraId="7393968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3B96379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7A81BE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6D6037B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其他金融业</w:t>
            </w:r>
          </w:p>
        </w:tc>
        <w:tc>
          <w:tcPr>
            <w:tcW w:w="1025" w:type="dxa"/>
            <w:vMerge w:val="restart"/>
            <w:vAlign w:val="center"/>
          </w:tcPr>
          <w:p w14:paraId="71F58D0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金融信托与管理服务</w:t>
            </w:r>
          </w:p>
        </w:tc>
        <w:tc>
          <w:tcPr>
            <w:tcW w:w="2836" w:type="dxa"/>
            <w:vMerge w:val="restart"/>
            <w:vAlign w:val="center"/>
          </w:tcPr>
          <w:p w14:paraId="4049047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信托公司</w:t>
            </w:r>
          </w:p>
        </w:tc>
        <w:tc>
          <w:tcPr>
            <w:tcW w:w="606" w:type="dxa"/>
            <w:vAlign w:val="center"/>
          </w:tcPr>
          <w:p w14:paraId="33EE6BB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58990E8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400亿元（含）至1000亿元</w:t>
            </w:r>
          </w:p>
        </w:tc>
      </w:tr>
      <w:tr w14:paraId="49EB34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FDC062E">
            <w:pPr>
              <w:widowControl/>
              <w:jc w:val="left"/>
              <w:rPr>
                <w:rFonts w:hint="eastAsia" w:ascii="仿宋" w:hAnsi="仿宋" w:eastAsia="仿宋" w:cs="仿宋"/>
                <w:color w:val="auto"/>
                <w:kern w:val="0"/>
                <w:sz w:val="24"/>
                <w:highlight w:val="none"/>
              </w:rPr>
            </w:pPr>
          </w:p>
        </w:tc>
        <w:tc>
          <w:tcPr>
            <w:tcW w:w="1025" w:type="dxa"/>
            <w:vMerge w:val="continue"/>
            <w:vAlign w:val="center"/>
          </w:tcPr>
          <w:p w14:paraId="506DD280">
            <w:pPr>
              <w:widowControl/>
              <w:jc w:val="left"/>
              <w:rPr>
                <w:rFonts w:hint="eastAsia" w:ascii="仿宋" w:hAnsi="仿宋" w:eastAsia="仿宋" w:cs="仿宋"/>
                <w:color w:val="auto"/>
                <w:kern w:val="0"/>
                <w:sz w:val="24"/>
                <w:highlight w:val="none"/>
              </w:rPr>
            </w:pPr>
          </w:p>
        </w:tc>
        <w:tc>
          <w:tcPr>
            <w:tcW w:w="2836" w:type="dxa"/>
            <w:vMerge w:val="continue"/>
            <w:vAlign w:val="center"/>
          </w:tcPr>
          <w:p w14:paraId="2D3BC5C3">
            <w:pPr>
              <w:widowControl/>
              <w:jc w:val="left"/>
              <w:rPr>
                <w:rFonts w:hint="eastAsia" w:ascii="仿宋" w:hAnsi="仿宋" w:eastAsia="仿宋" w:cs="仿宋"/>
                <w:color w:val="auto"/>
                <w:kern w:val="0"/>
                <w:sz w:val="24"/>
                <w:highlight w:val="none"/>
              </w:rPr>
            </w:pPr>
          </w:p>
        </w:tc>
        <w:tc>
          <w:tcPr>
            <w:tcW w:w="606" w:type="dxa"/>
            <w:vAlign w:val="center"/>
          </w:tcPr>
          <w:p w14:paraId="2B2054E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38CB973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48828B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38EE611">
            <w:pPr>
              <w:widowControl/>
              <w:jc w:val="left"/>
              <w:rPr>
                <w:rFonts w:hint="eastAsia" w:ascii="仿宋" w:hAnsi="仿宋" w:eastAsia="仿宋" w:cs="仿宋"/>
                <w:color w:val="auto"/>
                <w:kern w:val="0"/>
                <w:sz w:val="24"/>
                <w:highlight w:val="none"/>
              </w:rPr>
            </w:pPr>
          </w:p>
        </w:tc>
        <w:tc>
          <w:tcPr>
            <w:tcW w:w="1025" w:type="dxa"/>
            <w:vMerge w:val="continue"/>
            <w:vAlign w:val="center"/>
          </w:tcPr>
          <w:p w14:paraId="29FB93EA">
            <w:pPr>
              <w:widowControl/>
              <w:jc w:val="left"/>
              <w:rPr>
                <w:rFonts w:hint="eastAsia" w:ascii="仿宋" w:hAnsi="仿宋" w:eastAsia="仿宋" w:cs="仿宋"/>
                <w:color w:val="auto"/>
                <w:kern w:val="0"/>
                <w:sz w:val="24"/>
                <w:highlight w:val="none"/>
              </w:rPr>
            </w:pPr>
          </w:p>
        </w:tc>
        <w:tc>
          <w:tcPr>
            <w:tcW w:w="2836" w:type="dxa"/>
            <w:vMerge w:val="continue"/>
            <w:vAlign w:val="center"/>
          </w:tcPr>
          <w:p w14:paraId="688106EE">
            <w:pPr>
              <w:widowControl/>
              <w:jc w:val="left"/>
              <w:rPr>
                <w:rFonts w:hint="eastAsia" w:ascii="仿宋" w:hAnsi="仿宋" w:eastAsia="仿宋" w:cs="仿宋"/>
                <w:color w:val="auto"/>
                <w:kern w:val="0"/>
                <w:sz w:val="24"/>
                <w:highlight w:val="none"/>
              </w:rPr>
            </w:pPr>
          </w:p>
        </w:tc>
        <w:tc>
          <w:tcPr>
            <w:tcW w:w="606" w:type="dxa"/>
            <w:vAlign w:val="center"/>
          </w:tcPr>
          <w:p w14:paraId="7C97C15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791BFA6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09F01D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A73EE26">
            <w:pPr>
              <w:widowControl/>
              <w:jc w:val="left"/>
              <w:rPr>
                <w:rFonts w:hint="eastAsia" w:ascii="仿宋" w:hAnsi="仿宋" w:eastAsia="仿宋" w:cs="仿宋"/>
                <w:color w:val="auto"/>
                <w:kern w:val="0"/>
                <w:sz w:val="24"/>
                <w:highlight w:val="none"/>
              </w:rPr>
            </w:pPr>
          </w:p>
        </w:tc>
        <w:tc>
          <w:tcPr>
            <w:tcW w:w="1025" w:type="dxa"/>
            <w:vMerge w:val="restart"/>
            <w:vAlign w:val="center"/>
          </w:tcPr>
          <w:p w14:paraId="4B47645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控股公司服务</w:t>
            </w:r>
          </w:p>
        </w:tc>
        <w:tc>
          <w:tcPr>
            <w:tcW w:w="2836" w:type="dxa"/>
            <w:vMerge w:val="restart"/>
            <w:vAlign w:val="center"/>
          </w:tcPr>
          <w:p w14:paraId="524D720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金融控股公司</w:t>
            </w:r>
          </w:p>
        </w:tc>
        <w:tc>
          <w:tcPr>
            <w:tcW w:w="606" w:type="dxa"/>
            <w:vAlign w:val="center"/>
          </w:tcPr>
          <w:p w14:paraId="4AD73BC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41F3BFD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05F77F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78F5404">
            <w:pPr>
              <w:widowControl/>
              <w:jc w:val="left"/>
              <w:rPr>
                <w:rFonts w:hint="eastAsia" w:ascii="仿宋" w:hAnsi="仿宋" w:eastAsia="仿宋" w:cs="仿宋"/>
                <w:color w:val="auto"/>
                <w:kern w:val="0"/>
                <w:sz w:val="24"/>
                <w:highlight w:val="none"/>
              </w:rPr>
            </w:pPr>
          </w:p>
        </w:tc>
        <w:tc>
          <w:tcPr>
            <w:tcW w:w="1025" w:type="dxa"/>
            <w:vMerge w:val="continue"/>
            <w:vAlign w:val="center"/>
          </w:tcPr>
          <w:p w14:paraId="372F46C7">
            <w:pPr>
              <w:widowControl/>
              <w:jc w:val="left"/>
              <w:rPr>
                <w:rFonts w:hint="eastAsia" w:ascii="仿宋" w:hAnsi="仿宋" w:eastAsia="仿宋" w:cs="仿宋"/>
                <w:color w:val="auto"/>
                <w:kern w:val="0"/>
                <w:sz w:val="24"/>
                <w:highlight w:val="none"/>
              </w:rPr>
            </w:pPr>
          </w:p>
        </w:tc>
        <w:tc>
          <w:tcPr>
            <w:tcW w:w="2836" w:type="dxa"/>
            <w:vMerge w:val="continue"/>
            <w:vAlign w:val="center"/>
          </w:tcPr>
          <w:p w14:paraId="437B80F9">
            <w:pPr>
              <w:widowControl/>
              <w:jc w:val="left"/>
              <w:rPr>
                <w:rFonts w:hint="eastAsia" w:ascii="仿宋" w:hAnsi="仿宋" w:eastAsia="仿宋" w:cs="仿宋"/>
                <w:color w:val="auto"/>
                <w:kern w:val="0"/>
                <w:sz w:val="24"/>
                <w:highlight w:val="none"/>
              </w:rPr>
            </w:pPr>
          </w:p>
        </w:tc>
        <w:tc>
          <w:tcPr>
            <w:tcW w:w="606" w:type="dxa"/>
            <w:vAlign w:val="center"/>
          </w:tcPr>
          <w:p w14:paraId="324318C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2804AA8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3DAA0A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B661E82">
            <w:pPr>
              <w:widowControl/>
              <w:jc w:val="left"/>
              <w:rPr>
                <w:rFonts w:hint="eastAsia" w:ascii="仿宋" w:hAnsi="仿宋" w:eastAsia="仿宋" w:cs="仿宋"/>
                <w:color w:val="auto"/>
                <w:kern w:val="0"/>
                <w:sz w:val="24"/>
                <w:highlight w:val="none"/>
              </w:rPr>
            </w:pPr>
          </w:p>
        </w:tc>
        <w:tc>
          <w:tcPr>
            <w:tcW w:w="1025" w:type="dxa"/>
            <w:vMerge w:val="continue"/>
            <w:vAlign w:val="center"/>
          </w:tcPr>
          <w:p w14:paraId="452F14A8">
            <w:pPr>
              <w:widowControl/>
              <w:jc w:val="left"/>
              <w:rPr>
                <w:rFonts w:hint="eastAsia" w:ascii="仿宋" w:hAnsi="仿宋" w:eastAsia="仿宋" w:cs="仿宋"/>
                <w:color w:val="auto"/>
                <w:kern w:val="0"/>
                <w:sz w:val="24"/>
                <w:highlight w:val="none"/>
              </w:rPr>
            </w:pPr>
          </w:p>
        </w:tc>
        <w:tc>
          <w:tcPr>
            <w:tcW w:w="2836" w:type="dxa"/>
            <w:vMerge w:val="continue"/>
            <w:vAlign w:val="center"/>
          </w:tcPr>
          <w:p w14:paraId="0201EE81">
            <w:pPr>
              <w:widowControl/>
              <w:jc w:val="left"/>
              <w:rPr>
                <w:rFonts w:hint="eastAsia" w:ascii="仿宋" w:hAnsi="仿宋" w:eastAsia="仿宋" w:cs="仿宋"/>
                <w:color w:val="auto"/>
                <w:kern w:val="0"/>
                <w:sz w:val="24"/>
                <w:highlight w:val="none"/>
              </w:rPr>
            </w:pPr>
          </w:p>
        </w:tc>
        <w:tc>
          <w:tcPr>
            <w:tcW w:w="606" w:type="dxa"/>
            <w:vAlign w:val="center"/>
          </w:tcPr>
          <w:p w14:paraId="5934F5F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57B8C57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1291F4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2310BD9">
            <w:pPr>
              <w:widowControl/>
              <w:jc w:val="left"/>
              <w:rPr>
                <w:rFonts w:hint="eastAsia" w:ascii="仿宋" w:hAnsi="仿宋" w:eastAsia="仿宋" w:cs="仿宋"/>
                <w:color w:val="auto"/>
                <w:kern w:val="0"/>
                <w:sz w:val="24"/>
                <w:highlight w:val="none"/>
              </w:rPr>
            </w:pPr>
          </w:p>
        </w:tc>
        <w:tc>
          <w:tcPr>
            <w:tcW w:w="1025" w:type="dxa"/>
            <w:vMerge w:val="restart"/>
            <w:vAlign w:val="center"/>
          </w:tcPr>
          <w:p w14:paraId="744B2DB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其他未包括的金融业</w:t>
            </w:r>
          </w:p>
        </w:tc>
        <w:tc>
          <w:tcPr>
            <w:tcW w:w="2836" w:type="dxa"/>
            <w:vMerge w:val="restart"/>
            <w:vAlign w:val="center"/>
          </w:tcPr>
          <w:p w14:paraId="0974583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除贷款公司、小额贷款公司及典当行以外的其他金融机构</w:t>
            </w:r>
          </w:p>
        </w:tc>
        <w:tc>
          <w:tcPr>
            <w:tcW w:w="606" w:type="dxa"/>
            <w:vAlign w:val="center"/>
          </w:tcPr>
          <w:p w14:paraId="5BDC698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09BE226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665FB8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1372185">
            <w:pPr>
              <w:widowControl/>
              <w:jc w:val="left"/>
              <w:rPr>
                <w:rFonts w:hint="eastAsia" w:ascii="仿宋" w:hAnsi="仿宋" w:eastAsia="仿宋" w:cs="仿宋"/>
                <w:color w:val="auto"/>
                <w:kern w:val="0"/>
                <w:sz w:val="24"/>
                <w:highlight w:val="none"/>
              </w:rPr>
            </w:pPr>
          </w:p>
        </w:tc>
        <w:tc>
          <w:tcPr>
            <w:tcW w:w="1025" w:type="dxa"/>
            <w:vMerge w:val="continue"/>
            <w:vAlign w:val="center"/>
          </w:tcPr>
          <w:p w14:paraId="64482C6B">
            <w:pPr>
              <w:widowControl/>
              <w:jc w:val="left"/>
              <w:rPr>
                <w:rFonts w:hint="eastAsia" w:ascii="仿宋" w:hAnsi="仿宋" w:eastAsia="仿宋" w:cs="仿宋"/>
                <w:color w:val="auto"/>
                <w:kern w:val="0"/>
                <w:sz w:val="24"/>
                <w:highlight w:val="none"/>
              </w:rPr>
            </w:pPr>
          </w:p>
        </w:tc>
        <w:tc>
          <w:tcPr>
            <w:tcW w:w="2836" w:type="dxa"/>
            <w:vMerge w:val="continue"/>
            <w:vAlign w:val="center"/>
          </w:tcPr>
          <w:p w14:paraId="3555B0B5">
            <w:pPr>
              <w:widowControl/>
              <w:jc w:val="left"/>
              <w:rPr>
                <w:rFonts w:hint="eastAsia" w:ascii="仿宋" w:hAnsi="仿宋" w:eastAsia="仿宋" w:cs="仿宋"/>
                <w:color w:val="auto"/>
                <w:kern w:val="0"/>
                <w:sz w:val="24"/>
                <w:highlight w:val="none"/>
              </w:rPr>
            </w:pPr>
          </w:p>
        </w:tc>
        <w:tc>
          <w:tcPr>
            <w:tcW w:w="606" w:type="dxa"/>
            <w:vAlign w:val="center"/>
          </w:tcPr>
          <w:p w14:paraId="3869BD4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22E711E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007EC1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DE83549">
            <w:pPr>
              <w:widowControl/>
              <w:jc w:val="left"/>
              <w:rPr>
                <w:rFonts w:hint="eastAsia" w:ascii="仿宋" w:hAnsi="仿宋" w:eastAsia="仿宋" w:cs="仿宋"/>
                <w:color w:val="auto"/>
                <w:kern w:val="0"/>
                <w:sz w:val="24"/>
                <w:highlight w:val="none"/>
              </w:rPr>
            </w:pPr>
          </w:p>
        </w:tc>
        <w:tc>
          <w:tcPr>
            <w:tcW w:w="1025" w:type="dxa"/>
            <w:vMerge w:val="continue"/>
            <w:vAlign w:val="center"/>
          </w:tcPr>
          <w:p w14:paraId="765D9BDF">
            <w:pPr>
              <w:widowControl/>
              <w:jc w:val="left"/>
              <w:rPr>
                <w:rFonts w:hint="eastAsia" w:ascii="仿宋" w:hAnsi="仿宋" w:eastAsia="仿宋" w:cs="仿宋"/>
                <w:color w:val="auto"/>
                <w:kern w:val="0"/>
                <w:sz w:val="24"/>
                <w:highlight w:val="none"/>
              </w:rPr>
            </w:pPr>
          </w:p>
        </w:tc>
        <w:tc>
          <w:tcPr>
            <w:tcW w:w="2836" w:type="dxa"/>
            <w:vMerge w:val="continue"/>
            <w:vAlign w:val="center"/>
          </w:tcPr>
          <w:p w14:paraId="645FC3BA">
            <w:pPr>
              <w:widowControl/>
              <w:jc w:val="left"/>
              <w:rPr>
                <w:rFonts w:hint="eastAsia" w:ascii="仿宋" w:hAnsi="仿宋" w:eastAsia="仿宋" w:cs="仿宋"/>
                <w:color w:val="auto"/>
                <w:kern w:val="0"/>
                <w:sz w:val="24"/>
                <w:highlight w:val="none"/>
              </w:rPr>
            </w:pPr>
          </w:p>
        </w:tc>
        <w:tc>
          <w:tcPr>
            <w:tcW w:w="606" w:type="dxa"/>
            <w:vAlign w:val="center"/>
          </w:tcPr>
          <w:p w14:paraId="1E74D95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080814C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bl>
    <w:p w14:paraId="54381200">
      <w:pPr>
        <w:rPr>
          <w:rFonts w:hint="eastAsia" w:ascii="仿宋" w:hAnsi="仿宋" w:eastAsia="仿宋" w:cs="仿宋"/>
          <w:color w:val="auto"/>
          <w:sz w:val="24"/>
          <w:highlight w:val="none"/>
        </w:rPr>
      </w:pPr>
    </w:p>
    <w:p w14:paraId="77B32EC3">
      <w:pPr>
        <w:ind w:firstLine="420" w:firstLineChars="200"/>
        <w:rPr>
          <w:rFonts w:hint="eastAsia" w:ascii="仿宋" w:hAnsi="仿宋" w:eastAsia="仿宋" w:cs="仿宋"/>
          <w:color w:val="auto"/>
          <w:highlight w:val="none"/>
        </w:rPr>
      </w:pPr>
    </w:p>
    <w:p w14:paraId="42935499">
      <w:pPr>
        <w:spacing w:line="360" w:lineRule="auto"/>
        <w:ind w:right="420"/>
        <w:rPr>
          <w:rFonts w:hint="eastAsia" w:ascii="仿宋" w:hAnsi="仿宋" w:eastAsia="仿宋" w:cs="仿宋"/>
          <w:color w:val="auto"/>
          <w:highlight w:val="none"/>
        </w:rPr>
      </w:pPr>
    </w:p>
    <w:p w14:paraId="7BD7FB63">
      <w:pPr>
        <w:spacing w:line="360" w:lineRule="auto"/>
        <w:rPr>
          <w:rFonts w:hint="eastAsia" w:ascii="仿宋" w:hAnsi="仿宋" w:eastAsia="仿宋" w:cs="仿宋"/>
          <w:bCs/>
          <w:color w:val="auto"/>
          <w:sz w:val="24"/>
          <w:highlight w:val="none"/>
        </w:rPr>
      </w:pPr>
    </w:p>
    <w:sectPr>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DejaVu Math TeX Gyre">
    <w:altName w:val="Cambria Math"/>
    <w:panose1 w:val="02000503000000000000"/>
    <w:charset w:val="00"/>
    <w:family w:val="auto"/>
    <w:pitch w:val="default"/>
    <w:sig w:usb0="00000000" w:usb1="00000000" w:usb2="02000000" w:usb3="00000000" w:csb0="60000193" w:csb1="0DD4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Arial Unicode MS"/>
    <w:panose1 w:val="00000000000000000000"/>
    <w:charset w:val="00"/>
    <w:family w:val="roman"/>
    <w:pitch w:val="default"/>
    <w:sig w:usb0="00000000" w:usb1="00000000" w:usb2="00000000" w:usb3="00000000" w:csb0="00040001" w:csb1="00000000"/>
  </w:font>
  <w:font w:name="锦绣宋体">
    <w:altName w:val="宋体"/>
    <w:panose1 w:val="02000503000000000000"/>
    <w:charset w:val="86"/>
    <w:family w:val="auto"/>
    <w:pitch w:val="default"/>
    <w:sig w:usb0="00000000" w:usb1="00000000" w:usb2="00000012"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Arial Unicode MS"/>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Arial Unicode MS"/>
    <w:panose1 w:val="00000000000000000000"/>
    <w:charset w:val="00"/>
    <w:family w:val="modern"/>
    <w:pitch w:val="default"/>
    <w:sig w:usb0="00000000" w:usb1="00000000" w:usb2="00000000" w:usb3="00000000" w:csb0="00040001" w:csb1="00000000"/>
  </w:font>
  <w:font w:name="Wingdings 2">
    <w:panose1 w:val="05020102010507070707"/>
    <w:charset w:val="02"/>
    <w:family w:val="auto"/>
    <w:pitch w:val="default"/>
    <w:sig w:usb0="00000000" w:usb1="00000000" w:usb2="00000000" w:usb3="00000000" w:csb0="80000000" w:csb1="00000000"/>
  </w:font>
  <w:font w:name="Cambria Math">
    <w:panose1 w:val="02040503050406030204"/>
    <w:charset w:val="00"/>
    <w:family w:val="auto"/>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1BBFC3">
    <w:pPr>
      <w:pStyle w:val="41"/>
      <w:framePr w:wrap="around" w:vAnchor="text" w:hAnchor="margin" w:xAlign="right" w:y="1"/>
      <w:rPr>
        <w:rStyle w:val="72"/>
      </w:rPr>
    </w:pPr>
    <w:r>
      <w:fldChar w:fldCharType="begin"/>
    </w:r>
    <w:r>
      <w:rPr>
        <w:rStyle w:val="72"/>
      </w:rPr>
      <w:instrText xml:space="preserve">PAGE  </w:instrText>
    </w:r>
    <w:r>
      <w:fldChar w:fldCharType="end"/>
    </w:r>
  </w:p>
  <w:p w14:paraId="24A2E79D">
    <w:pPr>
      <w:pStyle w:val="4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25E327">
    <w:pPr>
      <w:pStyle w:val="41"/>
      <w:jc w:val="cente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86EF1E">
    <w:pPr>
      <w:pStyle w:val="41"/>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D530F7">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5D530F7">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837A1F">
    <w:pPr>
      <w:pStyle w:val="41"/>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8CA316">
                          <w:pPr>
                            <w:pStyle w:val="41"/>
                          </w:pPr>
                          <w:r>
                            <w:t xml:space="preserve">第 </w:t>
                          </w:r>
                          <w:r>
                            <w:fldChar w:fldCharType="begin"/>
                          </w:r>
                          <w:r>
                            <w:instrText xml:space="preserve"> PAGE  \* MERGEFORMAT </w:instrText>
                          </w:r>
                          <w:r>
                            <w:fldChar w:fldCharType="separate"/>
                          </w:r>
                          <w:r>
                            <w:t>45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658CA316">
                    <w:pPr>
                      <w:pStyle w:val="41"/>
                    </w:pPr>
                    <w:r>
                      <w:t xml:space="preserve">第 </w:t>
                    </w:r>
                    <w:r>
                      <w:fldChar w:fldCharType="begin"/>
                    </w:r>
                    <w:r>
                      <w:instrText xml:space="preserve"> PAGE  \* MERGEFORMAT </w:instrText>
                    </w:r>
                    <w:r>
                      <w:fldChar w:fldCharType="separate"/>
                    </w:r>
                    <w:r>
                      <w:t>45</w:t>
                    </w:r>
                    <w:r>
                      <w:fldChar w:fldCharType="end"/>
                    </w:r>
                    <w:r>
                      <w:t xml:space="preserve"> 页</w:t>
                    </w:r>
                  </w:p>
                </w:txbxContent>
              </v:textbox>
            </v:shape>
          </w:pict>
        </mc:Fallback>
      </mc:AlternateContent>
    </w:r>
  </w:p>
  <w:p w14:paraId="67BDB6F1">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51EE4F">
    <w:pPr>
      <w:pStyle w:val="41"/>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9A2B19">
                          <w:pPr>
                            <w:pStyle w:val="41"/>
                          </w:pPr>
                          <w:r>
                            <w:t xml:space="preserve">第 </w:t>
                          </w:r>
                          <w:r>
                            <w:fldChar w:fldCharType="begin"/>
                          </w:r>
                          <w:r>
                            <w:instrText xml:space="preserve"> PAGE  \* MERGEFORMAT </w:instrText>
                          </w:r>
                          <w:r>
                            <w:fldChar w:fldCharType="separate"/>
                          </w:r>
                          <w:r>
                            <w:t>44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4D9A2B19">
                    <w:pPr>
                      <w:pStyle w:val="41"/>
                    </w:pPr>
                    <w:r>
                      <w:t xml:space="preserve">第 </w:t>
                    </w:r>
                    <w:r>
                      <w:fldChar w:fldCharType="begin"/>
                    </w:r>
                    <w:r>
                      <w:instrText xml:space="preserve"> PAGE  \* MERGEFORMAT </w:instrText>
                    </w:r>
                    <w:r>
                      <w:fldChar w:fldCharType="separate"/>
                    </w:r>
                    <w:r>
                      <w:t>44</w:t>
                    </w:r>
                    <w:r>
                      <w:fldChar w:fldCharType="end"/>
                    </w:r>
                    <w:r>
                      <w:t xml:space="preserve"> 页</w:t>
                    </w:r>
                  </w:p>
                </w:txbxContent>
              </v:textbox>
            </v:shape>
          </w:pict>
        </mc:Fallback>
      </mc:AlternateContent>
    </w:r>
  </w:p>
  <w:p w14:paraId="0595F509">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02902B">
    <w:pPr>
      <w:pStyle w:val="41"/>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C7CF87">
                          <w:pPr>
                            <w:pStyle w:val="41"/>
                          </w:pPr>
                          <w:r>
                            <w:t xml:space="preserve">第 </w:t>
                          </w:r>
                          <w:r>
                            <w:fldChar w:fldCharType="begin"/>
                          </w:r>
                          <w:r>
                            <w:instrText xml:space="preserve"> PAGE  \* MERGEFORMAT </w:instrText>
                          </w:r>
                          <w:r>
                            <w:fldChar w:fldCharType="separate"/>
                          </w:r>
                          <w:r>
                            <w:t>57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62C7CF87">
                    <w:pPr>
                      <w:pStyle w:val="41"/>
                    </w:pPr>
                    <w:r>
                      <w:t xml:space="preserve">第 </w:t>
                    </w:r>
                    <w:r>
                      <w:fldChar w:fldCharType="begin"/>
                    </w:r>
                    <w:r>
                      <w:instrText xml:space="preserve"> PAGE  \* MERGEFORMAT </w:instrText>
                    </w:r>
                    <w:r>
                      <w:fldChar w:fldCharType="separate"/>
                    </w:r>
                    <w:r>
                      <w:t>57</w:t>
                    </w:r>
                    <w:r>
                      <w:fldChar w:fldCharType="end"/>
                    </w:r>
                    <w:r>
                      <w:t xml:space="preserve"> 页</w:t>
                    </w:r>
                  </w:p>
                </w:txbxContent>
              </v:textbox>
            </v:shape>
          </w:pict>
        </mc:Fallback>
      </mc:AlternateContent>
    </w:r>
  </w:p>
  <w:p w14:paraId="1F7748A8">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FF1C13">
    <w:pPr>
      <w:pStyle w:val="41"/>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914C4C">
                          <w:pPr>
                            <w:pStyle w:val="41"/>
                          </w:pPr>
                          <w:r>
                            <w:t xml:space="preserve">第 </w:t>
                          </w:r>
                          <w:r>
                            <w:fldChar w:fldCharType="begin"/>
                          </w:r>
                          <w:r>
                            <w:instrText xml:space="preserve"> PAGE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5E914C4C">
                    <w:pPr>
                      <w:pStyle w:val="41"/>
                    </w:pPr>
                    <w:r>
                      <w:t xml:space="preserve">第 </w:t>
                    </w:r>
                    <w:r>
                      <w:fldChar w:fldCharType="begin"/>
                    </w:r>
                    <w:r>
                      <w:instrText xml:space="preserve"> PAGE  \* MERGEFORMAT </w:instrText>
                    </w:r>
                    <w:r>
                      <w:fldChar w:fldCharType="separate"/>
                    </w:r>
                    <w:r>
                      <w:t>56</w:t>
                    </w:r>
                    <w:r>
                      <w:fldChar w:fldCharType="end"/>
                    </w:r>
                    <w:r>
                      <w:t xml:space="preserve"> 页</w:t>
                    </w:r>
                  </w:p>
                </w:txbxContent>
              </v:textbox>
            </v:shape>
          </w:pict>
        </mc:Fallback>
      </mc:AlternateContent>
    </w:r>
  </w:p>
  <w:p w14:paraId="2E8342D4">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352DB5">
    <w:pPr>
      <w:pStyle w:val="41"/>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57A86F">
                          <w:pPr>
                            <w:pStyle w:val="41"/>
                          </w:pPr>
                          <w:r>
                            <w:t xml:space="preserve">第 </w:t>
                          </w:r>
                          <w:r>
                            <w:fldChar w:fldCharType="begin"/>
                          </w:r>
                          <w:r>
                            <w:instrText xml:space="preserve"> PAGE  \* MERGEFORMAT </w:instrText>
                          </w:r>
                          <w:r>
                            <w:fldChar w:fldCharType="separate"/>
                          </w:r>
                          <w:r>
                            <w:t>65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4357A86F">
                    <w:pPr>
                      <w:pStyle w:val="41"/>
                    </w:pPr>
                    <w:r>
                      <w:t xml:space="preserve">第 </w:t>
                    </w:r>
                    <w:r>
                      <w:fldChar w:fldCharType="begin"/>
                    </w:r>
                    <w:r>
                      <w:instrText xml:space="preserve"> PAGE  \* MERGEFORMAT </w:instrText>
                    </w:r>
                    <w:r>
                      <w:fldChar w:fldCharType="separate"/>
                    </w:r>
                    <w:r>
                      <w:t>65</w:t>
                    </w:r>
                    <w:r>
                      <w:fldChar w:fldCharType="end"/>
                    </w:r>
                    <w:r>
                      <w:t xml:space="preserve"> 页</w:t>
                    </w:r>
                  </w:p>
                </w:txbxContent>
              </v:textbox>
            </v:shape>
          </w:pict>
        </mc:Fallback>
      </mc:AlternateContent>
    </w:r>
  </w:p>
  <w:p w14:paraId="4183CE2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293C3D">
    <w:pPr>
      <w:pStyle w:val="41"/>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1A919E">
                          <w:pPr>
                            <w:pStyle w:val="41"/>
                          </w:pPr>
                          <w:r>
                            <w:t xml:space="preserve">第 </w:t>
                          </w:r>
                          <w:r>
                            <w:fldChar w:fldCharType="begin"/>
                          </w:r>
                          <w:r>
                            <w:instrText xml:space="preserve"> PAGE  \* MERGEFORMAT </w:instrText>
                          </w:r>
                          <w:r>
                            <w:fldChar w:fldCharType="separate"/>
                          </w:r>
                          <w:r>
                            <w:t>64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201A919E">
                    <w:pPr>
                      <w:pStyle w:val="41"/>
                    </w:pPr>
                    <w:r>
                      <w:t xml:space="preserve">第 </w:t>
                    </w:r>
                    <w:r>
                      <w:fldChar w:fldCharType="begin"/>
                    </w:r>
                    <w:r>
                      <w:instrText xml:space="preserve"> PAGE  \* MERGEFORMAT </w:instrText>
                    </w:r>
                    <w:r>
                      <w:fldChar w:fldCharType="separate"/>
                    </w:r>
                    <w:r>
                      <w:t>64</w:t>
                    </w:r>
                    <w:r>
                      <w:fldChar w:fldCharType="end"/>
                    </w:r>
                    <w:r>
                      <w:t xml:space="preserve"> 页</w:t>
                    </w:r>
                  </w:p>
                </w:txbxContent>
              </v:textbox>
            </v:shape>
          </w:pict>
        </mc:Fallback>
      </mc:AlternateContent>
    </w:r>
  </w:p>
  <w:p w14:paraId="1F192537">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81A0FB">
    <w:pPr>
      <w:pStyle w:val="41"/>
      <w:jc w:val="center"/>
      <w:rPr>
        <w:rFonts w:ascii="仿宋_GB2312" w:eastAsia="仿宋_GB2312"/>
        <w:szCs w:val="24"/>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770093">
                          <w:pPr>
                            <w:pStyle w:val="41"/>
                          </w:pPr>
                          <w:r>
                            <w:t xml:space="preserve">第 </w:t>
                          </w:r>
                          <w:r>
                            <w:fldChar w:fldCharType="begin"/>
                          </w:r>
                          <w:r>
                            <w:instrText xml:space="preserve"> PAGE  \* MERGEFORMAT </w:instrText>
                          </w:r>
                          <w:r>
                            <w:fldChar w:fldCharType="separate"/>
                          </w:r>
                          <w:r>
                            <w:t>70</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20770093">
                    <w:pPr>
                      <w:pStyle w:val="41"/>
                    </w:pPr>
                    <w:r>
                      <w:t xml:space="preserve">第 </w:t>
                    </w:r>
                    <w:r>
                      <w:fldChar w:fldCharType="begin"/>
                    </w:r>
                    <w:r>
                      <w:instrText xml:space="preserve"> PAGE  \* MERGEFORMAT </w:instrText>
                    </w:r>
                    <w:r>
                      <w:fldChar w:fldCharType="separate"/>
                    </w:r>
                    <w:r>
                      <w:t>70</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1A7C57">
    <w:pPr>
      <w:pStyle w:val="41"/>
      <w:framePr w:wrap="around" w:vAnchor="text" w:hAnchor="margin" w:xAlign="right" w:y="1"/>
      <w:rPr>
        <w:rStyle w:val="72"/>
      </w:rPr>
    </w:pPr>
    <w:r>
      <w:fldChar w:fldCharType="begin"/>
    </w:r>
    <w:r>
      <w:rPr>
        <w:rStyle w:val="72"/>
      </w:rPr>
      <w:instrText xml:space="preserve">PAGE  </w:instrText>
    </w:r>
    <w:r>
      <w:fldChar w:fldCharType="end"/>
    </w:r>
  </w:p>
  <w:p w14:paraId="3D0EED17">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8F3A7B">
    <w:pPr>
      <w:pStyle w:val="41"/>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B8F12F">
                          <w:pPr>
                            <w:pStyle w:val="41"/>
                          </w:pPr>
                          <w:r>
                            <w:t xml:space="preserve">第 </w:t>
                          </w:r>
                          <w:r>
                            <w:fldChar w:fldCharType="begin"/>
                          </w:r>
                          <w:r>
                            <w:instrText xml:space="preserve"> PAGE  \* MERGEFORMAT </w:instrText>
                          </w:r>
                          <w:r>
                            <w:fldChar w:fldCharType="separate"/>
                          </w:r>
                          <w:r>
                            <w:t>69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1BB8F12F">
                    <w:pPr>
                      <w:pStyle w:val="41"/>
                    </w:pPr>
                    <w:r>
                      <w:t xml:space="preserve">第 </w:t>
                    </w:r>
                    <w:r>
                      <w:fldChar w:fldCharType="begin"/>
                    </w:r>
                    <w:r>
                      <w:instrText xml:space="preserve"> PAGE  \* MERGEFORMAT </w:instrText>
                    </w:r>
                    <w:r>
                      <w:fldChar w:fldCharType="separate"/>
                    </w:r>
                    <w:r>
                      <w:t>69</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B27CFB">
    <w:pPr>
      <w:pStyle w:val="42"/>
      <w:rPr>
        <w:rFonts w:hint="eastAsia" w:eastAsia="仿宋"/>
        <w:lang w:val="en-US" w:eastAsia="zh-CN"/>
      </w:rPr>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SXPZ-F20250326ZXX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F700ED">
    <w:pPr>
      <w:pStyle w:val="42"/>
      <w:jc w:val="left"/>
      <w:rPr>
        <w:rFonts w:ascii="仿宋_GB2312" w:eastAsia="仿宋_GB2312"/>
        <w:b w:val="0"/>
        <w:i/>
        <w:sz w:val="18"/>
        <w:u w:val="single"/>
        <w:lang w:val="en-US"/>
      </w:rPr>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SXPZ-F20250326ZXX</w:t>
    </w:r>
    <w:r>
      <w:rPr>
        <w:rFonts w:hint="eastAsia" w:ascii="仿宋" w:hAnsi="仿宋" w:eastAsia="仿宋" w:cs="仿宋"/>
        <w:lang w:val="en-US" w:eastAsia="zh-CN"/>
      </w:rPr>
      <w:t xml:space="preserve"> </w:t>
    </w:r>
  </w:p>
  <w:p w14:paraId="4EF5D692">
    <w:pPr>
      <w:pStyle w:val="42"/>
      <w:pBdr>
        <w:bottom w:val="none" w:color="auto" w:sz="0" w:space="0"/>
      </w:pBdr>
      <w:tabs>
        <w:tab w:val="clear" w:pos="4153"/>
        <w:tab w:val="clear" w:pos="8306"/>
      </w:tabs>
      <w:jc w:val="both"/>
    </w:pPr>
  </w:p>
  <w:p w14:paraId="06AABBCC">
    <w:pPr>
      <w:pStyle w:val="42"/>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82C7A6">
    <w:pPr>
      <w:pStyle w:val="42"/>
      <w:jc w:val="left"/>
      <w:rPr>
        <w:rFonts w:ascii="仿宋_GB2312" w:eastAsia="仿宋_GB2312"/>
        <w:b w:val="0"/>
        <w:i/>
        <w:sz w:val="18"/>
        <w:u w:val="single"/>
        <w:lang w:val="en-US"/>
      </w:rPr>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SXPZ-F20250326ZXX</w:t>
    </w:r>
  </w:p>
  <w:p w14:paraId="6863F4C2">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8B6915">
    <w:pPr>
      <w:pStyle w:val="42"/>
      <w:rPr>
        <w:rFonts w:ascii="仿宋_GB2312" w:eastAsia="仿宋_GB2312"/>
        <w:b w:val="0"/>
        <w:i/>
        <w:sz w:val="18"/>
        <w:u w:val="single"/>
        <w:lang w:val="en-US"/>
      </w:rPr>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SXPZ-F20250326ZXX</w:t>
    </w:r>
  </w:p>
  <w:p w14:paraId="4234E388">
    <w:pPr>
      <w:pStyle w:val="42"/>
      <w:pBdr>
        <w:bottom w:val="none" w:color="auto" w:sz="0" w:space="1"/>
      </w:pBdr>
      <w:jc w:val="right"/>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602C49">
    <w:pPr>
      <w:pStyle w:val="42"/>
      <w:jc w:val="left"/>
      <w:rPr>
        <w:rFonts w:ascii="仿宋_GB2312" w:eastAsia="仿宋_GB2312"/>
        <w:b w:val="0"/>
        <w:i/>
        <w:sz w:val="18"/>
        <w:u w:val="single"/>
        <w:lang w:val="en-US"/>
      </w:rPr>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SXPZ-F20250326ZXX</w:t>
    </w:r>
  </w:p>
  <w:p w14:paraId="77C3D0CA">
    <w:pPr>
      <w:pBdr>
        <w:bottom w:val="none" w:color="auto" w:sz="0" w:space="0"/>
      </w:pBd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98F4B9">
    <w:pPr>
      <w:pStyle w:val="42"/>
      <w:rPr>
        <w:rFonts w:ascii="仿宋_GB2312" w:eastAsia="仿宋_GB2312"/>
        <w:b w:val="0"/>
        <w:i/>
        <w:sz w:val="18"/>
        <w:u w:val="single"/>
        <w:lang w:val="en-US"/>
      </w:rPr>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SXPZ-F20250326ZXX</w:t>
    </w:r>
  </w:p>
  <w:p w14:paraId="64FC9C64">
    <w:pPr>
      <w:pStyle w:val="42"/>
      <w:pBdr>
        <w:bottom w:val="none" w:color="auto" w:sz="0" w:space="1"/>
      </w:pBdr>
      <w:jc w:val="right"/>
    </w:pPr>
    <w:r>
      <w:t></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1307BB">
    <w:pPr>
      <w:pStyle w:val="42"/>
      <w:jc w:val="left"/>
      <w:rPr>
        <w:rFonts w:ascii="仿宋_GB2312" w:eastAsia="仿宋_GB2312"/>
        <w:b/>
        <w:i/>
        <w:u w:val="single"/>
      </w:rPr>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SXPZ-F20250326ZXX</w:t>
    </w:r>
  </w:p>
  <w:p w14:paraId="22A6490B">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EE3DB5">
    <w:pPr>
      <w:pStyle w:val="42"/>
      <w:pBdr>
        <w:bottom w:val="single" w:color="auto" w:sz="4" w:space="1"/>
      </w:pBdr>
      <w:jc w:val="both"/>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SXPZ-F20250326ZXX</w:t>
    </w: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5D13B2">
    <w:pPr>
      <w:pStyle w:val="42"/>
      <w:pBdr>
        <w:bottom w:val="single" w:color="auto" w:sz="4" w:space="1"/>
      </w:pBdr>
      <w:jc w:val="right"/>
      <w:rPr>
        <w:rFonts w:ascii="仿宋_GB2312" w:eastAsia="仿宋_GB2312"/>
        <w:b/>
        <w:i/>
        <w:iCs/>
        <w:u w:val="single"/>
      </w:rPr>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SXPZ-F20250326ZXX</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5F3A4E">
    <w:pPr>
      <w:pStyle w:val="42"/>
      <w:pBdr>
        <w:bottom w:val="single" w:color="auto" w:sz="4" w:space="1"/>
      </w:pBdr>
      <w:ind w:firstLine="180" w:firstLineChars="100"/>
      <w:jc w:val="both"/>
    </w:pPr>
    <w:r>
      <w:rPr>
        <w:rFonts w:hint="eastAsia" w:ascii="仿宋" w:hAnsi="仿宋" w:eastAsia="仿宋" w:cs="仿宋"/>
        <w:lang w:val="en-US" w:eastAsia="zh-CN"/>
      </w:rPr>
      <w:t xml:space="preserve">绍兴平准招标代理有限公司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SXPZ-F20250326ZXX</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D5B19D4"/>
    <w:multiLevelType w:val="singleLevel"/>
    <w:tmpl w:val="CD5B19D4"/>
    <w:lvl w:ilvl="0" w:tentative="0">
      <w:start w:val="1"/>
      <w:numFmt w:val="decimal"/>
      <w:suff w:val="nothing"/>
      <w:lvlText w:val="%1、"/>
      <w:lvlJc w:val="left"/>
    </w:lvl>
  </w:abstractNum>
  <w:abstractNum w:abstractNumId="1">
    <w:nsid w:val="00000000"/>
    <w:multiLevelType w:val="singleLevel"/>
    <w:tmpl w:val="00000000"/>
    <w:lvl w:ilvl="0" w:tentative="0">
      <w:start w:val="1"/>
      <w:numFmt w:val="decimal"/>
      <w:suff w:val="nothing"/>
      <w:lvlText w:val="（%1）"/>
      <w:lvlJc w:val="left"/>
    </w:lvl>
  </w:abstractNum>
  <w:abstractNum w:abstractNumId="2">
    <w:nsid w:val="573A2A03"/>
    <w:multiLevelType w:val="singleLevel"/>
    <w:tmpl w:val="573A2A03"/>
    <w:lvl w:ilvl="0" w:tentative="0">
      <w:start w:val="1"/>
      <w:numFmt w:val="chineseCounting"/>
      <w:suff w:val="nothing"/>
      <w:lvlText w:val="（%1）"/>
      <w:lvlJc w:val="left"/>
    </w:lvl>
  </w:abstractNum>
  <w:abstractNum w:abstractNumId="3">
    <w:nsid w:val="65669D3B"/>
    <w:multiLevelType w:val="singleLevel"/>
    <w:tmpl w:val="65669D3B"/>
    <w:lvl w:ilvl="0" w:tentative="0">
      <w:start w:val="1"/>
      <w:numFmt w:val="chineseCounting"/>
      <w:suff w:val="nothing"/>
      <w:lvlText w:val="（%1）"/>
      <w:lvlJc w:val="left"/>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172A27"/>
    <w:rsid w:val="007007DA"/>
    <w:rsid w:val="00B34AC1"/>
    <w:rsid w:val="00CD3DE4"/>
    <w:rsid w:val="010D427B"/>
    <w:rsid w:val="012A6BDB"/>
    <w:rsid w:val="012F41F1"/>
    <w:rsid w:val="032B6C3A"/>
    <w:rsid w:val="035BEF8B"/>
    <w:rsid w:val="03A26EFC"/>
    <w:rsid w:val="03AA4003"/>
    <w:rsid w:val="04673CA2"/>
    <w:rsid w:val="04C66C1A"/>
    <w:rsid w:val="05123C0E"/>
    <w:rsid w:val="05791EDF"/>
    <w:rsid w:val="05D435B9"/>
    <w:rsid w:val="061834A6"/>
    <w:rsid w:val="06530982"/>
    <w:rsid w:val="067D155B"/>
    <w:rsid w:val="06897EFF"/>
    <w:rsid w:val="068B1EC9"/>
    <w:rsid w:val="06A44D39"/>
    <w:rsid w:val="06B31420"/>
    <w:rsid w:val="06D7510F"/>
    <w:rsid w:val="07131EBF"/>
    <w:rsid w:val="07504EC1"/>
    <w:rsid w:val="07886409"/>
    <w:rsid w:val="07D6476B"/>
    <w:rsid w:val="07E43686"/>
    <w:rsid w:val="081E189C"/>
    <w:rsid w:val="08444D3B"/>
    <w:rsid w:val="089A4646"/>
    <w:rsid w:val="08D226FF"/>
    <w:rsid w:val="09F558AC"/>
    <w:rsid w:val="0A9F4195"/>
    <w:rsid w:val="0AA51F88"/>
    <w:rsid w:val="0AEA2F37"/>
    <w:rsid w:val="0B2621C1"/>
    <w:rsid w:val="0B363D6A"/>
    <w:rsid w:val="0B3A2110"/>
    <w:rsid w:val="0B3F7726"/>
    <w:rsid w:val="0B923CFA"/>
    <w:rsid w:val="0BCA5A03"/>
    <w:rsid w:val="0D927FE1"/>
    <w:rsid w:val="0E235F83"/>
    <w:rsid w:val="0E5E6115"/>
    <w:rsid w:val="0E6A4ABA"/>
    <w:rsid w:val="0E6F20D1"/>
    <w:rsid w:val="0E8A2A67"/>
    <w:rsid w:val="0F096B8F"/>
    <w:rsid w:val="0F543075"/>
    <w:rsid w:val="0F5D461F"/>
    <w:rsid w:val="0F63063F"/>
    <w:rsid w:val="0F6B0AEA"/>
    <w:rsid w:val="0F7200CA"/>
    <w:rsid w:val="0F7658A1"/>
    <w:rsid w:val="0FB649E7"/>
    <w:rsid w:val="0FF07241"/>
    <w:rsid w:val="10280789"/>
    <w:rsid w:val="104E5D16"/>
    <w:rsid w:val="10844706"/>
    <w:rsid w:val="10D66437"/>
    <w:rsid w:val="10EC4CD3"/>
    <w:rsid w:val="111156C1"/>
    <w:rsid w:val="11743805"/>
    <w:rsid w:val="11951E4E"/>
    <w:rsid w:val="11B4024C"/>
    <w:rsid w:val="127B54E8"/>
    <w:rsid w:val="12CE4756"/>
    <w:rsid w:val="13286CF2"/>
    <w:rsid w:val="133B6A25"/>
    <w:rsid w:val="133D5C9F"/>
    <w:rsid w:val="13427DB4"/>
    <w:rsid w:val="1356385F"/>
    <w:rsid w:val="135E44C2"/>
    <w:rsid w:val="137D4216"/>
    <w:rsid w:val="138A3509"/>
    <w:rsid w:val="14076907"/>
    <w:rsid w:val="14237BE5"/>
    <w:rsid w:val="14C667C2"/>
    <w:rsid w:val="14F41582"/>
    <w:rsid w:val="151439D2"/>
    <w:rsid w:val="153B40D2"/>
    <w:rsid w:val="15545B7C"/>
    <w:rsid w:val="15D66ED9"/>
    <w:rsid w:val="162B2D81"/>
    <w:rsid w:val="16331C36"/>
    <w:rsid w:val="16573B76"/>
    <w:rsid w:val="168F4FD4"/>
    <w:rsid w:val="16AB2114"/>
    <w:rsid w:val="16E3540A"/>
    <w:rsid w:val="178A352D"/>
    <w:rsid w:val="17B60D70"/>
    <w:rsid w:val="17B86896"/>
    <w:rsid w:val="17C3523B"/>
    <w:rsid w:val="17FE5D44"/>
    <w:rsid w:val="18344781"/>
    <w:rsid w:val="18570A2E"/>
    <w:rsid w:val="18786026"/>
    <w:rsid w:val="18954E2A"/>
    <w:rsid w:val="18B74DA0"/>
    <w:rsid w:val="18E60774"/>
    <w:rsid w:val="1990114D"/>
    <w:rsid w:val="19936AE1"/>
    <w:rsid w:val="19D83220"/>
    <w:rsid w:val="19EF40C6"/>
    <w:rsid w:val="1A562397"/>
    <w:rsid w:val="1A705206"/>
    <w:rsid w:val="1A8B6099"/>
    <w:rsid w:val="1A945F1F"/>
    <w:rsid w:val="1B086E06"/>
    <w:rsid w:val="1B124510"/>
    <w:rsid w:val="1B5744E8"/>
    <w:rsid w:val="1B6A434C"/>
    <w:rsid w:val="1B903686"/>
    <w:rsid w:val="1BBB6955"/>
    <w:rsid w:val="1CA81A8E"/>
    <w:rsid w:val="1D2F1C3B"/>
    <w:rsid w:val="1E3067E6"/>
    <w:rsid w:val="1E35213E"/>
    <w:rsid w:val="1E3B5B2B"/>
    <w:rsid w:val="1E57048B"/>
    <w:rsid w:val="1E8C6387"/>
    <w:rsid w:val="1F9A2D26"/>
    <w:rsid w:val="1F9D6372"/>
    <w:rsid w:val="1FB0010B"/>
    <w:rsid w:val="1FBFFEB0"/>
    <w:rsid w:val="1FF24910"/>
    <w:rsid w:val="203B1E13"/>
    <w:rsid w:val="2040567B"/>
    <w:rsid w:val="204A64FA"/>
    <w:rsid w:val="20651585"/>
    <w:rsid w:val="20A025BE"/>
    <w:rsid w:val="212B632B"/>
    <w:rsid w:val="21C65A76"/>
    <w:rsid w:val="235C6C70"/>
    <w:rsid w:val="23FB7503"/>
    <w:rsid w:val="24487261"/>
    <w:rsid w:val="24650193"/>
    <w:rsid w:val="24BC54EC"/>
    <w:rsid w:val="24D34D10"/>
    <w:rsid w:val="2523453A"/>
    <w:rsid w:val="252B1B61"/>
    <w:rsid w:val="25485BB9"/>
    <w:rsid w:val="256E2C8A"/>
    <w:rsid w:val="25C7728B"/>
    <w:rsid w:val="25E60A73"/>
    <w:rsid w:val="26215F4F"/>
    <w:rsid w:val="263B7010"/>
    <w:rsid w:val="26F1147D"/>
    <w:rsid w:val="272730F1"/>
    <w:rsid w:val="27402404"/>
    <w:rsid w:val="275DFFED"/>
    <w:rsid w:val="277F4CDB"/>
    <w:rsid w:val="279978A1"/>
    <w:rsid w:val="27AB1F74"/>
    <w:rsid w:val="27C923FA"/>
    <w:rsid w:val="27EB2370"/>
    <w:rsid w:val="283E338B"/>
    <w:rsid w:val="28A276F6"/>
    <w:rsid w:val="29820AB2"/>
    <w:rsid w:val="2A3A138D"/>
    <w:rsid w:val="2A9036A3"/>
    <w:rsid w:val="2BA94DE0"/>
    <w:rsid w:val="2C1F4CDE"/>
    <w:rsid w:val="2C9D5C03"/>
    <w:rsid w:val="2CAF475D"/>
    <w:rsid w:val="2CAF6975"/>
    <w:rsid w:val="2CB216AE"/>
    <w:rsid w:val="2D9C6103"/>
    <w:rsid w:val="2DC72F38"/>
    <w:rsid w:val="2E536EC1"/>
    <w:rsid w:val="2E5C3FC8"/>
    <w:rsid w:val="2E7E50A6"/>
    <w:rsid w:val="2F0710FB"/>
    <w:rsid w:val="2F0C0A43"/>
    <w:rsid w:val="2F1A353B"/>
    <w:rsid w:val="30262EC1"/>
    <w:rsid w:val="30A811B7"/>
    <w:rsid w:val="30CD01D9"/>
    <w:rsid w:val="314E571E"/>
    <w:rsid w:val="31592A40"/>
    <w:rsid w:val="31666628"/>
    <w:rsid w:val="316B2774"/>
    <w:rsid w:val="31B5579D"/>
    <w:rsid w:val="31D200FD"/>
    <w:rsid w:val="32456B21"/>
    <w:rsid w:val="32535244"/>
    <w:rsid w:val="326F4556"/>
    <w:rsid w:val="328A5CFA"/>
    <w:rsid w:val="331A7FAD"/>
    <w:rsid w:val="332B1043"/>
    <w:rsid w:val="334D2131"/>
    <w:rsid w:val="339E473B"/>
    <w:rsid w:val="340824FC"/>
    <w:rsid w:val="340C598E"/>
    <w:rsid w:val="340D2243"/>
    <w:rsid w:val="34125D6B"/>
    <w:rsid w:val="34140EA1"/>
    <w:rsid w:val="34873421"/>
    <w:rsid w:val="34BD542E"/>
    <w:rsid w:val="35374E47"/>
    <w:rsid w:val="35521C81"/>
    <w:rsid w:val="3575596F"/>
    <w:rsid w:val="35D00DF7"/>
    <w:rsid w:val="35ED7BFB"/>
    <w:rsid w:val="365D08DD"/>
    <w:rsid w:val="36BD75CE"/>
    <w:rsid w:val="372413FB"/>
    <w:rsid w:val="377D0B0B"/>
    <w:rsid w:val="37BA3A35"/>
    <w:rsid w:val="37C17446"/>
    <w:rsid w:val="383B2EA0"/>
    <w:rsid w:val="384F06F9"/>
    <w:rsid w:val="386F1750"/>
    <w:rsid w:val="387243E8"/>
    <w:rsid w:val="387C7014"/>
    <w:rsid w:val="38EE7BF2"/>
    <w:rsid w:val="39140A3F"/>
    <w:rsid w:val="39820A82"/>
    <w:rsid w:val="39877913"/>
    <w:rsid w:val="39F74BA5"/>
    <w:rsid w:val="3AAC6B47"/>
    <w:rsid w:val="3AC86541"/>
    <w:rsid w:val="3B0C643A"/>
    <w:rsid w:val="3B3C308E"/>
    <w:rsid w:val="3B6F4C0F"/>
    <w:rsid w:val="3CA32DC2"/>
    <w:rsid w:val="3CCA46BF"/>
    <w:rsid w:val="3CD971A9"/>
    <w:rsid w:val="3CE80C6A"/>
    <w:rsid w:val="3DE15BC8"/>
    <w:rsid w:val="3E330175"/>
    <w:rsid w:val="3E4660FB"/>
    <w:rsid w:val="3E6DF6DC"/>
    <w:rsid w:val="3EC06FE2"/>
    <w:rsid w:val="3F6A406B"/>
    <w:rsid w:val="3F6C0C0E"/>
    <w:rsid w:val="3F8E13F7"/>
    <w:rsid w:val="3F9115F7"/>
    <w:rsid w:val="3FCFDA4A"/>
    <w:rsid w:val="3FF30A37"/>
    <w:rsid w:val="40AB66E9"/>
    <w:rsid w:val="40C81A57"/>
    <w:rsid w:val="40DE261A"/>
    <w:rsid w:val="40FC63F3"/>
    <w:rsid w:val="410D345B"/>
    <w:rsid w:val="414240D0"/>
    <w:rsid w:val="416F7716"/>
    <w:rsid w:val="418E14A5"/>
    <w:rsid w:val="419B1A30"/>
    <w:rsid w:val="420625A2"/>
    <w:rsid w:val="427E60E8"/>
    <w:rsid w:val="42CB3152"/>
    <w:rsid w:val="42DC0DDB"/>
    <w:rsid w:val="436F39FE"/>
    <w:rsid w:val="43D403D5"/>
    <w:rsid w:val="43D56927"/>
    <w:rsid w:val="43F14D5A"/>
    <w:rsid w:val="44945699"/>
    <w:rsid w:val="44D22496"/>
    <w:rsid w:val="45025409"/>
    <w:rsid w:val="450B59A8"/>
    <w:rsid w:val="45224182"/>
    <w:rsid w:val="45A32CAB"/>
    <w:rsid w:val="45BE11FB"/>
    <w:rsid w:val="4605689B"/>
    <w:rsid w:val="468E6050"/>
    <w:rsid w:val="46CE3131"/>
    <w:rsid w:val="4737398B"/>
    <w:rsid w:val="4770243A"/>
    <w:rsid w:val="4774202F"/>
    <w:rsid w:val="47B839DD"/>
    <w:rsid w:val="47DD7AD0"/>
    <w:rsid w:val="484A61BF"/>
    <w:rsid w:val="485633DE"/>
    <w:rsid w:val="48A44149"/>
    <w:rsid w:val="48EB7FCA"/>
    <w:rsid w:val="49887D00"/>
    <w:rsid w:val="49CF3448"/>
    <w:rsid w:val="49DE368B"/>
    <w:rsid w:val="49F74603"/>
    <w:rsid w:val="4A203CA4"/>
    <w:rsid w:val="4AA306D4"/>
    <w:rsid w:val="4AAE5753"/>
    <w:rsid w:val="4B2E0642"/>
    <w:rsid w:val="4B425E9C"/>
    <w:rsid w:val="4B5160DF"/>
    <w:rsid w:val="4C1C493F"/>
    <w:rsid w:val="4C606DC5"/>
    <w:rsid w:val="4CC17D34"/>
    <w:rsid w:val="4CEA0599"/>
    <w:rsid w:val="4D2B06E9"/>
    <w:rsid w:val="4D41465D"/>
    <w:rsid w:val="4DA644C0"/>
    <w:rsid w:val="4DC64B62"/>
    <w:rsid w:val="4E8F158A"/>
    <w:rsid w:val="4EE554BC"/>
    <w:rsid w:val="4F4B3D85"/>
    <w:rsid w:val="4F8867D3"/>
    <w:rsid w:val="4F9111A0"/>
    <w:rsid w:val="4FB235F0"/>
    <w:rsid w:val="4FC41575"/>
    <w:rsid w:val="4FE44462"/>
    <w:rsid w:val="50033E4B"/>
    <w:rsid w:val="50C01D3C"/>
    <w:rsid w:val="50E53551"/>
    <w:rsid w:val="50FA2CEF"/>
    <w:rsid w:val="5100038B"/>
    <w:rsid w:val="5100368A"/>
    <w:rsid w:val="51200A2D"/>
    <w:rsid w:val="514A5AAA"/>
    <w:rsid w:val="516A7EFA"/>
    <w:rsid w:val="51A74CAA"/>
    <w:rsid w:val="520B7076"/>
    <w:rsid w:val="5253273C"/>
    <w:rsid w:val="52AB2578"/>
    <w:rsid w:val="52BD163A"/>
    <w:rsid w:val="52F757BE"/>
    <w:rsid w:val="53760DD8"/>
    <w:rsid w:val="537F5871"/>
    <w:rsid w:val="53A53E42"/>
    <w:rsid w:val="53FC752F"/>
    <w:rsid w:val="54260108"/>
    <w:rsid w:val="546D3F89"/>
    <w:rsid w:val="54B03E76"/>
    <w:rsid w:val="54DA0EF3"/>
    <w:rsid w:val="54E351D9"/>
    <w:rsid w:val="54E83610"/>
    <w:rsid w:val="54F31C6C"/>
    <w:rsid w:val="55230695"/>
    <w:rsid w:val="55434CEA"/>
    <w:rsid w:val="55535C60"/>
    <w:rsid w:val="55CF47D0"/>
    <w:rsid w:val="561346BC"/>
    <w:rsid w:val="56867584"/>
    <w:rsid w:val="56BA722E"/>
    <w:rsid w:val="56D83408"/>
    <w:rsid w:val="56F30EB4"/>
    <w:rsid w:val="571E77BD"/>
    <w:rsid w:val="58155C60"/>
    <w:rsid w:val="5821437D"/>
    <w:rsid w:val="5829466B"/>
    <w:rsid w:val="58AC0BB6"/>
    <w:rsid w:val="58C223CA"/>
    <w:rsid w:val="59232E69"/>
    <w:rsid w:val="592C7D58"/>
    <w:rsid w:val="59345076"/>
    <w:rsid w:val="59BE5287"/>
    <w:rsid w:val="5A4D6F7B"/>
    <w:rsid w:val="5A7631A9"/>
    <w:rsid w:val="5B25654A"/>
    <w:rsid w:val="5B5E287E"/>
    <w:rsid w:val="5B73EE39"/>
    <w:rsid w:val="5B7D432C"/>
    <w:rsid w:val="5BD20B76"/>
    <w:rsid w:val="5C82259C"/>
    <w:rsid w:val="5CC17396"/>
    <w:rsid w:val="5CFAC9C4"/>
    <w:rsid w:val="5D0E613A"/>
    <w:rsid w:val="5D7A166C"/>
    <w:rsid w:val="5D812854"/>
    <w:rsid w:val="5DC42740"/>
    <w:rsid w:val="5E082F75"/>
    <w:rsid w:val="5E2F0501"/>
    <w:rsid w:val="5E7128C8"/>
    <w:rsid w:val="5EF37781"/>
    <w:rsid w:val="5F3D27AA"/>
    <w:rsid w:val="5F561B6F"/>
    <w:rsid w:val="5F57E5CA"/>
    <w:rsid w:val="5FDC78E1"/>
    <w:rsid w:val="601520E1"/>
    <w:rsid w:val="605305BD"/>
    <w:rsid w:val="60E6759D"/>
    <w:rsid w:val="62326812"/>
    <w:rsid w:val="624215C5"/>
    <w:rsid w:val="62613F3B"/>
    <w:rsid w:val="626F08D2"/>
    <w:rsid w:val="628A21AA"/>
    <w:rsid w:val="62AE66F6"/>
    <w:rsid w:val="638210D3"/>
    <w:rsid w:val="63AA3121"/>
    <w:rsid w:val="64446389"/>
    <w:rsid w:val="64A27A64"/>
    <w:rsid w:val="64AFCBD0"/>
    <w:rsid w:val="64FB738F"/>
    <w:rsid w:val="65404DA2"/>
    <w:rsid w:val="656B0071"/>
    <w:rsid w:val="65815627"/>
    <w:rsid w:val="65CD2ADA"/>
    <w:rsid w:val="65FF26E4"/>
    <w:rsid w:val="669C35D3"/>
    <w:rsid w:val="66D96AE7"/>
    <w:rsid w:val="671168C3"/>
    <w:rsid w:val="67C41CBB"/>
    <w:rsid w:val="68677173"/>
    <w:rsid w:val="68E75CE9"/>
    <w:rsid w:val="68F16ADF"/>
    <w:rsid w:val="694035C3"/>
    <w:rsid w:val="69CD64A5"/>
    <w:rsid w:val="69F148BD"/>
    <w:rsid w:val="6A1707C7"/>
    <w:rsid w:val="6A1D3904"/>
    <w:rsid w:val="6A356EA0"/>
    <w:rsid w:val="6AA41543"/>
    <w:rsid w:val="6AFF2A6C"/>
    <w:rsid w:val="6B502858"/>
    <w:rsid w:val="6B5D66AE"/>
    <w:rsid w:val="6BBC2AED"/>
    <w:rsid w:val="6C2947E2"/>
    <w:rsid w:val="6C360CAD"/>
    <w:rsid w:val="6C4B78C9"/>
    <w:rsid w:val="6C661592"/>
    <w:rsid w:val="6CD06CF5"/>
    <w:rsid w:val="6CF44DF0"/>
    <w:rsid w:val="6D4443A5"/>
    <w:rsid w:val="6D5910F7"/>
    <w:rsid w:val="6D99255B"/>
    <w:rsid w:val="6DC63340"/>
    <w:rsid w:val="6DFA6436"/>
    <w:rsid w:val="6E070B53"/>
    <w:rsid w:val="6E2434B3"/>
    <w:rsid w:val="6E7B6E4B"/>
    <w:rsid w:val="6E7D2BC3"/>
    <w:rsid w:val="6EBAEEF7"/>
    <w:rsid w:val="6EC922AC"/>
    <w:rsid w:val="6EDC16EB"/>
    <w:rsid w:val="6F1522E3"/>
    <w:rsid w:val="6F40256E"/>
    <w:rsid w:val="6F5222A2"/>
    <w:rsid w:val="6FC37AD4"/>
    <w:rsid w:val="6FCA1E38"/>
    <w:rsid w:val="6FF13869"/>
    <w:rsid w:val="701A692C"/>
    <w:rsid w:val="701B6B38"/>
    <w:rsid w:val="7046283D"/>
    <w:rsid w:val="704F233D"/>
    <w:rsid w:val="706B361B"/>
    <w:rsid w:val="707C64C1"/>
    <w:rsid w:val="70817FC6"/>
    <w:rsid w:val="712D08D1"/>
    <w:rsid w:val="714300F4"/>
    <w:rsid w:val="717007BD"/>
    <w:rsid w:val="71AD28A8"/>
    <w:rsid w:val="71B07FF4"/>
    <w:rsid w:val="71EC42E8"/>
    <w:rsid w:val="7205184D"/>
    <w:rsid w:val="73B01C95"/>
    <w:rsid w:val="73F41B79"/>
    <w:rsid w:val="74367A9C"/>
    <w:rsid w:val="7491561A"/>
    <w:rsid w:val="74D3178F"/>
    <w:rsid w:val="74F3598D"/>
    <w:rsid w:val="75377B38"/>
    <w:rsid w:val="755D72AA"/>
    <w:rsid w:val="75A60C51"/>
    <w:rsid w:val="75AD0232"/>
    <w:rsid w:val="75BA64AB"/>
    <w:rsid w:val="75E17EDC"/>
    <w:rsid w:val="76562678"/>
    <w:rsid w:val="767E1BCE"/>
    <w:rsid w:val="7682346D"/>
    <w:rsid w:val="76982FF6"/>
    <w:rsid w:val="77147E3D"/>
    <w:rsid w:val="7715608F"/>
    <w:rsid w:val="778CFDC4"/>
    <w:rsid w:val="779D7E32"/>
    <w:rsid w:val="77EDE09C"/>
    <w:rsid w:val="78520C1D"/>
    <w:rsid w:val="78AD1F79"/>
    <w:rsid w:val="78B05A6F"/>
    <w:rsid w:val="78B6651A"/>
    <w:rsid w:val="78BE1364"/>
    <w:rsid w:val="7929374A"/>
    <w:rsid w:val="792A1003"/>
    <w:rsid w:val="79442C5B"/>
    <w:rsid w:val="797A667D"/>
    <w:rsid w:val="79825532"/>
    <w:rsid w:val="7B3D7962"/>
    <w:rsid w:val="7B811F45"/>
    <w:rsid w:val="7BAB5214"/>
    <w:rsid w:val="7BDF4EBD"/>
    <w:rsid w:val="7C507B69"/>
    <w:rsid w:val="7C572CA5"/>
    <w:rsid w:val="7D360B0D"/>
    <w:rsid w:val="7D731D61"/>
    <w:rsid w:val="7DDC7057"/>
    <w:rsid w:val="7DFF3A1B"/>
    <w:rsid w:val="7E70004F"/>
    <w:rsid w:val="7EB77A2B"/>
    <w:rsid w:val="7EEF3669"/>
    <w:rsid w:val="7F2A5316"/>
    <w:rsid w:val="7FCE9F2A"/>
    <w:rsid w:val="7FFA6A5B"/>
    <w:rsid w:val="B7FEB47E"/>
    <w:rsid w:val="BBFF8C40"/>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7DB8A5F"/>
    <w:rsid w:val="F8BFDF1C"/>
    <w:rsid w:val="FAFEBDE5"/>
    <w:rsid w:val="FB3DAC9B"/>
    <w:rsid w:val="FBBB8ABF"/>
    <w:rsid w:val="FD6D7CAF"/>
    <w:rsid w:val="FD7B6A7D"/>
    <w:rsid w:val="FDBF4531"/>
    <w:rsid w:val="FEC30AC3"/>
    <w:rsid w:val="FEFF893A"/>
    <w:rsid w:val="FF3F59ED"/>
    <w:rsid w:val="FF4D0067"/>
    <w:rsid w:val="FF73FD1B"/>
    <w:rsid w:val="FFE7F2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8"/>
    <w:qFormat/>
    <w:uiPriority w:val="0"/>
    <w:pPr>
      <w:keepNext/>
      <w:keepLines/>
      <w:tabs>
        <w:tab w:val="left" w:pos="900"/>
      </w:tabs>
      <w:spacing w:before="260" w:after="260" w:line="416" w:lineRule="auto"/>
      <w:ind w:left="900" w:hanging="720"/>
      <w:outlineLvl w:val="2"/>
    </w:pPr>
    <w:rPr>
      <w:b/>
      <w:bCs/>
      <w:sz w:val="32"/>
      <w:szCs w:val="32"/>
    </w:rPr>
  </w:style>
  <w:style w:type="paragraph" w:styleId="10">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1">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12">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3">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4">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5">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qFormat/>
    <w:uiPriority w:val="1"/>
  </w:style>
  <w:style w:type="table" w:default="1" w:styleId="62">
    <w:name w:val="Normal Table"/>
    <w:qFormat/>
    <w:uiPriority w:val="99"/>
    <w:tblPr>
      <w:tblCellMar>
        <w:top w:w="0" w:type="dxa"/>
        <w:left w:w="108" w:type="dxa"/>
        <w:bottom w:w="0" w:type="dxa"/>
        <w:right w:w="108" w:type="dxa"/>
      </w:tblCellMar>
    </w:tblPr>
  </w:style>
  <w:style w:type="paragraph" w:styleId="2">
    <w:name w:val="Body Text"/>
    <w:basedOn w:val="1"/>
    <w:next w:val="3"/>
    <w:link w:val="430"/>
    <w:qFormat/>
    <w:uiPriority w:val="0"/>
    <w:pPr>
      <w:autoSpaceDE w:val="0"/>
      <w:autoSpaceDN w:val="0"/>
      <w:spacing w:line="360" w:lineRule="auto"/>
    </w:pPr>
    <w:rPr>
      <w:rFonts w:ascii="宋体" w:hAnsi="Arial" w:cs="Arial"/>
      <w:snapToGrid w:val="0"/>
      <w:sz w:val="24"/>
      <w:szCs w:val="21"/>
      <w:lang w:val="zh-CN"/>
    </w:rPr>
  </w:style>
  <w:style w:type="paragraph" w:styleId="3">
    <w:name w:val="Body Text First Indent"/>
    <w:basedOn w:val="2"/>
    <w:next w:val="4"/>
    <w:link w:val="321"/>
    <w:qFormat/>
    <w:uiPriority w:val="0"/>
    <w:pPr>
      <w:ind w:firstLine="420"/>
    </w:pPr>
    <w:rPr>
      <w:rFonts w:hAnsi="Calibri" w:cs="Times New Roman"/>
      <w:snapToGrid/>
      <w:szCs w:val="20"/>
    </w:rPr>
  </w:style>
  <w:style w:type="paragraph" w:styleId="4">
    <w:name w:val="toc 6"/>
    <w:basedOn w:val="1"/>
    <w:next w:val="1"/>
    <w:qFormat/>
    <w:uiPriority w:val="0"/>
    <w:pPr>
      <w:ind w:left="2100" w:leftChars="1000"/>
    </w:pPr>
  </w:style>
  <w:style w:type="paragraph" w:styleId="8">
    <w:name w:val="Normal Indent"/>
    <w:basedOn w:val="1"/>
    <w:next w:val="9"/>
    <w:link w:val="194"/>
    <w:qFormat/>
    <w:uiPriority w:val="0"/>
    <w:pPr>
      <w:widowControl/>
      <w:snapToGrid w:val="0"/>
      <w:spacing w:line="480" w:lineRule="exact"/>
      <w:ind w:firstLine="567"/>
    </w:pPr>
    <w:rPr>
      <w:rFonts w:ascii="宋体"/>
      <w:snapToGrid w:val="0"/>
      <w:color w:val="000000"/>
      <w:kern w:val="28"/>
      <w:sz w:val="28"/>
      <w:szCs w:val="20"/>
    </w:rPr>
  </w:style>
  <w:style w:type="paragraph" w:styleId="9">
    <w:name w:val="Plain Text"/>
    <w:basedOn w:val="1"/>
    <w:next w:val="1"/>
    <w:link w:val="126"/>
    <w:qFormat/>
    <w:uiPriority w:val="0"/>
    <w:rPr>
      <w:rFonts w:ascii="宋体" w:hAnsi="Courier New" w:cs="Arial"/>
      <w:snapToGrid w:val="0"/>
      <w:szCs w:val="21"/>
    </w:rPr>
  </w:style>
  <w:style w:type="paragraph" w:styleId="16">
    <w:name w:val="toc 7"/>
    <w:basedOn w:val="1"/>
    <w:next w:val="1"/>
    <w:qFormat/>
    <w:uiPriority w:val="0"/>
    <w:pPr>
      <w:ind w:left="2520" w:leftChars="1200"/>
    </w:pPr>
  </w:style>
  <w:style w:type="paragraph" w:styleId="17">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8">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9">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20">
    <w:name w:val="caption"/>
    <w:basedOn w:val="1"/>
    <w:next w:val="1"/>
    <w:link w:val="230"/>
    <w:qFormat/>
    <w:uiPriority w:val="0"/>
    <w:rPr>
      <w:b/>
      <w:sz w:val="28"/>
      <w:szCs w:val="20"/>
    </w:rPr>
  </w:style>
  <w:style w:type="paragraph" w:styleId="21">
    <w:name w:val="index 5"/>
    <w:basedOn w:val="1"/>
    <w:next w:val="1"/>
    <w:qFormat/>
    <w:uiPriority w:val="0"/>
    <w:pPr>
      <w:adjustRightInd/>
      <w:ind w:left="800" w:leftChars="800" w:firstLine="200" w:firstLineChars="200"/>
    </w:pPr>
  </w:style>
  <w:style w:type="paragraph" w:styleId="22">
    <w:name w:val="Document Map"/>
    <w:basedOn w:val="1"/>
    <w:link w:val="203"/>
    <w:qFormat/>
    <w:uiPriority w:val="0"/>
    <w:pPr>
      <w:shd w:val="clear" w:color="auto" w:fill="000080"/>
    </w:pPr>
  </w:style>
  <w:style w:type="paragraph" w:styleId="23">
    <w:name w:val="annotation text"/>
    <w:basedOn w:val="1"/>
    <w:link w:val="344"/>
    <w:qFormat/>
    <w:uiPriority w:val="99"/>
    <w:pPr>
      <w:jc w:val="left"/>
    </w:pPr>
  </w:style>
  <w:style w:type="paragraph" w:styleId="24">
    <w:name w:val="Salutation"/>
    <w:basedOn w:val="1"/>
    <w:next w:val="1"/>
    <w:link w:val="298"/>
    <w:qFormat/>
    <w:uiPriority w:val="0"/>
    <w:rPr>
      <w:rFonts w:ascii="仿宋_GB2312" w:eastAsia="仿宋_GB2312"/>
      <w:sz w:val="28"/>
      <w:szCs w:val="20"/>
    </w:rPr>
  </w:style>
  <w:style w:type="paragraph" w:styleId="25">
    <w:name w:val="Body Text 3"/>
    <w:basedOn w:val="1"/>
    <w:link w:val="330"/>
    <w:qFormat/>
    <w:uiPriority w:val="0"/>
    <w:pPr>
      <w:jc w:val="center"/>
    </w:pPr>
    <w:rPr>
      <w:szCs w:val="20"/>
    </w:rPr>
  </w:style>
  <w:style w:type="paragraph" w:styleId="26">
    <w:name w:val="List Bullet 3"/>
    <w:basedOn w:val="1"/>
    <w:qFormat/>
    <w:uiPriority w:val="0"/>
    <w:pPr>
      <w:snapToGrid w:val="0"/>
      <w:spacing w:line="360" w:lineRule="auto"/>
      <w:ind w:left="360" w:right="238" w:hanging="360"/>
      <w:contextualSpacing/>
    </w:pPr>
    <w:rPr>
      <w:sz w:val="24"/>
    </w:rPr>
  </w:style>
  <w:style w:type="paragraph" w:styleId="27">
    <w:name w:val="Body Text Indent"/>
    <w:basedOn w:val="1"/>
    <w:link w:val="265"/>
    <w:qFormat/>
    <w:uiPriority w:val="0"/>
    <w:pPr>
      <w:spacing w:line="480" w:lineRule="exact"/>
      <w:ind w:firstLine="480" w:firstLineChars="200"/>
    </w:pPr>
    <w:rPr>
      <w:rFonts w:ascii="宋体" w:hAnsi="宋体"/>
      <w:sz w:val="24"/>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2"/>
    <w:qFormat/>
    <w:uiPriority w:val="0"/>
    <w:pPr>
      <w:ind w:left="100" w:leftChars="2500"/>
    </w:pPr>
    <w:rPr>
      <w:rFonts w:ascii="宋体"/>
      <w:sz w:val="24"/>
      <w:szCs w:val="21"/>
      <w:lang w:val="zh-CN"/>
    </w:rPr>
  </w:style>
  <w:style w:type="paragraph" w:styleId="38">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9">
    <w:name w:val="endnote text"/>
    <w:basedOn w:val="1"/>
    <w:link w:val="932"/>
    <w:qFormat/>
    <w:uiPriority w:val="0"/>
    <w:rPr>
      <w:lang w:val="zh-CN"/>
    </w:rPr>
  </w:style>
  <w:style w:type="paragraph" w:styleId="40">
    <w:name w:val="Balloon Text"/>
    <w:basedOn w:val="1"/>
    <w:link w:val="189"/>
    <w:qFormat/>
    <w:uiPriority w:val="0"/>
    <w:rPr>
      <w:sz w:val="18"/>
      <w:szCs w:val="18"/>
    </w:rPr>
  </w:style>
  <w:style w:type="paragraph" w:styleId="41">
    <w:name w:val="footer"/>
    <w:basedOn w:val="1"/>
    <w:link w:val="383"/>
    <w:qFormat/>
    <w:uiPriority w:val="99"/>
    <w:pPr>
      <w:tabs>
        <w:tab w:val="center" w:pos="4153"/>
        <w:tab w:val="right" w:pos="8306"/>
      </w:tabs>
      <w:snapToGrid w:val="0"/>
      <w:jc w:val="left"/>
    </w:pPr>
    <w:rPr>
      <w:sz w:val="18"/>
      <w:szCs w:val="18"/>
    </w:rPr>
  </w:style>
  <w:style w:type="paragraph" w:styleId="42">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8"/>
    <w:link w:val="310"/>
    <w:qFormat/>
    <w:uiPriority w:val="0"/>
    <w:pPr>
      <w:adjustRightInd/>
      <w:snapToGrid/>
      <w:spacing w:before="60" w:after="60" w:line="300" w:lineRule="exact"/>
      <w:ind w:firstLine="0"/>
    </w:pPr>
    <w:rPr>
      <w:rFonts w:ascii="Calibri"/>
      <w:snapToGrid/>
      <w:color w:val="0000FF"/>
      <w:kern w:val="0"/>
      <w:sz w:val="21"/>
    </w:r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5"/>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2"/>
    <w:qFormat/>
    <w:uiPriority w:val="0"/>
    <w:pPr>
      <w:spacing w:after="120" w:line="480" w:lineRule="auto"/>
    </w:pPr>
  </w:style>
  <w:style w:type="paragraph" w:styleId="57">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3"/>
    <w:next w:val="23"/>
    <w:link w:val="97"/>
    <w:qFormat/>
    <w:uiPriority w:val="0"/>
    <w:rPr>
      <w:b/>
      <w:bCs/>
    </w:rPr>
  </w:style>
  <w:style w:type="paragraph" w:styleId="61">
    <w:name w:val="Body Text First Indent 2"/>
    <w:basedOn w:val="27"/>
    <w:link w:val="122"/>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Default"/>
    <w:next w:val="80"/>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0">
    <w:name w:val="TOC 71"/>
    <w:basedOn w:val="1"/>
    <w:next w:val="1"/>
    <w:qFormat/>
    <w:uiPriority w:val="0"/>
    <w:pPr>
      <w:widowControl/>
      <w:wordWrap w:val="0"/>
      <w:ind w:left="2550"/>
      <w:jc w:val="both"/>
    </w:pPr>
    <w:rPr>
      <w:rFonts w:hint="default" w:ascii="Calibri" w:hAnsi="Calibri" w:eastAsia="宋体" w:cs="Times New Roman"/>
      <w:kern w:val="0"/>
      <w:sz w:val="21"/>
      <w:szCs w:val="21"/>
      <w:lang w:val="en-US" w:eastAsia="zh-CN" w:bidi="ar"/>
    </w:rPr>
  </w:style>
  <w:style w:type="paragraph" w:customStyle="1" w:styleId="81">
    <w:name w:val="Heading1"/>
    <w:basedOn w:val="1"/>
    <w:next w:val="1"/>
    <w:qFormat/>
    <w:uiPriority w:val="0"/>
    <w:pPr>
      <w:keepNext/>
      <w:keepLines/>
      <w:spacing w:before="340" w:after="330" w:line="578" w:lineRule="auto"/>
      <w:ind w:left="425" w:hanging="425"/>
    </w:pPr>
    <w:rPr>
      <w:rFonts w:eastAsia="仿宋_GB2312"/>
      <w:b/>
      <w:kern w:val="44"/>
      <w:sz w:val="44"/>
      <w:szCs w:val="20"/>
    </w:rPr>
  </w:style>
  <w:style w:type="paragraph" w:customStyle="1" w:styleId="82">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_a065a2bc-5607-4f88-bb9a-f4f6c7b4e0ea"/>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60"/>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_29dca83e-cfa0-4d29-9006-28a1b752e563"/>
    <w:qFormat/>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61"/>
    <w:qFormat/>
    <w:uiPriority w:val="0"/>
    <w:rPr>
      <w:rFonts w:ascii="宋体" w:hAnsi="宋体"/>
      <w:kern w:val="2"/>
      <w:sz w:val="21"/>
      <w:szCs w:val="24"/>
    </w:rPr>
  </w:style>
  <w:style w:type="character" w:customStyle="1" w:styleId="123">
    <w:name w:val="font11"/>
    <w:basedOn w:val="69"/>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69"/>
    <w:qFormat/>
    <w:uiPriority w:val="0"/>
    <w:rPr>
      <w:rFonts w:ascii="Arial" w:hAnsi="Arial" w:eastAsia="黑体" w:cs="Arial"/>
      <w:snapToGrid w:val="0"/>
      <w:kern w:val="0"/>
      <w:szCs w:val="21"/>
    </w:rPr>
  </w:style>
  <w:style w:type="character" w:customStyle="1" w:styleId="126">
    <w:name w:val="纯文本 Char"/>
    <w:link w:val="9"/>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8"/>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12"/>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6"/>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37"/>
    <w:qFormat/>
    <w:uiPriority w:val="0"/>
    <w:rPr>
      <w:rFonts w:ascii="宋体"/>
      <w:kern w:val="2"/>
      <w:sz w:val="24"/>
      <w:szCs w:val="21"/>
      <w:lang w:val="zh-CN"/>
    </w:rPr>
  </w:style>
  <w:style w:type="character" w:customStyle="1" w:styleId="183">
    <w:name w:val="标题 9 Char"/>
    <w:link w:val="15"/>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99"/>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qFormat/>
    <w:uiPriority w:val="99"/>
    <w:rPr>
      <w:rFonts w:ascii="Times New Roman" w:hAnsi="Times New Roman" w:eastAsia="宋体" w:cs="Times New Roman"/>
      <w:szCs w:val="24"/>
    </w:rPr>
  </w:style>
  <w:style w:type="character" w:customStyle="1" w:styleId="189">
    <w:name w:val="批注框文本 Char"/>
    <w:link w:val="40"/>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8"/>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7"/>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22"/>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69"/>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32"/>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10"/>
    <w:link w:val="223"/>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_b6bb7154-40a1-4532-be09-cdbace51fda5"/>
    <w:qFormat/>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20"/>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79"/>
    <w:qFormat/>
    <w:uiPriority w:val="0"/>
    <w:rPr>
      <w:rFonts w:ascii="仿宋_GB2312"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List Paragraph"/>
    <w:basedOn w:val="1"/>
    <w:next w:val="2"/>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7"/>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5"/>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11"/>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4"/>
    <w:qFormat/>
    <w:uiPriority w:val="0"/>
    <w:rPr>
      <w:rFonts w:ascii="仿宋_GB2312" w:eastAsia="仿宋_GB2312"/>
      <w:kern w:val="2"/>
      <w:sz w:val="28"/>
    </w:rPr>
  </w:style>
  <w:style w:type="character" w:customStyle="1" w:styleId="299">
    <w:name w:val="文本正文 Char Char"/>
    <w:qFormat/>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7"/>
    <w:qFormat/>
    <w:uiPriority w:val="0"/>
    <w:rPr>
      <w:rFonts w:ascii="黑体" w:hAnsi="Courier New" w:eastAsia="黑体"/>
    </w:rPr>
  </w:style>
  <w:style w:type="character" w:customStyle="1" w:styleId="302">
    <w:name w:val="正文文本 2 Char1"/>
    <w:link w:val="56"/>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10"/>
    <w:link w:val="413"/>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13"/>
    <w:qFormat/>
    <w:uiPriority w:val="0"/>
    <w:rPr>
      <w:b/>
      <w:bCs/>
      <w:kern w:val="2"/>
      <w:sz w:val="24"/>
      <w:szCs w:val="24"/>
    </w:rPr>
  </w:style>
  <w:style w:type="character" w:customStyle="1" w:styleId="308">
    <w:name w:val="正文文本缩进 2 Char"/>
    <w:link w:val="38"/>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1"/>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3"/>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10"/>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5"/>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3"/>
    <w:qFormat/>
    <w:uiPriority w:val="99"/>
    <w:rPr>
      <w:kern w:val="2"/>
      <w:sz w:val="21"/>
      <w:szCs w:val="24"/>
    </w:rPr>
  </w:style>
  <w:style w:type="character" w:customStyle="1" w:styleId="345">
    <w:name w:val="签名 Char"/>
    <w:link w:val="43"/>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4"/>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3"/>
    <w:qFormat/>
    <w:uiPriority w:val="0"/>
    <w:rPr>
      <w:kern w:val="2"/>
      <w:sz w:val="24"/>
    </w:rPr>
  </w:style>
  <w:style w:type="character" w:customStyle="1" w:styleId="376">
    <w:name w:val="日期 Char1"/>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1"/>
    <w:qFormat/>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2"/>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8"/>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10"/>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6"/>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6"/>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12"/>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6"/>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7"/>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11"/>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7"/>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6"/>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8"/>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10"/>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6"/>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79"/>
    <w:next w:val="79"/>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79"/>
    <w:next w:val="79"/>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7"/>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6"/>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9"/>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6"/>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5"/>
    <w:qFormat/>
    <w:uiPriority w:val="0"/>
    <w:pPr>
      <w:tabs>
        <w:tab w:val="left" w:pos="840"/>
      </w:tabs>
      <w:adjustRightInd/>
      <w:ind w:left="840" w:hanging="420"/>
    </w:pPr>
  </w:style>
  <w:style w:type="paragraph" w:customStyle="1" w:styleId="626">
    <w:name w:val="样式 标题 2标题2H2Heading 2 HiddenHeading 2 CCBSheading 22nd lev..."/>
    <w:basedOn w:val="6"/>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10"/>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6"/>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after="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6"/>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5"/>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5"/>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10"/>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6"/>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8"/>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7"/>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20"/>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8"/>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7"/>
    <w:next w:val="53"/>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5"/>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10"/>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7"/>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9"/>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22"/>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7"/>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5"/>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11"/>
    <w:next w:val="1"/>
    <w:qFormat/>
    <w:uiPriority w:val="0"/>
    <w:pPr>
      <w:tabs>
        <w:tab w:val="left" w:pos="1080"/>
      </w:tabs>
      <w:ind w:left="1080" w:hanging="1080"/>
    </w:pPr>
  </w:style>
  <w:style w:type="paragraph" w:customStyle="1" w:styleId="897">
    <w:name w:val="数字标题1"/>
    <w:basedOn w:val="5"/>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9"/>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6"/>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qFormat/>
    <w:uiPriority w:val="99"/>
    <w:rPr>
      <w:rFonts w:ascii="Times New Roman" w:hAnsi="Times New Roman" w:eastAsia="宋体" w:cs="Times New Roman"/>
      <w:kern w:val="2"/>
      <w:sz w:val="21"/>
      <w:szCs w:val="24"/>
      <w:lang w:val="en-US" w:eastAsia="zh-CN" w:bidi="ar-SA"/>
    </w:rPr>
  </w:style>
  <w:style w:type="paragraph" w:customStyle="1" w:styleId="965">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paragraph" w:customStyle="1" w:styleId="966">
    <w:name w:val="Plain Text"/>
    <w:basedOn w:val="967"/>
    <w:qFormat/>
    <w:uiPriority w:val="0"/>
    <w:pPr>
      <w:widowControl/>
      <w:jc w:val="left"/>
    </w:pPr>
    <w:rPr>
      <w:rFonts w:hAnsi="Courier New"/>
    </w:rPr>
  </w:style>
  <w:style w:type="paragraph" w:customStyle="1" w:styleId="967">
    <w:name w:val="Normal"/>
    <w:basedOn w:val="1"/>
    <w:qFormat/>
    <w:uiPriority w:val="0"/>
    <w:rPr>
      <w:rFonts w:ascii="宋体" w:hAnsi="宋体" w:eastAsia="宋体" w:cs="宋体"/>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92</Pages>
  <Words>20535</Words>
  <Characters>21969</Characters>
  <Paragraphs>1943</Paragraphs>
  <TotalTime>3</TotalTime>
  <ScaleCrop>false</ScaleCrop>
  <LinksUpToDate>false</LinksUpToDate>
  <CharactersWithSpaces>23588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2021-08-04T00:22:00Z</dcterms:created>
  <dc:creator>玥</dc:creator>
  <cp:lastModifiedBy>雏菊</cp:lastModifiedBy>
  <cp:lastPrinted>2025-03-26T07:10:00Z</cp:lastPrinted>
  <dcterms:modified xsi:type="dcterms:W3CDTF">2025-03-31T07:56:39Z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8901F4001942479490FAD9333C6C1477_13</vt:lpwstr>
  </property>
  <property fmtid="{D5CDD505-2E9C-101B-9397-08002B2CF9AE}" pid="5" name="KSOTemplateDocerSaveRecord">
    <vt:lpwstr>eyJoZGlkIjoiNzA5MDFkZTk5YjllODQxYjExNzBmNTljNmE1NmUyNjEiLCJ1c2VySWQiOiI2OTgxMzE0MjgifQ==</vt:lpwstr>
  </property>
</Properties>
</file>