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4997A7">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44"/>
          <w:szCs w:val="44"/>
          <w:highlight w:val="none"/>
          <w:lang w:val="en-US" w:eastAsia="zh-CN"/>
        </w:rPr>
        <w:t>嵊州市中医院医共体救治能力提升工程（金庭分院异地新建）智能化设备采购项目</w:t>
      </w:r>
    </w:p>
    <w:p w14:paraId="30FBFE96">
      <w:pPr>
        <w:jc w:val="center"/>
        <w:rPr>
          <w:rFonts w:hint="eastAsia" w:ascii="仿宋" w:hAnsi="仿宋" w:eastAsia="仿宋" w:cs="仿宋"/>
          <w:b/>
          <w:color w:val="auto"/>
          <w:sz w:val="32"/>
          <w:szCs w:val="32"/>
          <w:highlight w:val="none"/>
          <w:lang w:eastAsia="zh-CN"/>
        </w:rPr>
      </w:pPr>
    </w:p>
    <w:p w14:paraId="66CFB3C7">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SXWH2024-11-7</w:t>
      </w:r>
    </w:p>
    <w:p w14:paraId="6A35DA63">
      <w:pPr>
        <w:jc w:val="center"/>
        <w:outlineLvl w:val="0"/>
        <w:rPr>
          <w:rFonts w:hint="eastAsia" w:ascii="仿宋" w:hAnsi="仿宋" w:eastAsia="仿宋" w:cs="仿宋"/>
          <w:b/>
          <w:color w:val="auto"/>
          <w:sz w:val="52"/>
          <w:szCs w:val="52"/>
          <w:highlight w:val="none"/>
        </w:rPr>
      </w:pPr>
    </w:p>
    <w:p w14:paraId="3C4742AF">
      <w:pPr>
        <w:jc w:val="center"/>
        <w:outlineLvl w:val="0"/>
        <w:rPr>
          <w:rFonts w:hint="eastAsia" w:ascii="仿宋" w:hAnsi="仿宋" w:eastAsia="仿宋" w:cs="仿宋"/>
          <w:b/>
          <w:color w:val="auto"/>
          <w:sz w:val="52"/>
          <w:szCs w:val="52"/>
          <w:highlight w:val="none"/>
        </w:rPr>
      </w:pPr>
    </w:p>
    <w:p w14:paraId="7D93158D">
      <w:pPr>
        <w:pStyle w:val="3"/>
        <w:rPr>
          <w:rFonts w:hint="eastAsia"/>
          <w:color w:val="auto"/>
          <w:highlight w:val="none"/>
        </w:rPr>
      </w:pPr>
    </w:p>
    <w:p w14:paraId="732FB517">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14:paraId="32FACB89">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14:paraId="2038B425">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14:paraId="443DC3C1">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14:paraId="58E0693B">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14:paraId="291D93DA">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14:paraId="143896FB">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8873AA9">
      <w:pPr>
        <w:pStyle w:val="22"/>
        <w:numPr>
          <w:ilvl w:val="0"/>
          <w:numId w:val="0"/>
        </w:numPr>
        <w:jc w:val="both"/>
        <w:rPr>
          <w:rFonts w:hint="eastAsia"/>
          <w:color w:val="auto"/>
          <w:highlight w:val="none"/>
        </w:rPr>
      </w:pPr>
    </w:p>
    <w:p w14:paraId="63EBCFD8">
      <w:pPr>
        <w:rPr>
          <w:rFonts w:hint="eastAsia"/>
          <w:color w:val="auto"/>
          <w:highlight w:val="none"/>
        </w:rPr>
      </w:pPr>
    </w:p>
    <w:p w14:paraId="5CA79C82">
      <w:pPr>
        <w:pStyle w:val="22"/>
        <w:numPr>
          <w:ilvl w:val="0"/>
          <w:numId w:val="0"/>
        </w:numPr>
        <w:jc w:val="both"/>
        <w:rPr>
          <w:rFonts w:hint="eastAsia"/>
          <w:color w:val="auto"/>
          <w:highlight w:val="none"/>
        </w:rPr>
      </w:pPr>
    </w:p>
    <w:p w14:paraId="3669E86A">
      <w:pPr>
        <w:rPr>
          <w:rFonts w:hint="eastAsia"/>
          <w:color w:val="auto"/>
          <w:highlight w:val="none"/>
        </w:rPr>
      </w:pPr>
    </w:p>
    <w:p w14:paraId="21491E62">
      <w:pPr>
        <w:rPr>
          <w:rFonts w:hint="eastAsia"/>
          <w:color w:val="auto"/>
          <w:highlight w:val="none"/>
        </w:rPr>
      </w:pPr>
    </w:p>
    <w:p w14:paraId="3776F9C2">
      <w:pPr>
        <w:rPr>
          <w:rFonts w:hint="eastAsia"/>
          <w:color w:val="auto"/>
          <w:highlight w:val="none"/>
        </w:rPr>
      </w:pPr>
    </w:p>
    <w:tbl>
      <w:tblPr>
        <w:tblStyle w:val="64"/>
        <w:tblW w:w="7919" w:type="dxa"/>
        <w:jc w:val="center"/>
        <w:tblLayout w:type="fixed"/>
        <w:tblCellMar>
          <w:top w:w="0" w:type="dxa"/>
          <w:left w:w="108" w:type="dxa"/>
          <w:bottom w:w="0" w:type="dxa"/>
          <w:right w:w="108" w:type="dxa"/>
        </w:tblCellMar>
      </w:tblPr>
      <w:tblGrid>
        <w:gridCol w:w="2533"/>
        <w:gridCol w:w="5386"/>
      </w:tblGrid>
      <w:tr w14:paraId="72920C37">
        <w:tblPrEx>
          <w:tblCellMar>
            <w:top w:w="0" w:type="dxa"/>
            <w:left w:w="108" w:type="dxa"/>
            <w:bottom w:w="0" w:type="dxa"/>
            <w:right w:w="108" w:type="dxa"/>
          </w:tblCellMar>
        </w:tblPrEx>
        <w:trPr>
          <w:trHeight w:val="610" w:hRule="atLeast"/>
          <w:jc w:val="center"/>
        </w:trPr>
        <w:tc>
          <w:tcPr>
            <w:tcW w:w="2533" w:type="dxa"/>
          </w:tcPr>
          <w:p w14:paraId="16590E53">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14:paraId="1BDC5249">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嵊州市卫生健康局</w:t>
            </w:r>
          </w:p>
        </w:tc>
      </w:tr>
      <w:tr w14:paraId="60070007">
        <w:tblPrEx>
          <w:tblCellMar>
            <w:top w:w="0" w:type="dxa"/>
            <w:left w:w="108" w:type="dxa"/>
            <w:bottom w:w="0" w:type="dxa"/>
            <w:right w:w="108" w:type="dxa"/>
          </w:tblCellMar>
        </w:tblPrEx>
        <w:trPr>
          <w:trHeight w:val="610" w:hRule="atLeast"/>
          <w:jc w:val="center"/>
        </w:trPr>
        <w:tc>
          <w:tcPr>
            <w:tcW w:w="2533" w:type="dxa"/>
          </w:tcPr>
          <w:p w14:paraId="2703E3F4">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0345957"/>
              </w:rPr>
              <w:t>采购代理机</w:t>
            </w:r>
            <w:r>
              <w:rPr>
                <w:rFonts w:hint="eastAsia" w:ascii="仿宋" w:hAnsi="仿宋" w:eastAsia="仿宋" w:cs="仿宋"/>
                <w:color w:val="auto"/>
                <w:spacing w:val="3"/>
                <w:w w:val="87"/>
                <w:kern w:val="0"/>
                <w:sz w:val="32"/>
                <w:szCs w:val="32"/>
                <w:highlight w:val="none"/>
                <w:fitText w:val="1680" w:id="190345957"/>
              </w:rPr>
              <w:t>构</w:t>
            </w:r>
            <w:r>
              <w:rPr>
                <w:rFonts w:hint="eastAsia" w:ascii="仿宋" w:hAnsi="仿宋" w:eastAsia="仿宋" w:cs="仿宋"/>
                <w:color w:val="auto"/>
                <w:sz w:val="32"/>
                <w:szCs w:val="32"/>
                <w:highlight w:val="none"/>
              </w:rPr>
              <w:t>：</w:t>
            </w:r>
          </w:p>
        </w:tc>
        <w:tc>
          <w:tcPr>
            <w:tcW w:w="5386" w:type="dxa"/>
          </w:tcPr>
          <w:p w14:paraId="5F2F817C">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14:paraId="26CBB5D1">
        <w:tblPrEx>
          <w:tblCellMar>
            <w:top w:w="0" w:type="dxa"/>
            <w:left w:w="108" w:type="dxa"/>
            <w:bottom w:w="0" w:type="dxa"/>
            <w:right w:w="108" w:type="dxa"/>
          </w:tblCellMar>
        </w:tblPrEx>
        <w:trPr>
          <w:trHeight w:val="610" w:hRule="atLeast"/>
          <w:jc w:val="center"/>
        </w:trPr>
        <w:tc>
          <w:tcPr>
            <w:tcW w:w="2533" w:type="dxa"/>
            <w:vAlign w:val="center"/>
          </w:tcPr>
          <w:p w14:paraId="4FAA05E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14:paraId="0D775014">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嵊州市采购监管</w:t>
            </w:r>
          </w:p>
        </w:tc>
      </w:tr>
      <w:tr w14:paraId="1EC9DC26">
        <w:tblPrEx>
          <w:tblCellMar>
            <w:top w:w="0" w:type="dxa"/>
            <w:left w:w="108" w:type="dxa"/>
            <w:bottom w:w="0" w:type="dxa"/>
            <w:right w:w="108" w:type="dxa"/>
          </w:tblCellMar>
        </w:tblPrEx>
        <w:trPr>
          <w:trHeight w:val="610" w:hRule="atLeast"/>
          <w:jc w:val="center"/>
        </w:trPr>
        <w:tc>
          <w:tcPr>
            <w:tcW w:w="7919" w:type="dxa"/>
            <w:gridSpan w:val="2"/>
          </w:tcPr>
          <w:p w14:paraId="7F462A5E">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十一</w:t>
            </w:r>
            <w:r>
              <w:rPr>
                <w:rFonts w:hint="eastAsia" w:ascii="仿宋" w:hAnsi="仿宋" w:eastAsia="仿宋" w:cs="仿宋"/>
                <w:color w:val="auto"/>
                <w:sz w:val="32"/>
                <w:szCs w:val="32"/>
                <w:highlight w:val="none"/>
              </w:rPr>
              <w:t>月</w:t>
            </w:r>
          </w:p>
        </w:tc>
      </w:tr>
    </w:tbl>
    <w:p w14:paraId="5382FCB6">
      <w:pPr>
        <w:pStyle w:val="641"/>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378D180">
      <w:pPr>
        <w:pStyle w:val="641"/>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AF307A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D96E8B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FBCA49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C738DB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5976E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7B3578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9256F3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D2F753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54DA6B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14CC0D5">
      <w:pPr>
        <w:spacing w:line="360" w:lineRule="auto"/>
        <w:ind w:firstLine="549" w:firstLineChars="229"/>
        <w:rPr>
          <w:rFonts w:hint="eastAsia" w:ascii="仿宋" w:hAnsi="仿宋" w:eastAsia="仿宋" w:cs="仿宋"/>
          <w:color w:val="auto"/>
          <w:sz w:val="24"/>
          <w:highlight w:val="none"/>
        </w:rPr>
      </w:pPr>
    </w:p>
    <w:p w14:paraId="58F247D1">
      <w:pPr>
        <w:spacing w:line="360" w:lineRule="auto"/>
        <w:ind w:firstLine="549" w:firstLineChars="229"/>
        <w:rPr>
          <w:rFonts w:hint="eastAsia" w:ascii="仿宋" w:hAnsi="仿宋" w:eastAsia="仿宋" w:cs="仿宋"/>
          <w:color w:val="auto"/>
          <w:sz w:val="24"/>
          <w:highlight w:val="none"/>
        </w:rPr>
      </w:pPr>
    </w:p>
    <w:p w14:paraId="5AB71A4A">
      <w:pPr>
        <w:spacing w:line="360" w:lineRule="auto"/>
        <w:ind w:firstLine="549" w:firstLineChars="229"/>
        <w:rPr>
          <w:rFonts w:hint="eastAsia" w:ascii="仿宋" w:hAnsi="仿宋" w:eastAsia="仿宋" w:cs="仿宋"/>
          <w:color w:val="auto"/>
          <w:sz w:val="24"/>
          <w:highlight w:val="none"/>
        </w:rPr>
      </w:pPr>
    </w:p>
    <w:p w14:paraId="5FE3691A">
      <w:pPr>
        <w:spacing w:line="360" w:lineRule="auto"/>
        <w:ind w:firstLine="549" w:firstLineChars="229"/>
        <w:rPr>
          <w:rFonts w:hint="eastAsia" w:ascii="仿宋" w:hAnsi="仿宋" w:eastAsia="仿宋" w:cs="仿宋"/>
          <w:color w:val="auto"/>
          <w:sz w:val="24"/>
          <w:highlight w:val="none"/>
        </w:rPr>
      </w:pPr>
    </w:p>
    <w:p w14:paraId="5BA12F41">
      <w:pPr>
        <w:spacing w:line="360" w:lineRule="auto"/>
        <w:ind w:firstLine="549" w:firstLineChars="229"/>
        <w:rPr>
          <w:rFonts w:hint="eastAsia" w:ascii="仿宋" w:hAnsi="仿宋" w:eastAsia="仿宋" w:cs="仿宋"/>
          <w:color w:val="auto"/>
          <w:sz w:val="24"/>
          <w:highlight w:val="none"/>
        </w:rPr>
      </w:pPr>
    </w:p>
    <w:p w14:paraId="15FD5B74">
      <w:pPr>
        <w:spacing w:line="360" w:lineRule="auto"/>
        <w:ind w:firstLine="549" w:firstLineChars="229"/>
        <w:rPr>
          <w:rFonts w:hint="eastAsia" w:ascii="仿宋" w:hAnsi="仿宋" w:eastAsia="仿宋" w:cs="仿宋"/>
          <w:color w:val="auto"/>
          <w:sz w:val="24"/>
          <w:highlight w:val="none"/>
        </w:rPr>
      </w:pPr>
    </w:p>
    <w:p w14:paraId="61DDC77F">
      <w:pPr>
        <w:spacing w:line="360" w:lineRule="auto"/>
        <w:ind w:firstLine="549" w:firstLineChars="229"/>
        <w:rPr>
          <w:rFonts w:hint="eastAsia" w:ascii="仿宋" w:hAnsi="仿宋" w:eastAsia="仿宋" w:cs="仿宋"/>
          <w:color w:val="auto"/>
          <w:sz w:val="24"/>
          <w:highlight w:val="none"/>
        </w:rPr>
      </w:pPr>
    </w:p>
    <w:p w14:paraId="67139A0F">
      <w:pPr>
        <w:spacing w:line="360" w:lineRule="auto"/>
        <w:ind w:firstLine="549" w:firstLineChars="229"/>
        <w:rPr>
          <w:rFonts w:hint="eastAsia" w:ascii="仿宋" w:hAnsi="仿宋" w:eastAsia="仿宋" w:cs="仿宋"/>
          <w:color w:val="auto"/>
          <w:sz w:val="24"/>
          <w:highlight w:val="none"/>
        </w:rPr>
      </w:pPr>
    </w:p>
    <w:p w14:paraId="701E32A2">
      <w:pPr>
        <w:spacing w:line="360" w:lineRule="auto"/>
        <w:ind w:firstLine="549" w:firstLineChars="229"/>
        <w:rPr>
          <w:rFonts w:hint="eastAsia" w:ascii="仿宋" w:hAnsi="仿宋" w:eastAsia="仿宋" w:cs="仿宋"/>
          <w:color w:val="auto"/>
          <w:sz w:val="24"/>
          <w:highlight w:val="none"/>
        </w:rPr>
      </w:pPr>
    </w:p>
    <w:p w14:paraId="2D334C38">
      <w:pPr>
        <w:spacing w:line="360" w:lineRule="auto"/>
        <w:ind w:firstLine="549" w:firstLineChars="229"/>
        <w:rPr>
          <w:rFonts w:hint="eastAsia" w:ascii="仿宋" w:hAnsi="仿宋" w:eastAsia="仿宋" w:cs="仿宋"/>
          <w:color w:val="auto"/>
          <w:sz w:val="24"/>
          <w:highlight w:val="none"/>
        </w:rPr>
      </w:pPr>
    </w:p>
    <w:p w14:paraId="01D9FCB2">
      <w:pPr>
        <w:spacing w:line="360" w:lineRule="auto"/>
        <w:ind w:firstLine="549" w:firstLineChars="229"/>
        <w:rPr>
          <w:rFonts w:hint="eastAsia" w:ascii="仿宋" w:hAnsi="仿宋" w:eastAsia="仿宋" w:cs="仿宋"/>
          <w:color w:val="auto"/>
          <w:sz w:val="24"/>
          <w:highlight w:val="none"/>
        </w:rPr>
      </w:pPr>
    </w:p>
    <w:p w14:paraId="4222270C">
      <w:pPr>
        <w:spacing w:line="360" w:lineRule="auto"/>
        <w:rPr>
          <w:rFonts w:hint="eastAsia" w:ascii="仿宋" w:hAnsi="仿宋" w:eastAsia="仿宋" w:cs="仿宋"/>
          <w:color w:val="auto"/>
          <w:sz w:val="24"/>
          <w:highlight w:val="none"/>
        </w:rPr>
      </w:pPr>
    </w:p>
    <w:bookmarkEnd w:id="1"/>
    <w:p w14:paraId="106565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57795B5">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14:paraId="061EFAD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7B845F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7FD27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嵊州市中医院医共体救治能力提升工程（金庭分院异地新建）智能化设备采购项目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12</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17</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14</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lang w:val="en-US" w:eastAsia="zh-CN"/>
        </w:rPr>
        <w:t>0</w:t>
      </w:r>
      <w:r>
        <w:rPr>
          <w:rStyle w:val="78"/>
          <w:rFonts w:hint="eastAsia" w:ascii="仿宋" w:hAnsi="仿宋" w:eastAsia="仿宋" w:cs="仿宋"/>
          <w:bCs/>
          <w:snapToGrid/>
          <w:color w:val="auto"/>
          <w:kern w:val="2"/>
          <w:sz w:val="24"/>
          <w:szCs w:val="24"/>
          <w:highlight w:val="none"/>
        </w:rPr>
        <w:t>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C6658D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13AB0B4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SXWH2024-11-7</w:t>
      </w:r>
    </w:p>
    <w:p w14:paraId="6777E6F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嵊州市中医院医共体救治能力提升工程（金庭分院异地新建）智能化设备采购项目</w:t>
      </w:r>
    </w:p>
    <w:p w14:paraId="6A815B9B">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rPr>
        <w:t>2849500</w:t>
      </w:r>
      <w:r>
        <w:rPr>
          <w:rFonts w:hint="eastAsia" w:ascii="仿宋" w:hAnsi="仿宋" w:eastAsia="仿宋" w:cs="仿宋"/>
          <w:b w:val="0"/>
          <w:bCs/>
          <w:color w:val="auto"/>
          <w:sz w:val="24"/>
          <w:highlight w:val="none"/>
          <w:lang w:val="en-US" w:eastAsia="zh-CN"/>
        </w:rPr>
        <w:t>元。</w:t>
      </w:r>
    </w:p>
    <w:p w14:paraId="60B0080A">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bCs w:val="0"/>
          <w:color w:val="auto"/>
          <w:sz w:val="24"/>
          <w:highlight w:val="none"/>
          <w:lang w:val="en-US"/>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rPr>
        <w:t>2849500</w:t>
      </w:r>
      <w:r>
        <w:rPr>
          <w:rFonts w:hint="eastAsia" w:ascii="仿宋" w:hAnsi="仿宋" w:eastAsia="仿宋" w:cs="仿宋"/>
          <w:b w:val="0"/>
          <w:bCs/>
          <w:color w:val="auto"/>
          <w:sz w:val="24"/>
          <w:highlight w:val="none"/>
          <w:lang w:val="en-US" w:eastAsia="zh-CN"/>
        </w:rPr>
        <w:t>元。</w:t>
      </w:r>
    </w:p>
    <w:p w14:paraId="7AE41EDC">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4"/>
        <w:tblW w:w="885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799"/>
        <w:gridCol w:w="1007"/>
        <w:gridCol w:w="1731"/>
        <w:gridCol w:w="1533"/>
      </w:tblGrid>
      <w:tr w14:paraId="3752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780" w:type="dxa"/>
            <w:noWrap w:val="0"/>
            <w:vAlign w:val="center"/>
          </w:tcPr>
          <w:p w14:paraId="6AAFAFAE">
            <w:pPr>
              <w:pStyle w:val="7"/>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序号</w:t>
            </w:r>
          </w:p>
        </w:tc>
        <w:tc>
          <w:tcPr>
            <w:tcW w:w="3799" w:type="dxa"/>
            <w:noWrap w:val="0"/>
            <w:vAlign w:val="center"/>
          </w:tcPr>
          <w:p w14:paraId="0413EEEF">
            <w:pPr>
              <w:pStyle w:val="7"/>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007" w:type="dxa"/>
            <w:noWrap w:val="0"/>
            <w:vAlign w:val="center"/>
          </w:tcPr>
          <w:p w14:paraId="7F12F93E">
            <w:pPr>
              <w:pStyle w:val="7"/>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731" w:type="dxa"/>
            <w:noWrap w:val="0"/>
            <w:vAlign w:val="center"/>
          </w:tcPr>
          <w:p w14:paraId="3DD4417E">
            <w:pPr>
              <w:pStyle w:val="7"/>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533" w:type="dxa"/>
            <w:noWrap w:val="0"/>
            <w:vAlign w:val="center"/>
          </w:tcPr>
          <w:p w14:paraId="6578BBC6">
            <w:pPr>
              <w:pStyle w:val="7"/>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14:paraId="4A71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exact"/>
        </w:trPr>
        <w:tc>
          <w:tcPr>
            <w:tcW w:w="780" w:type="dxa"/>
            <w:noWrap w:val="0"/>
            <w:vAlign w:val="center"/>
          </w:tcPr>
          <w:p w14:paraId="67028838">
            <w:pPr>
              <w:pStyle w:val="7"/>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799" w:type="dxa"/>
            <w:noWrap w:val="0"/>
            <w:vAlign w:val="center"/>
          </w:tcPr>
          <w:p w14:paraId="594D0913">
            <w:pPr>
              <w:pStyle w:val="7"/>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嵊州市中医院医共体救治能力提升工程（金庭分院异地新建）智能化设备采购项目</w:t>
            </w:r>
          </w:p>
        </w:tc>
        <w:tc>
          <w:tcPr>
            <w:tcW w:w="1007" w:type="dxa"/>
            <w:noWrap w:val="0"/>
            <w:vAlign w:val="center"/>
          </w:tcPr>
          <w:p w14:paraId="79CEB597">
            <w:pPr>
              <w:pStyle w:val="7"/>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1批</w:t>
            </w:r>
          </w:p>
        </w:tc>
        <w:tc>
          <w:tcPr>
            <w:tcW w:w="1731" w:type="dxa"/>
            <w:noWrap w:val="0"/>
            <w:vAlign w:val="center"/>
          </w:tcPr>
          <w:p w14:paraId="4AEE8811">
            <w:pPr>
              <w:pStyle w:val="7"/>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rPr>
              <w:t>2849500</w:t>
            </w:r>
            <w:r>
              <w:rPr>
                <w:rFonts w:hint="eastAsia" w:ascii="仿宋" w:hAnsi="仿宋" w:eastAsia="仿宋" w:cs="仿宋"/>
                <w:b w:val="0"/>
                <w:bCs/>
                <w:color w:val="auto"/>
                <w:sz w:val="24"/>
                <w:highlight w:val="none"/>
                <w:lang w:val="en-US" w:eastAsia="zh-CN"/>
              </w:rPr>
              <w:t>元</w:t>
            </w:r>
          </w:p>
        </w:tc>
        <w:tc>
          <w:tcPr>
            <w:tcW w:w="1533" w:type="dxa"/>
            <w:noWrap w:val="0"/>
            <w:vAlign w:val="center"/>
          </w:tcPr>
          <w:p w14:paraId="037CDE26">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p>
        </w:tc>
      </w:tr>
    </w:tbl>
    <w:p w14:paraId="4CDADC6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6.合同履行期限：</w:t>
      </w:r>
      <w:r>
        <w:rPr>
          <w:rFonts w:hint="eastAsia" w:ascii="仿宋" w:hAnsi="仿宋" w:eastAsia="仿宋" w:cs="仿宋"/>
          <w:b w:val="0"/>
          <w:bCs/>
          <w:snapToGrid/>
          <w:color w:val="auto"/>
          <w:kern w:val="2"/>
          <w:sz w:val="24"/>
          <w:szCs w:val="24"/>
          <w:highlight w:val="none"/>
          <w:lang w:val="en-US" w:eastAsia="zh-CN" w:bidi="ar-SA"/>
        </w:rPr>
        <w:t>按双方合同约定条款执行。</w:t>
      </w:r>
    </w:p>
    <w:p w14:paraId="776B830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4AA4E76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2C5C6C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4D1E1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6C64E2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25264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2C57E6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专门面向中小企业</w:t>
      </w:r>
    </w:p>
    <w:p w14:paraId="73F8B49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195AA1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106409BA">
      <w:pPr>
        <w:keepNext w:val="0"/>
        <w:keepLines w:val="0"/>
        <w:pageBreakBefore w:val="0"/>
        <w:widowControl/>
        <w:kinsoku/>
        <w:wordWrap/>
        <w:overflowPunct/>
        <w:topLinePunct w:val="0"/>
        <w:autoSpaceDE/>
        <w:autoSpaceDN/>
        <w:bidi w:val="0"/>
        <w:adjustRightInd w:val="0"/>
        <w:snapToGrid w:val="0"/>
        <w:spacing w:line="360" w:lineRule="auto"/>
        <w:ind w:firstLine="512" w:firstLineChars="200"/>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pacing w:val="8"/>
          <w:kern w:val="0"/>
          <w:sz w:val="24"/>
          <w:highlight w:val="none"/>
        </w:rPr>
        <w:t>4.本项目的特定资格要求：</w:t>
      </w:r>
      <w:r>
        <w:rPr>
          <w:rFonts w:hint="eastAsia" w:ascii="仿宋" w:hAnsi="仿宋" w:eastAsia="仿宋" w:cs="仿宋"/>
          <w:b w:val="0"/>
          <w:bCs w:val="0"/>
          <w:color w:val="auto"/>
          <w:spacing w:val="8"/>
          <w:kern w:val="0"/>
          <w:sz w:val="24"/>
          <w:highlight w:val="none"/>
          <w:lang w:val="en-US" w:eastAsia="zh-CN"/>
        </w:rPr>
        <w:t>无</w:t>
      </w:r>
      <w:r>
        <w:rPr>
          <w:rFonts w:hint="eastAsia" w:ascii="仿宋" w:hAnsi="仿宋" w:eastAsia="仿宋" w:cs="仿宋"/>
          <w:b w:val="0"/>
          <w:bCs w:val="0"/>
          <w:color w:val="auto"/>
          <w:spacing w:val="8"/>
          <w:kern w:val="0"/>
          <w:sz w:val="24"/>
          <w:highlight w:val="none"/>
          <w:lang w:eastAsia="zh-CN"/>
        </w:rPr>
        <w:t>。</w:t>
      </w:r>
    </w:p>
    <w:p w14:paraId="584AE513">
      <w:pPr>
        <w:keepNext w:val="0"/>
        <w:keepLines w:val="0"/>
        <w:pageBreakBefore w:val="0"/>
        <w:shd w:val="clear"/>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EEEAC41">
      <w:pPr>
        <w:keepNext w:val="0"/>
        <w:keepLines w:val="0"/>
        <w:pageBreakBefore w:val="0"/>
        <w:shd w:val="clear"/>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采购活动，由单位负责人签署相关文件材料</w:t>
      </w:r>
      <w:r>
        <w:rPr>
          <w:rFonts w:hint="eastAsia" w:ascii="仿宋" w:hAnsi="仿宋" w:eastAsia="仿宋" w:cs="仿宋"/>
          <w:color w:val="auto"/>
          <w:sz w:val="24"/>
          <w:szCs w:val="24"/>
          <w:highlight w:val="none"/>
          <w:lang w:eastAsia="zh-CN"/>
        </w:rPr>
        <w:t>。</w:t>
      </w:r>
    </w:p>
    <w:p w14:paraId="60A756F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B04C4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1823D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BC1A1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1F443EE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4B1EB2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800CF8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3BF7479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58CD7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1D004AD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01430B55">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C3E27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83B09B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ED406A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highlight w:val="none"/>
          <w:lang w:val="zh-CN"/>
        </w:rPr>
        <w:t>增信.</w:t>
      </w:r>
      <w:r>
        <w:rPr>
          <w:rFonts w:hint="eastAsia" w:ascii="仿宋" w:hAnsi="仿宋" w:eastAsia="仿宋" w:cs="仿宋"/>
          <w:color w:val="auto"/>
          <w:sz w:val="24"/>
          <w:highlight w:val="none"/>
        </w:rPr>
        <w:t>支持供应商基于中标项目进行应收账款融资。</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若想了解或使用相关服务, 可拨打政采云金融热线进行咨询400-903-9583，或登陆政采云平台查看相应政策文件及各相关服务方案：</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HYPERLINK "https://jinrong.zcygov.en/finance-service/%23/home"</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https://jinrong.zcygov.en/finance-service/#/home</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79AE4C2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67B735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6F93D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26E7F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1711A0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3F0E78AC">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50F221F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嵊州市卫生健康局</w:t>
      </w:r>
    </w:p>
    <w:p w14:paraId="7CCF8AA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址：嵊州市</w:t>
      </w:r>
      <w:r>
        <w:rPr>
          <w:rFonts w:hint="eastAsia" w:ascii="仿宋" w:hAnsi="仿宋" w:eastAsia="仿宋" w:cs="仿宋"/>
          <w:color w:val="auto"/>
          <w:sz w:val="24"/>
          <w:highlight w:val="none"/>
          <w:lang w:val="en-US" w:eastAsia="zh-CN"/>
        </w:rPr>
        <w:t>兴旺街1号</w:t>
      </w:r>
    </w:p>
    <w:p w14:paraId="02100867">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姚先生</w:t>
      </w:r>
    </w:p>
    <w:p w14:paraId="12068C85">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项目联系方式（询问）：0575-83517899</w:t>
      </w:r>
    </w:p>
    <w:p w14:paraId="5E0C10A3">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质疑联系人：求先生</w:t>
      </w:r>
    </w:p>
    <w:p w14:paraId="26DCAEB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质疑联系方式：0575-83275208 </w:t>
      </w:r>
    </w:p>
    <w:p w14:paraId="6CFCA818">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3539380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20BB30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14:paraId="23DE929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7B89A91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裘文燕</w:t>
      </w:r>
    </w:p>
    <w:p w14:paraId="7A3C10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w:t>
      </w:r>
    </w:p>
    <w:p w14:paraId="4ED1ED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俞女士</w:t>
      </w:r>
      <w:r>
        <w:rPr>
          <w:rFonts w:hint="eastAsia" w:ascii="仿宋" w:hAnsi="仿宋" w:eastAsia="仿宋" w:cs="仿宋"/>
          <w:color w:val="auto"/>
          <w:sz w:val="24"/>
          <w:highlight w:val="none"/>
        </w:rPr>
        <w:t xml:space="preserve">             </w:t>
      </w:r>
    </w:p>
    <w:p w14:paraId="6D2B43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0</w:t>
      </w:r>
    </w:p>
    <w:p w14:paraId="5AED04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466E4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w:t>
      </w:r>
      <w:r>
        <w:rPr>
          <w:rFonts w:hint="eastAsia" w:ascii="仿宋" w:hAnsi="仿宋" w:eastAsia="仿宋" w:cs="仿宋"/>
          <w:color w:val="auto"/>
          <w:sz w:val="24"/>
          <w:highlight w:val="none"/>
          <w:lang w:val="en-US" w:eastAsia="zh-CN"/>
        </w:rPr>
        <w:t>嵊州市采购监管</w:t>
      </w:r>
    </w:p>
    <w:p w14:paraId="6DFA8A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w:t>
      </w:r>
      <w:r>
        <w:rPr>
          <w:rFonts w:hint="eastAsia" w:ascii="仿宋" w:hAnsi="仿宋" w:eastAsia="仿宋" w:cs="仿宋"/>
          <w:color w:val="auto"/>
          <w:sz w:val="24"/>
          <w:highlight w:val="none"/>
          <w:lang w:eastAsia="zh-CN"/>
        </w:rPr>
        <w:t>嵊州市三江街道国资综合大楼1004室</w:t>
      </w:r>
      <w:r>
        <w:rPr>
          <w:rFonts w:hint="eastAsia" w:ascii="仿宋" w:hAnsi="仿宋" w:eastAsia="仿宋" w:cs="仿宋"/>
          <w:color w:val="auto"/>
          <w:sz w:val="24"/>
          <w:highlight w:val="none"/>
          <w:lang w:val="en-US" w:eastAsia="zh-CN"/>
        </w:rPr>
        <w:t xml:space="preserve">  </w:t>
      </w:r>
    </w:p>
    <w:p w14:paraId="22D997E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郑老师</w:t>
      </w:r>
    </w:p>
    <w:p w14:paraId="401145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63BFC6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14:paraId="59B3E34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82EFB2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4913F14F">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5009FA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5E82A31">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582D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1A272A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4697E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883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52B02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3904D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A9929C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w:t>
            </w:r>
          </w:p>
        </w:tc>
      </w:tr>
      <w:tr w14:paraId="3E5E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70" w:type="dxa"/>
            <w:vAlign w:val="center"/>
          </w:tcPr>
          <w:p w14:paraId="261FA4E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A748E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资格审查方式：资格后审。</w:t>
            </w:r>
          </w:p>
        </w:tc>
      </w:tr>
      <w:tr w14:paraId="40B7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67D63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036128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5D0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DAC48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4FDAE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A3D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80482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58EF62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1CBE12F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511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9AAB4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EFC74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33418F4E">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1FEE8F1D">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每份电子投标文件应包括资格证明文件、</w:t>
            </w:r>
            <w:r>
              <w:rPr>
                <w:rFonts w:hint="eastAsia" w:ascii="仿宋" w:hAnsi="仿宋" w:eastAsia="仿宋" w:cs="仿宋"/>
                <w:color w:val="auto"/>
                <w:sz w:val="24"/>
                <w:highlight w:val="none"/>
                <w:lang w:val="en-US" w:eastAsia="zh-CN"/>
              </w:rPr>
              <w:t>商务</w:t>
            </w:r>
            <w:r>
              <w:rPr>
                <w:rFonts w:hint="eastAsia" w:ascii="仿宋" w:hAnsi="仿宋" w:eastAsia="仿宋" w:cs="仿宋"/>
                <w:color w:val="auto"/>
                <w:sz w:val="24"/>
                <w:highlight w:val="none"/>
              </w:rPr>
              <w:t>技术文件及报价文件三部分内容。</w:t>
            </w:r>
          </w:p>
          <w:p w14:paraId="3D126EBA">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14:paraId="169C6F70">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5691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FC0CF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2FF3A9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6570C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13E9C1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2DC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44DA1C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C0572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9D924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BC749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E80EC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05F21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1A1A3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DC007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D2D7E7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1BE24F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10AC36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91E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A4FAA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02CA0FA">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872A451">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D9F469D">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6560BFBF">
            <w:pPr>
              <w:numPr>
                <w:ilvl w:val="0"/>
                <w:numId w:val="4"/>
              </w:num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10 </w:t>
            </w:r>
            <w:r>
              <w:rPr>
                <w:rFonts w:hint="eastAsia" w:ascii="仿宋" w:hAnsi="仿宋" w:eastAsia="仿宋" w:cs="仿宋"/>
                <w:color w:val="auto"/>
                <w:sz w:val="24"/>
                <w:szCs w:val="24"/>
                <w:highlight w:val="none"/>
                <w:lang w:val="zh-CN"/>
              </w:rPr>
              <w:t>分钟，讲解次序以投标文件解密时间先后次序为准。</w:t>
            </w:r>
          </w:p>
          <w:p w14:paraId="00FE6B72">
            <w:pPr>
              <w:numPr>
                <w:numId w:val="0"/>
              </w:num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15D1DD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6F56B9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r>
              <w:rPr>
                <w:rFonts w:hint="eastAsia" w:ascii="仿宋" w:hAnsi="仿宋" w:eastAsia="仿宋" w:cs="仿宋"/>
                <w:color w:val="auto"/>
                <w:sz w:val="24"/>
                <w:szCs w:val="24"/>
                <w:highlight w:val="none"/>
                <w:lang w:val="zh-CN"/>
              </w:rPr>
              <w:sym w:font="Wingdings" w:char="00FE"/>
            </w:r>
            <w:r>
              <w:rPr>
                <w:rFonts w:hint="eastAsia" w:ascii="仿宋" w:hAnsi="仿宋" w:eastAsia="仿宋" w:cs="仿宋"/>
                <w:color w:val="auto"/>
                <w:sz w:val="24"/>
                <w:szCs w:val="24"/>
                <w:highlight w:val="none"/>
                <w:lang w:val="zh-CN"/>
              </w:rPr>
              <w:t>方式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方式三：：采用视频录制方式，用U盘介质储存快递或邮寄至代理机构（公告中列明的地址），若因U盘损坏或打不开则按视为未提交。</w:t>
            </w:r>
          </w:p>
          <w:p w14:paraId="47ADB79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☐方式四：采用现场钉钉直播演示的。开标后，演示人请加钉钉号：</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，添加时请备注单位名称。请求发送后，代理工作人员将通过好友验证。直播演示前，首先演示人进行身份信息直播核对。未派遣投标文件中的项目组人员进行直播演示讲解或未提供身份证明的，评分项不得分。</w:t>
            </w:r>
            <w:bookmarkStart w:id="46" w:name="_GoBack"/>
            <w:bookmarkEnd w:id="46"/>
          </w:p>
          <w:p w14:paraId="601E6BE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D7F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D7E0D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4CAD831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14:paraId="553144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14:paraId="124E3E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B25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4322B93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3180FD0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0008F4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交换机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3BB3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EE9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3C5FA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75C64AF9">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45E44C3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14:paraId="1E5EC2B6">
            <w:pPr>
              <w:keepNext w:val="0"/>
              <w:keepLines w:val="0"/>
              <w:pageBreakBefore w:val="0"/>
              <w:widowControl w:val="0"/>
              <w:numPr>
                <w:ilvl w:val="0"/>
                <w:numId w:val="5"/>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highlight w:val="none"/>
                <w:u w:val="single"/>
                <w:lang w:val="en-US" w:eastAsia="zh-CN"/>
              </w:rPr>
              <w:t xml:space="preserve">嵊州市中医院医共体救治能力提升工程（金庭分院异地新建）智能化设备采购项目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6DFC9F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14:paraId="46AD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B89A66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026D1A5C">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0F0F31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032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EC97A9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22BB063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38C760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318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769B349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11DF61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4F3F11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2232B3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6B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CB94FF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14:paraId="67D9CA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C9B1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嵊州市公共资源交易</w:t>
            </w:r>
            <w:r>
              <w:rPr>
                <w:rFonts w:hint="eastAsia" w:ascii="仿宋" w:hAnsi="仿宋" w:eastAsia="仿宋" w:cs="仿宋"/>
                <w:color w:val="auto"/>
                <w:sz w:val="24"/>
                <w:highlight w:val="none"/>
              </w:rPr>
              <w:t>平台责令整改、暂停交易的投标人，在此期间将被拒绝参与政府采购活动。</w:t>
            </w:r>
          </w:p>
        </w:tc>
      </w:tr>
      <w:tr w14:paraId="0A8F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213CF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5018B6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436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6422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44A0D7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嵊州市公共资源交易平台</w:t>
            </w:r>
            <w:r>
              <w:rPr>
                <w:rFonts w:hint="eastAsia" w:ascii="仿宋" w:hAnsi="仿宋" w:eastAsia="仿宋" w:cs="仿宋"/>
                <w:color w:val="auto"/>
                <w:sz w:val="24"/>
                <w:highlight w:val="none"/>
              </w:rPr>
              <w:t>查看下载。</w:t>
            </w:r>
          </w:p>
        </w:tc>
      </w:tr>
      <w:tr w14:paraId="09B9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C540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02F3B0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30258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F03A7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2FE47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1642A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1F72D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B983C6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57972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770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B4EAE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4226A9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EBA05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835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88CE1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5C24D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文件，否则视为不符合相关要求。</w:t>
            </w:r>
          </w:p>
          <w:p w14:paraId="112B16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文件的，视为符合了相关要求。</w:t>
            </w:r>
          </w:p>
        </w:tc>
      </w:tr>
      <w:tr w14:paraId="3CDC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44018E2">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7D9B1A17">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highlight w:val="none"/>
                <w:lang w:val="en-US" w:eastAsia="zh-CN" w:bidi="ar-SA"/>
              </w:rPr>
              <w:t>推荐中标候选人数量：</w:t>
            </w:r>
            <w:r>
              <w:rPr>
                <w:rFonts w:hint="eastAsia" w:ascii="仿宋" w:hAnsi="仿宋" w:eastAsia="仿宋" w:cs="仿宋"/>
                <w:b w:val="0"/>
                <w:bCs w:val="0"/>
                <w:snapToGrid w:val="0"/>
                <w:color w:val="auto"/>
                <w:kern w:val="2"/>
                <w:sz w:val="24"/>
                <w:szCs w:val="21"/>
                <w:highlight w:val="none"/>
                <w:lang w:val="en-US" w:eastAsia="zh-CN" w:bidi="ar-SA"/>
              </w:rPr>
              <w:t>1名。</w:t>
            </w:r>
          </w:p>
        </w:tc>
      </w:tr>
      <w:tr w14:paraId="6B0D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91DF0B6">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38A2704F">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3748D1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①</w:t>
            </w:r>
            <w:r>
              <w:rPr>
                <w:rFonts w:hint="eastAsia" w:ascii="仿宋" w:hAnsi="仿宋" w:eastAsia="仿宋" w:cs="仿宋"/>
                <w:color w:val="auto"/>
                <w:kern w:val="2"/>
                <w:sz w:val="24"/>
                <w:szCs w:val="24"/>
                <w:highlight w:val="none"/>
                <w:lang w:val="en-US" w:eastAsia="zh-CN" w:bidi="ar-SA"/>
              </w:rPr>
              <w:t>按代理协议约定的内容，中标人需支付以下费用，根据项目的中标金额，采用差额定率累进法进行计算，具体费率标准如下，请在投标报价中自行考虑：</w:t>
            </w:r>
          </w:p>
          <w:tbl>
            <w:tblPr>
              <w:tblStyle w:val="64"/>
              <w:tblW w:w="7879" w:type="dxa"/>
              <w:tblInd w:w="91" w:type="dxa"/>
              <w:tblLayout w:type="fixed"/>
              <w:tblCellMar>
                <w:top w:w="0" w:type="dxa"/>
                <w:left w:w="108" w:type="dxa"/>
                <w:bottom w:w="0" w:type="dxa"/>
                <w:right w:w="108" w:type="dxa"/>
              </w:tblCellMar>
            </w:tblPr>
            <w:tblGrid>
              <w:gridCol w:w="3490"/>
              <w:gridCol w:w="2488"/>
              <w:gridCol w:w="1901"/>
            </w:tblGrid>
            <w:tr w14:paraId="5194FC1F">
              <w:tblPrEx>
                <w:tblCellMar>
                  <w:top w:w="0" w:type="dxa"/>
                  <w:left w:w="108" w:type="dxa"/>
                  <w:bottom w:w="0" w:type="dxa"/>
                  <w:right w:w="108" w:type="dxa"/>
                </w:tblCellMar>
              </w:tblPrEx>
              <w:trPr>
                <w:trHeight w:val="882" w:hRule="atLeast"/>
              </w:trPr>
              <w:tc>
                <w:tcPr>
                  <w:tcW w:w="3490"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1DDBC94D">
                  <w:pPr>
                    <w:widowControl/>
                    <w:snapToGrid w:val="0"/>
                    <w:spacing w:line="440" w:lineRule="exact"/>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              服务类型</w:t>
                  </w:r>
                </w:p>
                <w:p w14:paraId="7B219F58">
                  <w:pPr>
                    <w:widowControl/>
                    <w:snapToGrid w:val="0"/>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中标</w:t>
                  </w:r>
                  <w:r>
                    <w:rPr>
                      <w:rFonts w:hint="eastAsia" w:ascii="仿宋" w:hAnsi="仿宋" w:eastAsia="仿宋" w:cs="仿宋"/>
                      <w:color w:val="auto"/>
                      <w:sz w:val="24"/>
                      <w:szCs w:val="24"/>
                      <w:highlight w:val="none"/>
                      <w:lang w:bidi="ar"/>
                    </w:rPr>
                    <w:t xml:space="preserve">金额（万元）        </w:t>
                  </w:r>
                </w:p>
              </w:tc>
              <w:tc>
                <w:tcPr>
                  <w:tcW w:w="2488" w:type="dxa"/>
                  <w:tcBorders>
                    <w:top w:val="single" w:color="000000" w:sz="4" w:space="0"/>
                    <w:left w:val="single" w:color="000000" w:sz="4" w:space="0"/>
                    <w:bottom w:val="single" w:color="000000" w:sz="4" w:space="0"/>
                    <w:right w:val="single" w:color="000000" w:sz="4" w:space="0"/>
                  </w:tcBorders>
                  <w:noWrap/>
                  <w:vAlign w:val="center"/>
                </w:tcPr>
                <w:p w14:paraId="3053BF53">
                  <w:pPr>
                    <w:widowControl/>
                    <w:snapToGrid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货物招标</w:t>
                  </w:r>
                </w:p>
              </w:tc>
              <w:tc>
                <w:tcPr>
                  <w:tcW w:w="1901" w:type="dxa"/>
                  <w:tcBorders>
                    <w:top w:val="single" w:color="000000" w:sz="4" w:space="0"/>
                    <w:left w:val="single" w:color="000000" w:sz="4" w:space="0"/>
                    <w:bottom w:val="single" w:color="000000" w:sz="4" w:space="0"/>
                    <w:right w:val="single" w:color="000000" w:sz="4" w:space="0"/>
                  </w:tcBorders>
                  <w:noWrap/>
                  <w:vAlign w:val="center"/>
                </w:tcPr>
                <w:p w14:paraId="7142FDDE">
                  <w:pPr>
                    <w:widowControl/>
                    <w:snapToGrid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服务招标</w:t>
                  </w:r>
                </w:p>
              </w:tc>
            </w:tr>
            <w:tr w14:paraId="4BDAE0CC">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04653470">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以下</w:t>
                  </w:r>
                </w:p>
              </w:tc>
              <w:tc>
                <w:tcPr>
                  <w:tcW w:w="2488" w:type="dxa"/>
                  <w:tcBorders>
                    <w:top w:val="single" w:color="000000" w:sz="4" w:space="0"/>
                    <w:left w:val="single" w:color="000000" w:sz="4" w:space="0"/>
                    <w:bottom w:val="single" w:color="000000" w:sz="4" w:space="0"/>
                    <w:right w:val="single" w:color="000000" w:sz="4" w:space="0"/>
                  </w:tcBorders>
                  <w:noWrap/>
                  <w:vAlign w:val="center"/>
                </w:tcPr>
                <w:p w14:paraId="02644413">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1.5%</w:t>
                  </w:r>
                </w:p>
              </w:tc>
              <w:tc>
                <w:tcPr>
                  <w:tcW w:w="1901" w:type="dxa"/>
                  <w:tcBorders>
                    <w:top w:val="single" w:color="000000" w:sz="4" w:space="0"/>
                    <w:left w:val="single" w:color="000000" w:sz="4" w:space="0"/>
                    <w:bottom w:val="single" w:color="000000" w:sz="4" w:space="0"/>
                    <w:right w:val="single" w:color="000000" w:sz="4" w:space="0"/>
                  </w:tcBorders>
                  <w:noWrap/>
                  <w:vAlign w:val="center"/>
                </w:tcPr>
                <w:p w14:paraId="68C8A55C">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1.5%</w:t>
                  </w:r>
                </w:p>
              </w:tc>
            </w:tr>
            <w:tr w14:paraId="74811C99">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41BE7571">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p>
              </w:tc>
              <w:tc>
                <w:tcPr>
                  <w:tcW w:w="2488" w:type="dxa"/>
                  <w:tcBorders>
                    <w:top w:val="single" w:color="000000" w:sz="4" w:space="0"/>
                    <w:left w:val="single" w:color="000000" w:sz="4" w:space="0"/>
                    <w:bottom w:val="single" w:color="000000" w:sz="4" w:space="0"/>
                    <w:right w:val="single" w:color="000000" w:sz="4" w:space="0"/>
                  </w:tcBorders>
                  <w:noWrap/>
                  <w:vAlign w:val="center"/>
                </w:tcPr>
                <w:p w14:paraId="77DC72CC">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w:t>
                  </w:r>
                </w:p>
              </w:tc>
              <w:tc>
                <w:tcPr>
                  <w:tcW w:w="1901" w:type="dxa"/>
                  <w:tcBorders>
                    <w:top w:val="single" w:color="000000" w:sz="4" w:space="0"/>
                    <w:left w:val="single" w:color="000000" w:sz="4" w:space="0"/>
                    <w:bottom w:val="single" w:color="000000" w:sz="4" w:space="0"/>
                    <w:right w:val="single" w:color="000000" w:sz="4" w:space="0"/>
                  </w:tcBorders>
                  <w:noWrap/>
                  <w:vAlign w:val="center"/>
                </w:tcPr>
                <w:p w14:paraId="5465EC7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r>
            <w:tr w14:paraId="7BFBA69B">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30A04813">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r>
                    <w:rPr>
                      <w:rFonts w:hint="eastAsia" w:ascii="仿宋" w:hAnsi="仿宋" w:eastAsia="仿宋" w:cs="仿宋"/>
                      <w:color w:val="auto"/>
                      <w:sz w:val="24"/>
                      <w:szCs w:val="24"/>
                      <w:highlight w:val="none"/>
                      <w:lang w:val="en-US" w:eastAsia="zh-CN" w:bidi="ar"/>
                    </w:rPr>
                    <w:t>-10</w:t>
                  </w:r>
                  <w:r>
                    <w:rPr>
                      <w:rFonts w:hint="eastAsia" w:ascii="仿宋" w:hAnsi="仿宋" w:eastAsia="仿宋" w:cs="仿宋"/>
                      <w:color w:val="auto"/>
                      <w:sz w:val="24"/>
                      <w:szCs w:val="24"/>
                      <w:highlight w:val="none"/>
                      <w:lang w:bidi="ar"/>
                    </w:rPr>
                    <w:t>00</w:t>
                  </w:r>
                </w:p>
              </w:tc>
              <w:tc>
                <w:tcPr>
                  <w:tcW w:w="2488" w:type="dxa"/>
                  <w:tcBorders>
                    <w:top w:val="single" w:color="000000" w:sz="4" w:space="0"/>
                    <w:left w:val="single" w:color="000000" w:sz="4" w:space="0"/>
                    <w:bottom w:val="single" w:color="000000" w:sz="4" w:space="0"/>
                    <w:right w:val="single" w:color="000000" w:sz="4" w:space="0"/>
                  </w:tcBorders>
                  <w:noWrap/>
                  <w:vAlign w:val="center"/>
                </w:tcPr>
                <w:p w14:paraId="5B967380">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c>
                <w:tcPr>
                  <w:tcW w:w="1901" w:type="dxa"/>
                  <w:tcBorders>
                    <w:top w:val="single" w:color="000000" w:sz="4" w:space="0"/>
                    <w:left w:val="single" w:color="000000" w:sz="4" w:space="0"/>
                    <w:bottom w:val="single" w:color="000000" w:sz="4" w:space="0"/>
                    <w:right w:val="single" w:color="000000" w:sz="4" w:space="0"/>
                  </w:tcBorders>
                  <w:noWrap/>
                  <w:vAlign w:val="center"/>
                </w:tcPr>
                <w:p w14:paraId="371F2157">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0.45</w:t>
                  </w:r>
                  <w:r>
                    <w:rPr>
                      <w:rFonts w:hint="eastAsia" w:ascii="仿宋" w:hAnsi="仿宋" w:eastAsia="仿宋" w:cs="仿宋"/>
                      <w:color w:val="auto"/>
                      <w:sz w:val="24"/>
                      <w:szCs w:val="24"/>
                      <w:highlight w:val="none"/>
                      <w:lang w:bidi="ar"/>
                    </w:rPr>
                    <w:t>%</w:t>
                  </w:r>
                </w:p>
              </w:tc>
            </w:tr>
            <w:tr w14:paraId="2299B737">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noWrap/>
                  <w:vAlign w:val="center"/>
                </w:tcPr>
                <w:p w14:paraId="1C18B064">
                  <w:pPr>
                    <w:widowControl/>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1000-5000</w:t>
                  </w:r>
                </w:p>
              </w:tc>
              <w:tc>
                <w:tcPr>
                  <w:tcW w:w="2488" w:type="dxa"/>
                  <w:tcBorders>
                    <w:top w:val="single" w:color="000000" w:sz="4" w:space="0"/>
                    <w:left w:val="single" w:color="000000" w:sz="4" w:space="0"/>
                    <w:bottom w:val="single" w:color="000000" w:sz="4" w:space="0"/>
                    <w:right w:val="single" w:color="000000" w:sz="4" w:space="0"/>
                  </w:tcBorders>
                  <w:noWrap/>
                  <w:vAlign w:val="center"/>
                </w:tcPr>
                <w:p w14:paraId="1BCD59B2">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0.5</w:t>
                  </w:r>
                  <w:r>
                    <w:rPr>
                      <w:rFonts w:hint="eastAsia" w:ascii="仿宋" w:hAnsi="仿宋" w:eastAsia="仿宋" w:cs="仿宋"/>
                      <w:color w:val="auto"/>
                      <w:sz w:val="24"/>
                      <w:szCs w:val="24"/>
                      <w:highlight w:val="none"/>
                      <w:lang w:bidi="ar"/>
                    </w:rPr>
                    <w:t>%</w:t>
                  </w:r>
                </w:p>
              </w:tc>
              <w:tc>
                <w:tcPr>
                  <w:tcW w:w="1901" w:type="dxa"/>
                  <w:tcBorders>
                    <w:top w:val="single" w:color="000000" w:sz="4" w:space="0"/>
                    <w:left w:val="single" w:color="000000" w:sz="4" w:space="0"/>
                    <w:bottom w:val="single" w:color="000000" w:sz="4" w:space="0"/>
                    <w:right w:val="single" w:color="000000" w:sz="4" w:space="0"/>
                  </w:tcBorders>
                  <w:noWrap/>
                  <w:vAlign w:val="center"/>
                </w:tcPr>
                <w:p w14:paraId="7C29F8BE">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0.2</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w:t>
                  </w:r>
                </w:p>
              </w:tc>
            </w:tr>
          </w:tbl>
          <w:p w14:paraId="0BC0807D">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14:paraId="59157CB1">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14:paraId="4AAB9A71">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14:paraId="009B6551">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14:paraId="58810275">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14:paraId="0CD7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79CDC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14:paraId="48AD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8CE3B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14:paraId="6E8A21A9">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41351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1B4B062">
      <w:pPr>
        <w:snapToGrid w:val="0"/>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E78C1E">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3E22E2E3">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28606144">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7969D79">
      <w:pPr>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14:paraId="1906DB82">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4F294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嵊州市卫生健康局（合同中的甲方）</w:t>
      </w:r>
      <w:r>
        <w:rPr>
          <w:rFonts w:hint="eastAsia" w:ascii="仿宋" w:hAnsi="仿宋" w:eastAsia="仿宋" w:cs="仿宋"/>
          <w:color w:val="auto"/>
          <w:sz w:val="24"/>
          <w:highlight w:val="none"/>
        </w:rPr>
        <w:t>。</w:t>
      </w:r>
    </w:p>
    <w:p w14:paraId="0880DE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14:paraId="05D16E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“投标人”系指响应招标、参加投标竞争的法人、其他组织或者自然人。经评审产生并经批准的投标人为中标候选人，经公告无异议，并签订合同后的中标人为供应商（合同中的乙方）</w:t>
      </w:r>
      <w:r>
        <w:rPr>
          <w:rFonts w:hint="eastAsia" w:ascii="仿宋" w:hAnsi="仿宋" w:eastAsia="仿宋" w:cs="仿宋"/>
          <w:color w:val="auto"/>
          <w:sz w:val="24"/>
          <w:highlight w:val="none"/>
          <w:lang w:eastAsia="zh-CN"/>
        </w:rPr>
        <w:t>。</w:t>
      </w:r>
    </w:p>
    <w:p w14:paraId="47277E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14:paraId="762A0AC9">
      <w:pPr>
        <w:snapToGrid w:val="0"/>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“产品”系指供方按招标文件规定，经合法途径取得的，须向采购人提供的一切产品、保险、税金、安装、施工、调试、备品备件、工具、手册及其它有关技术资料和材料。</w:t>
      </w:r>
    </w:p>
    <w:p w14:paraId="2FC220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rPr>
        <w:t>“服务”系指招标文件规定投标人须承担的安装、调试、技术协助、校准、培训、技术指导以及其他类似的义务。</w:t>
      </w:r>
    </w:p>
    <w:p w14:paraId="1238EC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“项目”系指投标人按招标文件规定向采购人提供的产品和服务。</w:t>
      </w:r>
    </w:p>
    <w:p w14:paraId="4CF0DB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475AD6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F39A1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4AB81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9198D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5CA86A95">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2333C1F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09FC3B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652CC9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550D275">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A511F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8D2B7A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F9341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3595E8F">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484735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4433B19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9312310">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496ECF8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4A8F646C">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5D1AED3F">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56B58B1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1004B400">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2B62788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437D17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9C2063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15250446">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14:paraId="66D0793C">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543068E8">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33B0F74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5E08AAC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w:t>
      </w:r>
      <w:r>
        <w:rPr>
          <w:rFonts w:hint="eastAsia" w:ascii="仿宋_GB2312" w:hAnsi="仿宋" w:eastAsia="仿宋_GB2312"/>
          <w:color w:val="auto"/>
          <w:sz w:val="24"/>
          <w:highlight w:val="none"/>
          <w:lang w:eastAsia="zh-CN"/>
        </w:rPr>
        <w:t>投标人</w:t>
      </w:r>
      <w:r>
        <w:rPr>
          <w:rFonts w:hint="eastAsia" w:ascii="仿宋_GB2312" w:hAnsi="仿宋" w:eastAsia="仿宋_GB2312"/>
          <w:color w:val="auto"/>
          <w:sz w:val="24"/>
          <w:highlight w:val="none"/>
        </w:rPr>
        <w:t>所拥有。</w:t>
      </w:r>
    </w:p>
    <w:p w14:paraId="617AC94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30DD8485">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45D051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A632A4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776A9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B74BD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61BDA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501D70">
      <w:pPr>
        <w:pStyle w:val="8"/>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83365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81D66D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5C06E7A">
      <w:pPr>
        <w:pStyle w:val="18"/>
        <w:numPr>
          <w:ilvl w:val="0"/>
          <w:numId w:val="0"/>
        </w:numPr>
        <w:spacing w:line="284"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r>
        <w:rPr>
          <w:rFonts w:hint="eastAsia" w:ascii="仿宋" w:hAnsi="仿宋" w:eastAsia="仿宋" w:cs="仿宋"/>
          <w:b/>
          <w:bCs/>
          <w:color w:val="auto"/>
          <w:sz w:val="24"/>
          <w:highlight w:val="none"/>
        </w:rPr>
        <w:t>中标人须向招标代理机构交纳代理服务费，具体详见投标人须知前附表。</w:t>
      </w:r>
    </w:p>
    <w:p w14:paraId="3E9CD2AE">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4687C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7918B2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0313AE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0046E6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10F026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D70ED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2ADC80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8136A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48FAAAA">
      <w:pPr>
        <w:pStyle w:val="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C7739D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95CC6F7">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B69D7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F7B73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EEABB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4AFDD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9E7B4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40CCCE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808494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AA98A73">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7671D15">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31F8898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1C43B85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4B0932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14:paraId="70FD48F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14:paraId="1C50E0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39A7447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2F21CA2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14:paraId="6B1F8E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w:t>
      </w:r>
      <w:r>
        <w:rPr>
          <w:rFonts w:hint="eastAsia" w:ascii="仿宋" w:hAnsi="仿宋" w:eastAsia="仿宋" w:cs="仿宋"/>
          <w:b w:val="0"/>
          <w:bCs w:val="0"/>
          <w:color w:val="auto"/>
          <w:sz w:val="24"/>
          <w:highlight w:val="none"/>
          <w:lang w:val="en-US" w:eastAsia="zh-CN"/>
        </w:rPr>
        <w:t>本项目的特定资格要求（如果有）；</w:t>
      </w:r>
    </w:p>
    <w:p w14:paraId="162026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2.1.7解密后半小时内提供《政府采购活动现场确认声明书》，发送至邮箱984537027@qq.com。</w:t>
      </w:r>
    </w:p>
    <w:p w14:paraId="624AFE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3ECDAA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5CCBD62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14:paraId="25D13AB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3营业执照扫描件；</w:t>
      </w:r>
    </w:p>
    <w:p w14:paraId="36D6243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0E3EE68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6086F58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2.2.6</w:t>
      </w:r>
      <w:r>
        <w:rPr>
          <w:rFonts w:hint="eastAsia" w:ascii="仿宋" w:hAnsi="仿宋" w:eastAsia="仿宋" w:cs="仿宋"/>
          <w:color w:val="auto"/>
          <w:sz w:val="24"/>
          <w:highlight w:val="none"/>
        </w:rPr>
        <w:t>法定代表人授权委托书；</w:t>
      </w:r>
    </w:p>
    <w:p w14:paraId="6D93C70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法定代表人身份证明书；</w:t>
      </w:r>
    </w:p>
    <w:p w14:paraId="5ED8D71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2.2.8商务资信响应表、技术偏离表；</w:t>
      </w:r>
    </w:p>
    <w:p w14:paraId="6185DC0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2.2.9主要业绩证明；</w:t>
      </w:r>
    </w:p>
    <w:p w14:paraId="06760F3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2.2.10项目小组人员名单；</w:t>
      </w:r>
    </w:p>
    <w:p w14:paraId="197DFF8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2.2.11评标标准相应的商务技术资料；</w:t>
      </w:r>
    </w:p>
    <w:p w14:paraId="020CAAE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2.2.12廉政承诺书；</w:t>
      </w:r>
    </w:p>
    <w:p w14:paraId="0E389BE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2.2.13投标人需要说明的其他文件和说明（格式自拟）；</w:t>
      </w:r>
    </w:p>
    <w:p w14:paraId="6C75337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5537418">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6412129">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投标报价明细表；</w:t>
      </w:r>
    </w:p>
    <w:p w14:paraId="0E2F789F">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14:paraId="224CCEFF">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14:paraId="473E5C26">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08E26C0">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0E0D65C">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D83B9F5">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38196F9">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492B7C2E">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2890939">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3739E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5758C6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43FC46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4EE2CF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959382C">
      <w:pPr>
        <w:spacing w:line="288" w:lineRule="auto"/>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697C26E">
      <w:pPr>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highlight w:val="none"/>
        </w:rPr>
        <w:t>电子投标文件部分：投标人应根据“政采云供应商项目采购-电子招投标操作指南”及本招标文件规定的格式和顺序编制电子投标文件并进行关联定位。</w:t>
      </w:r>
    </w:p>
    <w:p w14:paraId="179F5426">
      <w:pPr>
        <w:pStyle w:val="136"/>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61BA8E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F82D41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C9EA3E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8A56B94">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851B32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103094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2D1E1A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16CA0C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B3DABB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006CD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E47F2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98681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7A1B1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1.4主持人宣布商务技术得分及无效（废）投标情形（如有），公布经商务技术评审符合招标文件要求的投标人名单及其商务技术得分。</w:t>
      </w:r>
    </w:p>
    <w:p w14:paraId="78510E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DB0B6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0ADCC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C45E8B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1B3DA5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51DEF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CA216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39057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DDC1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8BECD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31183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9F426BD">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0A55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52CE6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46EC35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3ED18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68F31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EA51F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44D64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491DD6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07DF59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00ABF1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0B5B0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AE485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14:paraId="1EA68B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4EFF0F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1CB63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B628F9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17B58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3D0A1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60FD6B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691F5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E323A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C845111">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A3AD4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3A567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B4AFD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4209CC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FC1AE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5F4E7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BA42A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417EFA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E2C0E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4B5EC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9636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723B8C9">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14B7FB7">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8C06398">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2ADB21F">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0F6F25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6C9CB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63C20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5B3D8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B967E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96439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F28F3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4712DF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公章或者未经法定代表人或其授权代表签字或盖章的；</w:t>
      </w:r>
    </w:p>
    <w:p w14:paraId="0D370E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781643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3D280E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14:paraId="608246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14:paraId="1B9D1B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14:paraId="106F73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2B9BD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14:paraId="12A7F6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投标文件“商务技术文件资料”部分中出现《开标一览表》相关内容的；</w:t>
      </w:r>
    </w:p>
    <w:p w14:paraId="12891F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55DCBD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14:paraId="2BC413A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14:paraId="1C342B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14:paraId="016989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14:paraId="3627C4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14:paraId="5B82A1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14:paraId="5DE6DD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14:paraId="24EC49D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14:paraId="290BAD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14:paraId="7505B7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14:paraId="7705EF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14:paraId="7768B9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14:paraId="1C0231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14:paraId="17A077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14:paraId="4B3F09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048B3D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14:paraId="73C008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14:paraId="2BDD24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14:paraId="5A4EF7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14:paraId="7FCB97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14:paraId="2B35AA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14:paraId="477C6B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14:paraId="691E5C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14:paraId="2EF1E6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评标委员会认定有重大偏差或实质性不响应招标文件要求的；</w:t>
      </w:r>
    </w:p>
    <w:p w14:paraId="542D3F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投标文件出现不是唯一的、有选择性投标报价的；</w:t>
      </w:r>
    </w:p>
    <w:p w14:paraId="24852E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其他违反法律、法规的情形。</w:t>
      </w:r>
    </w:p>
    <w:p w14:paraId="51ECBE59">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F420E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6B81B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F42570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17A7310">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0"/>
      <w:bookmarkEnd w:id="20"/>
      <w:bookmarkStart w:id="21" w:name="_Hlt74714665"/>
      <w:bookmarkEnd w:id="21"/>
      <w:bookmarkStart w:id="22" w:name="_Hlt75236101"/>
      <w:bookmarkEnd w:id="22"/>
      <w:bookmarkStart w:id="23" w:name="_Hlt68403820"/>
      <w:bookmarkEnd w:id="23"/>
      <w:bookmarkStart w:id="24" w:name="_Hlt75236011"/>
      <w:bookmarkEnd w:id="24"/>
      <w:bookmarkStart w:id="25" w:name="_Hlt74729768"/>
      <w:bookmarkEnd w:id="25"/>
      <w:bookmarkStart w:id="26" w:name="_Hlt75236290"/>
      <w:bookmarkEnd w:id="26"/>
      <w:bookmarkStart w:id="27" w:name="_Hlt68073093"/>
      <w:bookmarkEnd w:id="27"/>
      <w:bookmarkStart w:id="28" w:name="_Hlt74707468"/>
      <w:bookmarkEnd w:id="28"/>
      <w:bookmarkStart w:id="29" w:name="_Hlt68072998"/>
      <w:bookmarkEnd w:id="29"/>
      <w:bookmarkStart w:id="30" w:name="_Hlt74730295"/>
      <w:bookmarkEnd w:id="30"/>
      <w:bookmarkStart w:id="31" w:name="_Hlt68057669"/>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48F5CBEC">
      <w:pPr>
        <w:pStyle w:val="18"/>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05983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25E3A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3CD5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最为有利，最大限度满足招标文件的要求；</w:t>
      </w:r>
    </w:p>
    <w:p w14:paraId="0E9A3D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87669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将把中标通知书授予最佳投标者，但最低价不是中标的绝对保证。</w:t>
      </w:r>
    </w:p>
    <w:p w14:paraId="314A578C">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A5261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70E17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89E3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6EB882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3B8A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14:paraId="02A42C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14:paraId="79DDF7E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859B9D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w:t>
      </w:r>
    </w:p>
    <w:p w14:paraId="6A9F5E4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C45DF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4D7624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045FCB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23AD26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B904B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66B26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61FE8DE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0AE04C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5AF12BD">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F4187E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1A65D16E">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10BB27B">
      <w:pPr>
        <w:pStyle w:val="34"/>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FE86E5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3D042C5">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C142FF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C2336E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034834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15843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1E707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B7275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52D46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578671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FCAC83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1CF9F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626EAB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D79F81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11E80B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B5A51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C017C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54D431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7BB021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F0EF63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55AFEA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DEAEE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74FAC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C1A0FF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C3DD2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60FE4A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C043694">
      <w:pPr>
        <w:pStyle w:val="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14:paraId="448E9334">
      <w:pPr>
        <w:numPr>
          <w:ilvl w:val="0"/>
          <w:numId w:val="0"/>
        </w:numPr>
        <w:snapToGrid w:val="0"/>
        <w:spacing w:line="800" w:lineRule="exact"/>
        <w:ind w:firstLine="1084" w:firstLineChars="30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lang w:val="en-US" w:eastAsia="zh-CN"/>
        </w:rPr>
        <w:t xml:space="preserve">第三部分  </w:t>
      </w:r>
      <w:r>
        <w:rPr>
          <w:rFonts w:hint="eastAsia" w:ascii="仿宋" w:hAnsi="仿宋" w:eastAsia="仿宋" w:cs="仿宋"/>
          <w:b/>
          <w:color w:val="auto"/>
          <w:sz w:val="36"/>
          <w:szCs w:val="36"/>
          <w:highlight w:val="none"/>
        </w:rPr>
        <w:t xml:space="preserve"> 招标项目范围及要求</w:t>
      </w:r>
    </w:p>
    <w:bookmarkEnd w:id="35"/>
    <w:p w14:paraId="4A06632B">
      <w:pPr>
        <w:spacing w:line="460" w:lineRule="exact"/>
        <w:rPr>
          <w:rFonts w:hint="default" w:ascii="仿宋" w:hAnsi="仿宋" w:eastAsia="仿宋" w:cs="仿宋"/>
          <w:b/>
          <w:bCs/>
          <w:color w:val="auto"/>
          <w:sz w:val="24"/>
          <w:szCs w:val="24"/>
          <w:highlight w:val="none"/>
          <w:lang w:val="en-US" w:eastAsia="zh-CN"/>
        </w:rPr>
      </w:pPr>
      <w:bookmarkStart w:id="36" w:name="_Toc72407403"/>
      <w:bookmarkStart w:id="37" w:name="_Hlk99387033"/>
      <w:bookmarkStart w:id="38" w:name="第五部分"/>
      <w:bookmarkStart w:id="39" w:name="_Toc86217003"/>
      <w:r>
        <w:rPr>
          <w:rFonts w:hint="eastAsia" w:ascii="仿宋" w:hAnsi="仿宋" w:eastAsia="仿宋" w:cs="仿宋"/>
          <w:b/>
          <w:bCs/>
          <w:color w:val="auto"/>
          <w:sz w:val="24"/>
          <w:szCs w:val="24"/>
          <w:highlight w:val="none"/>
          <w:lang w:val="en-US" w:eastAsia="zh-CN"/>
        </w:rPr>
        <w:t>一、采购清单及技术参数</w:t>
      </w:r>
    </w:p>
    <w:tbl>
      <w:tblPr>
        <w:tblStyle w:val="64"/>
        <w:tblW w:w="885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6"/>
        <w:gridCol w:w="1800"/>
        <w:gridCol w:w="5304"/>
        <w:gridCol w:w="608"/>
        <w:gridCol w:w="574"/>
      </w:tblGrid>
      <w:tr w14:paraId="607F4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blHeader/>
        </w:trPr>
        <w:tc>
          <w:tcPr>
            <w:tcW w:w="566" w:type="dxa"/>
            <w:tcBorders>
              <w:top w:val="single" w:color="000000" w:sz="4" w:space="0"/>
              <w:bottom w:val="single" w:color="000000" w:sz="4" w:space="0"/>
              <w:right w:val="single" w:color="000000" w:sz="4" w:space="0"/>
            </w:tcBorders>
            <w:shd w:val="clear" w:color="auto" w:fill="auto"/>
            <w:noWrap/>
            <w:vAlign w:val="center"/>
          </w:tcPr>
          <w:p w14:paraId="222F0A0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1AA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803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设备参数</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029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574" w:type="dxa"/>
            <w:tcBorders>
              <w:top w:val="single" w:color="000000" w:sz="4" w:space="0"/>
              <w:left w:val="single" w:color="000000" w:sz="4" w:space="0"/>
              <w:bottom w:val="single" w:color="000000" w:sz="4" w:space="0"/>
            </w:tcBorders>
            <w:shd w:val="clear" w:color="auto" w:fill="auto"/>
            <w:noWrap/>
            <w:vAlign w:val="center"/>
          </w:tcPr>
          <w:p w14:paraId="5F21BCE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r>
      <w:tr w14:paraId="12908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852" w:type="dxa"/>
            <w:gridSpan w:val="5"/>
            <w:tcBorders>
              <w:top w:val="single" w:color="000000" w:sz="4" w:space="0"/>
              <w:bottom w:val="single" w:color="000000" w:sz="4" w:space="0"/>
            </w:tcBorders>
            <w:shd w:val="clear" w:color="auto" w:fill="auto"/>
            <w:vAlign w:val="center"/>
          </w:tcPr>
          <w:p w14:paraId="2AFA3D48">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lang w:val="en-US"/>
              </w:rPr>
            </w:pPr>
            <w:r>
              <w:rPr>
                <w:rFonts w:hint="eastAsia" w:ascii="仿宋" w:hAnsi="仿宋" w:eastAsia="仿宋" w:cs="仿宋"/>
                <w:b/>
                <w:bCs/>
                <w:i w:val="0"/>
                <w:iCs w:val="0"/>
                <w:color w:val="auto"/>
                <w:kern w:val="0"/>
                <w:sz w:val="24"/>
                <w:szCs w:val="24"/>
                <w:highlight w:val="none"/>
                <w:u w:val="none"/>
                <w:lang w:val="en-US" w:eastAsia="zh-CN" w:bidi="ar"/>
              </w:rPr>
              <w:t>1.综合布线系统</w:t>
            </w:r>
          </w:p>
        </w:tc>
      </w:tr>
      <w:tr w14:paraId="44E8D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1CB190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3E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单口面板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1A8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单口面板，与86型底盒配套使用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带有防尘盖，防止灰尘侵入接口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带有标识条或应用标识，方便编号管理和维护使用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组合式结构，前后双层面板设计，外形美观，避免固定螺丝孔外露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材料：ABS</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CC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469</w:t>
            </w:r>
          </w:p>
        </w:tc>
        <w:tc>
          <w:tcPr>
            <w:tcW w:w="574" w:type="dxa"/>
            <w:tcBorders>
              <w:top w:val="single" w:color="000000" w:sz="4" w:space="0"/>
              <w:left w:val="single" w:color="000000" w:sz="4" w:space="0"/>
              <w:bottom w:val="single" w:color="000000" w:sz="4" w:space="0"/>
            </w:tcBorders>
            <w:shd w:val="clear" w:color="auto" w:fill="auto"/>
            <w:noWrap/>
            <w:vAlign w:val="center"/>
          </w:tcPr>
          <w:p w14:paraId="1A1B2D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r>
      <w:tr w14:paraId="3859BA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49EF7B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52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双口面板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F3B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双口面板，与86型底盒配套使用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带有防尘盖，防止灰尘侵入接口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带有标识条或应用标识，方便编号管理和维护使用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组合式结构，前后双层面板设计，外形美观，避免固定螺丝孔外露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材料：ABS</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0A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w:t>
            </w:r>
          </w:p>
        </w:tc>
        <w:tc>
          <w:tcPr>
            <w:tcW w:w="574" w:type="dxa"/>
            <w:tcBorders>
              <w:top w:val="single" w:color="000000" w:sz="4" w:space="0"/>
              <w:left w:val="single" w:color="000000" w:sz="4" w:space="0"/>
              <w:bottom w:val="single" w:color="000000" w:sz="4" w:space="0"/>
            </w:tcBorders>
            <w:shd w:val="clear" w:color="auto" w:fill="auto"/>
            <w:noWrap/>
            <w:vAlign w:val="center"/>
          </w:tcPr>
          <w:p w14:paraId="21A9D7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r>
      <w:tr w14:paraId="6EFDD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56FFE2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F7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9E2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地面开孔：内含VGA、音频、HDMI等模块</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模块化结构设计，1~3口通用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弹起式（隐藏式）结构设计，美观大方 </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60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noWrap/>
            <w:vAlign w:val="center"/>
          </w:tcPr>
          <w:p w14:paraId="069773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548C8A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480590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85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6类RJ45非屏蔽模块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F7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六类非屏蔽信息模块，易于安装，最少750次插拔，内翻式防尘盖设计，高强度防火材料，耐冲击及阻燃</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93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515</w:t>
            </w:r>
          </w:p>
        </w:tc>
        <w:tc>
          <w:tcPr>
            <w:tcW w:w="574" w:type="dxa"/>
            <w:tcBorders>
              <w:top w:val="single" w:color="000000" w:sz="4" w:space="0"/>
              <w:left w:val="single" w:color="000000" w:sz="4" w:space="0"/>
              <w:bottom w:val="single" w:color="000000" w:sz="4" w:space="0"/>
            </w:tcBorders>
            <w:shd w:val="clear" w:color="auto" w:fill="auto"/>
            <w:noWrap/>
            <w:vAlign w:val="center"/>
          </w:tcPr>
          <w:p w14:paraId="6EE4D3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2F07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36170F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8A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6类RJ11非屏蔽模块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AEC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六类非屏蔽语音模块，易于安装，最少750次插拔，内翻式防尘盖设计，高强度防火材料，耐冲击及阻燃</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7C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126</w:t>
            </w:r>
          </w:p>
        </w:tc>
        <w:tc>
          <w:tcPr>
            <w:tcW w:w="574" w:type="dxa"/>
            <w:tcBorders>
              <w:top w:val="single" w:color="000000" w:sz="4" w:space="0"/>
              <w:left w:val="single" w:color="000000" w:sz="4" w:space="0"/>
              <w:bottom w:val="single" w:color="000000" w:sz="4" w:space="0"/>
            </w:tcBorders>
            <w:shd w:val="clear" w:color="auto" w:fill="auto"/>
            <w:noWrap/>
            <w:vAlign w:val="center"/>
          </w:tcPr>
          <w:p w14:paraId="146761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487B6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5EE73A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D6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3米六类非屏蔽RJ45跳线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BB3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满足国标GB50312 cat6 信道标准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护套采用全新PVC材质，安全环保</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六类非屏蔽跳线黄色长度3米</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E6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515</w:t>
            </w:r>
          </w:p>
        </w:tc>
        <w:tc>
          <w:tcPr>
            <w:tcW w:w="574" w:type="dxa"/>
            <w:tcBorders>
              <w:top w:val="single" w:color="000000" w:sz="4" w:space="0"/>
              <w:left w:val="single" w:color="000000" w:sz="4" w:space="0"/>
              <w:bottom w:val="single" w:color="000000" w:sz="4" w:space="0"/>
            </w:tcBorders>
            <w:shd w:val="clear" w:color="auto" w:fill="auto"/>
            <w:noWrap/>
            <w:vAlign w:val="center"/>
          </w:tcPr>
          <w:p w14:paraId="18DD6D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r>
      <w:tr w14:paraId="3706A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795E9B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2A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3米1对RJ11-RJ45跳线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A66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RJ11-RJ45鸭嘴跳线</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BA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126</w:t>
            </w:r>
          </w:p>
        </w:tc>
        <w:tc>
          <w:tcPr>
            <w:tcW w:w="574" w:type="dxa"/>
            <w:tcBorders>
              <w:top w:val="single" w:color="000000" w:sz="4" w:space="0"/>
              <w:left w:val="single" w:color="000000" w:sz="4" w:space="0"/>
              <w:bottom w:val="single" w:color="000000" w:sz="4" w:space="0"/>
            </w:tcBorders>
            <w:shd w:val="clear" w:color="auto" w:fill="auto"/>
            <w:noWrap/>
            <w:vAlign w:val="center"/>
          </w:tcPr>
          <w:p w14:paraId="68F2F1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r>
      <w:tr w14:paraId="68B0A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13D809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89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41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63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574" w:type="dxa"/>
            <w:tcBorders>
              <w:top w:val="single" w:color="000000" w:sz="4" w:space="0"/>
              <w:left w:val="single" w:color="000000" w:sz="4" w:space="0"/>
              <w:bottom w:val="single" w:color="000000" w:sz="4" w:space="0"/>
            </w:tcBorders>
            <w:shd w:val="clear" w:color="auto" w:fill="auto"/>
            <w:noWrap/>
            <w:vAlign w:val="center"/>
          </w:tcPr>
          <w:p w14:paraId="5363A4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7B601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14C1B6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36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12芯室内单模光缆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F34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产品符合YD/T 901标准要求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优质纤芯置于松套管内、优良的光学性能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单芯紧套结构，利于纤芯的保护</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芳纶加强元件、优良的抗拉性能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纤芯规格：9/125um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模场直径：9±0.5um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包层直径：125±1um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包层不圆度：≤1%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光缆截止波长：1260nm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衰    减：≤0.36(dB/km，@1310nm)  ≤0.5dB(dB/km，@1550nm)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短期拉伸力：1500N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长期拉伸力：600N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动态弯曲半径：≥20 OD</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静态弯曲半径：≥10 OD</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工作温度：-40~60℃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74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420</w:t>
            </w:r>
          </w:p>
        </w:tc>
        <w:tc>
          <w:tcPr>
            <w:tcW w:w="574" w:type="dxa"/>
            <w:tcBorders>
              <w:top w:val="single" w:color="000000" w:sz="4" w:space="0"/>
              <w:left w:val="single" w:color="000000" w:sz="4" w:space="0"/>
              <w:bottom w:val="single" w:color="000000" w:sz="4" w:space="0"/>
            </w:tcBorders>
            <w:shd w:val="clear" w:color="auto" w:fill="auto"/>
            <w:noWrap/>
            <w:vAlign w:val="center"/>
          </w:tcPr>
          <w:p w14:paraId="682024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4B27B3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7C8007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A5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3类50对室内大对数</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3B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电缆对数：50对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导体材料：无氧圆铜（纯度99.99%）</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最小弯曲半径：10倍电缆外径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导体线规：26AWG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绝缘材料：HDPE</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屏蔽方式：U/UTP</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外护套材料：PVC</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工作温度：-20℃～+60℃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工作温度：-20℃～+60℃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BD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574" w:type="dxa"/>
            <w:tcBorders>
              <w:top w:val="single" w:color="000000" w:sz="4" w:space="0"/>
              <w:left w:val="single" w:color="000000" w:sz="4" w:space="0"/>
              <w:bottom w:val="single" w:color="000000" w:sz="4" w:space="0"/>
            </w:tcBorders>
            <w:shd w:val="clear" w:color="auto" w:fill="auto"/>
            <w:noWrap/>
            <w:vAlign w:val="center"/>
          </w:tcPr>
          <w:p w14:paraId="7057FF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26A5E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676D85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A3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3类25对室内大对数</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A0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电缆对数：25对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导体材料：无氧圆铜（纯度99.99%）</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最小弯曲半径：10倍电缆外径</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导体线规：26AWG</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绝缘材料：HDPE</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屏蔽方式：U/UTP</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外护套材料：PVC</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工作温度：-20℃～+60℃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95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w:t>
            </w:r>
          </w:p>
        </w:tc>
        <w:tc>
          <w:tcPr>
            <w:tcW w:w="574" w:type="dxa"/>
            <w:tcBorders>
              <w:top w:val="single" w:color="000000" w:sz="4" w:space="0"/>
              <w:left w:val="single" w:color="000000" w:sz="4" w:space="0"/>
              <w:bottom w:val="single" w:color="000000" w:sz="4" w:space="0"/>
            </w:tcBorders>
            <w:shd w:val="clear" w:color="auto" w:fill="auto"/>
            <w:noWrap/>
            <w:vAlign w:val="center"/>
          </w:tcPr>
          <w:p w14:paraId="205509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7571F1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2F5B86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B7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24芯室内单模万兆光缆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9E3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采用A级纤芯；纤芯衰耗:最大3.5dB@850,1.5dB@1300nm；工作温度:-10℃至60℃;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ED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574" w:type="dxa"/>
            <w:tcBorders>
              <w:top w:val="single" w:color="000000" w:sz="4" w:space="0"/>
              <w:left w:val="single" w:color="000000" w:sz="4" w:space="0"/>
              <w:bottom w:val="single" w:color="000000" w:sz="4" w:space="0"/>
            </w:tcBorders>
            <w:shd w:val="clear" w:color="auto" w:fill="auto"/>
            <w:noWrap/>
            <w:vAlign w:val="center"/>
          </w:tcPr>
          <w:p w14:paraId="41E8B6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6710F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2941A9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C3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6芯室内单模万兆光缆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B3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产品符合YD/T 769标准要求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优质纤芯置于松套管内、优良的光学性能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中心套管内填充阻水材料、利于保护纤芯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PSP双面涂塑钢带，提高光缆的抗渗透能力</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两边对称平行钢丝，保证光缆的抗拉强度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PE护套，良好的机械物理特性和环境特性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纤芯规格：9/125um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模场直径：9±0.5um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包层直径：125±1um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包层不圆度：≤1%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光缆截止波长：1260nm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衰    减：≤0.36(dB/km，@1310nm)  ≤0.22dB(dB/km，@1550nm)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短期拉伸力：1500N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长期拉伸力：600N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动态弯曲半径：≥20 OD</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静态弯曲半径：≥10 OD</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工作温度：-40~70℃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20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350</w:t>
            </w:r>
          </w:p>
        </w:tc>
        <w:tc>
          <w:tcPr>
            <w:tcW w:w="574" w:type="dxa"/>
            <w:tcBorders>
              <w:top w:val="single" w:color="000000" w:sz="4" w:space="0"/>
              <w:left w:val="single" w:color="000000" w:sz="4" w:space="0"/>
              <w:bottom w:val="single" w:color="000000" w:sz="4" w:space="0"/>
            </w:tcBorders>
            <w:shd w:val="clear" w:color="auto" w:fill="auto"/>
            <w:noWrap/>
            <w:vAlign w:val="center"/>
          </w:tcPr>
          <w:p w14:paraId="009A6B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1D2CBF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619380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F1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6芯室外单模万兆光缆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E0D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产品符合YD/T 769标准要求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优质纤芯置于松套管内、优良的光学性能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中心套管内填充阻水材料、利于保护纤芯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PSP双面涂塑钢带，提高光缆的抗渗透能力</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两边对称平行钢丝，保证光缆的抗拉强度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PE护套，良好的机械物理特性和环境特性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纤芯规格：9/125um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模场直径：9±0.5um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包层直径：125±1um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包层不圆度：≤1%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光缆截止波长：1260nm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衰    减：≤0.36(dB/km，@1310nm)  ≤0.22dB(dB/km，@1550nm)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短期拉伸力：1500N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长期拉伸力：600N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动态弯曲半径：≥20 OD</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静态弯曲半径：≥10 OD</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工作温度：-40~70℃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60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w:t>
            </w:r>
          </w:p>
        </w:tc>
        <w:tc>
          <w:tcPr>
            <w:tcW w:w="574" w:type="dxa"/>
            <w:tcBorders>
              <w:top w:val="single" w:color="000000" w:sz="4" w:space="0"/>
              <w:left w:val="single" w:color="000000" w:sz="4" w:space="0"/>
              <w:bottom w:val="single" w:color="000000" w:sz="4" w:space="0"/>
            </w:tcBorders>
            <w:shd w:val="clear" w:color="auto" w:fill="auto"/>
            <w:noWrap/>
            <w:vAlign w:val="center"/>
          </w:tcPr>
          <w:p w14:paraId="0BDB8F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04224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51CBA1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4C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弱电间机柜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645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19U 带PDU插座</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C0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574" w:type="dxa"/>
            <w:tcBorders>
              <w:top w:val="single" w:color="000000" w:sz="4" w:space="0"/>
              <w:left w:val="single" w:color="000000" w:sz="4" w:space="0"/>
              <w:bottom w:val="single" w:color="000000" w:sz="4" w:space="0"/>
            </w:tcBorders>
            <w:shd w:val="clear" w:color="auto" w:fill="auto"/>
            <w:vAlign w:val="center"/>
          </w:tcPr>
          <w:p w14:paraId="5C61E7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108E25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498498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17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六类12口配线架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ECB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12口六类非屏蔽配线架（含模组，一体式结构）</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39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5EF0AC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2C0E1D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654358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E3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六类24口配线架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06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24口六类非屏蔽配线架（含模组，一体式结构）</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DC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574" w:type="dxa"/>
            <w:tcBorders>
              <w:top w:val="single" w:color="000000" w:sz="4" w:space="0"/>
              <w:left w:val="single" w:color="000000" w:sz="4" w:space="0"/>
              <w:bottom w:val="single" w:color="000000" w:sz="4" w:space="0"/>
            </w:tcBorders>
            <w:shd w:val="clear" w:color="auto" w:fill="auto"/>
            <w:noWrap/>
            <w:vAlign w:val="center"/>
          </w:tcPr>
          <w:p w14:paraId="7D16CD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25577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24C019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46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1U数据理线器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CF0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采用全塑胶ABS料,理线盖板可上下翻转或拆卸;琴键式理线槽位,保证跳线良好的弯曲,保证传输性能;最多可容纳48根4对线缆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2F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574" w:type="dxa"/>
            <w:tcBorders>
              <w:top w:val="single" w:color="000000" w:sz="4" w:space="0"/>
              <w:left w:val="single" w:color="000000" w:sz="4" w:space="0"/>
              <w:bottom w:val="single" w:color="000000" w:sz="4" w:space="0"/>
            </w:tcBorders>
            <w:shd w:val="clear" w:color="auto" w:fill="auto"/>
            <w:noWrap/>
            <w:vAlign w:val="center"/>
          </w:tcPr>
          <w:p w14:paraId="542038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B0DC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453EF7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13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机架型100对110配线架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CC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100对，含背板，含连接块，颜色稳定性好，不变色</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68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1F05D5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59A7E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3B9D53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88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机架型25对110配线架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5B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25对，含背板，含连接块，颜色稳定性好，不变色</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D9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108EC6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CC44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3E52C0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25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1U语音理线器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304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采用全塑胶ABS料,理线盖板可上下翻转或拆卸;琴键式理线槽位,保证跳线良好的弯曲,保证传输性能;最多可容纳48根4对线缆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0D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noWrap/>
            <w:vAlign w:val="center"/>
          </w:tcPr>
          <w:p w14:paraId="0351E7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C4C9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15A942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2C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12口LC光纤配线架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EF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19”机柜抽屉式12口光纤接线箱（支持SC、FC、LC；不支持ST耦合器）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FE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noWrap/>
            <w:vAlign w:val="center"/>
          </w:tcPr>
          <w:p w14:paraId="3F7334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354517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14A39B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5C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24口LC光纤配线架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6CE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19”机柜抽屉式24口光纤接线箱（支持SC、FC、LC；不支持ST耦合器）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1A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574" w:type="dxa"/>
            <w:tcBorders>
              <w:top w:val="single" w:color="000000" w:sz="4" w:space="0"/>
              <w:left w:val="single" w:color="000000" w:sz="4" w:space="0"/>
              <w:bottom w:val="single" w:color="000000" w:sz="4" w:space="0"/>
            </w:tcBorders>
            <w:shd w:val="clear" w:color="auto" w:fill="auto"/>
            <w:noWrap/>
            <w:vAlign w:val="center"/>
          </w:tcPr>
          <w:p w14:paraId="11F8F7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80D4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121074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F1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LC双工耦合器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06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采用高精度氧化锆和高磨光磷青铜套管，原装陶瓷芯，表面抛光技术，确保极低的插入损耗和反射损耗，插入损耗 &lt; 0.2dB;工作温度：-40℃至80℃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F2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574" w:type="dxa"/>
            <w:tcBorders>
              <w:top w:val="single" w:color="000000" w:sz="4" w:space="0"/>
              <w:left w:val="single" w:color="000000" w:sz="4" w:space="0"/>
              <w:bottom w:val="single" w:color="000000" w:sz="4" w:space="0"/>
            </w:tcBorders>
            <w:shd w:val="clear" w:color="auto" w:fill="auto"/>
            <w:noWrap/>
            <w:vAlign w:val="center"/>
          </w:tcPr>
          <w:p w14:paraId="796136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4F868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008BDA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11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双工单模LC-LC跳线（3m）</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35B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产品符合YD/T 1272系列光纤活动连接器标准要求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插入损耗：≤0.20dB</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回波损耗：≥50dB</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重复性：≤0.10dB</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互换性：≤0.20dB</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工作温度：-20~60℃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B9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574" w:type="dxa"/>
            <w:tcBorders>
              <w:top w:val="single" w:color="000000" w:sz="4" w:space="0"/>
              <w:left w:val="single" w:color="000000" w:sz="4" w:space="0"/>
              <w:bottom w:val="single" w:color="000000" w:sz="4" w:space="0"/>
            </w:tcBorders>
            <w:shd w:val="clear" w:color="auto" w:fill="auto"/>
            <w:noWrap/>
            <w:vAlign w:val="center"/>
          </w:tcPr>
          <w:p w14:paraId="65375E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r>
      <w:tr w14:paraId="656C41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121E7E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52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3米LC-LC双工单模万兆跳线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094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插拔次数大于1000次，插入损耗0.3db,回波损耗30db</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E0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574" w:type="dxa"/>
            <w:tcBorders>
              <w:top w:val="single" w:color="000000" w:sz="4" w:space="0"/>
              <w:left w:val="single" w:color="000000" w:sz="4" w:space="0"/>
              <w:bottom w:val="single" w:color="000000" w:sz="4" w:space="0"/>
            </w:tcBorders>
            <w:shd w:val="clear" w:color="auto" w:fill="auto"/>
            <w:noWrap/>
            <w:vAlign w:val="center"/>
          </w:tcPr>
          <w:p w14:paraId="2BF422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w:t>
            </w:r>
          </w:p>
        </w:tc>
      </w:tr>
      <w:tr w14:paraId="15EB7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3A657A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39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网络机柜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76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600*600*2000mm 带PDU插座</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A2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574" w:type="dxa"/>
            <w:tcBorders>
              <w:top w:val="single" w:color="000000" w:sz="4" w:space="0"/>
              <w:left w:val="single" w:color="000000" w:sz="4" w:space="0"/>
              <w:bottom w:val="single" w:color="000000" w:sz="4" w:space="0"/>
            </w:tcBorders>
            <w:shd w:val="clear" w:color="auto" w:fill="auto"/>
            <w:noWrap/>
            <w:vAlign w:val="center"/>
          </w:tcPr>
          <w:p w14:paraId="7C8DA3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CD518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02D210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49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服务器机柜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772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600*1000*2000mm 带PDU插座</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81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34B6F0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D3F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6" w:type="dxa"/>
            <w:tcBorders>
              <w:top w:val="single" w:color="000000" w:sz="4" w:space="0"/>
              <w:bottom w:val="single" w:color="000000" w:sz="4" w:space="0"/>
              <w:right w:val="single" w:color="000000" w:sz="4" w:space="0"/>
            </w:tcBorders>
            <w:shd w:val="clear" w:color="auto" w:fill="auto"/>
            <w:vAlign w:val="center"/>
          </w:tcPr>
          <w:p w14:paraId="76D9A3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5B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辅材</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3122">
            <w:pPr>
              <w:keepNext w:val="0"/>
              <w:keepLines w:val="0"/>
              <w:widowControl/>
              <w:suppressLineNumbers w:val="0"/>
              <w:jc w:val="left"/>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配套辅材，包括电梯网络线路。</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36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1EC6CC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r>
      <w:tr w14:paraId="36860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852" w:type="dxa"/>
            <w:gridSpan w:val="5"/>
            <w:tcBorders>
              <w:top w:val="single" w:color="000000" w:sz="4" w:space="0"/>
              <w:bottom w:val="single" w:color="000000" w:sz="4" w:space="0"/>
            </w:tcBorders>
            <w:shd w:val="clear" w:color="auto" w:fill="auto"/>
            <w:noWrap/>
            <w:vAlign w:val="center"/>
          </w:tcPr>
          <w:p w14:paraId="0D18AB6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2.综合管路系统</w:t>
            </w:r>
          </w:p>
        </w:tc>
      </w:tr>
      <w:tr w14:paraId="65F2CE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1689B3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2D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电线管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F0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JDG20，含配件，国标</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E2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2500</w:t>
            </w:r>
          </w:p>
        </w:tc>
        <w:tc>
          <w:tcPr>
            <w:tcW w:w="574" w:type="dxa"/>
            <w:tcBorders>
              <w:top w:val="single" w:color="000000" w:sz="4" w:space="0"/>
              <w:left w:val="single" w:color="000000" w:sz="4" w:space="0"/>
              <w:bottom w:val="single" w:color="000000" w:sz="4" w:space="0"/>
            </w:tcBorders>
            <w:shd w:val="clear" w:color="auto" w:fill="auto"/>
            <w:noWrap/>
            <w:vAlign w:val="center"/>
          </w:tcPr>
          <w:p w14:paraId="547BA7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r>
      <w:tr w14:paraId="156F24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4CF4CC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41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电线管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E3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JDG25，含配件，国标</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46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2800</w:t>
            </w:r>
          </w:p>
        </w:tc>
        <w:tc>
          <w:tcPr>
            <w:tcW w:w="574" w:type="dxa"/>
            <w:tcBorders>
              <w:top w:val="single" w:color="000000" w:sz="4" w:space="0"/>
              <w:left w:val="single" w:color="000000" w:sz="4" w:space="0"/>
              <w:bottom w:val="single" w:color="000000" w:sz="4" w:space="0"/>
            </w:tcBorders>
            <w:shd w:val="clear" w:color="auto" w:fill="auto"/>
            <w:noWrap/>
            <w:vAlign w:val="center"/>
          </w:tcPr>
          <w:p w14:paraId="7B2B45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r>
      <w:tr w14:paraId="02048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700E48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AE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钢制槽式桥架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030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300*100(含支架及配件)，国标</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DD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450</w:t>
            </w:r>
          </w:p>
        </w:tc>
        <w:tc>
          <w:tcPr>
            <w:tcW w:w="574" w:type="dxa"/>
            <w:tcBorders>
              <w:top w:val="single" w:color="000000" w:sz="4" w:space="0"/>
              <w:left w:val="single" w:color="000000" w:sz="4" w:space="0"/>
              <w:bottom w:val="single" w:color="000000" w:sz="4" w:space="0"/>
            </w:tcBorders>
            <w:shd w:val="clear" w:color="auto" w:fill="auto"/>
            <w:noWrap/>
            <w:vAlign w:val="center"/>
          </w:tcPr>
          <w:p w14:paraId="06E58B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r>
      <w:tr w14:paraId="462B3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74277A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6A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钢制槽式桥架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DCE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200*100(含支架及配件)，国标</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AD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w:t>
            </w:r>
          </w:p>
        </w:tc>
        <w:tc>
          <w:tcPr>
            <w:tcW w:w="574" w:type="dxa"/>
            <w:tcBorders>
              <w:top w:val="single" w:color="000000" w:sz="4" w:space="0"/>
              <w:left w:val="single" w:color="000000" w:sz="4" w:space="0"/>
              <w:bottom w:val="single" w:color="000000" w:sz="4" w:space="0"/>
            </w:tcBorders>
            <w:shd w:val="clear" w:color="auto" w:fill="auto"/>
            <w:noWrap/>
            <w:vAlign w:val="center"/>
          </w:tcPr>
          <w:p w14:paraId="77CD55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r>
      <w:tr w14:paraId="39BB30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332840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A1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07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管径32，含配件，国标</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CA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2200</w:t>
            </w:r>
          </w:p>
        </w:tc>
        <w:tc>
          <w:tcPr>
            <w:tcW w:w="574" w:type="dxa"/>
            <w:tcBorders>
              <w:top w:val="single" w:color="000000" w:sz="4" w:space="0"/>
              <w:left w:val="single" w:color="000000" w:sz="4" w:space="0"/>
              <w:bottom w:val="single" w:color="000000" w:sz="4" w:space="0"/>
            </w:tcBorders>
            <w:shd w:val="clear" w:color="auto" w:fill="auto"/>
            <w:noWrap/>
            <w:vAlign w:val="center"/>
          </w:tcPr>
          <w:p w14:paraId="440AC8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r>
      <w:tr w14:paraId="040994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23F9B8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35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镀锌钢管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1A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管径50，含配件，国标</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4B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w:t>
            </w:r>
          </w:p>
        </w:tc>
        <w:tc>
          <w:tcPr>
            <w:tcW w:w="574" w:type="dxa"/>
            <w:tcBorders>
              <w:top w:val="single" w:color="000000" w:sz="4" w:space="0"/>
              <w:left w:val="single" w:color="000000" w:sz="4" w:space="0"/>
              <w:bottom w:val="single" w:color="000000" w:sz="4" w:space="0"/>
            </w:tcBorders>
            <w:shd w:val="clear" w:color="auto" w:fill="auto"/>
            <w:noWrap/>
            <w:vAlign w:val="center"/>
          </w:tcPr>
          <w:p w14:paraId="75B410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r>
      <w:tr w14:paraId="09FD2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1BAFAD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72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弱电井</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552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600*600弱电井</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BB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574" w:type="dxa"/>
            <w:tcBorders>
              <w:top w:val="single" w:color="000000" w:sz="4" w:space="0"/>
              <w:left w:val="single" w:color="000000" w:sz="4" w:space="0"/>
              <w:bottom w:val="single" w:color="000000" w:sz="4" w:space="0"/>
            </w:tcBorders>
            <w:shd w:val="clear" w:color="auto" w:fill="auto"/>
            <w:noWrap/>
            <w:vAlign w:val="center"/>
          </w:tcPr>
          <w:p w14:paraId="35228F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B6AA5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33B5B1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47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防水钢性套管DN108</w:t>
            </w:r>
          </w:p>
        </w:tc>
        <w:tc>
          <w:tcPr>
            <w:tcW w:w="5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7B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制作、安装</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59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noWrap/>
            <w:vAlign w:val="center"/>
          </w:tcPr>
          <w:p w14:paraId="2E6EB6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4E510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5BAA8F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C9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土方开挖与回填</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E54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管沟土方开挖与回填</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FF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w:t>
            </w:r>
          </w:p>
        </w:tc>
        <w:tc>
          <w:tcPr>
            <w:tcW w:w="574" w:type="dxa"/>
            <w:tcBorders>
              <w:top w:val="single" w:color="000000" w:sz="4" w:space="0"/>
              <w:left w:val="single" w:color="000000" w:sz="4" w:space="0"/>
              <w:bottom w:val="single" w:color="000000" w:sz="4" w:space="0"/>
            </w:tcBorders>
            <w:shd w:val="clear" w:color="auto" w:fill="auto"/>
            <w:noWrap/>
            <w:vAlign w:val="center"/>
          </w:tcPr>
          <w:p w14:paraId="20724A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m³</w:t>
            </w:r>
          </w:p>
        </w:tc>
      </w:tr>
      <w:tr w14:paraId="5DE2E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852" w:type="dxa"/>
            <w:gridSpan w:val="5"/>
            <w:tcBorders>
              <w:top w:val="single" w:color="000000" w:sz="4" w:space="0"/>
              <w:bottom w:val="single" w:color="000000" w:sz="4" w:space="0"/>
            </w:tcBorders>
            <w:shd w:val="clear" w:color="auto" w:fill="auto"/>
            <w:noWrap/>
            <w:vAlign w:val="center"/>
          </w:tcPr>
          <w:p w14:paraId="77525E95">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3.机房工程</w:t>
            </w:r>
          </w:p>
        </w:tc>
      </w:tr>
      <w:tr w14:paraId="12F7F7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3EC7C062">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3.1 1F弱电机房</w:t>
            </w:r>
          </w:p>
        </w:tc>
      </w:tr>
      <w:tr w14:paraId="5E45E2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vAlign w:val="center"/>
          </w:tcPr>
          <w:p w14:paraId="6705AE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6F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陶瓷防静电地板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45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尺寸：600*600*35钢质防静电地板，集中载荷：大于360Kg，表面电阻值：106---108欧姆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D2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574" w:type="dxa"/>
            <w:tcBorders>
              <w:top w:val="single" w:color="000000" w:sz="4" w:space="0"/>
              <w:left w:val="single" w:color="000000" w:sz="4" w:space="0"/>
              <w:bottom w:val="single" w:color="000000" w:sz="4" w:space="0"/>
            </w:tcBorders>
            <w:shd w:val="clear" w:color="auto" w:fill="auto"/>
            <w:vAlign w:val="center"/>
          </w:tcPr>
          <w:p w14:paraId="4E128C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方</w:t>
            </w:r>
          </w:p>
        </w:tc>
      </w:tr>
      <w:tr w14:paraId="0E5F55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799C65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79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接地铜排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70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紫铜排30*3</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15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574" w:type="dxa"/>
            <w:tcBorders>
              <w:top w:val="single" w:color="000000" w:sz="4" w:space="0"/>
              <w:left w:val="single" w:color="000000" w:sz="4" w:space="0"/>
              <w:bottom w:val="single" w:color="000000" w:sz="4" w:space="0"/>
            </w:tcBorders>
            <w:shd w:val="clear" w:color="auto" w:fill="auto"/>
            <w:vAlign w:val="center"/>
          </w:tcPr>
          <w:p w14:paraId="1FDB4A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4B38C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66" w:type="dxa"/>
            <w:tcBorders>
              <w:top w:val="single" w:color="000000" w:sz="4" w:space="0"/>
              <w:bottom w:val="single" w:color="000000" w:sz="4" w:space="0"/>
              <w:right w:val="single" w:color="000000" w:sz="4" w:space="0"/>
            </w:tcBorders>
            <w:shd w:val="clear" w:color="auto" w:fill="auto"/>
            <w:vAlign w:val="center"/>
          </w:tcPr>
          <w:p w14:paraId="374F7C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0D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电源三级防雷器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00D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最大持续电压：385VAC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标称放电电流：20KA(8/20μS)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最大放电电流：40KA(8/20μS)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限制电压：≤1.8KV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保护模式：L-N、N-PE</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99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338460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6513B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613C4B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59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插座</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5D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8位10A 电源插座</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BA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574" w:type="dxa"/>
            <w:tcBorders>
              <w:top w:val="single" w:color="000000" w:sz="4" w:space="0"/>
              <w:left w:val="single" w:color="000000" w:sz="4" w:space="0"/>
              <w:bottom w:val="single" w:color="000000" w:sz="4" w:space="0"/>
            </w:tcBorders>
            <w:shd w:val="clear" w:color="auto" w:fill="auto"/>
            <w:vAlign w:val="center"/>
          </w:tcPr>
          <w:p w14:paraId="1C9D90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7F345D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66" w:type="dxa"/>
            <w:tcBorders>
              <w:top w:val="single" w:color="000000" w:sz="4" w:space="0"/>
              <w:bottom w:val="single" w:color="000000" w:sz="4" w:space="0"/>
              <w:right w:val="single" w:color="000000" w:sz="4" w:space="0"/>
            </w:tcBorders>
            <w:shd w:val="clear" w:color="auto" w:fill="auto"/>
            <w:vAlign w:val="center"/>
          </w:tcPr>
          <w:p w14:paraId="33BFF9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68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UPS主机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FEC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UPS主机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额定功率：30KVA；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结构：高频在线式；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输入电压：380V±5%；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输出电压：220V±5%；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频率范围：50/60HZ±10%；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DB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574" w:type="dxa"/>
            <w:tcBorders>
              <w:top w:val="single" w:color="000000" w:sz="4" w:space="0"/>
              <w:left w:val="single" w:color="000000" w:sz="4" w:space="0"/>
              <w:bottom w:val="single" w:color="000000" w:sz="4" w:space="0"/>
            </w:tcBorders>
            <w:shd w:val="clear" w:color="auto" w:fill="auto"/>
            <w:vAlign w:val="center"/>
          </w:tcPr>
          <w:p w14:paraId="100A98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8F9D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66" w:type="dxa"/>
            <w:tcBorders>
              <w:top w:val="single" w:color="000000" w:sz="4" w:space="0"/>
              <w:bottom w:val="single" w:color="000000" w:sz="4" w:space="0"/>
              <w:right w:val="single" w:color="000000" w:sz="4" w:space="0"/>
            </w:tcBorders>
            <w:shd w:val="clear" w:color="auto" w:fill="auto"/>
            <w:vAlign w:val="center"/>
          </w:tcPr>
          <w:p w14:paraId="33DEDE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FE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蓄电池</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77A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12V100AH,采用可靠品牌的免维护阀控式密封铅酸蓄电池。电压为12V，容量满足现场要求。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蓄电池极板设计应采取铅钙锡等多元合金制作，应具备内阻低、输出电流大、回充电能力强及抗腐蚀能力。</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ED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w:t>
            </w:r>
          </w:p>
        </w:tc>
        <w:tc>
          <w:tcPr>
            <w:tcW w:w="574" w:type="dxa"/>
            <w:tcBorders>
              <w:top w:val="single" w:color="000000" w:sz="4" w:space="0"/>
              <w:left w:val="single" w:color="000000" w:sz="4" w:space="0"/>
              <w:bottom w:val="single" w:color="000000" w:sz="4" w:space="0"/>
            </w:tcBorders>
            <w:shd w:val="clear" w:color="auto" w:fill="auto"/>
            <w:vAlign w:val="center"/>
          </w:tcPr>
          <w:p w14:paraId="7562D7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节</w:t>
            </w:r>
          </w:p>
        </w:tc>
      </w:tr>
      <w:tr w14:paraId="76FB5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14E6AA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56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电池柜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69D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 A32  可盛放32节12V100AH蓄电池</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93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78E1DA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51082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72A87A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31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UPS配电箱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43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定制总输入输出开关各一个，输出支路10路</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63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1 </w:t>
            </w:r>
          </w:p>
        </w:tc>
        <w:tc>
          <w:tcPr>
            <w:tcW w:w="574" w:type="dxa"/>
            <w:tcBorders>
              <w:top w:val="single" w:color="000000" w:sz="4" w:space="0"/>
              <w:left w:val="single" w:color="000000" w:sz="4" w:space="0"/>
              <w:bottom w:val="single" w:color="000000" w:sz="4" w:space="0"/>
            </w:tcBorders>
            <w:shd w:val="clear" w:color="auto" w:fill="auto"/>
            <w:vAlign w:val="center"/>
          </w:tcPr>
          <w:p w14:paraId="4163CF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213FD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7A8952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DD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2D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WDZR YJV 4*25+1*16</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52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50 </w:t>
            </w:r>
          </w:p>
        </w:tc>
        <w:tc>
          <w:tcPr>
            <w:tcW w:w="574" w:type="dxa"/>
            <w:tcBorders>
              <w:top w:val="single" w:color="000000" w:sz="4" w:space="0"/>
              <w:left w:val="single" w:color="000000" w:sz="4" w:space="0"/>
              <w:bottom w:val="single" w:color="000000" w:sz="4" w:space="0"/>
            </w:tcBorders>
            <w:shd w:val="clear" w:color="auto" w:fill="auto"/>
            <w:vAlign w:val="center"/>
          </w:tcPr>
          <w:p w14:paraId="74A4DB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31C96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42BDF2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72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7D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BV2.5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2C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220 </w:t>
            </w:r>
          </w:p>
        </w:tc>
        <w:tc>
          <w:tcPr>
            <w:tcW w:w="574" w:type="dxa"/>
            <w:tcBorders>
              <w:top w:val="single" w:color="000000" w:sz="4" w:space="0"/>
              <w:left w:val="single" w:color="000000" w:sz="4" w:space="0"/>
              <w:bottom w:val="single" w:color="000000" w:sz="4" w:space="0"/>
            </w:tcBorders>
            <w:shd w:val="clear" w:color="auto" w:fill="auto"/>
            <w:vAlign w:val="center"/>
          </w:tcPr>
          <w:p w14:paraId="69052D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56C999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33904F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8F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DF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BV1.5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83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350 </w:t>
            </w:r>
          </w:p>
        </w:tc>
        <w:tc>
          <w:tcPr>
            <w:tcW w:w="574" w:type="dxa"/>
            <w:tcBorders>
              <w:top w:val="single" w:color="000000" w:sz="4" w:space="0"/>
              <w:left w:val="single" w:color="000000" w:sz="4" w:space="0"/>
              <w:bottom w:val="single" w:color="000000" w:sz="4" w:space="0"/>
            </w:tcBorders>
            <w:shd w:val="clear" w:color="auto" w:fill="auto"/>
            <w:vAlign w:val="center"/>
          </w:tcPr>
          <w:p w14:paraId="3C364C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06F74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0267F3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11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8E9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YJV4*16+1*10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B5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574" w:type="dxa"/>
            <w:tcBorders>
              <w:top w:val="single" w:color="000000" w:sz="4" w:space="0"/>
              <w:left w:val="single" w:color="000000" w:sz="4" w:space="0"/>
              <w:bottom w:val="single" w:color="000000" w:sz="4" w:space="0"/>
            </w:tcBorders>
            <w:shd w:val="clear" w:color="auto" w:fill="auto"/>
            <w:vAlign w:val="center"/>
          </w:tcPr>
          <w:p w14:paraId="34F253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060002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297CAF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17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1D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WDZR YJV 3*4</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D4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574" w:type="dxa"/>
            <w:tcBorders>
              <w:top w:val="single" w:color="000000" w:sz="4" w:space="0"/>
              <w:left w:val="single" w:color="000000" w:sz="4" w:space="0"/>
              <w:bottom w:val="single" w:color="000000" w:sz="4" w:space="0"/>
            </w:tcBorders>
            <w:shd w:val="clear" w:color="auto" w:fill="auto"/>
            <w:vAlign w:val="center"/>
          </w:tcPr>
          <w:p w14:paraId="7CF7BF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2E48E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59129C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6E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47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WDZR YJV 3*6</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CE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574" w:type="dxa"/>
            <w:tcBorders>
              <w:top w:val="single" w:color="000000" w:sz="4" w:space="0"/>
              <w:left w:val="single" w:color="000000" w:sz="4" w:space="0"/>
              <w:bottom w:val="single" w:color="000000" w:sz="4" w:space="0"/>
            </w:tcBorders>
            <w:shd w:val="clear" w:color="auto" w:fill="auto"/>
            <w:vAlign w:val="center"/>
          </w:tcPr>
          <w:p w14:paraId="175E3D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08312B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0864FD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16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辅材</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5A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配套辅材</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2C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0D1C46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w:t>
            </w:r>
          </w:p>
        </w:tc>
      </w:tr>
      <w:tr w14:paraId="6E0CA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0B45E155">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3.2 消控室</w:t>
            </w:r>
          </w:p>
        </w:tc>
      </w:tr>
      <w:tr w14:paraId="00A6C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vAlign w:val="center"/>
          </w:tcPr>
          <w:p w14:paraId="1E90BA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58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陶瓷防静电地板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F9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尺寸：600*600*35钢质防静电地板，集中载荷：大于360Kg，表面电阻值：106---108欧姆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38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574" w:type="dxa"/>
            <w:tcBorders>
              <w:top w:val="single" w:color="000000" w:sz="4" w:space="0"/>
              <w:left w:val="single" w:color="000000" w:sz="4" w:space="0"/>
              <w:bottom w:val="single" w:color="000000" w:sz="4" w:space="0"/>
            </w:tcBorders>
            <w:shd w:val="clear" w:color="auto" w:fill="auto"/>
            <w:vAlign w:val="center"/>
          </w:tcPr>
          <w:p w14:paraId="4C937A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方</w:t>
            </w:r>
          </w:p>
        </w:tc>
      </w:tr>
      <w:tr w14:paraId="3ECE8F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3761E0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8D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三联操作台</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EFB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标准三联平台</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2A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173937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12B9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13BF4E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1E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接地铜排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9F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紫铜排30*3</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3D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574" w:type="dxa"/>
            <w:tcBorders>
              <w:top w:val="single" w:color="000000" w:sz="4" w:space="0"/>
              <w:left w:val="single" w:color="000000" w:sz="4" w:space="0"/>
              <w:bottom w:val="single" w:color="000000" w:sz="4" w:space="0"/>
            </w:tcBorders>
            <w:shd w:val="clear" w:color="auto" w:fill="auto"/>
            <w:vAlign w:val="center"/>
          </w:tcPr>
          <w:p w14:paraId="1142E2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77894B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66" w:type="dxa"/>
            <w:tcBorders>
              <w:top w:val="single" w:color="000000" w:sz="4" w:space="0"/>
              <w:bottom w:val="single" w:color="000000" w:sz="4" w:space="0"/>
              <w:right w:val="single" w:color="000000" w:sz="4" w:space="0"/>
            </w:tcBorders>
            <w:shd w:val="clear" w:color="auto" w:fill="auto"/>
            <w:vAlign w:val="center"/>
          </w:tcPr>
          <w:p w14:paraId="5840EA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8D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电源三级防雷器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980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最大持续电压：385VAC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标称放电电流：20KA(8/20μS)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最大放电电流：40KA(8/20μS)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限制电压：≤1.8KV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保护模式：L-N、N-PE</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1E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4FEC5E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323D7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663BE689">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4.五方通话</w:t>
            </w:r>
          </w:p>
        </w:tc>
      </w:tr>
      <w:tr w14:paraId="57D58F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043C2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57A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五方通话线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0C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RVVP4*1.5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54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w:t>
            </w:r>
          </w:p>
        </w:tc>
        <w:tc>
          <w:tcPr>
            <w:tcW w:w="574" w:type="dxa"/>
            <w:tcBorders>
              <w:top w:val="single" w:color="000000" w:sz="4" w:space="0"/>
              <w:left w:val="single" w:color="000000" w:sz="4" w:space="0"/>
              <w:bottom w:val="single" w:color="000000" w:sz="4" w:space="0"/>
            </w:tcBorders>
            <w:shd w:val="clear" w:color="auto" w:fill="auto"/>
            <w:noWrap/>
            <w:vAlign w:val="center"/>
          </w:tcPr>
          <w:p w14:paraId="67DE55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549CDC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852DF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4D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C11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管径32，含配件，国标</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8D1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574" w:type="dxa"/>
            <w:tcBorders>
              <w:top w:val="single" w:color="000000" w:sz="4" w:space="0"/>
              <w:left w:val="single" w:color="000000" w:sz="4" w:space="0"/>
              <w:bottom w:val="single" w:color="000000" w:sz="4" w:space="0"/>
            </w:tcBorders>
            <w:shd w:val="clear" w:color="auto" w:fill="auto"/>
            <w:noWrap/>
            <w:vAlign w:val="center"/>
          </w:tcPr>
          <w:p w14:paraId="19EC67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19923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852" w:type="dxa"/>
            <w:gridSpan w:val="5"/>
            <w:tcBorders>
              <w:top w:val="single" w:color="000000" w:sz="4" w:space="0"/>
              <w:bottom w:val="single" w:color="000000" w:sz="4" w:space="0"/>
            </w:tcBorders>
            <w:shd w:val="clear" w:color="auto" w:fill="auto"/>
            <w:noWrap/>
            <w:vAlign w:val="center"/>
          </w:tcPr>
          <w:p w14:paraId="22958B97">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5.网络系统</w:t>
            </w:r>
          </w:p>
        </w:tc>
      </w:tr>
      <w:tr w14:paraId="55E99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6ADC89E3">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5.1信息内网 </w:t>
            </w:r>
          </w:p>
        </w:tc>
      </w:tr>
      <w:tr w14:paraId="3067D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6" w:type="dxa"/>
            <w:tcBorders>
              <w:top w:val="single" w:color="000000" w:sz="4" w:space="0"/>
              <w:bottom w:val="single" w:color="000000" w:sz="4" w:space="0"/>
              <w:right w:val="single" w:color="000000" w:sz="4" w:space="0"/>
            </w:tcBorders>
            <w:shd w:val="clear" w:color="auto" w:fill="auto"/>
            <w:vAlign w:val="center"/>
          </w:tcPr>
          <w:p w14:paraId="33CD056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2EE0">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防火墙</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3AF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1.1U机架式，12个千兆电接口，12个千兆光接口，冗余电源；</w:t>
            </w:r>
          </w:p>
          <w:p w14:paraId="41B6B0A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2.最大吞吐≥</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Gbps，并发连接数≥200万，标配防病毒、入侵防御、上网行为管理、Web攻击防护等模块；</w:t>
            </w:r>
          </w:p>
          <w:p w14:paraId="2B8499A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3.支持路由模式、透明（网桥）模式、混合模式、旁路模式；旁路部署支持加入多个物理接口；部署模式切换无需重启设备；</w:t>
            </w:r>
          </w:p>
          <w:p w14:paraId="22646C5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4.支持IPv6报文安全防护，包含但不少于防ND欺骗、防ND Flood攻击、IPv6应用控制、IPv6URL过滤、IPv6入侵防御、IPv6病毒防护、IPv6WEB防护等；</w:t>
            </w:r>
          </w:p>
          <w:p w14:paraId="1439EC1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5.支持虚拟路由转发功能，使用VRF功能可以从系统层面隔离不同VRF组里的流量信息和路由信息，可作为MPLS组网里的MCE设备；</w:t>
            </w:r>
          </w:p>
          <w:p w14:paraId="5E2072D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支持基于负载链路进行dns-dnat机制，解决用户主机配置DNS解析结果，与实际转发运营商链路解析结果有冲突，从而导致跨运营商访问慢的问题；支持进行DNS探测，针对探测失败情况，支持选择禁用dns-dnat功能或禁用负载链路出接口；</w:t>
            </w:r>
          </w:p>
          <w:p w14:paraId="25723A9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7.支持防暴力破解，可针对端口和域名进行防护，可自定义选择阻断时间；</w:t>
            </w:r>
          </w:p>
          <w:p w14:paraId="0048FD6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系统定义超过8500+条主流攻击规则，包含但不限于用户提取、任意代码执行、木马/后门、WEB攻击、拒绝服务、信息泄露、蠕虫/病毒、挖矿、缓冲区溢出、目录遍历、SQL注入、WEB序列化、WEBSHELL、木马外联、间谍软件等攻击类别；</w:t>
            </w:r>
          </w:p>
          <w:p w14:paraId="2A9A6C7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支持常用协议HTTP、DNS、SMTP、POP3、FTP等异常检查和防逃避检测，HTTP协议至少支持URL长度、请求头长度、目录长度、host字段、version字段检测；DNS协议支持域名长度、域名字符检测；SMTP、POP3支持文本行、附件文件名长度检测；FTP支持命令行长度和命令参数长度检测；</w:t>
            </w:r>
          </w:p>
          <w:p w14:paraId="3487E3D3">
            <w:pP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rPr>
              <w:t>10.支持自定义IPS特征，支持针对8种协议自定义入侵攻击特征，包括IP、UDP、TCP、ICMP、HTTP、FTP、POP3、SMTP等协议；</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737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5B2FF00D">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台</w:t>
            </w:r>
          </w:p>
        </w:tc>
      </w:tr>
      <w:tr w14:paraId="2D02E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6" w:type="dxa"/>
            <w:tcBorders>
              <w:top w:val="single" w:color="000000" w:sz="4" w:space="0"/>
              <w:bottom w:val="single" w:color="000000" w:sz="4" w:space="0"/>
              <w:right w:val="single" w:color="000000" w:sz="4" w:space="0"/>
            </w:tcBorders>
            <w:shd w:val="clear" w:color="auto" w:fill="auto"/>
            <w:vAlign w:val="center"/>
          </w:tcPr>
          <w:p w14:paraId="53FDC4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80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内网核心交换机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E04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交换容量≥240Tbps，包转发率≥38000Mpps，主控槽位数≥2个，业务槽位数≥2个，电源槽位数≥6个，为适应机柜并排部署，设备机箱（包括业务板卡区）采用前进后出风道设计；</w:t>
            </w:r>
          </w:p>
          <w:p w14:paraId="7D63B4A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采用国产CPU和芯片，自主可控，支持主控1：1转发备份，倒换时间小于5ms，故障自动切换无丢包；</w:t>
            </w:r>
          </w:p>
          <w:p w14:paraId="502E402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支持整机MAC地址≥384K；MAC学习速率≥16000/s，支持整机ARP表项≥140000，ND表项≥80000；</w:t>
            </w:r>
          </w:p>
          <w:p w14:paraId="1F7CA36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考虑可用性，要求主控槽位与业务线卡槽位宽度相同，为全宽槽位，为了维护方便，所有主控及业务板卡都是前维护</w:t>
            </w:r>
            <w:r>
              <w:rPr>
                <w:rFonts w:hint="eastAsia" w:ascii="仿宋" w:hAnsi="仿宋" w:eastAsia="仿宋" w:cs="仿宋"/>
                <w:color w:val="auto"/>
                <w:sz w:val="24"/>
                <w:szCs w:val="24"/>
                <w:highlight w:val="none"/>
                <w:lang w:eastAsia="zh-CN"/>
              </w:rPr>
              <w:t>；</w:t>
            </w:r>
          </w:p>
          <w:p w14:paraId="0BD474A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单端口最大支持90W的PoE++供电，支持永久PoE，为了部署的方便性，POE电源模块须内置于机框内，不使用外置电源模块；</w:t>
            </w:r>
          </w:p>
          <w:p w14:paraId="6FAC55F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支持IGMP Snooping V1,V2,V3；支持PIM-SM/MTJD/DM/SSM；</w:t>
            </w:r>
          </w:p>
          <w:p w14:paraId="58CBFCD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支持VxLAN功能，支持VxLAN网络的自动化部署，两块主控工作在NSF和NSR模式，且两个主控上端口可以同时工作；</w:t>
            </w:r>
          </w:p>
          <w:p w14:paraId="4B85553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所配置的业务板支持Macsec256，支持硬件BFD/OAM，3.3ms稳定均匀发包检测，提高设备的可靠性；</w:t>
            </w:r>
          </w:p>
          <w:p w14:paraId="0E787DE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支持基于用户安全组（UCL-Group）的访问权限控制，支持硬件BFD/OAM，3.3ms稳定均匀发包检测，提高设备的可靠性；</w:t>
            </w:r>
          </w:p>
          <w:p w14:paraId="1CA7417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支持1K CPU硬件保护队列，支持CPU保护和防Dos攻击技术；</w:t>
            </w:r>
          </w:p>
          <w:p w14:paraId="2DB2F07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支持RIP V1、V2, OSPF, IS-IS，BGP；支持GR for OSPF/IS-IS/BGP；</w:t>
            </w:r>
          </w:p>
          <w:p w14:paraId="397A027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支持IPV6，支持RIPng，OSPFv3，IS-ISv6，BGP4+等动态路由协议；</w:t>
            </w:r>
          </w:p>
          <w:p w14:paraId="39722622">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本次产品配置：双引擎模块，冗余电源模块，前后风道机框，业务用万兆以太网光口≥40个，千兆光转电模块4个；</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4D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26A455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9AF05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566" w:type="dxa"/>
            <w:tcBorders>
              <w:top w:val="single" w:color="000000" w:sz="4" w:space="0"/>
              <w:bottom w:val="single" w:color="000000" w:sz="4" w:space="0"/>
              <w:right w:val="single" w:color="000000" w:sz="4" w:space="0"/>
            </w:tcBorders>
            <w:shd w:val="clear" w:color="auto" w:fill="auto"/>
            <w:vAlign w:val="center"/>
          </w:tcPr>
          <w:p w14:paraId="6C5106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3E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内网24口接入交换机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4FD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交换容量≥336Gbps, 包转发率≥</w:t>
            </w:r>
            <w:r>
              <w:rPr>
                <w:rFonts w:hint="eastAsia" w:ascii="仿宋" w:hAnsi="仿宋" w:eastAsia="仿宋" w:cs="仿宋"/>
                <w:color w:val="auto"/>
                <w:sz w:val="24"/>
                <w:szCs w:val="24"/>
                <w:highlight w:val="none"/>
                <w:lang w:val="en-US" w:eastAsia="zh-CN"/>
              </w:rPr>
              <w:t>156</w:t>
            </w:r>
            <w:r>
              <w:rPr>
                <w:rFonts w:hint="eastAsia" w:ascii="仿宋" w:hAnsi="仿宋" w:eastAsia="仿宋" w:cs="仿宋"/>
                <w:color w:val="auto"/>
                <w:sz w:val="24"/>
                <w:szCs w:val="24"/>
                <w:highlight w:val="none"/>
              </w:rPr>
              <w:t>Mpps，配置千兆以太网电口≥24个，万兆光端口≥4个；</w:t>
            </w:r>
          </w:p>
          <w:p w14:paraId="383158A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基于 Python 语言的开放可编程系统， IT 管理员可以通过 Python 脚本对交换机进行运维功能的编程，快速实现功能创新，实现智能化运维；</w:t>
            </w:r>
          </w:p>
          <w:p w14:paraId="1E99814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设备支持复位按钮（PNP），支持长按按钮使设备恢复默认配置并自动重新启动；</w:t>
            </w:r>
          </w:p>
          <w:p w14:paraId="1E41C34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支持SmartLink收敛时间和恢复时间都≤6ms，ERPS环网协议收敛时间≤0.5ms，支持实时时钟功能；</w:t>
            </w:r>
          </w:p>
          <w:p w14:paraId="7D96591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支持Guest VLAN、Voice VLAN，支持Super/MTJD VLAN等；</w:t>
            </w:r>
          </w:p>
          <w:p w14:paraId="132A599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支持云管理和本地管理两种模式，可根据需求灵活切换；</w:t>
            </w:r>
          </w:p>
          <w:p w14:paraId="62874CAE">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7. 支持IPV4组播规格≥1000条，MAC地址≥16K，FIB表项≥4K， 端口缓存≥1000KB；</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1D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574" w:type="dxa"/>
            <w:tcBorders>
              <w:top w:val="single" w:color="000000" w:sz="4" w:space="0"/>
              <w:left w:val="single" w:color="000000" w:sz="4" w:space="0"/>
              <w:bottom w:val="single" w:color="000000" w:sz="4" w:space="0"/>
            </w:tcBorders>
            <w:shd w:val="clear" w:color="auto" w:fill="auto"/>
            <w:vAlign w:val="center"/>
          </w:tcPr>
          <w:p w14:paraId="366830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C5DA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0" w:hRule="atLeast"/>
        </w:trPr>
        <w:tc>
          <w:tcPr>
            <w:tcW w:w="566" w:type="dxa"/>
            <w:tcBorders>
              <w:top w:val="single" w:color="000000" w:sz="4" w:space="0"/>
              <w:bottom w:val="single" w:color="000000" w:sz="4" w:space="0"/>
              <w:right w:val="single" w:color="000000" w:sz="4" w:space="0"/>
            </w:tcBorders>
            <w:shd w:val="clear" w:color="auto" w:fill="auto"/>
            <w:vAlign w:val="center"/>
          </w:tcPr>
          <w:p w14:paraId="643175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DF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内网8口接入交换机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CF7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交换容量≥500Gbps, 包转发率≥</w:t>
            </w:r>
            <w:r>
              <w:rPr>
                <w:rFonts w:hint="eastAsia" w:ascii="仿宋" w:hAnsi="仿宋" w:eastAsia="仿宋" w:cs="仿宋"/>
                <w:color w:val="auto"/>
                <w:sz w:val="24"/>
                <w:szCs w:val="24"/>
                <w:highlight w:val="none"/>
                <w:lang w:val="en-US" w:eastAsia="zh-CN"/>
              </w:rPr>
              <w:t>156</w:t>
            </w:r>
            <w:r>
              <w:rPr>
                <w:rFonts w:hint="eastAsia" w:ascii="仿宋" w:hAnsi="仿宋" w:eastAsia="仿宋" w:cs="仿宋"/>
                <w:color w:val="auto"/>
                <w:sz w:val="24"/>
                <w:szCs w:val="24"/>
                <w:highlight w:val="none"/>
              </w:rPr>
              <w:t>Mpps，配置千兆以太网电口≥10个，万兆SFP+端口≥4个；</w:t>
            </w:r>
          </w:p>
          <w:p w14:paraId="7D32170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支持PIM DM/SM/SSM，支持静态路由、RIP、RIPng、OSPF、OSPFv3</w:t>
            </w:r>
            <w:r>
              <w:rPr>
                <w:rFonts w:hint="eastAsia" w:ascii="仿宋" w:hAnsi="仿宋" w:eastAsia="仿宋" w:cs="仿宋"/>
                <w:color w:val="auto"/>
                <w:sz w:val="24"/>
                <w:szCs w:val="24"/>
                <w:highlight w:val="none"/>
                <w:lang w:eastAsia="zh-CN"/>
              </w:rPr>
              <w:t>；</w:t>
            </w:r>
          </w:p>
          <w:p w14:paraId="6D00DD4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基于 Python 语言的开放可编程系统， IT 管理员可以通过 Python 脚本对交换机进行运维功能的编程，快速实现功能创新，实现智能化运维；</w:t>
            </w:r>
          </w:p>
          <w:p w14:paraId="72BDC85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CPU芯片和转发芯片为自研国产，保证安全性及可持续供应性；</w:t>
            </w:r>
          </w:p>
          <w:p w14:paraId="086634E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支持维护人员可以在后台点亮后去机房直接找到相对于设备，便于快速定位设备位置</w:t>
            </w:r>
            <w:r>
              <w:rPr>
                <w:rFonts w:hint="eastAsia" w:ascii="仿宋" w:hAnsi="仿宋" w:eastAsia="仿宋" w:cs="仿宋"/>
                <w:color w:val="auto"/>
                <w:sz w:val="24"/>
                <w:szCs w:val="24"/>
                <w:highlight w:val="none"/>
                <w:lang w:eastAsia="zh-CN"/>
              </w:rPr>
              <w:t>；</w:t>
            </w:r>
          </w:p>
          <w:p w14:paraId="0F93AB5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支持Guest VLAN、Voice VLAN，支持Super/MTJD VLAN等，支持1:1和N:1 VLAN Mapping功能，支持基于MAC/协议/IP子网/策略/端口的VLAN；</w:t>
            </w:r>
          </w:p>
          <w:p w14:paraId="0D2A3970">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MAC表项≥32K、FIBv4表项≥4K，FIBv6表项≥1K；</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67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488012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1BFE9B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22B3CF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39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EE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万兆单模模块(1310nm,10km,LC)</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E1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574" w:type="dxa"/>
            <w:tcBorders>
              <w:top w:val="single" w:color="000000" w:sz="4" w:space="0"/>
              <w:left w:val="single" w:color="000000" w:sz="4" w:space="0"/>
              <w:bottom w:val="single" w:color="000000" w:sz="4" w:space="0"/>
            </w:tcBorders>
            <w:shd w:val="clear" w:color="auto" w:fill="auto"/>
            <w:vAlign w:val="center"/>
          </w:tcPr>
          <w:p w14:paraId="6974E1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3A796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19DC35F1">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5.2信息外网 </w:t>
            </w:r>
          </w:p>
        </w:tc>
      </w:tr>
      <w:tr w14:paraId="03DA0A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58" w:hRule="atLeast"/>
        </w:trPr>
        <w:tc>
          <w:tcPr>
            <w:tcW w:w="566" w:type="dxa"/>
            <w:tcBorders>
              <w:top w:val="single" w:color="000000" w:sz="4" w:space="0"/>
              <w:bottom w:val="single" w:color="000000" w:sz="4" w:space="0"/>
              <w:right w:val="single" w:color="000000" w:sz="4" w:space="0"/>
            </w:tcBorders>
            <w:shd w:val="clear" w:color="auto" w:fill="auto"/>
            <w:vAlign w:val="center"/>
          </w:tcPr>
          <w:p w14:paraId="7E6242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BB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路由器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FFA6">
            <w:pPr>
              <w:numPr>
                <w:ilvl w:val="0"/>
                <w:numId w:val="6"/>
              </w:num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CPU核数≥4核，采用ARM架构，支持交换容量≥80G，转发性能≥40Mpps，满配主控等组件，业务插槽≥2个（主控和扣卡槽位不计），配置内存≥4G，flash≥1GB；</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 支持风扇模块和接口卡的热插拔，以及LAN卡上的LACP协议的负载均衡，减少停机时间，保持网络的高可用性；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 支持RIP、OSPF、BGP、IS-IS等动态路由协议；</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支持IPV6，支持RIPng，OSPFv3，IS-ISv6，BGP4+等动态路由协议；</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 支持IPSec VPN、GRE VPN、MPLS VPN、DSVPN、SSL VPN、L2TP VPN等VPN技术；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 支持硬件QoS技术、SYSLOG、SNMP V1/V2/V3、RMON、WEB网管、CWMP；</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 实配netstream/IPFIX/NetFlow等国际标准网络流量报文统计功能或模块；</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 支持智能策略路由或者类似技术，可根据多个链路的网络质量，动态选择最佳链路；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9、 支持等价负载分担（ECMP）和非等价负载分担（UCMP）</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10、 支持智能应用控制（SAC）功能, 可识别P2P流量以及IM流量，并对这些流量进行限速和控制；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11、 支持防火墙安全域，支持IPS安全功能，支持≥1000个特征库，并可在线升级，可以防范木马，蠕虫，病毒等攻击；</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12、 支持URL过滤功能，可过滤指定域名的网站，支持国家密码局规定的加密算法</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13、 配置万兆光口数≥1个，WAN千兆光口≥3个，WAN千兆电口数≥8个，配置一个标准USB 3.0接口；</w:t>
            </w:r>
          </w:p>
          <w:p w14:paraId="66A47302">
            <w:pPr>
              <w:numPr>
                <w:ilvl w:val="0"/>
                <w:numId w:val="0"/>
              </w:num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14、支持5G模式组网，CPU芯片为国产自研；</w:t>
            </w:r>
          </w:p>
          <w:p w14:paraId="22CC34E0">
            <w:pPr>
              <w:numPr>
                <w:ilvl w:val="0"/>
                <w:numId w:val="0"/>
              </w:numP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15、支持URL过滤功能，可过滤指定域名的网站，支持防火墙包过滤功能；</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63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0FD370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96C47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1" w:hRule="atLeast"/>
        </w:trPr>
        <w:tc>
          <w:tcPr>
            <w:tcW w:w="566" w:type="dxa"/>
            <w:tcBorders>
              <w:top w:val="single" w:color="000000" w:sz="4" w:space="0"/>
              <w:bottom w:val="single" w:color="000000" w:sz="4" w:space="0"/>
              <w:right w:val="single" w:color="000000" w:sz="4" w:space="0"/>
            </w:tcBorders>
            <w:shd w:val="clear" w:color="auto" w:fill="auto"/>
            <w:vAlign w:val="center"/>
          </w:tcPr>
          <w:p w14:paraId="2BDE64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EE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防火墙</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179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1.1U机架式，12个千兆电接口，12个千兆光接口，冗余电源；</w:t>
            </w:r>
          </w:p>
          <w:p w14:paraId="3B9C6B2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2.最大吞吐≥</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Gbps，并发连接数≥200万，标配防病毒、入侵防御、上网行为管理、Web攻击防护等模块；</w:t>
            </w:r>
          </w:p>
          <w:p w14:paraId="757388B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3.支持路由模式、透明（网桥）模式、混合模式、旁路模式；旁路部署支持加入多个物理接口；部署模式切换无需重启设备；</w:t>
            </w:r>
          </w:p>
          <w:p w14:paraId="269AA2A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4.支持IPv6报文安全防护，包含但不少于防ND欺骗、防ND Flood攻击、IPv6应用控制、IPv6URL过滤、IPv6入侵防御、IPv6病毒防护、IPv6WEB防护等；</w:t>
            </w:r>
          </w:p>
          <w:p w14:paraId="16B75BE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5.支持虚拟路由转发功能，使用VRF功能可以从系统层面隔离不同VRF组里的流量信息和路由信息，可作为MPLS组网里的MCE设备；</w:t>
            </w:r>
          </w:p>
          <w:p w14:paraId="2AB11CC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支持基于负载链路进行dns-dnat机制，解决用户主机配置DNS解析结果，与实际转发运营商链路解析结果有冲突，从而导致跨运营商访问慢的问题；支持进行DNS探测，针对探测失败情况，支持选择禁用dns-dnat功能或禁用负载链路出接口；</w:t>
            </w:r>
          </w:p>
          <w:p w14:paraId="371BF60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7.支持防暴力破解，可针对端口和域名进行防护，可自定义选择阻断时间；</w:t>
            </w:r>
          </w:p>
          <w:p w14:paraId="359C726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系统定义超过8500+条主流攻击规则，包含但不限于用户提取、任意代码执行、木马/后门、WEB攻击、拒绝服务、信息泄露、蠕虫/病毒、挖矿、缓冲区溢出、目录遍历、SQL注入、WEB序列化、WEBSHELL、木马外联、间谍软件等攻击类别；</w:t>
            </w:r>
          </w:p>
          <w:p w14:paraId="6CCB272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支持常用协议HTTP、DNS、SMTP、POP3、FTP等异常检查和防逃避检测，HTTP协议至少支持URL长度、请求头长度、目录长度、host字段、version字段检测；DNS协议支持域名长度、域名字符检测；SMTP、POP3支持文本行、附件文件名长度检测；FTP支持命令行长度和命令参数长度检测；</w:t>
            </w:r>
          </w:p>
          <w:p w14:paraId="080867E9">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10.支持自定义IPS特征，支持针对8种协议自定义入侵攻击特征，包括IP、UDP、TCP、ICMP、HTTP、FTP、POP3、SMTP等协议；</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13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492292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A65C1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566" w:type="dxa"/>
            <w:tcBorders>
              <w:top w:val="single" w:color="000000" w:sz="4" w:space="0"/>
              <w:bottom w:val="single" w:color="000000" w:sz="4" w:space="0"/>
              <w:right w:val="single" w:color="000000" w:sz="4" w:space="0"/>
            </w:tcBorders>
            <w:shd w:val="clear" w:color="auto" w:fill="auto"/>
            <w:vAlign w:val="center"/>
          </w:tcPr>
          <w:p w14:paraId="44F5AA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F9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上网行为管理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A1F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1.≥12个千兆电口；≥12个千兆光口；要求配备不低于500G硬盘；</w:t>
            </w:r>
          </w:p>
          <w:p w14:paraId="56D412F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2.适用带宽≥500M,推荐用户数800-2000；标配入侵防御、上网行为管理、Web攻击防护等模块；</w:t>
            </w:r>
          </w:p>
          <w:p w14:paraId="7DE4BB9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3.支持路由模式、透明（网桥）模式、混合模式、旁路模式；旁路部署支持加入多个物理接口；部署模式切换无需重启设备；</w:t>
            </w:r>
          </w:p>
          <w:p w14:paraId="4B564C9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4.支持源地址转换、目的地址转换、双向地址转换、NAT44；</w:t>
            </w:r>
          </w:p>
          <w:p w14:paraId="707B783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5.支持负载在出接口的DNS请求主动完成DNS服务器替换；</w:t>
            </w:r>
          </w:p>
          <w:p w14:paraId="0C2513D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6.http类审计支持网页访问、网络社区（微博、论坛）、网页搜索、http外发文件、http文件下载、web网盘上传文件、web网盘下载文件等细粒度的审计</w:t>
            </w:r>
            <w:r>
              <w:rPr>
                <w:rFonts w:hint="eastAsia" w:ascii="仿宋" w:hAnsi="仿宋" w:eastAsia="仿宋" w:cs="仿宋"/>
                <w:color w:val="auto"/>
                <w:sz w:val="24"/>
                <w:szCs w:val="24"/>
                <w:highlight w:val="none"/>
                <w:lang w:eastAsia="zh-CN"/>
              </w:rPr>
              <w:t>；</w:t>
            </w:r>
          </w:p>
          <w:p w14:paraId="029C84A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.支持本地web认证，针对本地web认证的认证服务器可以是本地AAA，也支持外部radius、ldap认证服务器；</w:t>
            </w:r>
          </w:p>
          <w:p w14:paraId="0C31F06D">
            <w:pP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.支持微信认证功能，使用微信连WiFi2.0接口，限制微信流量放通（pc和移动端，认证通过放通），支持基于http获取access_token，支持微信内部浏览器http弹portal；强制关注功能（定时检查用户是否关注公众号）</w:t>
            </w:r>
            <w:r>
              <w:rPr>
                <w:rFonts w:hint="eastAsia" w:ascii="仿宋" w:hAnsi="仿宋" w:eastAsia="仿宋" w:cs="仿宋"/>
                <w:color w:val="auto"/>
                <w:sz w:val="24"/>
                <w:szCs w:val="24"/>
                <w:highlight w:val="none"/>
                <w:lang w:eastAsia="zh-CN"/>
              </w:rPr>
              <w:t>。</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54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32C2CD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7BE4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566" w:type="dxa"/>
            <w:tcBorders>
              <w:top w:val="single" w:color="000000" w:sz="4" w:space="0"/>
              <w:bottom w:val="single" w:color="000000" w:sz="4" w:space="0"/>
              <w:right w:val="single" w:color="000000" w:sz="4" w:space="0"/>
            </w:tcBorders>
            <w:shd w:val="clear" w:color="auto" w:fill="auto"/>
            <w:vAlign w:val="center"/>
          </w:tcPr>
          <w:p w14:paraId="4700C1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53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外网核心交换机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D59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交换容量≥240Tbps，包转发率≥38000Mpps，主控槽位数≥2个，业务槽位数≥2个，电源槽位数≥6个，为适应机柜并排部署，设备机箱（包括业务板卡区）采用前进后出风道设计；</w:t>
            </w:r>
          </w:p>
          <w:p w14:paraId="5A6E300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采用国产CPU和芯片，自主可控，支持主控1：1转发备份，倒换时间小于5ms，故障自动切换无丢包；</w:t>
            </w:r>
          </w:p>
          <w:p w14:paraId="22EF3FE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支持整机MAC地址≥384K；MAC学习速率≥16000/s，支持整机ARP表项≥140000，ND表项≥80000；</w:t>
            </w:r>
          </w:p>
          <w:p w14:paraId="0E4CCD3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考虑可用性，要求主控槽位与业务线卡槽位宽度相同，为全宽槽位，为了维护方便，所有主控及业务板卡都是前维护</w:t>
            </w:r>
            <w:r>
              <w:rPr>
                <w:rFonts w:hint="eastAsia" w:ascii="仿宋" w:hAnsi="仿宋" w:eastAsia="仿宋" w:cs="仿宋"/>
                <w:color w:val="auto"/>
                <w:sz w:val="24"/>
                <w:szCs w:val="24"/>
                <w:highlight w:val="none"/>
                <w:lang w:eastAsia="zh-CN"/>
              </w:rPr>
              <w:t>；</w:t>
            </w:r>
          </w:p>
          <w:p w14:paraId="31B49F1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单端口最大支持90W的PoE++供电，支持永久PoE，为了部署的方便性，POE电源模块须内置于机框内，不使用外置电源模块；</w:t>
            </w:r>
          </w:p>
          <w:p w14:paraId="0AEFE35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支持IGMP Snooping V1,V2,V3；支持PIM-SM/MTJD/DM/SSM；</w:t>
            </w:r>
          </w:p>
          <w:p w14:paraId="39B8464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支持VxLAN功能，支持VxLAN网络的自动化部署，两块主控工作在NSF和NSR模式，且两个主控上端口可以同时工作；</w:t>
            </w:r>
          </w:p>
          <w:p w14:paraId="6BC7532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所配置的业务板支持Macsec256，支持硬件BFD/OAM，3.3ms稳定均匀发包检测，提高设备的可靠性；</w:t>
            </w:r>
          </w:p>
          <w:p w14:paraId="2BAD25A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支持基于用户安全组（UCL-Group）的访问权限控制，支持硬件BFD/OAM，3.3ms稳定均匀发包检测，提高设备的可靠性；</w:t>
            </w:r>
          </w:p>
          <w:p w14:paraId="77449B8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支持1K CPU硬件保护队列，支持CPU保护和防Dos攻击技术；</w:t>
            </w:r>
          </w:p>
          <w:p w14:paraId="2C27202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支持RIP V1、V2, OSPF, IS-IS，BGP；支持GR for OSPF/IS-IS/BGP；</w:t>
            </w:r>
          </w:p>
          <w:p w14:paraId="3C0FA3D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支持IPV6，支持RIPng，OSPFv3，IS-ISv6，BGP4+等动态路由协议；</w:t>
            </w:r>
          </w:p>
          <w:p w14:paraId="6B4751BA">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本次产品配置：双引擎模块，冗余电源模块，前后风道机框，业务用千兆以太网光口≥24个，业务用万兆以太网光口≥10个，千兆光转电模块4个；</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A2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72619A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E0F4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566" w:type="dxa"/>
            <w:tcBorders>
              <w:top w:val="single" w:color="000000" w:sz="4" w:space="0"/>
              <w:bottom w:val="single" w:color="000000" w:sz="4" w:space="0"/>
              <w:right w:val="single" w:color="000000" w:sz="4" w:space="0"/>
            </w:tcBorders>
            <w:shd w:val="clear" w:color="auto" w:fill="auto"/>
            <w:vAlign w:val="center"/>
          </w:tcPr>
          <w:p w14:paraId="5A2008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F9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外网24口接入交换机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610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交换容量≥</w:t>
            </w:r>
            <w:r>
              <w:rPr>
                <w:rFonts w:hint="eastAsia" w:ascii="仿宋" w:hAnsi="仿宋" w:eastAsia="仿宋" w:cs="仿宋"/>
                <w:color w:val="auto"/>
                <w:sz w:val="24"/>
                <w:szCs w:val="24"/>
                <w:highlight w:val="none"/>
                <w:lang w:val="en-US" w:eastAsia="zh-CN"/>
              </w:rPr>
              <w:t>432</w:t>
            </w:r>
            <w:r>
              <w:rPr>
                <w:rFonts w:hint="eastAsia" w:ascii="仿宋" w:hAnsi="仿宋" w:eastAsia="仿宋" w:cs="仿宋"/>
                <w:color w:val="auto"/>
                <w:sz w:val="24"/>
                <w:szCs w:val="24"/>
                <w:highlight w:val="none"/>
              </w:rPr>
              <w:t>Gbps, 包转发率≥1</w:t>
            </w:r>
            <w:r>
              <w:rPr>
                <w:rFonts w:hint="eastAsia" w:ascii="仿宋" w:hAnsi="仿宋" w:eastAsia="仿宋" w:cs="仿宋"/>
                <w:color w:val="auto"/>
                <w:sz w:val="24"/>
                <w:szCs w:val="24"/>
                <w:highlight w:val="none"/>
                <w:lang w:val="en-US" w:eastAsia="zh-CN"/>
              </w:rPr>
              <w:t>56</w:t>
            </w:r>
            <w:r>
              <w:rPr>
                <w:rFonts w:hint="eastAsia" w:ascii="仿宋" w:hAnsi="仿宋" w:eastAsia="仿宋" w:cs="仿宋"/>
                <w:color w:val="auto"/>
                <w:sz w:val="24"/>
                <w:szCs w:val="24"/>
                <w:highlight w:val="none"/>
              </w:rPr>
              <w:t>Mpps，配置千兆以太网电口≥24个，千兆光端口≥4个；</w:t>
            </w:r>
          </w:p>
          <w:p w14:paraId="00CDE48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基于 Python 语言的开放可编程系统， IT 管理员可以通过 Python 脚本对交换机进行运维功能的编程，快速实现功能创新，实现智能化运维；</w:t>
            </w:r>
          </w:p>
          <w:p w14:paraId="0266994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设备支持复位按钮（PNP），支持长按按钮使设备恢复默认配置并自动重新启动；</w:t>
            </w:r>
          </w:p>
          <w:p w14:paraId="2B36676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支持SmartLink收敛时间和恢复时间都≤6ms，ERPS环网协议收敛时间≤0.5ms，支持实时时钟功能；</w:t>
            </w:r>
          </w:p>
          <w:p w14:paraId="4E0470C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支持Guest VLAN、Voice VLAN，支持Super/MTJD VLAN等；</w:t>
            </w:r>
          </w:p>
          <w:p w14:paraId="101D6DF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支持云管理和本地管理两种模式，可根据需求灵活切换；</w:t>
            </w:r>
          </w:p>
          <w:p w14:paraId="19F0F771">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7. 支持IPV4组播规格≥1000条，MAC地址≥16K，FIB表项≥4K， 端口缓存≥1000KB；</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54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574" w:type="dxa"/>
            <w:tcBorders>
              <w:top w:val="single" w:color="000000" w:sz="4" w:space="0"/>
              <w:left w:val="single" w:color="000000" w:sz="4" w:space="0"/>
              <w:bottom w:val="single" w:color="000000" w:sz="4" w:space="0"/>
            </w:tcBorders>
            <w:shd w:val="clear" w:color="auto" w:fill="auto"/>
            <w:vAlign w:val="center"/>
          </w:tcPr>
          <w:p w14:paraId="4DEE59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5526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6" w:type="dxa"/>
            <w:tcBorders>
              <w:top w:val="single" w:color="000000" w:sz="4" w:space="0"/>
              <w:bottom w:val="single" w:color="000000" w:sz="4" w:space="0"/>
              <w:right w:val="single" w:color="000000" w:sz="4" w:space="0"/>
            </w:tcBorders>
            <w:shd w:val="clear" w:color="auto" w:fill="auto"/>
            <w:vAlign w:val="center"/>
          </w:tcPr>
          <w:p w14:paraId="74D8A6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AE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外网8口接入交换机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36D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交换容量≥500Gbps, 包转发率≥1</w:t>
            </w:r>
            <w:r>
              <w:rPr>
                <w:rFonts w:hint="eastAsia" w:ascii="仿宋" w:hAnsi="仿宋" w:eastAsia="仿宋" w:cs="仿宋"/>
                <w:color w:val="auto"/>
                <w:sz w:val="24"/>
                <w:szCs w:val="24"/>
                <w:highlight w:val="none"/>
                <w:lang w:val="en-US" w:eastAsia="zh-CN"/>
              </w:rPr>
              <w:t>56</w:t>
            </w:r>
            <w:r>
              <w:rPr>
                <w:rFonts w:hint="eastAsia" w:ascii="仿宋" w:hAnsi="仿宋" w:eastAsia="仿宋" w:cs="仿宋"/>
                <w:color w:val="auto"/>
                <w:sz w:val="24"/>
                <w:szCs w:val="24"/>
                <w:highlight w:val="none"/>
              </w:rPr>
              <w:t>Mpps，配置千兆以太网电口≥8个，千兆光端口≥4个；</w:t>
            </w:r>
          </w:p>
          <w:p w14:paraId="064B85A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支持PIM DM/SM/SSM，支持静态路由、RIP、RIPng、OSPF、OSPFv3</w:t>
            </w:r>
            <w:r>
              <w:rPr>
                <w:rFonts w:hint="eastAsia" w:ascii="仿宋" w:hAnsi="仿宋" w:eastAsia="仿宋" w:cs="仿宋"/>
                <w:color w:val="auto"/>
                <w:sz w:val="24"/>
                <w:szCs w:val="24"/>
                <w:highlight w:val="none"/>
                <w:lang w:eastAsia="zh-CN"/>
              </w:rPr>
              <w:t>；</w:t>
            </w:r>
          </w:p>
          <w:p w14:paraId="708F253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基于 Python 语言的开放可编程系统， IT 管理员可以通过 Python 脚本对交换机进行运维功能的编程，快速实现功能创新，实现智能化运维；</w:t>
            </w:r>
          </w:p>
          <w:p w14:paraId="0AB2EBE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CPU芯片和转发芯片为自研国产，保证安全性及可持续供应性；</w:t>
            </w:r>
          </w:p>
          <w:p w14:paraId="2FAAF48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支持Guest VLAN、Voice VLAN，支持Super/MTJD VLAN等，支持1:1和N:1 VLAN Mapping功能，支持基于MAC/协议/IP子网/策略/端口的VLAN；</w:t>
            </w:r>
          </w:p>
          <w:p w14:paraId="1A06560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MAC表项≥32K、FIBv4表项≥4K，FIBv6表项≥1K；</w:t>
            </w:r>
          </w:p>
          <w:p w14:paraId="2D94E43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支持云管理和本地管理两种模式，可根据需求灵活切换；</w:t>
            </w:r>
          </w:p>
          <w:p w14:paraId="43FDED0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所有端口实现64、128、256、512、1024、1280及1518字节帧下100%线速转发；</w:t>
            </w:r>
          </w:p>
          <w:p w14:paraId="33E78782">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支持sFlow、Telemetry等流量分析功能，方便监控全网网络流量状态</w:t>
            </w:r>
            <w:r>
              <w:rPr>
                <w:rFonts w:hint="eastAsia" w:ascii="仿宋" w:hAnsi="仿宋" w:eastAsia="仿宋" w:cs="仿宋"/>
                <w:color w:val="auto"/>
                <w:sz w:val="24"/>
                <w:szCs w:val="24"/>
                <w:highlight w:val="none"/>
                <w:lang w:eastAsia="zh-CN"/>
              </w:rPr>
              <w:t>；</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45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574" w:type="dxa"/>
            <w:tcBorders>
              <w:top w:val="single" w:color="000000" w:sz="4" w:space="0"/>
              <w:left w:val="single" w:color="000000" w:sz="4" w:space="0"/>
              <w:bottom w:val="single" w:color="000000" w:sz="4" w:space="0"/>
            </w:tcBorders>
            <w:shd w:val="clear" w:color="auto" w:fill="auto"/>
            <w:vAlign w:val="center"/>
          </w:tcPr>
          <w:p w14:paraId="7E7EE2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E87ED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6" w:type="dxa"/>
            <w:tcBorders>
              <w:top w:val="single" w:color="000000" w:sz="4" w:space="0"/>
              <w:bottom w:val="single" w:color="000000" w:sz="4" w:space="0"/>
              <w:right w:val="single" w:color="000000" w:sz="4" w:space="0"/>
            </w:tcBorders>
            <w:shd w:val="clear" w:color="auto" w:fill="auto"/>
            <w:vAlign w:val="center"/>
          </w:tcPr>
          <w:p w14:paraId="1C5BE2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64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外网24口POE接入交换机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FBA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交换容量≥</w:t>
            </w:r>
            <w:r>
              <w:rPr>
                <w:rFonts w:hint="eastAsia" w:ascii="仿宋" w:hAnsi="仿宋" w:eastAsia="仿宋" w:cs="仿宋"/>
                <w:color w:val="auto"/>
                <w:sz w:val="24"/>
                <w:szCs w:val="24"/>
                <w:highlight w:val="none"/>
                <w:lang w:val="en-US" w:eastAsia="zh-CN"/>
              </w:rPr>
              <w:t>432</w:t>
            </w:r>
            <w:r>
              <w:rPr>
                <w:rFonts w:hint="eastAsia" w:ascii="仿宋" w:hAnsi="仿宋" w:eastAsia="仿宋" w:cs="仿宋"/>
                <w:color w:val="auto"/>
                <w:sz w:val="24"/>
                <w:szCs w:val="24"/>
                <w:highlight w:val="none"/>
                <w:lang w:eastAsia="zh-CN"/>
              </w:rPr>
              <w:t>Gbps, 包转发率≥1</w:t>
            </w:r>
            <w:r>
              <w:rPr>
                <w:rFonts w:hint="eastAsia" w:ascii="仿宋" w:hAnsi="仿宋" w:eastAsia="仿宋" w:cs="仿宋"/>
                <w:color w:val="auto"/>
                <w:sz w:val="24"/>
                <w:szCs w:val="24"/>
                <w:highlight w:val="none"/>
                <w:lang w:val="en-US" w:eastAsia="zh-CN"/>
              </w:rPr>
              <w:t>56</w:t>
            </w:r>
            <w:r>
              <w:rPr>
                <w:rFonts w:hint="eastAsia" w:ascii="仿宋" w:hAnsi="仿宋" w:eastAsia="仿宋" w:cs="仿宋"/>
                <w:color w:val="auto"/>
                <w:sz w:val="24"/>
                <w:szCs w:val="24"/>
                <w:highlight w:val="none"/>
                <w:lang w:eastAsia="zh-CN"/>
              </w:rPr>
              <w:t>Mpps，配置千兆以太网POE电口≥24个，千兆光端口≥4个；</w:t>
            </w:r>
          </w:p>
          <w:p w14:paraId="3F8448C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可用POE功率≥400W；</w:t>
            </w:r>
          </w:p>
          <w:p w14:paraId="25D9125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基于 Python 语言的开放可编程系统， IT 管理员可以通过 Python 脚本对交换机进行运维功能的编程，快速实现功能创新，实现智能化运维；</w:t>
            </w:r>
          </w:p>
          <w:p w14:paraId="1376163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设备支持复位按钮（PNP），支持长按按钮使设备恢复默认配置并自动重新启动；</w:t>
            </w:r>
          </w:p>
          <w:p w14:paraId="3C2AB3A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支持维护人员可以在后台点亮后去机房直接找到相对于设备，便于快速定位设备位置；</w:t>
            </w:r>
          </w:p>
          <w:p w14:paraId="5F56E09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支持Guest VLAN、Voice VLAN，支持Super/MTJD VLAN等；</w:t>
            </w:r>
          </w:p>
          <w:p w14:paraId="0353C10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支持云管理和本地管理两种模式，可根据需求灵活切换；</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29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574" w:type="dxa"/>
            <w:tcBorders>
              <w:top w:val="single" w:color="000000" w:sz="4" w:space="0"/>
              <w:left w:val="single" w:color="000000" w:sz="4" w:space="0"/>
              <w:bottom w:val="single" w:color="000000" w:sz="4" w:space="0"/>
            </w:tcBorders>
            <w:shd w:val="clear" w:color="auto" w:fill="auto"/>
            <w:vAlign w:val="center"/>
          </w:tcPr>
          <w:p w14:paraId="04FC95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1E41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30" w:hRule="atLeast"/>
        </w:trPr>
        <w:tc>
          <w:tcPr>
            <w:tcW w:w="566" w:type="dxa"/>
            <w:tcBorders>
              <w:top w:val="single" w:color="000000" w:sz="4" w:space="0"/>
              <w:bottom w:val="single" w:color="000000" w:sz="4" w:space="0"/>
              <w:right w:val="single" w:color="000000" w:sz="4" w:space="0"/>
            </w:tcBorders>
            <w:shd w:val="clear" w:color="auto" w:fill="auto"/>
            <w:vAlign w:val="center"/>
          </w:tcPr>
          <w:p w14:paraId="13C2B7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21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外网8口POE接入交换机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0DF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交换容量≥500Gbps, 包转发率≥</w:t>
            </w:r>
            <w:r>
              <w:rPr>
                <w:rFonts w:hint="eastAsia" w:ascii="仿宋" w:hAnsi="仿宋" w:eastAsia="仿宋" w:cs="仿宋"/>
                <w:color w:val="auto"/>
                <w:sz w:val="24"/>
                <w:szCs w:val="24"/>
                <w:highlight w:val="none"/>
                <w:lang w:val="en-US" w:eastAsia="zh-CN"/>
              </w:rPr>
              <w:t>156</w:t>
            </w:r>
            <w:r>
              <w:rPr>
                <w:rFonts w:hint="eastAsia" w:ascii="仿宋" w:hAnsi="仿宋" w:eastAsia="仿宋" w:cs="仿宋"/>
                <w:color w:val="auto"/>
                <w:sz w:val="24"/>
                <w:szCs w:val="24"/>
                <w:highlight w:val="none"/>
                <w:lang w:eastAsia="zh-CN"/>
              </w:rPr>
              <w:t>Mpps，配置千兆以太网POE电口≥8个，万兆SFP+端口≥4个，可用POE功率≥125W；</w:t>
            </w:r>
          </w:p>
          <w:p w14:paraId="7FDBB52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支持PIM DM/SM/SSM，支持静态路由、RIP、RIPng、OSPF、OSPFv3；</w:t>
            </w:r>
          </w:p>
          <w:p w14:paraId="76E9DDE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CPU芯片和转发芯片为自研国产，保证安全性及可持续供应性；</w:t>
            </w:r>
          </w:p>
          <w:p w14:paraId="31119A7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基于 Python 语言的开放可编程系统， IT 管理员可以通过 Python 脚本对交换机进行运维功能的编程，快速实现功能创新，实现智能化运维；</w:t>
            </w:r>
          </w:p>
          <w:p w14:paraId="64C2D80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支持Guest VLAN、Voice VLAN，支持Super/MTJD VLAN等，支持1:1和N:1 VLAN Mapping功能，支持基于MAC/协议/IP子网/策略/端口的VLAN；</w:t>
            </w:r>
          </w:p>
          <w:p w14:paraId="42F043E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MAC表项≥32K、FIBv4表项≥4K，FIBv6表项≥1K；</w:t>
            </w:r>
          </w:p>
          <w:p w14:paraId="0DA6FB26">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全系无风扇设计，支持端口休眠及端口自动功率调节等节能技术，静音节能；</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19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574" w:type="dxa"/>
            <w:tcBorders>
              <w:top w:val="single" w:color="000000" w:sz="4" w:space="0"/>
              <w:left w:val="single" w:color="000000" w:sz="4" w:space="0"/>
              <w:bottom w:val="single" w:color="000000" w:sz="4" w:space="0"/>
            </w:tcBorders>
            <w:shd w:val="clear" w:color="auto" w:fill="auto"/>
            <w:vAlign w:val="center"/>
          </w:tcPr>
          <w:p w14:paraId="4B47D3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F74E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566" w:type="dxa"/>
            <w:tcBorders>
              <w:top w:val="single" w:color="000000" w:sz="4" w:space="0"/>
              <w:bottom w:val="single" w:color="000000" w:sz="4" w:space="0"/>
              <w:right w:val="single" w:color="000000" w:sz="4" w:space="0"/>
            </w:tcBorders>
            <w:shd w:val="clear" w:color="auto" w:fill="auto"/>
            <w:vAlign w:val="center"/>
          </w:tcPr>
          <w:p w14:paraId="3FEBC0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50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无线AP</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F91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室内吸顶放装式AP，满足802.11be Wi-Fi7标准，支持2.4G和5G同时工作，支持4096QAM调制技术、MLO及MRU技术；</w:t>
            </w:r>
          </w:p>
          <w:p w14:paraId="2D55B37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内置蓝牙和星闪SLE，内置智能天线，整机最高速率3.5Gbps，配置1个1G/2.5G自适应电口；</w:t>
            </w:r>
          </w:p>
          <w:p w14:paraId="44F6B8F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支持蓝牙串口远距无线运维，支持物联网ZIGBEE、RFID等扩展；</w:t>
            </w:r>
          </w:p>
          <w:p w14:paraId="6F1E32E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CPU芯片和WI-FI基带芯片为自研国产，保证安全性及可持续供应性；</w:t>
            </w:r>
          </w:p>
          <w:p w14:paraId="349A4C7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支持本地转发安全模式， 即AP在本地转发时可支持DHCP Snooping,DAI（Dynamic ARP Inmtjdtion）, IPSG（IP Source Guard）功能，以防范DHCP Server私设攻击，ARP仿冒攻击、源IP仿冒攻击</w:t>
            </w:r>
          </w:p>
          <w:p w14:paraId="3964F6B3">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为保证无线覆盖效果，要求支持发射功率≥23dbm；</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90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574" w:type="dxa"/>
            <w:tcBorders>
              <w:top w:val="single" w:color="000000" w:sz="4" w:space="0"/>
              <w:left w:val="single" w:color="000000" w:sz="4" w:space="0"/>
              <w:bottom w:val="single" w:color="000000" w:sz="4" w:space="0"/>
            </w:tcBorders>
            <w:shd w:val="clear" w:color="auto" w:fill="auto"/>
            <w:vAlign w:val="center"/>
          </w:tcPr>
          <w:p w14:paraId="053594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08DA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5" w:hRule="atLeast"/>
        </w:trPr>
        <w:tc>
          <w:tcPr>
            <w:tcW w:w="566" w:type="dxa"/>
            <w:tcBorders>
              <w:top w:val="single" w:color="000000" w:sz="4" w:space="0"/>
              <w:bottom w:val="single" w:color="000000" w:sz="4" w:space="0"/>
              <w:right w:val="single" w:color="000000" w:sz="4" w:space="0"/>
            </w:tcBorders>
            <w:shd w:val="clear" w:color="auto" w:fill="auto"/>
            <w:vAlign w:val="center"/>
          </w:tcPr>
          <w:p w14:paraId="1A47C3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EC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无线AC管理器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F8F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配置10个千兆电口，2个万兆光口，配置标准USB接口；</w:t>
            </w:r>
          </w:p>
          <w:p w14:paraId="1D2809D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支持最大管理AP数量≥512，转发能力≥10Gbps；</w:t>
            </w:r>
          </w:p>
          <w:p w14:paraId="44B0F23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支持基于802.11k 和 802.11v协议的智能漫游，使终端接入到信号质量最好的AP，支持远程抓包和频谱分析，能分析AC/AP/STA/用户的性能；</w:t>
            </w:r>
          </w:p>
          <w:p w14:paraId="6BD7CFD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无线控制器内置应用识别功能，支持对4-7层应用进行可视化管理和控制，内置Web网管界面，提供业务部署、网络状态监控以及智能诊断功能，支持对每个应用限速、阻断流量或提高优先级；</w:t>
            </w:r>
            <w:r>
              <w:rPr>
                <w:rFonts w:hint="eastAsia" w:ascii="仿宋" w:hAnsi="仿宋" w:eastAsia="仿宋" w:cs="仿宋"/>
                <w:color w:val="auto"/>
                <w:sz w:val="24"/>
                <w:szCs w:val="24"/>
                <w:highlight w:val="none"/>
                <w:lang w:eastAsia="zh-CN"/>
              </w:rPr>
              <w:tab/>
            </w:r>
          </w:p>
          <w:p w14:paraId="73D0ADE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支持基于802.11k 和 802.11v协议的智能漫游，使终端接入到信号质量最好的AP，支持远程抓包和频谱分析，能分析AC/AP/STA/用户的性能；</w:t>
            </w:r>
          </w:p>
          <w:p w14:paraId="32D024B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内置6400+种应用且应用识别库可更新，能够优化无线网络上的语音和视频服务质量；</w:t>
            </w:r>
          </w:p>
          <w:p w14:paraId="53E63FB8">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支持URL过滤，允许或禁止用户访问某些网页资源，支持反病毒功能；</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1A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76C6EE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4FFA3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58F3D0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39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无线控制器授权</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AC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配置AP管理授权</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F2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574" w:type="dxa"/>
            <w:tcBorders>
              <w:top w:val="single" w:color="000000" w:sz="4" w:space="0"/>
              <w:left w:val="single" w:color="000000" w:sz="4" w:space="0"/>
              <w:bottom w:val="single" w:color="000000" w:sz="4" w:space="0"/>
            </w:tcBorders>
            <w:shd w:val="clear" w:color="auto" w:fill="auto"/>
            <w:vAlign w:val="center"/>
          </w:tcPr>
          <w:p w14:paraId="0F024F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4B50C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24C53C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29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CA4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万兆单模模块(1310nm,10km,LC)</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93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574" w:type="dxa"/>
            <w:tcBorders>
              <w:top w:val="single" w:color="000000" w:sz="4" w:space="0"/>
              <w:left w:val="single" w:color="000000" w:sz="4" w:space="0"/>
              <w:bottom w:val="single" w:color="000000" w:sz="4" w:space="0"/>
            </w:tcBorders>
            <w:shd w:val="clear" w:color="auto" w:fill="auto"/>
            <w:vAlign w:val="center"/>
          </w:tcPr>
          <w:p w14:paraId="1992F2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D3BB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72A5246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5.3政务网</w:t>
            </w:r>
          </w:p>
        </w:tc>
      </w:tr>
      <w:tr w14:paraId="4957D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3" w:hRule="atLeast"/>
        </w:trPr>
        <w:tc>
          <w:tcPr>
            <w:tcW w:w="566" w:type="dxa"/>
            <w:tcBorders>
              <w:top w:val="single" w:color="000000" w:sz="4" w:space="0"/>
              <w:bottom w:val="single" w:color="000000" w:sz="4" w:space="0"/>
              <w:right w:val="single" w:color="000000" w:sz="4" w:space="0"/>
            </w:tcBorders>
            <w:shd w:val="clear" w:color="auto" w:fill="auto"/>
            <w:vAlign w:val="center"/>
          </w:tcPr>
          <w:p w14:paraId="3C3693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BF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政务网核心交换机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37C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交换容量≥</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eastAsia="zh-CN"/>
              </w:rPr>
              <w:t>Tbps（官网X/Y双值以X为准）, 包转发率≥2880Mpps（官网X/Y双值以X为准），配置千兆光口≥24个，10G光口≥4个；配置4个千兆光转电模块；</w:t>
            </w:r>
          </w:p>
          <w:p w14:paraId="4C2DE51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为了提高设备可靠性，支持可插拔的双电源，为了提高设备散热的可靠性，支持模块化可插拔双风扇和前后风道；</w:t>
            </w:r>
          </w:p>
          <w:p w14:paraId="168E136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MAC表项≥64K、ARP表项≥12K、OSPF/BGP/ISIS/VPN 路由表项≥20K、ACL规则容量入方向≥3000条，MTJD，出方向≥500条；</w:t>
            </w:r>
          </w:p>
          <w:p w14:paraId="69439DE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配置一个标准USB接口，设备支持复位按钮（PNP），支持长按按钮使设备恢复默认配置并自动重新启动；</w:t>
            </w:r>
          </w:p>
          <w:p w14:paraId="31E5764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支持维护人员可以在后台点亮后去机房直接找到相对于设备，便于快速定位设备位置；</w:t>
            </w:r>
          </w:p>
          <w:p w14:paraId="73D4DAC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支持安全启动，通过安全CPU、eFuse等安全措施，从可信硬件锚开始，启动过程中的每一步进行验证，确保每一阶段运行程序是可信的；</w:t>
            </w:r>
          </w:p>
          <w:p w14:paraId="52E88DC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支持本地管理和云盒两种方式，可以通过云管理平台对交换机进行云端配置、监控、巡检等，减少部署和运维的投入，降低网络的OPEX；</w:t>
            </w:r>
          </w:p>
          <w:p w14:paraId="147CAA5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 xml:space="preserve">GE/10GE/40GE时延≤5微秒，缓存≥6MB，ARP表≥140K，IPV6路由表≥80K； </w:t>
            </w:r>
          </w:p>
          <w:p w14:paraId="319A023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所有端口实现64、128、256、1024、1280及1518字节帧下100%线速转发；</w:t>
            </w:r>
          </w:p>
          <w:p w14:paraId="48233F18">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支持加密通信分析，内置加密通信分析探针，配合大数据安全分析系统，识别恶意流量；</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128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174437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70463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566" w:type="dxa"/>
            <w:tcBorders>
              <w:top w:val="single" w:color="000000" w:sz="4" w:space="0"/>
              <w:bottom w:val="single" w:color="000000" w:sz="4" w:space="0"/>
              <w:right w:val="single" w:color="000000" w:sz="4" w:space="0"/>
            </w:tcBorders>
            <w:shd w:val="clear" w:color="auto" w:fill="auto"/>
            <w:vAlign w:val="center"/>
          </w:tcPr>
          <w:p w14:paraId="71B6F1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0E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59C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交换容量≥</w:t>
            </w:r>
            <w:r>
              <w:rPr>
                <w:rFonts w:hint="eastAsia" w:ascii="仿宋" w:hAnsi="仿宋" w:eastAsia="仿宋" w:cs="仿宋"/>
                <w:color w:val="auto"/>
                <w:sz w:val="24"/>
                <w:szCs w:val="24"/>
                <w:highlight w:val="none"/>
                <w:lang w:val="en-US" w:eastAsia="zh-CN"/>
              </w:rPr>
              <w:t>432</w:t>
            </w:r>
            <w:r>
              <w:rPr>
                <w:rFonts w:hint="eastAsia" w:ascii="仿宋" w:hAnsi="仿宋" w:eastAsia="仿宋" w:cs="仿宋"/>
                <w:color w:val="auto"/>
                <w:sz w:val="24"/>
                <w:szCs w:val="24"/>
                <w:highlight w:val="none"/>
              </w:rPr>
              <w:t>Gbps, 包转发率≥</w:t>
            </w:r>
            <w:r>
              <w:rPr>
                <w:rFonts w:hint="eastAsia" w:ascii="仿宋" w:hAnsi="仿宋" w:eastAsia="仿宋" w:cs="仿宋"/>
                <w:color w:val="auto"/>
                <w:sz w:val="24"/>
                <w:szCs w:val="24"/>
                <w:highlight w:val="none"/>
                <w:lang w:val="en-US" w:eastAsia="zh-CN"/>
              </w:rPr>
              <w:t>156</w:t>
            </w:r>
            <w:r>
              <w:rPr>
                <w:rFonts w:hint="eastAsia" w:ascii="仿宋" w:hAnsi="仿宋" w:eastAsia="仿宋" w:cs="仿宋"/>
                <w:color w:val="auto"/>
                <w:sz w:val="24"/>
                <w:szCs w:val="24"/>
                <w:highlight w:val="none"/>
              </w:rPr>
              <w:t>Mpps，配置千兆以太网电口≥24个，千兆光端口≥4个；</w:t>
            </w:r>
          </w:p>
          <w:p w14:paraId="786EA47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基于 Python 语言的开放可编程系统， IT 管理员可以通过 Python 脚本对交换机进行运维功能的编程，快速实现功能创新，实现智能化运维；</w:t>
            </w:r>
          </w:p>
          <w:p w14:paraId="42821B7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设备支持复位按钮（PNP），支持长按按钮使设备恢复默认配置并自动重新启动；</w:t>
            </w:r>
          </w:p>
          <w:p w14:paraId="13DCD9B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支持SmartLink收敛时间和恢复时间都≤6ms，ERPS环网协议收敛时间≤0.5ms，支持实时时钟功能；</w:t>
            </w:r>
          </w:p>
          <w:p w14:paraId="25F94AD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支持Guest VLAN、Voice VLAN，支持Super/MTJD VLAN等；</w:t>
            </w:r>
          </w:p>
          <w:p w14:paraId="5D045EC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支持云管理和本地管理两种模式，可根据需求灵活切换；</w:t>
            </w:r>
          </w:p>
          <w:p w14:paraId="3731E5E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7. 支持IPV4组播规格≥1000条，MAC地址≥16K，FIB表项≥4K， 端口缓存≥1000KB；</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83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62EEA0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AFC7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50" w:hRule="atLeast"/>
        </w:trPr>
        <w:tc>
          <w:tcPr>
            <w:tcW w:w="566" w:type="dxa"/>
            <w:tcBorders>
              <w:top w:val="single" w:color="000000" w:sz="4" w:space="0"/>
              <w:bottom w:val="single" w:color="000000" w:sz="4" w:space="0"/>
              <w:right w:val="single" w:color="000000" w:sz="4" w:space="0"/>
            </w:tcBorders>
            <w:shd w:val="clear" w:color="auto" w:fill="auto"/>
            <w:vAlign w:val="center"/>
          </w:tcPr>
          <w:p w14:paraId="7AED98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C7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8口接入交换机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261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交换容量≥500Gbps, 包转发率≥</w:t>
            </w:r>
            <w:r>
              <w:rPr>
                <w:rFonts w:hint="eastAsia" w:ascii="仿宋" w:hAnsi="仿宋" w:eastAsia="仿宋" w:cs="仿宋"/>
                <w:color w:val="auto"/>
                <w:sz w:val="24"/>
                <w:szCs w:val="24"/>
                <w:highlight w:val="none"/>
                <w:lang w:val="en-US" w:eastAsia="zh-CN"/>
              </w:rPr>
              <w:t>156</w:t>
            </w:r>
            <w:r>
              <w:rPr>
                <w:rFonts w:hint="eastAsia" w:ascii="仿宋" w:hAnsi="仿宋" w:eastAsia="仿宋" w:cs="仿宋"/>
                <w:color w:val="auto"/>
                <w:sz w:val="24"/>
                <w:szCs w:val="24"/>
                <w:highlight w:val="none"/>
              </w:rPr>
              <w:t>Mpps，配置千兆以太网电口≥8个，千兆光端口≥4个；</w:t>
            </w:r>
          </w:p>
          <w:p w14:paraId="30322E6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支持PIM DM/SM/SSM，支持静态路由、RIP、RIPng、OSPF、OSPFv3</w:t>
            </w:r>
            <w:r>
              <w:rPr>
                <w:rFonts w:hint="eastAsia" w:ascii="仿宋" w:hAnsi="仿宋" w:eastAsia="仿宋" w:cs="仿宋"/>
                <w:color w:val="auto"/>
                <w:sz w:val="24"/>
                <w:szCs w:val="24"/>
                <w:highlight w:val="none"/>
                <w:lang w:eastAsia="zh-CN"/>
              </w:rPr>
              <w:t>；</w:t>
            </w:r>
          </w:p>
          <w:p w14:paraId="19CF331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基于 Python 语言的开放可编程系统， IT 管理员可以通过 Python 脚本对交换机进行运维功能的编程，快速实现功能创新，实现智能化运维；</w:t>
            </w:r>
          </w:p>
          <w:p w14:paraId="151EA49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CPU芯片和转发芯片为自研国产，保证安全性及可持续供应性；</w:t>
            </w:r>
          </w:p>
          <w:p w14:paraId="640204B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支持Guest VLAN、Voice VLAN，支持Super/MTJD VLAN等，支持1:1和N:1 VLAN Mapping功能，支持基于MAC/协议/IP子网/策略/端口的VLAN；</w:t>
            </w:r>
          </w:p>
          <w:p w14:paraId="6A39689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MAC表项≥32K、FIBv4表项≥4K，FIBv6表项≥1K；</w:t>
            </w:r>
          </w:p>
          <w:p w14:paraId="2DA3172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支持云管理和本地管理两种模式，可根据需求灵活切换；</w:t>
            </w:r>
          </w:p>
          <w:p w14:paraId="018A7D0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所有端口实现64、128、256、512、1024、1280及1518字节帧下100%线速转发；</w:t>
            </w:r>
          </w:p>
          <w:p w14:paraId="4BB4F4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支持sFlow、Telemetry等流量分析功能，方便监控全网网络流量状态</w:t>
            </w:r>
            <w:r>
              <w:rPr>
                <w:rFonts w:hint="eastAsia" w:ascii="仿宋" w:hAnsi="仿宋" w:eastAsia="仿宋" w:cs="仿宋"/>
                <w:color w:val="auto"/>
                <w:sz w:val="24"/>
                <w:szCs w:val="24"/>
                <w:highlight w:val="none"/>
                <w:lang w:eastAsia="zh-CN"/>
              </w:rPr>
              <w:t>；</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33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1406C2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r>
      <w:tr w14:paraId="2BBF5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7A9EEB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D1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45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万兆单模模块(1310nm,10km,LC)</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AC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vAlign w:val="center"/>
          </w:tcPr>
          <w:p w14:paraId="302166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C7109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15DD8FB5">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5.4设备局域网 </w:t>
            </w:r>
          </w:p>
        </w:tc>
      </w:tr>
      <w:tr w14:paraId="465202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66" w:type="dxa"/>
            <w:tcBorders>
              <w:top w:val="single" w:color="000000" w:sz="4" w:space="0"/>
              <w:bottom w:val="single" w:color="000000" w:sz="4" w:space="0"/>
              <w:right w:val="single" w:color="000000" w:sz="4" w:space="0"/>
            </w:tcBorders>
            <w:shd w:val="clear" w:color="auto" w:fill="auto"/>
            <w:vAlign w:val="center"/>
          </w:tcPr>
          <w:p w14:paraId="03620E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34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设备网核心交换机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585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交换容量≥</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eastAsia="zh-CN"/>
              </w:rPr>
              <w:t>Tbps（官网X/Y双值以X为准）, 包转发率≥</w:t>
            </w:r>
            <w:r>
              <w:rPr>
                <w:rFonts w:hint="eastAsia" w:ascii="仿宋" w:hAnsi="仿宋" w:eastAsia="仿宋" w:cs="仿宋"/>
                <w:color w:val="auto"/>
                <w:sz w:val="24"/>
                <w:szCs w:val="24"/>
                <w:highlight w:val="none"/>
                <w:lang w:val="en-US" w:eastAsia="zh-CN"/>
              </w:rPr>
              <w:t>2880</w:t>
            </w:r>
            <w:r>
              <w:rPr>
                <w:rFonts w:hint="eastAsia" w:ascii="仿宋" w:hAnsi="仿宋" w:eastAsia="仿宋" w:cs="仿宋"/>
                <w:color w:val="auto"/>
                <w:sz w:val="24"/>
                <w:szCs w:val="24"/>
                <w:highlight w:val="none"/>
                <w:lang w:eastAsia="zh-CN"/>
              </w:rPr>
              <w:t>Mpps（官网X/Y双值以X为准），配置千兆光口≥24个，10G光口≥4个；配置4个千兆光转电模块；</w:t>
            </w:r>
          </w:p>
          <w:p w14:paraId="3154B1B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为了提高设备可靠性，支持可插拔的双电源，为了提高设备散热的可靠性，支持模块化可插拔双风扇和前后风道；</w:t>
            </w:r>
          </w:p>
          <w:p w14:paraId="41EF7D4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MAC表项≥64K、ARP表项≥12K、OSPF/BGP/ISIS/VPN 路由表项≥20K、ACL规则容量入方向≥3000条，MTJD，出方向≥500条；</w:t>
            </w:r>
          </w:p>
          <w:p w14:paraId="0EC3954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配置一个标准USB接口，设备支持复位按钮（PNP），支持长按按钮使设备恢复默认配置并自动重新启动；</w:t>
            </w:r>
          </w:p>
          <w:p w14:paraId="3F182EA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支持维护人员可以在后台点亮后去机房直接找到相对于设备，便于快速定位设备位置；</w:t>
            </w:r>
          </w:p>
          <w:p w14:paraId="18D3683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支持安全启动，通过安全CPU、eFuse等安全措施，从可信硬件锚开始，启动过程中的每一步进行验证，确保每一阶段运行程序是可信的；</w:t>
            </w:r>
          </w:p>
          <w:p w14:paraId="2898B62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支持本地管理和云盒两种方式，可以通过云管理平台对交换机进行云端配置、监控、巡检等，减少部署和运维的投入，降低网络的OPEX；</w:t>
            </w:r>
          </w:p>
          <w:p w14:paraId="064D3CC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 xml:space="preserve">GE/10GE/40GE时延≤5微秒，缓存≥6MB，ARP表≥140K，IPV6路由表≥80K； </w:t>
            </w:r>
          </w:p>
          <w:p w14:paraId="7665750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所有端口实现64、128、256、1024、1280及1518字节帧下100%线速转发；</w:t>
            </w:r>
          </w:p>
          <w:p w14:paraId="607BD85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支持加密通信分析，内置加密通信分析探针，配合大数据安全分析系统，识别恶意流量；</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6C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46A1FF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8469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566" w:type="dxa"/>
            <w:tcBorders>
              <w:top w:val="single" w:color="000000" w:sz="4" w:space="0"/>
              <w:bottom w:val="single" w:color="000000" w:sz="4" w:space="0"/>
              <w:right w:val="single" w:color="000000" w:sz="4" w:space="0"/>
            </w:tcBorders>
            <w:shd w:val="clear" w:color="auto" w:fill="auto"/>
            <w:vAlign w:val="center"/>
          </w:tcPr>
          <w:p w14:paraId="6DBC34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B0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设备网24口接入交换机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DA0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交换容量≥</w:t>
            </w:r>
            <w:r>
              <w:rPr>
                <w:rFonts w:hint="eastAsia" w:ascii="仿宋" w:hAnsi="仿宋" w:eastAsia="仿宋" w:cs="仿宋"/>
                <w:color w:val="auto"/>
                <w:sz w:val="24"/>
                <w:szCs w:val="24"/>
                <w:highlight w:val="none"/>
                <w:lang w:val="en-US" w:eastAsia="zh-CN"/>
              </w:rPr>
              <w:t>432</w:t>
            </w:r>
            <w:r>
              <w:rPr>
                <w:rFonts w:hint="eastAsia" w:ascii="仿宋" w:hAnsi="仿宋" w:eastAsia="仿宋" w:cs="仿宋"/>
                <w:color w:val="auto"/>
                <w:sz w:val="24"/>
                <w:szCs w:val="24"/>
                <w:highlight w:val="none"/>
              </w:rPr>
              <w:t>Gbps, 包转发率≥</w:t>
            </w:r>
            <w:r>
              <w:rPr>
                <w:rFonts w:hint="eastAsia" w:ascii="仿宋" w:hAnsi="仿宋" w:eastAsia="仿宋" w:cs="仿宋"/>
                <w:color w:val="auto"/>
                <w:sz w:val="24"/>
                <w:szCs w:val="24"/>
                <w:highlight w:val="none"/>
                <w:lang w:val="en-US" w:eastAsia="zh-CN"/>
              </w:rPr>
              <w:t>156</w:t>
            </w:r>
            <w:r>
              <w:rPr>
                <w:rFonts w:hint="eastAsia" w:ascii="仿宋" w:hAnsi="仿宋" w:eastAsia="仿宋" w:cs="仿宋"/>
                <w:color w:val="auto"/>
                <w:sz w:val="24"/>
                <w:szCs w:val="24"/>
                <w:highlight w:val="none"/>
              </w:rPr>
              <w:t>Mpps，配置千兆以太网电口≥24个，千兆光端口≥4个；</w:t>
            </w:r>
          </w:p>
          <w:p w14:paraId="5F158ED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基于 Python 语言的开放可编程系统， IT 管理员可以通过 Python 脚本对交换机进行运维功能的编程，快速实现功能创新，实现智能化运维；</w:t>
            </w:r>
          </w:p>
          <w:p w14:paraId="478DE96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设备支持复位按钮（PNP），支持长按按钮使设备恢复默认配置并自动重新启动；</w:t>
            </w:r>
          </w:p>
          <w:p w14:paraId="77CB0D7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支持SmartLink收敛时间和恢复时间都≤6ms，ERPS环网协议收敛时间≤0.5ms，支持实时5. 支持Guest VLAN、Voice VLAN，支持Super/MTJD VLAN等；</w:t>
            </w:r>
          </w:p>
          <w:p w14:paraId="4BC8F6F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支持云管理和本地管理两种模式，可根据需求灵活切换；</w:t>
            </w:r>
          </w:p>
          <w:p w14:paraId="68C761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rPr>
              <w:t>7. 支持IPV4组播规格≥1000条，MAC地址≥16K，FIB表项≥4K， 端口缓存≥1000KB；</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85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574" w:type="dxa"/>
            <w:tcBorders>
              <w:top w:val="single" w:color="000000" w:sz="4" w:space="0"/>
              <w:left w:val="single" w:color="000000" w:sz="4" w:space="0"/>
              <w:bottom w:val="single" w:color="000000" w:sz="4" w:space="0"/>
            </w:tcBorders>
            <w:shd w:val="clear" w:color="auto" w:fill="auto"/>
            <w:vAlign w:val="center"/>
          </w:tcPr>
          <w:p w14:paraId="15D7AF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429C7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566" w:type="dxa"/>
            <w:tcBorders>
              <w:top w:val="single" w:color="000000" w:sz="4" w:space="0"/>
              <w:bottom w:val="single" w:color="000000" w:sz="4" w:space="0"/>
              <w:right w:val="single" w:color="000000" w:sz="4" w:space="0"/>
            </w:tcBorders>
            <w:shd w:val="clear" w:color="auto" w:fill="auto"/>
            <w:vAlign w:val="center"/>
          </w:tcPr>
          <w:p w14:paraId="35756A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CF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8口POE接入交换机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C21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交换容量≥500Gbps, 包转发率≥</w:t>
            </w:r>
            <w:r>
              <w:rPr>
                <w:rFonts w:hint="eastAsia" w:ascii="仿宋" w:hAnsi="仿宋" w:eastAsia="仿宋" w:cs="仿宋"/>
                <w:color w:val="auto"/>
                <w:sz w:val="24"/>
                <w:szCs w:val="24"/>
                <w:highlight w:val="none"/>
                <w:lang w:val="en-US" w:eastAsia="zh-CN"/>
              </w:rPr>
              <w:t>156</w:t>
            </w:r>
            <w:r>
              <w:rPr>
                <w:rFonts w:hint="eastAsia" w:ascii="仿宋" w:hAnsi="仿宋" w:eastAsia="仿宋" w:cs="仿宋"/>
                <w:color w:val="auto"/>
                <w:sz w:val="24"/>
                <w:szCs w:val="24"/>
                <w:highlight w:val="none"/>
                <w:lang w:eastAsia="zh-CN"/>
              </w:rPr>
              <w:t>Mpps，配置千兆以太网POE电口≥8个，万兆SFP+端口≥4个，可用POE功率≥125W；</w:t>
            </w:r>
          </w:p>
          <w:p w14:paraId="7DC4E97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支持PIM DM/SM/SSM，支持静态路由、RIP、RIPng、OSPF、OSPFv3；</w:t>
            </w:r>
          </w:p>
          <w:p w14:paraId="527658A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CPU芯片和转发芯片为自研国产，保证安全性及可持续供应性；</w:t>
            </w:r>
          </w:p>
          <w:p w14:paraId="1AD6E5C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基于 Python 语言的开放可编程系统， IT 管理员可以通过 Python 脚本对交换机进行运维功能的编程，快速实现功能创新，实现智能化运维；</w:t>
            </w:r>
          </w:p>
          <w:p w14:paraId="5F423E4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支持Guest VLAN、Voice VLAN，支持Super/MTJD VLAN等，支持1:1和N:1 VLAN Mapping功能，支持基于MAC/协议/IP子网/策略/端口的VLAN；</w:t>
            </w:r>
          </w:p>
          <w:p w14:paraId="5CE9892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MAC表项≥32K、FIBv4表项≥4K，FIBv6表项≥1K；</w:t>
            </w:r>
          </w:p>
          <w:p w14:paraId="5F1499F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全系无风扇设计，支持端口休眠及端口自动功率调节等节能技术，静音节能；</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52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vAlign w:val="center"/>
          </w:tcPr>
          <w:p w14:paraId="153633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73989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66" w:type="dxa"/>
            <w:tcBorders>
              <w:top w:val="single" w:color="000000" w:sz="4" w:space="0"/>
              <w:bottom w:val="single" w:color="000000" w:sz="4" w:space="0"/>
              <w:right w:val="single" w:color="000000" w:sz="4" w:space="0"/>
            </w:tcBorders>
            <w:shd w:val="clear" w:color="auto" w:fill="auto"/>
            <w:vAlign w:val="center"/>
          </w:tcPr>
          <w:p w14:paraId="2EFA01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D7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24口POE接入交换机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50C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交换容量≥</w:t>
            </w:r>
            <w:r>
              <w:rPr>
                <w:rFonts w:hint="eastAsia" w:ascii="仿宋" w:hAnsi="仿宋" w:eastAsia="仿宋" w:cs="仿宋"/>
                <w:color w:val="auto"/>
                <w:sz w:val="24"/>
                <w:szCs w:val="24"/>
                <w:highlight w:val="none"/>
                <w:lang w:val="en-US" w:eastAsia="zh-CN"/>
              </w:rPr>
              <w:t>432</w:t>
            </w:r>
            <w:r>
              <w:rPr>
                <w:rFonts w:hint="eastAsia" w:ascii="仿宋" w:hAnsi="仿宋" w:eastAsia="仿宋" w:cs="仿宋"/>
                <w:color w:val="auto"/>
                <w:sz w:val="24"/>
                <w:szCs w:val="24"/>
                <w:highlight w:val="none"/>
                <w:lang w:eastAsia="zh-CN"/>
              </w:rPr>
              <w:t>Gbps, 包转发率≥</w:t>
            </w:r>
            <w:r>
              <w:rPr>
                <w:rFonts w:hint="eastAsia" w:ascii="仿宋" w:hAnsi="仿宋" w:eastAsia="仿宋" w:cs="仿宋"/>
                <w:color w:val="auto"/>
                <w:sz w:val="24"/>
                <w:szCs w:val="24"/>
                <w:highlight w:val="none"/>
                <w:lang w:val="en-US" w:eastAsia="zh-CN"/>
              </w:rPr>
              <w:t>156</w:t>
            </w:r>
            <w:r>
              <w:rPr>
                <w:rFonts w:hint="eastAsia" w:ascii="仿宋" w:hAnsi="仿宋" w:eastAsia="仿宋" w:cs="仿宋"/>
                <w:color w:val="auto"/>
                <w:sz w:val="24"/>
                <w:szCs w:val="24"/>
                <w:highlight w:val="none"/>
                <w:lang w:eastAsia="zh-CN"/>
              </w:rPr>
              <w:t>Mpps，配置千兆以太网POE电口≥24个，千兆光端口≥4个；</w:t>
            </w:r>
          </w:p>
          <w:p w14:paraId="40FE34A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可用POE功率≥400W；</w:t>
            </w:r>
          </w:p>
          <w:p w14:paraId="0EBF307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基于 Python 语言的开放可编程系统， IT 管理员可以通过 Python 脚本对交换机进行运维功能的编程，快速实现功能创新，实现智能化运维；</w:t>
            </w:r>
          </w:p>
          <w:p w14:paraId="0EDB079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设备支持复位按钮（PNP），支持长按按钮使设备恢复默认配置并自动重新启动；</w:t>
            </w:r>
          </w:p>
          <w:p w14:paraId="2219D46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支持维护人员可以在后台点亮后去机房直接找到相对于设备，便于快速定位设备位置；</w:t>
            </w:r>
          </w:p>
          <w:p w14:paraId="6177532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支持Guest VLAN、Voice VLAN，支持Super/MTJD VLAN等；</w:t>
            </w:r>
          </w:p>
          <w:p w14:paraId="349BCA56">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支持云管理和本地管理两种模式，可根据需求灵活切换；</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59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12</w:t>
            </w:r>
          </w:p>
        </w:tc>
        <w:tc>
          <w:tcPr>
            <w:tcW w:w="574" w:type="dxa"/>
            <w:tcBorders>
              <w:top w:val="single" w:color="000000" w:sz="4" w:space="0"/>
              <w:left w:val="single" w:color="000000" w:sz="4" w:space="0"/>
              <w:bottom w:val="single" w:color="000000" w:sz="4" w:space="0"/>
            </w:tcBorders>
            <w:shd w:val="clear" w:color="auto" w:fill="auto"/>
            <w:vAlign w:val="center"/>
          </w:tcPr>
          <w:p w14:paraId="6FCDA4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9E4BF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3C2D36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6B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FB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万兆单模模块(1310nm,10km,LC)</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FF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574" w:type="dxa"/>
            <w:tcBorders>
              <w:top w:val="single" w:color="000000" w:sz="4" w:space="0"/>
              <w:left w:val="single" w:color="000000" w:sz="4" w:space="0"/>
              <w:bottom w:val="single" w:color="000000" w:sz="4" w:space="0"/>
            </w:tcBorders>
            <w:shd w:val="clear" w:color="auto" w:fill="auto"/>
            <w:vAlign w:val="center"/>
          </w:tcPr>
          <w:p w14:paraId="5CE953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4A2CF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852" w:type="dxa"/>
            <w:gridSpan w:val="5"/>
            <w:tcBorders>
              <w:top w:val="single" w:color="000000" w:sz="4" w:space="0"/>
              <w:bottom w:val="single" w:color="000000" w:sz="4" w:space="0"/>
            </w:tcBorders>
            <w:shd w:val="clear" w:color="auto" w:fill="auto"/>
            <w:noWrap/>
            <w:vAlign w:val="center"/>
          </w:tcPr>
          <w:p w14:paraId="7AAF26C8">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6.有线电视系统（IPTV）</w:t>
            </w:r>
          </w:p>
        </w:tc>
      </w:tr>
      <w:tr w14:paraId="7E2077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4BCED3D5">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6.1有线电视</w:t>
            </w:r>
          </w:p>
        </w:tc>
      </w:tr>
      <w:tr w14:paraId="56AAF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66" w:type="dxa"/>
            <w:tcBorders>
              <w:top w:val="single" w:color="000000" w:sz="4" w:space="0"/>
              <w:bottom w:val="single" w:color="000000" w:sz="4" w:space="0"/>
              <w:right w:val="single" w:color="000000" w:sz="4" w:space="0"/>
            </w:tcBorders>
            <w:shd w:val="clear" w:color="auto" w:fill="auto"/>
            <w:vAlign w:val="center"/>
          </w:tcPr>
          <w:p w14:paraId="504506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9A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单口面板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F0A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单口面板，与86型底盒配套使用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带有防尘盖，防止灰尘侵入接口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带有标识条或应用标识，方便编号管理和维护使用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组合式结构，前后双层面板设计，外形美观，避免固定螺丝孔外露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材料：ABS</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8B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574" w:type="dxa"/>
            <w:tcBorders>
              <w:top w:val="single" w:color="000000" w:sz="4" w:space="0"/>
              <w:left w:val="single" w:color="000000" w:sz="4" w:space="0"/>
              <w:bottom w:val="single" w:color="000000" w:sz="4" w:space="0"/>
            </w:tcBorders>
            <w:shd w:val="clear" w:color="auto" w:fill="auto"/>
            <w:noWrap/>
            <w:vAlign w:val="center"/>
          </w:tcPr>
          <w:p w14:paraId="0BC951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r>
      <w:tr w14:paraId="6FCD84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206D69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22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有线电视模块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39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有线电视模块</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C9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574" w:type="dxa"/>
            <w:tcBorders>
              <w:top w:val="single" w:color="000000" w:sz="4" w:space="0"/>
              <w:left w:val="single" w:color="000000" w:sz="4" w:space="0"/>
              <w:bottom w:val="single" w:color="000000" w:sz="4" w:space="0"/>
            </w:tcBorders>
            <w:shd w:val="clear" w:color="auto" w:fill="auto"/>
            <w:noWrap/>
            <w:vAlign w:val="center"/>
          </w:tcPr>
          <w:p w14:paraId="189210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34FFA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12652E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7B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有线电视线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EF5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SYWV-75-5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10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w:t>
            </w:r>
          </w:p>
        </w:tc>
        <w:tc>
          <w:tcPr>
            <w:tcW w:w="574" w:type="dxa"/>
            <w:tcBorders>
              <w:top w:val="single" w:color="000000" w:sz="4" w:space="0"/>
              <w:left w:val="single" w:color="000000" w:sz="4" w:space="0"/>
              <w:bottom w:val="single" w:color="000000" w:sz="4" w:space="0"/>
            </w:tcBorders>
            <w:shd w:val="clear" w:color="auto" w:fill="auto"/>
            <w:noWrap/>
            <w:vAlign w:val="center"/>
          </w:tcPr>
          <w:p w14:paraId="6ED7A2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7588F4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716112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05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有线电视线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40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SYWV-75-7</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A3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w:t>
            </w:r>
          </w:p>
        </w:tc>
        <w:tc>
          <w:tcPr>
            <w:tcW w:w="574" w:type="dxa"/>
            <w:tcBorders>
              <w:top w:val="single" w:color="000000" w:sz="4" w:space="0"/>
              <w:left w:val="single" w:color="000000" w:sz="4" w:space="0"/>
              <w:bottom w:val="single" w:color="000000" w:sz="4" w:space="0"/>
            </w:tcBorders>
            <w:shd w:val="clear" w:color="auto" w:fill="auto"/>
            <w:noWrap/>
            <w:vAlign w:val="center"/>
          </w:tcPr>
          <w:p w14:paraId="14A5C0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77378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566" w:type="dxa"/>
            <w:tcBorders>
              <w:top w:val="single" w:color="000000" w:sz="4" w:space="0"/>
              <w:bottom w:val="single" w:color="000000" w:sz="4" w:space="0"/>
              <w:right w:val="single" w:color="000000" w:sz="4" w:space="0"/>
            </w:tcBorders>
            <w:shd w:val="clear" w:color="auto" w:fill="auto"/>
            <w:vAlign w:val="center"/>
          </w:tcPr>
          <w:p w14:paraId="5AFE59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4B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24口光纤配线架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9B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采用模块组安装方式，模块组支持向前翻转打线，背后自带线缆端接管理器，前端自带理线环，2U支持24端口，防火等级：UL等级 94V-0，工作温度：-14°F到 140°F (-10℃到 60℃)，存储温度：-40°F到 158°F (-40℃到 70℃)，插拔次数：大于 750 次，标准：TIA/ EIA Cat6, ISO Class E，安装方式：支持19英寸机柜式安装，最小绝缘阻抗：500 兆欧，额定电流：1.5A (20°C )，最小直流稳定电压：1,000 VAC RMS (60Hz 接点到接点)，1,500 VAC RMS (60Hz 表面传导)</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53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424E43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F7D5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7E8587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F4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有源分配器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78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有源8功分器 </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6F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noWrap/>
            <w:vAlign w:val="center"/>
          </w:tcPr>
          <w:p w14:paraId="7E23E0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2CEA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187E48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AE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干线放大器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00B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860M高增益放大器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00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574" w:type="dxa"/>
            <w:tcBorders>
              <w:top w:val="single" w:color="000000" w:sz="4" w:space="0"/>
              <w:left w:val="single" w:color="000000" w:sz="4" w:space="0"/>
              <w:bottom w:val="single" w:color="000000" w:sz="4" w:space="0"/>
            </w:tcBorders>
            <w:shd w:val="clear" w:color="auto" w:fill="auto"/>
            <w:noWrap/>
            <w:vAlign w:val="center"/>
          </w:tcPr>
          <w:p w14:paraId="5D8165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6B951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178799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82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楼栋放大器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54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860M高增益放大器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F7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31FEF1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497A39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5261E7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70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有线设备箱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4E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含端子及辅料</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F6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6E0859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45BD3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251E9FE8">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6.2 IPTV</w:t>
            </w:r>
          </w:p>
        </w:tc>
      </w:tr>
      <w:tr w14:paraId="72BFA3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vAlign w:val="center"/>
          </w:tcPr>
          <w:p w14:paraId="25DF5C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AFB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EE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53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574" w:type="dxa"/>
            <w:tcBorders>
              <w:top w:val="single" w:color="000000" w:sz="4" w:space="0"/>
              <w:left w:val="single" w:color="000000" w:sz="4" w:space="0"/>
              <w:bottom w:val="single" w:color="000000" w:sz="4" w:space="0"/>
            </w:tcBorders>
            <w:shd w:val="clear" w:color="auto" w:fill="auto"/>
            <w:noWrap/>
            <w:vAlign w:val="center"/>
          </w:tcPr>
          <w:p w14:paraId="261ACB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6B62FE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2AF309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7D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24口接入交换机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A7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24口千兆接入交换机</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87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1AE3ED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7E8B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vAlign w:val="center"/>
          </w:tcPr>
          <w:p w14:paraId="091799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81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千兆光模块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FE5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千兆光模块</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8C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2413EE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r>
      <w:tr w14:paraId="37C68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852" w:type="dxa"/>
            <w:gridSpan w:val="5"/>
            <w:tcBorders>
              <w:top w:val="single" w:color="000000" w:sz="4" w:space="0"/>
              <w:bottom w:val="single" w:color="000000" w:sz="4" w:space="0"/>
            </w:tcBorders>
            <w:shd w:val="clear" w:color="auto" w:fill="auto"/>
            <w:noWrap/>
            <w:vAlign w:val="center"/>
          </w:tcPr>
          <w:p w14:paraId="18669FB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7.信息引导及发布系统</w:t>
            </w:r>
          </w:p>
        </w:tc>
      </w:tr>
      <w:tr w14:paraId="24A948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19DD2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AB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信息发布主控端软件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2DF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1.采用B/S架构设计，支持对用户权限、发布内容、播放终端进行统一管理。</w:t>
            </w:r>
          </w:p>
          <w:p w14:paraId="6566DAD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2.支持多级管理架构，可对播放终端进行分组管理，并可添加播放终端和各组的描述信息。</w:t>
            </w:r>
          </w:p>
          <w:p w14:paraId="33FE731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3.支持对音视频、图片、文字、网页、word、PPT素材进行管理和发布。</w:t>
            </w:r>
          </w:p>
          <w:p w14:paraId="5BBCF8A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4.支持包括MP4，MKV，FLV，RMVB，MOV，MPEG，AVI等格式的多媒体文件。</w:t>
            </w:r>
          </w:p>
          <w:p w14:paraId="24E6121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5.支持指定时间段向终端发布信息素材，减少高峰期的宽带占用，避免影响正常的网络办公。</w:t>
            </w:r>
          </w:p>
          <w:p w14:paraId="1662070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6.支持数据库自动和手动备份，及手动还原。</w:t>
            </w:r>
          </w:p>
          <w:p w14:paraId="29ED3A9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7.支持跨平台发布一览表，支持发布到呼叫系统床旁交互终端，床头分机，信息看板，排队系统候诊大屏，诊室门口屏。</w:t>
            </w:r>
          </w:p>
          <w:p w14:paraId="0CF3438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8.支持对接医院集成平台，接收和发布预警、应急指挥、消息发布、疏散处置、报警提示等信息。</w:t>
            </w:r>
          </w:p>
          <w:p w14:paraId="5A2EE78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9.支持在线编辑发布内容，可选择多素材进行同屏播放，并可在线预览播放效果。</w:t>
            </w:r>
          </w:p>
          <w:p w14:paraId="2A689F6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10.支持发布任务审核机制，未通过审核的任务不予以发布，并将审核结果以消息通知形式回复。</w:t>
            </w:r>
          </w:p>
          <w:p w14:paraId="7C0D1DF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11.支持紧急插播发布，可向播放终端插播紧急或临时信息，播放完毕可自动切换到原播放节目。</w:t>
            </w:r>
          </w:p>
          <w:p w14:paraId="5F3ECAF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12.支持通知发布，具有悬浮窗显示和阅读确认两种发布模式，阅读确认模式下可对已读情况进行统计与查看。</w:t>
            </w:r>
          </w:p>
          <w:p w14:paraId="18C8811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13.支持在线监测与查看各播放终端的运行情况，并可抓屏查看播放终端的播放画面。</w:t>
            </w:r>
          </w:p>
          <w:p w14:paraId="347A08A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14.支持对播放终端进行远程音量调节、定时开关机、软件更新升级，可单个操作或批量操作。</w:t>
            </w:r>
          </w:p>
          <w:p w14:paraId="669966E0">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15.支持记录与查询系统用户的操作日志和播放终端的播放日志。</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8FB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53EE78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470B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B1E8D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F7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信息发布分控端软件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AA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安装与前端显示设备相连接的控制设备内；支持在线及离线状态下信息发布。</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A4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B3A67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DA9C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A93BD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44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65英寸壁挂信息发布屏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011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1、面板尺寸：65"" 16:9 A规级LCD</w:t>
            </w:r>
          </w:p>
          <w:p w14:paraId="352A200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2、亮度：300 cd/㎡</w:t>
            </w:r>
          </w:p>
          <w:p w14:paraId="1AEE5B8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3、分辨率：</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3840*2160@60Hz</w:t>
            </w:r>
          </w:p>
          <w:p w14:paraId="1910FFF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4、可视角度：水平：178°；垂直：178°</w:t>
            </w:r>
          </w:p>
          <w:p w14:paraId="47DE815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5、对比度：1200：1</w:t>
            </w:r>
          </w:p>
          <w:p w14:paraId="7A08D41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6、色彩：1.07B (8-bit + Hi-FRC)</w:t>
            </w:r>
          </w:p>
          <w:p w14:paraId="15E44C1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7、响应时间：8 ms</w:t>
            </w:r>
          </w:p>
          <w:p w14:paraId="38258A1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8、背光类型：E-LED</w:t>
            </w:r>
          </w:p>
          <w:p w14:paraId="056D6E3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9、主板类型：工控主板</w:t>
            </w:r>
          </w:p>
          <w:p w14:paraId="109DD93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10、处理器/CPU：四核Cortex-A55，主频最高达1.92GHz</w:t>
            </w:r>
          </w:p>
          <w:p w14:paraId="3BAD972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11、内存：4GB DDR3</w:t>
            </w:r>
          </w:p>
          <w:p w14:paraId="51CE30C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12、存储：32GB EMMC</w:t>
            </w:r>
          </w:p>
          <w:p w14:paraId="0814405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13、操作系统：Android 11</w:t>
            </w:r>
          </w:p>
          <w:p w14:paraId="581872F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14、有线网络：1个RJ45 10M/100M/1000M自适应以太网口</w:t>
            </w:r>
          </w:p>
          <w:p w14:paraId="7AA4BE2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15、无线网络： 内置WIFI，支持IEEE 802.11b/g/n协议，支持无线热点</w:t>
            </w:r>
          </w:p>
          <w:p w14:paraId="5388FF7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16、设备接口： USB2.0 x2；TF x1;HDMI IN x1;3.5mm音频接口(LineOUT)*1；</w:t>
            </w:r>
          </w:p>
          <w:p w14:paraId="0DC63F4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17、支持红外遥控，遥控器需另配</w:t>
            </w:r>
          </w:p>
          <w:p w14:paraId="04F15B1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、全金属一体化机身，正面覆盖3mm钢化玻璃，黑色面板银色边框，支持横向/竖向显示</w:t>
            </w:r>
          </w:p>
          <w:p w14:paraId="549E86D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lang w:eastAsia="zh-CN"/>
              </w:rPr>
              <w:t>、设备电源：AC 100-240 V ~ 50/60 Hz 3A,160W Max</w:t>
            </w:r>
          </w:p>
          <w:p w14:paraId="7669E48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eastAsia="zh-CN"/>
              </w:rPr>
              <w:t>、支持4K高清编解码，支持IPC解码</w:t>
            </w:r>
          </w:p>
          <w:p w14:paraId="24614FF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支持图片、音频、视频、文档（Word、Excel、PPT、TXT、PDF）、网页、网络直播、滚动字幕、信息通知等多种类型素材；</w:t>
            </w:r>
          </w:p>
          <w:p w14:paraId="2AC1175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、支持素材自由编排分区显示，支持按天、按周、按月执行普通计划，支持按时长、按次数设置紧急插播计划，支持轮播和垫片等多种播放形式</w:t>
            </w:r>
          </w:p>
          <w:p w14:paraId="617E96E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、支持通过平台对终端进行统一管理和远程控制，支持定时开关机、远程开关屏、重启、试听调节等，支持网络远程下发节目和无网络本地（U盘）节目更新</w:t>
            </w:r>
          </w:p>
          <w:p w14:paraId="548A103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24、支持素材、节目、日程三级审核，支持终端屏保密码功能，保障系统播出内容安全，支持数据加密传输，保障数据安全</w:t>
            </w:r>
          </w:p>
          <w:p w14:paraId="627B4E6E">
            <w:pPr>
              <w:pStyle w:val="62"/>
              <w:ind w:left="0" w:leftChars="0" w:firstLine="0" w:firstLineChars="0"/>
              <w:rPr>
                <w:rFonts w:hint="default"/>
                <w:color w:val="auto"/>
                <w:highlight w:val="none"/>
                <w:lang w:val="en-US"/>
              </w:rPr>
            </w:pPr>
            <w:r>
              <w:rPr>
                <w:rFonts w:hint="eastAsia" w:ascii="仿宋" w:hAnsi="仿宋" w:eastAsia="仿宋" w:cs="仿宋"/>
                <w:color w:val="auto"/>
                <w:sz w:val="24"/>
                <w:szCs w:val="24"/>
                <w:highlight w:val="none"/>
                <w:lang w:val="en-US" w:eastAsia="zh-CN"/>
              </w:rPr>
              <w:t>25、配套一台19寸笔记本电脑，配置要求8核CPU、16G内存，</w:t>
            </w:r>
            <w:r>
              <w:rPr>
                <w:rFonts w:hint="eastAsia" w:ascii="仿宋" w:hAnsi="仿宋" w:eastAsia="仿宋" w:cs="仿宋"/>
                <w:i w:val="0"/>
                <w:iCs w:val="0"/>
                <w:color w:val="auto"/>
                <w:kern w:val="0"/>
                <w:sz w:val="24"/>
                <w:szCs w:val="24"/>
                <w:highlight w:val="none"/>
                <w:u w:val="none"/>
                <w:lang w:val="en-US" w:eastAsia="zh-CN" w:bidi="ar"/>
              </w:rPr>
              <w:t>信息发布屏控制网线与指定办公室连接</w:t>
            </w:r>
            <w:r>
              <w:rPr>
                <w:rFonts w:hint="eastAsia" w:ascii="仿宋" w:hAnsi="仿宋" w:eastAsia="仿宋" w:cs="仿宋"/>
                <w:color w:val="auto"/>
                <w:sz w:val="24"/>
                <w:szCs w:val="24"/>
                <w:highlight w:val="none"/>
                <w:lang w:val="en-US" w:eastAsia="zh-CN"/>
              </w:rPr>
              <w:t>。</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D46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52289E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6014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BB04A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AA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55英寸立式信息发布屏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913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面板尺寸：55英寸；</w:t>
            </w:r>
          </w:p>
          <w:p w14:paraId="50208AF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背光类型：ELED；</w:t>
            </w:r>
          </w:p>
          <w:p w14:paraId="63AC158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亮度：320cd/m² (typ.)；</w:t>
            </w:r>
          </w:p>
          <w:p w14:paraId="5367797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对比度：IPS 1200:1(typ.) / VA 4000:1(typ.)；</w:t>
            </w:r>
          </w:p>
          <w:p w14:paraId="7A609E8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可视角度：水平178°，垂直 178°；</w:t>
            </w:r>
          </w:p>
          <w:p w14:paraId="3DF68BC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色深：1.07G (8Bit+FRC)；</w:t>
            </w:r>
          </w:p>
          <w:p w14:paraId="4E7F9C4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响应时间：8ms(typ.)；</w:t>
            </w:r>
          </w:p>
          <w:p w14:paraId="69C90E4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安装方式：立式</w:t>
            </w:r>
          </w:p>
          <w:p w14:paraId="257C506D">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rPr>
              <w:t>配套一台19寸笔记本电脑，配置要求8核CPU、16G内存，</w:t>
            </w:r>
            <w:r>
              <w:rPr>
                <w:rFonts w:hint="eastAsia" w:ascii="仿宋" w:hAnsi="仿宋" w:eastAsia="仿宋" w:cs="仿宋"/>
                <w:i w:val="0"/>
                <w:iCs w:val="0"/>
                <w:color w:val="auto"/>
                <w:kern w:val="0"/>
                <w:sz w:val="24"/>
                <w:szCs w:val="24"/>
                <w:highlight w:val="none"/>
                <w:u w:val="none"/>
                <w:lang w:val="en-US" w:eastAsia="zh-CN" w:bidi="ar"/>
              </w:rPr>
              <w:t>信息发布屏控制网线与指定办公室连接。</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24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574" w:type="dxa"/>
            <w:tcBorders>
              <w:top w:val="single" w:color="000000" w:sz="4" w:space="0"/>
              <w:left w:val="single" w:color="000000" w:sz="4" w:space="0"/>
              <w:bottom w:val="single" w:color="000000" w:sz="4" w:space="0"/>
            </w:tcBorders>
            <w:shd w:val="clear" w:color="auto" w:fill="auto"/>
            <w:noWrap/>
            <w:vAlign w:val="center"/>
          </w:tcPr>
          <w:p w14:paraId="589AFA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3E9B2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03"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45CD9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40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报告查询一体机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455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触摸屏：</w:t>
            </w:r>
          </w:p>
          <w:p w14:paraId="5FD6793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高稳定性，高透光性，可达92%，</w:t>
            </w:r>
          </w:p>
          <w:p w14:paraId="7D98996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单点触摸寿命大于5000万次</w:t>
            </w:r>
          </w:p>
          <w:p w14:paraId="332EBEC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分辨率：</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4096×4096；</w:t>
            </w:r>
          </w:p>
          <w:p w14:paraId="46FC6C2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透光率：92%</w:t>
            </w:r>
          </w:p>
          <w:p w14:paraId="167DDF1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响应时间：&lt;10ms</w:t>
            </w:r>
          </w:p>
          <w:p w14:paraId="6B90DD0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最小触摸体：&gt;5mm</w:t>
            </w:r>
          </w:p>
          <w:p w14:paraId="243B6B0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显示器： </w:t>
            </w:r>
          </w:p>
          <w:p w14:paraId="1DC1768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技术参数：分辨率：</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1280*1024</w:t>
            </w:r>
          </w:p>
          <w:p w14:paraId="0305DE4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对比度：2000:1</w:t>
            </w:r>
          </w:p>
          <w:p w14:paraId="6064583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亮度：350cd/m2</w:t>
            </w:r>
          </w:p>
          <w:p w14:paraId="6BA57E6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屏幕比例：4：3</w:t>
            </w:r>
          </w:p>
          <w:p w14:paraId="4087D1D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响应速度：6ms；</w:t>
            </w:r>
          </w:p>
          <w:p w14:paraId="6A7D6E5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机柜：</w:t>
            </w:r>
          </w:p>
          <w:p w14:paraId="2986034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特点：采用标准冷扎钢板</w:t>
            </w:r>
          </w:p>
          <w:p w14:paraId="193B5DE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机柜流线型模具制作，全钢质机体表面采用汽车工艺金属烤漆</w:t>
            </w:r>
          </w:p>
          <w:p w14:paraId="2DD9B93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可提供RJ45标准网络接口</w:t>
            </w:r>
          </w:p>
          <w:p w14:paraId="7DE2342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电压：AC220V ± 10% 50HZ ± 1HZ</w:t>
            </w:r>
          </w:p>
          <w:p w14:paraId="25D1C9A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功率：230W</w:t>
            </w:r>
          </w:p>
          <w:p w14:paraId="2BB7EC1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频率：50HZ</w:t>
            </w:r>
          </w:p>
          <w:p w14:paraId="6EEDA0F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开机瞬间电流为3A</w:t>
            </w:r>
          </w:p>
          <w:p w14:paraId="660BA4C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操作温度 - 20℃-50℃</w:t>
            </w:r>
          </w:p>
          <w:p w14:paraId="1F81C04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存储温度 - 35℃-50℃</w:t>
            </w:r>
          </w:p>
          <w:p w14:paraId="1519130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操作相对湿度 5%-95%.</w:t>
            </w:r>
          </w:p>
          <w:p w14:paraId="761E2DF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内置：音响、控制面板、电源、风扇、网络功能</w:t>
            </w:r>
          </w:p>
          <w:p w14:paraId="3A93DE1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主机配置：</w:t>
            </w:r>
          </w:p>
          <w:p w14:paraId="6FD3281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I3处理器，4G DDR3 内存,120G固态硬盘</w:t>
            </w:r>
          </w:p>
          <w:p w14:paraId="6D17B12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最大打印幅面 A4</w:t>
            </w:r>
          </w:p>
          <w:p w14:paraId="43209FB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最高分辨率</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 xml:space="preserve"> 1200×1200dpi</w:t>
            </w:r>
          </w:p>
          <w:p w14:paraId="245ED2C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黑白打印速度 18ppm</w:t>
            </w:r>
          </w:p>
          <w:p w14:paraId="691B50D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处理器 266MHz</w:t>
            </w:r>
          </w:p>
          <w:p w14:paraId="42AAD101">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内存标配： 2MB，最大：2MB</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C8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5869A6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19B589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BBA14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70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管理工作站</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643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i5-12500/8G/512GSSD，显示器：21.5寸，视频接口：VGA/HDMI USB接口：6×USB3.0+4×USB2.0 接口：串口、并口、音频输入/输出接口 网口：10/100/1000M自适应</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DAF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65A31F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1756A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213BC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99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控制系统</w:t>
            </w:r>
          </w:p>
        </w:tc>
        <w:tc>
          <w:tcPr>
            <w:tcW w:w="5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5AA6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异步控制系统，TCP/IP协议</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2D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527C30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B1972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8BC1C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96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742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BF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574" w:type="dxa"/>
            <w:tcBorders>
              <w:top w:val="single" w:color="000000" w:sz="4" w:space="0"/>
              <w:left w:val="single" w:color="000000" w:sz="4" w:space="0"/>
              <w:bottom w:val="single" w:color="000000" w:sz="4" w:space="0"/>
            </w:tcBorders>
            <w:shd w:val="clear" w:color="auto" w:fill="auto"/>
            <w:noWrap/>
            <w:vAlign w:val="center"/>
          </w:tcPr>
          <w:p w14:paraId="788F85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2A9FB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760BF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B8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显示屏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15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P10单色，11.93*0.57m，铝合金包边，计算机异步联网控制。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7E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6.8</w:t>
            </w:r>
          </w:p>
        </w:tc>
        <w:tc>
          <w:tcPr>
            <w:tcW w:w="574" w:type="dxa"/>
            <w:tcBorders>
              <w:top w:val="single" w:color="000000" w:sz="4" w:space="0"/>
              <w:left w:val="single" w:color="000000" w:sz="4" w:space="0"/>
              <w:bottom w:val="single" w:color="000000" w:sz="4" w:space="0"/>
            </w:tcBorders>
            <w:shd w:val="clear" w:color="auto" w:fill="auto"/>
            <w:vAlign w:val="center"/>
          </w:tcPr>
          <w:p w14:paraId="653E63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r>
      <w:tr w14:paraId="39B797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89A8D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2C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5BB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P3.75双色，15.29*0.549m,铝合金包边，计算机同步联网控制。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1F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8.39</w:t>
            </w:r>
          </w:p>
        </w:tc>
        <w:tc>
          <w:tcPr>
            <w:tcW w:w="574" w:type="dxa"/>
            <w:tcBorders>
              <w:top w:val="single" w:color="000000" w:sz="4" w:space="0"/>
              <w:left w:val="single" w:color="000000" w:sz="4" w:space="0"/>
              <w:bottom w:val="single" w:color="000000" w:sz="4" w:space="0"/>
            </w:tcBorders>
            <w:shd w:val="clear" w:color="auto" w:fill="auto"/>
            <w:vAlign w:val="center"/>
          </w:tcPr>
          <w:p w14:paraId="73B322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r>
      <w:tr w14:paraId="6E3919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D9541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06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40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P3.75双色，3.434m*0.549m,铝合金包边，计算机同步联网控制。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D84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1.89</w:t>
            </w:r>
          </w:p>
        </w:tc>
        <w:tc>
          <w:tcPr>
            <w:tcW w:w="574" w:type="dxa"/>
            <w:tcBorders>
              <w:top w:val="single" w:color="000000" w:sz="4" w:space="0"/>
              <w:left w:val="single" w:color="000000" w:sz="4" w:space="0"/>
              <w:bottom w:val="single" w:color="000000" w:sz="4" w:space="0"/>
            </w:tcBorders>
            <w:shd w:val="clear" w:color="auto" w:fill="auto"/>
            <w:vAlign w:val="center"/>
          </w:tcPr>
          <w:p w14:paraId="76278D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r>
      <w:tr w14:paraId="0126FB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194FE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10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9B8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P3.75双色，4.954m*0.549m,铝合金包边，计算机同步联网控制。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28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2.72</w:t>
            </w:r>
          </w:p>
        </w:tc>
        <w:tc>
          <w:tcPr>
            <w:tcW w:w="574" w:type="dxa"/>
            <w:tcBorders>
              <w:top w:val="single" w:color="000000" w:sz="4" w:space="0"/>
              <w:left w:val="single" w:color="000000" w:sz="4" w:space="0"/>
              <w:bottom w:val="single" w:color="000000" w:sz="4" w:space="0"/>
            </w:tcBorders>
            <w:shd w:val="clear" w:color="auto" w:fill="auto"/>
            <w:vAlign w:val="center"/>
          </w:tcPr>
          <w:p w14:paraId="560D26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r>
      <w:tr w14:paraId="6DB80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A3CEE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41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30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P3.75双色，3.434m*0.549m,铝合金包边，计算机同步联网控制。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28C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1.89</w:t>
            </w:r>
          </w:p>
        </w:tc>
        <w:tc>
          <w:tcPr>
            <w:tcW w:w="574" w:type="dxa"/>
            <w:tcBorders>
              <w:top w:val="single" w:color="000000" w:sz="4" w:space="0"/>
              <w:left w:val="single" w:color="000000" w:sz="4" w:space="0"/>
              <w:bottom w:val="single" w:color="000000" w:sz="4" w:space="0"/>
            </w:tcBorders>
            <w:shd w:val="clear" w:color="auto" w:fill="auto"/>
            <w:vAlign w:val="center"/>
          </w:tcPr>
          <w:p w14:paraId="15783E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r>
      <w:tr w14:paraId="71FED4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FA1C3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09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显示屏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492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屏幕尺寸：9.6m*1.92m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1）像素间距：2.0mm；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2）封装类型：国产 SMD2121；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3）箱体类型：压铸铝箱体</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4）箱体参数：尺寸640*480mm；分辨率256×192 dots</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5）像素密度：160000 dots/m²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6）光学参数：灰度等级14 bit；颜色68.71 trillion；支持单点亮度校正；支持单点色度校正；发光点中心距偏差≤2%；亮度均匀性≥98%；色度均匀性：±0.003Cx,Cy之内；</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7）电气参数：输入电源AC186~264V/50~60 Hz；输入功率(最大值)≤586 W/m²；输入功率(典型值)≤195W/m²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8）环境参数：工作温湿度-20℃~+50℃/10%~95%RH；存储温湿度-40℃~+80℃/10%~90%RH（无结霜）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9）维护方式：前维护</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10）标配单卡单电源</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7E1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18.43</w:t>
            </w:r>
          </w:p>
        </w:tc>
        <w:tc>
          <w:tcPr>
            <w:tcW w:w="574" w:type="dxa"/>
            <w:tcBorders>
              <w:top w:val="single" w:color="000000" w:sz="4" w:space="0"/>
              <w:left w:val="single" w:color="000000" w:sz="4" w:space="0"/>
              <w:bottom w:val="single" w:color="000000" w:sz="4" w:space="0"/>
            </w:tcBorders>
            <w:shd w:val="clear" w:color="auto" w:fill="auto"/>
            <w:noWrap/>
            <w:vAlign w:val="center"/>
          </w:tcPr>
          <w:p w14:paraId="1776A7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r>
      <w:tr w14:paraId="3698E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010CA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31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CB3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1、输入电压：220V；</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2、输出电压：5V；</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3、输出电流：40A；</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4、连接方式：全桥式；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5、配合模组使用；</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08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w:t>
            </w:r>
          </w:p>
        </w:tc>
        <w:tc>
          <w:tcPr>
            <w:tcW w:w="574" w:type="dxa"/>
            <w:tcBorders>
              <w:top w:val="single" w:color="000000" w:sz="4" w:space="0"/>
              <w:left w:val="single" w:color="000000" w:sz="4" w:space="0"/>
              <w:bottom w:val="single" w:color="000000" w:sz="4" w:space="0"/>
            </w:tcBorders>
            <w:shd w:val="clear" w:color="auto" w:fill="auto"/>
            <w:noWrap/>
            <w:vAlign w:val="center"/>
          </w:tcPr>
          <w:p w14:paraId="61C52F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BD57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B3781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65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85F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1.集成12个HUB75，无需再配转接板，更稳定，更可靠，更方便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2.单卡最大带载192*1024，单卡支持24组RGB信号输出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3.支持8bit色深视频源输入输出，单色灰阶为256，可搭配出16777216种混合色彩</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4.支持从静态到128扫描之间的任意扫描类型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5.支持逐点亮色度校正，支持多层校正，解决非线性亮度变化导致的低灰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色块和色温偏移问题，使低亮和低灰画面更均衡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6.拥有自适应帧率技术，不仅支持23.98/24/29.97/30/50/59.94/60Hz常规及非整数帧率，还可输出显示120/240Hz高帧率画面，大幅提升画面流畅度、减少拖影。</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7.支持画面旋转，单个箱体画面以90°/180°/270°角度进行旋转，配合部分主控可实现单箱体画面任意角度旋转显示</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4B7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574" w:type="dxa"/>
            <w:tcBorders>
              <w:top w:val="single" w:color="000000" w:sz="4" w:space="0"/>
              <w:left w:val="single" w:color="000000" w:sz="4" w:space="0"/>
              <w:bottom w:val="single" w:color="000000" w:sz="4" w:space="0"/>
            </w:tcBorders>
            <w:shd w:val="clear" w:color="auto" w:fill="auto"/>
            <w:noWrap/>
            <w:vAlign w:val="center"/>
          </w:tcPr>
          <w:p w14:paraId="20B586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6E23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AA8A9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F6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发送卡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30EC3C1C">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一路DVI视频输入+一路DVILOOP输入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一路HDMI1.4输入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六个网口输出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RS232接口控制，可级联多台进行统一控制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USB接口输入输出，连接电脑进行参数调整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最大带载分辨率</w:t>
            </w:r>
            <w:r>
              <w:rPr>
                <w:rFonts w:hint="eastAsia" w:ascii="宋体" w:hAnsi="宋体" w:eastAsia="宋体" w:cs="宋体"/>
                <w:color w:val="auto"/>
                <w:sz w:val="24"/>
                <w:szCs w:val="24"/>
                <w:highlight w:val="none"/>
                <w:lang w:eastAsia="zh-CN"/>
              </w:rPr>
              <w:t>≧</w:t>
            </w:r>
            <w:r>
              <w:rPr>
                <w:rFonts w:hint="eastAsia" w:ascii="仿宋" w:hAnsi="仿宋" w:eastAsia="仿宋" w:cs="仿宋"/>
                <w:i w:val="0"/>
                <w:iCs w:val="0"/>
                <w:color w:val="auto"/>
                <w:kern w:val="0"/>
                <w:sz w:val="24"/>
                <w:szCs w:val="24"/>
                <w:highlight w:val="none"/>
                <w:u w:val="none"/>
                <w:lang w:val="en-US" w:eastAsia="zh-CN" w:bidi="ar"/>
              </w:rPr>
              <w:t>1920×1200（最宽4096，最高2560）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50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314203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6294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29E49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3B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大屏控制器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39320A3F">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单板2路HDMI1.4接口 4K2K@30F向下兼容 8路HDMI1.3输出接口，最大分辨率1080P@30fps输出，不带解码功能，单屏16窗，支持小间距对接自定义分辨率输出  支持液晶屏/DLP屏/小间距显示屏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单屏支持1/4/6/8/9/16/32分割；支持自定义分割；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支持250个场景预案；每个电视墙支持30个预案场景；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预案场景切换时间小于20ms，切换过程无花屏，无黑场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输入信号输出到各屏幕的显示时差小于1ms；</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支持信号复制功能，每路信号源可复制8路输出展示；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支持在C/S、B/S、IPAD上进行预监回显展示；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支持任一信号可在整屏位置漫游、缩放、叠加展示，图层可达35层；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支持4096*2160@25Hz、3840*2160@30Hz及以下常规分辨率采集；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支持3840*2160@30Hz分辨率及以下分辨率自定义输出；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支持4路3840*2160@30fps/16路1080p@30fps及以下标清视频解码能力;</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95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2BDD47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25E71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27A15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CE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配电柜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5BBDF0B3">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20(KW)带远程上电、漏电保护，壁挂安装</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05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59079D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5ED8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99D6E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8B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钢结构边框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28DD1ACF">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1、钢结构尺寸：9.69m*2.01m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2、钢结构：钢架构件（含接合板）采用Q235B钢制作，结构用钢应符合《GB700-88》规定的Q235要求，保证其抗拉强度、伸长率、屈服点，碳、硫、磷的极限含量；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3、焊条：手工焊：Q235连接用E43系列焊条；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4、自动焊：Q235连接用H08系列焊条；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5、要求：抗震7级，抗风8级；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6、包边：不锈钢包边；</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10D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19.48</w:t>
            </w:r>
          </w:p>
        </w:tc>
        <w:tc>
          <w:tcPr>
            <w:tcW w:w="574" w:type="dxa"/>
            <w:tcBorders>
              <w:top w:val="single" w:color="000000" w:sz="4" w:space="0"/>
              <w:left w:val="single" w:color="000000" w:sz="4" w:space="0"/>
              <w:bottom w:val="single" w:color="000000" w:sz="4" w:space="0"/>
            </w:tcBorders>
            <w:shd w:val="clear" w:color="auto" w:fill="auto"/>
            <w:noWrap/>
            <w:vAlign w:val="center"/>
          </w:tcPr>
          <w:p w14:paraId="4C54E6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m²</w:t>
            </w:r>
          </w:p>
        </w:tc>
      </w:tr>
      <w:tr w14:paraId="5FA8D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587A9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57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线缆及铺设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3A7EEB8B">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国标4平方三相五线制，超五类网线16+2根</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1FB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105B2D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w:t>
            </w:r>
          </w:p>
        </w:tc>
      </w:tr>
      <w:tr w14:paraId="168D22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E47FE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FF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吸顶音响</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0D9443C6">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喇叭口径 6.5"X1 2"X1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额定功率 50W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最大功率 100W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额定阻抗 8Ω</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灵敏度 86dB</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频响范围 45Hz-20KHz</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谐振频率 55Hz</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C4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7221AD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384A5A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E58E0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76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功放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08A87B02">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输出功率4Ω2X120W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信噪比音乐≥80dB（A计权）；话筒≥55dB（A计权）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频率响应音乐：20H-30K/100H-30K（+1/-3dB）</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总谐波失真音乐：&lt;0.1% 话筒：&lt;0.5% </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C4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0221AA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E99E7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E4781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40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辅材</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666D03A6">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配套辅材</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A0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4C34B6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r>
      <w:tr w14:paraId="7677CC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852" w:type="dxa"/>
            <w:gridSpan w:val="5"/>
            <w:tcBorders>
              <w:top w:val="single" w:color="000000" w:sz="4" w:space="0"/>
              <w:bottom w:val="single" w:color="000000" w:sz="4" w:space="0"/>
            </w:tcBorders>
            <w:shd w:val="clear" w:color="auto" w:fill="auto"/>
            <w:noWrap/>
            <w:vAlign w:val="center"/>
          </w:tcPr>
          <w:p w14:paraId="11847EE9">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8.会议系统</w:t>
            </w:r>
          </w:p>
        </w:tc>
      </w:tr>
      <w:tr w14:paraId="2FBD22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03454C5F">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8.1 3F会议示教室</w:t>
            </w:r>
          </w:p>
        </w:tc>
      </w:tr>
      <w:tr w14:paraId="45EE57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6FE6F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EC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65寸交互智能平板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6F20">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1.要求整机内置非独立外扩展的电脑模块，所有会议功能均运行在电脑模块中，系统版本优于或等同于Windows 10 IoT正版已激活操作系统。采用国密SM2、SM3加密算法对数据文件进行加密处理，并在传输过程中保持加密状态，确保数据传输和存储的安全性与可靠性；符合国家安全标准，增强整体信息安全防护能力。</w:t>
            </w:r>
          </w:p>
          <w:p w14:paraId="40CF4A4A">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2.整机屏幕采用≥65英寸DLED液晶屏，显示比例16:9，屏幕图像分辨率≥3840*2160，色彩度≥10bit ,色域≥85%NTSC；可视角度≥178°，支持全高清4K系统图标显示；CPU等同或优于11代i3，内存≥8G、存储≥128G。</w:t>
            </w:r>
          </w:p>
          <w:p w14:paraId="0DC43D0F">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3.具有≥1200W高清摄像头，视场角≥105°，≥8个阵列麦克风，拾音距离≥10米。摄像头和麦克风为可拆卸模组，采用≥12个pogo pin磁吸接口设计，无需额外接线，通过物理防护达到防止会议信息外泄；摄像头具有智能取景、发言人跟踪多种摄像模式。</w:t>
            </w:r>
          </w:p>
          <w:p w14:paraId="7110F765">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4.输入接口：LAN≥1；TOUCH≥1；HDMI-IN≥1；DP-IN≥1；VIDEO-IN（USB-C+反控）≥1；LINE-IN≥1；MIC-IN≥1；USB-A≥4；USB-C≥1；RS232≥1；IO≥2；RELAY≥2；输出接口：HDMI-OUT≥1；LINE-OUT≥1。</w:t>
            </w:r>
          </w:p>
          <w:p w14:paraId="7AB44107">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5.产品采用≥2.1声道设计，具有≥3个音腔：≥1×32W（低音）≥2×20W（中高音）缝隙发声扬声器；具备≥5种音效选择（可选标准或会议或人声或音乐或影院），满足不同场景需求。</w:t>
            </w:r>
          </w:p>
          <w:p w14:paraId="73AE0247">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要求产品具有智能按钮，内置红外传感器、温湿度传感器、光感传感器，具有实时监测和显示温度与湿度功能，并能根据环境光照自动调节亮度；具有≥1×RS232、≥2×IO、≥2×RELAY物联中控控制接口，方便与其他设备集成与管理，实现智能化的环境控制，提升使用体验与舒适度。</w:t>
            </w:r>
          </w:p>
          <w:p w14:paraId="118DFCDA">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7.要求内置储配电池，支持异常断电保护功能，在异常断电后启用内部电池，自动保存会议资料及会议进程，通电后可继续使用。</w:t>
            </w:r>
          </w:p>
          <w:p w14:paraId="519E345F">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8.支持多种唤醒方式，息屏状态下可通过保持注视、提笔唤醒、双击触屏、按钮方式唤醒设备亮屏，注视唤醒方式可自定义设置注视时间，提笔唤醒可快捷使用白板和批注功能。</w:t>
            </w:r>
          </w:p>
          <w:p w14:paraId="47859102">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具有文档无边框设计，用户打开文档自动进入文档演示模式，文档内容会全屏显示，在文档演示的过程中，可以进行批注、视频播放、分屏白板，可插入图片素材，图片叠层无限制，满足展示更多文档内容的需求。</w:t>
            </w:r>
          </w:p>
          <w:p w14:paraId="7F41ADF1">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具有快速会议、保密会议会议模式；开启保密会议后会中资料不可下载，会后会议资料自动焚毁；会议过程中使用的资料，临时缓存的文件自动加密，会议结束后无法打开；具有界面水印，覆盖会议全程，防止拍照录频，泄露会议信息。</w:t>
            </w:r>
          </w:p>
          <w:p w14:paraId="4BF43F71">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11.支持混合分屏，会中可同时展现白板、动态视频、音频、文档、批注等页面，可全屏展示任意分屏或对比不同方案，支持≥4个分屏。</w:t>
            </w:r>
          </w:p>
          <w:p w14:paraId="304E9824">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产品具有智慧会议管理平台（无需单独配置云端平台），平台采用B/S架构，支持Windows、Linux、MacOS、Android、IOS等操作系统登入控制软件；平台具有普通用户、管理员不同账号权限；平台具有后台数据看板功能，支持查看会议室使用情况、设备状态，可按月、周、日统计每日与会人员、每日会议时长、每日会议数、每日活跃用户数等，便于统计分析，统一管理；可查看单位会议、历史会议，历史会议名称、会议预订人、会议号、会议开始时间、是否录制视频，可查看/导出会前签到和投票表决结果、会议录制视频。</w:t>
            </w:r>
          </w:p>
          <w:p w14:paraId="2C15DF7C">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产品具有智慧会议管理平台（无需单独配置云端平台），平台支持会议预约功能，主页支持实时显示当日会议列表；会议列表可查看主持人和会议时间等信息；支持查看会议室使用情况、设备状态，可按月、周、日统计每日与会人员、每日会议时长、每日会议数、每日活跃用户数等，便于统计分析，统一管理。</w:t>
            </w:r>
          </w:p>
          <w:p w14:paraId="3789D2D8">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14.内置视频会议软件，支持ITU-T H.323通信协议，会议速率支持128Kbps~8Mbps；支持H.264 Baseline Profile、H264 High Profile视频协议，可支持全高清优于或等同于1080p/30的视频会议；集成通信录，通话记录模块。</w:t>
            </w:r>
          </w:p>
          <w:p w14:paraId="21EBC1E5">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15.视频会议软件支持会议签到、电子白板、电子投票、文件共享等数据会议功能，满足远程会议、培训等场景应用需求；支持多画面布局，单屏支持≥25路画面同时显示。</w:t>
            </w:r>
          </w:p>
          <w:p w14:paraId="60D24DEF">
            <w:pP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16.投标产品需通过低蓝光认证（要求蓝光比率≤25%）。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58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3CF26B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26D7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A9BB1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3E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投屏器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AAC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1.会议模式：主持人模式：主持人可以触摸屏幕列表选择指定PC传屏</w:t>
            </w:r>
          </w:p>
          <w:p w14:paraId="77946CC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2.与会人员模式：当前非主持人传屏时，谁按下传屏按钮谁就获取传屏控制权</w:t>
            </w:r>
          </w:p>
          <w:p w14:paraId="0A12AB1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3.帧率：音视频18~30帧；分辨率：720P~1080P</w:t>
            </w:r>
          </w:p>
          <w:p w14:paraId="7BD8702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4.频段：2.4GHz/5GHz</w:t>
            </w:r>
          </w:p>
          <w:p w14:paraId="6D2D84E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5.传输距离：无遮挡的情况下30m</w:t>
            </w:r>
          </w:p>
          <w:p w14:paraId="2BF7CE7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6.显示模式：支持扩展桌面（Windows 7/8/10）</w:t>
            </w:r>
          </w:p>
          <w:p w14:paraId="6AC83968">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7.触摸反控：支持10点触摸回传（Windows 7/8/10）；支持鼠标模式回传（Mac）</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88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4693F0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97D5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E8BDB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E7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移动支架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EA2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1.高度调节行程：0-430mm</w:t>
            </w:r>
          </w:p>
          <w:p w14:paraId="420A1E7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2.高度调节方式：螺丝锁定调整</w:t>
            </w:r>
          </w:p>
          <w:p w14:paraId="34C46E8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3.材质：SPCC高强度钢（主体）/PA6+PB（轮子）</w:t>
            </w:r>
          </w:p>
          <w:p w14:paraId="52763FE5">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4.支架安装适配一体机尺寸：65英寸-75英寸</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FC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DF9DE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FF55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D3EDF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88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821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1.采用拼接排列扬声器设计，6只3寸进口全频单元；箱体采用12mm夹板制作。</w:t>
            </w:r>
          </w:p>
          <w:p w14:paraId="1A94A41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2.阻抗：≤8Ω、频响等同或优于80Hz-20kHz</w:t>
            </w:r>
          </w:p>
          <w:p w14:paraId="3E767D1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3.额定功率≥150W</w:t>
            </w:r>
          </w:p>
          <w:p w14:paraId="690CEEF1">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4.灵敏度≥95dB/W/M</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6E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33E991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68234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EA5F6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99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音箱支架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0F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1.配套音箱支架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88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6D9682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63648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4755F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03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专业功放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F43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1.1U机箱设计，采用D类数字功放设计方案。</w:t>
            </w:r>
          </w:p>
          <w:p w14:paraId="749E2F6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2.标准XLR输入接口，和LINK输出口。</w:t>
            </w:r>
          </w:p>
          <w:p w14:paraId="6C084EA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3.电源采用开关电源技术，效率高，有效的抑制电源谐波。</w:t>
            </w:r>
          </w:p>
          <w:p w14:paraId="3EEBE43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4.内置智能削峰限幅器，支持开机软启动，防止开机时向电网吸收大电流，干扰其它用电设备。 </w:t>
            </w:r>
          </w:p>
          <w:p w14:paraId="49A0B60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5.具有：过压保护，欠压保护，过流保护，直流保护，输出短路保护，温控风扇等功能。</w:t>
            </w:r>
          </w:p>
          <w:p w14:paraId="0E19E4F4">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6.输出功率：立体声@8Ω：≥200W×2；立体声@4Ω：≥400W×2。</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F3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57C0B7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19D336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8AC3F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9E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音频处理器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374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1.输入：≥4路平衡式线路输入，采用标准卡侬接口，平衡接法。 </w:t>
            </w:r>
          </w:p>
          <w:p w14:paraId="3E1CCCB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2.输出：≥8路平衡式线路输出，采用标准卡侬接口，平衡接法。</w:t>
            </w:r>
          </w:p>
          <w:p w14:paraId="6840455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3.支持FIR滤波器。</w:t>
            </w:r>
          </w:p>
          <w:p w14:paraId="3261F63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4.内置数字音频处理算法：增益、延迟、EQ、混音矩阵、压缩器、分配和限幅器。</w:t>
            </w:r>
          </w:p>
          <w:p w14:paraId="46381FE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5.支持断电自动保护记忆功能。</w:t>
            </w:r>
          </w:p>
          <w:p w14:paraId="649493B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6.支持通道联控功能。</w:t>
            </w:r>
          </w:p>
          <w:p w14:paraId="5947AF6A">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7.支持USB和RJ45两种连接方式，实现PC软件控制，支持RS232控制，提供第三方控制协议，用于对接中控系统。</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20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705367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12B6E5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AEAD6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DF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8路电源管理器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8DF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1.支持≥8通道电源时序打开/关闭，支持远程控制（上电+24V直流信号）≥8通道电源时序打开/关闭—当电源开关锁处于off位置时有效。支持配置CH1和CH2通道为受控或不受控状态。</w:t>
            </w:r>
          </w:p>
          <w:p w14:paraId="7AA828D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2.当远程控制有效时同时控制后板ALARM（报警）端口导通以起到级联控制ALARM（报警）功能。</w:t>
            </w:r>
          </w:p>
          <w:p w14:paraId="09B1D26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3.单个通道最大负载功率≥3500W，所有通道负载总功率达≥6000W，输入连接器：大功率线码式电源连接器。 </w:t>
            </w:r>
          </w:p>
          <w:p w14:paraId="6F036A9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4.输出连接器：≥2个16A，≥2个16A接线端子和≥4个10A电源插座。</w:t>
            </w:r>
          </w:p>
          <w:p w14:paraId="5DE8DB15">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5.具有≥1路USB接口。</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4F1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6132A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B8001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7F95F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BC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无线一拖二鹅颈话筒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9C2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1.具有≥1台接收主机、≥2只桌面式鹅颈咪杆话筒；频率范围等同或优于540MHz-590MHz、640MHz-690MHz。</w:t>
            </w:r>
          </w:p>
          <w:p w14:paraId="6E3DAB5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2.接收机具有≥2路平衡输出、≥1路非平衡混音输出。</w:t>
            </w:r>
          </w:p>
          <w:p w14:paraId="3FCEBE6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3.具有自动频率扫描功能，可快速地给麦克风找到清晰的频率。</w:t>
            </w:r>
          </w:p>
          <w:p w14:paraId="35A65AC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4.支持混响调节功能，比例调节、延时调节、电平调节≥25个档位。</w:t>
            </w:r>
          </w:p>
          <w:p w14:paraId="7327B8C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5.支持麦克风均衡器调节功能，≥高、中、低音三种调节档位。</w:t>
            </w:r>
          </w:p>
          <w:p w14:paraId="2B84B33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6.接收机具有显示屏，用户可通过显示屏查看设备发射功率强度、音频加密状态、电池电量、频率数值。</w:t>
            </w:r>
          </w:p>
          <w:p w14:paraId="0DF8A77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7.发射机不低于1个3.5mm耳机孔，可通过3.5mm耳机孔输入音频。</w:t>
            </w:r>
          </w:p>
          <w:p w14:paraId="18E63E5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8.发射机支持通过Type-C口进行充电。</w:t>
            </w:r>
          </w:p>
          <w:p w14:paraId="0541BBB7">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9.发射机电池孔位不低于4个，连续使用时长不低于15小时；电池具有扩展性，连续使用时长可扩展至60小时。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BC3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048CBD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F197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1FC95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06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航空柜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BFA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12U，优质</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81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A284F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36A84C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99D98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25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音响线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ED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RVV2*1.5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C5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574" w:type="dxa"/>
            <w:tcBorders>
              <w:top w:val="single" w:color="000000" w:sz="4" w:space="0"/>
              <w:left w:val="single" w:color="000000" w:sz="4" w:space="0"/>
              <w:bottom w:val="single" w:color="000000" w:sz="4" w:space="0"/>
            </w:tcBorders>
            <w:shd w:val="clear" w:color="auto" w:fill="auto"/>
            <w:noWrap/>
            <w:vAlign w:val="center"/>
          </w:tcPr>
          <w:p w14:paraId="6BF6A9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3D82E0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22A2DE0A">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8.2 4F会议示教室</w:t>
            </w:r>
          </w:p>
        </w:tc>
      </w:tr>
      <w:tr w14:paraId="68628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48CA8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1A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993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1.采用拼接排列扬声器设计，6只3寸进口全频单元；箱体采用12mm夹板制作。</w:t>
            </w:r>
          </w:p>
          <w:p w14:paraId="45FD922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2.阻抗：≤8Ω、频响等同或优于80Hz-20kHz</w:t>
            </w:r>
          </w:p>
          <w:p w14:paraId="7CADB74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3.额定功率≥150W</w:t>
            </w:r>
          </w:p>
          <w:p w14:paraId="72F4E997">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4.灵敏度≥95dB/W/M</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D0B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60DC8F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7F2FEC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D3372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74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音箱支架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BD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1.配套音箱支架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861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033E97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2F02A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18C96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0E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专业功放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F84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1.1U机箱设计，采用D类数字功放设计方案。</w:t>
            </w:r>
          </w:p>
          <w:p w14:paraId="270713B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2.标准XLR输入接口，和LINK输出口。</w:t>
            </w:r>
          </w:p>
          <w:p w14:paraId="5207412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3.电源采用开关电源技术，效率高，有效的抑制电源谐波。</w:t>
            </w:r>
          </w:p>
          <w:p w14:paraId="640DA25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4.内置智能削峰限幅器，支持开机软启动，防止开机时向电网吸收大电流，干扰其它用电设备。 </w:t>
            </w:r>
          </w:p>
          <w:p w14:paraId="5636FEB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5.具有：过压保护，欠压保护，过流保护，直流保护，输出短路保护，温控风扇等功能。</w:t>
            </w:r>
          </w:p>
          <w:p w14:paraId="50D6A5D5">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6.输出功率：立体声@8Ω：≥200W×2；立体声@4Ω：≥400W×2。</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DF9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60F27D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86A0A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8DDFA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8A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音频处理器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E87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1.输入：≥4路平衡式线路输入，采用标准卡侬接口，平衡接法。 </w:t>
            </w:r>
          </w:p>
          <w:p w14:paraId="7135878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2.输出：≥8路平衡式线路输出，采用标准卡侬接口，平衡接法。</w:t>
            </w:r>
          </w:p>
          <w:p w14:paraId="6CA5061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3.支持FIR滤波器。</w:t>
            </w:r>
          </w:p>
          <w:p w14:paraId="382C290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4.内置数字音频处理算法：增益、延迟、EQ、混音矩阵、压缩器、分配和限幅器。</w:t>
            </w:r>
          </w:p>
          <w:p w14:paraId="03098E5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5.支持断电自动保护记忆功能。</w:t>
            </w:r>
          </w:p>
          <w:p w14:paraId="5807F4A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6.支持通道联控功能。</w:t>
            </w:r>
          </w:p>
          <w:p w14:paraId="7DB9C98E">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7.支持USB和RJ45两种连接方式，实现PC软件控制，支持RS232控制，提供第三方控制协议，用于对接中控系统。</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C1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F52B1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8E48E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C9FCD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35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8路电源管理器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1BB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1.支持≥8通道电源时序打开/关闭，支持远程控制（上电+24V直流信号）≥8通道电源时序打开/关闭—当电源开关锁处于off位置时有效。支持配置CH1和CH2通道为受控或不受控状态。</w:t>
            </w:r>
          </w:p>
          <w:p w14:paraId="2B60F53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2.当远程控制有效时同时控制后板ALARM（报警）端口导通以起到级联控制ALARM（报警）功能。</w:t>
            </w:r>
          </w:p>
          <w:p w14:paraId="63E9FC2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3.单个通道最大负载功率≥3500W，所有通道负载总功率达≥6000W，输入连接器：大功率线码式电源连接器。 </w:t>
            </w:r>
          </w:p>
          <w:p w14:paraId="5E6ABEF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4.输出连接器：≥2个16A，≥2个16A接线端子和≥4个10A电源插座。</w:t>
            </w:r>
          </w:p>
          <w:p w14:paraId="00884A32">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5.具有≥1路USB接口。</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BB5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0006BD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05B5B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CC73F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B9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无线一拖二鹅颈话筒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108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1.具有≥1台接收主机、≥2只桌面式鹅颈咪杆话筒；频率范围等同或优于540MHz-590MHz、640MHz-690MHz。</w:t>
            </w:r>
          </w:p>
          <w:p w14:paraId="461457B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2.接收机具有≥2路平衡输出、≥1路非平衡混音输出。</w:t>
            </w:r>
          </w:p>
          <w:p w14:paraId="5BD64FA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3.具有自动频率扫描功能，可快速地给麦克风找到清晰的频率。</w:t>
            </w:r>
          </w:p>
          <w:p w14:paraId="0A87A59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4.支持混响调节功能，比例调节、延时调节、电平调节≥25个档位。</w:t>
            </w:r>
          </w:p>
          <w:p w14:paraId="7207681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5.支持麦克风均衡器调节功能，≥高、中、低音三种调节档位。</w:t>
            </w:r>
          </w:p>
          <w:p w14:paraId="7C85779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6.接收机具有显示屏，用户可通过显示屏查看设备发射功率强度、音频加密状态、电池电量、频率数值。</w:t>
            </w:r>
          </w:p>
          <w:p w14:paraId="7873B2B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7.发射机不低于1个3.5mm耳机孔，可通过3.5mm耳机孔输入音频。</w:t>
            </w:r>
          </w:p>
          <w:p w14:paraId="3C3D2A8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8.发射机支持通过Type-C口进行充电。</w:t>
            </w:r>
          </w:p>
          <w:p w14:paraId="3C26417D">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9.发射机电池孔位不低于4个，连续使用时长不低于15小时；电池具有扩展性，连续使用时长可扩展至60小时。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9A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5BBCA3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2CE9F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4A6CD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AD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航空柜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82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12U，优质</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4C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35AB47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47D8B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F566E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14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音响线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59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RVV2*1.5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CD4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574" w:type="dxa"/>
            <w:tcBorders>
              <w:top w:val="single" w:color="000000" w:sz="4" w:space="0"/>
              <w:left w:val="single" w:color="000000" w:sz="4" w:space="0"/>
              <w:bottom w:val="single" w:color="000000" w:sz="4" w:space="0"/>
            </w:tcBorders>
            <w:shd w:val="clear" w:color="auto" w:fill="auto"/>
            <w:noWrap/>
            <w:vAlign w:val="center"/>
          </w:tcPr>
          <w:p w14:paraId="314664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6A211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352B5652">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8.3 5F小会议室</w:t>
            </w:r>
          </w:p>
        </w:tc>
      </w:tr>
      <w:tr w14:paraId="1D685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4023B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55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85寸交互智能平板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DE13">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1.要求整机内置非独立外扩展的电脑模块，所有会议功能均运行在电脑模块中，系统版本优于或等同于Windows 10 IoT正版已激活操作系统。采用国密SM2、SM3加密算法对数据文件进行加密处理，并在传输过程中保持加密状态，确保数据传输和存储的安全性与可靠性；符合国家安全标准，增强整体信息安全防护能力。</w:t>
            </w:r>
          </w:p>
          <w:p w14:paraId="16588AF2">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2.整机屏幕采用≥85英寸DLED液晶屏，显示比例16:9，屏幕图像分辨率≥3840*2160，色彩度≥10bit ,色域≥85%NTSC；可视角度≥178°，支持全高清4K系统图标显示；CPU等同或优于11代i3，内存≥8G、存储≥128G。</w:t>
            </w:r>
          </w:p>
          <w:p w14:paraId="63C30135">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3.具有≥1200W高清摄像头，视场角≥105°，≥8个阵列麦克风，拾音距离≥10米。摄像头和麦克风为可拆卸模组，采用≥12个pogo pin磁吸接口设计，无需额外接线，通过物理防护达到防止会议信息外泄；摄像头具有智能取景、发言人跟踪多种摄像模式。</w:t>
            </w:r>
          </w:p>
          <w:p w14:paraId="23C5FA77">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4.输入接口：LAN≥1；TOUCH≥1；HDMI-IN≥1；DP-IN≥1；VIDEO-IN（USB-C+反控）≥1；LINE-IN≥1；MIC-IN≥1；USB-A≥4；USB-C≥1；RS232≥1；IO≥2；RELAY≥2；输出接口：HDMI-OUT≥1；LINE-OUT≥1。</w:t>
            </w:r>
          </w:p>
          <w:p w14:paraId="21E61E87">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5.产品采用≥2.1声道设计，具有≥3个音腔：≥1×32W（低音）+≥2×20W（中高音）缝隙发声扬声器；具备≥5种音效选择（可选标准或会议或人声或音乐或影院），满足不同场景需求。</w:t>
            </w:r>
          </w:p>
          <w:p w14:paraId="4D82EAA4">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要求产品具有智能按钮，内置红外传感器、温湿度传感器、光感传感器，具有实时监测和显示温度与湿度功能，并能根据环境光照自动调节亮度；具有≥1×RS232、≥2×IO、≥2×RELAY物联中控控制接口，方便与其他设备集成与管理，实现智能化的环境控制，提升使用体验与舒适度。</w:t>
            </w:r>
          </w:p>
          <w:p w14:paraId="3D42B9C5">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7.要求内置储配电池，支持异常断电保护功能，在异常断电后启用内部电池，自动保存会议资料及会议进程，通电后可继续使用。</w:t>
            </w:r>
          </w:p>
          <w:p w14:paraId="0DC96882">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8.支持多种唤醒方式，息屏状态下可通过保持注视、提笔唤醒、双击触屏、按钮方式唤醒设备亮屏，注视唤醒方式可自定义设置注视时间，提笔唤醒可快捷使用白板和批注功能。</w:t>
            </w:r>
          </w:p>
          <w:p w14:paraId="1B95A902">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具有文档无边框设计，用户打开文档自动进入文档演示模式，文档内容会全屏显示，在文档演示的过程中，可以进行批注、视频播放、分屏白板，可插入图片素材，图片叠层无限制，满足展示更多文档内容的需求。</w:t>
            </w:r>
          </w:p>
          <w:p w14:paraId="6EAA239A">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具有快速会议、保密会议会议模式；开启保密会议后会中资料不可下载，会后会议资料自动焚毁；会议过程中使用的资料，临时缓存的文件自动加密，会议结束后无法打开；具有界面水印，覆盖会议全程，防止拍照录频，泄露会议信息。</w:t>
            </w:r>
          </w:p>
          <w:p w14:paraId="16567C3B">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11.支持混合分屏，会中可同时展现白板、动态视频、音频、文档、批注等页面，可全屏展示任意分屏或对比不同方案，支持≥4个分屏。</w:t>
            </w:r>
          </w:p>
          <w:p w14:paraId="29CD72E6">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产品具有智慧会议管理平台（无需单独配置云端平台），平台采用B/S架构，支持Windows、Linux、MacOS、Android、IOS等操作系统登入控制软件；平台具有普通用户、管理员不同账号权限；平台具有后台数据看板功能，支持查看会议室使用情况、设备状态，可按月、周、日统计每日与会人员、每日会议时长、每日会议数、每日活跃用户数等，便于统计分析，统一管理；可查看单位会议、历史会议，历史会议名称、会议预订人、会议号、会议开始时间、是否录制视频，可查看/导出会前签到和投票表决结果、会议录制视频。</w:t>
            </w:r>
          </w:p>
          <w:p w14:paraId="413F738E">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产品具有智慧会议管理平台（无需单独配置云端平台），平台支持会议预约功能，主页支持实时显示当日会议列表；会议列表可查看主持人和会议时间等信息；支持查看会议室使用情况、设备状态，可按月、周、日统计每日与会人员、每日会议时长、每日会议数、每日活跃用户数等，便于统计分析，统一管理。</w:t>
            </w:r>
          </w:p>
          <w:p w14:paraId="6D793E6C">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14.内置视频会议软件，支持ITU-T H.323通信协议，会议速率支持128Kbps~8Mbps；支持H.264 Baseline Profile、H264 High Profile视频协议，可支持全高清优于或等同于1080p/30的视频会议；集成通信录，通话记录模块。</w:t>
            </w:r>
          </w:p>
          <w:p w14:paraId="2A3C9903">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15.视频会议软件支持会议签到、电子白板、电子投票、文件共享等数据会议功能，满足远程会议、培训等场景应用需求；支持多画面布局，单屏支持≥25路画面同时显示。</w:t>
            </w:r>
          </w:p>
          <w:p w14:paraId="5B390F5D">
            <w:pP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16.为保证产品的质量和用户的使用安全，投标产品需通过低蓝光认证（要求蓝光比率≤25%）。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45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53FA71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1D65D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79A5E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72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投屏器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6F2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1.会议模式：主持人模式：主持人可以触摸屏幕列表选择指定PC传屏</w:t>
            </w:r>
          </w:p>
          <w:p w14:paraId="6F95B62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2.与会人员模式：当前非主持人传屏时，谁按下传屏按钮谁就获取传屏控制权</w:t>
            </w:r>
          </w:p>
          <w:p w14:paraId="15C8FC1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3.帧率：音视频18~30帧；分辨率：720P~1080P</w:t>
            </w:r>
          </w:p>
          <w:p w14:paraId="68B93A9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4.频段：2.4GHz/5GHz</w:t>
            </w:r>
          </w:p>
          <w:p w14:paraId="45AF429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5.传输距离：无遮挡的情况下30m</w:t>
            </w:r>
          </w:p>
          <w:p w14:paraId="519BBC3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6.显示模式：支持扩展桌面（Windows 7/8/10）</w:t>
            </w:r>
          </w:p>
          <w:p w14:paraId="178083A1">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7.触摸反控：支持10点触摸回传（Windows 7/8/10）；支持鼠标模式回传（Mac）</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8A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67CBC4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5EBD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085CE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A3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D13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1.采用拼接排列扬声器设计，6只3寸进口全频单元；箱体采用12mm夹板制作。</w:t>
            </w:r>
          </w:p>
          <w:p w14:paraId="7AB6C14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2.阻抗：≤8Ω、频响等同或优于80Hz-20kHz</w:t>
            </w:r>
          </w:p>
          <w:p w14:paraId="15EDE79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3.额定功率≥150W</w:t>
            </w:r>
          </w:p>
          <w:p w14:paraId="1A9855C4">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4.灵敏度≥95dB/W/M</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3F6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0AB74D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74E12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C5885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22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音箱支架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8F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1.配套音箱支架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559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6C9F90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5A19A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9FB61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1C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专业功放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D62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1.1U机箱设计，采用D类数字功放设计方案。</w:t>
            </w:r>
          </w:p>
          <w:p w14:paraId="32B68D1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2.标准XLR输入接口，和LINK输出口。</w:t>
            </w:r>
          </w:p>
          <w:p w14:paraId="2015404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3.电源采用开关电源技术，效率高，有效的抑制电源谐波。</w:t>
            </w:r>
          </w:p>
          <w:p w14:paraId="6731E0A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4.内置智能削峰限幅器，支持开机软启动，防止开机时向电网吸收大电流，干扰其它用电设备。 </w:t>
            </w:r>
          </w:p>
          <w:p w14:paraId="4DC43B5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5.具有：过压保护，欠压保护，过流保护，直流保护，输出短路保护，温控风扇等功能。</w:t>
            </w:r>
          </w:p>
          <w:p w14:paraId="62822C00">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6.输出功率：立体声@8Ω：≥200W×2；立体声@4Ω：≥400W×2。</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94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15B0CD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FF91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A88F7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33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调音台</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075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1.支持≥8路麦克风输入兼容6路线路输入接口，支持≥2路立体声输入接口，≥4路RCA输入，话筒接口幻象电源：+48V。</w:t>
            </w:r>
          </w:p>
          <w:p w14:paraId="08F5714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2.具有≥2组立体主输出、≥4路编组输出、≥4路辅助输出、≥1组立体声监听输出、≥1个耳机监听输出、≥1个效果输出、≥1组主混音断点插入、≥6个断点插入。</w:t>
            </w:r>
          </w:p>
          <w:p w14:paraId="66C7511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3.内置≥24位DSP效果器，提供≥100种预设效果。</w:t>
            </w:r>
          </w:p>
          <w:p w14:paraId="3797A13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4.具备≥13个60mm行程的高精密碳膜推子。</w:t>
            </w:r>
          </w:p>
          <w:p w14:paraId="2A58011E">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5.内置USB声卡模块，支持连接电脑进行音乐播放和声音录音；内置MP3播放器，支持≥1个USB接口接U盘播放音乐。</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40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488692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3F83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1238B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81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音频处理器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F84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1.输入：≥4路平衡式线路输入，采用标准卡侬接口，平衡接法。 </w:t>
            </w:r>
          </w:p>
          <w:p w14:paraId="0872B8C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2.输出：≥8路平衡式线路输出，采用标准卡侬接口，平衡接法。</w:t>
            </w:r>
          </w:p>
          <w:p w14:paraId="6F0D1F0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3.支持FIR滤波器。</w:t>
            </w:r>
          </w:p>
          <w:p w14:paraId="6F54DA1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4.内置数字音频处理算法：增益、延迟、EQ、混音矩阵、压缩器、分配和限幅器。</w:t>
            </w:r>
          </w:p>
          <w:p w14:paraId="2B8C047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5.支持断电自动保护记忆功能。</w:t>
            </w:r>
          </w:p>
          <w:p w14:paraId="598D7DF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6.支持通道联控功能。</w:t>
            </w:r>
          </w:p>
          <w:p w14:paraId="7634F489">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7.支持USB和RJ45两种连接方式，实现PC软件控制，支持RS232控制，提供第三方控制协议，用于对接中控系统。</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47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5D3366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1BBFF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4262A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81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8路电源管理器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F42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1.支持≥8通道电源时序打开/关闭，支持远程控制（上电+24V直流信号）≥8通道电源时序打开/关闭—当电源开关锁处于off位置时有效。支持配置CH1和CH2通道为受控或不受控状态。</w:t>
            </w:r>
          </w:p>
          <w:p w14:paraId="5DA6449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2.当远程控制有效时同时控制后板ALARM（报警）端口导通以起到级联控制ALARM（报警）功能。</w:t>
            </w:r>
          </w:p>
          <w:p w14:paraId="7339C49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3.单个通道最大负载功率≥3500W，所有通道负载总功率达≥6000W，输入连接器：大功率线码式电源连接器。 </w:t>
            </w:r>
          </w:p>
          <w:p w14:paraId="66D3486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4.输出连接器：≥2个16A，≥2个16A接线端子和≥4个10A电源插座。</w:t>
            </w:r>
          </w:p>
          <w:p w14:paraId="60744C9E">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5.具有≥1路USB接口。</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D9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3CBA08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F18CF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17964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D8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无线一拖四鹅颈话筒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1E7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1.具有≥1台接收主机、≥4只桌面式鹅颈咪杆话筒；频率范围等同或优于540MHz-590MHz、640MHz-690MHz。</w:t>
            </w:r>
          </w:p>
          <w:p w14:paraId="0C5FBFC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2.接收机具有≥4路平衡输出、≥1路非平衡混音输出。</w:t>
            </w:r>
          </w:p>
          <w:p w14:paraId="326BB34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3.具有自动频率扫描功能，可快速地给麦克风找到清晰的频率。</w:t>
            </w:r>
          </w:p>
          <w:p w14:paraId="784C3BB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4.支持混响调节功能，比例调节、延时调节、电平调节≥25个档位。</w:t>
            </w:r>
          </w:p>
          <w:p w14:paraId="76B73ED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5.支持麦克风均衡器调节功能，≥高、中、低音三种调节档位。</w:t>
            </w:r>
          </w:p>
          <w:p w14:paraId="36A6520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6.接收机具有显示屏，用户可通过显示屏查看设备发射功率强度、音频加密状态、电池电量、频率数值。</w:t>
            </w:r>
          </w:p>
          <w:p w14:paraId="4B44156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7.桌面麦≥1个3.5mm耳机孔，可通过3.5mm耳机孔输入音频。</w:t>
            </w:r>
          </w:p>
          <w:p w14:paraId="5D067B6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8.桌面麦支持通过Type-C口进行充电。</w:t>
            </w:r>
          </w:p>
          <w:p w14:paraId="706409F3">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9.桌面麦电池孔位≥4个，连续使用时长≥15小时；电池具有扩展性，连续使用时长可扩展至≥60小时。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FCC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D4FA1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F095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ED298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79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航空柜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B3B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20U航空柜，优质</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51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15E8E8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16235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49C04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5B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音响线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76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RVV2*1.5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AE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w:t>
            </w:r>
          </w:p>
        </w:tc>
        <w:tc>
          <w:tcPr>
            <w:tcW w:w="574" w:type="dxa"/>
            <w:tcBorders>
              <w:top w:val="single" w:color="000000" w:sz="4" w:space="0"/>
              <w:left w:val="single" w:color="000000" w:sz="4" w:space="0"/>
              <w:bottom w:val="single" w:color="000000" w:sz="4" w:space="0"/>
            </w:tcBorders>
            <w:shd w:val="clear" w:color="auto" w:fill="auto"/>
            <w:noWrap/>
            <w:vAlign w:val="center"/>
          </w:tcPr>
          <w:p w14:paraId="6758A6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6F166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14832A6C">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8.4 5F多功能厅</w:t>
            </w:r>
          </w:p>
        </w:tc>
      </w:tr>
      <w:tr w14:paraId="561815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2BF05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D8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室内全彩显示屏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187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屏体净尺寸：长5.44m*高2.24m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1、像素点间距≤1.86mm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2、像素密度≥280000点/m²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3、像素结构：SMD1515</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4、刷新频率≥3840HZ</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5、显示单元亮度800cd/㎡，亮度调节0~100%无极可调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6、亮度均匀性≥98%</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7、对比度≥8000:1</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8、灯芯的波长误差值在±1nm之内，每个灯芯的亮度误差在5%以内</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9、模组表面防护等级：IP63</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10、灰度等级：16bit，且支持在不同亮度情况下8~16bit任意设置，红绿蓝各16bit</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11、屏体色温：800K~11000K可调</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12、色温为6500K时，100%，75%，50%，25%四档电平白场调节色温误差≤200K。</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13、模组反光率＜5%</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14、平均工作无障碍时间：≥100000小时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15、摩尔纹消除：正常工作时支持消除摩尔纹功能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16、支持消除开路十字架功能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17、校正曲线：支持γ校正曲线20条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18、显示屏通过高温试验：将样品放置60℃环境试验箱，通电工作8H后恢复常温1h，试验前、中、后样品工作无异常。</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19、显示屏具备防蓝光护眼模式，并通过光生物安全监测，属无害类</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20、屏幕具备单独调教伽马设计</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D9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12.18</w:t>
            </w:r>
          </w:p>
        </w:tc>
        <w:tc>
          <w:tcPr>
            <w:tcW w:w="574" w:type="dxa"/>
            <w:tcBorders>
              <w:top w:val="single" w:color="000000" w:sz="4" w:space="0"/>
              <w:left w:val="single" w:color="000000" w:sz="4" w:space="0"/>
              <w:bottom w:val="single" w:color="000000" w:sz="4" w:space="0"/>
            </w:tcBorders>
            <w:shd w:val="clear" w:color="auto" w:fill="auto"/>
            <w:vAlign w:val="center"/>
          </w:tcPr>
          <w:p w14:paraId="276BB9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m²</w:t>
            </w:r>
          </w:p>
        </w:tc>
      </w:tr>
      <w:tr w14:paraId="2D163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40385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60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97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1、输入电压：220V；</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2、输出电压：5V；</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3、输出电流：40A；</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4、连接方式：全桥式；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5、配合模组使用；</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4B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w:t>
            </w:r>
          </w:p>
        </w:tc>
        <w:tc>
          <w:tcPr>
            <w:tcW w:w="574" w:type="dxa"/>
            <w:tcBorders>
              <w:top w:val="single" w:color="000000" w:sz="4" w:space="0"/>
              <w:left w:val="single" w:color="000000" w:sz="4" w:space="0"/>
              <w:bottom w:val="single" w:color="000000" w:sz="4" w:space="0"/>
            </w:tcBorders>
            <w:shd w:val="clear" w:color="auto" w:fill="auto"/>
            <w:noWrap/>
            <w:vAlign w:val="center"/>
          </w:tcPr>
          <w:p w14:paraId="0527B5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68ED7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0A4AD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29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CC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1.集成12个HUB75，无需再配转接板，更稳定，更可靠，更方便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2.单卡最大带载192*1024，单卡支持24组RGB信号输出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3.支持8bit色深视频源输入输出，单色灰阶为256，可搭配出16777216种混合色彩</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4.支持从静态到128扫描之间的任意扫描类型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5.支持逐点亮色度校正，支持多层校正，解决非线性亮度变化导致的低灰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色块和色温偏移问题，使低亮和低灰画面更均衡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6.拥有自适应帧率技术，不仅支持23.98/24/29.97/30/50/59.94/60Hz常规及非整数帧率，还可输出显示120/240Hz高帧率画面，大幅提升画面流畅度、减少拖影。</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7.支持画面旋转，单个箱体画面以90°/180°/270°角度进行旋转，配合部分主控可实现单箱体画面任意角度旋转显示</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10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574" w:type="dxa"/>
            <w:tcBorders>
              <w:top w:val="single" w:color="000000" w:sz="4" w:space="0"/>
              <w:left w:val="single" w:color="000000" w:sz="4" w:space="0"/>
              <w:bottom w:val="single" w:color="000000" w:sz="4" w:space="0"/>
            </w:tcBorders>
            <w:shd w:val="clear" w:color="auto" w:fill="auto"/>
            <w:noWrap/>
            <w:vAlign w:val="center"/>
          </w:tcPr>
          <w:p w14:paraId="6B3D82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5599E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1419B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A3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发送卡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50E063AF">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一路DVI视频输入+一路DVILOOP输入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一路HDMI1.4输入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六个网口输出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RS232接口控制，可级联多台进行统一控制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USB接口输入输出，连接电脑进行参数调整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最大带载分辨率1920×1200（最宽4096，最高2560）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51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4453C2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5B734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E93AC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40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大屏控制器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33899AFB">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单板2路HDMI1.4接口 4K2K@30F向下兼容 8路HDMI1.3输出接口，最大分辨率1080P@30fps输出，不带解码功能，单屏16窗，支持小间距对接自定义分辨率输出  支持液晶屏/DLP屏/小间距显示屏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单屏支持1/4/6/8/9/16/32分割；支持自定义分割；</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支持250个场景预案；每个电视墙支持30个预案场景；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预案场景切换时间小于20ms，切换过程无花屏，无黑场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输入信号输出到各屏幕的显示时差小于1ms；</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支持信号复制功能，每路信号源可复制8路输出展示；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支持在C/S、B/S、IPAD上进行预监回显展示；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支持任一信号可在整屏位置漫游、缩放、叠加展示，图层可达35层；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支持4096*2160@25Hz、3840*2160@30Hz及以下常规分辨率采集；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支持3840*2160@30Hz分辨率及以下分辨率自定义输出；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支持4路3840*2160@30fps/16路1080p@30fps及以下标清视频解码能力;</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6B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7B453A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0445C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A6001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71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配电柜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77221270">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20(KW)带远程上电、漏电保护，壁挂安装</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17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FBBAE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E84C2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2AF77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F5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钢结构边框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1B7563CA">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1、钢结构尺寸：5.54*2.34m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2、钢结构：钢架构件（含接合板）采用Q235B钢制作，结构用钢应符合《GB700-88》规定的Q235要求，保证其抗拉强度、伸长率、屈服点，碳、硫、磷的极限含量；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3、焊条：手工焊：Q235连接用E43系列焊条；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4、自动焊：Q235连接用H08系列焊条；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5、要求：抗震7级，抗风8级；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6、包边：不锈钢包边；</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D4E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12.96</w:t>
            </w:r>
          </w:p>
        </w:tc>
        <w:tc>
          <w:tcPr>
            <w:tcW w:w="574" w:type="dxa"/>
            <w:tcBorders>
              <w:top w:val="single" w:color="000000" w:sz="4" w:space="0"/>
              <w:left w:val="single" w:color="000000" w:sz="4" w:space="0"/>
              <w:bottom w:val="single" w:color="000000" w:sz="4" w:space="0"/>
            </w:tcBorders>
            <w:shd w:val="clear" w:color="auto" w:fill="auto"/>
            <w:noWrap/>
            <w:vAlign w:val="center"/>
          </w:tcPr>
          <w:p w14:paraId="7FA1DD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m²</w:t>
            </w:r>
          </w:p>
        </w:tc>
      </w:tr>
      <w:tr w14:paraId="57D969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DDF90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8B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线缆及铺设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296AFCF6">
            <w:pPr>
              <w:keepNext w:val="0"/>
              <w:keepLines w:val="0"/>
              <w:widowControl/>
              <w:suppressLineNumbers w:val="0"/>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国标4平方三相五线制，超五类网线16+2根</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ECE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39CFA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w:t>
            </w:r>
          </w:p>
        </w:tc>
      </w:tr>
      <w:tr w14:paraId="134302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7D140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4F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12寸主扩声音箱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0F9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1.阻抗≤8Ω</w:t>
            </w:r>
          </w:p>
          <w:p w14:paraId="319294F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2.频响等同或优于50Hz~20KHz</w:t>
            </w:r>
          </w:p>
          <w:p w14:paraId="54181E3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3.额定功率≥350W</w:t>
            </w:r>
          </w:p>
          <w:p w14:paraId="483B3E5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4.灵敏度≥99dB/W/M</w:t>
            </w:r>
          </w:p>
          <w:p w14:paraId="0B5C891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5.水平覆盖角≥80°，垂直覆盖角≥60°</w:t>
            </w:r>
          </w:p>
          <w:p w14:paraId="11EBE7C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6.高音≥1.7"压缩高音单元×1</w:t>
            </w:r>
          </w:p>
          <w:p w14:paraId="7F3B890E">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7.低音≥12"低音×1</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01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19B754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02FEE9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41F7B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A6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10寸辅助音箱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7DC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1.阻抗≤8Ω</w:t>
            </w:r>
          </w:p>
          <w:p w14:paraId="5E270DD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2.频响等同或优于55Hz~20KHz</w:t>
            </w:r>
          </w:p>
          <w:p w14:paraId="21D90BE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3.额定功率≥300W</w:t>
            </w:r>
          </w:p>
          <w:p w14:paraId="439C3FA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4.灵敏度≥98dB/W/M</w:t>
            </w:r>
          </w:p>
          <w:p w14:paraId="2FCFBBD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5.水平覆盖角≥80°，垂直覆盖角≥60°</w:t>
            </w:r>
          </w:p>
          <w:p w14:paraId="26C4653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6.高音≥1.4"压缩高音单元×1</w:t>
            </w:r>
          </w:p>
          <w:p w14:paraId="375A3297">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7.低音≥10"低音×1</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07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003656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1021F0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A25A8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09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10寸专业返送全频音箱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F2D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1.阻抗≤8Ω</w:t>
            </w:r>
          </w:p>
          <w:p w14:paraId="519CAC4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2.频响等同或优于60Hz-20KHz</w:t>
            </w:r>
          </w:p>
          <w:p w14:paraId="520C624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3.额定功率≥300W</w:t>
            </w:r>
          </w:p>
          <w:p w14:paraId="4CA4926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4.灵敏度≥98dB/W/M</w:t>
            </w:r>
          </w:p>
          <w:p w14:paraId="3B854C5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5.水平覆盖角≥80°，垂直覆盖角≥60°</w:t>
            </w:r>
          </w:p>
          <w:p w14:paraId="2227C513">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6.高音≤1.4"压缩高音单元×1；低音：10"低音×1</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37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119403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28C6D3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25203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13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主扩声功放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BEE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1.1U机箱设计，采用D类数字功放设计方案。</w:t>
            </w:r>
          </w:p>
          <w:p w14:paraId="32E51F0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2.标准XLR输入接口，和LINK输出口。</w:t>
            </w:r>
          </w:p>
          <w:p w14:paraId="1697C3C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3.电源采用开关电源技术，效率高，有效的抑制电源谐波。</w:t>
            </w:r>
          </w:p>
          <w:p w14:paraId="3A61AB4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4.内置智能削峰限幅器，支持开机软启动，防止开机时向电网吸收大电流，干扰其它用电设备。 </w:t>
            </w:r>
          </w:p>
          <w:p w14:paraId="2D917B6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5.具有：过压保护，欠压保护，过流保护，直流保护，输出短路保护，温控风扇等功能。</w:t>
            </w:r>
          </w:p>
          <w:p w14:paraId="47122D92">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6.输出功率：立体声@8Ω：≥700W×2；立体声@4Ω：≥1000W×2；桥接@16Ω：≥1400W；桥接@8Ω：≥2000W</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EE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749C6B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D2D5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B6D36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45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辅助功放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6E0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1.1U机箱设计，采用D类数字功放设计方案。</w:t>
            </w:r>
          </w:p>
          <w:p w14:paraId="3FA93EC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2.标准XLR输入接口，和LINK输出口。</w:t>
            </w:r>
          </w:p>
          <w:p w14:paraId="427D15A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3.电源采用开关电源技术，效率高，有效的抑制电源谐波。</w:t>
            </w:r>
          </w:p>
          <w:p w14:paraId="24EB920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4.内置智能削峰限幅器，支持开机软启动，防止开机时向电网吸收大电流，干扰其它用电设备。 </w:t>
            </w:r>
          </w:p>
          <w:p w14:paraId="155B709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5.具有：过压保护，欠压保护，过流保护，直流保护，输出短路保护，温控风扇等功能。</w:t>
            </w:r>
          </w:p>
          <w:p w14:paraId="2AFECABE">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6.输出功率：立体声@8Ω：≥500W×2；立体声@4Ω：≥850W×2；桥接@8Ω：≥1700W。</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D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740E8A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743B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31DC0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1F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专业返送功放</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FD6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1.1U机箱设计，采用D类数字功放设计方案。</w:t>
            </w:r>
          </w:p>
          <w:p w14:paraId="2F06765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2.标准XLR输入接口，和LINK输出口。</w:t>
            </w:r>
          </w:p>
          <w:p w14:paraId="40B5D9E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3.电源采用开关电源技术，效率高，有效的抑制电源谐波。</w:t>
            </w:r>
          </w:p>
          <w:p w14:paraId="1D7B413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4.内置智能削峰限幅器，支持开机软启动，防止开机时向电网吸收大电流，干扰其它用电设备。 </w:t>
            </w:r>
          </w:p>
          <w:p w14:paraId="2CD48A3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5.具有：过压保护，欠压保护，过流保护，直流保护，输出短路保护，温控风扇等功能。</w:t>
            </w:r>
          </w:p>
          <w:p w14:paraId="427BD21F">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6.输出功率：立体声@8Ω：≥500W×2；立体声@4Ω：≥850W×2；桥接@8Ω：≥1700W。</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2F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7365BB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F02DC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6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0A835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D1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调音台</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BAB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1.支持≥10路MIC输入兼容8路线路输入接口，支持≥2组立体声输入接口，≥4路RCA输入，话筒接口幻象电源：+48V。</w:t>
            </w:r>
          </w:p>
          <w:p w14:paraId="46BA89F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2.具有≥2组立体主输出、≥4路编组输出、≥4路辅助输出、≥1组立体声监听输出、≥1个耳机监听输出、≥1个效果输出、≥1组主混音断点插入、≥8个断点插入。</w:t>
            </w:r>
          </w:p>
          <w:p w14:paraId="1853FC8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3.内置≥24位DSP效果器，提供≥100种预设效果。</w:t>
            </w:r>
          </w:p>
          <w:p w14:paraId="47A915B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4.具备≥15个60mm行程的高精密碳膜推子。</w:t>
            </w:r>
          </w:p>
          <w:p w14:paraId="49106BC9">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5.内置USB声卡模块，支持连接电脑进行音乐播放和声音录音；内置MP3播放器，支持≥1个USB接口接U盘播放音乐。</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3D2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03D303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5C7DC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9D951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D0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音频处理器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531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1.输入：≥4路平衡式线路输入，采用标准卡侬接口，平衡接法。 </w:t>
            </w:r>
          </w:p>
          <w:p w14:paraId="1AE36AC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2.输出：≥8路平衡式线路输出，采用标准卡侬接口，平衡接法。</w:t>
            </w:r>
          </w:p>
          <w:p w14:paraId="2F6D962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3.支持FIR滤波器。</w:t>
            </w:r>
          </w:p>
          <w:p w14:paraId="0737B76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4.内置数字音频处理算法：增益、延迟、EQ、混音矩阵、压缩器、分配和限幅器。</w:t>
            </w:r>
          </w:p>
          <w:p w14:paraId="55BD2F7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5.支持断电自动保护记忆功能。</w:t>
            </w:r>
          </w:p>
          <w:p w14:paraId="6F476BD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6.支持通道联控功能。</w:t>
            </w:r>
          </w:p>
          <w:p w14:paraId="28E567D0">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7.支持USB和RJ45两种连接方式，实现PC软件控制，支持RS232控制，提供第三方控制协议，用于对接中控系统。</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C2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7816F1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B9982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FBD6F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D8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反馈抑制器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876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1.高性能DSP处理，≥40-bit DSP处理器（400兆主频），提供≥32-bit/48kHz的声音。</w:t>
            </w:r>
          </w:p>
          <w:p w14:paraId="251A6C6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2.采用“陷波”+“移频”双方式进行反馈抑制。陷波器提供12固定点+12动态点。高精度移频，范围等同或优于-10Hz到10Hz。</w:t>
            </w:r>
          </w:p>
          <w:p w14:paraId="710AC56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3.均衡器支持≥31段图示均衡器和8段参量均衡器。</w:t>
            </w:r>
          </w:p>
          <w:p w14:paraId="13DC45E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4.支持巴特沃斯，贝塞尔，林克威治-瑞利三种类型及多种倍频程。</w:t>
            </w:r>
          </w:p>
          <w:p w14:paraId="78F0778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5.具有自动增益功能，声音达到一定峰值自动衰减变小，声音较小则自动增益放大。</w:t>
            </w:r>
          </w:p>
          <w:p w14:paraId="2121AD4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6.具有一个IPS真彩显示屏。支持中英文切换显示。</w:t>
            </w:r>
          </w:p>
          <w:p w14:paraId="37117CE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7.具有≥48个陷波器状态LED指示灯实时显示，每通道≥12个静态+≥12个动态陷波器。</w:t>
            </w:r>
          </w:p>
          <w:p w14:paraId="39D312B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8.具有≥双通道直通，一键重置陷波点配置功能。</w:t>
            </w:r>
          </w:p>
          <w:p w14:paraId="720A8DC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9.支持≥4个场景切换。</w:t>
            </w:r>
          </w:p>
          <w:p w14:paraId="420961F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10.支持设备定位功能、断电自动保护记忆功能。</w:t>
            </w:r>
          </w:p>
          <w:p w14:paraId="6DA9613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11.输入通道及插座≥2路XLR与TRS多功能座模拟输入；输出通道及插座≥2路XLR公座+≥2路TRS公座模拟输出。</w:t>
            </w:r>
          </w:p>
          <w:p w14:paraId="6525DD54">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12.支持通过后台管理软件对多台设备进行批量升级。</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AE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C0743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6E01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CAB7A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88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10路电源管理器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C16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1.具有≥12路电源插座，支持≥6路10A的、≥6路16A的插座规格。前面板具有≥2路常开状态电源插座。</w:t>
            </w:r>
          </w:p>
          <w:p w14:paraId="5F61A2A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2.每路有单独的滤波器。</w:t>
            </w:r>
          </w:p>
          <w:p w14:paraId="784B4A0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3.采用≥3芯单相的电源接线接口。</w:t>
            </w:r>
          </w:p>
          <w:p w14:paraId="0A54101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4.具备有数字电压指示功能，可实时的指示电网电压。</w:t>
            </w:r>
          </w:p>
          <w:p w14:paraId="4BAF994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5.支持密码锁定功能。</w:t>
            </w:r>
          </w:p>
          <w:p w14:paraId="32D1E14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6.具有通道延时编辑功能，可以自定义修改通道间的延时时间。集成RS485远程控制功能，支持通过USB、RS485、RS232等多样控制方式。</w:t>
            </w:r>
          </w:p>
          <w:p w14:paraId="22B46E7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7.具有WIFI（可选）、远程互联网控制（可选）等控制方式。</w:t>
            </w:r>
          </w:p>
          <w:p w14:paraId="1E1E109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8.支持定时开关机任务的功能，定时时长最长可设置达≥12个月的定时开关机功能。</w:t>
            </w:r>
          </w:p>
          <w:p w14:paraId="1D330FCA">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9.支持通过LINK口实现多台（同款）电源时序器级联；支持通过前面板按键设置设备地址码。</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BBE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7EF155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3D439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23FB3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27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无线一拖四鹅颈话筒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0EA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1.具有≥1台接收主机、≥4只桌面式鹅颈咪杆话筒；频率范围等同或优于540MHz-590MHz、640MHz-690MHz。</w:t>
            </w:r>
          </w:p>
          <w:p w14:paraId="76B92BF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2.接收机具有≥4路平衡输出、≥1路非平衡混音输出。</w:t>
            </w:r>
          </w:p>
          <w:p w14:paraId="1011A96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3.具有自动频率扫描功能，可快速地给麦克风找到清晰的频率。</w:t>
            </w:r>
          </w:p>
          <w:p w14:paraId="4B3F6F1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4.支持混响调节功能，比例调节、延时调节、电平调节≥25个档位。</w:t>
            </w:r>
          </w:p>
          <w:p w14:paraId="164E2A0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5.支持麦克风均衡器调节功能，≥高、中、低音三种调节档位。</w:t>
            </w:r>
          </w:p>
          <w:p w14:paraId="1CBA313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6.接收机具有显示屏，用户可通过显示屏查看设备发射功率强度、音频加密状态、电池电量、频率数值。</w:t>
            </w:r>
          </w:p>
          <w:p w14:paraId="786903E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7.桌面麦≥1个3.5mm耳机孔，可通过3.5mm耳机孔输入音频。</w:t>
            </w:r>
          </w:p>
          <w:p w14:paraId="5C63DB1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8.桌面麦支持通过Type-C口进行充电。</w:t>
            </w:r>
          </w:p>
          <w:p w14:paraId="6D3A94D9">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9.桌面麦电池孔位≥4个，连续使用时长≥15小时；电池具有扩展性，连续使用时长可扩展至≥60小时。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73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3E7951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EAB2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8DA28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FF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真分集无线话筒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7BCBDB2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1.具有≥1台接收主机、≥双手持发射机；频率范围等同或优于470-510MHz、540MHz-590MHz、640MHz-690MHz、807MHz-830MHz。</w:t>
            </w:r>
          </w:p>
          <w:p w14:paraId="5D3252C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2.接收机具有≥2路平衡输出、≥1路非平衡混音输出。</w:t>
            </w:r>
          </w:p>
          <w:p w14:paraId="3F94C74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3.具有自动频率扫描功能，可快速地给麦克风找到清晰的频率。</w:t>
            </w:r>
          </w:p>
          <w:p w14:paraId="4B7D0C2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4.支持混响调节功能，比例调节、延时调节、电平调节≥25个档位。</w:t>
            </w:r>
          </w:p>
          <w:p w14:paraId="7C503EE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5.支持麦克风均衡器调节功能，≥高、中、低音三种调节档位。</w:t>
            </w:r>
          </w:p>
          <w:p w14:paraId="1B0F587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6.接收机具有显示屏，用户可通过显示屏查看设备发射功率强度、音频加密状态、电池电量、频率数值、智能静音状态、静音标志。</w:t>
            </w:r>
          </w:p>
          <w:p w14:paraId="2DA0E89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7.具有自动静音功能，麦克风跌落、抛掷时，毫秒级响应自动静音，避免冲击声；产品静置5秒自动静音。</w:t>
            </w:r>
          </w:p>
          <w:p w14:paraId="6A58ED7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8.麦克风具有长时间静置自动关机功能，设备自动检测工作状态（使用状态、静置状态），静置时间≥8分钟后，设备自动关机。</w:t>
            </w:r>
          </w:p>
          <w:p w14:paraId="3742500E">
            <w:pPr>
              <w:pStyle w:val="62"/>
              <w:ind w:left="0" w:leftChars="0" w:firstLine="0" w:firstLineChars="0"/>
              <w:rPr>
                <w:rFonts w:hint="default"/>
                <w:color w:val="auto"/>
                <w:highlight w:val="none"/>
                <w:lang w:val="en-US"/>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无线台式话筒5个。</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82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64D2E0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5A8904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EFB5C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4B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航空柜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DFF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20U，优质</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F9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37FB1A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0CCCA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062FE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1E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舞台灯光</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ED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舞台灯光，含桁架</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1A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15A0EF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06EA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EC576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8C6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辅材</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A13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音箱线、CAT5网线、信号线、音频线、HDMI线、多媒体地插等</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27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66B418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E1F2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7B94A566">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9.视频监控系统</w:t>
            </w:r>
          </w:p>
        </w:tc>
      </w:tr>
      <w:tr w14:paraId="6A98E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8A230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85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400万智能网络枪机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B8C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传感器类型：1/3英寸CMOS；</w:t>
            </w:r>
          </w:p>
          <w:p w14:paraId="3F2A549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像素：</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400万；</w:t>
            </w:r>
          </w:p>
          <w:p w14:paraId="08B1297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最大分辨率：</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2688×1520；</w:t>
            </w:r>
          </w:p>
          <w:p w14:paraId="5BD02CB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最低照度：0.002lux（彩色模式）；0.0002lux（黑白模式）；0lux（补光灯开启）；</w:t>
            </w:r>
          </w:p>
          <w:p w14:paraId="5499F51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最大补光距离：50m（红外）；</w:t>
            </w:r>
          </w:p>
          <w:p w14:paraId="1337B41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补光灯：1颗（红外灯）；</w:t>
            </w:r>
          </w:p>
          <w:p w14:paraId="25216CA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镜头类型：定焦；</w:t>
            </w:r>
          </w:p>
          <w:p w14:paraId="1E95C72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镜头焦距：3.6mm；</w:t>
            </w:r>
          </w:p>
          <w:p w14:paraId="221DD75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镜头光圈：F1.6；</w:t>
            </w:r>
          </w:p>
          <w:p w14:paraId="7DBE3F0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视场角：水平：84°；垂直：45°；对角：100°；</w:t>
            </w:r>
          </w:p>
          <w:p w14:paraId="1D1E2FF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通用行为分析：绊线入侵；区域入侵；</w:t>
            </w:r>
          </w:p>
          <w:p w14:paraId="45AE1B2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智能编码：H.264：支持H.265：支持；</w:t>
            </w:r>
          </w:p>
          <w:p w14:paraId="53B1E16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宽动态：120dB；</w:t>
            </w:r>
          </w:p>
          <w:p w14:paraId="1638593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走廊模式：90°/270°（在2688×1520分辨率及以下支持）；</w:t>
            </w:r>
          </w:p>
          <w:p w14:paraId="69F904A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报警事件：网络断开；IP冲突；非法访问；动态检测；视频遮挡；绊线入侵；区域入侵；电压检测；安全异常；</w:t>
            </w:r>
          </w:p>
          <w:p w14:paraId="6CAF0C9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接入标准：ONVIF（Profile S &amp; Profile T）；CGI；GB/T28181-2022；</w:t>
            </w:r>
          </w:p>
          <w:p w14:paraId="793922A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预览最大用户数：20个（总带宽：48Ｍ）；</w:t>
            </w:r>
          </w:p>
          <w:p w14:paraId="5CD3AD3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供电方式：DC12V/PoE；</w:t>
            </w:r>
          </w:p>
          <w:p w14:paraId="21DF76D5">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防护等级：IP67</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D5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574" w:type="dxa"/>
            <w:tcBorders>
              <w:top w:val="single" w:color="000000" w:sz="4" w:space="0"/>
              <w:left w:val="single" w:color="000000" w:sz="4" w:space="0"/>
              <w:bottom w:val="single" w:color="000000" w:sz="4" w:space="0"/>
            </w:tcBorders>
            <w:shd w:val="clear" w:color="auto" w:fill="auto"/>
            <w:vAlign w:val="center"/>
          </w:tcPr>
          <w:p w14:paraId="0FDB12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20E83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BE3A5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2C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壁装支架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1DA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铝合金；最大承重1.0kg；壁装；</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95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574" w:type="dxa"/>
            <w:tcBorders>
              <w:top w:val="single" w:color="000000" w:sz="4" w:space="0"/>
              <w:left w:val="single" w:color="000000" w:sz="4" w:space="0"/>
              <w:bottom w:val="single" w:color="000000" w:sz="4" w:space="0"/>
            </w:tcBorders>
            <w:shd w:val="clear" w:color="auto" w:fill="auto"/>
            <w:vAlign w:val="center"/>
          </w:tcPr>
          <w:p w14:paraId="79D24F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1F35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FEE5D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7D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400万智能网络半球</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BAD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传感器类型：1/3英寸CMOS；</w:t>
            </w:r>
          </w:p>
          <w:p w14:paraId="188C93D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像素：</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400万；</w:t>
            </w:r>
          </w:p>
          <w:p w14:paraId="70D4468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最大分辨率：</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2688×1520；</w:t>
            </w:r>
          </w:p>
          <w:p w14:paraId="3B15DC8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最低照度：0.002lux（彩色模式）；0.0002lux（黑白模式）；0lux（补光灯开启）；</w:t>
            </w:r>
          </w:p>
          <w:p w14:paraId="18AD24E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最大补光距离：50m（红外）；</w:t>
            </w:r>
          </w:p>
          <w:p w14:paraId="4782BE2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补光灯：1颗（红外灯）；</w:t>
            </w:r>
          </w:p>
          <w:p w14:paraId="5027A6A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镜头类型：定焦；</w:t>
            </w:r>
          </w:p>
          <w:p w14:paraId="7DB94D4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镜头焦距：2.8mm；</w:t>
            </w:r>
          </w:p>
          <w:p w14:paraId="6C12A0F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镜头光圈：F1.6；</w:t>
            </w:r>
          </w:p>
          <w:p w14:paraId="09E397C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视场角：水平：102°；垂直：55°；对角：121°；</w:t>
            </w:r>
          </w:p>
          <w:p w14:paraId="21DA586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通用行为分析：绊线入侵；区域入侵；</w:t>
            </w:r>
          </w:p>
          <w:p w14:paraId="4235A96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智能编码：H.264：支持H.265：支持；</w:t>
            </w:r>
          </w:p>
          <w:p w14:paraId="6985567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宽动态：120dB；</w:t>
            </w:r>
          </w:p>
          <w:p w14:paraId="562A8A8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走廊模式：90°/270°（在2688×1520分辨率及以下支持）；</w:t>
            </w:r>
          </w:p>
          <w:p w14:paraId="63AC5A0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内置MIC：支持，内置1个MIC；</w:t>
            </w:r>
          </w:p>
          <w:p w14:paraId="08D36D1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报警事件：网络断开；IP冲突；非法访问；动态检测；视频遮挡；绊线入侵；区域入侵；音频异常侦测；电压检测；安全异常；</w:t>
            </w:r>
          </w:p>
          <w:p w14:paraId="0A24F4E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接入标准：ONVIF（Profile S &amp; Profile T）；CGI；GB/T28181-2022；</w:t>
            </w:r>
          </w:p>
          <w:p w14:paraId="502A8F3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预览最大用户数：20个（总带宽：48Ｍ）；</w:t>
            </w:r>
          </w:p>
          <w:p w14:paraId="3661A7D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供电方式：DC12V/PoE；</w:t>
            </w:r>
          </w:p>
          <w:p w14:paraId="4C1FD0E7">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防护等级：IP67</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D3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98</w:t>
            </w:r>
          </w:p>
        </w:tc>
        <w:tc>
          <w:tcPr>
            <w:tcW w:w="574" w:type="dxa"/>
            <w:tcBorders>
              <w:top w:val="single" w:color="000000" w:sz="4" w:space="0"/>
              <w:left w:val="single" w:color="000000" w:sz="4" w:space="0"/>
              <w:bottom w:val="single" w:color="000000" w:sz="4" w:space="0"/>
            </w:tcBorders>
            <w:shd w:val="clear" w:color="auto" w:fill="auto"/>
            <w:vAlign w:val="center"/>
          </w:tcPr>
          <w:p w14:paraId="69ED97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5164D2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466DE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ED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智能电梯摄像机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D85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传感器类型：1/2.9英寸CMOS；</w:t>
            </w:r>
          </w:p>
          <w:p w14:paraId="4C89D95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像素：</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400万；</w:t>
            </w:r>
          </w:p>
          <w:p w14:paraId="5C47E0C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最大分辨率：</w:t>
            </w:r>
            <w:r>
              <w:rPr>
                <w:rFonts w:hint="eastAsia" w:ascii="宋体" w:hAnsi="宋体" w:eastAsia="宋体" w:cs="宋体"/>
                <w:color w:val="auto"/>
                <w:sz w:val="24"/>
                <w:szCs w:val="24"/>
                <w:highlight w:val="none"/>
                <w:lang w:eastAsia="zh-CN"/>
              </w:rPr>
              <w:t>≧</w:t>
            </w:r>
            <w:r>
              <w:rPr>
                <w:rFonts w:hint="eastAsia" w:ascii="仿宋" w:hAnsi="仿宋" w:eastAsia="仿宋" w:cs="仿宋"/>
                <w:color w:val="auto"/>
                <w:sz w:val="24"/>
                <w:szCs w:val="24"/>
                <w:highlight w:val="none"/>
                <w:lang w:eastAsia="zh-CN"/>
              </w:rPr>
              <w:t>2688×1520；</w:t>
            </w:r>
          </w:p>
          <w:p w14:paraId="6050683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最低照度：0.002lux（彩色模式）；0.0002lux（黑白模式）；0lux（补光灯开启）；</w:t>
            </w:r>
          </w:p>
          <w:p w14:paraId="1E67673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最大补光距离：10m（红外）；</w:t>
            </w:r>
          </w:p>
          <w:p w14:paraId="56F8F8D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补光灯：1颗（红外灯）；1颗（暖光灯）</w:t>
            </w:r>
          </w:p>
          <w:p w14:paraId="3D180C5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内置1颗GPU芯片，1个CMOS图像传感器，内置继电器，内置1颗红外补光灯，1颗暖光警戒灯；</w:t>
            </w:r>
          </w:p>
          <w:p w14:paraId="3DA1047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当相机镜头被遮挡时可给出报警提示并联动语音报警和白光警戒，遮挡比例可设置</w:t>
            </w:r>
          </w:p>
          <w:p w14:paraId="0451198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相机内置继电器，可通过干节点报警输出</w:t>
            </w:r>
          </w:p>
          <w:p w14:paraId="2427854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支持报警1进1出（报警输出为干式报警，支持常开常闭），最大支持256G Micro SD卡，内置MIC，内置扬声器</w:t>
            </w:r>
          </w:p>
          <w:p w14:paraId="2A02F67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修改IP地址完成后无需重启即可生效</w:t>
            </w:r>
          </w:p>
          <w:p w14:paraId="44A5788B">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支持同时开启视频遮挡和电瓶车入梯检测功能，当相机镜头被遮挡条件下电瓶车进入电梯，撤出遮挡物后应给出报警提示，直到电瓶车离开电梯，报警结束</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AE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574" w:type="dxa"/>
            <w:tcBorders>
              <w:top w:val="single" w:color="000000" w:sz="4" w:space="0"/>
              <w:left w:val="single" w:color="000000" w:sz="4" w:space="0"/>
              <w:bottom w:val="single" w:color="000000" w:sz="4" w:space="0"/>
            </w:tcBorders>
            <w:shd w:val="clear" w:color="auto" w:fill="auto"/>
            <w:vAlign w:val="center"/>
          </w:tcPr>
          <w:p w14:paraId="604390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2D596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83BF0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CE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双摄智能球机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1EF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全景细节都采用400万像素1/1.8英寸CMOS 传感器</w:t>
            </w:r>
          </w:p>
          <w:p w14:paraId="3182BCD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内置GPU芯片，支持深度学习算法，有效提升检测准确率</w:t>
            </w:r>
          </w:p>
          <w:p w14:paraId="1D7ADAE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细节相机支持25倍光学变倍，16倍数字变倍</w:t>
            </w:r>
          </w:p>
          <w:p w14:paraId="511BDC9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全景相机内置20米白光灯补光，采用暖色调和柔化处理，有效降低炫目程度；细节相机内置100米红外灯补光，采用倍率与红外灯功率匹配算法，补光效果更均匀</w:t>
            </w:r>
          </w:p>
          <w:p w14:paraId="2DC17C4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全景相机：水平范围：0°～360°连续旋转、垂直范围： 0°～30°；细节相机：水平范围：0°～305°，垂直范围： -10°～90</w:t>
            </w:r>
          </w:p>
          <w:p w14:paraId="17F4F01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支持1路音频输入和1路音频输出</w:t>
            </w:r>
          </w:p>
          <w:p w14:paraId="335F894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内置2路报警输入和1路报警输出，支持报警联动功能</w:t>
            </w:r>
          </w:p>
          <w:p w14:paraId="4D12ED9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支持IP67防护等级，8000V防雷、防浪涌和防突波保护</w:t>
            </w:r>
          </w:p>
          <w:p w14:paraId="5FF360D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支持国密算法 SM1、SM2、SM3、SM4，支持GB35114 A级</w:t>
            </w:r>
          </w:p>
          <w:p w14:paraId="2C96806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支持手动/自动调节全景摄像机和细节摄像机分别变倍和聚焦，并可以抓拍上传不同位置、不同倍率下的目标</w:t>
            </w:r>
          </w:p>
          <w:p w14:paraId="2DA832F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设备具备全景、细节两个摄像机云台，且都可通过IE浏览器设置云台转动位置</w:t>
            </w:r>
          </w:p>
          <w:p w14:paraId="6848A61A">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支持联动态和独立态，独立态时，全景摄像机和细节摄像机可分别对监控画面中出现的行人、机动车、非机动车进行检测和抓拍；并在IE浏览器上显示行人、机动车、非机动车属性</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36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0D7C01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1E975C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66719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64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球机壁装支架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A76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铝合金；最大承重7.0kg；壁装；</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A3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6EBF5F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4589FB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42"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A2871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90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磁盘阵列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474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设备规格：≤4U，≥36盘位；</w:t>
            </w:r>
          </w:p>
          <w:p w14:paraId="104F95B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默认支持4个千兆RJ45自适应网络接口，支持1个百兆RJ45自适应管理网口。</w:t>
            </w:r>
          </w:p>
          <w:p w14:paraId="22A6075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选配支持1个Mini SAS HD接口。</w:t>
            </w:r>
          </w:p>
          <w:p w14:paraId="4A754E3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前面板具有锁止功能，加锁后硬盘无法取出，具有可拆卸式防尘滤网</w:t>
            </w:r>
          </w:p>
          <w:p w14:paraId="40C5002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选配支持带显示器的前面板。</w:t>
            </w:r>
          </w:p>
          <w:p w14:paraId="2D678FF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支持同时进行3072Mbps视（音）频码流存储，3304Mbps视（音）频码流转发、1200Mbps视（音）频码流回放</w:t>
            </w:r>
          </w:p>
          <w:p w14:paraId="11DBB03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在转发模式下，可支持6600Mbps视（音）频码流的转发</w:t>
            </w:r>
          </w:p>
          <w:p w14:paraId="795A45D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可支持不低于800MBps的图片并发输入，同时不低于800MBps图片并发输出</w:t>
            </w:r>
          </w:p>
          <w:p w14:paraId="4816FBE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设备可扩展带显示器的前面板，可在前面板液晶屏上显示时间、设备信息、网卡状态、远程设备状态、录像状态、RAID状态、硬盘状态、环控信息、报警信息</w:t>
            </w:r>
          </w:p>
          <w:p w14:paraId="08FF972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支持任意 N 台设备（N≥2） 通过 SAS数据线组成环状结构集群， 设备集群之间数据能够通过环状结构进行传递和通信， 其中任意 1 台设备都可以访问其下游设备中的数据</w:t>
            </w:r>
          </w:p>
          <w:p w14:paraId="146FF86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设备可批量添加、修改接入的前端摄像机IP地址，并可对已添加的前端摄像机IP进行过滤</w:t>
            </w:r>
          </w:p>
          <w:p w14:paraId="5CDC7D9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主机支持专用的存储硬盘，可升级专用硬盘固件;支持实时监测专用硬盘的健康状态</w:t>
            </w:r>
          </w:p>
          <w:p w14:paraId="397B3F6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可对被监测的硬盘健康状态进行分级分类，类别包含“硬盘良好状态”、“硬盘告警状态”、“硬盘错误状态”、“硬盘即将损坏”和“硬盘损坏状态”</w:t>
            </w:r>
          </w:p>
          <w:p w14:paraId="131CBC6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当系统检查到硬盘损坏、坏块太多、读写大量异常或者无法获取硬盘信息等问题，硬盘会被定义为错误盘，用户界面中硬盘位标识为红色；硬盘灯也显示为红色长亮。</w:t>
            </w:r>
          </w:p>
          <w:p w14:paraId="2179FC5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可通过IE 浏览器进行视频浏览、回放和下载；并支持多画面同时段录像同时回放，或不同时段录像同时回放；网络下载录像速度不低于150MB/s</w:t>
            </w:r>
          </w:p>
          <w:p w14:paraId="1513B437">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设备可接入双音轨，可同时或分别播放左右音轨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BD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3B7BE3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C2F8C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2CF68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67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企业级硬盘</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24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8TB-256MB-7200RPM-3.5英寸-SATA接口-企业盘</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B0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574" w:type="dxa"/>
            <w:tcBorders>
              <w:top w:val="single" w:color="000000" w:sz="4" w:space="0"/>
              <w:left w:val="single" w:color="000000" w:sz="4" w:space="0"/>
              <w:bottom w:val="single" w:color="000000" w:sz="4" w:space="0"/>
            </w:tcBorders>
            <w:shd w:val="clear" w:color="auto" w:fill="auto"/>
            <w:vAlign w:val="center"/>
          </w:tcPr>
          <w:p w14:paraId="77ADF2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r>
      <w:tr w14:paraId="608D4D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8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0371C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CF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硬盘录像机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6ACE">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主处理器：工业级微控制器；</w:t>
            </w:r>
          </w:p>
          <w:p w14:paraId="2EB37DB0">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操作系统：嵌入式操作系统；</w:t>
            </w:r>
          </w:p>
          <w:p w14:paraId="58F7B4A8">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后智能分析：支持后智能智能动检；</w:t>
            </w:r>
          </w:p>
          <w:p w14:paraId="36787F6A">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前智能分析：支持前智能人脸检测、人脸识别、周界防范、智能动检、立体行为分析、人群分布、人数统计、车牌识别；</w:t>
            </w:r>
          </w:p>
          <w:p w14:paraId="638451CD">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周界前智能性能（路数）：全通道（最大处理6个事件/秒）；</w:t>
            </w:r>
          </w:p>
          <w:p w14:paraId="62E7BD4E">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人脸识别前智能性能（路数）：全通道（最大处理6个事件/秒）；</w:t>
            </w:r>
          </w:p>
          <w:p w14:paraId="58B3849A">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接入路数：32路；</w:t>
            </w:r>
          </w:p>
          <w:p w14:paraId="5AA14E33">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分辨率：12MP;8MP;6MP;5MP;4MP;3MP;1080p;720p;960p;D1;CIF;QCIF；</w:t>
            </w:r>
          </w:p>
          <w:p w14:paraId="5B2F8B7F">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解码能力：不开智能：1路12MP@25fps; 2路8MP@25fps; 3路6MP@25fps; 3路5MP@25fps; 4路4MP@25fps；10路1080p@25fps 开智能：1路12MP@25fps; 2路8MP@25fps; 3路6MP@25fps; 3路5MP@25fps; 4路4MP@25fps；9路1080p@25fps；</w:t>
            </w:r>
          </w:p>
          <w:p w14:paraId="6D0BF8E9">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报警输入：16路；</w:t>
            </w:r>
          </w:p>
          <w:p w14:paraId="38CFBB95">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报警输出：4路；</w:t>
            </w:r>
          </w:p>
          <w:p w14:paraId="4E8D8D8A">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硬盘接口：5个SATA，单盘最大20T；</w:t>
            </w:r>
          </w:p>
          <w:p w14:paraId="0BE12FFE">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RS-485接口：1个；</w:t>
            </w:r>
          </w:p>
          <w:p w14:paraId="277862B2">
            <w:pPr>
              <w:jc w:val="left"/>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网络接口：2个（10M/100M/1000M以太网口，RJ-45）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FE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28EF9B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E9F7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97D17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37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监控级硬盘</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A0F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8TB-256MB-5400RPM-3.5英寸-SATA接口-监控盘</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F2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574" w:type="dxa"/>
            <w:tcBorders>
              <w:top w:val="single" w:color="000000" w:sz="4" w:space="0"/>
              <w:left w:val="single" w:color="000000" w:sz="4" w:space="0"/>
              <w:bottom w:val="single" w:color="000000" w:sz="4" w:space="0"/>
            </w:tcBorders>
            <w:shd w:val="clear" w:color="auto" w:fill="auto"/>
            <w:vAlign w:val="center"/>
          </w:tcPr>
          <w:p w14:paraId="29CA5D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r>
      <w:tr w14:paraId="6A61EE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B37C1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52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55寸拼接屏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top"/>
          </w:tcPr>
          <w:p w14:paraId="69C7290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1、产品尺寸：55英寸</w:t>
            </w:r>
          </w:p>
          <w:p w14:paraId="19A609F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2、双边拼缝：</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3.5mm</w:t>
            </w:r>
          </w:p>
          <w:p w14:paraId="74C2C6E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3、分辨率：1920*1080</w:t>
            </w:r>
          </w:p>
          <w:p w14:paraId="089698B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4、亮度：500cd/m2</w:t>
            </w:r>
          </w:p>
          <w:p w14:paraId="19A9342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5、输入接口：VGA(D-Sub)*1、CVBS(BNC)*2、DVI-D*1、HDMI*1、RS232(RJ45)*1、USB（升级和多媒体）*1</w:t>
            </w:r>
          </w:p>
          <w:p w14:paraId="0F899374">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6、输出接口：CVBS(BNC)*2、RS232(RJ45)*1</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1E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574" w:type="dxa"/>
            <w:tcBorders>
              <w:top w:val="single" w:color="000000" w:sz="4" w:space="0"/>
              <w:left w:val="single" w:color="000000" w:sz="4" w:space="0"/>
              <w:bottom w:val="single" w:color="000000" w:sz="4" w:space="0"/>
            </w:tcBorders>
            <w:shd w:val="clear" w:color="auto" w:fill="auto"/>
            <w:noWrap/>
            <w:vAlign w:val="center"/>
          </w:tcPr>
          <w:p w14:paraId="18ADD6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70A68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E19A6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7E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拼接屏底座</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25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配套底座</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641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574" w:type="dxa"/>
            <w:tcBorders>
              <w:top w:val="single" w:color="000000" w:sz="4" w:space="0"/>
              <w:left w:val="single" w:color="000000" w:sz="4" w:space="0"/>
              <w:bottom w:val="single" w:color="000000" w:sz="4" w:space="0"/>
            </w:tcBorders>
            <w:shd w:val="clear" w:color="auto" w:fill="auto"/>
            <w:noWrap/>
            <w:vAlign w:val="center"/>
          </w:tcPr>
          <w:p w14:paraId="2E04C9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4C56B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BC6D9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0E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拼接屏线缆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D6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配套线缆</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661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574" w:type="dxa"/>
            <w:tcBorders>
              <w:top w:val="single" w:color="000000" w:sz="4" w:space="0"/>
              <w:left w:val="single" w:color="000000" w:sz="4" w:space="0"/>
              <w:bottom w:val="single" w:color="000000" w:sz="4" w:space="0"/>
            </w:tcBorders>
            <w:shd w:val="clear" w:color="auto" w:fill="auto"/>
            <w:noWrap/>
            <w:vAlign w:val="center"/>
          </w:tcPr>
          <w:p w14:paraId="5CA7BB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3450F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B9B22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00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9路高清解码器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DC7E">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支持9路HDMI信号输出</w:t>
            </w:r>
          </w:p>
          <w:p w14:paraId="225B5632">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输出接口最大支持1920×1080@60及以下常规分辨率输出</w:t>
            </w:r>
          </w:p>
          <w:p w14:paraId="6F7D6879">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支持超高超宽自定义分辨率输出设置，水平分辨率最宽可达3840像素，垂直分辨率最高可达3840像素</w:t>
            </w:r>
          </w:p>
          <w:p w14:paraId="37267E1A">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支持4路HDMI信号输入</w:t>
            </w:r>
          </w:p>
          <w:p w14:paraId="3A2400D6">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输入接口最大支持3840×2160@60及以下常规分辨率采集</w:t>
            </w:r>
          </w:p>
          <w:p w14:paraId="07EC0CCC">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具备1对语音对讲接口：1个3.5mm音频输入接口和1个3.5mm音频输出接口</w:t>
            </w:r>
          </w:p>
          <w:p w14:paraId="0588AA1B">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整机解码H265支持3路32MP@25fps/9路12MP@25fps/14路8MP@25fps/18路6MP@25fps/24路5MP@25fps/29路4MP@25fps/37路3MP@25fps/57路1080p@25fps/192路D1@25fps（H264支持47路1080p@25fps解码能力）</w:t>
            </w:r>
          </w:p>
          <w:p w14:paraId="007756BF">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支持MPEG2/MPEG4/H.264/H.265/SVAC/MJPEG标准网络视频流解码支持QCIF/CIF/2CIF/HD1/D1/960H/720p/1080p/3MP/4MP/5MP/6MP/8MP/12MP/32MP视频解码</w:t>
            </w:r>
          </w:p>
          <w:p w14:paraId="434206B6">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支持音频压缩格式：PCM/G711/AAC</w:t>
            </w:r>
          </w:p>
          <w:p w14:paraId="383A584A">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支持每屏1/4/6/8/9/16/25/36分割，支持M×N自由分割</w:t>
            </w:r>
          </w:p>
          <w:p w14:paraId="4D38AD0C">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支持任意开窗、漫游，每屏最大支持36路开窗</w:t>
            </w:r>
          </w:p>
          <w:p w14:paraId="51C3FD57">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支持电视墙默认底色设置，支持高清底图显示</w:t>
            </w:r>
          </w:p>
          <w:p w14:paraId="06022DC8">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支持预案轮巡</w:t>
            </w:r>
          </w:p>
          <w:p w14:paraId="2154DAC6">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支持多屏融合拼接，跨屏画面毫秒级完美同步</w:t>
            </w:r>
          </w:p>
          <w:p w14:paraId="327E0650">
            <w:pP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支持在大屏上叠加OSD文字信息，支持位置，字体大小等自定义设置</w:t>
            </w:r>
          </w:p>
          <w:p w14:paraId="73C11C36">
            <w:pPr>
              <w:jc w:val="left"/>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支持Onvif，RTSP，GB28181协议接入，支持海康私有/大华私有协议接入</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6C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10083B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5354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5181F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D4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智能物联综合管理平台</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129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1、处理器：Intel E3-1225 V5；</w:t>
            </w:r>
          </w:p>
          <w:p w14:paraId="22F782A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2、硬盘：2块2T 3.5吋 SATA热插拔机械硬盘；</w:t>
            </w:r>
          </w:p>
          <w:p w14:paraId="17C45CB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3、内存：32G内存（4根8GB DDR4 UDIMM 内存条）;</w:t>
            </w:r>
          </w:p>
          <w:p w14:paraId="6D41699A">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4、接口：4个 千兆网口、1个DB-15 VGA接口、4个USB3.0接口；</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A2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012954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E38C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8C84C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08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网络机柜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F2D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19U 带PDU插座</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73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55A2B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59953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5E956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09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设备箱柜</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7DE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600*500*400mm，室外防水，内含空开插座，带基础</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62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574" w:type="dxa"/>
            <w:tcBorders>
              <w:top w:val="single" w:color="000000" w:sz="4" w:space="0"/>
              <w:left w:val="single" w:color="000000" w:sz="4" w:space="0"/>
              <w:bottom w:val="single" w:color="000000" w:sz="4" w:space="0"/>
            </w:tcBorders>
            <w:shd w:val="clear" w:color="auto" w:fill="auto"/>
            <w:vAlign w:val="center"/>
          </w:tcPr>
          <w:p w14:paraId="0562AC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39BC7C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DE379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3A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8E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YJV3*4</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74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574" w:type="dxa"/>
            <w:tcBorders>
              <w:top w:val="single" w:color="000000" w:sz="4" w:space="0"/>
              <w:left w:val="single" w:color="000000" w:sz="4" w:space="0"/>
              <w:bottom w:val="single" w:color="000000" w:sz="4" w:space="0"/>
            </w:tcBorders>
            <w:shd w:val="clear" w:color="auto" w:fill="auto"/>
            <w:vAlign w:val="center"/>
          </w:tcPr>
          <w:p w14:paraId="5FA7F6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2D44E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9ECD5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E6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C22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YJV3*2.5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AF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w:t>
            </w:r>
          </w:p>
        </w:tc>
        <w:tc>
          <w:tcPr>
            <w:tcW w:w="574" w:type="dxa"/>
            <w:tcBorders>
              <w:top w:val="single" w:color="000000" w:sz="4" w:space="0"/>
              <w:left w:val="single" w:color="000000" w:sz="4" w:space="0"/>
              <w:bottom w:val="single" w:color="000000" w:sz="4" w:space="0"/>
            </w:tcBorders>
            <w:shd w:val="clear" w:color="auto" w:fill="auto"/>
            <w:vAlign w:val="center"/>
          </w:tcPr>
          <w:p w14:paraId="7D891F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72236A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053AF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F83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C7C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2D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574" w:type="dxa"/>
            <w:tcBorders>
              <w:top w:val="single" w:color="000000" w:sz="4" w:space="0"/>
              <w:left w:val="single" w:color="000000" w:sz="4" w:space="0"/>
              <w:bottom w:val="single" w:color="000000" w:sz="4" w:space="0"/>
            </w:tcBorders>
            <w:shd w:val="clear" w:color="auto" w:fill="auto"/>
            <w:noWrap/>
            <w:vAlign w:val="center"/>
          </w:tcPr>
          <w:p w14:paraId="11C57D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1C167C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70DA5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34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24芯单模光纤</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20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纤芯数量24 波长1300,1550nm 损耗850/3.5,1300/1.0,1550/0.26db/km</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00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574" w:type="dxa"/>
            <w:tcBorders>
              <w:top w:val="single" w:color="000000" w:sz="4" w:space="0"/>
              <w:left w:val="single" w:color="000000" w:sz="4" w:space="0"/>
              <w:bottom w:val="single" w:color="000000" w:sz="4" w:space="0"/>
            </w:tcBorders>
            <w:shd w:val="clear" w:color="auto" w:fill="auto"/>
            <w:vAlign w:val="center"/>
          </w:tcPr>
          <w:p w14:paraId="374CDD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1FA72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8A0BE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89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24口熔接盘</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A6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19”机柜抽屉式24口光纤接线箱（支持SC、FC、LC；不支持ST耦合器）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5E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574" w:type="dxa"/>
            <w:tcBorders>
              <w:top w:val="single" w:color="000000" w:sz="4" w:space="0"/>
              <w:left w:val="single" w:color="000000" w:sz="4" w:space="0"/>
              <w:bottom w:val="single" w:color="000000" w:sz="4" w:space="0"/>
            </w:tcBorders>
            <w:shd w:val="clear" w:color="auto" w:fill="auto"/>
            <w:vAlign w:val="center"/>
          </w:tcPr>
          <w:p w14:paraId="2FC051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3B8E3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5796B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EE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1.5米多模LC50/125尾纤</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99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插拔次数大于1000次，插入损耗0.3db,回波损耗30db</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81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574" w:type="dxa"/>
            <w:tcBorders>
              <w:top w:val="single" w:color="000000" w:sz="4" w:space="0"/>
              <w:left w:val="single" w:color="000000" w:sz="4" w:space="0"/>
              <w:bottom w:val="single" w:color="000000" w:sz="4" w:space="0"/>
            </w:tcBorders>
            <w:shd w:val="clear" w:color="auto" w:fill="auto"/>
            <w:vAlign w:val="center"/>
          </w:tcPr>
          <w:p w14:paraId="30E414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r>
      <w:tr w14:paraId="45C91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2C411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3B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监控立杆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864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3.5立杆，含防雷，带基础</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67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574" w:type="dxa"/>
            <w:tcBorders>
              <w:top w:val="single" w:color="000000" w:sz="4" w:space="0"/>
              <w:left w:val="single" w:color="000000" w:sz="4" w:space="0"/>
              <w:bottom w:val="single" w:color="000000" w:sz="4" w:space="0"/>
            </w:tcBorders>
            <w:shd w:val="clear" w:color="auto" w:fill="auto"/>
            <w:vAlign w:val="center"/>
          </w:tcPr>
          <w:p w14:paraId="53910C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7B9922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72F8F50D">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10.门禁系统</w:t>
            </w:r>
          </w:p>
        </w:tc>
      </w:tr>
      <w:tr w14:paraId="3543F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C6939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BB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读卡器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02C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采用PC+ABS材料外壳，亚克力面板，超薄设计、外观时尚</w:t>
            </w:r>
          </w:p>
          <w:p w14:paraId="6AA2642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支持卡、卡+密码、密码、卡或密码、四种身份识别模式</w:t>
            </w:r>
          </w:p>
          <w:p w14:paraId="622485C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非接触式读卡，可读取Mifare卡（IC卡）卡号、CPU序列号、身份证序列号</w:t>
            </w:r>
          </w:p>
          <w:p w14:paraId="17D4B32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读卡频率13.56MHZ</w:t>
            </w:r>
          </w:p>
          <w:p w14:paraId="57A97C8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支持RS485通信和韦根通信</w:t>
            </w:r>
          </w:p>
          <w:p w14:paraId="7325329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韦根接口支持国际标准W26\W34，可无缝兼容第三方产品</w:t>
            </w:r>
          </w:p>
          <w:p w14:paraId="1A19678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支持在线升级</w:t>
            </w:r>
          </w:p>
          <w:p w14:paraId="3ACB4EC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带蜂鸣器和指示灯提示功能</w:t>
            </w:r>
          </w:p>
          <w:p w14:paraId="655F23E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支持防拆报警，内置看门口狗程序，能够检控设备的异常运行状态，并执行修复处理，确保设备长期运行</w:t>
            </w:r>
          </w:p>
          <w:p w14:paraId="34DE573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具备防雷防静电防短接功能</w:t>
            </w:r>
          </w:p>
          <w:p w14:paraId="5B25E731">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所有连接端口均具备过流和过压保护</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0E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574" w:type="dxa"/>
            <w:tcBorders>
              <w:top w:val="single" w:color="000000" w:sz="4" w:space="0"/>
              <w:left w:val="single" w:color="000000" w:sz="4" w:space="0"/>
              <w:bottom w:val="single" w:color="000000" w:sz="4" w:space="0"/>
            </w:tcBorders>
            <w:shd w:val="clear" w:color="auto" w:fill="auto"/>
            <w:vAlign w:val="center"/>
          </w:tcPr>
          <w:p w14:paraId="0A4BF5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43B3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EC1C4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24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四门门禁控制器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FEF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主处理器：高性能嵌入式处理器；</w:t>
            </w:r>
          </w:p>
          <w:p w14:paraId="40607CD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网络协议：IPv4;UDP;TCP；</w:t>
            </w:r>
          </w:p>
          <w:p w14:paraId="6EB53DF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OSDP协议：支持；</w:t>
            </w:r>
          </w:p>
          <w:p w14:paraId="2B1C7C4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是否支持SDK：支持；</w:t>
            </w:r>
          </w:p>
          <w:p w14:paraId="74F5BE5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产品款式：C款铁箱型；</w:t>
            </w:r>
          </w:p>
          <w:p w14:paraId="168D21F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蜂鸣器：支持；</w:t>
            </w:r>
          </w:p>
          <w:p w14:paraId="75BD7E1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外壳材料：SECC钢板；</w:t>
            </w:r>
          </w:p>
          <w:p w14:paraId="1C85760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远程验证：支持；</w:t>
            </w:r>
          </w:p>
          <w:p w14:paraId="723C0D0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用户容量：100000；</w:t>
            </w:r>
          </w:p>
          <w:p w14:paraId="7C721D7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指纹容量：3000枚；</w:t>
            </w:r>
          </w:p>
          <w:p w14:paraId="7B084E1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卡片容量：100000张；</w:t>
            </w:r>
          </w:p>
          <w:p w14:paraId="584A41F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存储记录数量：500000条；</w:t>
            </w:r>
          </w:p>
          <w:p w14:paraId="4CA23D1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RS-485接口：9个RS-485接口；</w:t>
            </w:r>
          </w:p>
          <w:p w14:paraId="5AEA90D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韦根接口：8路韦根接口；</w:t>
            </w:r>
          </w:p>
          <w:p w14:paraId="7D6CBE4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网络接口：1个10Mbps/100Mbps以太网口；</w:t>
            </w:r>
          </w:p>
          <w:p w14:paraId="607B419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报警输入：8路（开关量）；</w:t>
            </w:r>
          </w:p>
          <w:p w14:paraId="33A0B25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报警输出：8路（继电器）；</w:t>
            </w:r>
          </w:p>
          <w:p w14:paraId="3DA2480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门状态检测：4路；</w:t>
            </w:r>
          </w:p>
          <w:p w14:paraId="1E2665E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供电方式：AC 100-240V （支持给门锁供电）；</w:t>
            </w:r>
          </w:p>
          <w:p w14:paraId="14BFA859">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防护等级：IP20;Ik04</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93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574" w:type="dxa"/>
            <w:tcBorders>
              <w:top w:val="single" w:color="000000" w:sz="4" w:space="0"/>
              <w:left w:val="single" w:color="000000" w:sz="4" w:space="0"/>
              <w:bottom w:val="single" w:color="000000" w:sz="4" w:space="0"/>
            </w:tcBorders>
            <w:shd w:val="clear" w:color="auto" w:fill="auto"/>
            <w:vAlign w:val="center"/>
          </w:tcPr>
          <w:p w14:paraId="37ADDF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5B214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A9C05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0E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单门门禁控制器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B3D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主处理器：高性能嵌入式处理器；</w:t>
            </w:r>
          </w:p>
          <w:p w14:paraId="1C4D5CF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网络协议：IPv4;UDP;TCP；</w:t>
            </w:r>
          </w:p>
          <w:p w14:paraId="1FC96C6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OSDP协议：支持；</w:t>
            </w:r>
          </w:p>
          <w:p w14:paraId="29BE8D6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是否支持SDK：支持；</w:t>
            </w:r>
          </w:p>
          <w:p w14:paraId="3E8AE2F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产品款式：C款铁箱型；</w:t>
            </w:r>
          </w:p>
          <w:p w14:paraId="53B5100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蜂鸣器：支持；</w:t>
            </w:r>
          </w:p>
          <w:p w14:paraId="0954F62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外壳材料：SECC钢板；</w:t>
            </w:r>
          </w:p>
          <w:p w14:paraId="63E63C3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远程验证：支持；</w:t>
            </w:r>
          </w:p>
          <w:p w14:paraId="265083F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用户容量：100000；</w:t>
            </w:r>
          </w:p>
          <w:p w14:paraId="569C3EA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指纹容量：3000枚；</w:t>
            </w:r>
          </w:p>
          <w:p w14:paraId="20C4B85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卡片容量：100000张；</w:t>
            </w:r>
          </w:p>
          <w:p w14:paraId="548A435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存储记录数量：500000条；</w:t>
            </w:r>
          </w:p>
          <w:p w14:paraId="3422B9E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RS-485接口：3个RS-485接口；</w:t>
            </w:r>
          </w:p>
          <w:p w14:paraId="39D1965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韦根接口：2路韦根接口；</w:t>
            </w:r>
          </w:p>
          <w:p w14:paraId="1AE32B1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网络接口：1个10Mbps/100Mbps以太网口；</w:t>
            </w:r>
          </w:p>
          <w:p w14:paraId="3681DB6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报警输入：2路（开关量）；</w:t>
            </w:r>
          </w:p>
          <w:p w14:paraId="57C77A2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报警输出：2路（继电器）；</w:t>
            </w:r>
          </w:p>
          <w:p w14:paraId="5D8AB04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门状态检测：1路；</w:t>
            </w:r>
          </w:p>
          <w:p w14:paraId="5FFB9F0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供电方式：AC 100-240V （支持给门锁供电）；</w:t>
            </w:r>
          </w:p>
          <w:p w14:paraId="1BF072DC">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防护等级：IP20;Ik04</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49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05CFC6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E6BD2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91C4F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C6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单门磁力锁</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1AA6">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铝合金；电镀拉丝；280kg(600Lbs)直线拉力 ；锁状态信号输出 ；断电开门；适用木门\玻璃门\金属门\防火门等；工作温度：-20℃-+55℃， 工作湿度：≤95%；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C1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574" w:type="dxa"/>
            <w:tcBorders>
              <w:top w:val="single" w:color="000000" w:sz="4" w:space="0"/>
              <w:left w:val="single" w:color="000000" w:sz="4" w:space="0"/>
              <w:bottom w:val="single" w:color="000000" w:sz="4" w:space="0"/>
            </w:tcBorders>
            <w:shd w:val="clear" w:color="auto" w:fill="auto"/>
            <w:vAlign w:val="center"/>
          </w:tcPr>
          <w:p w14:paraId="328743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39653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6B20B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BE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双门磁力锁</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F32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铝合金；电镀拉丝；280kg*2(600Lbs*2)直线拉力 ；锁状态信号输出 ；断电开门；适用木门\玻璃门\金属门\防火门等；工作温度：-20℃-+55℃， 工作湿度：≤95%；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AD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574" w:type="dxa"/>
            <w:tcBorders>
              <w:top w:val="single" w:color="000000" w:sz="4" w:space="0"/>
              <w:left w:val="single" w:color="000000" w:sz="4" w:space="0"/>
              <w:bottom w:val="single" w:color="000000" w:sz="4" w:space="0"/>
            </w:tcBorders>
            <w:shd w:val="clear" w:color="auto" w:fill="auto"/>
            <w:vAlign w:val="center"/>
          </w:tcPr>
          <w:p w14:paraId="6BAAEB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D913F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1A4E0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84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出门按钮</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3B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塑料外壳，86*86 工作温度：-30℃-+60℃， 工作湿度：≤95%； </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BB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574" w:type="dxa"/>
            <w:tcBorders>
              <w:top w:val="single" w:color="000000" w:sz="4" w:space="0"/>
              <w:left w:val="single" w:color="000000" w:sz="4" w:space="0"/>
              <w:bottom w:val="single" w:color="000000" w:sz="4" w:space="0"/>
            </w:tcBorders>
            <w:shd w:val="clear" w:color="auto" w:fill="auto"/>
            <w:vAlign w:val="center"/>
          </w:tcPr>
          <w:p w14:paraId="022F58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DA4C7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12395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DB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发卡器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F9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发卡距离：3cm～5cm；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读卡频率：13.56MHz；</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主处理器：高性能嵌入式处理器；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供电方式：DC 5V 0.5A；</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发卡类型：支持IC卡(Mifare卡)的发卡；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外壳材料：PC+ABS</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D8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3E016A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308421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06E34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BF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IC卡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CA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白色，表面光滑；55*85*1mm</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6F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574" w:type="dxa"/>
            <w:tcBorders>
              <w:top w:val="single" w:color="000000" w:sz="4" w:space="0"/>
              <w:left w:val="single" w:color="000000" w:sz="4" w:space="0"/>
              <w:bottom w:val="single" w:color="000000" w:sz="4" w:space="0"/>
            </w:tcBorders>
            <w:shd w:val="clear" w:color="auto" w:fill="auto"/>
            <w:vAlign w:val="center"/>
          </w:tcPr>
          <w:p w14:paraId="152B4B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0E2387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505CA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62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门禁管理软件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77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支持与监控管理平台连通；</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设备管理：增删改查门禁设备信息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权限管理：分类清晰，设置灵活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时段管理：灵活设置开门时间点，自由搭配开门权限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假日管理：灵活多样的假日设置，满足假日的特殊管制需求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模式时段：针对不同时间段设置不同的开门模式，适应多样的安全定制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开门密码 ：针对忘记带卡的情况，可以通过配置带键盘的读卡器设置开门密码的方式开门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实时监控：实时监控门禁刷卡信息、报警信息，并支持第三方开门。支持关联视频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报警管理：灵活设置的报警预案，关联多种报警方式</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01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72D23A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A314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5D6D5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98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磁力锁线缆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206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国标RVV4*1.0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96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w:t>
            </w:r>
          </w:p>
        </w:tc>
        <w:tc>
          <w:tcPr>
            <w:tcW w:w="574" w:type="dxa"/>
            <w:tcBorders>
              <w:top w:val="single" w:color="000000" w:sz="4" w:space="0"/>
              <w:left w:val="single" w:color="000000" w:sz="4" w:space="0"/>
              <w:bottom w:val="single" w:color="000000" w:sz="4" w:space="0"/>
            </w:tcBorders>
            <w:shd w:val="clear" w:color="auto" w:fill="auto"/>
            <w:vAlign w:val="center"/>
          </w:tcPr>
          <w:p w14:paraId="59307A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585E11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40EF8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38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830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16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574" w:type="dxa"/>
            <w:tcBorders>
              <w:top w:val="single" w:color="000000" w:sz="4" w:space="0"/>
              <w:left w:val="single" w:color="000000" w:sz="4" w:space="0"/>
              <w:bottom w:val="single" w:color="000000" w:sz="4" w:space="0"/>
            </w:tcBorders>
            <w:shd w:val="clear" w:color="auto" w:fill="auto"/>
            <w:noWrap/>
            <w:vAlign w:val="center"/>
          </w:tcPr>
          <w:p w14:paraId="2EED65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358EA6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415F6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68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开门按钮线缆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B7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国标RVV2*1.0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E6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574" w:type="dxa"/>
            <w:tcBorders>
              <w:top w:val="single" w:color="000000" w:sz="4" w:space="0"/>
              <w:left w:val="single" w:color="000000" w:sz="4" w:space="0"/>
              <w:bottom w:val="single" w:color="000000" w:sz="4" w:space="0"/>
            </w:tcBorders>
            <w:shd w:val="clear" w:color="auto" w:fill="auto"/>
            <w:vAlign w:val="center"/>
          </w:tcPr>
          <w:p w14:paraId="581963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78D8A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FFBF9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4E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门禁线缆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E3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国标RVV4*1.0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CC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w:t>
            </w:r>
          </w:p>
        </w:tc>
        <w:tc>
          <w:tcPr>
            <w:tcW w:w="574" w:type="dxa"/>
            <w:tcBorders>
              <w:top w:val="single" w:color="000000" w:sz="4" w:space="0"/>
              <w:left w:val="single" w:color="000000" w:sz="4" w:space="0"/>
              <w:bottom w:val="single" w:color="000000" w:sz="4" w:space="0"/>
            </w:tcBorders>
            <w:shd w:val="clear" w:color="auto" w:fill="auto"/>
            <w:vAlign w:val="center"/>
          </w:tcPr>
          <w:p w14:paraId="497941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5E83D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133DC759">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lang w:val="en-US"/>
              </w:rPr>
            </w:pPr>
            <w:r>
              <w:rPr>
                <w:rFonts w:hint="eastAsia" w:ascii="仿宋" w:hAnsi="仿宋" w:eastAsia="仿宋" w:cs="仿宋"/>
                <w:b/>
                <w:bCs/>
                <w:i w:val="0"/>
                <w:iCs w:val="0"/>
                <w:color w:val="auto"/>
                <w:kern w:val="0"/>
                <w:sz w:val="24"/>
                <w:szCs w:val="24"/>
                <w:highlight w:val="none"/>
                <w:u w:val="none"/>
                <w:lang w:val="en-US" w:eastAsia="zh-CN" w:bidi="ar"/>
              </w:rPr>
              <w:t>11.车辆管理系统</w:t>
            </w:r>
          </w:p>
        </w:tc>
      </w:tr>
      <w:tr w14:paraId="1A858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E393E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FF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直杆道闸</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8D3D">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杆件类型：直杆；</w:t>
            </w:r>
          </w:p>
          <w:p w14:paraId="6BBB5CBA">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支持杆长：3米；</w:t>
            </w:r>
          </w:p>
          <w:p w14:paraId="67ED1876">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起杆速度：1 s；</w:t>
            </w:r>
          </w:p>
          <w:p w14:paraId="5528247B">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RS-485接口：1个；</w:t>
            </w:r>
          </w:p>
          <w:p w14:paraId="706CB9F8">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RS-232接口：1个（以太网模块扩展接口）；</w:t>
            </w:r>
          </w:p>
          <w:p w14:paraId="06E594EB">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I/O接口：5个（升、降、地感1、地感2、防砸）；</w:t>
            </w:r>
          </w:p>
          <w:p w14:paraId="08475D67">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防砸功能：支持：压力波防砸、雷达防砸、线圈防砸、红外防砸；</w:t>
            </w:r>
          </w:p>
          <w:p w14:paraId="004F71AD">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断电抬杆：支持；</w:t>
            </w:r>
          </w:p>
          <w:p w14:paraId="1652485E">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遇阻反弹：支持；</w:t>
            </w:r>
          </w:p>
          <w:p w14:paraId="261D2F16">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远程遥控：支持遥控器远程开关，最大距离50m；</w:t>
            </w:r>
          </w:p>
          <w:p w14:paraId="2D020E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供电方式：AC 186~264V</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F4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323AC8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C555F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90092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75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栅栏道闸</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425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杆件类型：栅栏杆；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支持杆长：3米；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起杆速度：2 s；</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RS-485接口：1个；</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RS-232接口：1个（以太网模块扩展接口）；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I/O接口：5个（升、降、地感1、地感2、防砸）；</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防砸功能：支持：压力波防砸、雷达防砸、线圈防砸、红外防砸；</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断电抬杆：支持；</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遇阻反弹：支持；</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远程遥控：支持遥控器远程开关，最大距离50m；</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供电方式：AC186~264V</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4F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268328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8A722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29D31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1A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出入口抓拍一体机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838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采用高性能AI处理器，加载第三代智慧停车深度学习算法，算法处理能力更强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丰富多样的信号通讯接口，可控制出入口道闸等外设</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内置LED补光灯，支持亮度可调，并且支持过车亮度可设置，降低光污染和功耗</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采用1/2.8英寸200万像素CMOS传感器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支持根据相机内部温度及设定阈值，自动开启玻璃加热</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支持全天候车辆信息全结构化深度提取，车辆捕获率和车牌识别率都达到99.9%以上</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支持通过RS485接入道闸、雷达等外设，实时获取设备工作状态，实现远程运维管控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集成显示屏，用户可自由配置显示内容，支持二维码显示，支持屏幕坏点检测，且屏幕亮度可自适应调节</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支持二维码显示信息功能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支持语音播报功能，用户可自由配置播报内容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采用智能除雾技术，有效杜绝玻璃结冰、起雾现象，满足全天候使用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道闸设备状态获取功能：持获取道闸运行状态、工作状态、道闸运行次数、设备型号和故障代码</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集相机、显示屏、杆件于一体，单网口配置，简化施工</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C6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noWrap/>
            <w:vAlign w:val="center"/>
          </w:tcPr>
          <w:p w14:paraId="654BFC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1215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F439F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auto" w:sz="4" w:space="0"/>
              <w:right w:val="nil"/>
            </w:tcBorders>
            <w:shd w:val="clear" w:color="auto" w:fill="auto"/>
            <w:vAlign w:val="center"/>
          </w:tcPr>
          <w:p w14:paraId="1314E9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双路车辆检测器</w:t>
            </w:r>
          </w:p>
        </w:tc>
        <w:tc>
          <w:tcPr>
            <w:tcW w:w="5304" w:type="dxa"/>
            <w:tcBorders>
              <w:top w:val="single" w:color="000000" w:sz="4" w:space="0"/>
              <w:left w:val="single" w:color="000000" w:sz="4" w:space="0"/>
              <w:bottom w:val="single" w:color="auto" w:sz="4" w:space="0"/>
              <w:right w:val="single" w:color="000000" w:sz="4" w:space="0"/>
            </w:tcBorders>
            <w:shd w:val="clear" w:color="auto" w:fill="auto"/>
            <w:vAlign w:val="center"/>
          </w:tcPr>
          <w:p w14:paraId="772FF73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温度稳定性高</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环境漂移自动补偿功能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多级雷击保护功能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线圈故障自动侦测功能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可配合道闸实现防砸车和车走关闸功能</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F33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single" w:color="000000" w:sz="4" w:space="0"/>
            </w:tcBorders>
            <w:shd w:val="clear" w:color="auto" w:fill="auto"/>
            <w:noWrap/>
            <w:vAlign w:val="center"/>
          </w:tcPr>
          <w:p w14:paraId="13C490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36BC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auto" w:sz="4" w:space="0"/>
            </w:tcBorders>
            <w:shd w:val="clear" w:color="auto" w:fill="auto"/>
            <w:noWrap/>
            <w:vAlign w:val="center"/>
          </w:tcPr>
          <w:p w14:paraId="1B9A37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586ED3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5口交换机</w:t>
            </w:r>
          </w:p>
        </w:tc>
        <w:tc>
          <w:tcPr>
            <w:tcW w:w="5304" w:type="dxa"/>
            <w:tcBorders>
              <w:top w:val="single" w:color="auto" w:sz="4" w:space="0"/>
              <w:left w:val="single" w:color="auto" w:sz="4" w:space="0"/>
              <w:bottom w:val="single" w:color="auto" w:sz="4" w:space="0"/>
              <w:right w:val="single" w:color="auto" w:sz="4" w:space="0"/>
            </w:tcBorders>
            <w:shd w:val="clear" w:color="auto" w:fill="auto"/>
            <w:vAlign w:val="center"/>
          </w:tcPr>
          <w:p w14:paraId="5139608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端口 5个10/100Mbps 自适应以太网端口</w:t>
            </w:r>
          </w:p>
        </w:tc>
        <w:tc>
          <w:tcPr>
            <w:tcW w:w="608" w:type="dxa"/>
            <w:tcBorders>
              <w:top w:val="single" w:color="000000" w:sz="4" w:space="0"/>
              <w:left w:val="single" w:color="auto" w:sz="4" w:space="0"/>
              <w:bottom w:val="nil"/>
              <w:right w:val="single" w:color="000000" w:sz="4" w:space="0"/>
            </w:tcBorders>
            <w:shd w:val="clear" w:color="auto" w:fill="auto"/>
            <w:noWrap/>
            <w:vAlign w:val="center"/>
          </w:tcPr>
          <w:p w14:paraId="2E6B75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nil"/>
            </w:tcBorders>
            <w:shd w:val="clear" w:color="auto" w:fill="auto"/>
            <w:noWrap/>
            <w:vAlign w:val="center"/>
          </w:tcPr>
          <w:p w14:paraId="6CE1A5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4C874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89EDF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auto" w:sz="4" w:space="0"/>
              <w:left w:val="single" w:color="000000" w:sz="4" w:space="0"/>
              <w:bottom w:val="nil"/>
              <w:right w:val="nil"/>
            </w:tcBorders>
            <w:shd w:val="clear" w:color="auto" w:fill="auto"/>
            <w:vAlign w:val="center"/>
          </w:tcPr>
          <w:p w14:paraId="7EA143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地感线圈</w:t>
            </w:r>
          </w:p>
        </w:tc>
        <w:tc>
          <w:tcPr>
            <w:tcW w:w="5304" w:type="dxa"/>
            <w:tcBorders>
              <w:top w:val="single" w:color="auto" w:sz="4" w:space="0"/>
              <w:left w:val="single" w:color="000000" w:sz="4" w:space="0"/>
              <w:bottom w:val="single" w:color="000000" w:sz="4" w:space="0"/>
              <w:right w:val="single" w:color="000000" w:sz="4" w:space="0"/>
            </w:tcBorders>
            <w:shd w:val="clear" w:color="auto" w:fill="auto"/>
            <w:vAlign w:val="center"/>
          </w:tcPr>
          <w:p w14:paraId="714FD5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耐高温线</w:t>
            </w:r>
          </w:p>
        </w:tc>
        <w:tc>
          <w:tcPr>
            <w:tcW w:w="608" w:type="dxa"/>
            <w:tcBorders>
              <w:top w:val="single" w:color="000000" w:sz="4" w:space="0"/>
              <w:left w:val="single" w:color="000000" w:sz="4" w:space="0"/>
              <w:bottom w:val="nil"/>
              <w:right w:val="single" w:color="000000" w:sz="4" w:space="0"/>
            </w:tcBorders>
            <w:shd w:val="clear" w:color="auto" w:fill="auto"/>
            <w:noWrap/>
            <w:vAlign w:val="center"/>
          </w:tcPr>
          <w:p w14:paraId="0A5D3F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nil"/>
            </w:tcBorders>
            <w:shd w:val="clear" w:color="auto" w:fill="auto"/>
            <w:noWrap/>
            <w:vAlign w:val="center"/>
          </w:tcPr>
          <w:p w14:paraId="4B220E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15CD2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B4816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nil"/>
              <w:right w:val="single" w:color="000000" w:sz="4" w:space="0"/>
            </w:tcBorders>
            <w:shd w:val="clear" w:color="auto" w:fill="auto"/>
            <w:vAlign w:val="center"/>
          </w:tcPr>
          <w:p w14:paraId="376F40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加密狗</w:t>
            </w:r>
          </w:p>
        </w:tc>
        <w:tc>
          <w:tcPr>
            <w:tcW w:w="5304" w:type="dxa"/>
            <w:tcBorders>
              <w:top w:val="single" w:color="000000" w:sz="4" w:space="0"/>
              <w:left w:val="single" w:color="000000" w:sz="4" w:space="0"/>
              <w:bottom w:val="nil"/>
              <w:right w:val="single" w:color="000000" w:sz="4" w:space="0"/>
            </w:tcBorders>
            <w:shd w:val="clear" w:color="auto" w:fill="auto"/>
            <w:vAlign w:val="center"/>
          </w:tcPr>
          <w:p w14:paraId="5F5A75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608" w:type="dxa"/>
            <w:tcBorders>
              <w:top w:val="single" w:color="000000" w:sz="4" w:space="0"/>
              <w:left w:val="single" w:color="000000" w:sz="4" w:space="0"/>
              <w:bottom w:val="nil"/>
              <w:right w:val="single" w:color="000000" w:sz="4" w:space="0"/>
            </w:tcBorders>
            <w:shd w:val="clear" w:color="auto" w:fill="auto"/>
            <w:noWrap/>
            <w:vAlign w:val="center"/>
          </w:tcPr>
          <w:p w14:paraId="7438FE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nil"/>
            </w:tcBorders>
            <w:shd w:val="clear" w:color="auto" w:fill="auto"/>
            <w:noWrap/>
            <w:vAlign w:val="center"/>
          </w:tcPr>
          <w:p w14:paraId="777F69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2B2E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1FAB8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nil"/>
              <w:right w:val="single" w:color="000000" w:sz="4" w:space="0"/>
            </w:tcBorders>
            <w:shd w:val="clear" w:color="auto" w:fill="auto"/>
            <w:vAlign w:val="center"/>
          </w:tcPr>
          <w:p w14:paraId="5CCC31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安全岛</w:t>
            </w:r>
          </w:p>
        </w:tc>
        <w:tc>
          <w:tcPr>
            <w:tcW w:w="5304" w:type="dxa"/>
            <w:tcBorders>
              <w:top w:val="single" w:color="000000" w:sz="4" w:space="0"/>
              <w:left w:val="single" w:color="000000" w:sz="4" w:space="0"/>
              <w:bottom w:val="nil"/>
              <w:right w:val="single" w:color="000000" w:sz="4" w:space="0"/>
            </w:tcBorders>
            <w:shd w:val="clear" w:color="auto" w:fill="auto"/>
            <w:vAlign w:val="center"/>
          </w:tcPr>
          <w:p w14:paraId="5224D7B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安全岛配套浇筑</w:t>
            </w:r>
          </w:p>
        </w:tc>
        <w:tc>
          <w:tcPr>
            <w:tcW w:w="608" w:type="dxa"/>
            <w:tcBorders>
              <w:top w:val="single" w:color="000000" w:sz="4" w:space="0"/>
              <w:left w:val="single" w:color="000000" w:sz="4" w:space="0"/>
              <w:bottom w:val="nil"/>
              <w:right w:val="single" w:color="000000" w:sz="4" w:space="0"/>
            </w:tcBorders>
            <w:shd w:val="clear" w:color="auto" w:fill="auto"/>
            <w:noWrap/>
            <w:vAlign w:val="center"/>
          </w:tcPr>
          <w:p w14:paraId="77AC1B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74" w:type="dxa"/>
            <w:tcBorders>
              <w:top w:val="single" w:color="000000" w:sz="4" w:space="0"/>
              <w:left w:val="single" w:color="000000" w:sz="4" w:space="0"/>
              <w:bottom w:val="nil"/>
            </w:tcBorders>
            <w:shd w:val="clear" w:color="auto" w:fill="auto"/>
            <w:noWrap/>
            <w:vAlign w:val="center"/>
          </w:tcPr>
          <w:p w14:paraId="0EEBF7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4D9CDF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C1761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nil"/>
              <w:right w:val="single" w:color="000000" w:sz="4" w:space="0"/>
            </w:tcBorders>
            <w:shd w:val="clear" w:color="auto" w:fill="auto"/>
            <w:vAlign w:val="center"/>
          </w:tcPr>
          <w:p w14:paraId="5D6E42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配套线缆</w:t>
            </w:r>
          </w:p>
        </w:tc>
        <w:tc>
          <w:tcPr>
            <w:tcW w:w="5304" w:type="dxa"/>
            <w:tcBorders>
              <w:top w:val="single" w:color="000000" w:sz="4" w:space="0"/>
              <w:left w:val="single" w:color="000000" w:sz="4" w:space="0"/>
              <w:bottom w:val="nil"/>
              <w:right w:val="single" w:color="000000" w:sz="4" w:space="0"/>
            </w:tcBorders>
            <w:shd w:val="clear" w:color="auto" w:fill="auto"/>
            <w:vAlign w:val="center"/>
          </w:tcPr>
          <w:p w14:paraId="203F64C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YJV3*2.5</w:t>
            </w:r>
          </w:p>
        </w:tc>
        <w:tc>
          <w:tcPr>
            <w:tcW w:w="608" w:type="dxa"/>
            <w:tcBorders>
              <w:top w:val="single" w:color="000000" w:sz="4" w:space="0"/>
              <w:left w:val="single" w:color="000000" w:sz="4" w:space="0"/>
              <w:bottom w:val="nil"/>
              <w:right w:val="single" w:color="000000" w:sz="4" w:space="0"/>
            </w:tcBorders>
            <w:shd w:val="clear" w:color="auto" w:fill="auto"/>
            <w:noWrap/>
            <w:vAlign w:val="center"/>
          </w:tcPr>
          <w:p w14:paraId="458347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574" w:type="dxa"/>
            <w:tcBorders>
              <w:top w:val="single" w:color="000000" w:sz="4" w:space="0"/>
              <w:left w:val="single" w:color="000000" w:sz="4" w:space="0"/>
              <w:bottom w:val="nil"/>
            </w:tcBorders>
            <w:shd w:val="clear" w:color="auto" w:fill="auto"/>
            <w:noWrap/>
            <w:vAlign w:val="center"/>
          </w:tcPr>
          <w:p w14:paraId="546AF7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77BFD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A0BE6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AF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DCC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A9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744D61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70BEC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44464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E1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辅材</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57E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配套辅材</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270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1BF346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r>
      <w:tr w14:paraId="6C2820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0D3FD4A8">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12.报警系统</w:t>
            </w:r>
          </w:p>
        </w:tc>
      </w:tr>
      <w:tr w14:paraId="0EBBF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B9DDF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73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报警按钮</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5BB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墙体表面凸出安装，支持常开/常闭的触点模式，一键紧急报警，支持电压≤250VDC，电流≤300mA的环境下工作；</w:t>
            </w:r>
          </w:p>
          <w:p w14:paraId="271C2FB4">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设备无需供电，自带配套复位钥匙，出警确认警情，通过钥匙复位，ABS材质，性能稳定，经久耐用；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AE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574" w:type="dxa"/>
            <w:tcBorders>
              <w:top w:val="single" w:color="000000" w:sz="4" w:space="0"/>
              <w:left w:val="single" w:color="000000" w:sz="4" w:space="0"/>
              <w:bottom w:val="single" w:color="000000" w:sz="4" w:space="0"/>
            </w:tcBorders>
            <w:shd w:val="clear" w:color="auto" w:fill="auto"/>
            <w:vAlign w:val="center"/>
          </w:tcPr>
          <w:p w14:paraId="266E7D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0A438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A5B1A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67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八防区扩展模块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451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八防区扩展；常开、常闭类型探测器可选；一路继电器输出扩展；最大级联数30；通讯协议Mbus</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E1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6F8C37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35D1F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A5569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BF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总线制报警主机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3D6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支持本地16路报警输入，最大可扩展到256路；支持接入常开或常闭型探测器；支持探测器防拆、防短、防遮挡功能;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支持本地4路报警输出，最大可扩展到256路；支持强制开启、强制关闭、自动控制功能，支持报警联动;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支持即时防区、延时防区、24小时无声等多种防区类型;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支持报警输入输出接口电路保护功能;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支持异常报警，包括主机防拆报警、键盘防拆报警、主电掉电报警、蓄电池掉电报警、蓄电池欠压报警、PSTN掉线报警、网络断开报警、IP冲突报警、MAC冲突报警等;</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支持2路RS-485接口，支持最大32路键盘接入，支持打印机接入;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支持火警、医疗、胁迫等紧急报警;</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支持键盘、WEB多种配置方式，支持快速配置向导，支持远程配置及查询;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支持最多8个子系统，支持单防区和子系统布撤防，支持键盘、遥控器、IC卡等多种布撤防方式;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支持多个接警中心和报警数据上传策略;</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FE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D97F2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32B047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A5E63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30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报警键盘</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015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配套报警主机使用，拥有防区状态、故障、布撤防、网络、通讯等5种指示灯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支持防区状态、系统故障、程序版本、通信参数等查询操作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支持本地、遥控器等布撤防方式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支持对主机编程、布撤防、消警、旁路/旁路恢复、 子系统操作、继电器操作、防区状态查询、步测模式等功能</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F7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24086A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7BCF2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3D93A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E7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声光警号</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9F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声光报警一体式报警；ABS材质；报警联动配件；额定电压：12VDC；工作电压范围：9~15VDC；额定电流≤140mA；最大电流1A</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安装环境：室内安装；闪动次数/分钟：300±30次；声压：108±3dB（30cm处）</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C4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5FD31F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442DC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5EA5D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FA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主机用蓄电池</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73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采用AGM阀控技术及高纯度的原材料生产制造，具有低内阻、高能量比、优良的大电流放电性能及较长的浮充和循环寿命。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良好的高倍率放电性能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采用多层极柱密封专有技术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正负极板栅采用铅钙多元合金，耐腐蚀、防失水</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具有高吸附、高稳定性的多微孔超细玻璃纤维隔板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抗冲击、耐震动的高强度ABS</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高品质的安全阀，有效保证电池寿命及使用过程中的安全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E7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5836A5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4269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9C700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29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串行模块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88B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支持自定义通讯协议，支持模块级冗余配置</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C0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357BFC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0650F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AC0F9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74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继电器输出模块</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F9C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通过MBUS总线与报警主机连接，进行32路常开（NO）或常闭（NC）开关量受控输出</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51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3B8445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7C73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B9974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EA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A3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国标RVV2*1.0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77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574" w:type="dxa"/>
            <w:tcBorders>
              <w:top w:val="single" w:color="000000" w:sz="4" w:space="0"/>
              <w:left w:val="single" w:color="000000" w:sz="4" w:space="0"/>
              <w:bottom w:val="single" w:color="000000" w:sz="4" w:space="0"/>
            </w:tcBorders>
            <w:shd w:val="clear" w:color="auto" w:fill="auto"/>
            <w:vAlign w:val="center"/>
          </w:tcPr>
          <w:p w14:paraId="119C5F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3B6278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8BD47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8E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D7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国标RVV4*1.0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BC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w:t>
            </w:r>
          </w:p>
        </w:tc>
        <w:tc>
          <w:tcPr>
            <w:tcW w:w="574" w:type="dxa"/>
            <w:tcBorders>
              <w:top w:val="single" w:color="000000" w:sz="4" w:space="0"/>
              <w:left w:val="single" w:color="000000" w:sz="4" w:space="0"/>
              <w:bottom w:val="single" w:color="000000" w:sz="4" w:space="0"/>
            </w:tcBorders>
            <w:shd w:val="clear" w:color="auto" w:fill="auto"/>
            <w:vAlign w:val="center"/>
          </w:tcPr>
          <w:p w14:paraId="6BC6B9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3F0178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08F9B4F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13.电子巡更系统</w:t>
            </w:r>
          </w:p>
        </w:tc>
      </w:tr>
      <w:tr w14:paraId="62421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ABAA2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4AF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数据采集器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A8F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超级抗摔,完全防水,防电击;无需按键、接触,自动探测读卡;无线高速上传数据(每秒30条巡更记录);电池可用2年;可在-40℃低温工作;可记录存储≥30000条记录。</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67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noWrap/>
            <w:vAlign w:val="center"/>
          </w:tcPr>
          <w:p w14:paraId="5496F6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8A95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E28C7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5B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人员卡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F26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965"/>
                <w:rFonts w:hint="eastAsia" w:ascii="仿宋" w:hAnsi="仿宋" w:eastAsia="仿宋" w:cs="仿宋"/>
                <w:color w:val="auto"/>
                <w:sz w:val="24"/>
                <w:szCs w:val="24"/>
                <w:highlight w:val="none"/>
                <w:lang w:val="en-US" w:eastAsia="zh-CN" w:bidi="ar"/>
              </w:rPr>
              <w:t>读卡反应时间≤0.3s；简体中文；携带；</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90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574" w:type="dxa"/>
            <w:tcBorders>
              <w:top w:val="single" w:color="000000" w:sz="4" w:space="0"/>
              <w:left w:val="single" w:color="000000" w:sz="4" w:space="0"/>
              <w:bottom w:val="single" w:color="000000" w:sz="4" w:space="0"/>
            </w:tcBorders>
            <w:shd w:val="clear" w:color="auto" w:fill="auto"/>
            <w:noWrap/>
            <w:vAlign w:val="center"/>
          </w:tcPr>
          <w:p w14:paraId="15D349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99293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ECAD8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79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信息点卡</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D20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965"/>
                <w:rFonts w:hint="eastAsia" w:ascii="仿宋" w:hAnsi="仿宋" w:eastAsia="仿宋" w:cs="仿宋"/>
                <w:color w:val="auto"/>
                <w:sz w:val="24"/>
                <w:szCs w:val="24"/>
                <w:highlight w:val="none"/>
                <w:lang w:val="en-US" w:eastAsia="zh-CN" w:bidi="ar"/>
              </w:rPr>
              <w:t>读卡反应时间≤0.3s；简体中文；明装；</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F0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574" w:type="dxa"/>
            <w:tcBorders>
              <w:top w:val="single" w:color="000000" w:sz="4" w:space="0"/>
              <w:left w:val="single" w:color="000000" w:sz="4" w:space="0"/>
              <w:bottom w:val="single" w:color="000000" w:sz="4" w:space="0"/>
            </w:tcBorders>
            <w:shd w:val="clear" w:color="auto" w:fill="auto"/>
            <w:noWrap/>
            <w:vAlign w:val="center"/>
          </w:tcPr>
          <w:p w14:paraId="56C475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500491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38ABF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68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巡更软件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8D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主机完成全部的巡更机管理及巡更数据核查。</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2A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658A90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C2BC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88F7A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E3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标示牌</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6B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用于辨识已安装的巡更巡检点</w:t>
            </w:r>
            <w:r>
              <w:rPr>
                <w:rStyle w:val="377"/>
                <w:rFonts w:hint="eastAsia" w:ascii="仿宋" w:hAnsi="仿宋" w:eastAsia="仿宋" w:cs="仿宋"/>
                <w:color w:val="auto"/>
                <w:sz w:val="24"/>
                <w:szCs w:val="24"/>
                <w:highlight w:val="none"/>
                <w:lang w:val="en-US" w:eastAsia="zh-CN" w:bidi="ar"/>
              </w:rPr>
              <w:t xml:space="preserve"> </w:t>
            </w:r>
            <w:r>
              <w:rPr>
                <w:rStyle w:val="377"/>
                <w:rFonts w:hint="eastAsia" w:ascii="仿宋" w:hAnsi="仿宋" w:eastAsia="仿宋" w:cs="仿宋"/>
                <w:color w:val="auto"/>
                <w:sz w:val="24"/>
                <w:szCs w:val="24"/>
                <w:highlight w:val="none"/>
                <w:lang w:val="en-US" w:eastAsia="zh-CN" w:bidi="ar"/>
              </w:rPr>
              <w:br w:type="textWrapping"/>
            </w:r>
            <w:r>
              <w:rPr>
                <w:rStyle w:val="965"/>
                <w:rFonts w:hint="eastAsia" w:ascii="仿宋" w:hAnsi="仿宋" w:eastAsia="仿宋" w:cs="仿宋"/>
                <w:color w:val="auto"/>
                <w:sz w:val="24"/>
                <w:szCs w:val="24"/>
                <w:highlight w:val="none"/>
                <w:lang w:val="en-US" w:eastAsia="zh-CN" w:bidi="ar"/>
              </w:rPr>
              <w:t>夜间自动发光。</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A4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574" w:type="dxa"/>
            <w:tcBorders>
              <w:top w:val="single" w:color="000000" w:sz="4" w:space="0"/>
              <w:left w:val="single" w:color="000000" w:sz="4" w:space="0"/>
              <w:bottom w:val="single" w:color="000000" w:sz="4" w:space="0"/>
            </w:tcBorders>
            <w:shd w:val="clear" w:color="auto" w:fill="auto"/>
            <w:noWrap/>
            <w:vAlign w:val="center"/>
          </w:tcPr>
          <w:p w14:paraId="445B25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3C823E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18CA2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7D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管理工作站</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15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i5-12500/8G/512GSSD，显示器：21.5寸，视频接口：VGA/HDMI USB接口：6×USB3.0+4×USB2.0 接口：串口、并口、音频输入/输出接口 网口：10/100/1000M自适应</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78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617D76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3AA34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3BB7E468">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14.排队叫号系统</w:t>
            </w:r>
          </w:p>
        </w:tc>
      </w:tr>
      <w:tr w14:paraId="4E629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E0C5B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0C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智慧导诊管理系统</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B72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1、支持全院分诊叫号系统的基础数据设置、维护、管理；</w:t>
            </w:r>
          </w:p>
          <w:p w14:paraId="21B14881">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2、支持门诊排队叫号、护士分诊管理系统、虚拟叫号器、药房叫号、检验叫号、医技叫号、叫号信息界面展示制作与管理；</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9E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06B85D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5FABA7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2748A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3E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数据接口系统软件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B7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对接his系统患者信息、医嘱信息、执行单、预约信息、用户、科室、病区、诊室等信息</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AA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6A23E5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B6439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CE135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27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排队叫号系统管理主机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FC7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1、尺寸：1U机架式服务器机箱；</w:t>
            </w:r>
          </w:p>
          <w:p w14:paraId="56A1FF8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2、处理器：1颗hygon国产化X86 CPU，8核，2.8GHz；</w:t>
            </w:r>
          </w:p>
          <w:p w14:paraId="000784E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3、内存：配置32G内存（2根16GB DDR4 RDIMM ECC内存条）内存槽位数4个，最大单根支持：64GB，最大支持内存256GB支持 UDIMM/RDIMM；</w:t>
            </w:r>
          </w:p>
          <w:p w14:paraId="1EF0370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4、硬盘：配置2块2T 3.5吋 SATA热插拔机械硬盘最大支持4块3.5吋/2.5吋SSD/SAS/SATA硬盘；</w:t>
            </w:r>
          </w:p>
          <w:p w14:paraId="62442AB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5、电源：1个350W交流电源模块，不支持热插拔，不支持1+1冗余100–240VAC，50/60Hz，3A不支持直流输入；</w:t>
            </w:r>
          </w:p>
          <w:p w14:paraId="78461D0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6、风扇：4个风扇模组，不支持热插拔，不支持冗余；</w:t>
            </w:r>
          </w:p>
          <w:p w14:paraId="7351FB52">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7、RAID卡：LSI 3008 SAS卡/无缓存，支持RAID 0/1/10/1E；</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0B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03BB33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9CB8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8"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89665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6E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诊室门口屏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664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面板尺寸：21.5英寸；</w:t>
            </w:r>
          </w:p>
          <w:p w14:paraId="5C0BED5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背光类型：ELED；</w:t>
            </w:r>
          </w:p>
          <w:p w14:paraId="3C87AD1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屏幕比例：16:09；</w:t>
            </w:r>
          </w:p>
          <w:p w14:paraId="412AF4D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分辨率：1920×1080；</w:t>
            </w:r>
          </w:p>
          <w:p w14:paraId="6F05FF0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亮度：250cd/m²(Typ.）；</w:t>
            </w:r>
          </w:p>
          <w:p w14:paraId="68783B9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面板技术：IPS；</w:t>
            </w:r>
          </w:p>
          <w:p w14:paraId="735BB54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对比度：1000:1 (Typ)；</w:t>
            </w:r>
          </w:p>
          <w:p w14:paraId="53A9B2B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可视角度：水平178°，垂直 178°；</w:t>
            </w:r>
          </w:p>
          <w:p w14:paraId="2497163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色深：8 bits;16.7 Million colors；</w:t>
            </w:r>
          </w:p>
          <w:p w14:paraId="71D9855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色域：70% NTSC　；</w:t>
            </w:r>
          </w:p>
          <w:p w14:paraId="276D2C2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响应时间：8 ms；</w:t>
            </w:r>
          </w:p>
          <w:p w14:paraId="1AE8227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操作系统：Android 9.0；</w:t>
            </w:r>
          </w:p>
          <w:p w14:paraId="3B4486D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CPU：四核Cortex-A53；</w:t>
            </w:r>
          </w:p>
          <w:p w14:paraId="10E469C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RAM：2GB；</w:t>
            </w:r>
          </w:p>
          <w:p w14:paraId="66EF77D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ROM：16GB；</w:t>
            </w:r>
          </w:p>
          <w:p w14:paraId="5B724CE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有线网络：1个RJ45 10M/100M自适应以太网口；</w:t>
            </w:r>
          </w:p>
          <w:p w14:paraId="331E47F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无线网络：内置WIFI，支持IEEE 802.11b/g/n协议，支持无线热点；</w:t>
            </w:r>
          </w:p>
          <w:p w14:paraId="2743DE8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数据接口：2个USB2.0 Type-A 接口；1个TF槽，最大可拓展128G存储；</w:t>
            </w:r>
          </w:p>
          <w:p w14:paraId="4A4654D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视频接口：1个HDMI IN Type-A 接口(最大支持1080P @60Hz)；</w:t>
            </w:r>
          </w:p>
          <w:p w14:paraId="1601034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音频接口：1个3.5mm标准接口，支持音频输出；</w:t>
            </w:r>
          </w:p>
          <w:p w14:paraId="4F992AC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红外接收：1个IR接收头；</w:t>
            </w:r>
          </w:p>
          <w:p w14:paraId="0D0C57F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内置扬声器：2×8Ω 2W；</w:t>
            </w:r>
          </w:p>
          <w:p w14:paraId="1F36576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供电方式：100 V ~ 240 V/AC, 50/60 Hz  ；</w:t>
            </w:r>
          </w:p>
          <w:p w14:paraId="644A85C2">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功耗：≤ 45 W；</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70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574" w:type="dxa"/>
            <w:tcBorders>
              <w:top w:val="single" w:color="000000" w:sz="4" w:space="0"/>
              <w:left w:val="single" w:color="000000" w:sz="4" w:space="0"/>
              <w:bottom w:val="single" w:color="000000" w:sz="4" w:space="0"/>
            </w:tcBorders>
            <w:shd w:val="clear" w:color="auto" w:fill="auto"/>
            <w:noWrap/>
            <w:vAlign w:val="center"/>
          </w:tcPr>
          <w:p w14:paraId="0BEF9A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68DA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85D7F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A4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E5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A7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574" w:type="dxa"/>
            <w:tcBorders>
              <w:top w:val="single" w:color="000000" w:sz="4" w:space="0"/>
              <w:left w:val="single" w:color="000000" w:sz="4" w:space="0"/>
              <w:bottom w:val="single" w:color="000000" w:sz="4" w:space="0"/>
            </w:tcBorders>
            <w:shd w:val="clear" w:color="auto" w:fill="auto"/>
            <w:noWrap/>
            <w:vAlign w:val="center"/>
          </w:tcPr>
          <w:p w14:paraId="655B87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7F9D95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BF20E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4B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C2BE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RVV2*1.5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1F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w:t>
            </w:r>
          </w:p>
        </w:tc>
        <w:tc>
          <w:tcPr>
            <w:tcW w:w="574" w:type="dxa"/>
            <w:tcBorders>
              <w:top w:val="single" w:color="000000" w:sz="4" w:space="0"/>
              <w:left w:val="single" w:color="000000" w:sz="4" w:space="0"/>
              <w:bottom w:val="single" w:color="000000" w:sz="4" w:space="0"/>
            </w:tcBorders>
            <w:shd w:val="clear" w:color="auto" w:fill="auto"/>
            <w:noWrap/>
            <w:vAlign w:val="center"/>
          </w:tcPr>
          <w:p w14:paraId="10F2E6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221FA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70A72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D6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辅材</w:t>
            </w:r>
          </w:p>
        </w:tc>
        <w:tc>
          <w:tcPr>
            <w:tcW w:w="5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137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配套辅材</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AB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08C2F3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r>
      <w:tr w14:paraId="7E487D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2350347">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65E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信号接口</w:t>
            </w:r>
          </w:p>
        </w:tc>
        <w:tc>
          <w:tcPr>
            <w:tcW w:w="5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0E49">
            <w:pPr>
              <w:keepNext w:val="0"/>
              <w:keepLines w:val="0"/>
              <w:widowControl/>
              <w:suppressLineNumbers w:val="0"/>
              <w:jc w:val="left"/>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接入医院HIS系统</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6BB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574" w:type="dxa"/>
            <w:tcBorders>
              <w:top w:val="single" w:color="000000" w:sz="4" w:space="0"/>
              <w:left w:val="single" w:color="000000" w:sz="4" w:space="0"/>
              <w:bottom w:val="single" w:color="000000" w:sz="4" w:space="0"/>
            </w:tcBorders>
            <w:shd w:val="clear" w:color="auto" w:fill="auto"/>
            <w:noWrap/>
            <w:vAlign w:val="center"/>
          </w:tcPr>
          <w:p w14:paraId="7535E42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14:paraId="65DDA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661783CF">
            <w:pPr>
              <w:keepNext w:val="0"/>
              <w:keepLines w:val="0"/>
              <w:widowControl/>
              <w:suppressLineNumbers w:val="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15.病房呼叫系统</w:t>
            </w:r>
          </w:p>
        </w:tc>
      </w:tr>
      <w:tr w14:paraId="3FC6D0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1C86807E">
            <w:pPr>
              <w:keepNext w:val="0"/>
              <w:keepLines w:val="0"/>
              <w:widowControl/>
              <w:suppressLineNumbers w:val="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与医用气体配合安装设备带。</w:t>
            </w:r>
          </w:p>
        </w:tc>
      </w:tr>
      <w:tr w14:paraId="272BE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CA68F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23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病床分机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8E4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主处理器：高性能嵌入式处理器；</w:t>
            </w:r>
          </w:p>
          <w:p w14:paraId="10B159F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操作系统：嵌入式操作系统；</w:t>
            </w:r>
          </w:p>
          <w:p w14:paraId="1DB1EE3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网络协议：IPv4;RTSP;UDP;DNS;TCP;SIP；</w:t>
            </w:r>
          </w:p>
          <w:p w14:paraId="6B30F5E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ROM：128MB；</w:t>
            </w:r>
          </w:p>
          <w:p w14:paraId="2558D02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RAM：128MB；</w:t>
            </w:r>
          </w:p>
          <w:p w14:paraId="0E8CDF7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SOS报警：支持；</w:t>
            </w:r>
          </w:p>
          <w:p w14:paraId="67E85AA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通讯方式：全数字；</w:t>
            </w:r>
          </w:p>
          <w:p w14:paraId="105560B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信息发布：支持接收中心发布文字、图片信息；</w:t>
            </w:r>
          </w:p>
          <w:p w14:paraId="0E7780F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屏幕类型：电容触摸屏；</w:t>
            </w:r>
          </w:p>
          <w:p w14:paraId="26C26FF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显示屏：7寸TFT LCD屏；</w:t>
            </w:r>
          </w:p>
          <w:p w14:paraId="69B6868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显示屏分辨率：1024×600；</w:t>
            </w:r>
          </w:p>
          <w:p w14:paraId="72270B3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音频压缩标准：G.711a;G.711u;PCM;；</w:t>
            </w:r>
          </w:p>
          <w:p w14:paraId="56BA3CF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音频输入：1路；</w:t>
            </w:r>
          </w:p>
          <w:p w14:paraId="741D5D1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音频输出：内置喇叭；</w:t>
            </w:r>
          </w:p>
          <w:p w14:paraId="34C742B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音频模式：支持双向语音对讲；</w:t>
            </w:r>
          </w:p>
          <w:p w14:paraId="69E7430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音效增强：支持回声抑制/数字降噪；</w:t>
            </w:r>
          </w:p>
          <w:p w14:paraId="4F138F9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音频码率：16KHz，16Bit；</w:t>
            </w:r>
          </w:p>
          <w:p w14:paraId="0ECD5B7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RS-485接口：1个；</w:t>
            </w:r>
          </w:p>
          <w:p w14:paraId="7BBB30A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报警输入：6路（开关量）；</w:t>
            </w:r>
          </w:p>
          <w:p w14:paraId="35AC8F1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电源输出：1路12V/200mA；</w:t>
            </w:r>
          </w:p>
          <w:p w14:paraId="4F4E6EA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网络接口：1个10M/100M以太网口；</w:t>
            </w:r>
          </w:p>
          <w:p w14:paraId="55FDD5A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供电方式：DC 12V  1A标准POE；</w:t>
            </w:r>
          </w:p>
          <w:p w14:paraId="582F31D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工作温度：-10℃～+55℃；</w:t>
            </w:r>
          </w:p>
          <w:p w14:paraId="59670BF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工作湿度：10%～95%RH（无凝结）；</w:t>
            </w:r>
          </w:p>
          <w:p w14:paraId="2B7CFB2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工作海拔：3000m以下；</w:t>
            </w:r>
          </w:p>
          <w:p w14:paraId="694508CF">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功耗：≤1.5W（待机），≤7W（工作）；</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D7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87</w:t>
            </w:r>
          </w:p>
        </w:tc>
        <w:tc>
          <w:tcPr>
            <w:tcW w:w="574" w:type="dxa"/>
            <w:tcBorders>
              <w:top w:val="single" w:color="000000" w:sz="4" w:space="0"/>
              <w:left w:val="single" w:color="000000" w:sz="4" w:space="0"/>
              <w:bottom w:val="single" w:color="000000" w:sz="4" w:space="0"/>
            </w:tcBorders>
            <w:shd w:val="clear" w:color="auto" w:fill="auto"/>
            <w:vAlign w:val="center"/>
          </w:tcPr>
          <w:p w14:paraId="4353EB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676E5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CF357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D4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病房门口机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0F6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主处理器：高性能嵌入式处理器；</w:t>
            </w:r>
          </w:p>
          <w:p w14:paraId="2BA7BE9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操作系统：Android 8.1；</w:t>
            </w:r>
          </w:p>
          <w:p w14:paraId="45A1FC0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按键类型：机械按键；</w:t>
            </w:r>
          </w:p>
          <w:p w14:paraId="44D7CA6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网络协议：RTSP;UDP;DNS;TCP;SIP；</w:t>
            </w:r>
          </w:p>
          <w:p w14:paraId="0B188EA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ROM：4GB；</w:t>
            </w:r>
          </w:p>
          <w:p w14:paraId="3758361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RAM：1GB；</w:t>
            </w:r>
          </w:p>
          <w:p w14:paraId="427943A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CPU：双核  1.2GHz；</w:t>
            </w:r>
          </w:p>
          <w:p w14:paraId="2DDFA35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SOS报警：支持；</w:t>
            </w:r>
          </w:p>
          <w:p w14:paraId="2AED9D2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通讯方式：全数字；</w:t>
            </w:r>
          </w:p>
          <w:p w14:paraId="6CFB59A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屏幕类型：电容触摸屏；</w:t>
            </w:r>
          </w:p>
          <w:p w14:paraId="32CD80E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显示屏：10英寸显示屏；</w:t>
            </w:r>
          </w:p>
          <w:p w14:paraId="1AB70B2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显示屏分辨率：1024×600；</w:t>
            </w:r>
          </w:p>
          <w:p w14:paraId="268C8F0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音频压缩标准：G.711a;G.711u;PCM;；</w:t>
            </w:r>
          </w:p>
          <w:p w14:paraId="670D3D4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音频输入：1路；</w:t>
            </w:r>
          </w:p>
          <w:p w14:paraId="61EF4C4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音频输出：内置喇叭；</w:t>
            </w:r>
          </w:p>
          <w:p w14:paraId="386390F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音频模式：支持双向语音对讲；</w:t>
            </w:r>
          </w:p>
          <w:p w14:paraId="268115F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音效增强：支持回声抑制/数字降噪；</w:t>
            </w:r>
          </w:p>
          <w:p w14:paraId="568AA56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音频码率：16KHz，16Bit；</w:t>
            </w:r>
          </w:p>
          <w:p w14:paraId="54D03FD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RS-485接口：1个；</w:t>
            </w:r>
          </w:p>
          <w:p w14:paraId="38BB69C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USB接口：1个；</w:t>
            </w:r>
          </w:p>
          <w:p w14:paraId="22180FC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报警输入：1路（开关量）；</w:t>
            </w:r>
          </w:p>
          <w:p w14:paraId="05CE16E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电源输出：1路12V/200mA；</w:t>
            </w:r>
          </w:p>
          <w:p w14:paraId="136E8F6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网络接口：1个10M/100M以太网口；</w:t>
            </w:r>
          </w:p>
          <w:p w14:paraId="35ACC19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供电方式：DC 12V  1A标准POE；</w:t>
            </w:r>
          </w:p>
          <w:p w14:paraId="5A1A1B4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工作温度：-10℃～+55℃；</w:t>
            </w:r>
          </w:p>
          <w:p w14:paraId="4F0EB8E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工作湿度：10%～95%RH（无凝结）；</w:t>
            </w:r>
          </w:p>
          <w:p w14:paraId="339D634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工作海拔：3000m以下；</w:t>
            </w:r>
          </w:p>
          <w:p w14:paraId="13518D39">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功耗：≤1.5W（待机），≤7W（工作）；</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71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574" w:type="dxa"/>
            <w:tcBorders>
              <w:top w:val="single" w:color="000000" w:sz="4" w:space="0"/>
              <w:left w:val="single" w:color="000000" w:sz="4" w:space="0"/>
              <w:bottom w:val="single" w:color="000000" w:sz="4" w:space="0"/>
            </w:tcBorders>
            <w:shd w:val="clear" w:color="auto" w:fill="auto"/>
            <w:vAlign w:val="center"/>
          </w:tcPr>
          <w:p w14:paraId="31B154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2A73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B6FF0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F9A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护士站显示机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13B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面板尺寸：55英寸；</w:t>
            </w:r>
          </w:p>
          <w:p w14:paraId="0329D30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亮度：350cd/m²；</w:t>
            </w:r>
          </w:p>
          <w:p w14:paraId="0DA27B5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安装方式：底座、壁挂；</w:t>
            </w:r>
          </w:p>
          <w:p w14:paraId="543CA50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供电方式：100–240VAC，50/60Hz；</w:t>
            </w:r>
          </w:p>
          <w:p w14:paraId="5772D60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工作温度：0℃～+40℃；</w:t>
            </w:r>
          </w:p>
          <w:p w14:paraId="7233B13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信号输入标配：HDMI×2、USB×1、VGA×1、SPDIF×1、Audio×1、RS232×1；</w:t>
            </w:r>
          </w:p>
          <w:p w14:paraId="5D3AFBDD">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支持的分辨率：1920×1080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CB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757D66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11445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400D1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98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智慧病房管理一体机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10C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1、支持基础管理、视频监控、报警管理、门禁对讲、出入院管理、医护对讲、信息发布、护士站信息化、HIS对接网关等业务子系统；</w:t>
            </w:r>
          </w:p>
          <w:p w14:paraId="68B2073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2、支持院区监控设备管理，实现PC端实时视频预览、录像回放下载、雷球联动、视频上墙，移动端实时视频监控、远程视频回放、本地录像截图、云台控制等业务；</w:t>
            </w:r>
          </w:p>
          <w:p w14:paraId="638D75B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3、支持报警主机的接入及布撤防；</w:t>
            </w:r>
          </w:p>
          <w:p w14:paraId="17F6F1B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4、支持门禁对讲设备管理，实现门禁控制、权限管理、权限复核，呼叫通话、分组呼叫等业务；</w:t>
            </w:r>
          </w:p>
          <w:p w14:paraId="2F9E9B0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5、支持出入院管理，实现病人、家属、陪护信息管理，病人出入院登记，陪护登记，门禁权限联动等业务；</w:t>
            </w:r>
          </w:p>
          <w:p w14:paraId="34938E7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6、支持医护对讲，实现医护主机、医护分机、病房门口机、病床分机、走廊屏的管理，设备间的实时呼叫、信息同步、设备托管等业务；</w:t>
            </w:r>
          </w:p>
          <w:p w14:paraId="390F990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支持信息发布，实现平台病患信息、医护信息、报警/呼叫/增援/换药等报警信息下发同步至医护主机、医护分机、病房门口机、病床分机、走廊屏等设备，同时支持院区病房广告机的统一管理以及素材下发显示；</w:t>
            </w:r>
          </w:p>
          <w:p w14:paraId="750F12C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支持护士站信息化，打造病区总览表、病患一览表、护士交班表、医护排班表四大看板；基于病区总览表实现护理信息、医护排班、注意事项的便捷查看，护理标签的自定义，备注信息的填写查看；基于病患一览表实现病患信息统一查看，病区内呼叫、换药、请求增援、报警信息的查看，护理等级、报警信息的筛选显示；基于护士交班表实现交班记录的便捷查看，注意事项的编辑和查看；基于医护排班表实现医生、护士排班信息的导入，排班信息的筛选和直观查看；</w:t>
            </w:r>
          </w:p>
          <w:p w14:paraId="02A1A26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9、支持第三方HIS系统对接，实现病人基础信息、陪护信息、护理信息的标准API协议的对接，可拓展软授权HIS数据网关对接如体征信息、检验检查、手术事件等其他HIS数据或定制对接其他三方协议；</w:t>
            </w:r>
          </w:p>
          <w:p w14:paraId="345C7EE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10、单台智慧病房一体机支持视频监控200路、门禁对讲100路、报警500路、病床100床、病房50间、护士站5个、信息发布100路，可拓展软授权最大至病床300床、病房150间、护士站17个；</w:t>
            </w:r>
          </w:p>
          <w:p w14:paraId="370B661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11、系统支持多终端（C/S客户端、移动APP、WEB）运行使用；</w:t>
            </w:r>
          </w:p>
          <w:p w14:paraId="5ABF105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12、处理器：双核四线程高性能处理器(Intel Core i3-1115G4)，3.0 GHz主频，最大TDP功耗28W；</w:t>
            </w:r>
          </w:p>
          <w:p w14:paraId="3E1B3C4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13、内存：32G；</w:t>
            </w:r>
          </w:p>
          <w:p w14:paraId="09EB71F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14、存储：1个 128G-SSD固态硬盘，1个 4T-3.5英寸企业级机械硬盘；</w:t>
            </w:r>
          </w:p>
          <w:p w14:paraId="217E80B5">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15、操作系统：CentOS7.7；</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EB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32F990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43545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F3621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9C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护士站主机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331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主处理器：高性能嵌入式处理器；</w:t>
            </w:r>
          </w:p>
          <w:p w14:paraId="6C64242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操作系统：Android 11；</w:t>
            </w:r>
          </w:p>
          <w:p w14:paraId="545ADB0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按键类型：机械按键；</w:t>
            </w:r>
          </w:p>
          <w:p w14:paraId="636E387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接入标准：ONVIF;GB/T28181;PSIA；</w:t>
            </w:r>
          </w:p>
          <w:p w14:paraId="297BFB0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网络协议：IPv4;RTSP;UDP;RTP;TCP;SIP；</w:t>
            </w:r>
          </w:p>
          <w:p w14:paraId="779F9D0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通讯方式：全数字；</w:t>
            </w:r>
          </w:p>
          <w:p w14:paraId="778C376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分屏显示：支持4分屏，同时预览4路720P视频；</w:t>
            </w:r>
          </w:p>
          <w:p w14:paraId="1E7C488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存储功能：支持Micro SD卡存储，支持最大512GB，；</w:t>
            </w:r>
          </w:p>
          <w:p w14:paraId="074864E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屏幕类型：电容触摸屏；</w:t>
            </w:r>
          </w:p>
          <w:p w14:paraId="03883DA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显示屏：10.1英寸显示屏；</w:t>
            </w:r>
          </w:p>
          <w:p w14:paraId="7655E46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显示屏分辨率：1024×600；</w:t>
            </w:r>
          </w:p>
          <w:p w14:paraId="665FE32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音频压缩标准：G.711a;G.711u;PCM；</w:t>
            </w:r>
          </w:p>
          <w:p w14:paraId="54E4EE9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音频输入：3；</w:t>
            </w:r>
          </w:p>
          <w:p w14:paraId="5FFC224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音频输出：内置喇叭 听筒扬声器；</w:t>
            </w:r>
          </w:p>
          <w:p w14:paraId="57CFF77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音频模式：支持双向语音对讲；</w:t>
            </w:r>
          </w:p>
          <w:p w14:paraId="56A3A85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音效增强：支持回声抑制/数字降噪；</w:t>
            </w:r>
          </w:p>
          <w:p w14:paraId="358487E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音频码率：16KHz，16Bit；</w:t>
            </w:r>
          </w:p>
          <w:p w14:paraId="07DC3A4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状态指示灯：2个，红色-电源指示灯，橙色-信息指示灯；</w:t>
            </w:r>
          </w:p>
          <w:p w14:paraId="018D2DE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视频压缩标准：H.264 H265；</w:t>
            </w:r>
          </w:p>
          <w:p w14:paraId="3FC55D5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摄像头：5MP CMOS 摄像头；</w:t>
            </w:r>
          </w:p>
          <w:p w14:paraId="2821477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视频帧率：25fps；</w:t>
            </w:r>
          </w:p>
          <w:p w14:paraId="2D52F9D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RS-485接口：1个；</w:t>
            </w:r>
          </w:p>
          <w:p w14:paraId="622425A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USB接口：2个；</w:t>
            </w:r>
          </w:p>
          <w:p w14:paraId="0B1EF77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电源输出：1路12V/200mA；</w:t>
            </w:r>
          </w:p>
          <w:p w14:paraId="56A3024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网络接口：1个RJ-45 100Mbps/1000Mbps自适应；</w:t>
            </w:r>
          </w:p>
          <w:p w14:paraId="0F33D059">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供电方式：DC12V 4A；</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7D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3B278D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4CC85C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B244A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31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双面走廊屏</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9BF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面板尺寸：29英寸；</w:t>
            </w:r>
          </w:p>
          <w:p w14:paraId="2696855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背光类型：LED；</w:t>
            </w:r>
          </w:p>
          <w:p w14:paraId="5B1124F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屏幕比例：32:9；</w:t>
            </w:r>
          </w:p>
          <w:p w14:paraId="47B559B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分辨率：1920×540；</w:t>
            </w:r>
          </w:p>
          <w:p w14:paraId="3FF7073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亮度：700cd/m²；</w:t>
            </w:r>
          </w:p>
          <w:p w14:paraId="2F90FEB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对比度：1000:1；</w:t>
            </w:r>
          </w:p>
          <w:p w14:paraId="0E59E2D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可视角度：水平 178°，垂直 178°；</w:t>
            </w:r>
          </w:p>
          <w:p w14:paraId="1748174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操作系统：Android 8.1；</w:t>
            </w:r>
          </w:p>
          <w:p w14:paraId="3F36DAB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RAM：2GB；</w:t>
            </w:r>
          </w:p>
          <w:p w14:paraId="42B68CB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ROM：16GB；</w:t>
            </w:r>
          </w:p>
          <w:p w14:paraId="34E92E1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内置扬声器：支持；</w:t>
            </w:r>
          </w:p>
          <w:p w14:paraId="7D4C9B7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供电方式：24VDC；</w:t>
            </w:r>
          </w:p>
          <w:p w14:paraId="6C4366B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功耗：≤60W；</w:t>
            </w:r>
          </w:p>
          <w:p w14:paraId="654B6E7D">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安装方式：壁装、吊装；</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A0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000000" w:sz="4" w:space="0"/>
              <w:left w:val="single" w:color="000000" w:sz="4" w:space="0"/>
              <w:bottom w:val="single" w:color="000000" w:sz="4" w:space="0"/>
            </w:tcBorders>
            <w:shd w:val="clear" w:color="auto" w:fill="auto"/>
            <w:vAlign w:val="center"/>
          </w:tcPr>
          <w:p w14:paraId="48F245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339F3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EE701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B65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病卫紧急按钮</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CE3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1.防水等级符合IPX8要求；</w:t>
            </w:r>
          </w:p>
          <w:p w14:paraId="056F1B5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2.支持标准86盒安装设计；</w:t>
            </w:r>
          </w:p>
          <w:p w14:paraId="54D79D5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3.支持拉绳和按键两种报警方式；</w:t>
            </w:r>
          </w:p>
          <w:p w14:paraId="629001B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4.支持报警后响铃和闪灯提示，便于使用者感知报警成功；</w:t>
            </w:r>
          </w:p>
          <w:p w14:paraId="670C8EB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5.支持在按钮上长按解除报警，也支持在主机上解除。</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03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574" w:type="dxa"/>
            <w:tcBorders>
              <w:top w:val="single" w:color="000000" w:sz="4" w:space="0"/>
              <w:left w:val="single" w:color="000000" w:sz="4" w:space="0"/>
              <w:bottom w:val="single" w:color="000000" w:sz="4" w:space="0"/>
            </w:tcBorders>
            <w:shd w:val="clear" w:color="auto" w:fill="auto"/>
            <w:vAlign w:val="center"/>
          </w:tcPr>
          <w:p w14:paraId="4EDDF1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r>
      <w:tr w14:paraId="2BE56D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A96BC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0E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HIS数据网关</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B24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1、支持提供医疗数据标准的对外接口；</w:t>
            </w:r>
          </w:p>
          <w:p w14:paraId="1C49C111">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2、支持从医院HIS系统获取相关数据；</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E6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2C3B75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9C11F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2ADD8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78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HIS系统数据对接</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D6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运用HIS中病房病人护理信息的数据调用与维护；</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CB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4E900B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D74EB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7EAED6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B9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78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98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574" w:type="dxa"/>
            <w:tcBorders>
              <w:top w:val="single" w:color="000000" w:sz="4" w:space="0"/>
              <w:left w:val="single" w:color="000000" w:sz="4" w:space="0"/>
              <w:bottom w:val="single" w:color="000000" w:sz="4" w:space="0"/>
            </w:tcBorders>
            <w:shd w:val="clear" w:color="auto" w:fill="auto"/>
            <w:noWrap/>
            <w:vAlign w:val="center"/>
          </w:tcPr>
          <w:p w14:paraId="76916B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4D52EF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37DB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B4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电源线</w:t>
            </w:r>
          </w:p>
        </w:tc>
        <w:tc>
          <w:tcPr>
            <w:tcW w:w="5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5C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RVV2*1.0</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98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w:t>
            </w:r>
          </w:p>
        </w:tc>
        <w:tc>
          <w:tcPr>
            <w:tcW w:w="574" w:type="dxa"/>
            <w:tcBorders>
              <w:top w:val="single" w:color="000000" w:sz="4" w:space="0"/>
              <w:left w:val="single" w:color="000000" w:sz="4" w:space="0"/>
              <w:bottom w:val="single" w:color="000000" w:sz="4" w:space="0"/>
            </w:tcBorders>
            <w:shd w:val="clear" w:color="auto" w:fill="auto"/>
            <w:noWrap/>
            <w:vAlign w:val="center"/>
          </w:tcPr>
          <w:p w14:paraId="5917C7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798928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EF5E6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31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辅材</w:t>
            </w:r>
          </w:p>
        </w:tc>
        <w:tc>
          <w:tcPr>
            <w:tcW w:w="5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BC9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配套辅材</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17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255D63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r>
      <w:tr w14:paraId="36D580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vAlign w:val="center"/>
          </w:tcPr>
          <w:p w14:paraId="0F354AAD">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lang w:val="en-US"/>
              </w:rPr>
            </w:pPr>
            <w:r>
              <w:rPr>
                <w:rFonts w:hint="eastAsia" w:ascii="仿宋" w:hAnsi="仿宋" w:eastAsia="仿宋" w:cs="仿宋"/>
                <w:b/>
                <w:bCs/>
                <w:i w:val="0"/>
                <w:iCs w:val="0"/>
                <w:color w:val="auto"/>
                <w:kern w:val="0"/>
                <w:sz w:val="24"/>
                <w:szCs w:val="24"/>
                <w:highlight w:val="none"/>
                <w:u w:val="none"/>
                <w:lang w:val="en-US" w:eastAsia="zh-CN" w:bidi="ar"/>
              </w:rPr>
              <w:t>16.输液无线呼叫系统</w:t>
            </w:r>
          </w:p>
        </w:tc>
      </w:tr>
      <w:tr w14:paraId="30C5BD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66" w:type="dxa"/>
            <w:tcBorders>
              <w:top w:val="single" w:color="000000" w:sz="4" w:space="0"/>
              <w:bottom w:val="single" w:color="000000" w:sz="4" w:space="0"/>
              <w:right w:val="single" w:color="000000" w:sz="4" w:space="0"/>
            </w:tcBorders>
            <w:shd w:val="clear" w:color="auto" w:fill="auto"/>
            <w:vAlign w:val="center"/>
          </w:tcPr>
          <w:p w14:paraId="440D75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3C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无线呼叫主机（用于输液大厅（室））</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4BE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单面数码显示，12首音乐呼叫振铃，外置天线，菜单式操作，可同时储存20组呼叫号码，有分机呼叫时，显示呼叫号码</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E8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1F8BFA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ED9C7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vAlign w:val="center"/>
          </w:tcPr>
          <w:p w14:paraId="445129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24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无线呼叫分机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7C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可随身携带或采用胶纸粘贴于墙壁，按钮呼叫有效时有LED灯显示，与系统采用无线连接，室内有效距离约30米</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03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574" w:type="dxa"/>
            <w:tcBorders>
              <w:top w:val="single" w:color="000000" w:sz="4" w:space="0"/>
              <w:left w:val="single" w:color="000000" w:sz="4" w:space="0"/>
              <w:bottom w:val="single" w:color="000000" w:sz="4" w:space="0"/>
            </w:tcBorders>
            <w:shd w:val="clear" w:color="auto" w:fill="auto"/>
            <w:noWrap/>
            <w:vAlign w:val="center"/>
          </w:tcPr>
          <w:p w14:paraId="4F6EF0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8688B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852" w:type="dxa"/>
            <w:gridSpan w:val="5"/>
            <w:tcBorders>
              <w:top w:val="single" w:color="000000" w:sz="4" w:space="0"/>
              <w:bottom w:val="single" w:color="000000" w:sz="4" w:space="0"/>
            </w:tcBorders>
            <w:shd w:val="clear" w:color="auto" w:fill="auto"/>
            <w:noWrap/>
            <w:vAlign w:val="center"/>
          </w:tcPr>
          <w:p w14:paraId="5E19AB6D">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17.公共广播系统</w:t>
            </w:r>
          </w:p>
        </w:tc>
      </w:tr>
      <w:tr w14:paraId="4F711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41CE5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1F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网络广播服务器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800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1.采用工控机机箱设计，具有液晶显示屏，支持触摸控制屏；服务器运载Windows Server 2008 R2 Standard(x64),Windows Server 2012 R2 Standard(x64)及以上操作系统。</w:t>
            </w:r>
          </w:p>
          <w:p w14:paraId="58D2786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2.支持≥1路短路触发开机接口，用于实现定时驱动开机运行。</w:t>
            </w:r>
          </w:p>
          <w:p w14:paraId="62D27DD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3.具有≥8×USB接口、≥6×串口接口、≥2×千兆网口。 </w:t>
            </w:r>
          </w:p>
          <w:p w14:paraId="6B27AFB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4.配置等同或优于四核/i5处理器。</w:t>
            </w:r>
          </w:p>
          <w:p w14:paraId="2FA7A66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5.设备支持≥1路VGA、≥1路HDMI输出接口。</w:t>
            </w:r>
          </w:p>
          <w:p w14:paraId="27B2CC0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6.支持操作系统配置通电自动开机、定时自动开机，定时自动关机功能。</w:t>
            </w:r>
          </w:p>
          <w:p w14:paraId="328CF1F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7.内置抽拉键盘、内置触控鼠标面板+左右按键设计，支持通过USB接口外接鼠标键盘。</w:t>
            </w:r>
          </w:p>
          <w:p w14:paraId="0328EBC8">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8.支持录音存储功能，可在后台自定义设置录音文件保存路径。</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BE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5B446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DD76A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9D4D2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49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IP网络广播管理软件</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7A6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1.软件是整个系统的运行核心，统一管理系统内所有音频终端，包括寻呼话筒、对讲终端、广播终端和消防接口设备，实时显示音频终端的IP地址、在线状态、任务状态、音量等运行状态。</w:t>
            </w:r>
          </w:p>
          <w:p w14:paraId="4FA9103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支撑各音频终端的运行，负责音频流传输管理，响应各音频终端播放请求和音频全双工交换，支持B/S架构，通过网页登陆可进行终端管理、用户管理、节目播放管理、音频文件管理、录音存贮、内部通讯调度处理等功能。</w:t>
            </w:r>
          </w:p>
          <w:p w14:paraId="508C59F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3.管理节目库资源，为所有音频终端器提供定时播放和实时点播媒体服务，响应各终端的节目播放请求，为各音频工作站提供数据接口服务。</w:t>
            </w:r>
          </w:p>
          <w:p w14:paraId="5F9B0B3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4.提供全双工语音数据交换，响应各对讲终端的呼叫和通话请求，支持一键呼叫、一键对讲、一键求助、一键报警等通话模式，支持自动接听、手动接听，支持自定义接听提示音。</w:t>
            </w:r>
          </w:p>
          <w:p w14:paraId="4BB7A37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多种呼叫策略，包括无响应转移、占线转移、关机转移，支持时间策略和转移策略自定义设置。支持设置对讲终端呼叫策略，可自定义通话时间0-180S或不受限，可选择是否自动接听，支持自定义选择来电铃声与等待铃声。</w:t>
            </w:r>
          </w:p>
          <w:p w14:paraId="509D127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6.支持终端短路输入联动触发，可任意设置联动触发方案和触发终端数量，触发方案包括短路输出、音乐播放、巡更警报等。</w:t>
            </w:r>
          </w:p>
          <w:p w14:paraId="4CF1E64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7.编程定时任务，支持编程多套定时方案，支持选择任意终端和设置任意时间；支持定时任务执行测试、设置重复周期。支持定时任务多种音源选择（音乐播放、声卡采集、终端采集）。</w:t>
            </w:r>
          </w:p>
          <w:p w14:paraId="634BFD0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8.支持多套定时打铃方案同时启用，每套定时打铃方案支持多套任务同时进行，支持一键启用/停用所有方案。</w:t>
            </w:r>
          </w:p>
          <w:p w14:paraId="322F726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9.支持定时打铃功能，支持打铃方案克隆，任务执行与停止控制、定时任务禁用与启用功能。</w:t>
            </w:r>
          </w:p>
          <w:p w14:paraId="558E933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10.支持定时巡更功能，支持自定义巡更任务的执行时间及重复周期，可自定义指示灯闪烁间隔时间0-30s。</w:t>
            </w:r>
          </w:p>
          <w:p w14:paraId="6000A24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11.支持今日任务列表查看，管理今日执行的所有定时任务信息和执行状态。</w:t>
            </w:r>
          </w:p>
          <w:p w14:paraId="03978B7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12.日志记录系统运行状态，实时记录系统运行及终端工作状态，每次呼叫、通话和广播操作均有记录</w:t>
            </w:r>
          </w:p>
          <w:p w14:paraId="2FFC676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13.支持对≥8路功率分区终端进行功率控制分区设置，通过web页面后台或分控客户端均可设置分区。</w:t>
            </w:r>
          </w:p>
          <w:p w14:paraId="360125A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14.支持对终端设置时间显示配置，可设置1-6级别亮度值，可设置断网后不显示时间等模式。</w:t>
            </w:r>
          </w:p>
          <w:p w14:paraId="331760A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15.支持对终端设置不同的灯光模式，可分别自定义设置红灯亮、红灯灭、绿灯/蓝灯亮、绿灯/蓝灯灭时间0-10S。</w:t>
            </w:r>
          </w:p>
          <w:p w14:paraId="503BCE1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16.支持配置终端冻结时间，在终端被冻结期间禁止终端执行任务。</w:t>
            </w:r>
          </w:p>
          <w:p w14:paraId="3EF426F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17.支持广播、对讲、实时采集、终端监听进行录音；支持文本广播功能，可实现将文本转成语音，支持后台调整语速。</w:t>
            </w:r>
          </w:p>
          <w:p w14:paraId="16AEBD5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18.支持后台换肤功能，可根据喜好自由切换皮肤主题。</w:t>
            </w:r>
          </w:p>
          <w:p w14:paraId="6A03466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19.支持终端明细导出功能，支持通过表格方式导出当前系统终端的配置详情。支持批量修改定时任务的时间、执行终端。</w:t>
            </w:r>
          </w:p>
          <w:p w14:paraId="73A2FEF0">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lang w:eastAsia="zh-CN"/>
              </w:rPr>
              <w:t>出于信息安全考虑，要求投标的数字化IP网络广播客户端管理软件需通过信息系统安全等级（二级或以上）保护备案，要求所投网络广播系统支持IPv6协议。</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C6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32900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5DACEC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3EE91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90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CD/MP3播放器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F79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1.吸入式机芯；</w:t>
            </w:r>
          </w:p>
          <w:p w14:paraId="555B49F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2.自动播放控制；</w:t>
            </w:r>
          </w:p>
          <w:p w14:paraId="486F1CD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3.可播放：CD/VCD/MP3/DVD碟片；</w:t>
            </w:r>
          </w:p>
          <w:p w14:paraId="333DE11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4.内置宽频监听扬声器；</w:t>
            </w:r>
          </w:p>
          <w:p w14:paraId="37139919">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5.内置MP3播放器，可读USB和SD卡；</w:t>
            </w:r>
          </w:p>
          <w:p w14:paraId="458A28E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6.可通过面板按键或红外遥控器控制操作。</w:t>
            </w:r>
          </w:p>
          <w:p w14:paraId="4AB8BCB3">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7.支持上电自动播放功能。</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0F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D9712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A243B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188145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C9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前置放大器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14C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1具有≥5路话筒（MIC）输入，≥3路标准信号线路（AUX）输入，≥2路紧急线路（EMC）输入；</w:t>
            </w:r>
          </w:p>
          <w:p w14:paraId="336C663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2.MIC 5具有最高优先、强行切入优先功能；MIC 5和EMC最高优先权限功能可通过拔动开关交替选择；</w:t>
            </w:r>
          </w:p>
          <w:p w14:paraId="1F549146">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3.紧急输入线路具有二级优先，强行切入优先功能；</w:t>
            </w:r>
          </w:p>
          <w:p w14:paraId="236427C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4.MIC1.2.3.4.5 和≥2路紧急输入（EMC）通道均附设有线路辅助输入接口功能；</w:t>
            </w:r>
          </w:p>
          <w:p w14:paraId="67DDD6C2">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5.具有默音深度调节旋钮和EMC输入增益调节旋钮。</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9F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53FE51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79F2C1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4A6538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09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网络消防编码器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156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1.机柜式设计，拉丝铝合金面板。</w:t>
            </w:r>
          </w:p>
          <w:p w14:paraId="3144D70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2.设备采用嵌入式计算机技术和DSP音频处理技术设计。</w:t>
            </w:r>
          </w:p>
          <w:p w14:paraId="3E32CA6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3.支持≥16路消防短路信号输入接口</w:t>
            </w:r>
          </w:p>
          <w:p w14:paraId="21D80BA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4.面板支持一键取消任务。</w:t>
            </w:r>
          </w:p>
          <w:p w14:paraId="0E1A677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5.支持后台设置报警策略，可为每路短路信号输入端口配置报警策略，关联联动的终端及播放曲目等功能。</w:t>
            </w:r>
          </w:p>
          <w:p w14:paraId="047D231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6.标配网络接口，全速率连接可达≥100M。</w:t>
            </w:r>
          </w:p>
          <w:p w14:paraId="2741F5BB">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7.短路接口：标准压线接线端子。</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32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7F38F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213776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B92DA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35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IP有源监听音箱</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0FF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1.内置≥1路网络硬件音频解码模块,具有≥1路RJ45网络接口，≥100Mbps传输速率。</w:t>
            </w:r>
          </w:p>
          <w:p w14:paraId="4AE3BE40">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2.支持≥1路音频线路输入接口，具有独立的音量调节功能。</w:t>
            </w:r>
          </w:p>
          <w:p w14:paraId="116F300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3.设备集成有数字功放，功率≥2×20W（MAX），≥一路接主音箱，≥一路外接到副音箱。</w:t>
            </w:r>
          </w:p>
          <w:p w14:paraId="68D853F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4.内置≥2级优先级功能设计：(1)AUX与网路背景音乐信号同级，混音输出。(2)网络报警信号优先AUX与网络背景音乐信号。</w:t>
            </w:r>
          </w:p>
          <w:p w14:paraId="5560D650">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5.支持IPv6、IPv4网络协议</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B8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578AC7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6F774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41062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E5F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钟声提示主话筒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D69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1.换能方式：驻极体</w:t>
            </w:r>
          </w:p>
          <w:p w14:paraId="11B9B7F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2.钟声提示：带钟声提示功能</w:t>
            </w:r>
          </w:p>
          <w:p w14:paraId="055094E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3.线材配备：10米（卡农母头转6.35音频线）</w:t>
            </w:r>
          </w:p>
          <w:p w14:paraId="30EA8BE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4.咪杆长度 ：</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420mm</w:t>
            </w:r>
          </w:p>
          <w:p w14:paraId="4CDDD265">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5.具备有灯环提示功能</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DC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2AF8C8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EB10C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573F06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E9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7寸网络触摸屏式话筒</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520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1.采用话筒桌面式设计，带有显示屏，带触摸控制功能；显示屏自带数字键、功能键，支持通过触摸呼叫广播，支持呼叫分区及多个分区，呼叫全区广播；可支持≥10个按键自定义一键呼叫广播功能。</w:t>
            </w:r>
          </w:p>
          <w:p w14:paraId="7912CAD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2.内置≥1路网络硬件音频解码模块，具有≥1路RJ45网络接口，≥100Mbps传输速率。</w:t>
            </w:r>
          </w:p>
          <w:p w14:paraId="22D7D69B">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3.支持监听任意终端功能，内置≥2W全频扬声器，实现双向通话和网络监听。</w:t>
            </w:r>
          </w:p>
          <w:p w14:paraId="5D1B483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4.支持≥1路音频线路输入，支持采集播放功能；具有≥1路音频线路输出，可外接功率放大器。</w:t>
            </w:r>
          </w:p>
          <w:p w14:paraId="51A876A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5.支持直接操作呼叫或对讲任意终端，支持通过话筒广播呼叫功能，广播延时≤100毫秒。</w:t>
            </w:r>
          </w:p>
          <w:p w14:paraId="1AC82E6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6.支持多种呼叫策略，包括无响应转移、占线转移、关机转移；自动接听、手动接听，支持自定义接听提示音，支持转移时间、无人接听时间、呼叫等待时间自定义。</w:t>
            </w:r>
          </w:p>
          <w:p w14:paraId="16DAA603">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7.具有≥1个3.5耳机接口、≥1路3.5话筒输入接口。</w:t>
            </w:r>
          </w:p>
          <w:p w14:paraId="62A03221">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8.具有≥1路短路输出接口、≥1路短路输入接口。</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4F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5580FB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6B97B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F5EB7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52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电源时序器</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8AF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1.支持≥8通道电源时序打开/关闭，每路动作延时时间：≤1秒，支持远程控制（上电+24V直流信号）8通道电源时序打开/关闭—当电源开关处于off位置时有效。支持配置CH1和CH2通道为受控或不受控状态。</w:t>
            </w:r>
          </w:p>
          <w:p w14:paraId="3FEC3BA8">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2.当远程控制有效时同时控制后板ALARM（报警）端口导通以起到级联控制ALARM（报警）功能。</w:t>
            </w:r>
          </w:p>
          <w:p w14:paraId="10B5672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3.单个通道最大负载功率≥2200W，所有通道负载总功率≥6000W。输出连接器：多用途电源插座。</w:t>
            </w:r>
          </w:p>
          <w:p w14:paraId="592E5F44">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4.具有一路及以上USB输出接口。</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63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16CF5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4BC71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6A1BBA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E4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IP网络功放器(120W)</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8E4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1.设备采用标准≥19英寸机架设计，带有LCD显示屏。</w:t>
            </w:r>
          </w:p>
          <w:p w14:paraId="13C70F2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2.内置≥1路网络硬件音频解码模块。</w:t>
            </w:r>
          </w:p>
          <w:p w14:paraId="5C2248A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3.支持≥1路线路输入和≥1路话筒输入接口，可独立调节音量。</w:t>
            </w:r>
          </w:p>
          <w:p w14:paraId="08FD4CC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4.支持高低音调节电位器控制。</w:t>
            </w:r>
          </w:p>
          <w:p w14:paraId="1FCFD45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5.具有≥1路EMC输入接口，具有最高优先级。</w:t>
            </w:r>
          </w:p>
          <w:p w14:paraId="22AA73A1">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6.具有≥1路音频输出接口。</w:t>
            </w:r>
          </w:p>
          <w:p w14:paraId="3227ED1A">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7.具有≥1路三线制强切输出接口，无需强切电源。</w:t>
            </w:r>
          </w:p>
          <w:p w14:paraId="2C15E04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8.集成数字功放，功率≥120W；支持定压方式输出。</w:t>
            </w:r>
          </w:p>
          <w:p w14:paraId="08A4090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9.支持通过后台软件对终端进行远程固件升级。</w:t>
            </w:r>
          </w:p>
          <w:p w14:paraId="7AF8D944">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10.具有≥1路RJ45网络接口，≥100Mbps传输速率。</w:t>
            </w:r>
          </w:p>
          <w:p w14:paraId="3B34CDF8">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11.设备内置有主备切换检测模块，在断网或断电的故障情况下，实现自动切换到≥100V定压备份通道，主备切换过程无卡顿、不掉字。</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A4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574" w:type="dxa"/>
            <w:tcBorders>
              <w:top w:val="single" w:color="000000" w:sz="4" w:space="0"/>
              <w:left w:val="single" w:color="000000" w:sz="4" w:space="0"/>
              <w:bottom w:val="single" w:color="000000" w:sz="4" w:space="0"/>
            </w:tcBorders>
            <w:shd w:val="clear" w:color="auto" w:fill="auto"/>
            <w:vAlign w:val="center"/>
          </w:tcPr>
          <w:p w14:paraId="158A52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5F79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16CAF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EF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6寸吸顶喇叭</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991D">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1.额定功率(100V)：1.5W, 3W, 6W</w:t>
            </w:r>
          </w:p>
          <w:p w14:paraId="6DBD974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2.额定功率(70V)：0.75W, 1.5W, 3W</w:t>
            </w:r>
          </w:p>
          <w:p w14:paraId="367541B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3.灵敏度(1W/1M)：≥92dB±3dB</w:t>
            </w:r>
          </w:p>
          <w:p w14:paraId="46E67FA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4.频率响应(-10dB)：等同或优于110Hz-18kHz</w:t>
            </w:r>
          </w:p>
          <w:p w14:paraId="25F73340">
            <w:pP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5.喇叭单元：≥5"×1</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4F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574" w:type="dxa"/>
            <w:tcBorders>
              <w:top w:val="single" w:color="000000" w:sz="4" w:space="0"/>
              <w:left w:val="single" w:color="000000" w:sz="4" w:space="0"/>
              <w:bottom w:val="single" w:color="000000" w:sz="4" w:space="0"/>
            </w:tcBorders>
            <w:shd w:val="clear" w:color="auto" w:fill="auto"/>
            <w:vAlign w:val="center"/>
          </w:tcPr>
          <w:p w14:paraId="0CE0E1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B0CAF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2C9C3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BF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8口千兆交换机</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E55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端口 8个10/100Mbps 自适应以太网端口</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A6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vAlign w:val="center"/>
          </w:tcPr>
          <w:p w14:paraId="652C35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936A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2C2422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F5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广播线缆</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3A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RVS2*1.5</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15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w:t>
            </w:r>
          </w:p>
        </w:tc>
        <w:tc>
          <w:tcPr>
            <w:tcW w:w="574" w:type="dxa"/>
            <w:tcBorders>
              <w:top w:val="single" w:color="000000" w:sz="4" w:space="0"/>
              <w:left w:val="single" w:color="000000" w:sz="4" w:space="0"/>
              <w:bottom w:val="single" w:color="000000" w:sz="4" w:space="0"/>
            </w:tcBorders>
            <w:shd w:val="clear" w:color="auto" w:fill="auto"/>
            <w:vAlign w:val="center"/>
          </w:tcPr>
          <w:p w14:paraId="2B4A84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r>
      <w:tr w14:paraId="2ECE4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02C8C9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92D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六类非屏蔽双绞线UTP6</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8C1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线径≥0.574mm,阻燃等级CM，适合所有E级链路及六类系统的应用。</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60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741129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r>
      <w:tr w14:paraId="32FA3B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bottom w:val="single" w:color="000000" w:sz="4" w:space="0"/>
              <w:right w:val="single" w:color="000000" w:sz="4" w:space="0"/>
            </w:tcBorders>
            <w:shd w:val="clear" w:color="auto" w:fill="auto"/>
            <w:noWrap/>
            <w:vAlign w:val="center"/>
          </w:tcPr>
          <w:p w14:paraId="315741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91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辅材</w:t>
            </w:r>
          </w:p>
        </w:tc>
        <w:tc>
          <w:tcPr>
            <w:tcW w:w="5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B1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配套辅材</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FB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bottom w:val="single" w:color="000000" w:sz="4" w:space="0"/>
            </w:tcBorders>
            <w:shd w:val="clear" w:color="auto" w:fill="auto"/>
            <w:noWrap/>
            <w:vAlign w:val="center"/>
          </w:tcPr>
          <w:p w14:paraId="306A1B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r>
      <w:tr w14:paraId="318B6F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852" w:type="dxa"/>
            <w:gridSpan w:val="5"/>
            <w:tcBorders>
              <w:top w:val="single" w:color="000000" w:sz="4" w:space="0"/>
              <w:bottom w:val="single" w:color="000000" w:sz="4" w:space="0"/>
            </w:tcBorders>
            <w:shd w:val="clear" w:color="auto" w:fill="auto"/>
            <w:noWrap/>
            <w:vAlign w:val="center"/>
          </w:tcPr>
          <w:p w14:paraId="384AFC24">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18.集成调试</w:t>
            </w:r>
          </w:p>
        </w:tc>
      </w:tr>
      <w:tr w14:paraId="7B6A5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66" w:type="dxa"/>
            <w:tcBorders>
              <w:top w:val="single" w:color="000000" w:sz="4" w:space="0"/>
              <w:right w:val="single" w:color="000000" w:sz="4" w:space="0"/>
            </w:tcBorders>
            <w:shd w:val="clear" w:color="auto" w:fill="auto"/>
            <w:noWrap/>
            <w:vAlign w:val="center"/>
          </w:tcPr>
          <w:p w14:paraId="49B9C5A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1800" w:type="dxa"/>
            <w:tcBorders>
              <w:top w:val="single" w:color="000000" w:sz="4" w:space="0"/>
              <w:left w:val="single" w:color="000000" w:sz="4" w:space="0"/>
              <w:right w:val="single" w:color="000000" w:sz="4" w:space="0"/>
            </w:tcBorders>
            <w:shd w:val="clear" w:color="auto" w:fill="auto"/>
            <w:vAlign w:val="center"/>
          </w:tcPr>
          <w:p w14:paraId="262269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集成调试</w:t>
            </w:r>
          </w:p>
        </w:tc>
        <w:tc>
          <w:tcPr>
            <w:tcW w:w="5304" w:type="dxa"/>
            <w:tcBorders>
              <w:top w:val="single" w:color="000000" w:sz="4" w:space="0"/>
              <w:left w:val="single" w:color="000000" w:sz="4" w:space="0"/>
              <w:right w:val="single" w:color="000000" w:sz="4" w:space="0"/>
            </w:tcBorders>
            <w:shd w:val="clear" w:color="auto" w:fill="auto"/>
            <w:vAlign w:val="center"/>
          </w:tcPr>
          <w:p w14:paraId="0E8EFFF3">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集成调试</w:t>
            </w:r>
          </w:p>
        </w:tc>
        <w:tc>
          <w:tcPr>
            <w:tcW w:w="608" w:type="dxa"/>
            <w:tcBorders>
              <w:top w:val="single" w:color="000000" w:sz="4" w:space="0"/>
              <w:left w:val="single" w:color="000000" w:sz="4" w:space="0"/>
              <w:right w:val="single" w:color="000000" w:sz="4" w:space="0"/>
            </w:tcBorders>
            <w:shd w:val="clear" w:color="auto" w:fill="auto"/>
            <w:noWrap/>
            <w:vAlign w:val="center"/>
          </w:tcPr>
          <w:p w14:paraId="4422F4E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000000" w:sz="4" w:space="0"/>
              <w:left w:val="single" w:color="000000" w:sz="4" w:space="0"/>
            </w:tcBorders>
            <w:shd w:val="clear" w:color="auto" w:fill="auto"/>
            <w:noWrap/>
            <w:vAlign w:val="center"/>
          </w:tcPr>
          <w:p w14:paraId="554704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项</w:t>
            </w:r>
          </w:p>
        </w:tc>
      </w:tr>
    </w:tbl>
    <w:p w14:paraId="3CB944B8">
      <w:pPr>
        <w:spacing w:line="46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二、商务资信要求</w:t>
      </w:r>
    </w:p>
    <w:bookmarkEnd w:id="36"/>
    <w:bookmarkEnd w:id="37"/>
    <w:tbl>
      <w:tblPr>
        <w:tblStyle w:val="65"/>
        <w:tblW w:w="8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7368"/>
      </w:tblGrid>
      <w:tr w14:paraId="5320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06" w:type="dxa"/>
            <w:noWrap w:val="0"/>
            <w:vAlign w:val="center"/>
          </w:tcPr>
          <w:p w14:paraId="213FC87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建设期限</w:t>
            </w:r>
          </w:p>
        </w:tc>
        <w:tc>
          <w:tcPr>
            <w:tcW w:w="7368" w:type="dxa"/>
            <w:noWrap w:val="0"/>
            <w:vAlign w:val="top"/>
          </w:tcPr>
          <w:p w14:paraId="53FF34C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textAlignment w:val="auto"/>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合同签订后90日内完成或按采购人要求执行。</w:t>
            </w:r>
          </w:p>
        </w:tc>
      </w:tr>
      <w:tr w14:paraId="1D18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noWrap w:val="0"/>
            <w:vAlign w:val="center"/>
          </w:tcPr>
          <w:p w14:paraId="220E969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建设地点</w:t>
            </w:r>
          </w:p>
        </w:tc>
        <w:tc>
          <w:tcPr>
            <w:tcW w:w="7368" w:type="dxa"/>
            <w:noWrap w:val="0"/>
            <w:vAlign w:val="top"/>
          </w:tcPr>
          <w:p w14:paraId="757879A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8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采购人指定地点。</w:t>
            </w:r>
          </w:p>
        </w:tc>
      </w:tr>
      <w:tr w14:paraId="74D0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noWrap w:val="0"/>
            <w:vAlign w:val="center"/>
          </w:tcPr>
          <w:p w14:paraId="11437F2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安装调试</w:t>
            </w:r>
          </w:p>
        </w:tc>
        <w:tc>
          <w:tcPr>
            <w:tcW w:w="7368" w:type="dxa"/>
            <w:noWrap w:val="0"/>
            <w:vAlign w:val="top"/>
          </w:tcPr>
          <w:p w14:paraId="34C758F9">
            <w:pPr>
              <w:keepNext w:val="0"/>
              <w:keepLines w:val="0"/>
              <w:numPr>
                <w:ilvl w:val="0"/>
                <w:numId w:val="7"/>
              </w:numPr>
              <w:suppressLineNumbers w:val="0"/>
              <w:spacing w:before="0" w:beforeAutospacing="0" w:after="0" w:afterAutospacing="0" w:line="276" w:lineRule="auto"/>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标准：</w:t>
            </w:r>
            <w:r>
              <w:rPr>
                <w:rFonts w:hint="eastAsia" w:ascii="仿宋" w:hAnsi="仿宋" w:eastAsia="仿宋" w:cs="仿宋"/>
                <w:i w:val="0"/>
                <w:iCs/>
                <w:color w:val="auto"/>
                <w:sz w:val="24"/>
                <w:szCs w:val="24"/>
                <w:highlight w:val="none"/>
                <w:u w:val="single"/>
              </w:rPr>
              <w:t>符合投标承诺以及国家、行业相关技术规范与标准</w:t>
            </w:r>
            <w:r>
              <w:rPr>
                <w:rFonts w:hint="eastAsia" w:ascii="仿宋" w:hAnsi="仿宋" w:eastAsia="仿宋" w:cs="仿宋"/>
                <w:color w:val="auto"/>
                <w:sz w:val="24"/>
                <w:szCs w:val="24"/>
                <w:highlight w:val="none"/>
              </w:rPr>
              <w:t>；</w:t>
            </w:r>
          </w:p>
          <w:p w14:paraId="3AAF5D34">
            <w:pPr>
              <w:keepNext w:val="0"/>
              <w:keepLines w:val="0"/>
              <w:numPr>
                <w:ilvl w:val="0"/>
                <w:numId w:val="0"/>
              </w:numPr>
              <w:suppressLineNumbers w:val="0"/>
              <w:spacing w:before="0" w:beforeAutospacing="0" w:after="0" w:afterAutospacing="0" w:line="276" w:lineRule="auto"/>
              <w:ind w:left="0" w:right="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b/>
                <w:bCs/>
                <w:color w:val="auto"/>
                <w:sz w:val="24"/>
                <w:szCs w:val="24"/>
                <w:highlight w:val="none"/>
              </w:rPr>
              <w:t>本项目</w:t>
            </w:r>
            <w:r>
              <w:rPr>
                <w:rFonts w:hint="eastAsia" w:ascii="仿宋" w:hAnsi="仿宋" w:eastAsia="仿宋" w:cs="仿宋"/>
                <w:b/>
                <w:bCs/>
                <w:color w:val="auto"/>
                <w:sz w:val="24"/>
                <w:szCs w:val="24"/>
                <w:highlight w:val="none"/>
                <w:lang w:val="en-US" w:eastAsia="zh-CN"/>
              </w:rPr>
              <w:t>为交钥匙工程</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所有产品在安装调试过程中涉及的所有工作及配件辅材均由中标人负责，所需费用由投标人在报价时考虑。</w:t>
            </w:r>
          </w:p>
        </w:tc>
      </w:tr>
      <w:tr w14:paraId="3224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noWrap w:val="0"/>
            <w:vAlign w:val="center"/>
          </w:tcPr>
          <w:p w14:paraId="7189F20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验收</w:t>
            </w:r>
          </w:p>
        </w:tc>
        <w:tc>
          <w:tcPr>
            <w:tcW w:w="7368" w:type="dxa"/>
            <w:noWrap w:val="0"/>
            <w:vAlign w:val="top"/>
          </w:tcPr>
          <w:p w14:paraId="7F05226D">
            <w:pPr>
              <w:keepNext w:val="0"/>
              <w:keepLines w:val="0"/>
              <w:suppressLineNumbers w:val="0"/>
              <w:spacing w:before="0" w:beforeAutospacing="0" w:after="0" w:afterAutospacing="0" w:line="276" w:lineRule="auto"/>
              <w:ind w:left="0" w:right="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本项目验收工作由</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bCs/>
                <w:color w:val="auto"/>
                <w:sz w:val="24"/>
                <w:szCs w:val="24"/>
                <w:highlight w:val="none"/>
              </w:rPr>
              <w:t>组织实施，验收工作在</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项目实施完毕，经自验合格，提交验收申请后5个工作日内启动。</w:t>
            </w:r>
          </w:p>
          <w:p w14:paraId="78CA3081">
            <w:pPr>
              <w:keepNext w:val="0"/>
              <w:keepLines w:val="0"/>
              <w:suppressLineNumbers w:val="0"/>
              <w:spacing w:before="0" w:beforeAutospacing="0" w:after="0" w:afterAutospacing="0" w:line="276" w:lineRule="auto"/>
              <w:ind w:left="0" w:right="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验收符合质量要求，验收合格。</w:t>
            </w:r>
          </w:p>
          <w:p w14:paraId="0ADD2EC5">
            <w:pPr>
              <w:keepNext w:val="0"/>
              <w:keepLines w:val="0"/>
              <w:numPr>
                <w:ilvl w:val="0"/>
                <w:numId w:val="0"/>
              </w:numPr>
              <w:suppressLineNumbers w:val="0"/>
              <w:spacing w:before="0" w:beforeAutospacing="0" w:after="0" w:afterAutospacing="0" w:line="276" w:lineRule="auto"/>
              <w:ind w:left="0" w:right="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其他要求见合同。</w:t>
            </w:r>
          </w:p>
          <w:p w14:paraId="2CB671ED">
            <w:pPr>
              <w:keepNext w:val="0"/>
              <w:keepLines w:val="0"/>
              <w:numPr>
                <w:ilvl w:val="0"/>
                <w:numId w:val="0"/>
              </w:numPr>
              <w:suppressLineNumbers w:val="0"/>
              <w:spacing w:before="0" w:beforeAutospacing="0" w:after="0" w:afterAutospacing="0" w:line="276" w:lineRule="auto"/>
              <w:ind w:left="0" w:right="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4.验收费用由中标人承担。</w:t>
            </w:r>
          </w:p>
        </w:tc>
      </w:tr>
      <w:tr w14:paraId="4A39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noWrap w:val="0"/>
            <w:vAlign w:val="center"/>
          </w:tcPr>
          <w:p w14:paraId="31607BE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rPr>
              <w:t>质量要求</w:t>
            </w:r>
          </w:p>
        </w:tc>
        <w:tc>
          <w:tcPr>
            <w:tcW w:w="7368" w:type="dxa"/>
            <w:noWrap w:val="0"/>
            <w:vAlign w:val="top"/>
          </w:tcPr>
          <w:p w14:paraId="5D81B61B">
            <w:pPr>
              <w:keepNext w:val="0"/>
              <w:keepLines w:val="0"/>
              <w:numPr>
                <w:ilvl w:val="0"/>
                <w:numId w:val="0"/>
              </w:numPr>
              <w:suppressLineNumbers w:val="0"/>
              <w:spacing w:before="0" w:beforeAutospacing="0" w:after="0" w:afterAutospacing="0" w:line="276" w:lineRule="auto"/>
              <w:ind w:left="0" w:right="0"/>
              <w:rPr>
                <w:rFonts w:hint="eastAsia" w:ascii="仿宋" w:hAnsi="仿宋" w:eastAsia="仿宋" w:cs="仿宋"/>
                <w:bCs/>
                <w:color w:val="auto"/>
                <w:sz w:val="24"/>
                <w:szCs w:val="24"/>
                <w:highlight w:val="none"/>
                <w:lang w:val="en-US" w:eastAsia="zh-CN"/>
              </w:rPr>
            </w:pPr>
            <w:r>
              <w:rPr>
                <w:rFonts w:hint="eastAsia" w:ascii="仿宋" w:hAnsi="仿宋" w:eastAsia="仿宋" w:cs="仿宋"/>
                <w:b w:val="0"/>
                <w:bCs/>
                <w:color w:val="auto"/>
                <w:sz w:val="24"/>
                <w:szCs w:val="24"/>
                <w:highlight w:val="none"/>
              </w:rPr>
              <w:t>合格</w:t>
            </w:r>
            <w:r>
              <w:rPr>
                <w:rFonts w:hint="eastAsia" w:ascii="仿宋" w:hAnsi="仿宋" w:eastAsia="仿宋" w:cs="仿宋"/>
                <w:color w:val="auto"/>
                <w:sz w:val="24"/>
                <w:szCs w:val="24"/>
                <w:highlight w:val="none"/>
              </w:rPr>
              <w:t>（符合投标承诺以及国家、行业有关技术规范和标准）</w:t>
            </w:r>
          </w:p>
        </w:tc>
      </w:tr>
      <w:tr w14:paraId="2264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6" w:type="dxa"/>
            <w:noWrap w:val="0"/>
            <w:vAlign w:val="center"/>
          </w:tcPr>
          <w:p w14:paraId="3361EC1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技术培训</w:t>
            </w:r>
          </w:p>
        </w:tc>
        <w:tc>
          <w:tcPr>
            <w:tcW w:w="7368" w:type="dxa"/>
            <w:noWrap w:val="0"/>
            <w:vAlign w:val="top"/>
          </w:tcPr>
          <w:p w14:paraId="6300E589">
            <w:pPr>
              <w:keepNext w:val="0"/>
              <w:keepLines w:val="0"/>
              <w:numPr>
                <w:ilvl w:val="0"/>
                <w:numId w:val="0"/>
              </w:numPr>
              <w:suppressLineNumbers w:val="0"/>
              <w:spacing w:before="0" w:beforeAutospacing="0" w:after="0" w:afterAutospacing="0" w:line="276" w:lineRule="auto"/>
              <w:ind w:left="0" w:right="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免费为采购使用单位的维修人员提供现场培训，使受培训人员至少达到以下水平：掌握一般运行原理、使用方法</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日常维护等常用技能。培训涉及的所有费用由中标人承担。</w:t>
            </w:r>
            <w:r>
              <w:rPr>
                <w:rFonts w:hint="eastAsia" w:ascii="仿宋" w:hAnsi="仿宋" w:eastAsia="仿宋" w:cs="仿宋"/>
                <w:b w:val="0"/>
                <w:bCs/>
                <w:color w:val="auto"/>
                <w:sz w:val="24"/>
                <w:szCs w:val="24"/>
                <w:highlight w:val="none"/>
              </w:rPr>
              <w:t>具体培训方案请在投标文件中明确说明。</w:t>
            </w:r>
          </w:p>
        </w:tc>
      </w:tr>
      <w:tr w14:paraId="650B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noWrap w:val="0"/>
            <w:vAlign w:val="center"/>
          </w:tcPr>
          <w:p w14:paraId="34D0035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付款方式</w:t>
            </w:r>
          </w:p>
        </w:tc>
        <w:tc>
          <w:tcPr>
            <w:tcW w:w="7368" w:type="dxa"/>
            <w:noWrap w:val="0"/>
            <w:vAlign w:val="top"/>
          </w:tcPr>
          <w:p w14:paraId="14214AB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textAlignment w:val="auto"/>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合同签订15日内支付合同款的70%作为预付款，提供同等金额的银行或保险公司保函；设备安装验收完成后，余款一年内付清（不计息）</w:t>
            </w:r>
            <w:r>
              <w:rPr>
                <w:rFonts w:hint="eastAsia" w:ascii="仿宋" w:hAnsi="仿宋" w:eastAsia="仿宋" w:cs="仿宋"/>
                <w:color w:val="auto"/>
                <w:sz w:val="24"/>
                <w:szCs w:val="24"/>
                <w:highlight w:val="none"/>
              </w:rPr>
              <w:t>。</w:t>
            </w:r>
          </w:p>
        </w:tc>
      </w:tr>
      <w:tr w14:paraId="07A2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noWrap w:val="0"/>
            <w:vAlign w:val="center"/>
          </w:tcPr>
          <w:p w14:paraId="19BB51E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履约保证金</w:t>
            </w:r>
          </w:p>
        </w:tc>
        <w:tc>
          <w:tcPr>
            <w:tcW w:w="7368" w:type="dxa"/>
            <w:noWrap w:val="0"/>
            <w:vAlign w:val="top"/>
          </w:tcPr>
          <w:p w14:paraId="7A0D558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无</w:t>
            </w:r>
          </w:p>
        </w:tc>
      </w:tr>
      <w:tr w14:paraId="2F9F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6" w:type="dxa"/>
            <w:noWrap w:val="0"/>
            <w:vAlign w:val="center"/>
          </w:tcPr>
          <w:p w14:paraId="2AA5492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质保期</w:t>
            </w:r>
          </w:p>
        </w:tc>
        <w:tc>
          <w:tcPr>
            <w:tcW w:w="7368" w:type="dxa"/>
            <w:noWrap w:val="0"/>
            <w:vAlign w:val="top"/>
          </w:tcPr>
          <w:p w14:paraId="1AFE1FB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rPr>
              <w:t>本采购项目，供应商应承诺终身维修。经</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color w:val="auto"/>
                <w:sz w:val="24"/>
                <w:szCs w:val="24"/>
                <w:highlight w:val="none"/>
              </w:rPr>
              <w:t>验收合格之日起提供</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年的质保时间。质保期内产生的维修费及维修替换损坏的部件费均无偿免费（人为损坏除外）提供。质保期外，供应商只承担免费维修费，维修需替换的部件费，另按实结算。</w:t>
            </w:r>
          </w:p>
        </w:tc>
      </w:tr>
      <w:tr w14:paraId="5549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06" w:type="dxa"/>
            <w:noWrap w:val="0"/>
            <w:vAlign w:val="center"/>
          </w:tcPr>
          <w:p w14:paraId="52D9326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lang w:val="en-US" w:eastAsia="zh-CN"/>
              </w:rPr>
            </w:pPr>
          </w:p>
          <w:p w14:paraId="0CEF097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售后服务</w:t>
            </w:r>
          </w:p>
        </w:tc>
        <w:tc>
          <w:tcPr>
            <w:tcW w:w="7368" w:type="dxa"/>
            <w:noWrap w:val="0"/>
            <w:vAlign w:val="top"/>
          </w:tcPr>
          <w:p w14:paraId="28F18F47">
            <w:pPr>
              <w:keepNext w:val="0"/>
              <w:keepLines w:val="0"/>
              <w:suppressLineNumbers w:val="0"/>
              <w:spacing w:before="0" w:beforeAutospacing="0" w:after="0" w:afterAutospacing="0" w:line="276" w:lineRule="auto"/>
              <w:ind w:left="0" w:right="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质保期内</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应提供7×24小时现场技术服务，并提供充足的备品备件，满足日常维修需求；</w:t>
            </w:r>
          </w:p>
          <w:p w14:paraId="0A389B35">
            <w:pPr>
              <w:keepNext w:val="0"/>
              <w:keepLines w:val="0"/>
              <w:suppressLineNumbers w:val="0"/>
              <w:spacing w:before="0" w:beforeAutospacing="0" w:after="0" w:afterAutospacing="0" w:line="276" w:lineRule="auto"/>
              <w:ind w:left="0" w:right="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color w:val="auto"/>
                <w:sz w:val="24"/>
                <w:szCs w:val="24"/>
                <w:highlight w:val="none"/>
              </w:rPr>
              <w:t>质保期内因产品本身缺陷造成各种故障应由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color w:val="auto"/>
                <w:sz w:val="24"/>
                <w:szCs w:val="24"/>
                <w:highlight w:val="none"/>
              </w:rPr>
              <w:t>免费维修，并在《投标文件》中说明在保质期内提供的服务计划。在产品整个使用期内，</w:t>
            </w:r>
            <w:r>
              <w:rPr>
                <w:rFonts w:hint="eastAsia" w:ascii="仿宋" w:hAnsi="仿宋" w:eastAsia="仿宋" w:cs="仿宋"/>
                <w:bCs/>
                <w:color w:val="auto"/>
                <w:sz w:val="24"/>
                <w:szCs w:val="24"/>
                <w:highlight w:val="none"/>
                <w:lang w:eastAsia="zh-CN"/>
              </w:rPr>
              <w:t>中标人</w:t>
            </w:r>
            <w:r>
              <w:rPr>
                <w:rFonts w:hint="eastAsia" w:ascii="仿宋" w:hAnsi="仿宋" w:eastAsia="仿宋" w:cs="仿宋"/>
                <w:color w:val="auto"/>
                <w:sz w:val="24"/>
                <w:szCs w:val="24"/>
                <w:highlight w:val="none"/>
              </w:rPr>
              <w:t>应确保货物的正常使用。在接到采购人维修要求后</w:t>
            </w:r>
            <w:r>
              <w:rPr>
                <w:rFonts w:hint="eastAsia" w:ascii="仿宋" w:hAnsi="仿宋" w:eastAsia="仿宋" w:cs="仿宋"/>
                <w:b/>
                <w:i w:val="0"/>
                <w:iCs/>
                <w:color w:val="auto"/>
                <w:sz w:val="24"/>
                <w:szCs w:val="24"/>
                <w:highlight w:val="none"/>
                <w:u w:val="single"/>
              </w:rPr>
              <w:t>30分钟</w:t>
            </w:r>
            <w:r>
              <w:rPr>
                <w:rFonts w:hint="eastAsia" w:ascii="仿宋" w:hAnsi="仿宋" w:eastAsia="仿宋" w:cs="仿宋"/>
                <w:color w:val="auto"/>
                <w:sz w:val="24"/>
                <w:szCs w:val="24"/>
                <w:highlight w:val="none"/>
              </w:rPr>
              <w:t>内作出响应，</w:t>
            </w:r>
            <w:r>
              <w:rPr>
                <w:rFonts w:hint="eastAsia" w:ascii="仿宋" w:hAnsi="仿宋" w:eastAsia="仿宋" w:cs="仿宋"/>
                <w:b/>
                <w:bCs/>
                <w:i w:val="0"/>
                <w:iCs w:val="0"/>
                <w:color w:val="auto"/>
                <w:sz w:val="24"/>
                <w:szCs w:val="24"/>
                <w:highlight w:val="none"/>
                <w:lang w:val="en-US" w:eastAsia="zh-CN"/>
              </w:rPr>
              <w:t>2</w:t>
            </w:r>
            <w:r>
              <w:rPr>
                <w:rFonts w:hint="eastAsia" w:ascii="仿宋" w:hAnsi="仿宋" w:eastAsia="仿宋" w:cs="仿宋"/>
                <w:b/>
                <w:i w:val="0"/>
                <w:iCs w:val="0"/>
                <w:color w:val="auto"/>
                <w:sz w:val="24"/>
                <w:szCs w:val="24"/>
                <w:highlight w:val="none"/>
                <w:u w:val="single"/>
              </w:rPr>
              <w:t>小时</w:t>
            </w:r>
            <w:r>
              <w:rPr>
                <w:rFonts w:hint="eastAsia" w:ascii="仿宋" w:hAnsi="仿宋" w:eastAsia="仿宋" w:cs="仿宋"/>
                <w:color w:val="auto"/>
                <w:sz w:val="24"/>
                <w:szCs w:val="24"/>
                <w:highlight w:val="none"/>
              </w:rPr>
              <w:t>到达现场处置，24小时内修复。若不能修复，则需要免费提供后备或替代产品，以保证采购人正常的使用；</w:t>
            </w:r>
          </w:p>
          <w:p w14:paraId="50D3196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8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color w:val="auto"/>
                <w:sz w:val="24"/>
                <w:szCs w:val="24"/>
                <w:highlight w:val="none"/>
              </w:rPr>
              <w:t>投标</w:t>
            </w:r>
            <w:r>
              <w:rPr>
                <w:rFonts w:hint="eastAsia" w:ascii="仿宋" w:hAnsi="仿宋" w:eastAsia="仿宋" w:cs="仿宋"/>
                <w:bCs/>
                <w:color w:val="auto"/>
                <w:sz w:val="24"/>
                <w:szCs w:val="24"/>
                <w:highlight w:val="none"/>
              </w:rPr>
              <w:t>人在投标时</w:t>
            </w:r>
            <w:r>
              <w:rPr>
                <w:rFonts w:hint="eastAsia" w:ascii="仿宋" w:hAnsi="仿宋" w:eastAsia="仿宋" w:cs="仿宋"/>
                <w:color w:val="auto"/>
                <w:sz w:val="24"/>
                <w:szCs w:val="24"/>
                <w:highlight w:val="none"/>
              </w:rPr>
              <w:t>应提供质保期后的服务计划或建议，明确收费事项及标准，保修后免费维修。</w:t>
            </w:r>
          </w:p>
        </w:tc>
      </w:tr>
      <w:tr w14:paraId="54C4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6" w:type="dxa"/>
            <w:noWrap w:val="0"/>
            <w:vAlign w:val="center"/>
          </w:tcPr>
          <w:p w14:paraId="22F979E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zh-CN" w:eastAsia="zh-CN" w:bidi="ar"/>
              </w:rPr>
              <w:t>安全责任</w:t>
            </w:r>
          </w:p>
        </w:tc>
        <w:tc>
          <w:tcPr>
            <w:tcW w:w="7368" w:type="dxa"/>
            <w:noWrap w:val="0"/>
            <w:vAlign w:val="center"/>
          </w:tcPr>
          <w:p w14:paraId="638D7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left"/>
              <w:textAlignment w:val="center"/>
              <w:rPr>
                <w:rFonts w:hint="eastAsia" w:ascii="仿宋" w:hAnsi="仿宋" w:eastAsia="仿宋" w:cs="仿宋"/>
                <w:bCs/>
                <w:color w:val="auto"/>
                <w:sz w:val="24"/>
                <w:szCs w:val="24"/>
                <w:highlight w:val="none"/>
                <w:lang w:eastAsia="zh-CN"/>
              </w:rPr>
            </w:pPr>
            <w:r>
              <w:rPr>
                <w:rFonts w:hint="eastAsia" w:ascii="仿宋" w:hAnsi="仿宋" w:eastAsia="仿宋" w:cs="仿宋"/>
                <w:i w:val="0"/>
                <w:iCs w:val="0"/>
                <w:color w:val="auto"/>
                <w:kern w:val="0"/>
                <w:sz w:val="24"/>
                <w:szCs w:val="24"/>
                <w:highlight w:val="none"/>
                <w:u w:val="none"/>
                <w:lang w:val="en-US" w:eastAsia="zh-CN" w:bidi="ar"/>
              </w:rPr>
              <w:t>在项目实施过程中的各种意外，其责任由中标人承担，采购人不承担任何责任。</w:t>
            </w:r>
          </w:p>
        </w:tc>
      </w:tr>
      <w:tr w14:paraId="66E9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trPr>
        <w:tc>
          <w:tcPr>
            <w:tcW w:w="1606" w:type="dxa"/>
            <w:noWrap w:val="0"/>
            <w:vAlign w:val="center"/>
          </w:tcPr>
          <w:p w14:paraId="6D0E80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zh-CN" w:eastAsia="zh-CN" w:bidi="ar"/>
              </w:rPr>
              <w:t>其他要求</w:t>
            </w:r>
          </w:p>
        </w:tc>
        <w:tc>
          <w:tcPr>
            <w:tcW w:w="7368" w:type="dxa"/>
            <w:noWrap w:val="0"/>
            <w:vAlign w:val="center"/>
          </w:tcPr>
          <w:p w14:paraId="07C291BF">
            <w:pPr>
              <w:rPr>
                <w:rFonts w:hint="eastAsia" w:ascii="仿宋" w:hAnsi="仿宋" w:eastAsia="仿宋" w:cs="仿宋"/>
                <w:bCs/>
                <w:color w:val="auto"/>
                <w:sz w:val="24"/>
                <w:szCs w:val="24"/>
                <w:highlight w:val="none"/>
                <w:lang w:eastAsia="zh-CN"/>
              </w:rPr>
            </w:pPr>
            <w:r>
              <w:rPr>
                <w:rFonts w:hint="eastAsia" w:ascii="仿宋" w:hAnsi="仿宋" w:eastAsia="仿宋" w:cs="仿宋"/>
                <w:color w:val="auto"/>
                <w:sz w:val="24"/>
                <w:szCs w:val="24"/>
                <w:highlight w:val="none"/>
              </w:rPr>
              <w:t>中标人必须负责将产品运输至</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color w:val="auto"/>
                <w:sz w:val="24"/>
                <w:szCs w:val="24"/>
                <w:highlight w:val="none"/>
              </w:rPr>
              <w:t>指定的地点，运输费及保险费等一切费用由中标人承担。产品在验收合格之前所有风险由中标人承担。如在运输、搬运、安装过程中造成货物损坏，</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color w:val="auto"/>
                <w:sz w:val="24"/>
                <w:szCs w:val="24"/>
                <w:highlight w:val="none"/>
              </w:rPr>
              <w:t>有权不签收并由中标人承担相应经济损失，因搬运或安装过程中造成采购人范围内物品损坏</w:t>
            </w:r>
            <w:r>
              <w:rPr>
                <w:rFonts w:hint="eastAsia" w:ascii="仿宋" w:hAnsi="仿宋" w:eastAsia="仿宋" w:cs="仿宋"/>
                <w:color w:val="auto"/>
                <w:sz w:val="24"/>
                <w:szCs w:val="24"/>
                <w:highlight w:val="none"/>
                <w:lang w:val="en-US" w:eastAsia="zh-CN"/>
              </w:rPr>
              <w:t>由中标人承担</w:t>
            </w:r>
            <w:r>
              <w:rPr>
                <w:rFonts w:hint="eastAsia" w:ascii="仿宋" w:hAnsi="仿宋" w:eastAsia="仿宋" w:cs="仿宋"/>
                <w:color w:val="auto"/>
                <w:sz w:val="24"/>
                <w:szCs w:val="24"/>
                <w:highlight w:val="none"/>
              </w:rPr>
              <w:t>。</w:t>
            </w:r>
            <w:r>
              <w:rPr>
                <w:rFonts w:hint="eastAsia" w:ascii="仿宋" w:hAnsi="仿宋" w:eastAsia="仿宋" w:cs="仿宋"/>
                <w:b/>
                <w:bCs/>
                <w:snapToGrid w:val="0"/>
                <w:color w:val="auto"/>
                <w:sz w:val="24"/>
                <w:szCs w:val="24"/>
                <w:highlight w:val="none"/>
                <w:lang w:val="en-US" w:eastAsia="zh-CN"/>
              </w:rPr>
              <w:t>工程配套管理费按实际中标价的2%，由</w:t>
            </w:r>
            <w:r>
              <w:rPr>
                <w:rFonts w:hint="eastAsia" w:ascii="仿宋" w:hAnsi="仿宋" w:eastAsia="仿宋" w:cs="仿宋"/>
                <w:b/>
                <w:bCs/>
                <w:snapToGrid w:val="0"/>
                <w:color w:val="auto"/>
                <w:sz w:val="24"/>
                <w:szCs w:val="24"/>
                <w:highlight w:val="none"/>
                <w:lang w:eastAsia="zh-CN"/>
              </w:rPr>
              <w:t>中标人</w:t>
            </w:r>
            <w:r>
              <w:rPr>
                <w:rFonts w:hint="eastAsia" w:ascii="仿宋" w:hAnsi="仿宋" w:eastAsia="仿宋" w:cs="仿宋"/>
                <w:b/>
                <w:bCs/>
                <w:snapToGrid w:val="0"/>
                <w:color w:val="auto"/>
                <w:sz w:val="24"/>
                <w:szCs w:val="24"/>
                <w:highlight w:val="none"/>
              </w:rPr>
              <w:t>与总包单位自行</w:t>
            </w:r>
            <w:r>
              <w:rPr>
                <w:rFonts w:hint="eastAsia" w:ascii="仿宋" w:hAnsi="仿宋" w:eastAsia="仿宋" w:cs="仿宋"/>
                <w:b/>
                <w:bCs/>
                <w:snapToGrid w:val="0"/>
                <w:color w:val="auto"/>
                <w:sz w:val="24"/>
                <w:szCs w:val="24"/>
                <w:highlight w:val="none"/>
                <w:lang w:eastAsia="zh-CN"/>
              </w:rPr>
              <w:t>结算。</w:t>
            </w:r>
            <w:r>
              <w:rPr>
                <w:rFonts w:hint="eastAsia" w:ascii="仿宋" w:hAnsi="仿宋" w:eastAsia="仿宋" w:cs="仿宋"/>
                <w:b/>
                <w:bCs/>
                <w:snapToGrid w:val="0"/>
                <w:color w:val="auto"/>
                <w:sz w:val="24"/>
                <w:szCs w:val="24"/>
                <w:highlight w:val="none"/>
                <w:lang w:val="en-US" w:eastAsia="zh-CN"/>
              </w:rPr>
              <w:t>其中包括</w:t>
            </w:r>
            <w:r>
              <w:rPr>
                <w:rFonts w:hint="eastAsia" w:ascii="仿宋" w:hAnsi="仿宋" w:eastAsia="仿宋" w:cs="仿宋"/>
                <w:b/>
                <w:bCs/>
                <w:snapToGrid w:val="0"/>
                <w:color w:val="auto"/>
                <w:sz w:val="24"/>
                <w:szCs w:val="24"/>
                <w:highlight w:val="none"/>
              </w:rPr>
              <w:t>施工及生活用水、用电及其调试所需水电费。</w:t>
            </w:r>
          </w:p>
        </w:tc>
      </w:tr>
      <w:tr w14:paraId="14F9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06" w:type="dxa"/>
            <w:noWrap w:val="0"/>
            <w:vAlign w:val="center"/>
          </w:tcPr>
          <w:p w14:paraId="722AD7B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参数要求</w:t>
            </w:r>
          </w:p>
        </w:tc>
        <w:tc>
          <w:tcPr>
            <w:tcW w:w="7368" w:type="dxa"/>
            <w:noWrap w:val="0"/>
            <w:vAlign w:val="center"/>
          </w:tcPr>
          <w:p w14:paraId="475C3717">
            <w:pPr>
              <w:numPr>
                <w:ilvl w:val="0"/>
                <w:numId w:val="0"/>
              </w:numPr>
              <w:rPr>
                <w:rFonts w:hint="default" w:ascii="仿宋" w:hAnsi="仿宋" w:eastAsia="仿宋" w:cs="仿宋"/>
                <w:color w:val="auto"/>
                <w:sz w:val="24"/>
                <w:szCs w:val="24"/>
                <w:highlight w:val="none"/>
                <w:lang w:val="en-US"/>
              </w:rPr>
            </w:pPr>
            <w:r>
              <w:rPr>
                <w:rFonts w:hint="eastAsia" w:ascii="仿宋" w:hAnsi="仿宋" w:eastAsia="仿宋" w:cs="仿宋"/>
                <w:b/>
                <w:bCs/>
                <w:color w:val="auto"/>
                <w:sz w:val="24"/>
                <w:szCs w:val="24"/>
                <w:highlight w:val="none"/>
                <w:lang w:val="en-US" w:eastAsia="zh-CN"/>
              </w:rPr>
              <w:t>投标人所投产品技术参数大小尺寸±5%且符合安装要求。</w:t>
            </w:r>
          </w:p>
        </w:tc>
      </w:tr>
    </w:tbl>
    <w:p w14:paraId="42250A90">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265F2774">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BEC71CC">
      <w:pPr>
        <w:rPr>
          <w:rFonts w:hint="eastAsia" w:ascii="仿宋" w:hAnsi="仿宋" w:eastAsia="仿宋" w:cs="仿宋"/>
          <w:color w:val="auto"/>
          <w:sz w:val="24"/>
          <w:highlight w:val="none"/>
        </w:rPr>
      </w:pPr>
    </w:p>
    <w:p w14:paraId="2E1047CC">
      <w:pPr>
        <w:rPr>
          <w:rFonts w:hint="eastAsia" w:ascii="仿宋" w:hAnsi="仿宋" w:eastAsia="仿宋" w:cs="仿宋"/>
          <w:color w:val="auto"/>
          <w:sz w:val="24"/>
          <w:highlight w:val="none"/>
        </w:rPr>
      </w:pPr>
    </w:p>
    <w:p w14:paraId="5F3CBBF3">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1FA25D5">
      <w:pPr>
        <w:spacing w:line="480" w:lineRule="auto"/>
        <w:jc w:val="center"/>
        <w:rPr>
          <w:rFonts w:hint="eastAsia" w:ascii="仿宋" w:hAnsi="仿宋" w:eastAsia="仿宋" w:cs="仿宋"/>
          <w:b/>
          <w:color w:val="auto"/>
          <w:sz w:val="28"/>
          <w:szCs w:val="28"/>
          <w:highlight w:val="none"/>
        </w:rPr>
      </w:pPr>
    </w:p>
    <w:p w14:paraId="452DA96D">
      <w:pPr>
        <w:spacing w:line="480" w:lineRule="auto"/>
        <w:jc w:val="center"/>
        <w:rPr>
          <w:rFonts w:hint="eastAsia" w:ascii="仿宋" w:hAnsi="仿宋" w:eastAsia="仿宋" w:cs="仿宋"/>
          <w:b/>
          <w:color w:val="auto"/>
          <w:sz w:val="24"/>
          <w:highlight w:val="none"/>
        </w:rPr>
      </w:pPr>
    </w:p>
    <w:p w14:paraId="7470C66D">
      <w:pPr>
        <w:spacing w:line="480" w:lineRule="auto"/>
        <w:jc w:val="center"/>
        <w:rPr>
          <w:rFonts w:hint="eastAsia" w:ascii="仿宋" w:hAnsi="仿宋" w:eastAsia="仿宋" w:cs="仿宋"/>
          <w:b/>
          <w:color w:val="auto"/>
          <w:sz w:val="24"/>
          <w:highlight w:val="none"/>
        </w:rPr>
      </w:pPr>
    </w:p>
    <w:p w14:paraId="73C20218">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335A9C38">
      <w:pPr>
        <w:pStyle w:val="7"/>
        <w:rPr>
          <w:rFonts w:ascii="仿宋" w:hAnsi="仿宋" w:eastAsia="仿宋"/>
          <w:color w:val="auto"/>
          <w:highlight w:val="none"/>
        </w:rPr>
      </w:pPr>
    </w:p>
    <w:p w14:paraId="6BC12911">
      <w:pPr>
        <w:pStyle w:val="7"/>
        <w:rPr>
          <w:rFonts w:ascii="仿宋" w:hAnsi="仿宋" w:eastAsia="仿宋"/>
          <w:color w:val="auto"/>
          <w:highlight w:val="none"/>
        </w:rPr>
      </w:pPr>
    </w:p>
    <w:p w14:paraId="26206E72">
      <w:pPr>
        <w:spacing w:before="120" w:line="22" w:lineRule="atLeast"/>
        <w:rPr>
          <w:rFonts w:ascii="仿宋" w:hAnsi="仿宋" w:eastAsia="仿宋"/>
          <w:color w:val="auto"/>
          <w:sz w:val="24"/>
          <w:highlight w:val="none"/>
        </w:rPr>
      </w:pPr>
    </w:p>
    <w:p w14:paraId="1506826A">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38BD0F2E">
      <w:pPr>
        <w:pStyle w:val="603"/>
        <w:spacing w:before="120" w:line="22" w:lineRule="atLeast"/>
        <w:rPr>
          <w:rFonts w:ascii="仿宋" w:hAnsi="仿宋" w:eastAsia="仿宋"/>
          <w:color w:val="auto"/>
          <w:szCs w:val="24"/>
          <w:highlight w:val="none"/>
        </w:rPr>
      </w:pPr>
    </w:p>
    <w:p w14:paraId="76FD23CE">
      <w:pPr>
        <w:pStyle w:val="603"/>
        <w:spacing w:before="120" w:line="22" w:lineRule="atLeast"/>
        <w:rPr>
          <w:rFonts w:ascii="仿宋" w:hAnsi="仿宋" w:eastAsia="仿宋"/>
          <w:color w:val="auto"/>
          <w:szCs w:val="24"/>
          <w:highlight w:val="none"/>
        </w:rPr>
      </w:pPr>
    </w:p>
    <w:p w14:paraId="652A7D43">
      <w:pPr>
        <w:rPr>
          <w:rFonts w:ascii="仿宋" w:hAnsi="仿宋" w:eastAsia="仿宋"/>
          <w:color w:val="auto"/>
          <w:sz w:val="24"/>
          <w:highlight w:val="none"/>
        </w:rPr>
      </w:pPr>
    </w:p>
    <w:p w14:paraId="69E0704B">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231673FE">
      <w:pPr>
        <w:spacing w:before="120" w:line="22" w:lineRule="atLeast"/>
        <w:rPr>
          <w:rFonts w:ascii="仿宋" w:hAnsi="仿宋" w:eastAsia="仿宋"/>
          <w:color w:val="auto"/>
          <w:sz w:val="24"/>
          <w:highlight w:val="none"/>
        </w:rPr>
      </w:pPr>
    </w:p>
    <w:p w14:paraId="235679BD">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7B3D2516">
      <w:pPr>
        <w:spacing w:before="120" w:line="22" w:lineRule="atLeast"/>
        <w:rPr>
          <w:rFonts w:ascii="仿宋" w:hAnsi="仿宋" w:eastAsia="仿宋"/>
          <w:color w:val="auto"/>
          <w:sz w:val="24"/>
          <w:highlight w:val="none"/>
        </w:rPr>
      </w:pPr>
    </w:p>
    <w:p w14:paraId="455E6F26">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6E135E09">
      <w:pPr>
        <w:spacing w:before="120" w:line="22" w:lineRule="atLeast"/>
        <w:rPr>
          <w:rFonts w:ascii="仿宋" w:hAnsi="仿宋" w:eastAsia="仿宋"/>
          <w:color w:val="auto"/>
          <w:sz w:val="24"/>
          <w:highlight w:val="none"/>
        </w:rPr>
      </w:pPr>
    </w:p>
    <w:p w14:paraId="47B3C8D8">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3AD6F50B">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14:paraId="51BD0830">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嵊州市中医院医共体救治能力提升工程（金庭分院异地新建）智能化设备采购项目（</w:t>
      </w:r>
      <w:r>
        <w:rPr>
          <w:rFonts w:hint="eastAsia" w:ascii="仿宋" w:hAnsi="仿宋" w:eastAsia="仿宋" w:cs="仿宋"/>
          <w:color w:val="auto"/>
          <w:sz w:val="24"/>
          <w:szCs w:val="24"/>
          <w:highlight w:val="none"/>
          <w:u w:val="single"/>
          <w:lang w:val="en-US" w:eastAsia="zh-CN"/>
        </w:rPr>
        <w:t>编号：SXWH2024-11-7</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嵊州市卫生健康局</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14:paraId="748BB152">
      <w:pPr>
        <w:keepNext w:val="0"/>
        <w:keepLines w:val="0"/>
        <w:pageBreakBefore w:val="0"/>
        <w:kinsoku/>
        <w:wordWrap/>
        <w:overflowPunct/>
        <w:topLinePunct w:val="0"/>
        <w:bidi w:val="0"/>
        <w:spacing w:line="360" w:lineRule="auto"/>
        <w:rPr>
          <w:rFonts w:hint="eastAsia" w:ascii="仿宋" w:hAnsi="仿宋" w:eastAsia="仿宋" w:cs="仿宋"/>
          <w:b/>
          <w:bCs w:val="0"/>
          <w:color w:val="auto"/>
          <w:kern w:val="0"/>
          <w:sz w:val="24"/>
          <w:szCs w:val="24"/>
          <w:highlight w:val="none"/>
        </w:rPr>
      </w:pPr>
      <w:r>
        <w:rPr>
          <w:rFonts w:hint="eastAsia" w:ascii="仿宋" w:hAnsi="仿宋" w:eastAsia="仿宋" w:cs="仿宋"/>
          <w:b/>
          <w:bCs w:val="0"/>
          <w:color w:val="auto"/>
          <w:sz w:val="24"/>
          <w:szCs w:val="24"/>
          <w:highlight w:val="none"/>
        </w:rPr>
        <w:t>一、合同金额</w:t>
      </w:r>
      <w:r>
        <w:rPr>
          <w:rFonts w:hint="eastAsia" w:ascii="仿宋" w:hAnsi="仿宋" w:eastAsia="仿宋" w:cs="仿宋"/>
          <w:b/>
          <w:bCs w:val="0"/>
          <w:color w:val="auto"/>
          <w:sz w:val="24"/>
          <w:szCs w:val="24"/>
          <w:highlight w:val="none"/>
          <w:lang w:eastAsia="zh-CN"/>
        </w:rPr>
        <w:t>及清单</w:t>
      </w:r>
      <w:r>
        <w:rPr>
          <w:rFonts w:hint="eastAsia" w:ascii="仿宋" w:hAnsi="仿宋" w:eastAsia="仿宋" w:cs="仿宋"/>
          <w:b/>
          <w:bCs w:val="0"/>
          <w:color w:val="auto"/>
          <w:kern w:val="0"/>
          <w:sz w:val="24"/>
          <w:szCs w:val="24"/>
          <w:highlight w:val="none"/>
        </w:rPr>
        <w:t>（可附清单）</w:t>
      </w:r>
    </w:p>
    <w:tbl>
      <w:tblPr>
        <w:tblStyle w:val="64"/>
        <w:tblW w:w="9688" w:type="dxa"/>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14:paraId="3203D06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14:paraId="1870012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14:paraId="4BCA45B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14:paraId="4716960B">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14:paraId="0D5242B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14:paraId="79127FF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14:paraId="001AC6C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328EFA7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14:paraId="6742D3C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37D0046D">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6168944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7DB65D3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74CC7BD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76E46C8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4A924963">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5ABA12B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6390A3F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2257A66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2196393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5F93F6A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3D54553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5B80136B">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47101654">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2AAB5B4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3EFDA2F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0008E1A4">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5042FC4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0A0E1C3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14A4853F">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14:paraId="3A995AE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14:paraId="3D20FD0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14:paraId="2EB84B97">
      <w:pPr>
        <w:pStyle w:val="34"/>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注：</w:t>
      </w:r>
      <w:r>
        <w:rPr>
          <w:rFonts w:hint="eastAsia" w:ascii="仿宋" w:hAnsi="仿宋" w:eastAsia="仿宋" w:cs="仿宋"/>
          <w:color w:val="auto"/>
          <w:sz w:val="24"/>
          <w:szCs w:val="24"/>
          <w:highlight w:val="none"/>
        </w:rPr>
        <w:t>以上</w:t>
      </w:r>
      <w:r>
        <w:rPr>
          <w:rFonts w:hint="eastAsia" w:ascii="仿宋" w:hAnsi="仿宋" w:eastAsia="仿宋" w:cs="仿宋"/>
          <w:color w:val="auto"/>
          <w:sz w:val="24"/>
          <w:szCs w:val="24"/>
          <w:highlight w:val="none"/>
          <w:lang w:eastAsia="zh-CN"/>
        </w:rPr>
        <w:t>价格</w:t>
      </w:r>
      <w:r>
        <w:rPr>
          <w:rFonts w:hint="eastAsia" w:ascii="仿宋" w:hAnsi="仿宋" w:eastAsia="仿宋" w:cs="仿宋"/>
          <w:color w:val="auto"/>
          <w:sz w:val="24"/>
          <w:szCs w:val="24"/>
          <w:highlight w:val="none"/>
        </w:rPr>
        <w:t>包括货款、包装、运输、装卸、保险、安装、验收、税金、售后服务、利润和招标代理服务费等</w:t>
      </w:r>
      <w:r>
        <w:rPr>
          <w:rFonts w:hint="eastAsia" w:ascii="仿宋" w:hAnsi="仿宋" w:eastAsia="仿宋" w:cs="仿宋"/>
          <w:color w:val="auto"/>
          <w:sz w:val="24"/>
          <w:szCs w:val="24"/>
          <w:highlight w:val="none"/>
          <w:lang w:eastAsia="zh-CN"/>
        </w:rPr>
        <w:t>完成本项目的</w:t>
      </w:r>
      <w:r>
        <w:rPr>
          <w:rFonts w:hint="eastAsia" w:ascii="仿宋" w:hAnsi="仿宋" w:eastAsia="仿宋" w:cs="仿宋"/>
          <w:color w:val="auto"/>
          <w:sz w:val="24"/>
          <w:szCs w:val="24"/>
          <w:highlight w:val="none"/>
        </w:rPr>
        <w:t>一切费用</w:t>
      </w:r>
      <w:r>
        <w:rPr>
          <w:rFonts w:hint="eastAsia" w:ascii="仿宋" w:hAnsi="仿宋" w:eastAsia="仿宋" w:cs="仿宋"/>
          <w:color w:val="auto"/>
          <w:sz w:val="24"/>
          <w:szCs w:val="24"/>
          <w:highlight w:val="none"/>
          <w:lang w:eastAsia="zh-CN"/>
        </w:rPr>
        <w:t>。</w:t>
      </w:r>
    </w:p>
    <w:p w14:paraId="3EAF23BE">
      <w:pPr>
        <w:keepNext w:val="0"/>
        <w:keepLines w:val="0"/>
        <w:pageBreakBefore w:val="0"/>
        <w:kinsoku/>
        <w:wordWrap/>
        <w:overflowPunct/>
        <w:topLinePunct w:val="0"/>
        <w:bidi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二、供货要求</w:t>
      </w:r>
    </w:p>
    <w:p w14:paraId="5F563EB0">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供货</w:t>
      </w:r>
      <w:r>
        <w:rPr>
          <w:rFonts w:hint="eastAsia" w:ascii="仿宋" w:hAnsi="仿宋" w:eastAsia="仿宋" w:cs="仿宋"/>
          <w:color w:val="auto"/>
          <w:sz w:val="24"/>
          <w:szCs w:val="24"/>
          <w:highlight w:val="none"/>
        </w:rPr>
        <w:t>期限：</w:t>
      </w:r>
      <w:r>
        <w:rPr>
          <w:rFonts w:hint="eastAsia" w:ascii="仿宋" w:hAnsi="仿宋" w:eastAsia="仿宋" w:cs="仿宋"/>
          <w:color w:val="auto"/>
          <w:sz w:val="24"/>
          <w:szCs w:val="24"/>
          <w:highlight w:val="none"/>
          <w:lang w:eastAsia="zh-CN"/>
        </w:rPr>
        <w:t>自合同签订之日起</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lang w:eastAsia="zh-CN"/>
        </w:rPr>
        <w:t>日内供货并完成安装调试</w:t>
      </w:r>
      <w:r>
        <w:rPr>
          <w:rFonts w:hint="eastAsia" w:ascii="仿宋" w:hAnsi="仿宋" w:eastAsia="仿宋" w:cs="仿宋"/>
          <w:color w:val="auto"/>
          <w:sz w:val="24"/>
          <w:szCs w:val="24"/>
          <w:highlight w:val="none"/>
        </w:rPr>
        <w:t>。</w:t>
      </w:r>
    </w:p>
    <w:p w14:paraId="2FE9B6E6">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2、乙方提供的产品必须是招标文件和合同规定的产品，其技术指标、型号须符合相关要求。供货时，乙方须向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提供产品说明书、保修卡、质量保证书等相关资料和原配的附件。</w:t>
      </w:r>
    </w:p>
    <w:p w14:paraId="64BE86A8">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3、乙方不得将采购产品转包给其他供应商，否则视为违约，并将追究其违约责任，</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有权解除采购合同，所造成的损失由乙方承担。</w:t>
      </w:r>
    </w:p>
    <w:p w14:paraId="5CB01303">
      <w:pPr>
        <w:keepNext w:val="0"/>
        <w:keepLines w:val="0"/>
        <w:pageBreakBefore w:val="0"/>
        <w:kinsoku/>
        <w:wordWrap/>
        <w:overflowPunct/>
        <w:topLinePunct w:val="0"/>
        <w:bidi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4、如本合同采购产品在合同履约过程中出现产品更新或厂家停产等情况，须由乙方书面提出更换要求，并提供充分理由或依据，经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核实或认可，方可更换替代性能参数指标比原采购产品高的其他产品，但产品价格不变。</w:t>
      </w:r>
    </w:p>
    <w:p w14:paraId="256633CB">
      <w:pPr>
        <w:pStyle w:val="34"/>
        <w:keepNext w:val="0"/>
        <w:keepLines w:val="0"/>
        <w:pageBreakBefore w:val="0"/>
        <w:kinsoku/>
        <w:wordWrap/>
        <w:overflowPunct/>
        <w:topLinePunct w:val="0"/>
        <w:bidi w:val="0"/>
        <w:snapToGrid w:val="0"/>
        <w:spacing w:line="360" w:lineRule="auto"/>
        <w:ind w:left="412" w:leftChars="0" w:hanging="412" w:hangingChars="171"/>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三、知识产权</w:t>
      </w:r>
    </w:p>
    <w:p w14:paraId="1521FE1D">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乙方应保证所提供的</w:t>
      </w:r>
      <w:r>
        <w:rPr>
          <w:rFonts w:hint="eastAsia" w:ascii="仿宋" w:hAnsi="仿宋" w:eastAsia="仿宋" w:cs="仿宋"/>
          <w:color w:val="auto"/>
          <w:sz w:val="24"/>
          <w:szCs w:val="24"/>
          <w:highlight w:val="none"/>
          <w:lang w:eastAsia="zh-CN"/>
        </w:rPr>
        <w:t>货物</w:t>
      </w:r>
      <w:r>
        <w:rPr>
          <w:rFonts w:hint="eastAsia" w:ascii="仿宋" w:hAnsi="仿宋" w:eastAsia="仿宋" w:cs="仿宋"/>
          <w:color w:val="auto"/>
          <w:sz w:val="24"/>
          <w:szCs w:val="24"/>
          <w:highlight w:val="none"/>
        </w:rPr>
        <w:t>或其任何一部分均不会侵犯任何第三方的知识产权</w:t>
      </w:r>
      <w:r>
        <w:rPr>
          <w:rFonts w:hint="eastAsia" w:ascii="仿宋" w:hAnsi="仿宋" w:eastAsia="仿宋" w:cs="仿宋"/>
          <w:color w:val="auto"/>
          <w:sz w:val="24"/>
          <w:szCs w:val="24"/>
          <w:highlight w:val="none"/>
          <w:lang w:eastAsia="zh-CN"/>
        </w:rPr>
        <w:t>，如有纠纷，</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lang w:eastAsia="zh-CN"/>
        </w:rPr>
        <w:t>不承担任何责任。</w:t>
      </w:r>
    </w:p>
    <w:p w14:paraId="317F0D7E">
      <w:pPr>
        <w:pStyle w:val="34"/>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sz w:val="24"/>
          <w:szCs w:val="24"/>
          <w:highlight w:val="none"/>
        </w:rPr>
        <w:t>四、产权担保</w:t>
      </w:r>
    </w:p>
    <w:p w14:paraId="02310FE3">
      <w:pPr>
        <w:pStyle w:val="34"/>
        <w:keepNext w:val="0"/>
        <w:keepLines w:val="0"/>
        <w:pageBreakBefore w:val="0"/>
        <w:kinsoku/>
        <w:wordWrap/>
        <w:overflowPunct/>
        <w:topLinePunct w:val="0"/>
        <w:bidi w:val="0"/>
        <w:snapToGrid w:val="0"/>
        <w:spacing w:line="360" w:lineRule="auto"/>
        <w:ind w:left="0" w:leftChars="0" w:firstLine="547" w:firstLineChars="228"/>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乙方保证所交付的货物的所有权完全属于乙方且无任何抵押、查封等产权瑕疵。</w:t>
      </w:r>
    </w:p>
    <w:p w14:paraId="50E36ADC">
      <w:pPr>
        <w:pStyle w:val="34"/>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eastAsia="zh-CN"/>
        </w:rPr>
        <w:t>五</w:t>
      </w:r>
      <w:r>
        <w:rPr>
          <w:rFonts w:hint="eastAsia" w:ascii="仿宋" w:hAnsi="仿宋" w:eastAsia="仿宋" w:cs="仿宋"/>
          <w:b/>
          <w:bCs w:val="0"/>
          <w:color w:val="auto"/>
          <w:sz w:val="24"/>
          <w:szCs w:val="24"/>
          <w:highlight w:val="none"/>
        </w:rPr>
        <w:t>、转包或分包</w:t>
      </w:r>
    </w:p>
    <w:p w14:paraId="14DBA08F">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1.本合同范围的货物，应由乙方直接供应，不得转让他人供应；</w:t>
      </w:r>
    </w:p>
    <w:p w14:paraId="5B9DB2D8">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2.除非得到</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的书面同意，乙方不得将本合同范围的货物全部或部分分包给他人供应；</w:t>
      </w:r>
    </w:p>
    <w:p w14:paraId="09895836">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3.如有转让和未经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同意的分包行为，</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有权解除合同</w:t>
      </w:r>
      <w:r>
        <w:rPr>
          <w:rFonts w:hint="eastAsia" w:ascii="仿宋" w:hAnsi="仿宋" w:eastAsia="仿宋" w:cs="仿宋"/>
          <w:bCs/>
          <w:color w:val="auto"/>
          <w:sz w:val="24"/>
          <w:szCs w:val="24"/>
          <w:highlight w:val="none"/>
          <w:lang w:eastAsia="zh-CN"/>
        </w:rPr>
        <w:t>。</w:t>
      </w:r>
    </w:p>
    <w:p w14:paraId="0D979E30">
      <w:pPr>
        <w:pStyle w:val="34"/>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eastAsia="zh-CN"/>
        </w:rPr>
        <w:t>六</w:t>
      </w:r>
      <w:r>
        <w:rPr>
          <w:rFonts w:hint="eastAsia" w:ascii="仿宋" w:hAnsi="仿宋" w:eastAsia="仿宋" w:cs="仿宋"/>
          <w:b/>
          <w:bCs w:val="0"/>
          <w:color w:val="auto"/>
          <w:sz w:val="24"/>
          <w:szCs w:val="24"/>
          <w:highlight w:val="none"/>
        </w:rPr>
        <w:t>、</w:t>
      </w:r>
      <w:r>
        <w:rPr>
          <w:rFonts w:hint="eastAsia" w:ascii="仿宋" w:hAnsi="仿宋" w:eastAsia="仿宋" w:cs="仿宋"/>
          <w:b/>
          <w:bCs w:val="0"/>
          <w:color w:val="auto"/>
          <w:sz w:val="24"/>
          <w:szCs w:val="24"/>
          <w:highlight w:val="none"/>
          <w:lang w:val="en-US" w:eastAsia="zh-CN"/>
        </w:rPr>
        <w:t>履约保证金</w:t>
      </w:r>
    </w:p>
    <w:p w14:paraId="2E9BE978">
      <w:pPr>
        <w:pStyle w:val="34"/>
        <w:keepNext w:val="0"/>
        <w:keepLines w:val="0"/>
        <w:pageBreakBefore w:val="0"/>
        <w:numPr>
          <w:ilvl w:val="0"/>
          <w:numId w:val="0"/>
        </w:numPr>
        <w:kinsoku/>
        <w:wordWrap/>
        <w:overflowPunct/>
        <w:topLinePunct w:val="0"/>
        <w:bidi w:val="0"/>
        <w:snapToGrid w:val="0"/>
        <w:spacing w:line="360" w:lineRule="auto"/>
        <w:ind w:left="0" w:leftChars="0"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无</w:t>
      </w:r>
    </w:p>
    <w:p w14:paraId="34688F8D">
      <w:pPr>
        <w:pStyle w:val="34"/>
        <w:keepNext w:val="0"/>
        <w:keepLines w:val="0"/>
        <w:pageBreakBefore w:val="0"/>
        <w:numPr>
          <w:ilvl w:val="0"/>
          <w:numId w:val="8"/>
        </w:numPr>
        <w:kinsoku/>
        <w:wordWrap/>
        <w:overflowPunct/>
        <w:topLinePunct w:val="0"/>
        <w:bidi w:val="0"/>
        <w:snapToGrid w:val="0"/>
        <w:spacing w:line="360" w:lineRule="auto"/>
        <w:ind w:left="0"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款项支付</w:t>
      </w:r>
    </w:p>
    <w:p w14:paraId="16D41035">
      <w:pPr>
        <w:keepNext w:val="0"/>
        <w:keepLines w:val="0"/>
        <w:pageBreakBefore w:val="0"/>
        <w:numPr>
          <w:ilvl w:val="0"/>
          <w:numId w:val="0"/>
        </w:numPr>
        <w:kinsoku/>
        <w:wordWrap/>
        <w:overflowPunct/>
        <w:topLinePunct w:val="0"/>
        <w:bidi w:val="0"/>
        <w:snapToGrid w:val="0"/>
        <w:spacing w:line="360" w:lineRule="auto"/>
        <w:ind w:left="0" w:leftChars="0"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合同签订15日内支付合同款的70%作为预付款，提供同等金额的银行或保险公司保函；设备安装验收完成后，余款一年内付清（不计息）</w:t>
      </w:r>
      <w:r>
        <w:rPr>
          <w:rFonts w:hint="eastAsia" w:ascii="仿宋" w:hAnsi="仿宋" w:eastAsia="仿宋" w:cs="仿宋"/>
          <w:color w:val="auto"/>
          <w:sz w:val="24"/>
          <w:szCs w:val="24"/>
          <w:highlight w:val="none"/>
        </w:rPr>
        <w:t>。</w:t>
      </w:r>
    </w:p>
    <w:p w14:paraId="30F45E8D">
      <w:pPr>
        <w:keepNext w:val="0"/>
        <w:keepLines w:val="0"/>
        <w:pageBreakBefore w:val="0"/>
        <w:numPr>
          <w:ilvl w:val="0"/>
          <w:numId w:val="0"/>
        </w:numPr>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val="0"/>
          <w:color w:val="auto"/>
          <w:sz w:val="24"/>
          <w:szCs w:val="24"/>
          <w:highlight w:val="none"/>
          <w:lang w:val="en-US" w:eastAsia="zh-CN"/>
        </w:rPr>
        <w:t>验收</w:t>
      </w:r>
    </w:p>
    <w:p w14:paraId="1B31804F">
      <w:pPr>
        <w:keepNext w:val="0"/>
        <w:keepLines w:val="0"/>
        <w:pageBreakBefore w:val="0"/>
        <w:suppressLineNumbers w:val="0"/>
        <w:kinsoku/>
        <w:wordWrap/>
        <w:overflowPunct/>
        <w:topLinePunct w:val="0"/>
        <w:bidi w:val="0"/>
        <w:spacing w:beforeAutospacing="0" w:afterAutospacing="0" w:line="360" w:lineRule="auto"/>
        <w:ind w:left="0" w:leftChars="0" w:righ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本项目验收工作由</w:t>
      </w:r>
      <w:r>
        <w:rPr>
          <w:rFonts w:hint="eastAsia" w:ascii="仿宋" w:hAnsi="仿宋" w:eastAsia="仿宋" w:cs="仿宋"/>
          <w:bCs/>
          <w:color w:val="auto"/>
          <w:sz w:val="24"/>
          <w:szCs w:val="24"/>
          <w:highlight w:val="none"/>
          <w:lang w:val="en-US" w:eastAsia="zh-CN"/>
        </w:rPr>
        <w:t>甲方</w:t>
      </w:r>
      <w:r>
        <w:rPr>
          <w:rFonts w:hint="eastAsia" w:ascii="仿宋" w:hAnsi="仿宋" w:eastAsia="仿宋" w:cs="仿宋"/>
          <w:bCs/>
          <w:color w:val="auto"/>
          <w:sz w:val="24"/>
          <w:szCs w:val="24"/>
          <w:highlight w:val="none"/>
        </w:rPr>
        <w:t>组织实施，验收工作在</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sz w:val="24"/>
          <w:szCs w:val="24"/>
          <w:highlight w:val="none"/>
        </w:rPr>
        <w:t>项目实施完毕，经自验合格，提交验收申请后5个工作日内启动。</w:t>
      </w:r>
    </w:p>
    <w:p w14:paraId="1000E92D">
      <w:pPr>
        <w:keepNext w:val="0"/>
        <w:keepLines w:val="0"/>
        <w:pageBreakBefore w:val="0"/>
        <w:suppressLineNumbers w:val="0"/>
        <w:kinsoku/>
        <w:wordWrap/>
        <w:overflowPunct/>
        <w:topLinePunct w:val="0"/>
        <w:bidi w:val="0"/>
        <w:spacing w:beforeAutospacing="0" w:afterAutospacing="0" w:line="360" w:lineRule="auto"/>
        <w:ind w:left="0" w:leftChars="0" w:righ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验收符合质量要求，验收合格。</w:t>
      </w:r>
    </w:p>
    <w:p w14:paraId="367DBC30">
      <w:pPr>
        <w:keepNext w:val="0"/>
        <w:keepLines w:val="0"/>
        <w:pageBreakBefore w:val="0"/>
        <w:numPr>
          <w:ilvl w:val="0"/>
          <w:numId w:val="0"/>
        </w:numPr>
        <w:suppressLineNumbers w:val="0"/>
        <w:kinsoku/>
        <w:wordWrap/>
        <w:overflowPunct/>
        <w:topLinePunct w:val="0"/>
        <w:bidi w:val="0"/>
        <w:spacing w:beforeAutospacing="0" w:afterAutospacing="0" w:line="360" w:lineRule="auto"/>
        <w:ind w:left="0" w:leftChars="0" w:right="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其他要求见合同。</w:t>
      </w:r>
    </w:p>
    <w:p w14:paraId="2688779C">
      <w:pPr>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4.验收费用由乙方承担。</w:t>
      </w:r>
    </w:p>
    <w:p w14:paraId="123017E3">
      <w:pPr>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九、</w:t>
      </w:r>
      <w:r>
        <w:rPr>
          <w:rFonts w:hint="eastAsia" w:ascii="仿宋" w:hAnsi="仿宋" w:eastAsia="仿宋" w:cs="仿宋"/>
          <w:b/>
          <w:bCs w:val="0"/>
          <w:color w:val="auto"/>
          <w:sz w:val="24"/>
          <w:szCs w:val="24"/>
          <w:highlight w:val="none"/>
        </w:rPr>
        <w:t>税费</w:t>
      </w:r>
    </w:p>
    <w:p w14:paraId="746E4359">
      <w:pPr>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本合同执行中相关的一切税费均由乙方负担。</w:t>
      </w:r>
    </w:p>
    <w:p w14:paraId="4F84C07F">
      <w:pPr>
        <w:keepNext w:val="0"/>
        <w:keepLines w:val="0"/>
        <w:pageBreakBefore w:val="0"/>
        <w:widowControl/>
        <w:kinsoku/>
        <w:wordWrap/>
        <w:overflowPunct/>
        <w:topLinePunct w:val="0"/>
        <w:autoSpaceDE w:val="0"/>
        <w:autoSpaceDN w:val="0"/>
        <w:bidi w:val="0"/>
        <w:adjustRightInd w:val="0"/>
        <w:spacing w:line="360" w:lineRule="auto"/>
        <w:ind w:left="0" w:leftChars="0"/>
        <w:contextualSpacing/>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十</w:t>
      </w:r>
      <w:r>
        <w:rPr>
          <w:rFonts w:hint="eastAsia" w:ascii="仿宋" w:hAnsi="仿宋" w:eastAsia="仿宋" w:cs="仿宋"/>
          <w:b/>
          <w:bCs/>
          <w:color w:val="auto"/>
          <w:sz w:val="24"/>
          <w:szCs w:val="24"/>
          <w:highlight w:val="none"/>
        </w:rPr>
        <w:t>、保密条款</w:t>
      </w:r>
    </w:p>
    <w:p w14:paraId="57F10D36">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乙方对合同内容及履行合同过程中所获悉的属于</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的且无法自公开渠道获得的文件及资料</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应负保密义务</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非经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书面同意,不得擅自利用或对外发表或披露。违反前述约定的</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乙方应向</w:t>
      </w:r>
      <w:r>
        <w:rPr>
          <w:rFonts w:hint="eastAsia" w:ascii="仿宋" w:hAnsi="仿宋" w:eastAsia="仿宋" w:cs="仿宋"/>
          <w:color w:val="auto"/>
          <w:kern w:val="0"/>
          <w:sz w:val="24"/>
          <w:szCs w:val="24"/>
          <w:highlight w:val="none"/>
          <w:lang w:val="en-US" w:eastAsia="zh-CN"/>
        </w:rPr>
        <w:t>甲</w:t>
      </w:r>
      <w:r>
        <w:rPr>
          <w:rFonts w:hint="eastAsia" w:ascii="仿宋" w:hAnsi="仿宋" w:eastAsia="仿宋" w:cs="仿宋"/>
          <w:color w:val="auto"/>
          <w:kern w:val="0"/>
          <w:sz w:val="24"/>
          <w:szCs w:val="24"/>
          <w:highlight w:val="none"/>
        </w:rPr>
        <w:t>方支付违约金</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万元</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违约金不足以弥补甲方损失的</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乙方还应负责赔偿。保密期限自乙方接收或知悉</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信息资料之日起至该信息资料公开之日或</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kern w:val="0"/>
          <w:sz w:val="24"/>
          <w:szCs w:val="24"/>
          <w:highlight w:val="none"/>
        </w:rPr>
        <w:t>书面解除乙方保密义务之日止。</w:t>
      </w:r>
    </w:p>
    <w:p w14:paraId="0C8EBA51">
      <w:pPr>
        <w:pStyle w:val="34"/>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十一、</w:t>
      </w:r>
      <w:r>
        <w:rPr>
          <w:rFonts w:hint="eastAsia" w:ascii="仿宋" w:hAnsi="仿宋" w:eastAsia="仿宋" w:cs="仿宋"/>
          <w:b/>
          <w:bCs w:val="0"/>
          <w:color w:val="auto"/>
          <w:sz w:val="24"/>
          <w:szCs w:val="24"/>
          <w:highlight w:val="none"/>
        </w:rPr>
        <w:t>质量保证及售后服务</w:t>
      </w:r>
    </w:p>
    <w:p w14:paraId="78789510">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 乙方应按招标文件规定的标的性能、技术要求、质量标准向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提供未经使用的全新产品。</w:t>
      </w:r>
    </w:p>
    <w:p w14:paraId="37E528DD">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 乙方提供的货物在质保期内因货物本身的质量问题发生故障，乙方应负责免费更换。对达不到技术要求者，根据实际情况，经</w:t>
      </w:r>
      <w:r>
        <w:rPr>
          <w:rFonts w:hint="eastAsia" w:ascii="仿宋" w:hAnsi="仿宋" w:eastAsia="仿宋" w:cs="仿宋"/>
          <w:bCs/>
          <w:color w:val="auto"/>
          <w:sz w:val="24"/>
          <w:szCs w:val="24"/>
          <w:highlight w:val="none"/>
          <w:lang w:val="en-US" w:eastAsia="zh-CN"/>
        </w:rPr>
        <w:t>双</w:t>
      </w:r>
      <w:r>
        <w:rPr>
          <w:rFonts w:hint="eastAsia" w:ascii="仿宋" w:hAnsi="仿宋" w:eastAsia="仿宋" w:cs="仿宋"/>
          <w:bCs/>
          <w:color w:val="auto"/>
          <w:sz w:val="24"/>
          <w:szCs w:val="24"/>
          <w:highlight w:val="none"/>
        </w:rPr>
        <w:t>方协商，可按以下办法处理：</w:t>
      </w:r>
    </w:p>
    <w:p w14:paraId="55373911">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 退货：在材料未使用情况下，乙方按合同规定的同种货币将货款退还给甲方，并承担由此发生的一切损失和费用，包括利息、银行手续费、运费、保险费、检验费、仓储费、装卸费以及为保护退回货物所需的其它必要费用。</w:t>
      </w:r>
    </w:p>
    <w:p w14:paraId="463382AB">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 根据货物低劣程度、损坏程度以及甲方所遭受损失的数额，经买卖双方商定降低货物的价格。</w:t>
      </w:r>
    </w:p>
    <w:p w14:paraId="75F0E92D">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 用符合规格、质量和性能要求的新零件、部件或货物来更换有缺陷的部分或修补缺陷部分，乙方应承担一切费用和风险，并负担甲方所发生的一切直接费用。同时，相应延长修补或更换部件的质保期。</w:t>
      </w:r>
    </w:p>
    <w:p w14:paraId="52268559">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（4）以上（1）、（2）、（3）条协商未果，</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可向乙方提出索赔。</w:t>
      </w:r>
      <w:r>
        <w:rPr>
          <w:rFonts w:hint="eastAsia" w:ascii="仿宋" w:hAnsi="仿宋" w:eastAsia="仿宋" w:cs="仿宋"/>
          <w:color w:val="auto"/>
          <w:sz w:val="24"/>
          <w:szCs w:val="24"/>
          <w:highlight w:val="none"/>
          <w:lang w:val="en-US" w:eastAsia="zh-CN"/>
        </w:rPr>
        <w:t>甲方</w:t>
      </w:r>
      <w:r>
        <w:rPr>
          <w:rFonts w:hint="eastAsia" w:ascii="仿宋" w:hAnsi="仿宋" w:eastAsia="仿宋" w:cs="仿宋"/>
          <w:bCs/>
          <w:color w:val="auto"/>
          <w:sz w:val="24"/>
          <w:szCs w:val="24"/>
          <w:highlight w:val="none"/>
        </w:rPr>
        <w:t>发出索赔通知后30天内，乙方未作答复，上述索赔应视已被乙方接受。</w:t>
      </w:r>
    </w:p>
    <w:p w14:paraId="0F9955AB">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3. </w:t>
      </w:r>
      <w:r>
        <w:rPr>
          <w:rFonts w:hint="eastAsia" w:ascii="仿宋" w:hAnsi="仿宋" w:eastAsia="仿宋" w:cs="仿宋"/>
          <w:color w:val="auto"/>
          <w:sz w:val="24"/>
          <w:szCs w:val="24"/>
          <w:highlight w:val="none"/>
        </w:rPr>
        <w:t>经</w:t>
      </w:r>
      <w:r>
        <w:rPr>
          <w:rFonts w:hint="eastAsia" w:ascii="仿宋" w:hAnsi="仿宋" w:eastAsia="仿宋" w:cs="仿宋"/>
          <w:bCs/>
          <w:color w:val="auto"/>
          <w:sz w:val="24"/>
          <w:szCs w:val="24"/>
          <w:highlight w:val="none"/>
          <w:lang w:val="en-US" w:eastAsia="zh-CN"/>
        </w:rPr>
        <w:t>甲方</w:t>
      </w:r>
      <w:r>
        <w:rPr>
          <w:rFonts w:hint="eastAsia" w:ascii="仿宋" w:hAnsi="仿宋" w:eastAsia="仿宋" w:cs="仿宋"/>
          <w:color w:val="auto"/>
          <w:sz w:val="24"/>
          <w:szCs w:val="24"/>
          <w:highlight w:val="none"/>
        </w:rPr>
        <w:t>验收合格之日起提供</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年的质保时间。质保期内产生的维修费及维修替换损坏的部件费均无偿免费（人为损坏除外）提供。质保期外，</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只承担免费维修费，维修需替换的部件费，另按实结算。</w:t>
      </w:r>
    </w:p>
    <w:p w14:paraId="1881B405">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质保期内</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sz w:val="24"/>
          <w:szCs w:val="24"/>
          <w:highlight w:val="none"/>
        </w:rPr>
        <w:t>提供7×24小时现场技术服务，并提供充足的备品备件，满足日常维修需求</w:t>
      </w:r>
      <w:r>
        <w:rPr>
          <w:rFonts w:hint="eastAsia" w:ascii="仿宋" w:hAnsi="仿宋" w:eastAsia="仿宋" w:cs="仿宋"/>
          <w:bCs/>
          <w:color w:val="auto"/>
          <w:sz w:val="24"/>
          <w:szCs w:val="24"/>
          <w:highlight w:val="none"/>
          <w:lang w:eastAsia="zh-CN"/>
        </w:rPr>
        <w:t>。</w:t>
      </w:r>
    </w:p>
    <w:p w14:paraId="5A524249">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质保期内因产品本身缺陷造成各种故障应由</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color w:val="auto"/>
          <w:sz w:val="24"/>
          <w:szCs w:val="24"/>
          <w:highlight w:val="none"/>
        </w:rPr>
        <w:t>免费维修，并在《投标文件》中说明在保质期内提供的服务计划。在产品整个使用期内，</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color w:val="auto"/>
          <w:sz w:val="24"/>
          <w:szCs w:val="24"/>
          <w:highlight w:val="none"/>
        </w:rPr>
        <w:t>应确保货物的正常使用。在接到</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维修要求后</w:t>
      </w:r>
      <w:r>
        <w:rPr>
          <w:rFonts w:hint="eastAsia" w:ascii="仿宋" w:hAnsi="仿宋" w:eastAsia="仿宋" w:cs="仿宋"/>
          <w:b/>
          <w:i w:val="0"/>
          <w:iCs/>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内作出响应，</w:t>
      </w:r>
      <w:r>
        <w:rPr>
          <w:rFonts w:hint="eastAsia" w:ascii="仿宋" w:hAnsi="仿宋" w:eastAsia="仿宋" w:cs="仿宋"/>
          <w:b/>
          <w:bCs/>
          <w:i w:val="0"/>
          <w:iCs w:val="0"/>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到达现场处置，24小时内修复。若不能修复，则需要免费提供后备或替代产品，以保证</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正常的使用</w:t>
      </w:r>
      <w:r>
        <w:rPr>
          <w:rFonts w:hint="eastAsia" w:ascii="仿宋" w:hAnsi="仿宋" w:eastAsia="仿宋" w:cs="仿宋"/>
          <w:color w:val="auto"/>
          <w:sz w:val="24"/>
          <w:szCs w:val="24"/>
          <w:highlight w:val="none"/>
          <w:lang w:eastAsia="zh-CN"/>
        </w:rPr>
        <w:t>。</w:t>
      </w:r>
    </w:p>
    <w:p w14:paraId="438D5322">
      <w:pPr>
        <w:pStyle w:val="34"/>
        <w:keepNext w:val="0"/>
        <w:keepLines w:val="0"/>
        <w:pageBreakBefore w:val="0"/>
        <w:kinsoku/>
        <w:wordWrap/>
        <w:overflowPunct/>
        <w:topLinePunct w:val="0"/>
        <w:bidi w:val="0"/>
        <w:snapToGrid w:val="0"/>
        <w:spacing w:line="360" w:lineRule="auto"/>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免费为采购使用单位的维修人员提供现场培训，使受培训人员至少达到以下水平：掌握一般运行原理、使用方法及日常维护等常用技能。培训涉及的所有费用由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w:t>
      </w:r>
      <w:r>
        <w:rPr>
          <w:rFonts w:hint="eastAsia" w:ascii="仿宋" w:hAnsi="仿宋" w:eastAsia="仿宋" w:cs="仿宋"/>
          <w:b w:val="0"/>
          <w:bCs/>
          <w:color w:val="auto"/>
          <w:sz w:val="24"/>
          <w:szCs w:val="24"/>
          <w:highlight w:val="none"/>
        </w:rPr>
        <w:t>具体培训方案请在投标文件中明确说明。</w:t>
      </w:r>
    </w:p>
    <w:p w14:paraId="5A910B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outlineLvl w:val="1"/>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十二、安全责任</w:t>
      </w:r>
    </w:p>
    <w:p w14:paraId="4E2D27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1"/>
        <w:rPr>
          <w:rFonts w:hint="eastAsia" w:ascii="仿宋" w:hAnsi="仿宋" w:eastAsia="仿宋" w:cs="仿宋"/>
          <w:b/>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在项目实施过程中的各种意外，其责任由乙方承担，甲方不承担任何责任。</w:t>
      </w:r>
    </w:p>
    <w:p w14:paraId="3103B221">
      <w:pPr>
        <w:pStyle w:val="34"/>
        <w:keepNext w:val="0"/>
        <w:keepLines w:val="0"/>
        <w:pageBreakBefore w:val="0"/>
        <w:kinsoku/>
        <w:wordWrap/>
        <w:overflowPunct/>
        <w:topLinePunct w:val="0"/>
        <w:bidi w:val="0"/>
        <w:snapToGrid w:val="0"/>
        <w:spacing w:line="360" w:lineRule="auto"/>
        <w:ind w:left="0" w:leftChars="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十三、</w:t>
      </w:r>
      <w:r>
        <w:rPr>
          <w:rFonts w:hint="eastAsia" w:ascii="仿宋" w:hAnsi="仿宋" w:eastAsia="仿宋" w:cs="仿宋"/>
          <w:b/>
          <w:bCs w:val="0"/>
          <w:color w:val="auto"/>
          <w:sz w:val="24"/>
          <w:szCs w:val="24"/>
          <w:highlight w:val="none"/>
        </w:rPr>
        <w:t>违约责任</w:t>
      </w:r>
    </w:p>
    <w:p w14:paraId="1F1B4D3B">
      <w:pPr>
        <w:pStyle w:val="34"/>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无正当理由拒收的，甲方向乙方偿付拒收当前合同款总值的5%违约金。</w:t>
      </w:r>
    </w:p>
    <w:p w14:paraId="6738E5D3">
      <w:pPr>
        <w:pStyle w:val="34"/>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无故逾期验收和办理款项支付手续的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甲方应按逾期付款总额每日万分之五向乙方支付违约金。</w:t>
      </w:r>
    </w:p>
    <w:p w14:paraId="1B7D12E9">
      <w:pPr>
        <w:pStyle w:val="34"/>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3.乙方逾期交付的，乙方应按逾期交付总额每日万分之五向甲方支付违约金，由甲方从待付货款中扣除。逾期超过约定日期20个工作日不能交付的，</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可解除本合同。乙方因逾期交付或因其他违约行为导致</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 xml:space="preserve">解除合同的，乙方应向甲方支付合同总值5%的违约金，如造成甲方损失超过违约金的，超出部分由乙方继续承担赔偿责任。 </w:t>
      </w:r>
    </w:p>
    <w:p w14:paraId="10E95A1E">
      <w:pPr>
        <w:pStyle w:val="34"/>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4.乙方所交的货物品种、型号、规格、技术参数、质量不符合合同规定及招标文件规定标准的，</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有权拒收，乙方愿意更换但逾期交付的，按乙方逾期交付处理。乙方拒绝更换的，</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可单方面解除合同。</w:t>
      </w:r>
    </w:p>
    <w:p w14:paraId="2A52E1C1">
      <w:pPr>
        <w:pStyle w:val="34"/>
        <w:keepNext w:val="0"/>
        <w:keepLines w:val="0"/>
        <w:pageBreakBefore w:val="0"/>
        <w:kinsoku/>
        <w:wordWrap/>
        <w:overflowPunct/>
        <w:topLinePunct w:val="0"/>
        <w:bidi w:val="0"/>
        <w:snapToGrid w:val="0"/>
        <w:spacing w:line="360" w:lineRule="auto"/>
        <w:ind w:left="0" w:leftChars="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w:t>
      </w:r>
      <w:r>
        <w:rPr>
          <w:rFonts w:hint="eastAsia" w:ascii="仿宋" w:hAnsi="仿宋" w:eastAsia="仿宋" w:cs="仿宋"/>
          <w:b/>
          <w:bCs w:val="0"/>
          <w:color w:val="auto"/>
          <w:sz w:val="24"/>
          <w:szCs w:val="24"/>
          <w:highlight w:val="none"/>
          <w:lang w:val="en-US" w:eastAsia="zh-CN"/>
        </w:rPr>
        <w:t>四</w:t>
      </w:r>
      <w:r>
        <w:rPr>
          <w:rFonts w:hint="eastAsia" w:ascii="仿宋" w:hAnsi="仿宋" w:eastAsia="仿宋" w:cs="仿宋"/>
          <w:b/>
          <w:bCs w:val="0"/>
          <w:color w:val="auto"/>
          <w:sz w:val="24"/>
          <w:szCs w:val="24"/>
          <w:highlight w:val="none"/>
        </w:rPr>
        <w:t>、不可抗力事件处理</w:t>
      </w:r>
    </w:p>
    <w:p w14:paraId="1B4F5CDC">
      <w:pPr>
        <w:pStyle w:val="34"/>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1.在合同有效期内，任何一方因不可抗力事件导致不能履行合同，则合同履行期可延长，其延长期与不可抗力影响期相同。</w:t>
      </w:r>
    </w:p>
    <w:p w14:paraId="60AE371E">
      <w:pPr>
        <w:pStyle w:val="34"/>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2.不可抗力事件发生后，应立即通知对方，并寄送有关权威机构出具的证明。</w:t>
      </w:r>
    </w:p>
    <w:p w14:paraId="7E225F78">
      <w:pPr>
        <w:pStyle w:val="34"/>
        <w:keepNext w:val="0"/>
        <w:keepLines w:val="0"/>
        <w:pageBreakBefore w:val="0"/>
        <w:kinsoku/>
        <w:wordWrap/>
        <w:overflowPunct/>
        <w:topLinePunct w:val="0"/>
        <w:bidi w:val="0"/>
        <w:snapToGrid w:val="0"/>
        <w:spacing w:line="360" w:lineRule="auto"/>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3.不可抗力事件延续120天以上，</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rPr>
        <w:t>方应通过友好协商，确定是否继续履行合同。</w:t>
      </w:r>
    </w:p>
    <w:p w14:paraId="09349F0D">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十五、</w:t>
      </w:r>
      <w:r>
        <w:rPr>
          <w:rFonts w:hint="eastAsia" w:ascii="仿宋" w:hAnsi="仿宋" w:eastAsia="仿宋" w:cs="仿宋"/>
          <w:b/>
          <w:bCs/>
          <w:color w:val="auto"/>
          <w:sz w:val="24"/>
          <w:szCs w:val="24"/>
          <w:highlight w:val="none"/>
        </w:rPr>
        <w:t>争议解决</w:t>
      </w:r>
    </w:p>
    <w:p w14:paraId="10251B78">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14:paraId="31C5EA51">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14:paraId="219E1CE4">
      <w:pPr>
        <w:keepNext w:val="0"/>
        <w:keepLines w:val="0"/>
        <w:pageBreakBefore w:val="0"/>
        <w:widowControl w:val="0"/>
        <w:kinsoku/>
        <w:wordWrap/>
        <w:overflowPunct/>
        <w:topLinePunct w:val="0"/>
        <w:autoSpaceDE/>
        <w:autoSpaceDN/>
        <w:bidi w:val="0"/>
        <w:adjustRightInd w:val="0"/>
        <w:spacing w:line="360" w:lineRule="auto"/>
        <w:ind w:left="0" w:leftChars="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14:paraId="73131960">
      <w:pPr>
        <w:keepNext w:val="0"/>
        <w:keepLines w:val="0"/>
        <w:pageBreakBefore w:val="0"/>
        <w:widowControl w:val="0"/>
        <w:kinsoku/>
        <w:wordWrap/>
        <w:overflowPunct/>
        <w:topLinePunct w:val="0"/>
        <w:autoSpaceDE/>
        <w:autoSpaceDN/>
        <w:bidi w:val="0"/>
        <w:adjustRightInd w:val="0"/>
        <w:spacing w:line="360" w:lineRule="auto"/>
        <w:ind w:left="0"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十</w:t>
      </w: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、附  则</w:t>
      </w:r>
    </w:p>
    <w:p w14:paraId="5DFA0851">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合同在</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rPr>
        <w:t>签字盖章后开始生效。</w:t>
      </w:r>
    </w:p>
    <w:p w14:paraId="60B4B15A">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协议正本条款受国家《民法典》的保护。</w:t>
      </w:r>
    </w:p>
    <w:p w14:paraId="25C8DD09">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未经甲乙双方书面确认，任何一方不得自行变更或修改本协议。</w:t>
      </w:r>
    </w:p>
    <w:p w14:paraId="054A7CDF">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合同在执行过程中出现的未尽事宜，遵照《民法典》有关条文，双方在不违背本合同和谈判或自行采购协议文件的原则下，协商解决，协商结果以书面形式盖章记录在案，作为本合同的附件，具有同等效力。</w:t>
      </w:r>
    </w:p>
    <w:p w14:paraId="170EA223">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14:paraId="3E377A5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p>
    <w:tbl>
      <w:tblPr>
        <w:tblStyle w:val="65"/>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81"/>
        <w:gridCol w:w="4489"/>
      </w:tblGrid>
      <w:tr w14:paraId="1B9B5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4A34486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甲方（盖章）：</w:t>
            </w:r>
          </w:p>
        </w:tc>
        <w:tc>
          <w:tcPr>
            <w:tcW w:w="4489" w:type="dxa"/>
          </w:tcPr>
          <w:p w14:paraId="07A2D8B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p>
        </w:tc>
      </w:tr>
      <w:tr w14:paraId="5EACE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23CA440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联系地址：</w:t>
            </w:r>
          </w:p>
        </w:tc>
        <w:tc>
          <w:tcPr>
            <w:tcW w:w="4489" w:type="dxa"/>
          </w:tcPr>
          <w:p w14:paraId="1F3B133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w:t>
            </w:r>
          </w:p>
        </w:tc>
      </w:tr>
      <w:tr w14:paraId="38B54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40B537B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c>
          <w:tcPr>
            <w:tcW w:w="4489" w:type="dxa"/>
          </w:tcPr>
          <w:p w14:paraId="283C269B">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r>
      <w:tr w14:paraId="0EBE9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046BF41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489" w:type="dxa"/>
          </w:tcPr>
          <w:p w14:paraId="02383B6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14:paraId="19F1C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2A8D6823">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4489" w:type="dxa"/>
          </w:tcPr>
          <w:p w14:paraId="06573CD1">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bl>
    <w:p w14:paraId="0A41A3C6">
      <w:pPr>
        <w:pStyle w:val="34"/>
        <w:spacing w:line="360" w:lineRule="auto"/>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中标人</w:t>
      </w:r>
      <w:r>
        <w:rPr>
          <w:rFonts w:hint="eastAsia" w:ascii="仿宋" w:hAnsi="仿宋" w:eastAsia="仿宋" w:cs="仿宋"/>
          <w:b/>
          <w:bCs/>
          <w:color w:val="auto"/>
          <w:sz w:val="24"/>
          <w:szCs w:val="24"/>
          <w:highlight w:val="none"/>
        </w:rPr>
        <w:t>可根据实际项目的情况进行必要的修改。</w:t>
      </w:r>
    </w:p>
    <w:p w14:paraId="1A81BB1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39AB21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832FD47">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0541A8">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13CF5C9">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ECC659D">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3215FE42">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4"/>
        <w:tblW w:w="9573" w:type="dxa"/>
        <w:tblInd w:w="-6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768"/>
        <w:gridCol w:w="1362"/>
        <w:gridCol w:w="6583"/>
        <w:gridCol w:w="860"/>
      </w:tblGrid>
      <w:tr w14:paraId="22291F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540" w:hRule="atLeast"/>
        </w:trPr>
        <w:tc>
          <w:tcPr>
            <w:tcW w:w="768" w:type="dxa"/>
            <w:tcBorders>
              <w:tl2br w:val="nil"/>
              <w:tr2bl w:val="nil"/>
            </w:tcBorders>
            <w:shd w:val="clear" w:color="auto" w:fill="auto"/>
            <w:vAlign w:val="center"/>
          </w:tcPr>
          <w:p w14:paraId="57D06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362" w:type="dxa"/>
            <w:tcBorders>
              <w:tl2br w:val="nil"/>
              <w:tr2bl w:val="nil"/>
            </w:tcBorders>
            <w:shd w:val="clear" w:color="auto" w:fill="auto"/>
            <w:vAlign w:val="center"/>
          </w:tcPr>
          <w:p w14:paraId="3B872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评审内容</w:t>
            </w:r>
          </w:p>
        </w:tc>
        <w:tc>
          <w:tcPr>
            <w:tcW w:w="6583" w:type="dxa"/>
            <w:tcBorders>
              <w:tl2br w:val="nil"/>
              <w:tr2bl w:val="nil"/>
            </w:tcBorders>
            <w:shd w:val="clear" w:color="auto" w:fill="auto"/>
            <w:vAlign w:val="center"/>
          </w:tcPr>
          <w:p w14:paraId="50277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评审细则</w:t>
            </w:r>
          </w:p>
        </w:tc>
        <w:tc>
          <w:tcPr>
            <w:tcW w:w="860" w:type="dxa"/>
            <w:tcBorders>
              <w:tl2br w:val="nil"/>
              <w:tr2bl w:val="nil"/>
            </w:tcBorders>
            <w:shd w:val="clear" w:color="auto" w:fill="auto"/>
            <w:vAlign w:val="center"/>
          </w:tcPr>
          <w:p w14:paraId="2BCA9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分值</w:t>
            </w:r>
          </w:p>
        </w:tc>
      </w:tr>
      <w:tr w14:paraId="54DB7C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163" w:hRule="atLeast"/>
        </w:trPr>
        <w:tc>
          <w:tcPr>
            <w:tcW w:w="768" w:type="dxa"/>
            <w:tcBorders>
              <w:tl2br w:val="nil"/>
              <w:tr2bl w:val="nil"/>
            </w:tcBorders>
            <w:shd w:val="clear" w:color="auto" w:fill="auto"/>
            <w:vAlign w:val="center"/>
          </w:tcPr>
          <w:p w14:paraId="1FE92D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1362" w:type="dxa"/>
            <w:tcBorders>
              <w:tl2br w:val="nil"/>
              <w:tr2bl w:val="nil"/>
            </w:tcBorders>
            <w:shd w:val="clear" w:color="auto" w:fill="auto"/>
            <w:vAlign w:val="center"/>
          </w:tcPr>
          <w:p w14:paraId="1BAE91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kern w:val="0"/>
                <w:sz w:val="24"/>
                <w:szCs w:val="24"/>
                <w:highlight w:val="none"/>
                <w:u w:val="none"/>
                <w:lang w:val="en-US" w:eastAsia="zh-CN" w:bidi="ar"/>
              </w:rPr>
              <w:t>资信证书</w:t>
            </w:r>
          </w:p>
        </w:tc>
        <w:tc>
          <w:tcPr>
            <w:tcW w:w="6583" w:type="dxa"/>
            <w:tcBorders>
              <w:tl2br w:val="nil"/>
              <w:tr2bl w:val="nil"/>
            </w:tcBorders>
            <w:shd w:val="clear" w:color="auto" w:fill="auto"/>
            <w:vAlign w:val="center"/>
          </w:tcPr>
          <w:p w14:paraId="04A72FE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）投标人具有电子与智能化工程专业承包贰级及以上证书的得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w:t>
            </w:r>
          </w:p>
          <w:p w14:paraId="3B23F2C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投标人具有信息安全服务资质认证证书二级及以上（认证内容包括信息系统安全开发服务、信息系统安全运维服务、信息系统安全集成服务）的得</w:t>
            </w:r>
            <w:r>
              <w:rPr>
                <w:rFonts w:hint="eastAsia" w:ascii="仿宋" w:hAnsi="仿宋" w:eastAsia="仿宋" w:cs="仿宋"/>
                <w:color w:val="auto"/>
                <w:sz w:val="24"/>
                <w:szCs w:val="24"/>
                <w:highlight w:val="none"/>
                <w:lang w:val="en-US" w:eastAsia="zh-CN"/>
              </w:rPr>
              <w:t>1分；</w:t>
            </w:r>
          </w:p>
          <w:p w14:paraId="7D610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zh-CN" w:eastAsia="zh-CN"/>
              </w:rPr>
              <w:t>（提供有效期内相关证书扫描件并加盖CA签章）</w:t>
            </w:r>
          </w:p>
        </w:tc>
        <w:tc>
          <w:tcPr>
            <w:tcW w:w="860" w:type="dxa"/>
            <w:tcBorders>
              <w:tl2br w:val="nil"/>
              <w:tr2bl w:val="nil"/>
            </w:tcBorders>
            <w:shd w:val="clear" w:color="auto" w:fill="auto"/>
            <w:vAlign w:val="center"/>
          </w:tcPr>
          <w:p w14:paraId="1FD63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bidi="ar"/>
              </w:rPr>
              <w:t>2分</w:t>
            </w:r>
          </w:p>
        </w:tc>
      </w:tr>
      <w:tr w14:paraId="72BD5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497" w:hRule="atLeast"/>
        </w:trPr>
        <w:tc>
          <w:tcPr>
            <w:tcW w:w="768" w:type="dxa"/>
            <w:tcBorders>
              <w:tl2br w:val="nil"/>
              <w:tr2bl w:val="nil"/>
            </w:tcBorders>
            <w:shd w:val="clear" w:color="auto" w:fill="auto"/>
            <w:vAlign w:val="center"/>
          </w:tcPr>
          <w:p w14:paraId="194B7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1362" w:type="dxa"/>
            <w:tcBorders>
              <w:tl2br w:val="nil"/>
              <w:tr2bl w:val="nil"/>
            </w:tcBorders>
            <w:shd w:val="clear" w:color="auto" w:fill="auto"/>
            <w:vAlign w:val="center"/>
          </w:tcPr>
          <w:p w14:paraId="68B78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业绩</w:t>
            </w:r>
          </w:p>
        </w:tc>
        <w:tc>
          <w:tcPr>
            <w:tcW w:w="6583" w:type="dxa"/>
            <w:tcBorders>
              <w:tl2br w:val="nil"/>
              <w:tr2bl w:val="nil"/>
            </w:tcBorders>
            <w:shd w:val="clear" w:color="auto" w:fill="auto"/>
            <w:vAlign w:val="center"/>
          </w:tcPr>
          <w:p w14:paraId="5470E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lang w:eastAsia="zh-CN"/>
              </w:rPr>
              <w:t>自20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1月1日</w:t>
            </w:r>
            <w:r>
              <w:rPr>
                <w:rFonts w:hint="eastAsia" w:ascii="仿宋" w:hAnsi="仿宋" w:eastAsia="仿宋" w:cs="仿宋"/>
                <w:color w:val="auto"/>
                <w:sz w:val="24"/>
                <w:szCs w:val="24"/>
                <w:highlight w:val="none"/>
                <w:lang w:eastAsia="zh-CN"/>
              </w:rPr>
              <w:t>以来</w:t>
            </w:r>
            <w:r>
              <w:rPr>
                <w:rFonts w:hint="eastAsia" w:ascii="仿宋" w:hAnsi="仿宋" w:eastAsia="仿宋" w:cs="仿宋"/>
                <w:color w:val="auto"/>
                <w:sz w:val="24"/>
                <w:szCs w:val="24"/>
                <w:highlight w:val="none"/>
                <w:lang w:val="en-US" w:eastAsia="zh-CN"/>
              </w:rPr>
              <w:t>完成的同类项目</w:t>
            </w:r>
            <w:r>
              <w:rPr>
                <w:rFonts w:hint="eastAsia" w:ascii="仿宋" w:hAnsi="仿宋" w:eastAsia="仿宋" w:cs="仿宋"/>
                <w:color w:val="auto"/>
                <w:sz w:val="24"/>
                <w:szCs w:val="24"/>
                <w:highlight w:val="none"/>
                <w:lang w:eastAsia="zh-CN"/>
              </w:rPr>
              <w:t>业绩,每提供一个得1分，最高得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（注：提供项目中标通知书和合同复印件，并加盖</w:t>
            </w:r>
            <w:r>
              <w:rPr>
                <w:rFonts w:hint="eastAsia" w:ascii="仿宋" w:hAnsi="仿宋" w:eastAsia="仿宋" w:cs="仿宋"/>
                <w:color w:val="auto"/>
                <w:sz w:val="24"/>
                <w:szCs w:val="24"/>
                <w:highlight w:val="none"/>
                <w:lang w:val="en-US" w:eastAsia="zh-CN"/>
              </w:rPr>
              <w:t>CA</w:t>
            </w:r>
            <w:r>
              <w:rPr>
                <w:rFonts w:hint="eastAsia" w:ascii="仿宋" w:hAnsi="仿宋" w:eastAsia="仿宋" w:cs="仿宋"/>
                <w:color w:val="auto"/>
                <w:sz w:val="24"/>
                <w:szCs w:val="24"/>
                <w:highlight w:val="none"/>
                <w:lang w:eastAsia="zh-CN"/>
              </w:rPr>
              <w:t>公章，不提供或提供不全不得分）</w:t>
            </w:r>
          </w:p>
        </w:tc>
        <w:tc>
          <w:tcPr>
            <w:tcW w:w="860" w:type="dxa"/>
            <w:tcBorders>
              <w:tl2br w:val="nil"/>
              <w:tr2bl w:val="nil"/>
            </w:tcBorders>
            <w:shd w:val="clear" w:color="auto" w:fill="auto"/>
            <w:vAlign w:val="center"/>
          </w:tcPr>
          <w:p w14:paraId="684B7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3分</w:t>
            </w:r>
          </w:p>
        </w:tc>
      </w:tr>
      <w:tr w14:paraId="63BAD3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57" w:hRule="atLeast"/>
        </w:trPr>
        <w:tc>
          <w:tcPr>
            <w:tcW w:w="768" w:type="dxa"/>
            <w:tcBorders>
              <w:tl2br w:val="nil"/>
              <w:tr2bl w:val="nil"/>
            </w:tcBorders>
            <w:shd w:val="clear" w:color="auto" w:fill="auto"/>
            <w:vAlign w:val="center"/>
          </w:tcPr>
          <w:p w14:paraId="42497A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w:t>
            </w:r>
          </w:p>
        </w:tc>
        <w:tc>
          <w:tcPr>
            <w:tcW w:w="1362" w:type="dxa"/>
            <w:vMerge w:val="restart"/>
            <w:tcBorders>
              <w:tl2br w:val="nil"/>
              <w:tr2bl w:val="nil"/>
            </w:tcBorders>
            <w:shd w:val="clear" w:color="auto" w:fill="auto"/>
            <w:vAlign w:val="center"/>
          </w:tcPr>
          <w:p w14:paraId="6A578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项目技术团队配置</w:t>
            </w:r>
          </w:p>
        </w:tc>
        <w:tc>
          <w:tcPr>
            <w:tcW w:w="6583" w:type="dxa"/>
            <w:tcBorders>
              <w:tl2br w:val="nil"/>
              <w:tr2bl w:val="nil"/>
            </w:tcBorders>
            <w:shd w:val="clear" w:color="auto" w:fill="auto"/>
            <w:vAlign w:val="center"/>
          </w:tcPr>
          <w:p w14:paraId="4CC116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拟派项目经理（1人）</w:t>
            </w:r>
          </w:p>
          <w:p w14:paraId="2F72304F">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具有一级建造师（机电工程专业）的得1分；</w:t>
            </w:r>
          </w:p>
          <w:p w14:paraId="6E75B300">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具有信息、通信方面高级工程师职称证书或信息系统项目管理师（高级）证书的等1</w:t>
            </w:r>
            <w:r>
              <w:rPr>
                <w:rFonts w:hint="eastAsia" w:ascii="仿宋" w:hAnsi="仿宋" w:eastAsia="仿宋" w:cs="仿宋"/>
                <w:color w:val="auto"/>
                <w:sz w:val="24"/>
                <w:szCs w:val="24"/>
                <w:highlight w:val="none"/>
                <w:lang w:val="en-US" w:eastAsia="zh-CN"/>
              </w:rPr>
              <w:t>分</w:t>
            </w:r>
            <w:r>
              <w:rPr>
                <w:rFonts w:hint="eastAsia" w:ascii="仿宋" w:hAnsi="仿宋" w:eastAsia="仿宋" w:cs="仿宋"/>
                <w:i w:val="0"/>
                <w:iCs w:val="0"/>
                <w:color w:val="auto"/>
                <w:kern w:val="0"/>
                <w:sz w:val="24"/>
                <w:szCs w:val="24"/>
                <w:highlight w:val="none"/>
                <w:u w:val="none"/>
                <w:lang w:val="en-US" w:eastAsia="zh-CN" w:bidi="ar"/>
              </w:rPr>
              <w:t>。</w:t>
            </w:r>
          </w:p>
          <w:p w14:paraId="6B92D4D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color w:val="auto"/>
                <w:sz w:val="24"/>
                <w:szCs w:val="24"/>
                <w:highlight w:val="none"/>
                <w:lang w:val="en-US" w:eastAsia="zh-CN"/>
              </w:rPr>
              <w:t>（提供证书扫描件及2024年8-10月在投标单位社保缴纳证明并加盖CA签章）</w:t>
            </w:r>
          </w:p>
        </w:tc>
        <w:tc>
          <w:tcPr>
            <w:tcW w:w="860" w:type="dxa"/>
            <w:tcBorders>
              <w:tl2br w:val="nil"/>
              <w:tr2bl w:val="nil"/>
            </w:tcBorders>
            <w:shd w:val="clear" w:color="auto" w:fill="auto"/>
            <w:vAlign w:val="center"/>
          </w:tcPr>
          <w:p w14:paraId="7BA13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2分</w:t>
            </w:r>
          </w:p>
        </w:tc>
      </w:tr>
      <w:tr w14:paraId="72E9F7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1709" w:hRule="atLeast"/>
        </w:trPr>
        <w:tc>
          <w:tcPr>
            <w:tcW w:w="768" w:type="dxa"/>
            <w:tcBorders>
              <w:tl2br w:val="nil"/>
              <w:tr2bl w:val="nil"/>
            </w:tcBorders>
            <w:shd w:val="clear" w:color="auto" w:fill="auto"/>
            <w:vAlign w:val="center"/>
          </w:tcPr>
          <w:p w14:paraId="0A267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1362" w:type="dxa"/>
            <w:vMerge w:val="continue"/>
            <w:tcBorders>
              <w:tl2br w:val="nil"/>
              <w:tr2bl w:val="nil"/>
            </w:tcBorders>
            <w:shd w:val="clear" w:color="auto" w:fill="auto"/>
            <w:vAlign w:val="center"/>
          </w:tcPr>
          <w:p w14:paraId="3F931D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583" w:type="dxa"/>
            <w:tcBorders>
              <w:tl2br w:val="nil"/>
              <w:tr2bl w:val="nil"/>
            </w:tcBorders>
            <w:shd w:val="clear" w:color="auto" w:fill="auto"/>
            <w:vAlign w:val="center"/>
          </w:tcPr>
          <w:p w14:paraId="5C8E14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拟派项目技术负责人（1人）</w:t>
            </w:r>
          </w:p>
          <w:p w14:paraId="711590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具有信息、通信方面高级工程师职称证书或信息系统项目管理师（高级）证书的得1</w:t>
            </w:r>
            <w:r>
              <w:rPr>
                <w:rFonts w:hint="eastAsia" w:ascii="仿宋" w:hAnsi="仿宋" w:eastAsia="仿宋" w:cs="仿宋"/>
                <w:color w:val="auto"/>
                <w:sz w:val="24"/>
                <w:szCs w:val="24"/>
                <w:highlight w:val="none"/>
                <w:lang w:val="en-US" w:eastAsia="zh-CN"/>
              </w:rPr>
              <w:t>分</w:t>
            </w:r>
            <w:r>
              <w:rPr>
                <w:rFonts w:hint="eastAsia" w:ascii="仿宋" w:hAnsi="仿宋" w:eastAsia="仿宋" w:cs="仿宋"/>
                <w:i w:val="0"/>
                <w:iCs w:val="0"/>
                <w:color w:val="auto"/>
                <w:kern w:val="0"/>
                <w:sz w:val="24"/>
                <w:szCs w:val="24"/>
                <w:highlight w:val="none"/>
                <w:u w:val="none"/>
                <w:lang w:val="en-US" w:eastAsia="zh-CN" w:bidi="ar"/>
              </w:rPr>
              <w:t>。</w:t>
            </w:r>
          </w:p>
          <w:p w14:paraId="32715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b/>
                <w:bCs/>
                <w:color w:val="auto"/>
                <w:sz w:val="24"/>
                <w:szCs w:val="24"/>
                <w:highlight w:val="none"/>
                <w:lang w:val="en-US" w:eastAsia="zh-CN"/>
              </w:rPr>
              <w:t>（提供证书扫描件及2024年8-10月在投标单位社保缴纳证明并加盖CA签章）</w:t>
            </w:r>
          </w:p>
        </w:tc>
        <w:tc>
          <w:tcPr>
            <w:tcW w:w="860" w:type="dxa"/>
            <w:tcBorders>
              <w:tl2br w:val="nil"/>
              <w:tr2bl w:val="nil"/>
            </w:tcBorders>
            <w:shd w:val="clear" w:color="auto" w:fill="auto"/>
            <w:vAlign w:val="center"/>
          </w:tcPr>
          <w:p w14:paraId="2868C4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1分</w:t>
            </w:r>
          </w:p>
        </w:tc>
      </w:tr>
      <w:tr w14:paraId="7CCD75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1833" w:hRule="atLeast"/>
        </w:trPr>
        <w:tc>
          <w:tcPr>
            <w:tcW w:w="768" w:type="dxa"/>
            <w:tcBorders>
              <w:tl2br w:val="nil"/>
              <w:tr2bl w:val="nil"/>
            </w:tcBorders>
            <w:shd w:val="clear" w:color="auto" w:fill="auto"/>
            <w:vAlign w:val="center"/>
          </w:tcPr>
          <w:p w14:paraId="61E06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w:t>
            </w:r>
          </w:p>
        </w:tc>
        <w:tc>
          <w:tcPr>
            <w:tcW w:w="1362" w:type="dxa"/>
            <w:vMerge w:val="continue"/>
            <w:tcBorders>
              <w:tl2br w:val="nil"/>
              <w:tr2bl w:val="nil"/>
            </w:tcBorders>
            <w:shd w:val="clear" w:color="auto" w:fill="auto"/>
            <w:vAlign w:val="center"/>
          </w:tcPr>
          <w:p w14:paraId="19993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583" w:type="dxa"/>
            <w:tcBorders>
              <w:tl2br w:val="nil"/>
              <w:tr2bl w:val="nil"/>
            </w:tcBorders>
            <w:shd w:val="clear" w:color="auto" w:fill="auto"/>
            <w:vAlign w:val="center"/>
          </w:tcPr>
          <w:p w14:paraId="29F639C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拟派项目团队成员（除项目经理</w:t>
            </w:r>
            <w:r>
              <w:rPr>
                <w:rFonts w:hint="eastAsia" w:ascii="仿宋" w:hAnsi="仿宋" w:eastAsia="仿宋" w:cs="仿宋"/>
                <w:b/>
                <w:bCs/>
                <w:color w:val="auto"/>
                <w:sz w:val="24"/>
                <w:szCs w:val="24"/>
                <w:highlight w:val="none"/>
                <w:lang w:val="en-US" w:eastAsia="zh-CN"/>
              </w:rPr>
              <w:t>及技术负责人除外</w:t>
            </w:r>
            <w:r>
              <w:rPr>
                <w:rFonts w:hint="eastAsia" w:ascii="仿宋" w:hAnsi="仿宋" w:eastAsia="仿宋" w:cs="仿宋"/>
                <w:b/>
                <w:bCs/>
                <w:color w:val="auto"/>
                <w:sz w:val="24"/>
                <w:szCs w:val="24"/>
                <w:highlight w:val="none"/>
              </w:rPr>
              <w:t>）</w:t>
            </w:r>
          </w:p>
          <w:p w14:paraId="6E4A967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val="en-US" w:eastAsia="zh-CN"/>
              </w:rPr>
              <w:t>信息技术</w:t>
            </w:r>
            <w:r>
              <w:rPr>
                <w:rFonts w:hint="eastAsia" w:ascii="仿宋" w:hAnsi="仿宋" w:eastAsia="仿宋" w:cs="仿宋"/>
                <w:color w:val="auto"/>
                <w:sz w:val="24"/>
                <w:szCs w:val="24"/>
                <w:highlight w:val="none"/>
              </w:rPr>
              <w:t>（系统集成）中级工程师</w:t>
            </w:r>
            <w:r>
              <w:rPr>
                <w:rFonts w:hint="eastAsia" w:ascii="仿宋" w:hAnsi="仿宋" w:eastAsia="仿宋" w:cs="仿宋"/>
                <w:color w:val="auto"/>
                <w:sz w:val="24"/>
                <w:szCs w:val="24"/>
                <w:highlight w:val="none"/>
                <w:lang w:val="en-US" w:eastAsia="zh-CN"/>
              </w:rPr>
              <w:t>及以上</w:t>
            </w:r>
            <w:r>
              <w:rPr>
                <w:rFonts w:hint="eastAsia" w:ascii="仿宋" w:hAnsi="仿宋" w:eastAsia="仿宋" w:cs="仿宋"/>
                <w:color w:val="auto"/>
                <w:sz w:val="24"/>
                <w:szCs w:val="24"/>
                <w:highlight w:val="none"/>
              </w:rPr>
              <w:t>证书、</w:t>
            </w:r>
            <w:r>
              <w:rPr>
                <w:rFonts w:hint="eastAsia" w:ascii="仿宋" w:hAnsi="仿宋" w:eastAsia="仿宋" w:cs="仿宋"/>
                <w:color w:val="auto"/>
                <w:sz w:val="24"/>
                <w:szCs w:val="24"/>
                <w:highlight w:val="none"/>
                <w:lang w:val="en-US" w:eastAsia="zh-CN"/>
              </w:rPr>
              <w:t>具有信息系统项目管理师证书、</w:t>
            </w:r>
            <w:r>
              <w:rPr>
                <w:rFonts w:hint="eastAsia" w:ascii="仿宋" w:hAnsi="仿宋" w:eastAsia="仿宋" w:cs="仿宋"/>
                <w:i w:val="0"/>
                <w:iCs w:val="0"/>
                <w:color w:val="auto"/>
                <w:kern w:val="0"/>
                <w:sz w:val="24"/>
                <w:szCs w:val="24"/>
                <w:highlight w:val="none"/>
                <w:u w:val="none"/>
                <w:lang w:val="en-US" w:eastAsia="zh-CN" w:bidi="ar"/>
              </w:rPr>
              <w:t>具有</w:t>
            </w:r>
            <w:r>
              <w:rPr>
                <w:rFonts w:hint="eastAsia" w:ascii="仿宋" w:hAnsi="仿宋" w:eastAsia="仿宋" w:cs="仿宋"/>
                <w:color w:val="auto"/>
                <w:sz w:val="24"/>
                <w:szCs w:val="24"/>
                <w:highlight w:val="none"/>
                <w:lang w:val="en-US" w:eastAsia="zh-CN"/>
              </w:rPr>
              <w:t>信息安全保障人员认证证书、</w:t>
            </w: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val="en-US" w:eastAsia="zh-CN"/>
              </w:rPr>
              <w:t>高级工程师证书（信息工程类）、</w:t>
            </w:r>
            <w:r>
              <w:rPr>
                <w:rFonts w:hint="eastAsia" w:ascii="仿宋" w:hAnsi="仿宋" w:eastAsia="仿宋" w:cs="仿宋"/>
                <w:color w:val="auto"/>
                <w:sz w:val="24"/>
                <w:szCs w:val="24"/>
                <w:highlight w:val="none"/>
              </w:rPr>
              <w:t>ITSS-IT服务项目经理证书，</w:t>
            </w:r>
            <w:r>
              <w:rPr>
                <w:rFonts w:hint="eastAsia" w:ascii="仿宋" w:hAnsi="仿宋" w:eastAsia="仿宋" w:cs="仿宋"/>
                <w:color w:val="auto"/>
                <w:sz w:val="24"/>
                <w:szCs w:val="24"/>
                <w:highlight w:val="none"/>
                <w:lang w:val="en-US" w:eastAsia="zh-CN"/>
              </w:rPr>
              <w:t>每具有1本得1分，</w:t>
            </w:r>
            <w:r>
              <w:rPr>
                <w:rFonts w:hint="eastAsia" w:ascii="仿宋" w:hAnsi="仿宋" w:eastAsia="仿宋" w:cs="仿宋"/>
                <w:color w:val="auto"/>
                <w:sz w:val="24"/>
                <w:szCs w:val="24"/>
                <w:highlight w:val="none"/>
              </w:rPr>
              <w:t>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3A0933B6">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以上同一人员不累计得分，同一人员具有多种证书的按一人算，提供人员清单、资质证书扫描件及2024年8-10月在投标人社保缴纳证明并加盖CA签章。</w:t>
            </w:r>
            <w:r>
              <w:rPr>
                <w:rFonts w:hint="eastAsia" w:ascii="仿宋" w:hAnsi="仿宋" w:eastAsia="仿宋" w:cs="仿宋"/>
                <w:color w:val="auto"/>
                <w:sz w:val="24"/>
                <w:szCs w:val="24"/>
                <w:highlight w:val="none"/>
                <w:lang w:val="en-US" w:eastAsia="zh-CN"/>
              </w:rPr>
              <w:t>）</w:t>
            </w:r>
          </w:p>
        </w:tc>
        <w:tc>
          <w:tcPr>
            <w:tcW w:w="860" w:type="dxa"/>
            <w:tcBorders>
              <w:tl2br w:val="nil"/>
              <w:tr2bl w:val="nil"/>
            </w:tcBorders>
            <w:shd w:val="clear" w:color="auto" w:fill="auto"/>
            <w:vAlign w:val="center"/>
          </w:tcPr>
          <w:p w14:paraId="44395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5分</w:t>
            </w:r>
          </w:p>
        </w:tc>
      </w:tr>
      <w:tr w14:paraId="308A9E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600" w:hRule="atLeast"/>
        </w:trPr>
        <w:tc>
          <w:tcPr>
            <w:tcW w:w="768" w:type="dxa"/>
            <w:tcBorders>
              <w:tl2br w:val="nil"/>
              <w:tr2bl w:val="nil"/>
            </w:tcBorders>
            <w:shd w:val="clear" w:color="auto" w:fill="auto"/>
            <w:vAlign w:val="center"/>
          </w:tcPr>
          <w:p w14:paraId="73D231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362" w:type="dxa"/>
            <w:tcBorders>
              <w:tl2br w:val="nil"/>
              <w:tr2bl w:val="nil"/>
            </w:tcBorders>
            <w:shd w:val="clear" w:color="auto" w:fill="auto"/>
            <w:vAlign w:val="center"/>
          </w:tcPr>
          <w:p w14:paraId="5425A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技术参数与采购需求的符合性</w:t>
            </w:r>
          </w:p>
        </w:tc>
        <w:tc>
          <w:tcPr>
            <w:tcW w:w="6583" w:type="dxa"/>
            <w:tcBorders>
              <w:tl2br w:val="nil"/>
              <w:tr2bl w:val="nil"/>
            </w:tcBorders>
            <w:shd w:val="clear" w:color="auto" w:fill="auto"/>
            <w:vAlign w:val="center"/>
          </w:tcPr>
          <w:p w14:paraId="3047E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技术参数完全满足采购文件第三部分技术参数要求的得24分，技术参数每有一项负偏离的扣0.5分，扣完为止。</w:t>
            </w:r>
          </w:p>
          <w:p w14:paraId="3BDC85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color w:val="auto"/>
                <w:sz w:val="24"/>
                <w:highlight w:val="none"/>
                <w:lang w:val="en-US" w:eastAsia="zh-CN"/>
              </w:rPr>
              <w:t>注：所投产品不得缺项、漏项，如有缺项、漏项的本项得0分。</w:t>
            </w:r>
          </w:p>
        </w:tc>
        <w:tc>
          <w:tcPr>
            <w:tcW w:w="860" w:type="dxa"/>
            <w:tcBorders>
              <w:tl2br w:val="nil"/>
              <w:tr2bl w:val="nil"/>
            </w:tcBorders>
            <w:shd w:val="clear" w:color="auto" w:fill="auto"/>
            <w:vAlign w:val="center"/>
          </w:tcPr>
          <w:p w14:paraId="486A9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bidi="ar"/>
              </w:rPr>
              <w:t>24分</w:t>
            </w:r>
          </w:p>
        </w:tc>
      </w:tr>
      <w:tr w14:paraId="5ED4A0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992" w:hRule="atLeast"/>
        </w:trPr>
        <w:tc>
          <w:tcPr>
            <w:tcW w:w="768" w:type="dxa"/>
            <w:tcBorders>
              <w:tl2br w:val="nil"/>
              <w:tr2bl w:val="nil"/>
            </w:tcBorders>
            <w:shd w:val="clear" w:color="auto" w:fill="auto"/>
            <w:noWrap w:val="0"/>
            <w:vAlign w:val="center"/>
          </w:tcPr>
          <w:p w14:paraId="160A2442">
            <w:pPr>
              <w:widowControl/>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362" w:type="dxa"/>
            <w:vMerge w:val="restart"/>
            <w:tcBorders>
              <w:tl2br w:val="nil"/>
              <w:tr2bl w:val="nil"/>
            </w:tcBorders>
            <w:shd w:val="clear" w:color="auto" w:fill="auto"/>
            <w:noWrap w:val="0"/>
            <w:vAlign w:val="center"/>
          </w:tcPr>
          <w:p w14:paraId="1339BFA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深化设计方案</w:t>
            </w:r>
          </w:p>
        </w:tc>
        <w:tc>
          <w:tcPr>
            <w:tcW w:w="6583" w:type="dxa"/>
            <w:tcBorders>
              <w:tl2br w:val="nil"/>
              <w:tr2bl w:val="nil"/>
            </w:tcBorders>
            <w:shd w:val="clear" w:color="auto" w:fill="auto"/>
            <w:noWrap w:val="0"/>
            <w:vAlign w:val="center"/>
          </w:tcPr>
          <w:p w14:paraId="24C1BDA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根据投标人</w:t>
            </w:r>
            <w:r>
              <w:rPr>
                <w:rFonts w:hint="eastAsia" w:ascii="仿宋" w:hAnsi="仿宋" w:eastAsia="仿宋" w:cs="仿宋"/>
                <w:b w:val="0"/>
                <w:bCs w:val="0"/>
                <w:color w:val="auto"/>
                <w:sz w:val="24"/>
                <w:szCs w:val="24"/>
                <w:highlight w:val="none"/>
              </w:rPr>
              <w:t>提供</w:t>
            </w:r>
            <w:r>
              <w:rPr>
                <w:rFonts w:hint="eastAsia" w:ascii="仿宋" w:hAnsi="仿宋" w:eastAsia="仿宋" w:cs="仿宋"/>
                <w:b w:val="0"/>
                <w:bCs w:val="0"/>
                <w:color w:val="auto"/>
                <w:sz w:val="24"/>
                <w:szCs w:val="24"/>
                <w:highlight w:val="none"/>
                <w:lang w:val="en-US" w:eastAsia="zh-CN"/>
              </w:rPr>
              <w:t>的针对</w:t>
            </w:r>
            <w:r>
              <w:rPr>
                <w:rFonts w:hint="eastAsia" w:ascii="仿宋" w:hAnsi="仿宋" w:eastAsia="仿宋" w:cs="仿宋"/>
                <w:b w:val="0"/>
                <w:bCs w:val="0"/>
                <w:color w:val="auto"/>
                <w:sz w:val="24"/>
                <w:szCs w:val="24"/>
                <w:highlight w:val="none"/>
              </w:rPr>
              <w:t>本项目的整体</w:t>
            </w:r>
            <w:r>
              <w:rPr>
                <w:rFonts w:hint="eastAsia" w:ascii="仿宋" w:hAnsi="仿宋" w:eastAsia="仿宋" w:cs="仿宋"/>
                <w:b w:val="0"/>
                <w:bCs w:val="0"/>
                <w:color w:val="auto"/>
                <w:sz w:val="24"/>
                <w:szCs w:val="24"/>
                <w:highlight w:val="none"/>
                <w:lang w:val="en-US" w:eastAsia="zh-CN"/>
              </w:rPr>
              <w:t>深化设计方案（包括系统架构、</w:t>
            </w:r>
            <w:r>
              <w:rPr>
                <w:rFonts w:hint="eastAsia" w:ascii="仿宋" w:hAnsi="仿宋" w:eastAsia="仿宋" w:cs="仿宋"/>
                <w:b w:val="0"/>
                <w:bCs w:val="0"/>
                <w:color w:val="auto"/>
                <w:sz w:val="24"/>
                <w:szCs w:val="24"/>
                <w:highlight w:val="none"/>
              </w:rPr>
              <w:t>设备组成、主要性能、产品详细介绍</w:t>
            </w:r>
            <w:r>
              <w:rPr>
                <w:rFonts w:hint="eastAsia" w:ascii="仿宋" w:hAnsi="仿宋" w:eastAsia="仿宋" w:cs="仿宋"/>
                <w:b w:val="0"/>
                <w:bCs w:val="0"/>
                <w:color w:val="auto"/>
                <w:sz w:val="24"/>
                <w:szCs w:val="24"/>
                <w:highlight w:val="none"/>
                <w:lang w:val="en-US" w:eastAsia="zh-CN"/>
              </w:rPr>
              <w:t>等），评审专家</w:t>
            </w:r>
            <w:r>
              <w:rPr>
                <w:rFonts w:hint="eastAsia" w:ascii="仿宋" w:hAnsi="仿宋" w:eastAsia="仿宋" w:cs="仿宋"/>
                <w:b w:val="0"/>
                <w:bCs w:val="0"/>
                <w:color w:val="auto"/>
                <w:sz w:val="24"/>
                <w:szCs w:val="24"/>
                <w:highlight w:val="none"/>
              </w:rPr>
              <w:t>根据其方案内容的完整性、合理性、</w:t>
            </w:r>
            <w:r>
              <w:rPr>
                <w:rFonts w:hint="eastAsia" w:ascii="仿宋" w:hAnsi="仿宋" w:eastAsia="仿宋" w:cs="仿宋"/>
                <w:b w:val="0"/>
                <w:bCs w:val="0"/>
                <w:color w:val="auto"/>
                <w:sz w:val="24"/>
                <w:szCs w:val="24"/>
                <w:highlight w:val="none"/>
                <w:lang w:val="en-US" w:eastAsia="zh-CN"/>
              </w:rPr>
              <w:t>优越性</w:t>
            </w:r>
            <w:r>
              <w:rPr>
                <w:rFonts w:hint="eastAsia" w:ascii="仿宋" w:hAnsi="仿宋" w:eastAsia="仿宋" w:cs="仿宋"/>
                <w:b w:val="0"/>
                <w:bCs w:val="0"/>
                <w:color w:val="auto"/>
                <w:sz w:val="24"/>
                <w:szCs w:val="24"/>
                <w:highlight w:val="none"/>
              </w:rPr>
              <w:t>等进行综合评审</w:t>
            </w:r>
            <w:r>
              <w:rPr>
                <w:rFonts w:hint="eastAsia" w:ascii="仿宋" w:hAnsi="仿宋" w:eastAsia="仿宋" w:cs="仿宋"/>
                <w:b w:val="0"/>
                <w:bCs w:val="0"/>
                <w:color w:val="auto"/>
                <w:sz w:val="24"/>
                <w:szCs w:val="24"/>
                <w:highlight w:val="none"/>
                <w:lang w:eastAsia="zh-CN"/>
              </w:rPr>
              <w:t>。</w:t>
            </w:r>
          </w:p>
          <w:p w14:paraId="6D85618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（满分4分，评分范围4，3.5，3，2.5，2，1.5，1，0.5，0）</w:t>
            </w:r>
          </w:p>
        </w:tc>
        <w:tc>
          <w:tcPr>
            <w:tcW w:w="860" w:type="dxa"/>
            <w:tcBorders>
              <w:tl2br w:val="nil"/>
              <w:tr2bl w:val="nil"/>
            </w:tcBorders>
            <w:shd w:val="clear" w:color="auto" w:fill="auto"/>
            <w:noWrap w:val="0"/>
            <w:vAlign w:val="center"/>
          </w:tcPr>
          <w:p w14:paraId="4E26F86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4分</w:t>
            </w:r>
          </w:p>
        </w:tc>
      </w:tr>
      <w:tr w14:paraId="7C90CC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1132" w:hRule="atLeast"/>
        </w:trPr>
        <w:tc>
          <w:tcPr>
            <w:tcW w:w="768" w:type="dxa"/>
            <w:tcBorders>
              <w:tl2br w:val="nil"/>
              <w:tr2bl w:val="nil"/>
            </w:tcBorders>
            <w:shd w:val="clear" w:color="auto" w:fill="auto"/>
            <w:noWrap w:val="0"/>
            <w:vAlign w:val="center"/>
          </w:tcPr>
          <w:p w14:paraId="76FC0C30">
            <w:pPr>
              <w:widowControl/>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1362" w:type="dxa"/>
            <w:vMerge w:val="continue"/>
            <w:tcBorders>
              <w:tl2br w:val="nil"/>
              <w:tr2bl w:val="nil"/>
            </w:tcBorders>
            <w:shd w:val="clear" w:color="auto" w:fill="auto"/>
            <w:noWrap w:val="0"/>
            <w:vAlign w:val="center"/>
          </w:tcPr>
          <w:p w14:paraId="652DAEE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val="0"/>
                <w:bCs w:val="0"/>
                <w:color w:val="auto"/>
                <w:sz w:val="24"/>
                <w:szCs w:val="24"/>
                <w:highlight w:val="none"/>
                <w:lang w:val="en-US" w:eastAsia="zh-CN"/>
              </w:rPr>
            </w:pPr>
          </w:p>
        </w:tc>
        <w:tc>
          <w:tcPr>
            <w:tcW w:w="6583" w:type="dxa"/>
            <w:tcBorders>
              <w:tl2br w:val="nil"/>
              <w:tr2bl w:val="nil"/>
            </w:tcBorders>
            <w:shd w:val="clear" w:color="auto" w:fill="auto"/>
            <w:noWrap w:val="0"/>
            <w:vAlign w:val="center"/>
          </w:tcPr>
          <w:p w14:paraId="5186EEB1">
            <w:pPr>
              <w:keepNext w:val="0"/>
              <w:keepLines w:val="0"/>
              <w:pageBreakBefore w:val="0"/>
              <w:widowControl/>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针对本项目的整体方案和建设需求的重点、难点等进行分析，制定相应技术方案，根据其方案内容的完整性、合理性、可实施性等情况，由专家进行综合评审</w:t>
            </w:r>
            <w:r>
              <w:rPr>
                <w:rFonts w:hint="eastAsia" w:ascii="仿宋" w:hAnsi="仿宋" w:eastAsia="仿宋" w:cs="仿宋"/>
                <w:b w:val="0"/>
                <w:bCs w:val="0"/>
                <w:color w:val="auto"/>
                <w:sz w:val="24"/>
                <w:szCs w:val="24"/>
                <w:highlight w:val="none"/>
                <w:lang w:eastAsia="zh-CN"/>
              </w:rPr>
              <w:t>。</w:t>
            </w:r>
          </w:p>
          <w:p w14:paraId="1CD2F477">
            <w:pPr>
              <w:keepNext w:val="0"/>
              <w:keepLines w:val="0"/>
              <w:pageBreakBefore w:val="0"/>
              <w:widowControl/>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满分3分，评分范围3，2.5，2，1.5，1，0.5，0）</w:t>
            </w:r>
          </w:p>
        </w:tc>
        <w:tc>
          <w:tcPr>
            <w:tcW w:w="860" w:type="dxa"/>
            <w:tcBorders>
              <w:tl2br w:val="nil"/>
              <w:tr2bl w:val="nil"/>
            </w:tcBorders>
            <w:shd w:val="clear" w:color="auto" w:fill="auto"/>
            <w:noWrap w:val="0"/>
            <w:vAlign w:val="center"/>
          </w:tcPr>
          <w:p w14:paraId="45147FD4">
            <w:pPr>
              <w:widowControl/>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分</w:t>
            </w:r>
          </w:p>
        </w:tc>
      </w:tr>
      <w:tr w14:paraId="27F517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875" w:hRule="atLeast"/>
        </w:trPr>
        <w:tc>
          <w:tcPr>
            <w:tcW w:w="768" w:type="dxa"/>
            <w:tcBorders>
              <w:tl2br w:val="nil"/>
              <w:tr2bl w:val="nil"/>
            </w:tcBorders>
            <w:shd w:val="clear" w:color="auto" w:fill="auto"/>
            <w:noWrap w:val="0"/>
            <w:vAlign w:val="center"/>
          </w:tcPr>
          <w:p w14:paraId="65DFEAD6">
            <w:pPr>
              <w:widowControl/>
              <w:jc w:val="center"/>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eastAsia="zh-CN"/>
              </w:rPr>
              <w:t>9</w:t>
            </w:r>
          </w:p>
        </w:tc>
        <w:tc>
          <w:tcPr>
            <w:tcW w:w="1362" w:type="dxa"/>
            <w:vMerge w:val="restart"/>
            <w:tcBorders>
              <w:tl2br w:val="nil"/>
              <w:tr2bl w:val="nil"/>
            </w:tcBorders>
            <w:shd w:val="clear" w:color="auto" w:fill="auto"/>
            <w:noWrap w:val="0"/>
            <w:vAlign w:val="center"/>
          </w:tcPr>
          <w:p w14:paraId="6E080C3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项目组织实施方案</w:t>
            </w:r>
          </w:p>
        </w:tc>
        <w:tc>
          <w:tcPr>
            <w:tcW w:w="6583" w:type="dxa"/>
            <w:tcBorders>
              <w:tl2br w:val="nil"/>
              <w:tr2bl w:val="nil"/>
            </w:tcBorders>
            <w:shd w:val="clear" w:color="auto" w:fill="auto"/>
            <w:noWrap w:val="0"/>
            <w:vAlign w:val="center"/>
          </w:tcPr>
          <w:p w14:paraId="5A41B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left="0" w:right="0"/>
              <w:jc w:val="both"/>
              <w:textAlignment w:val="center"/>
              <w:rPr>
                <w:rStyle w:val="318"/>
                <w:rFonts w:hint="eastAsia" w:ascii="仿宋" w:hAnsi="仿宋" w:eastAsia="仿宋" w:cs="仿宋"/>
                <w:color w:val="auto"/>
                <w:sz w:val="24"/>
                <w:szCs w:val="24"/>
                <w:highlight w:val="none"/>
                <w:lang w:val="en-US" w:eastAsia="zh-CN" w:bidi="ar"/>
              </w:rPr>
            </w:pPr>
            <w:r>
              <w:rPr>
                <w:rStyle w:val="318"/>
                <w:rFonts w:hint="eastAsia" w:ascii="仿宋" w:hAnsi="仿宋" w:eastAsia="仿宋" w:cs="仿宋"/>
                <w:color w:val="auto"/>
                <w:sz w:val="24"/>
                <w:szCs w:val="24"/>
                <w:highlight w:val="none"/>
                <w:lang w:val="en-US" w:eastAsia="zh-CN" w:bidi="ar"/>
              </w:rPr>
              <w:t>投标人根据采购需求结合自身方案，提供一份完整的项目组织实施方案</w:t>
            </w:r>
            <w:r>
              <w:rPr>
                <w:rStyle w:val="318"/>
                <w:rFonts w:hint="eastAsia" w:ascii="仿宋" w:hAnsi="仿宋" w:eastAsia="仿宋" w:cs="仿宋"/>
                <w:b/>
                <w:bCs/>
                <w:color w:val="auto"/>
                <w:sz w:val="24"/>
                <w:szCs w:val="24"/>
                <w:highlight w:val="none"/>
                <w:lang w:val="en-US" w:eastAsia="zh-CN" w:bidi="ar"/>
              </w:rPr>
              <w:t>（包括供货安排、项目进度安排、各个实施节点的计划、安全作业措施、质量控制措施等）</w:t>
            </w:r>
            <w:r>
              <w:rPr>
                <w:rStyle w:val="318"/>
                <w:rFonts w:hint="eastAsia" w:ascii="仿宋" w:hAnsi="仿宋" w:eastAsia="仿宋" w:cs="仿宋"/>
                <w:color w:val="auto"/>
                <w:sz w:val="24"/>
                <w:szCs w:val="24"/>
                <w:highlight w:val="none"/>
                <w:lang w:val="en-US" w:eastAsia="zh-CN" w:bidi="ar"/>
              </w:rPr>
              <w:t>，评审专家根据实施方案的完整性、合理性、可行性等进行综合评分。</w:t>
            </w:r>
          </w:p>
          <w:p w14:paraId="5CF4258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4"/>
                <w:szCs w:val="24"/>
                <w:highlight w:val="none"/>
              </w:rPr>
            </w:pPr>
            <w:r>
              <w:rPr>
                <w:rStyle w:val="318"/>
                <w:rFonts w:hint="eastAsia" w:ascii="仿宋" w:hAnsi="仿宋" w:eastAsia="仿宋" w:cs="仿宋"/>
                <w:color w:val="auto"/>
                <w:sz w:val="24"/>
                <w:szCs w:val="24"/>
                <w:highlight w:val="none"/>
                <w:lang w:val="en-US" w:eastAsia="zh-CN" w:bidi="ar"/>
              </w:rPr>
              <w:t>（满分5分，评分范围5,4,3,2,1,0）</w:t>
            </w:r>
          </w:p>
        </w:tc>
        <w:tc>
          <w:tcPr>
            <w:tcW w:w="860" w:type="dxa"/>
            <w:tcBorders>
              <w:tl2br w:val="nil"/>
              <w:tr2bl w:val="nil"/>
            </w:tcBorders>
            <w:shd w:val="clear" w:color="auto" w:fill="auto"/>
            <w:noWrap w:val="0"/>
            <w:vAlign w:val="center"/>
          </w:tcPr>
          <w:p w14:paraId="1FD0BCE5">
            <w:pPr>
              <w:widowControl/>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5分</w:t>
            </w:r>
          </w:p>
        </w:tc>
      </w:tr>
      <w:tr w14:paraId="3F7968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875" w:hRule="atLeast"/>
        </w:trPr>
        <w:tc>
          <w:tcPr>
            <w:tcW w:w="768" w:type="dxa"/>
            <w:tcBorders>
              <w:tl2br w:val="nil"/>
              <w:tr2bl w:val="nil"/>
            </w:tcBorders>
            <w:shd w:val="clear" w:color="auto" w:fill="auto"/>
            <w:noWrap w:val="0"/>
            <w:vAlign w:val="center"/>
          </w:tcPr>
          <w:p w14:paraId="55591C9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eastAsia="宋体"/>
                <w:color w:val="auto"/>
                <w:highlight w:val="none"/>
                <w:lang w:val="en-US" w:eastAsia="zh-CN"/>
              </w:rPr>
            </w:pPr>
            <w:r>
              <w:rPr>
                <w:rFonts w:hint="eastAsia" w:ascii="仿宋" w:hAnsi="仿宋" w:eastAsia="仿宋" w:cs="仿宋"/>
                <w:b w:val="0"/>
                <w:bCs w:val="0"/>
                <w:color w:val="auto"/>
                <w:sz w:val="24"/>
                <w:szCs w:val="24"/>
                <w:highlight w:val="none"/>
                <w:lang w:val="en-US" w:eastAsia="zh-CN"/>
              </w:rPr>
              <w:t>10</w:t>
            </w:r>
          </w:p>
        </w:tc>
        <w:tc>
          <w:tcPr>
            <w:tcW w:w="1362" w:type="dxa"/>
            <w:vMerge w:val="continue"/>
            <w:tcBorders>
              <w:tl2br w:val="nil"/>
              <w:tr2bl w:val="nil"/>
            </w:tcBorders>
            <w:shd w:val="clear" w:color="auto" w:fill="auto"/>
            <w:noWrap w:val="0"/>
            <w:vAlign w:val="center"/>
          </w:tcPr>
          <w:p w14:paraId="61FBE5D2">
            <w:pPr>
              <w:keepNext w:val="0"/>
              <w:keepLines w:val="0"/>
              <w:pageBreakBefore w:val="0"/>
              <w:widowControl/>
              <w:kinsoku/>
              <w:wordWrap/>
              <w:overflowPunct/>
              <w:topLinePunct w:val="0"/>
              <w:autoSpaceDE/>
              <w:autoSpaceDN/>
              <w:bidi w:val="0"/>
              <w:adjustRightInd/>
              <w:snapToGrid/>
              <w:spacing w:line="320" w:lineRule="exact"/>
              <w:textAlignment w:val="auto"/>
              <w:rPr>
                <w:color w:val="auto"/>
                <w:highlight w:val="none"/>
              </w:rPr>
            </w:pPr>
          </w:p>
        </w:tc>
        <w:tc>
          <w:tcPr>
            <w:tcW w:w="6583" w:type="dxa"/>
            <w:tcBorders>
              <w:tl2br w:val="nil"/>
              <w:tr2bl w:val="nil"/>
            </w:tcBorders>
            <w:shd w:val="clear" w:color="auto" w:fill="auto"/>
            <w:noWrap w:val="0"/>
            <w:vAlign w:val="center"/>
          </w:tcPr>
          <w:p w14:paraId="016405CF">
            <w:pPr>
              <w:keepNext w:val="0"/>
              <w:keepLines w:val="0"/>
              <w:pageBreakBefore w:val="0"/>
              <w:widowControl/>
              <w:kinsoku/>
              <w:wordWrap/>
              <w:overflowPunct/>
              <w:topLinePunct w:val="0"/>
              <w:autoSpaceDE/>
              <w:autoSpaceDN/>
              <w:bidi w:val="0"/>
              <w:adjustRightInd/>
              <w:snapToGrid/>
              <w:spacing w:line="360" w:lineRule="exact"/>
              <w:textAlignment w:val="auto"/>
              <w:rPr>
                <w:rStyle w:val="318"/>
                <w:rFonts w:hint="eastAsia" w:ascii="仿宋" w:hAnsi="仿宋" w:eastAsia="仿宋" w:cs="仿宋"/>
                <w:color w:val="auto"/>
                <w:sz w:val="24"/>
                <w:szCs w:val="24"/>
                <w:highlight w:val="none"/>
                <w:lang w:val="en-US" w:eastAsia="zh-CN" w:bidi="ar"/>
              </w:rPr>
            </w:pPr>
            <w:r>
              <w:rPr>
                <w:rStyle w:val="318"/>
                <w:rFonts w:hint="eastAsia" w:ascii="仿宋" w:hAnsi="仿宋" w:eastAsia="仿宋" w:cs="仿宋"/>
                <w:b/>
                <w:bCs/>
                <w:color w:val="auto"/>
                <w:sz w:val="24"/>
                <w:szCs w:val="24"/>
                <w:highlight w:val="none"/>
                <w:lang w:val="en-US" w:eastAsia="zh-CN" w:bidi="ar"/>
              </w:rPr>
              <w:t>安装调试：</w:t>
            </w:r>
            <w:r>
              <w:rPr>
                <w:rStyle w:val="318"/>
                <w:rFonts w:hint="eastAsia" w:ascii="仿宋" w:hAnsi="仿宋" w:eastAsia="仿宋" w:cs="仿宋"/>
                <w:color w:val="auto"/>
                <w:sz w:val="24"/>
                <w:szCs w:val="24"/>
                <w:highlight w:val="none"/>
                <w:lang w:val="en-US" w:eastAsia="zh-CN" w:bidi="ar"/>
              </w:rPr>
              <w:t>投标人提供完整、有效的安装调试实施方案</w:t>
            </w:r>
            <w:r>
              <w:rPr>
                <w:rStyle w:val="318"/>
                <w:rFonts w:hint="eastAsia" w:ascii="仿宋" w:hAnsi="仿宋" w:eastAsia="仿宋" w:cs="仿宋"/>
                <w:b/>
                <w:bCs/>
                <w:color w:val="auto"/>
                <w:sz w:val="24"/>
                <w:szCs w:val="24"/>
                <w:highlight w:val="none"/>
                <w:lang w:val="en-US" w:eastAsia="zh-CN" w:bidi="ar"/>
              </w:rPr>
              <w:t>（包括安装调试、测试、技术标准、验收）</w:t>
            </w:r>
            <w:r>
              <w:rPr>
                <w:rStyle w:val="318"/>
                <w:rFonts w:hint="eastAsia" w:ascii="仿宋" w:hAnsi="仿宋" w:eastAsia="仿宋" w:cs="仿宋"/>
                <w:color w:val="auto"/>
                <w:sz w:val="24"/>
                <w:szCs w:val="24"/>
                <w:highlight w:val="none"/>
                <w:lang w:val="en-US" w:eastAsia="zh-CN" w:bidi="ar"/>
              </w:rPr>
              <w:t>等，评审专家根据方案的可行性、规范性等进行综合评分。</w:t>
            </w:r>
          </w:p>
          <w:p w14:paraId="0664B5A8">
            <w:pPr>
              <w:keepNext w:val="0"/>
              <w:keepLines w:val="0"/>
              <w:pageBreakBefore w:val="0"/>
              <w:widowControl/>
              <w:kinsoku/>
              <w:wordWrap/>
              <w:overflowPunct/>
              <w:topLinePunct w:val="0"/>
              <w:autoSpaceDE/>
              <w:autoSpaceDN/>
              <w:bidi w:val="0"/>
              <w:adjustRightInd/>
              <w:snapToGrid/>
              <w:spacing w:line="360" w:lineRule="exact"/>
              <w:textAlignment w:val="auto"/>
              <w:rPr>
                <w:rStyle w:val="318"/>
                <w:rFonts w:hint="default" w:ascii="仿宋" w:hAnsi="仿宋" w:eastAsia="仿宋" w:cs="仿宋"/>
                <w:color w:val="auto"/>
                <w:sz w:val="24"/>
                <w:szCs w:val="24"/>
                <w:highlight w:val="none"/>
                <w:lang w:val="en-US" w:eastAsia="zh-CN" w:bidi="ar"/>
              </w:rPr>
            </w:pPr>
            <w:r>
              <w:rPr>
                <w:rStyle w:val="318"/>
                <w:rFonts w:hint="eastAsia" w:ascii="仿宋" w:hAnsi="仿宋" w:eastAsia="仿宋" w:cs="仿宋"/>
                <w:color w:val="auto"/>
                <w:sz w:val="24"/>
                <w:szCs w:val="24"/>
                <w:highlight w:val="none"/>
                <w:lang w:val="en-US" w:eastAsia="zh-CN" w:bidi="ar"/>
              </w:rPr>
              <w:t>（满分3分，</w:t>
            </w:r>
            <w:r>
              <w:rPr>
                <w:rFonts w:hint="eastAsia" w:ascii="仿宋" w:hAnsi="仿宋" w:eastAsia="仿宋" w:cs="仿宋"/>
                <w:b w:val="0"/>
                <w:bCs w:val="0"/>
                <w:color w:val="auto"/>
                <w:sz w:val="24"/>
                <w:szCs w:val="24"/>
                <w:highlight w:val="none"/>
                <w:lang w:val="en-US" w:eastAsia="zh-CN"/>
              </w:rPr>
              <w:t>评分范围3，2.5，2，1.5，1，0.5，0</w:t>
            </w:r>
            <w:r>
              <w:rPr>
                <w:rStyle w:val="318"/>
                <w:rFonts w:hint="eastAsia" w:ascii="仿宋" w:hAnsi="仿宋" w:eastAsia="仿宋" w:cs="仿宋"/>
                <w:color w:val="auto"/>
                <w:sz w:val="24"/>
                <w:szCs w:val="24"/>
                <w:highlight w:val="none"/>
                <w:lang w:val="en-US" w:eastAsia="zh-CN" w:bidi="ar"/>
              </w:rPr>
              <w:t>）</w:t>
            </w:r>
          </w:p>
        </w:tc>
        <w:tc>
          <w:tcPr>
            <w:tcW w:w="860" w:type="dxa"/>
            <w:tcBorders>
              <w:tl2br w:val="nil"/>
              <w:tr2bl w:val="nil"/>
            </w:tcBorders>
            <w:shd w:val="clear" w:color="auto" w:fill="auto"/>
            <w:noWrap w:val="0"/>
            <w:vAlign w:val="center"/>
          </w:tcPr>
          <w:p w14:paraId="17F4EC09">
            <w:pPr>
              <w:keepNext w:val="0"/>
              <w:keepLines w:val="0"/>
              <w:pageBreakBefore w:val="0"/>
              <w:widowControl/>
              <w:kinsoku/>
              <w:wordWrap/>
              <w:overflowPunct/>
              <w:topLinePunct w:val="0"/>
              <w:autoSpaceDE/>
              <w:autoSpaceDN/>
              <w:bidi w:val="0"/>
              <w:adjustRightInd/>
              <w:snapToGrid/>
              <w:spacing w:line="320" w:lineRule="exact"/>
              <w:jc w:val="center"/>
              <w:textAlignment w:val="auto"/>
              <w:rPr>
                <w:rStyle w:val="318"/>
                <w:rFonts w:hint="default" w:ascii="仿宋" w:hAnsi="仿宋" w:eastAsia="仿宋" w:cs="仿宋"/>
                <w:color w:val="auto"/>
                <w:sz w:val="24"/>
                <w:szCs w:val="24"/>
                <w:highlight w:val="none"/>
                <w:lang w:val="en-US" w:eastAsia="zh-CN" w:bidi="ar"/>
              </w:rPr>
            </w:pPr>
            <w:r>
              <w:rPr>
                <w:rStyle w:val="318"/>
                <w:rFonts w:hint="eastAsia" w:ascii="仿宋" w:hAnsi="仿宋" w:eastAsia="仿宋" w:cs="仿宋"/>
                <w:color w:val="auto"/>
                <w:sz w:val="24"/>
                <w:szCs w:val="24"/>
                <w:highlight w:val="none"/>
                <w:lang w:val="en-US" w:eastAsia="zh-CN" w:bidi="ar"/>
              </w:rPr>
              <w:t>3分</w:t>
            </w:r>
          </w:p>
        </w:tc>
      </w:tr>
      <w:tr w14:paraId="568EEA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535" w:hRule="atLeast"/>
        </w:trPr>
        <w:tc>
          <w:tcPr>
            <w:tcW w:w="768" w:type="dxa"/>
            <w:tcBorders>
              <w:tl2br w:val="nil"/>
              <w:tr2bl w:val="nil"/>
            </w:tcBorders>
            <w:shd w:val="clear" w:color="auto" w:fill="auto"/>
            <w:noWrap w:val="0"/>
            <w:vAlign w:val="center"/>
          </w:tcPr>
          <w:p w14:paraId="5B6B3E66">
            <w:pPr>
              <w:widowControl/>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w:t>
            </w:r>
          </w:p>
        </w:tc>
        <w:tc>
          <w:tcPr>
            <w:tcW w:w="1362" w:type="dxa"/>
            <w:vMerge w:val="restart"/>
            <w:tcBorders>
              <w:tl2br w:val="nil"/>
              <w:tr2bl w:val="nil"/>
            </w:tcBorders>
            <w:shd w:val="clear" w:color="auto" w:fill="auto"/>
            <w:noWrap w:val="0"/>
            <w:vAlign w:val="center"/>
          </w:tcPr>
          <w:p w14:paraId="712DDC28">
            <w:pPr>
              <w:spacing w:line="360" w:lineRule="exac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color w:val="auto"/>
                <w:sz w:val="24"/>
                <w:szCs w:val="24"/>
                <w:highlight w:val="none"/>
              </w:rPr>
              <w:t>售后服务</w:t>
            </w:r>
          </w:p>
        </w:tc>
        <w:tc>
          <w:tcPr>
            <w:tcW w:w="6583" w:type="dxa"/>
            <w:tcBorders>
              <w:tl2br w:val="nil"/>
              <w:tr2bl w:val="nil"/>
            </w:tcBorders>
            <w:shd w:val="clear" w:color="auto" w:fill="auto"/>
            <w:noWrap w:val="0"/>
            <w:vAlign w:val="center"/>
          </w:tcPr>
          <w:p w14:paraId="4C63AB41">
            <w:pPr>
              <w:keepNext w:val="0"/>
              <w:keepLines w:val="0"/>
              <w:pageBreakBefore w:val="0"/>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eastAsia="zh-CN"/>
              </w:rPr>
            </w:pPr>
            <w:r>
              <w:rPr>
                <w:rFonts w:hint="eastAsia" w:ascii="仿宋" w:hAnsi="仿宋" w:eastAsia="仿宋" w:cs="仿宋"/>
                <w:b/>
                <w:bCs/>
                <w:color w:val="auto"/>
                <w:sz w:val="24"/>
                <w:szCs w:val="24"/>
                <w:highlight w:val="none"/>
                <w:lang w:val="en-US" w:eastAsia="zh-CN"/>
              </w:rPr>
              <w:t>质保期:</w:t>
            </w:r>
            <w:r>
              <w:rPr>
                <w:rFonts w:hint="eastAsia" w:ascii="仿宋" w:hAnsi="仿宋" w:eastAsia="仿宋" w:cs="仿宋"/>
                <w:color w:val="auto"/>
                <w:sz w:val="24"/>
                <w:szCs w:val="24"/>
                <w:highlight w:val="none"/>
              </w:rPr>
              <w:t>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的基础上，每增加一年</w:t>
            </w:r>
            <w:r>
              <w:rPr>
                <w:rFonts w:hint="eastAsia" w:ascii="仿宋" w:hAnsi="仿宋" w:eastAsia="仿宋" w:cs="仿宋"/>
                <w:color w:val="auto"/>
                <w:sz w:val="24"/>
                <w:szCs w:val="24"/>
                <w:highlight w:val="none"/>
                <w:lang w:val="en-US" w:eastAsia="zh-CN"/>
              </w:rPr>
              <w:t>得2</w:t>
            </w:r>
            <w:r>
              <w:rPr>
                <w:rFonts w:hint="eastAsia" w:ascii="仿宋" w:hAnsi="仿宋" w:eastAsia="仿宋" w:cs="仿宋"/>
                <w:color w:val="auto"/>
                <w:sz w:val="24"/>
                <w:szCs w:val="24"/>
                <w:highlight w:val="none"/>
              </w:rPr>
              <w:t>分，最多</w:t>
            </w:r>
            <w:r>
              <w:rPr>
                <w:rFonts w:hint="eastAsia" w:ascii="仿宋" w:hAnsi="仿宋" w:eastAsia="仿宋" w:cs="仿宋"/>
                <w:color w:val="auto"/>
                <w:sz w:val="24"/>
                <w:szCs w:val="24"/>
                <w:highlight w:val="none"/>
                <w:lang w:val="en-US" w:eastAsia="zh-CN"/>
              </w:rPr>
              <w:t>得4</w:t>
            </w:r>
            <w:r>
              <w:rPr>
                <w:rFonts w:hint="eastAsia" w:ascii="仿宋" w:hAnsi="仿宋" w:eastAsia="仿宋" w:cs="仿宋"/>
                <w:color w:val="auto"/>
                <w:sz w:val="24"/>
                <w:szCs w:val="24"/>
                <w:highlight w:val="none"/>
              </w:rPr>
              <w:t>分。</w:t>
            </w:r>
          </w:p>
        </w:tc>
        <w:tc>
          <w:tcPr>
            <w:tcW w:w="860" w:type="dxa"/>
            <w:tcBorders>
              <w:tl2br w:val="nil"/>
              <w:tr2bl w:val="nil"/>
            </w:tcBorders>
            <w:shd w:val="clear" w:color="auto" w:fill="auto"/>
            <w:noWrap w:val="0"/>
            <w:vAlign w:val="center"/>
          </w:tcPr>
          <w:p w14:paraId="6E52D36A">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4分</w:t>
            </w:r>
          </w:p>
        </w:tc>
      </w:tr>
      <w:tr w14:paraId="636C19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535" w:hRule="atLeast"/>
        </w:trPr>
        <w:tc>
          <w:tcPr>
            <w:tcW w:w="768" w:type="dxa"/>
            <w:tcBorders>
              <w:tl2br w:val="nil"/>
              <w:tr2bl w:val="nil"/>
            </w:tcBorders>
            <w:shd w:val="clear" w:color="auto" w:fill="auto"/>
            <w:noWrap w:val="0"/>
            <w:vAlign w:val="center"/>
          </w:tcPr>
          <w:p w14:paraId="7592C748">
            <w:pPr>
              <w:spacing w:line="360" w:lineRule="exact"/>
              <w:jc w:val="center"/>
              <w:rPr>
                <w:rFonts w:hint="default" w:eastAsia="宋体"/>
                <w:color w:val="auto"/>
                <w:highlight w:val="none"/>
                <w:lang w:val="en-US" w:eastAsia="zh-CN"/>
              </w:rPr>
            </w:pPr>
            <w:r>
              <w:rPr>
                <w:rFonts w:hint="eastAsia" w:ascii="仿宋" w:hAnsi="仿宋" w:eastAsia="仿宋" w:cs="仿宋"/>
                <w:b w:val="0"/>
                <w:bCs w:val="0"/>
                <w:color w:val="auto"/>
                <w:sz w:val="24"/>
                <w:szCs w:val="24"/>
                <w:highlight w:val="none"/>
                <w:lang w:val="en-US" w:eastAsia="zh-CN"/>
              </w:rPr>
              <w:t>12</w:t>
            </w:r>
          </w:p>
        </w:tc>
        <w:tc>
          <w:tcPr>
            <w:tcW w:w="1362" w:type="dxa"/>
            <w:vMerge w:val="continue"/>
            <w:tcBorders>
              <w:tl2br w:val="nil"/>
              <w:tr2bl w:val="nil"/>
            </w:tcBorders>
            <w:shd w:val="clear" w:color="auto" w:fill="auto"/>
            <w:noWrap w:val="0"/>
            <w:vAlign w:val="center"/>
          </w:tcPr>
          <w:p w14:paraId="1FC35E56">
            <w:pPr>
              <w:spacing w:line="360" w:lineRule="exact"/>
              <w:jc w:val="left"/>
              <w:rPr>
                <w:color w:val="auto"/>
                <w:highlight w:val="none"/>
              </w:rPr>
            </w:pPr>
          </w:p>
        </w:tc>
        <w:tc>
          <w:tcPr>
            <w:tcW w:w="6583" w:type="dxa"/>
            <w:tcBorders>
              <w:tl2br w:val="nil"/>
              <w:tr2bl w:val="nil"/>
            </w:tcBorders>
            <w:shd w:val="clear" w:color="auto" w:fill="auto"/>
            <w:noWrap w:val="0"/>
            <w:vAlign w:val="center"/>
          </w:tcPr>
          <w:p w14:paraId="06504B14">
            <w:pPr>
              <w:keepNext w:val="0"/>
              <w:keepLines w:val="0"/>
              <w:pageBreakBefore w:val="0"/>
              <w:kinsoku/>
              <w:wordWrap/>
              <w:overflowPunct/>
              <w:topLinePunct w:val="0"/>
              <w:autoSpaceDE/>
              <w:autoSpaceDN/>
              <w:bidi w:val="0"/>
              <w:snapToGrid/>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在项目</w:t>
            </w:r>
            <w:r>
              <w:rPr>
                <w:rFonts w:hint="eastAsia" w:ascii="仿宋" w:hAnsi="仿宋" w:eastAsia="仿宋" w:cs="仿宋"/>
                <w:color w:val="auto"/>
                <w:sz w:val="24"/>
                <w:szCs w:val="24"/>
                <w:highlight w:val="none"/>
                <w:lang w:eastAsia="zh-CN"/>
              </w:rPr>
              <w:t>投入使用后，投标人承诺在项目</w:t>
            </w:r>
            <w:r>
              <w:rPr>
                <w:rFonts w:hint="eastAsia" w:ascii="仿宋" w:hAnsi="仿宋" w:eastAsia="仿宋" w:cs="仿宋"/>
                <w:color w:val="auto"/>
                <w:sz w:val="24"/>
                <w:szCs w:val="24"/>
                <w:highlight w:val="none"/>
              </w:rPr>
              <w:t>实施地有</w:t>
            </w:r>
            <w:r>
              <w:rPr>
                <w:rFonts w:hint="eastAsia" w:ascii="仿宋" w:hAnsi="仿宋" w:eastAsia="仿宋" w:cs="仿宋"/>
                <w:color w:val="auto"/>
                <w:sz w:val="24"/>
                <w:szCs w:val="24"/>
                <w:highlight w:val="none"/>
                <w:lang w:eastAsia="zh-CN"/>
              </w:rPr>
              <w:t>工作人员驻场半年得</w:t>
            </w:r>
            <w:r>
              <w:rPr>
                <w:rFonts w:hint="eastAsia" w:ascii="仿宋" w:hAnsi="仿宋" w:eastAsia="仿宋" w:cs="仿宋"/>
                <w:color w:val="auto"/>
                <w:sz w:val="24"/>
                <w:szCs w:val="24"/>
                <w:highlight w:val="none"/>
                <w:lang w:val="en-US" w:eastAsia="zh-CN"/>
              </w:rPr>
              <w:t>1分，驻场1年得2分。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以投标人提供的驻场时间承诺书为准</w:t>
            </w:r>
            <w:r>
              <w:rPr>
                <w:rFonts w:hint="eastAsia" w:ascii="仿宋" w:hAnsi="仿宋" w:eastAsia="仿宋" w:cs="仿宋"/>
                <w:color w:val="auto"/>
                <w:sz w:val="24"/>
                <w:szCs w:val="24"/>
                <w:highlight w:val="none"/>
              </w:rPr>
              <w:t>。）</w:t>
            </w:r>
          </w:p>
        </w:tc>
        <w:tc>
          <w:tcPr>
            <w:tcW w:w="860" w:type="dxa"/>
            <w:tcBorders>
              <w:tl2br w:val="nil"/>
              <w:tr2bl w:val="nil"/>
            </w:tcBorders>
            <w:shd w:val="clear" w:color="auto" w:fill="auto"/>
            <w:noWrap w:val="0"/>
            <w:vAlign w:val="center"/>
          </w:tcPr>
          <w:p w14:paraId="362D5670">
            <w:pPr>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14:paraId="5F859B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867" w:hRule="atLeast"/>
        </w:trPr>
        <w:tc>
          <w:tcPr>
            <w:tcW w:w="768" w:type="dxa"/>
            <w:tcBorders>
              <w:tl2br w:val="nil"/>
              <w:tr2bl w:val="nil"/>
            </w:tcBorders>
            <w:shd w:val="clear" w:color="auto" w:fill="auto"/>
            <w:noWrap w:val="0"/>
            <w:vAlign w:val="center"/>
          </w:tcPr>
          <w:p w14:paraId="100796EC">
            <w:pPr>
              <w:widowControl/>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13</w:t>
            </w:r>
          </w:p>
        </w:tc>
        <w:tc>
          <w:tcPr>
            <w:tcW w:w="1362" w:type="dxa"/>
            <w:vMerge w:val="continue"/>
            <w:tcBorders>
              <w:tl2br w:val="nil"/>
              <w:tr2bl w:val="nil"/>
            </w:tcBorders>
            <w:shd w:val="clear" w:color="auto" w:fill="auto"/>
            <w:noWrap w:val="0"/>
            <w:vAlign w:val="center"/>
          </w:tcPr>
          <w:p w14:paraId="7E402BC0">
            <w:pPr>
              <w:spacing w:line="360" w:lineRule="exact"/>
              <w:jc w:val="center"/>
              <w:rPr>
                <w:rFonts w:hint="eastAsia" w:ascii="仿宋" w:hAnsi="仿宋" w:eastAsia="仿宋" w:cs="仿宋"/>
                <w:b w:val="0"/>
                <w:bCs w:val="0"/>
                <w:color w:val="auto"/>
                <w:sz w:val="24"/>
                <w:szCs w:val="24"/>
                <w:highlight w:val="none"/>
              </w:rPr>
            </w:pPr>
          </w:p>
        </w:tc>
        <w:tc>
          <w:tcPr>
            <w:tcW w:w="6583" w:type="dxa"/>
            <w:tcBorders>
              <w:tl2br w:val="nil"/>
              <w:tr2bl w:val="nil"/>
            </w:tcBorders>
            <w:shd w:val="clear" w:color="auto" w:fill="auto"/>
            <w:noWrap w:val="0"/>
            <w:vAlign w:val="center"/>
          </w:tcPr>
          <w:p w14:paraId="3B7BF212">
            <w:pPr>
              <w:keepNext w:val="0"/>
              <w:keepLines w:val="0"/>
              <w:pageBreakBefore w:val="0"/>
              <w:kinsoku/>
              <w:wordWrap/>
              <w:overflowPunct/>
              <w:topLinePunct w:val="0"/>
              <w:autoSpaceDE/>
              <w:autoSpaceDN/>
              <w:bidi w:val="0"/>
              <w:snapToGrid/>
              <w:spacing w:line="360" w:lineRule="exact"/>
              <w:jc w:val="left"/>
              <w:rPr>
                <w:rStyle w:val="318"/>
                <w:rFonts w:hint="eastAsia" w:ascii="仿宋" w:hAnsi="仿宋" w:eastAsia="仿宋" w:cs="仿宋"/>
                <w:color w:val="auto"/>
                <w:sz w:val="24"/>
                <w:szCs w:val="24"/>
                <w:highlight w:val="none"/>
                <w:lang w:val="en-US" w:eastAsia="zh-CN" w:bidi="ar"/>
              </w:rPr>
            </w:pPr>
            <w:r>
              <w:rPr>
                <w:rStyle w:val="318"/>
                <w:rFonts w:hint="eastAsia" w:ascii="仿宋" w:hAnsi="仿宋" w:eastAsia="仿宋" w:cs="仿宋"/>
                <w:color w:val="auto"/>
                <w:sz w:val="24"/>
                <w:szCs w:val="24"/>
                <w:highlight w:val="none"/>
                <w:lang w:val="en-US" w:eastAsia="zh-CN" w:bidi="ar"/>
              </w:rPr>
              <w:t>投标人根据本项目采购需求提供培训方案</w:t>
            </w:r>
            <w:r>
              <w:rPr>
                <w:rStyle w:val="318"/>
                <w:rFonts w:hint="eastAsia" w:ascii="仿宋" w:hAnsi="仿宋" w:eastAsia="仿宋" w:cs="仿宋"/>
                <w:b/>
                <w:bCs/>
                <w:color w:val="auto"/>
                <w:sz w:val="24"/>
                <w:szCs w:val="24"/>
                <w:highlight w:val="none"/>
                <w:lang w:val="en-US" w:eastAsia="zh-CN" w:bidi="ar"/>
              </w:rPr>
              <w:t>（包括培训的方式、内容、频次、标准与目标承诺），</w:t>
            </w:r>
            <w:r>
              <w:rPr>
                <w:rStyle w:val="318"/>
                <w:rFonts w:hint="eastAsia" w:ascii="仿宋" w:hAnsi="仿宋" w:eastAsia="仿宋" w:cs="仿宋"/>
                <w:color w:val="auto"/>
                <w:sz w:val="24"/>
                <w:szCs w:val="24"/>
                <w:highlight w:val="none"/>
                <w:lang w:val="en-US" w:eastAsia="zh-CN" w:bidi="ar"/>
              </w:rPr>
              <w:t>评审专家根据方案的合理性、满足性等进行综合评分。</w:t>
            </w:r>
          </w:p>
          <w:p w14:paraId="1B5FAADF">
            <w:pPr>
              <w:keepNext w:val="0"/>
              <w:keepLines w:val="0"/>
              <w:pageBreakBefore w:val="0"/>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eastAsia="zh-CN"/>
              </w:rPr>
            </w:pPr>
            <w:r>
              <w:rPr>
                <w:rStyle w:val="318"/>
                <w:rFonts w:hint="eastAsia" w:ascii="仿宋" w:hAnsi="仿宋" w:eastAsia="仿宋" w:cs="仿宋"/>
                <w:color w:val="auto"/>
                <w:sz w:val="24"/>
                <w:szCs w:val="24"/>
                <w:highlight w:val="none"/>
                <w:lang w:val="en-US" w:eastAsia="zh-CN" w:bidi="ar"/>
              </w:rPr>
              <w:t>（满分2分，评分范围</w:t>
            </w:r>
            <w:r>
              <w:rPr>
                <w:rFonts w:hint="eastAsia" w:ascii="仿宋" w:hAnsi="仿宋" w:eastAsia="仿宋" w:cs="仿宋"/>
                <w:b w:val="0"/>
                <w:bCs w:val="0"/>
                <w:color w:val="auto"/>
                <w:sz w:val="24"/>
                <w:szCs w:val="24"/>
                <w:highlight w:val="none"/>
                <w:lang w:val="en-US" w:eastAsia="zh-CN"/>
              </w:rPr>
              <w:t>2，1.5，1，0.5，0）</w:t>
            </w:r>
          </w:p>
        </w:tc>
        <w:tc>
          <w:tcPr>
            <w:tcW w:w="860" w:type="dxa"/>
            <w:tcBorders>
              <w:tl2br w:val="nil"/>
              <w:tr2bl w:val="nil"/>
            </w:tcBorders>
            <w:shd w:val="clear" w:color="auto" w:fill="auto"/>
            <w:noWrap w:val="0"/>
            <w:vAlign w:val="center"/>
          </w:tcPr>
          <w:p w14:paraId="0B920086">
            <w:pPr>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2分</w:t>
            </w:r>
          </w:p>
        </w:tc>
      </w:tr>
      <w:tr w14:paraId="17A896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867" w:hRule="atLeast"/>
        </w:trPr>
        <w:tc>
          <w:tcPr>
            <w:tcW w:w="768" w:type="dxa"/>
            <w:tcBorders>
              <w:tl2br w:val="nil"/>
              <w:tr2bl w:val="nil"/>
            </w:tcBorders>
            <w:shd w:val="clear" w:color="auto" w:fill="auto"/>
            <w:noWrap w:val="0"/>
            <w:vAlign w:val="center"/>
          </w:tcPr>
          <w:p w14:paraId="53F7DE74">
            <w:pPr>
              <w:widowControl/>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w:t>
            </w:r>
          </w:p>
        </w:tc>
        <w:tc>
          <w:tcPr>
            <w:tcW w:w="1362" w:type="dxa"/>
            <w:vMerge w:val="continue"/>
            <w:tcBorders>
              <w:tl2br w:val="nil"/>
              <w:tr2bl w:val="nil"/>
            </w:tcBorders>
            <w:shd w:val="clear" w:color="auto" w:fill="auto"/>
            <w:noWrap w:val="0"/>
            <w:vAlign w:val="center"/>
          </w:tcPr>
          <w:p w14:paraId="2F8E8930">
            <w:pPr>
              <w:spacing w:line="360" w:lineRule="exact"/>
              <w:jc w:val="center"/>
              <w:rPr>
                <w:rFonts w:hint="eastAsia" w:ascii="仿宋" w:hAnsi="仿宋" w:eastAsia="仿宋" w:cs="仿宋"/>
                <w:b w:val="0"/>
                <w:bCs w:val="0"/>
                <w:color w:val="auto"/>
                <w:sz w:val="24"/>
                <w:szCs w:val="24"/>
                <w:highlight w:val="none"/>
                <w:lang w:val="en-US" w:eastAsia="zh-CN"/>
              </w:rPr>
            </w:pPr>
          </w:p>
        </w:tc>
        <w:tc>
          <w:tcPr>
            <w:tcW w:w="6583" w:type="dxa"/>
            <w:tcBorders>
              <w:tl2br w:val="nil"/>
              <w:tr2bl w:val="nil"/>
            </w:tcBorders>
            <w:shd w:val="clear" w:color="auto" w:fill="auto"/>
            <w:noWrap w:val="0"/>
            <w:vAlign w:val="center"/>
          </w:tcPr>
          <w:p w14:paraId="4B3F541C">
            <w:pPr>
              <w:keepNext w:val="0"/>
              <w:keepLines w:val="0"/>
              <w:pageBreakBefore w:val="0"/>
              <w:kinsoku/>
              <w:wordWrap/>
              <w:overflowPunct/>
              <w:topLinePunct w:val="0"/>
              <w:autoSpaceDE/>
              <w:autoSpaceDN/>
              <w:bidi w:val="0"/>
              <w:snapToGrid/>
              <w:spacing w:line="36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根据投标人提供的售后服务措施和方案</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包括但不限</w:t>
            </w:r>
            <w:r>
              <w:rPr>
                <w:rFonts w:hint="eastAsia" w:ascii="仿宋" w:hAnsi="仿宋" w:eastAsia="仿宋" w:cs="仿宋"/>
                <w:b/>
                <w:bCs/>
                <w:i w:val="0"/>
                <w:iCs w:val="0"/>
                <w:color w:val="auto"/>
                <w:kern w:val="2"/>
                <w:sz w:val="24"/>
                <w:szCs w:val="24"/>
                <w:highlight w:val="none"/>
                <w:vertAlign w:val="baseline"/>
                <w:lang w:val="en-US" w:eastAsia="zh-CN" w:bidi="ar-SA"/>
              </w:rPr>
              <w:t>于</w:t>
            </w:r>
            <w:r>
              <w:rPr>
                <w:rFonts w:hint="default" w:ascii="仿宋" w:hAnsi="仿宋" w:eastAsia="仿宋" w:cs="仿宋"/>
                <w:b/>
                <w:bCs/>
                <w:i w:val="0"/>
                <w:iCs w:val="0"/>
                <w:color w:val="auto"/>
                <w:kern w:val="2"/>
                <w:sz w:val="24"/>
                <w:szCs w:val="24"/>
                <w:highlight w:val="none"/>
                <w:vertAlign w:val="baseline"/>
                <w:lang w:val="en-US" w:eastAsia="zh-CN" w:bidi="ar-SA"/>
              </w:rPr>
              <w:t>售后服务机构</w:t>
            </w:r>
            <w:r>
              <w:rPr>
                <w:rFonts w:hint="eastAsia" w:ascii="仿宋" w:hAnsi="仿宋" w:eastAsia="仿宋" w:cs="仿宋"/>
                <w:b/>
                <w:bCs/>
                <w:i w:val="0"/>
                <w:iCs w:val="0"/>
                <w:color w:val="auto"/>
                <w:kern w:val="2"/>
                <w:sz w:val="24"/>
                <w:szCs w:val="24"/>
                <w:highlight w:val="none"/>
                <w:vertAlign w:val="baseline"/>
                <w:lang w:val="en-US" w:eastAsia="zh-CN" w:bidi="ar-SA"/>
              </w:rPr>
              <w:t>设置</w:t>
            </w:r>
            <w:r>
              <w:rPr>
                <w:rFonts w:hint="default" w:ascii="仿宋" w:hAnsi="仿宋" w:eastAsia="仿宋" w:cs="仿宋"/>
                <w:b/>
                <w:bCs/>
                <w:i w:val="0"/>
                <w:iCs w:val="0"/>
                <w:color w:val="auto"/>
                <w:kern w:val="2"/>
                <w:sz w:val="24"/>
                <w:szCs w:val="24"/>
                <w:highlight w:val="none"/>
                <w:vertAlign w:val="baseline"/>
                <w:lang w:val="en-US" w:eastAsia="zh-CN" w:bidi="ar-SA"/>
              </w:rPr>
              <w:t>、</w:t>
            </w:r>
            <w:r>
              <w:rPr>
                <w:rFonts w:hint="eastAsia" w:ascii="仿宋" w:hAnsi="仿宋" w:eastAsia="仿宋" w:cs="仿宋"/>
                <w:b/>
                <w:bCs/>
                <w:i w:val="0"/>
                <w:iCs w:val="0"/>
                <w:color w:val="auto"/>
                <w:kern w:val="2"/>
                <w:sz w:val="24"/>
                <w:szCs w:val="24"/>
                <w:highlight w:val="none"/>
                <w:vertAlign w:val="baseline"/>
                <w:lang w:val="en-US" w:eastAsia="zh-CN" w:bidi="ar-SA"/>
              </w:rPr>
              <w:t>故障响应时间、</w:t>
            </w:r>
            <w:r>
              <w:rPr>
                <w:rFonts w:hint="default" w:ascii="仿宋" w:hAnsi="仿宋" w:eastAsia="仿宋" w:cs="仿宋"/>
                <w:b/>
                <w:bCs/>
                <w:i w:val="0"/>
                <w:iCs w:val="0"/>
                <w:color w:val="auto"/>
                <w:kern w:val="2"/>
                <w:sz w:val="24"/>
                <w:szCs w:val="24"/>
                <w:highlight w:val="none"/>
                <w:vertAlign w:val="baseline"/>
                <w:lang w:val="en-US" w:eastAsia="zh-CN" w:bidi="ar-SA"/>
              </w:rPr>
              <w:t>应急处理措施、巡检、维保、回访服务制度、额外服务承诺等</w:t>
            </w:r>
            <w:r>
              <w:rPr>
                <w:rFonts w:hint="eastAsia" w:ascii="仿宋" w:hAnsi="仿宋" w:eastAsia="仿宋" w:cs="仿宋"/>
                <w:b w:val="0"/>
                <w:bCs w:val="0"/>
                <w:i w:val="0"/>
                <w:iCs w:val="0"/>
                <w:color w:val="auto"/>
                <w:kern w:val="2"/>
                <w:sz w:val="24"/>
                <w:szCs w:val="24"/>
                <w:highlight w:val="none"/>
                <w:vertAlign w:val="baseline"/>
                <w:lang w:val="en-US" w:eastAsia="zh-CN" w:bidi="ar-SA"/>
              </w:rPr>
              <w:t>），评审专家根据方案的完整性、合理性等进行综合评分。</w:t>
            </w:r>
          </w:p>
          <w:p w14:paraId="25B0088F">
            <w:pPr>
              <w:keepNext w:val="0"/>
              <w:keepLines w:val="0"/>
              <w:pageBreakBefore w:val="0"/>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i w:val="0"/>
                <w:iCs w:val="0"/>
                <w:color w:val="auto"/>
                <w:kern w:val="2"/>
                <w:sz w:val="24"/>
                <w:szCs w:val="24"/>
                <w:highlight w:val="none"/>
                <w:vertAlign w:val="baseline"/>
                <w:lang w:val="en-US" w:eastAsia="zh-CN" w:bidi="ar-SA"/>
              </w:rPr>
              <w:t>（满分5分，评分范围5,4,3,2,1,0）</w:t>
            </w:r>
          </w:p>
        </w:tc>
        <w:tc>
          <w:tcPr>
            <w:tcW w:w="860" w:type="dxa"/>
            <w:tcBorders>
              <w:tl2br w:val="nil"/>
              <w:tr2bl w:val="nil"/>
            </w:tcBorders>
            <w:shd w:val="clear" w:color="auto" w:fill="auto"/>
            <w:noWrap w:val="0"/>
            <w:vAlign w:val="center"/>
          </w:tcPr>
          <w:p w14:paraId="48091C43">
            <w:pPr>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5分</w:t>
            </w:r>
          </w:p>
        </w:tc>
      </w:tr>
      <w:tr w14:paraId="641C5B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90" w:hRule="atLeast"/>
        </w:trPr>
        <w:tc>
          <w:tcPr>
            <w:tcW w:w="768" w:type="dxa"/>
            <w:tcBorders>
              <w:tl2br w:val="nil"/>
              <w:tr2bl w:val="nil"/>
            </w:tcBorders>
            <w:shd w:val="clear" w:color="auto" w:fill="auto"/>
            <w:noWrap w:val="0"/>
            <w:vAlign w:val="center"/>
          </w:tcPr>
          <w:p w14:paraId="59F716B6">
            <w:pPr>
              <w:widowControl/>
              <w:jc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15</w:t>
            </w:r>
          </w:p>
        </w:tc>
        <w:tc>
          <w:tcPr>
            <w:tcW w:w="1362" w:type="dxa"/>
            <w:tcBorders>
              <w:tl2br w:val="nil"/>
              <w:tr2bl w:val="nil"/>
            </w:tcBorders>
            <w:shd w:val="clear" w:color="auto" w:fill="auto"/>
            <w:noWrap w:val="0"/>
            <w:vAlign w:val="center"/>
          </w:tcPr>
          <w:p w14:paraId="017EC84E">
            <w:pPr>
              <w:widowControl/>
              <w:spacing w:line="360" w:lineRule="auto"/>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排队叫号系统</w:t>
            </w:r>
            <w:r>
              <w:rPr>
                <w:rFonts w:hint="eastAsia" w:ascii="仿宋" w:hAnsi="仿宋" w:eastAsia="仿宋" w:cs="仿宋"/>
                <w:b w:val="0"/>
                <w:bCs w:val="0"/>
                <w:color w:val="auto"/>
                <w:sz w:val="24"/>
                <w:szCs w:val="24"/>
                <w:highlight w:val="none"/>
                <w:lang w:val="en-US" w:eastAsia="zh-CN"/>
              </w:rPr>
              <w:t>及病房</w:t>
            </w:r>
            <w:r>
              <w:rPr>
                <w:rFonts w:hint="eastAsia" w:ascii="仿宋" w:hAnsi="仿宋" w:eastAsia="仿宋" w:cs="仿宋"/>
                <w:b w:val="0"/>
                <w:bCs w:val="0"/>
                <w:color w:val="auto"/>
                <w:sz w:val="24"/>
                <w:szCs w:val="24"/>
                <w:highlight w:val="none"/>
              </w:rPr>
              <w:t>呼叫系统</w:t>
            </w:r>
            <w:r>
              <w:rPr>
                <w:rFonts w:hint="eastAsia" w:ascii="仿宋" w:hAnsi="仿宋" w:eastAsia="仿宋" w:cs="仿宋"/>
                <w:b w:val="0"/>
                <w:bCs w:val="0"/>
                <w:color w:val="auto"/>
                <w:sz w:val="24"/>
                <w:szCs w:val="24"/>
                <w:highlight w:val="none"/>
                <w:lang w:val="en-US" w:eastAsia="zh-CN"/>
              </w:rPr>
              <w:t>视频演示及功能演示</w:t>
            </w:r>
          </w:p>
        </w:tc>
        <w:tc>
          <w:tcPr>
            <w:tcW w:w="6583" w:type="dxa"/>
            <w:tcBorders>
              <w:tl2br w:val="nil"/>
              <w:tr2bl w:val="nil"/>
            </w:tcBorders>
            <w:shd w:val="clear" w:color="auto" w:fill="auto"/>
            <w:noWrap w:val="0"/>
            <w:vAlign w:val="center"/>
          </w:tcPr>
          <w:p w14:paraId="2EE31CE0">
            <w:pPr>
              <w:keepNext w:val="0"/>
              <w:keepLines w:val="0"/>
              <w:pageBreakBefore w:val="0"/>
              <w:widowControl/>
              <w:numPr>
                <w:ilvl w:val="0"/>
                <w:numId w:val="0"/>
              </w:numPr>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根据设计需求和甲方实际使用功能需求，对排队叫号系统和病房呼叫系统进行演示操作，提供视频形式演示。（以U盘形式录制，每个供应商时间不超过 10 分钟，U盘于投标截止时间前提供，不提供或逾期送达不得分）。</w:t>
            </w:r>
          </w:p>
          <w:p w14:paraId="799060CE">
            <w:pPr>
              <w:keepNext w:val="0"/>
              <w:keepLines w:val="0"/>
              <w:pageBreakBefore w:val="0"/>
              <w:widowControl/>
              <w:numPr>
                <w:ilvl w:val="0"/>
                <w:numId w:val="0"/>
              </w:numPr>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lang w:val="en-US" w:eastAsia="zh-CN"/>
              </w:rPr>
              <w:t>1.</w:t>
            </w:r>
            <w:r>
              <w:rPr>
                <w:rStyle w:val="968"/>
                <w:rFonts w:hint="eastAsia" w:ascii="仿宋" w:hAnsi="仿宋" w:eastAsia="仿宋" w:cs="仿宋"/>
                <w:b/>
                <w:bCs/>
                <w:color w:val="auto"/>
                <w:kern w:val="0"/>
                <w:sz w:val="24"/>
                <w:szCs w:val="24"/>
                <w:highlight w:val="none"/>
                <w:lang w:val="en-US" w:eastAsia="zh-CN" w:bidi="ar-SA"/>
              </w:rPr>
              <w:t>排队叫号系统（0-2分）</w:t>
            </w:r>
            <w:r>
              <w:rPr>
                <w:rFonts w:hint="eastAsia" w:ascii="仿宋" w:hAnsi="仿宋" w:eastAsia="仿宋" w:cs="仿宋"/>
                <w:b w:val="0"/>
                <w:bCs w:val="0"/>
                <w:color w:val="auto"/>
                <w:sz w:val="24"/>
                <w:szCs w:val="24"/>
                <w:highlight w:val="none"/>
              </w:rPr>
              <w:br w:type="textWrapping"/>
            </w:r>
            <w:r>
              <w:rPr>
                <w:rFonts w:hint="eastAsia" w:ascii="仿宋" w:hAnsi="仿宋" w:eastAsia="仿宋" w:cs="仿宋"/>
                <w:b w:val="0"/>
                <w:bCs w:val="0"/>
                <w:color w:val="auto"/>
                <w:sz w:val="24"/>
                <w:szCs w:val="24"/>
                <w:highlight w:val="none"/>
              </w:rPr>
              <w:t>（1）支持排队规则自定义，支持过号插入位置设置，支持过号次数限制配置，支持复诊号与正常好交叉比例配置，支持姓名隐私配置；支持签到和取号小票打印内容自定义，可视化编辑；</w:t>
            </w:r>
          </w:p>
          <w:p w14:paraId="536AB5CA">
            <w:pPr>
              <w:keepNext w:val="0"/>
              <w:keepLines w:val="0"/>
              <w:pageBreakBefore w:val="0"/>
              <w:widowControl/>
              <w:numPr>
                <w:ilvl w:val="0"/>
                <w:numId w:val="0"/>
              </w:numPr>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评分范围1，0.8，0.6，0.4，0.2，0）</w:t>
            </w:r>
          </w:p>
          <w:p w14:paraId="7B1DBA50">
            <w:pPr>
              <w:keepNext w:val="0"/>
              <w:keepLines w:val="0"/>
              <w:pageBreakBefore w:val="0"/>
              <w:widowControl/>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（2）支持分诊台血压提示，针对特殊科室需要测量血压和血压异常提醒等</w:t>
            </w:r>
            <w:r>
              <w:rPr>
                <w:rFonts w:hint="eastAsia" w:ascii="仿宋" w:hAnsi="仿宋" w:eastAsia="仿宋" w:cs="仿宋"/>
                <w:b w:val="0"/>
                <w:bCs w:val="0"/>
                <w:color w:val="auto"/>
                <w:sz w:val="24"/>
                <w:szCs w:val="24"/>
                <w:highlight w:val="none"/>
                <w:lang w:eastAsia="zh-CN"/>
              </w:rPr>
              <w:t>。</w:t>
            </w:r>
          </w:p>
          <w:p w14:paraId="27E82B06">
            <w:pPr>
              <w:keepNext w:val="0"/>
              <w:keepLines w:val="0"/>
              <w:pageBreakBefore w:val="0"/>
              <w:widowControl/>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评分范围1，0.8，0.6，0.4，0.2，0）</w:t>
            </w:r>
            <w:r>
              <w:rPr>
                <w:rFonts w:hint="eastAsia" w:ascii="仿宋" w:hAnsi="仿宋" w:eastAsia="仿宋" w:cs="仿宋"/>
                <w:b w:val="0"/>
                <w:bCs w:val="0"/>
                <w:color w:val="auto"/>
                <w:sz w:val="24"/>
                <w:szCs w:val="24"/>
                <w:highlight w:val="none"/>
              </w:rPr>
              <w:br w:type="textWrapping"/>
            </w:r>
            <w:r>
              <w:rPr>
                <w:rFonts w:hint="eastAsia" w:ascii="仿宋" w:hAnsi="仿宋" w:eastAsia="仿宋" w:cs="仿宋"/>
                <w:b/>
                <w:bCs/>
                <w:color w:val="auto"/>
                <w:sz w:val="24"/>
                <w:szCs w:val="24"/>
                <w:highlight w:val="none"/>
                <w:lang w:val="en-US" w:eastAsia="zh-CN"/>
              </w:rPr>
              <w:t>2.病房</w:t>
            </w:r>
            <w:r>
              <w:rPr>
                <w:rFonts w:hint="eastAsia" w:ascii="仿宋" w:hAnsi="仿宋" w:eastAsia="仿宋" w:cs="仿宋"/>
                <w:b/>
                <w:bCs/>
                <w:color w:val="auto"/>
                <w:sz w:val="24"/>
                <w:szCs w:val="24"/>
                <w:highlight w:val="none"/>
              </w:rPr>
              <w:t>呼叫系统</w:t>
            </w:r>
            <w:r>
              <w:rPr>
                <w:rStyle w:val="968"/>
                <w:rFonts w:hint="eastAsia" w:ascii="仿宋" w:hAnsi="仿宋" w:eastAsia="仿宋" w:cs="仿宋"/>
                <w:b/>
                <w:bCs/>
                <w:color w:val="auto"/>
                <w:kern w:val="0"/>
                <w:sz w:val="24"/>
                <w:szCs w:val="24"/>
                <w:highlight w:val="none"/>
                <w:lang w:val="en-US" w:eastAsia="zh-CN" w:bidi="ar-SA"/>
              </w:rPr>
              <w:t>（0-3分）</w:t>
            </w:r>
            <w:r>
              <w:rPr>
                <w:rFonts w:hint="eastAsia" w:ascii="仿宋" w:hAnsi="仿宋" w:eastAsia="仿宋" w:cs="仿宋"/>
                <w:b w:val="0"/>
                <w:bCs w:val="0"/>
                <w:color w:val="auto"/>
                <w:sz w:val="24"/>
                <w:szCs w:val="24"/>
                <w:highlight w:val="none"/>
              </w:rPr>
              <w:br w:type="textWrapping"/>
            </w:r>
            <w:r>
              <w:rPr>
                <w:rFonts w:hint="eastAsia" w:ascii="仿宋" w:hAnsi="仿宋" w:eastAsia="仿宋" w:cs="仿宋"/>
                <w:b w:val="0"/>
                <w:bCs w:val="0"/>
                <w:color w:val="auto"/>
                <w:sz w:val="24"/>
                <w:szCs w:val="24"/>
                <w:highlight w:val="none"/>
              </w:rPr>
              <w:t>（1）病呼联动：支持提醒、接听病区内床头终端、门口终端</w:t>
            </w:r>
            <w:r>
              <w:rPr>
                <w:rFonts w:hint="eastAsia" w:ascii="仿宋" w:hAnsi="仿宋" w:eastAsia="仿宋" w:cs="仿宋"/>
                <w:b w:val="0"/>
                <w:bCs w:val="0"/>
                <w:color w:val="auto"/>
                <w:sz w:val="24"/>
                <w:szCs w:val="24"/>
                <w:highlight w:val="none"/>
                <w:lang w:val="en-US" w:eastAsia="zh-CN"/>
              </w:rPr>
              <w:t>；</w:t>
            </w:r>
          </w:p>
          <w:p w14:paraId="43694EE3">
            <w:pPr>
              <w:keepNext w:val="0"/>
              <w:keepLines w:val="0"/>
              <w:pageBreakBefore w:val="0"/>
              <w:widowControl/>
              <w:kinsoku/>
              <w:wordWrap/>
              <w:overflowPunct/>
              <w:topLinePunct w:val="0"/>
              <w:autoSpaceDE/>
              <w:autoSpaceDN/>
              <w:bidi w:val="0"/>
              <w:snapToGrid/>
              <w:spacing w:line="36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评分范围1，0.8，0.6，0.4，0.2，0）</w:t>
            </w:r>
          </w:p>
          <w:p w14:paraId="7699F6D1">
            <w:pPr>
              <w:keepNext w:val="0"/>
              <w:keepLines w:val="0"/>
              <w:pageBreakBefore w:val="0"/>
              <w:widowControl/>
              <w:kinsoku/>
              <w:wordWrap/>
              <w:overflowPunct/>
              <w:topLinePunct w:val="0"/>
              <w:autoSpaceDE/>
              <w:autoSpaceDN/>
              <w:bidi w:val="0"/>
              <w:snapToGrid/>
              <w:spacing w:line="360" w:lineRule="exact"/>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（2）支持提醒、处置病区床头终端发起的换药提醒信号，护士站信息化支持病区总览、病患一览、医护排班、检验信息、检查信息。</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评分范围2，1.5，1，0.5，0）</w:t>
            </w:r>
          </w:p>
        </w:tc>
        <w:tc>
          <w:tcPr>
            <w:tcW w:w="860" w:type="dxa"/>
            <w:tcBorders>
              <w:tl2br w:val="nil"/>
              <w:tr2bl w:val="nil"/>
            </w:tcBorders>
            <w:shd w:val="clear" w:color="auto" w:fill="auto"/>
            <w:noWrap w:val="0"/>
            <w:vAlign w:val="center"/>
          </w:tcPr>
          <w:p w14:paraId="0AF43CA2">
            <w:pPr>
              <w:widowControl/>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5分</w:t>
            </w:r>
          </w:p>
        </w:tc>
      </w:tr>
    </w:tbl>
    <w:p w14:paraId="56F280A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43225F0">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53723891">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14:paraId="33CAE9B8">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.2其他投标人的价格分统一按照下列公式计算：</w:t>
      </w:r>
    </w:p>
    <w:p w14:paraId="6A4CA0BF">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14:paraId="7DFBD4E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14:paraId="04299F4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14:paraId="579E6DFD">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14:paraId="3FE0503F">
      <w:pPr>
        <w:spacing w:line="360" w:lineRule="auto"/>
        <w:jc w:val="center"/>
        <w:outlineLvl w:val="0"/>
        <w:rPr>
          <w:rFonts w:hint="eastAsia" w:ascii="仿宋" w:hAnsi="仿宋" w:eastAsia="仿宋" w:cs="仿宋"/>
          <w:b/>
          <w:color w:val="auto"/>
          <w:kern w:val="0"/>
          <w:sz w:val="36"/>
          <w:szCs w:val="36"/>
          <w:highlight w:val="none"/>
        </w:rPr>
      </w:pPr>
    </w:p>
    <w:p w14:paraId="47946EF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D0407D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6E8E82A">
      <w:pPr>
        <w:spacing w:line="360" w:lineRule="auto"/>
        <w:jc w:val="center"/>
        <w:outlineLvl w:val="0"/>
        <w:rPr>
          <w:rFonts w:hint="eastAsia" w:ascii="仿宋" w:hAnsi="仿宋" w:eastAsia="仿宋" w:cs="仿宋"/>
          <w:b/>
          <w:color w:val="auto"/>
          <w:kern w:val="0"/>
          <w:sz w:val="36"/>
          <w:szCs w:val="36"/>
          <w:highlight w:val="none"/>
        </w:rPr>
      </w:pPr>
    </w:p>
    <w:p w14:paraId="3AE2DF49">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14:paraId="290E0CB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786C1221">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719D0113">
      <w:pPr>
        <w:pStyle w:val="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D5FDA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2B0272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323125C3">
      <w:pPr>
        <w:snapToGrid w:val="0"/>
        <w:spacing w:line="360" w:lineRule="auto"/>
        <w:ind w:firstLine="480" w:firstLineChars="200"/>
        <w:rPr>
          <w:rFonts w:hint="eastAsia" w:ascii="仿宋" w:hAnsi="仿宋" w:eastAsia="仿宋" w:cs="仿宋"/>
          <w:color w:val="auto"/>
          <w:sz w:val="24"/>
          <w:highlight w:val="none"/>
        </w:rPr>
      </w:pPr>
    </w:p>
    <w:p w14:paraId="7813A0C9">
      <w:pPr>
        <w:spacing w:line="360" w:lineRule="auto"/>
        <w:ind w:firstLine="480" w:firstLineChars="200"/>
        <w:rPr>
          <w:rFonts w:hint="eastAsia" w:ascii="仿宋" w:hAnsi="仿宋" w:eastAsia="仿宋" w:cs="仿宋"/>
          <w:color w:val="auto"/>
          <w:sz w:val="24"/>
          <w:highlight w:val="none"/>
        </w:rPr>
      </w:pPr>
    </w:p>
    <w:p w14:paraId="03CA8E8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14:paraId="2C8C675C">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2F1818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14:paraId="52F38C1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5DABF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738011BD">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727BCB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C1939A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79866C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CBFD9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6F4E11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927B04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45219C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482A18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DA8AA9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C622BB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46C3DE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701F611D">
      <w:pPr>
        <w:snapToGrid w:val="0"/>
        <w:spacing w:line="360" w:lineRule="auto"/>
        <w:ind w:firstLine="480" w:firstLineChars="200"/>
        <w:rPr>
          <w:rFonts w:hint="eastAsia" w:ascii="仿宋" w:hAnsi="仿宋" w:eastAsia="仿宋" w:cs="仿宋"/>
          <w:color w:val="auto"/>
          <w:sz w:val="24"/>
          <w:highlight w:val="none"/>
        </w:rPr>
      </w:pPr>
    </w:p>
    <w:p w14:paraId="78B72F9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45B3B6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A257281">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14:paraId="63D88D2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43CA052">
      <w:pPr>
        <w:snapToGrid w:val="0"/>
        <w:spacing w:line="360" w:lineRule="auto"/>
        <w:ind w:right="480"/>
        <w:jc w:val="center"/>
        <w:rPr>
          <w:rFonts w:hint="eastAsia" w:ascii="仿宋" w:hAnsi="仿宋" w:eastAsia="仿宋" w:cs="仿宋"/>
          <w:b/>
          <w:color w:val="auto"/>
          <w:kern w:val="0"/>
          <w:sz w:val="32"/>
          <w:szCs w:val="32"/>
          <w:highlight w:val="none"/>
        </w:rPr>
      </w:pPr>
    </w:p>
    <w:p w14:paraId="4F505CE3">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14:paraId="27A89E6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330152D">
      <w:pPr>
        <w:snapToGrid w:val="0"/>
        <w:spacing w:line="360" w:lineRule="auto"/>
        <w:ind w:right="480"/>
        <w:jc w:val="center"/>
        <w:rPr>
          <w:rFonts w:hint="eastAsia" w:ascii="仿宋" w:hAnsi="仿宋" w:eastAsia="仿宋" w:cs="仿宋"/>
          <w:b/>
          <w:color w:val="auto"/>
          <w:kern w:val="0"/>
          <w:sz w:val="32"/>
          <w:szCs w:val="32"/>
          <w:highlight w:val="none"/>
        </w:rPr>
      </w:pPr>
    </w:p>
    <w:p w14:paraId="3957C27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14:paraId="7F4770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0453488">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制造</w:t>
      </w:r>
      <w:r>
        <w:rPr>
          <w:rFonts w:hint="eastAsia" w:ascii="仿宋" w:hAnsi="仿宋" w:eastAsia="仿宋" w:cs="仿宋"/>
          <w:color w:val="auto"/>
          <w:sz w:val="24"/>
          <w:highlight w:val="none"/>
        </w:rPr>
        <w:t xml:space="preserve">的，提供相应的中小企业声明函（附件7）。 </w:t>
      </w:r>
    </w:p>
    <w:p w14:paraId="52F472A4">
      <w:pPr>
        <w:widowControl/>
        <w:spacing w:line="360" w:lineRule="auto"/>
        <w:ind w:left="150"/>
        <w:jc w:val="center"/>
        <w:rPr>
          <w:rFonts w:hint="eastAsia" w:ascii="仿宋" w:hAnsi="仿宋" w:eastAsia="仿宋" w:cs="仿宋"/>
          <w:b/>
          <w:color w:val="auto"/>
          <w:kern w:val="0"/>
          <w:sz w:val="32"/>
          <w:szCs w:val="32"/>
          <w:highlight w:val="none"/>
        </w:rPr>
      </w:pPr>
    </w:p>
    <w:p w14:paraId="523BC0C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14:paraId="0331870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CE0CE7B">
      <w:pPr>
        <w:spacing w:line="360" w:lineRule="auto"/>
        <w:jc w:val="center"/>
        <w:outlineLvl w:val="0"/>
        <w:rPr>
          <w:rFonts w:hint="eastAsia" w:ascii="仿宋" w:hAnsi="仿宋" w:eastAsia="仿宋" w:cs="仿宋"/>
          <w:b/>
          <w:color w:val="auto"/>
          <w:kern w:val="0"/>
          <w:sz w:val="24"/>
          <w:highlight w:val="none"/>
        </w:rPr>
      </w:pPr>
    </w:p>
    <w:p w14:paraId="74A1026C">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72DD7677">
      <w:pPr>
        <w:spacing w:line="336" w:lineRule="auto"/>
        <w:jc w:val="center"/>
        <w:rPr>
          <w:rFonts w:hint="eastAsia" w:ascii="仿宋" w:hAnsi="仿宋" w:eastAsia="仿宋" w:cs="仿宋"/>
          <w:b/>
          <w:color w:val="auto"/>
          <w:kern w:val="0"/>
          <w:sz w:val="36"/>
          <w:szCs w:val="36"/>
          <w:highlight w:val="none"/>
        </w:rPr>
      </w:pPr>
    </w:p>
    <w:p w14:paraId="279680E4">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FD1F6C1">
      <w:pPr>
        <w:spacing w:line="336" w:lineRule="auto"/>
        <w:jc w:val="center"/>
        <w:outlineLvl w:val="0"/>
        <w:rPr>
          <w:rFonts w:ascii="仿宋" w:hAnsi="仿宋" w:eastAsia="仿宋" w:cs="仿宋"/>
          <w:b/>
          <w:color w:val="auto"/>
          <w:kern w:val="0"/>
          <w:sz w:val="24"/>
          <w:highlight w:val="none"/>
        </w:rPr>
      </w:pPr>
    </w:p>
    <w:p w14:paraId="285EB42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E55D49D">
      <w:pPr>
        <w:pStyle w:val="908"/>
        <w:numPr>
          <w:ilvl w:val="0"/>
          <w:numId w:val="10"/>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14:paraId="685382F9">
      <w:pPr>
        <w:pStyle w:val="908"/>
        <w:numPr>
          <w:ilvl w:val="0"/>
          <w:numId w:val="10"/>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7308FC58">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 （页码）</w:t>
      </w:r>
    </w:p>
    <w:p w14:paraId="068F235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38F36160">
      <w:pPr>
        <w:pStyle w:val="3"/>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2C87020A">
      <w:pPr>
        <w:pStyle w:val="908"/>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14:paraId="2C451FD4">
      <w:pPr>
        <w:pStyle w:val="908"/>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14:paraId="7EF40214">
      <w:pPr>
        <w:pStyle w:val="908"/>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14:paraId="06FB4E4D">
      <w:pPr>
        <w:pStyle w:val="908"/>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1B2C5DF7">
      <w:pPr>
        <w:pStyle w:val="908"/>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14:paraId="34424A53">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392F6EB3">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022747B0">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03E08C36">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46113E6">
      <w:pPr>
        <w:snapToGrid w:val="0"/>
        <w:spacing w:line="360" w:lineRule="auto"/>
        <w:jc w:val="center"/>
        <w:rPr>
          <w:rFonts w:hint="eastAsia" w:ascii="仿宋" w:hAnsi="仿宋" w:eastAsia="仿宋" w:cs="仿宋"/>
          <w:b/>
          <w:color w:val="auto"/>
          <w:kern w:val="0"/>
          <w:sz w:val="32"/>
          <w:szCs w:val="32"/>
          <w:highlight w:val="none"/>
          <w:lang w:val="zh-CN"/>
        </w:rPr>
      </w:pPr>
    </w:p>
    <w:p w14:paraId="213C7904">
      <w:pPr>
        <w:snapToGrid w:val="0"/>
        <w:spacing w:line="360" w:lineRule="auto"/>
        <w:jc w:val="center"/>
        <w:rPr>
          <w:rFonts w:hint="eastAsia" w:ascii="仿宋" w:hAnsi="仿宋" w:eastAsia="仿宋" w:cs="仿宋"/>
          <w:b/>
          <w:color w:val="auto"/>
          <w:kern w:val="0"/>
          <w:sz w:val="32"/>
          <w:szCs w:val="32"/>
          <w:highlight w:val="none"/>
          <w:lang w:val="zh-CN"/>
        </w:rPr>
      </w:pPr>
    </w:p>
    <w:p w14:paraId="0269D35A">
      <w:pPr>
        <w:snapToGrid w:val="0"/>
        <w:spacing w:line="360" w:lineRule="auto"/>
        <w:jc w:val="center"/>
        <w:rPr>
          <w:rFonts w:hint="eastAsia" w:ascii="仿宋" w:hAnsi="仿宋" w:eastAsia="仿宋" w:cs="仿宋"/>
          <w:b/>
          <w:color w:val="auto"/>
          <w:kern w:val="0"/>
          <w:sz w:val="32"/>
          <w:szCs w:val="32"/>
          <w:highlight w:val="none"/>
          <w:lang w:val="zh-CN"/>
        </w:rPr>
      </w:pPr>
    </w:p>
    <w:p w14:paraId="5E5135E6">
      <w:pPr>
        <w:snapToGrid w:val="0"/>
        <w:spacing w:line="360" w:lineRule="auto"/>
        <w:jc w:val="both"/>
        <w:rPr>
          <w:rFonts w:hint="eastAsia" w:ascii="仿宋" w:hAnsi="仿宋" w:eastAsia="仿宋" w:cs="仿宋"/>
          <w:b/>
          <w:color w:val="auto"/>
          <w:kern w:val="0"/>
          <w:sz w:val="32"/>
          <w:szCs w:val="32"/>
          <w:highlight w:val="none"/>
          <w:lang w:val="zh-CN"/>
        </w:rPr>
      </w:pPr>
    </w:p>
    <w:p w14:paraId="626B6E9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5415B5A">
      <w:pPr>
        <w:spacing w:line="500" w:lineRule="exact"/>
        <w:jc w:val="center"/>
        <w:textAlignment w:val="baseline"/>
        <w:rPr>
          <w:rStyle w:val="968"/>
          <w:rFonts w:hint="eastAsia" w:ascii="仿宋" w:hAnsi="仿宋" w:eastAsia="仿宋" w:cs="仿宋"/>
          <w:b/>
          <w:bCs/>
          <w:color w:val="auto"/>
          <w:sz w:val="30"/>
          <w:szCs w:val="30"/>
          <w:highlight w:val="none"/>
        </w:rPr>
      </w:pPr>
      <w:r>
        <w:rPr>
          <w:rStyle w:val="968"/>
          <w:rFonts w:hint="eastAsia" w:ascii="仿宋" w:hAnsi="仿宋" w:eastAsia="仿宋" w:cs="仿宋"/>
          <w:b/>
          <w:bCs/>
          <w:color w:val="auto"/>
          <w:sz w:val="30"/>
          <w:szCs w:val="30"/>
          <w:highlight w:val="none"/>
          <w:lang w:val="en-US" w:eastAsia="zh-CN"/>
        </w:rPr>
        <w:t>一、</w:t>
      </w:r>
      <w:r>
        <w:rPr>
          <w:rStyle w:val="968"/>
          <w:rFonts w:hint="eastAsia" w:ascii="仿宋" w:hAnsi="仿宋" w:eastAsia="仿宋" w:cs="仿宋"/>
          <w:b/>
          <w:bCs/>
          <w:color w:val="auto"/>
          <w:sz w:val="30"/>
          <w:szCs w:val="30"/>
          <w:highlight w:val="none"/>
        </w:rPr>
        <w:t>评分索引表</w:t>
      </w:r>
    </w:p>
    <w:tbl>
      <w:tblPr>
        <w:tblStyle w:val="64"/>
        <w:tblW w:w="9461" w:type="dxa"/>
        <w:jc w:val="center"/>
        <w:tblLayout w:type="fixed"/>
        <w:tblCellMar>
          <w:top w:w="0" w:type="dxa"/>
          <w:left w:w="0" w:type="dxa"/>
          <w:bottom w:w="0" w:type="dxa"/>
          <w:right w:w="0" w:type="dxa"/>
        </w:tblCellMar>
      </w:tblPr>
      <w:tblGrid>
        <w:gridCol w:w="775"/>
        <w:gridCol w:w="1861"/>
        <w:gridCol w:w="4864"/>
        <w:gridCol w:w="1062"/>
        <w:gridCol w:w="899"/>
      </w:tblGrid>
      <w:tr w14:paraId="324E31B5">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DF9D2F7">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b/>
                <w:bCs/>
                <w:color w:val="auto"/>
                <w:sz w:val="24"/>
                <w:szCs w:val="24"/>
                <w:highlight w:val="none"/>
                <w:lang w:eastAsia="zh-CN"/>
              </w:rPr>
            </w:pPr>
            <w:r>
              <w:rPr>
                <w:rStyle w:val="968"/>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A18FFE4">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b/>
                <w:bCs/>
                <w:color w:val="auto"/>
                <w:sz w:val="24"/>
                <w:szCs w:val="24"/>
                <w:highlight w:val="none"/>
              </w:rPr>
            </w:pPr>
            <w:r>
              <w:rPr>
                <w:rStyle w:val="968"/>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4D9FE8">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b/>
                <w:bCs/>
                <w:color w:val="auto"/>
                <w:sz w:val="24"/>
                <w:szCs w:val="24"/>
                <w:highlight w:val="none"/>
              </w:rPr>
            </w:pPr>
            <w:r>
              <w:rPr>
                <w:rStyle w:val="968"/>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54C001">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b/>
                <w:bCs/>
                <w:color w:val="auto"/>
                <w:sz w:val="24"/>
                <w:szCs w:val="24"/>
                <w:highlight w:val="none"/>
              </w:rPr>
            </w:pPr>
            <w:r>
              <w:rPr>
                <w:rStyle w:val="968"/>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809BB89">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b/>
                <w:bCs/>
                <w:color w:val="auto"/>
                <w:sz w:val="24"/>
                <w:szCs w:val="24"/>
                <w:highlight w:val="none"/>
                <w:lang w:eastAsia="zh-CN"/>
              </w:rPr>
            </w:pPr>
            <w:r>
              <w:rPr>
                <w:rStyle w:val="968"/>
                <w:rFonts w:hint="eastAsia" w:ascii="仿宋" w:hAnsi="仿宋" w:eastAsia="仿宋" w:cs="仿宋"/>
                <w:b/>
                <w:bCs/>
                <w:color w:val="auto"/>
                <w:sz w:val="24"/>
                <w:szCs w:val="24"/>
                <w:highlight w:val="none"/>
              </w:rPr>
              <w:t>评分对应页码</w:t>
            </w:r>
          </w:p>
        </w:tc>
      </w:tr>
      <w:tr w14:paraId="442EFAD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46A05C35">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0D2402A">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E194DEF">
            <w:pPr>
              <w:keepNext w:val="0"/>
              <w:keepLines w:val="0"/>
              <w:widowControl/>
              <w:suppressLineNumbers w:val="0"/>
              <w:spacing w:before="0" w:beforeAutospacing="0" w:after="0" w:afterAutospacing="0" w:line="360" w:lineRule="auto"/>
              <w:ind w:left="0" w:right="0"/>
              <w:jc w:val="left"/>
              <w:textAlignment w:val="center"/>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92C7C99">
            <w:pPr>
              <w:keepNext w:val="0"/>
              <w:keepLines w:val="0"/>
              <w:widowControl/>
              <w:suppressLineNumbers w:val="0"/>
              <w:spacing w:before="0" w:beforeAutospacing="0" w:after="0" w:afterAutospacing="0" w:line="360" w:lineRule="auto"/>
              <w:ind w:left="0" w:right="0"/>
              <w:jc w:val="center"/>
              <w:textAlignment w:val="baseline"/>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330DDCC">
            <w:pPr>
              <w:keepNext w:val="0"/>
              <w:keepLines w:val="0"/>
              <w:widowControl/>
              <w:suppressLineNumbers w:val="0"/>
              <w:spacing w:before="0" w:beforeAutospacing="0" w:after="0" w:afterAutospacing="0" w:line="360" w:lineRule="auto"/>
              <w:ind w:left="0" w:right="0"/>
              <w:jc w:val="center"/>
              <w:textAlignment w:val="baseline"/>
              <w:rPr>
                <w:rStyle w:val="968"/>
                <w:rFonts w:hint="eastAsia" w:ascii="仿宋" w:hAnsi="仿宋" w:eastAsia="仿宋" w:cs="仿宋"/>
                <w:color w:val="auto"/>
                <w:sz w:val="24"/>
                <w:szCs w:val="24"/>
                <w:highlight w:val="none"/>
              </w:rPr>
            </w:pPr>
          </w:p>
        </w:tc>
      </w:tr>
      <w:tr w14:paraId="6DF4FB5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3AC9957">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B6DE190">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2EFA02E">
            <w:pPr>
              <w:keepNext w:val="0"/>
              <w:keepLines w:val="0"/>
              <w:widowControl/>
              <w:suppressLineNumbers w:val="0"/>
              <w:spacing w:before="0" w:beforeAutospacing="0" w:after="0" w:afterAutospacing="0" w:line="360" w:lineRule="auto"/>
              <w:ind w:left="0" w:right="0"/>
              <w:jc w:val="left"/>
              <w:textAlignment w:val="center"/>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9FF8386">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ED90B2F">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r w14:paraId="26F7BE10">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45EA03E">
            <w:pPr>
              <w:keepNext w:val="0"/>
              <w:keepLines w:val="0"/>
              <w:widowControl/>
              <w:suppressLineNumbers w:val="0"/>
              <w:spacing w:before="0" w:beforeAutospacing="0" w:after="0" w:afterAutospacing="0" w:line="360" w:lineRule="auto"/>
              <w:ind w:left="0" w:right="0"/>
              <w:jc w:val="center"/>
              <w:textAlignment w:val="baseline"/>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BC47EEC">
            <w:pPr>
              <w:keepNext w:val="0"/>
              <w:keepLines w:val="0"/>
              <w:widowControl/>
              <w:suppressLineNumbers w:val="0"/>
              <w:spacing w:before="0" w:beforeAutospacing="0" w:after="0" w:afterAutospacing="0" w:line="360" w:lineRule="auto"/>
              <w:ind w:left="0" w:right="0"/>
              <w:jc w:val="center"/>
              <w:textAlignment w:val="baseline"/>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D1C3D01">
            <w:pPr>
              <w:keepNext w:val="0"/>
              <w:keepLines w:val="0"/>
              <w:widowControl/>
              <w:suppressLineNumbers w:val="0"/>
              <w:spacing w:before="0" w:beforeAutospacing="0" w:after="0" w:afterAutospacing="0" w:line="360" w:lineRule="auto"/>
              <w:ind w:left="0" w:right="0"/>
              <w:textAlignment w:val="baseline"/>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09742A8">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DAC6E68">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r w14:paraId="509B63B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FB596E7">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ABE8BBB">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793AB0D">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82BE1A7">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3C0E71AD">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r w14:paraId="0417B2E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74F7CCE">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CE12FDB">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C2EBE16">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28BA926">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3D6DBFED">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r w14:paraId="6ED42D19">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61F438A4">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6AD15C8C">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6E5D5F99">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72290198">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17AB468C">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r w14:paraId="3240606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B3782BB">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7939A56">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7267600">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CD351EE">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9984B08">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r w14:paraId="2C246914">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CC622FF">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D340368">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390706A1">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FEBC6DF">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2663D4E">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r w14:paraId="6CE14EE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2E13781">
            <w:pPr>
              <w:keepNext w:val="0"/>
              <w:keepLines w:val="0"/>
              <w:widowControl/>
              <w:suppressLineNumbers w:val="0"/>
              <w:spacing w:before="0" w:beforeAutospacing="0" w:after="0" w:afterAutospacing="0" w:line="360" w:lineRule="auto"/>
              <w:ind w:left="0" w:right="0"/>
              <w:jc w:val="center"/>
              <w:textAlignment w:val="baseline"/>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611FB0D">
            <w:pPr>
              <w:keepNext w:val="0"/>
              <w:keepLines w:val="0"/>
              <w:widowControl/>
              <w:suppressLineNumbers w:val="0"/>
              <w:spacing w:before="0" w:beforeAutospacing="0" w:after="0" w:afterAutospacing="0" w:line="360" w:lineRule="auto"/>
              <w:ind w:left="0" w:right="0"/>
              <w:jc w:val="center"/>
              <w:textAlignment w:val="baseline"/>
              <w:rPr>
                <w:rStyle w:val="968"/>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34AA1891">
            <w:pPr>
              <w:keepNext w:val="0"/>
              <w:keepLines w:val="0"/>
              <w:widowControl/>
              <w:suppressLineNumbers w:val="0"/>
              <w:spacing w:before="0" w:beforeAutospacing="0" w:after="0" w:afterAutospacing="0" w:line="380" w:lineRule="exact"/>
              <w:ind w:left="0" w:right="0"/>
              <w:jc w:val="left"/>
              <w:textAlignment w:val="baseline"/>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05413F8">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1A727C5F">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r w14:paraId="0635AFF0">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402FD13F">
            <w:pPr>
              <w:keepNext w:val="0"/>
              <w:keepLines w:val="0"/>
              <w:widowControl/>
              <w:suppressLineNumbers w:val="0"/>
              <w:spacing w:before="0" w:beforeAutospacing="0" w:after="0" w:afterAutospacing="0" w:line="360" w:lineRule="auto"/>
              <w:ind w:left="0" w:right="0"/>
              <w:jc w:val="center"/>
              <w:textAlignment w:val="baseline"/>
              <w:rPr>
                <w:rStyle w:val="968"/>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3CC2CA8">
            <w:pPr>
              <w:keepNext w:val="0"/>
              <w:keepLines w:val="0"/>
              <w:widowControl/>
              <w:suppressLineNumbers w:val="0"/>
              <w:spacing w:before="0" w:beforeAutospacing="0" w:after="0" w:afterAutospacing="0" w:line="360" w:lineRule="auto"/>
              <w:ind w:left="0" w:right="0"/>
              <w:jc w:val="center"/>
              <w:textAlignment w:val="baseline"/>
              <w:rPr>
                <w:rStyle w:val="968"/>
                <w:rFonts w:hint="eastAsia" w:ascii="仿宋" w:hAnsi="仿宋" w:eastAsia="仿宋" w:cs="仿宋"/>
                <w:color w:val="auto"/>
                <w:sz w:val="24"/>
                <w:szCs w:val="24"/>
                <w:highlight w:val="none"/>
                <w:lang w:val="en-US" w:eastAsia="zh-CN"/>
              </w:rPr>
            </w:pPr>
            <w:r>
              <w:rPr>
                <w:rStyle w:val="968"/>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0A9642E">
            <w:pPr>
              <w:keepNext w:val="0"/>
              <w:keepLines w:val="0"/>
              <w:widowControl/>
              <w:suppressLineNumbers w:val="0"/>
              <w:spacing w:before="0" w:beforeAutospacing="0" w:after="0" w:afterAutospacing="0" w:line="380" w:lineRule="exact"/>
              <w:ind w:left="0" w:right="0"/>
              <w:jc w:val="left"/>
              <w:textAlignment w:val="baseline"/>
              <w:rPr>
                <w:rStyle w:val="968"/>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77B196F">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71089F1">
            <w:pPr>
              <w:keepNext w:val="0"/>
              <w:keepLines w:val="0"/>
              <w:widowControl/>
              <w:suppressLineNumbers w:val="0"/>
              <w:spacing w:before="0" w:beforeAutospacing="0" w:after="0" w:afterAutospacing="0" w:line="360" w:lineRule="auto"/>
              <w:ind w:left="0" w:right="0"/>
              <w:jc w:val="center"/>
              <w:textAlignment w:val="center"/>
              <w:rPr>
                <w:rStyle w:val="968"/>
                <w:rFonts w:hint="eastAsia" w:ascii="仿宋" w:hAnsi="仿宋" w:eastAsia="仿宋" w:cs="仿宋"/>
                <w:color w:val="auto"/>
                <w:sz w:val="24"/>
                <w:szCs w:val="24"/>
                <w:highlight w:val="none"/>
              </w:rPr>
            </w:pPr>
          </w:p>
        </w:tc>
      </w:tr>
    </w:tbl>
    <w:p w14:paraId="7EE995E1">
      <w:pPr>
        <w:spacing w:line="440" w:lineRule="exact"/>
        <w:textAlignment w:val="baseline"/>
        <w:rPr>
          <w:rStyle w:val="968"/>
          <w:rFonts w:hint="eastAsia" w:ascii="仿宋" w:hAnsi="仿宋" w:eastAsia="仿宋" w:cs="仿宋"/>
          <w:b/>
          <w:bCs/>
          <w:color w:val="auto"/>
          <w:sz w:val="24"/>
          <w:szCs w:val="24"/>
          <w:highlight w:val="none"/>
        </w:rPr>
      </w:pPr>
      <w:r>
        <w:rPr>
          <w:rStyle w:val="968"/>
          <w:rFonts w:hint="eastAsia" w:ascii="仿宋" w:hAnsi="仿宋" w:eastAsia="仿宋" w:cs="仿宋"/>
          <w:b/>
          <w:bCs/>
          <w:color w:val="auto"/>
          <w:sz w:val="24"/>
          <w:szCs w:val="24"/>
          <w:highlight w:val="none"/>
        </w:rPr>
        <w:t>注：评审</w:t>
      </w:r>
      <w:r>
        <w:rPr>
          <w:rStyle w:val="968"/>
          <w:rFonts w:hint="eastAsia" w:ascii="仿宋" w:hAnsi="仿宋" w:eastAsia="仿宋" w:cs="仿宋"/>
          <w:b/>
          <w:bCs/>
          <w:color w:val="auto"/>
          <w:sz w:val="24"/>
          <w:szCs w:val="24"/>
          <w:highlight w:val="none"/>
          <w:lang w:eastAsia="zh-CN"/>
        </w:rPr>
        <w:t>内容</w:t>
      </w:r>
      <w:r>
        <w:rPr>
          <w:rStyle w:val="968"/>
          <w:rFonts w:hint="eastAsia" w:ascii="仿宋" w:hAnsi="仿宋" w:eastAsia="仿宋" w:cs="仿宋"/>
          <w:b/>
          <w:bCs/>
          <w:color w:val="auto"/>
          <w:sz w:val="24"/>
          <w:szCs w:val="24"/>
          <w:highlight w:val="none"/>
        </w:rPr>
        <w:t>、评分标准、分值对应“评审标准”内容。</w:t>
      </w:r>
    </w:p>
    <w:p w14:paraId="3B8A6B99">
      <w:pPr>
        <w:snapToGrid w:val="0"/>
        <w:spacing w:line="360" w:lineRule="auto"/>
        <w:jc w:val="center"/>
        <w:outlineLvl w:val="0"/>
        <w:rPr>
          <w:rFonts w:hint="eastAsia" w:ascii="仿宋" w:hAnsi="仿宋" w:eastAsia="仿宋" w:cs="仿宋"/>
          <w:b/>
          <w:color w:val="auto"/>
          <w:kern w:val="0"/>
          <w:sz w:val="32"/>
          <w:szCs w:val="32"/>
          <w:highlight w:val="none"/>
        </w:rPr>
      </w:pPr>
    </w:p>
    <w:p w14:paraId="39C563B7">
      <w:pPr>
        <w:snapToGrid w:val="0"/>
        <w:spacing w:line="360" w:lineRule="auto"/>
        <w:jc w:val="center"/>
        <w:outlineLvl w:val="0"/>
        <w:rPr>
          <w:rFonts w:hint="eastAsia" w:ascii="仿宋" w:hAnsi="仿宋" w:eastAsia="仿宋" w:cs="仿宋"/>
          <w:b/>
          <w:color w:val="auto"/>
          <w:kern w:val="0"/>
          <w:sz w:val="32"/>
          <w:szCs w:val="32"/>
          <w:highlight w:val="none"/>
        </w:rPr>
      </w:pPr>
    </w:p>
    <w:p w14:paraId="646E9759">
      <w:pPr>
        <w:snapToGrid w:val="0"/>
        <w:spacing w:line="360" w:lineRule="auto"/>
        <w:jc w:val="center"/>
        <w:outlineLvl w:val="0"/>
        <w:rPr>
          <w:rFonts w:hint="eastAsia" w:ascii="仿宋" w:hAnsi="仿宋" w:eastAsia="仿宋" w:cs="仿宋"/>
          <w:b/>
          <w:color w:val="auto"/>
          <w:kern w:val="0"/>
          <w:sz w:val="32"/>
          <w:szCs w:val="32"/>
          <w:highlight w:val="none"/>
        </w:rPr>
      </w:pPr>
    </w:p>
    <w:p w14:paraId="73D0F2DC">
      <w:pPr>
        <w:snapToGrid w:val="0"/>
        <w:spacing w:line="360" w:lineRule="auto"/>
        <w:jc w:val="center"/>
        <w:outlineLvl w:val="0"/>
        <w:rPr>
          <w:rFonts w:hint="eastAsia" w:ascii="仿宋" w:hAnsi="仿宋" w:eastAsia="仿宋" w:cs="仿宋"/>
          <w:b/>
          <w:color w:val="auto"/>
          <w:kern w:val="0"/>
          <w:sz w:val="32"/>
          <w:szCs w:val="32"/>
          <w:highlight w:val="none"/>
        </w:rPr>
      </w:pPr>
    </w:p>
    <w:p w14:paraId="550E3E10">
      <w:pPr>
        <w:snapToGrid w:val="0"/>
        <w:spacing w:line="360" w:lineRule="auto"/>
        <w:jc w:val="center"/>
        <w:outlineLvl w:val="0"/>
        <w:rPr>
          <w:rFonts w:hint="eastAsia" w:ascii="仿宋" w:hAnsi="仿宋" w:eastAsia="仿宋" w:cs="仿宋"/>
          <w:b/>
          <w:color w:val="auto"/>
          <w:kern w:val="0"/>
          <w:sz w:val="32"/>
          <w:szCs w:val="32"/>
          <w:highlight w:val="none"/>
        </w:rPr>
      </w:pPr>
    </w:p>
    <w:p w14:paraId="4EA1FFCF">
      <w:pPr>
        <w:snapToGrid w:val="0"/>
        <w:spacing w:line="360" w:lineRule="auto"/>
        <w:jc w:val="center"/>
        <w:outlineLvl w:val="0"/>
        <w:rPr>
          <w:rFonts w:hint="eastAsia" w:ascii="仿宋" w:hAnsi="仿宋" w:eastAsia="仿宋" w:cs="仿宋"/>
          <w:b/>
          <w:color w:val="auto"/>
          <w:kern w:val="0"/>
          <w:sz w:val="32"/>
          <w:szCs w:val="32"/>
          <w:highlight w:val="none"/>
        </w:rPr>
      </w:pPr>
    </w:p>
    <w:p w14:paraId="3EDD6FDA">
      <w:pPr>
        <w:snapToGrid w:val="0"/>
        <w:spacing w:line="360" w:lineRule="auto"/>
        <w:jc w:val="center"/>
        <w:outlineLvl w:val="0"/>
        <w:rPr>
          <w:rFonts w:hint="eastAsia" w:ascii="仿宋" w:hAnsi="仿宋" w:eastAsia="仿宋" w:cs="仿宋"/>
          <w:b/>
          <w:color w:val="auto"/>
          <w:kern w:val="0"/>
          <w:sz w:val="32"/>
          <w:szCs w:val="32"/>
          <w:highlight w:val="none"/>
        </w:rPr>
      </w:pPr>
    </w:p>
    <w:p w14:paraId="09D0AE72">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2507FE71">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5BD6D92A">
      <w:pPr>
        <w:pStyle w:val="401"/>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A5C437A">
      <w:pPr>
        <w:pStyle w:val="401"/>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6A7D02F6">
      <w:pPr>
        <w:pStyle w:val="401"/>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67211BA">
      <w:pPr>
        <w:pStyle w:val="16"/>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19AF824">
      <w:pPr>
        <w:pStyle w:val="401"/>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801C4F3">
      <w:pPr>
        <w:pStyle w:val="401"/>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46D215D">
      <w:pPr>
        <w:pStyle w:val="401"/>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87ECD55">
      <w:pPr>
        <w:pStyle w:val="16"/>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59F4700">
      <w:pPr>
        <w:pStyle w:val="401"/>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48F3449">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5C48436">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48DCD6E">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0D62EBCE">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8B0D750">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230F0660">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5216D91">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7739505">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7FFF8AF">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0B6B9F4">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14:paraId="47F2D9FA">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7B99308">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14:paraId="06CFA84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74701C2">
      <w:pPr>
        <w:widowControl/>
        <w:numPr>
          <w:ilvl w:val="0"/>
          <w:numId w:val="0"/>
        </w:numPr>
        <w:spacing w:line="360" w:lineRule="auto"/>
        <w:jc w:val="both"/>
        <w:rPr>
          <w:rFonts w:ascii="仿宋" w:hAnsi="仿宋" w:eastAsia="仿宋" w:cs="仿宋"/>
          <w:b/>
          <w:color w:val="auto"/>
          <w:sz w:val="30"/>
          <w:szCs w:val="30"/>
          <w:highlight w:val="none"/>
        </w:rPr>
      </w:pPr>
    </w:p>
    <w:p w14:paraId="1B49D482">
      <w:pPr>
        <w:widowControl/>
        <w:numPr>
          <w:ilvl w:val="0"/>
          <w:numId w:val="0"/>
        </w:numPr>
        <w:spacing w:line="360" w:lineRule="auto"/>
        <w:jc w:val="both"/>
        <w:rPr>
          <w:rFonts w:hint="eastAsia" w:ascii="仿宋" w:hAnsi="仿宋" w:eastAsia="仿宋" w:cs="仿宋"/>
          <w:b/>
          <w:color w:val="auto"/>
          <w:sz w:val="30"/>
          <w:szCs w:val="30"/>
          <w:highlight w:val="none"/>
        </w:rPr>
      </w:pPr>
    </w:p>
    <w:p w14:paraId="5230CA8B">
      <w:pPr>
        <w:widowControl/>
        <w:numPr>
          <w:ilvl w:val="0"/>
          <w:numId w:val="0"/>
        </w:numPr>
        <w:spacing w:line="360" w:lineRule="auto"/>
        <w:jc w:val="both"/>
        <w:rPr>
          <w:rFonts w:hint="eastAsia" w:ascii="仿宋" w:hAnsi="仿宋" w:eastAsia="仿宋" w:cs="仿宋"/>
          <w:b/>
          <w:color w:val="auto"/>
          <w:sz w:val="30"/>
          <w:szCs w:val="30"/>
          <w:highlight w:val="none"/>
        </w:rPr>
      </w:pPr>
    </w:p>
    <w:p w14:paraId="404A815A">
      <w:pPr>
        <w:widowControl/>
        <w:numPr>
          <w:ilvl w:val="0"/>
          <w:numId w:val="0"/>
        </w:numPr>
        <w:spacing w:line="360" w:lineRule="auto"/>
        <w:jc w:val="both"/>
        <w:rPr>
          <w:rFonts w:hint="eastAsia" w:ascii="仿宋" w:hAnsi="仿宋" w:eastAsia="仿宋" w:cs="仿宋"/>
          <w:b/>
          <w:color w:val="auto"/>
          <w:sz w:val="30"/>
          <w:szCs w:val="30"/>
          <w:highlight w:val="none"/>
        </w:rPr>
      </w:pPr>
    </w:p>
    <w:p w14:paraId="5EDAD4EC">
      <w:pPr>
        <w:widowControl/>
        <w:numPr>
          <w:ilvl w:val="0"/>
          <w:numId w:val="0"/>
        </w:numPr>
        <w:spacing w:line="360" w:lineRule="auto"/>
        <w:jc w:val="both"/>
        <w:rPr>
          <w:rFonts w:hint="eastAsia" w:ascii="仿宋" w:hAnsi="仿宋" w:eastAsia="仿宋" w:cs="仿宋"/>
          <w:b/>
          <w:color w:val="auto"/>
          <w:sz w:val="30"/>
          <w:szCs w:val="30"/>
          <w:highlight w:val="none"/>
        </w:rPr>
      </w:pPr>
    </w:p>
    <w:p w14:paraId="74C5E88E">
      <w:pPr>
        <w:widowControl/>
        <w:numPr>
          <w:ilvl w:val="0"/>
          <w:numId w:val="0"/>
        </w:numPr>
        <w:spacing w:line="360" w:lineRule="auto"/>
        <w:jc w:val="both"/>
        <w:rPr>
          <w:rFonts w:hint="eastAsia" w:ascii="仿宋" w:hAnsi="仿宋" w:eastAsia="仿宋" w:cs="仿宋"/>
          <w:b/>
          <w:color w:val="auto"/>
          <w:sz w:val="30"/>
          <w:szCs w:val="30"/>
          <w:highlight w:val="none"/>
        </w:rPr>
      </w:pPr>
    </w:p>
    <w:p w14:paraId="3574AABF">
      <w:pPr>
        <w:widowControl/>
        <w:numPr>
          <w:ilvl w:val="0"/>
          <w:numId w:val="0"/>
        </w:numPr>
        <w:spacing w:line="360" w:lineRule="auto"/>
        <w:jc w:val="both"/>
        <w:rPr>
          <w:rFonts w:hint="eastAsia" w:ascii="仿宋" w:hAnsi="仿宋" w:eastAsia="仿宋" w:cs="仿宋"/>
          <w:b/>
          <w:color w:val="auto"/>
          <w:sz w:val="30"/>
          <w:szCs w:val="30"/>
          <w:highlight w:val="none"/>
        </w:rPr>
      </w:pPr>
    </w:p>
    <w:p w14:paraId="19873589">
      <w:pPr>
        <w:widowControl/>
        <w:numPr>
          <w:ilvl w:val="0"/>
          <w:numId w:val="0"/>
        </w:numPr>
        <w:spacing w:line="360" w:lineRule="auto"/>
        <w:jc w:val="both"/>
        <w:rPr>
          <w:rFonts w:hint="eastAsia" w:ascii="仿宋" w:hAnsi="仿宋" w:eastAsia="仿宋" w:cs="仿宋"/>
          <w:b/>
          <w:color w:val="auto"/>
          <w:sz w:val="30"/>
          <w:szCs w:val="30"/>
          <w:highlight w:val="none"/>
        </w:rPr>
      </w:pPr>
    </w:p>
    <w:p w14:paraId="0A678327">
      <w:pPr>
        <w:widowControl/>
        <w:numPr>
          <w:ilvl w:val="0"/>
          <w:numId w:val="0"/>
        </w:numPr>
        <w:spacing w:line="360" w:lineRule="auto"/>
        <w:jc w:val="both"/>
        <w:rPr>
          <w:rFonts w:hint="eastAsia" w:ascii="仿宋" w:hAnsi="仿宋" w:eastAsia="仿宋" w:cs="仿宋"/>
          <w:b/>
          <w:color w:val="auto"/>
          <w:sz w:val="30"/>
          <w:szCs w:val="30"/>
          <w:highlight w:val="none"/>
        </w:rPr>
      </w:pPr>
    </w:p>
    <w:p w14:paraId="6F8F703A">
      <w:pPr>
        <w:widowControl/>
        <w:numPr>
          <w:ilvl w:val="0"/>
          <w:numId w:val="0"/>
        </w:numPr>
        <w:spacing w:line="360" w:lineRule="auto"/>
        <w:jc w:val="both"/>
        <w:rPr>
          <w:rFonts w:hint="eastAsia" w:ascii="仿宋" w:hAnsi="仿宋" w:eastAsia="仿宋" w:cs="仿宋"/>
          <w:b/>
          <w:color w:val="auto"/>
          <w:sz w:val="30"/>
          <w:szCs w:val="30"/>
          <w:highlight w:val="none"/>
        </w:rPr>
      </w:pPr>
    </w:p>
    <w:p w14:paraId="2EC6269F">
      <w:pPr>
        <w:widowControl/>
        <w:numPr>
          <w:ilvl w:val="0"/>
          <w:numId w:val="0"/>
        </w:numPr>
        <w:spacing w:line="360" w:lineRule="auto"/>
        <w:jc w:val="both"/>
        <w:rPr>
          <w:rFonts w:hint="eastAsia" w:ascii="仿宋" w:hAnsi="仿宋" w:eastAsia="仿宋" w:cs="仿宋"/>
          <w:b/>
          <w:color w:val="auto"/>
          <w:sz w:val="30"/>
          <w:szCs w:val="30"/>
          <w:highlight w:val="none"/>
        </w:rPr>
      </w:pPr>
    </w:p>
    <w:p w14:paraId="019B8288">
      <w:pPr>
        <w:widowControl/>
        <w:numPr>
          <w:ilvl w:val="0"/>
          <w:numId w:val="0"/>
        </w:numPr>
        <w:spacing w:line="360" w:lineRule="auto"/>
        <w:jc w:val="both"/>
        <w:rPr>
          <w:rFonts w:hint="eastAsia" w:ascii="仿宋" w:hAnsi="仿宋" w:eastAsia="仿宋" w:cs="仿宋"/>
          <w:b/>
          <w:color w:val="auto"/>
          <w:sz w:val="30"/>
          <w:szCs w:val="30"/>
          <w:highlight w:val="none"/>
        </w:rPr>
      </w:pPr>
    </w:p>
    <w:p w14:paraId="72B4F516">
      <w:pPr>
        <w:widowControl/>
        <w:numPr>
          <w:ilvl w:val="0"/>
          <w:numId w:val="0"/>
        </w:numPr>
        <w:spacing w:line="360" w:lineRule="auto"/>
        <w:jc w:val="both"/>
        <w:rPr>
          <w:rFonts w:hint="eastAsia" w:ascii="仿宋" w:hAnsi="仿宋" w:eastAsia="仿宋" w:cs="仿宋"/>
          <w:b/>
          <w:color w:val="auto"/>
          <w:sz w:val="30"/>
          <w:szCs w:val="30"/>
          <w:highlight w:val="none"/>
        </w:rPr>
      </w:pPr>
    </w:p>
    <w:p w14:paraId="0DA50EA4">
      <w:pPr>
        <w:widowControl/>
        <w:numPr>
          <w:ilvl w:val="0"/>
          <w:numId w:val="0"/>
        </w:numPr>
        <w:spacing w:line="360" w:lineRule="auto"/>
        <w:jc w:val="both"/>
        <w:rPr>
          <w:rFonts w:hint="eastAsia" w:ascii="仿宋" w:hAnsi="仿宋" w:eastAsia="仿宋" w:cs="仿宋"/>
          <w:b/>
          <w:color w:val="auto"/>
          <w:sz w:val="30"/>
          <w:szCs w:val="30"/>
          <w:highlight w:val="none"/>
        </w:rPr>
      </w:pPr>
    </w:p>
    <w:p w14:paraId="1FED1F92">
      <w:pPr>
        <w:widowControl/>
        <w:numPr>
          <w:ilvl w:val="0"/>
          <w:numId w:val="0"/>
        </w:numPr>
        <w:spacing w:line="360" w:lineRule="auto"/>
        <w:jc w:val="both"/>
        <w:rPr>
          <w:rFonts w:hint="eastAsia" w:ascii="仿宋" w:hAnsi="仿宋" w:eastAsia="仿宋" w:cs="仿宋"/>
          <w:b/>
          <w:color w:val="auto"/>
          <w:sz w:val="30"/>
          <w:szCs w:val="30"/>
          <w:highlight w:val="none"/>
        </w:rPr>
      </w:pPr>
    </w:p>
    <w:p w14:paraId="39CC8496">
      <w:pPr>
        <w:widowControl/>
        <w:numPr>
          <w:ilvl w:val="0"/>
          <w:numId w:val="0"/>
        </w:numPr>
        <w:spacing w:line="360" w:lineRule="auto"/>
        <w:jc w:val="both"/>
        <w:rPr>
          <w:rFonts w:hint="eastAsia" w:ascii="仿宋" w:hAnsi="仿宋" w:eastAsia="仿宋" w:cs="仿宋"/>
          <w:b/>
          <w:color w:val="auto"/>
          <w:sz w:val="30"/>
          <w:szCs w:val="30"/>
          <w:highlight w:val="none"/>
        </w:rPr>
      </w:pPr>
    </w:p>
    <w:p w14:paraId="565BDD1E">
      <w:pPr>
        <w:widowControl/>
        <w:numPr>
          <w:ilvl w:val="0"/>
          <w:numId w:val="0"/>
        </w:numPr>
        <w:spacing w:line="360" w:lineRule="auto"/>
        <w:jc w:val="both"/>
        <w:rPr>
          <w:rFonts w:hint="eastAsia" w:ascii="仿宋" w:hAnsi="仿宋" w:eastAsia="仿宋" w:cs="仿宋"/>
          <w:b/>
          <w:color w:val="auto"/>
          <w:sz w:val="30"/>
          <w:szCs w:val="30"/>
          <w:highlight w:val="none"/>
        </w:rPr>
      </w:pPr>
    </w:p>
    <w:p w14:paraId="0A1DCCDA">
      <w:pPr>
        <w:widowControl/>
        <w:numPr>
          <w:ilvl w:val="0"/>
          <w:numId w:val="0"/>
        </w:numPr>
        <w:spacing w:line="360" w:lineRule="auto"/>
        <w:jc w:val="both"/>
        <w:rPr>
          <w:rFonts w:hint="eastAsia" w:ascii="仿宋" w:hAnsi="仿宋" w:eastAsia="仿宋" w:cs="仿宋"/>
          <w:b/>
          <w:color w:val="auto"/>
          <w:sz w:val="30"/>
          <w:szCs w:val="30"/>
          <w:highlight w:val="none"/>
        </w:rPr>
      </w:pPr>
    </w:p>
    <w:p w14:paraId="439CDCDF">
      <w:pPr>
        <w:widowControl/>
        <w:numPr>
          <w:ilvl w:val="0"/>
          <w:numId w:val="0"/>
        </w:numPr>
        <w:spacing w:line="360" w:lineRule="auto"/>
        <w:jc w:val="both"/>
        <w:rPr>
          <w:rFonts w:hint="eastAsia" w:ascii="仿宋" w:hAnsi="仿宋" w:eastAsia="仿宋" w:cs="仿宋"/>
          <w:b/>
          <w:color w:val="auto"/>
          <w:sz w:val="30"/>
          <w:szCs w:val="30"/>
          <w:highlight w:val="none"/>
        </w:rPr>
      </w:pPr>
    </w:p>
    <w:p w14:paraId="589E2FD7">
      <w:pPr>
        <w:widowControl/>
        <w:numPr>
          <w:ilvl w:val="0"/>
          <w:numId w:val="0"/>
        </w:numPr>
        <w:spacing w:line="360" w:lineRule="auto"/>
        <w:jc w:val="both"/>
        <w:rPr>
          <w:rFonts w:hint="eastAsia" w:ascii="仿宋" w:hAnsi="仿宋" w:eastAsia="仿宋" w:cs="仿宋"/>
          <w:b/>
          <w:color w:val="auto"/>
          <w:sz w:val="30"/>
          <w:szCs w:val="30"/>
          <w:highlight w:val="none"/>
        </w:rPr>
      </w:pPr>
    </w:p>
    <w:p w14:paraId="1702D257">
      <w:pPr>
        <w:widowControl/>
        <w:numPr>
          <w:ilvl w:val="0"/>
          <w:numId w:val="0"/>
        </w:num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 w:hAnsi="仿宋" w:eastAsia="仿宋" w:cs="仿宋"/>
          <w:b/>
          <w:color w:val="auto"/>
          <w:sz w:val="30"/>
          <w:szCs w:val="30"/>
          <w:highlight w:val="none"/>
        </w:rPr>
        <w:t>营业执照扫描件</w:t>
      </w:r>
      <w:r>
        <w:rPr>
          <w:rFonts w:hint="eastAsia" w:ascii="仿宋" w:hAnsi="仿宋" w:eastAsia="仿宋" w:cs="仿宋"/>
          <w:b/>
          <w:color w:val="auto"/>
          <w:sz w:val="30"/>
          <w:szCs w:val="30"/>
          <w:highlight w:val="none"/>
        </w:rPr>
        <w:br w:type="textWrapping"/>
      </w:r>
      <w:r>
        <w:rPr>
          <w:rFonts w:hint="eastAsia" w:ascii="仿宋" w:hAnsi="仿宋" w:eastAsia="仿宋" w:cs="仿宋"/>
          <w:b/>
          <w:color w:val="auto"/>
          <w:sz w:val="30"/>
          <w:szCs w:val="30"/>
          <w:highlight w:val="none"/>
        </w:rPr>
        <w:br w:type="textWrapping"/>
      </w:r>
    </w:p>
    <w:p w14:paraId="703C48EE">
      <w:pPr>
        <w:widowControl/>
        <w:spacing w:line="360" w:lineRule="auto"/>
        <w:rPr>
          <w:rFonts w:ascii="仿宋" w:hAnsi="仿宋" w:eastAsia="仿宋" w:cs="仿宋"/>
          <w:b/>
          <w:color w:val="auto"/>
          <w:kern w:val="0"/>
          <w:sz w:val="32"/>
          <w:szCs w:val="32"/>
          <w:highlight w:val="none"/>
        </w:rPr>
      </w:pPr>
    </w:p>
    <w:p w14:paraId="1E61BE6F">
      <w:pPr>
        <w:widowControl/>
        <w:spacing w:line="360" w:lineRule="auto"/>
        <w:jc w:val="center"/>
        <w:rPr>
          <w:rFonts w:ascii="仿宋" w:hAnsi="仿宋" w:eastAsia="仿宋" w:cs="仿宋"/>
          <w:b/>
          <w:color w:val="auto"/>
          <w:kern w:val="0"/>
          <w:sz w:val="32"/>
          <w:szCs w:val="32"/>
          <w:highlight w:val="none"/>
        </w:rPr>
      </w:pPr>
    </w:p>
    <w:p w14:paraId="167B13F2">
      <w:pPr>
        <w:widowControl/>
        <w:spacing w:line="360" w:lineRule="auto"/>
        <w:jc w:val="center"/>
        <w:rPr>
          <w:rFonts w:ascii="仿宋" w:hAnsi="仿宋" w:eastAsia="仿宋" w:cs="仿宋"/>
          <w:b/>
          <w:color w:val="auto"/>
          <w:kern w:val="0"/>
          <w:sz w:val="32"/>
          <w:szCs w:val="32"/>
          <w:highlight w:val="none"/>
        </w:rPr>
      </w:pPr>
    </w:p>
    <w:p w14:paraId="00F718E1">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四、联合协议（如果有）</w:t>
      </w:r>
    </w:p>
    <w:p w14:paraId="65EC91AC">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BF7EBE4">
      <w:pPr>
        <w:snapToGrid w:val="0"/>
        <w:spacing w:line="360" w:lineRule="auto"/>
        <w:ind w:right="480"/>
        <w:jc w:val="center"/>
        <w:rPr>
          <w:rFonts w:ascii="仿宋" w:hAnsi="仿宋" w:eastAsia="仿宋" w:cs="仿宋"/>
          <w:b/>
          <w:color w:val="auto"/>
          <w:kern w:val="0"/>
          <w:sz w:val="32"/>
          <w:szCs w:val="32"/>
          <w:highlight w:val="none"/>
        </w:rPr>
      </w:pPr>
    </w:p>
    <w:p w14:paraId="68078520">
      <w:pPr>
        <w:snapToGrid w:val="0"/>
        <w:spacing w:line="360" w:lineRule="auto"/>
        <w:jc w:val="center"/>
        <w:rPr>
          <w:rFonts w:ascii="仿宋" w:hAnsi="仿宋" w:eastAsia="仿宋" w:cs="仿宋"/>
          <w:b/>
          <w:color w:val="auto"/>
          <w:kern w:val="0"/>
          <w:sz w:val="32"/>
          <w:szCs w:val="32"/>
          <w:highlight w:val="none"/>
        </w:rPr>
      </w:pPr>
    </w:p>
    <w:p w14:paraId="44F798BF">
      <w:pPr>
        <w:snapToGrid w:val="0"/>
        <w:spacing w:line="360" w:lineRule="auto"/>
        <w:jc w:val="center"/>
        <w:rPr>
          <w:rFonts w:ascii="仿宋" w:hAnsi="仿宋" w:eastAsia="仿宋" w:cs="仿宋"/>
          <w:b/>
          <w:color w:val="auto"/>
          <w:kern w:val="0"/>
          <w:sz w:val="32"/>
          <w:szCs w:val="32"/>
          <w:highlight w:val="none"/>
        </w:rPr>
      </w:pPr>
    </w:p>
    <w:p w14:paraId="29AEE4EE">
      <w:pPr>
        <w:snapToGrid w:val="0"/>
        <w:spacing w:line="360" w:lineRule="auto"/>
        <w:jc w:val="center"/>
        <w:rPr>
          <w:rFonts w:ascii="仿宋" w:hAnsi="仿宋" w:eastAsia="仿宋" w:cs="仿宋"/>
          <w:b/>
          <w:color w:val="auto"/>
          <w:kern w:val="0"/>
          <w:sz w:val="32"/>
          <w:szCs w:val="32"/>
          <w:highlight w:val="none"/>
        </w:rPr>
      </w:pPr>
    </w:p>
    <w:p w14:paraId="47AE9BF6">
      <w:pPr>
        <w:snapToGrid w:val="0"/>
        <w:spacing w:line="360" w:lineRule="auto"/>
        <w:jc w:val="center"/>
        <w:rPr>
          <w:rFonts w:ascii="仿宋" w:hAnsi="仿宋" w:eastAsia="仿宋" w:cs="仿宋"/>
          <w:b/>
          <w:color w:val="auto"/>
          <w:kern w:val="0"/>
          <w:sz w:val="32"/>
          <w:szCs w:val="32"/>
          <w:highlight w:val="none"/>
        </w:rPr>
      </w:pPr>
    </w:p>
    <w:p w14:paraId="4322D453">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五、分包意向协议（如果有）</w:t>
      </w:r>
    </w:p>
    <w:p w14:paraId="72DA3200">
      <w:pPr>
        <w:widowControl/>
        <w:spacing w:line="360" w:lineRule="auto"/>
        <w:ind w:firstLine="361" w:firstLineChars="150"/>
        <w:jc w:val="left"/>
        <w:rPr>
          <w:rFonts w:ascii="仿宋" w:hAnsi="仿宋" w:eastAsia="仿宋" w:cs="仿宋"/>
          <w:b/>
          <w:color w:val="auto"/>
          <w:sz w:val="30"/>
          <w:szCs w:val="30"/>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B121B5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801E558">
      <w:pPr>
        <w:jc w:val="center"/>
        <w:rPr>
          <w:rFonts w:hint="eastAsia" w:ascii="仿宋" w:hAnsi="仿宋" w:eastAsia="仿宋" w:cs="仿宋"/>
          <w:b/>
          <w:color w:val="auto"/>
          <w:sz w:val="24"/>
          <w:highlight w:val="none"/>
        </w:rPr>
      </w:pPr>
    </w:p>
    <w:p w14:paraId="5845D50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D2FD2C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28E3D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EE08CE7">
      <w:pPr>
        <w:snapToGrid w:val="0"/>
        <w:spacing w:line="600" w:lineRule="exact"/>
        <w:jc w:val="left"/>
        <w:rPr>
          <w:rFonts w:hint="eastAsia" w:ascii="仿宋" w:hAnsi="仿宋" w:eastAsia="仿宋" w:cs="仿宋"/>
          <w:color w:val="auto"/>
          <w:sz w:val="24"/>
          <w:highlight w:val="none"/>
        </w:rPr>
      </w:pPr>
    </w:p>
    <w:p w14:paraId="0512FB1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F7A1B82">
      <w:pPr>
        <w:spacing w:line="360" w:lineRule="exact"/>
        <w:rPr>
          <w:rFonts w:hint="eastAsia" w:ascii="仿宋" w:hAnsi="仿宋" w:eastAsia="仿宋" w:cs="仿宋"/>
          <w:color w:val="auto"/>
          <w:sz w:val="24"/>
          <w:highlight w:val="none"/>
        </w:rPr>
      </w:pPr>
    </w:p>
    <w:p w14:paraId="6AC863E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9A7699">
      <w:pPr>
        <w:spacing w:line="360" w:lineRule="exact"/>
        <w:rPr>
          <w:rFonts w:hint="eastAsia" w:ascii="仿宋" w:hAnsi="仿宋" w:eastAsia="仿宋" w:cs="仿宋"/>
          <w:color w:val="auto"/>
          <w:sz w:val="24"/>
          <w:highlight w:val="none"/>
        </w:rPr>
      </w:pPr>
    </w:p>
    <w:p w14:paraId="40E4658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DF28578">
      <w:pPr>
        <w:spacing w:line="360" w:lineRule="exact"/>
        <w:rPr>
          <w:rFonts w:hint="eastAsia" w:ascii="仿宋" w:hAnsi="仿宋" w:eastAsia="仿宋" w:cs="仿宋"/>
          <w:color w:val="auto"/>
          <w:sz w:val="24"/>
          <w:highlight w:val="none"/>
        </w:rPr>
      </w:pPr>
    </w:p>
    <w:p w14:paraId="0F0445A6">
      <w:pPr>
        <w:spacing w:line="360" w:lineRule="exact"/>
        <w:rPr>
          <w:rFonts w:hint="eastAsia" w:ascii="仿宋" w:hAnsi="仿宋" w:eastAsia="仿宋" w:cs="仿宋"/>
          <w:color w:val="auto"/>
          <w:sz w:val="24"/>
          <w:highlight w:val="none"/>
        </w:rPr>
      </w:pPr>
    </w:p>
    <w:p w14:paraId="0A15F3C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37E2F1F">
      <w:pPr>
        <w:spacing w:line="360" w:lineRule="exact"/>
        <w:rPr>
          <w:rFonts w:hint="eastAsia" w:ascii="仿宋" w:hAnsi="仿宋" w:eastAsia="仿宋" w:cs="仿宋"/>
          <w:color w:val="auto"/>
          <w:sz w:val="24"/>
          <w:highlight w:val="none"/>
        </w:rPr>
      </w:pPr>
    </w:p>
    <w:p w14:paraId="129E877A">
      <w:pPr>
        <w:spacing w:line="360" w:lineRule="exact"/>
        <w:rPr>
          <w:rFonts w:hint="eastAsia" w:ascii="仿宋" w:hAnsi="仿宋" w:eastAsia="仿宋" w:cs="仿宋"/>
          <w:color w:val="auto"/>
          <w:sz w:val="24"/>
          <w:highlight w:val="none"/>
        </w:rPr>
      </w:pPr>
    </w:p>
    <w:p w14:paraId="29C76C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35E1A2E">
      <w:pPr>
        <w:spacing w:line="360" w:lineRule="exact"/>
        <w:rPr>
          <w:rFonts w:hint="eastAsia" w:ascii="仿宋" w:hAnsi="仿宋" w:eastAsia="仿宋" w:cs="仿宋"/>
          <w:color w:val="auto"/>
          <w:sz w:val="24"/>
          <w:highlight w:val="none"/>
        </w:rPr>
      </w:pPr>
    </w:p>
    <w:p w14:paraId="5CC104AB">
      <w:pPr>
        <w:spacing w:line="360" w:lineRule="exact"/>
        <w:rPr>
          <w:rFonts w:hint="eastAsia" w:ascii="仿宋" w:hAnsi="仿宋" w:eastAsia="仿宋" w:cs="仿宋"/>
          <w:color w:val="auto"/>
          <w:sz w:val="24"/>
          <w:highlight w:val="none"/>
        </w:rPr>
      </w:pPr>
    </w:p>
    <w:p w14:paraId="16F5BE55">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F073FB4">
      <w:pPr>
        <w:ind w:firstLine="4920" w:firstLineChars="2050"/>
        <w:jc w:val="left"/>
        <w:rPr>
          <w:rFonts w:hint="eastAsia" w:ascii="仿宋" w:hAnsi="仿宋" w:eastAsia="仿宋" w:cs="仿宋"/>
          <w:color w:val="auto"/>
          <w:sz w:val="24"/>
          <w:highlight w:val="none"/>
        </w:rPr>
      </w:pPr>
    </w:p>
    <w:p w14:paraId="2577AE12">
      <w:pPr>
        <w:spacing w:line="800" w:lineRule="exact"/>
        <w:rPr>
          <w:rFonts w:hint="eastAsia" w:ascii="仿宋" w:hAnsi="仿宋" w:eastAsia="仿宋" w:cs="仿宋"/>
          <w:b/>
          <w:color w:val="auto"/>
          <w:sz w:val="24"/>
          <w:highlight w:val="none"/>
        </w:rPr>
      </w:pPr>
    </w:p>
    <w:p w14:paraId="7AC4A841">
      <w:pPr>
        <w:spacing w:line="800" w:lineRule="exact"/>
        <w:rPr>
          <w:rFonts w:hint="eastAsia" w:ascii="仿宋" w:hAnsi="仿宋" w:eastAsia="仿宋" w:cs="仿宋"/>
          <w:b/>
          <w:color w:val="auto"/>
          <w:sz w:val="24"/>
          <w:highlight w:val="none"/>
        </w:rPr>
      </w:pPr>
    </w:p>
    <w:p w14:paraId="06E066C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3BA55A5">
      <w:pPr>
        <w:jc w:val="center"/>
        <w:rPr>
          <w:rFonts w:hint="eastAsia" w:ascii="仿宋" w:hAnsi="仿宋" w:eastAsia="仿宋" w:cs="仿宋"/>
          <w:b/>
          <w:color w:val="auto"/>
          <w:sz w:val="24"/>
          <w:highlight w:val="none"/>
        </w:rPr>
      </w:pPr>
    </w:p>
    <w:p w14:paraId="56139F8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A94A49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9228F6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F12D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A3B4E71">
      <w:pPr>
        <w:snapToGrid w:val="0"/>
        <w:spacing w:line="600" w:lineRule="exact"/>
        <w:jc w:val="left"/>
        <w:rPr>
          <w:rFonts w:hint="eastAsia" w:ascii="仿宋" w:hAnsi="仿宋" w:eastAsia="仿宋" w:cs="仿宋"/>
          <w:color w:val="auto"/>
          <w:sz w:val="24"/>
          <w:highlight w:val="none"/>
        </w:rPr>
      </w:pPr>
    </w:p>
    <w:p w14:paraId="46D293F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92D78A6">
      <w:pPr>
        <w:spacing w:line="360" w:lineRule="exact"/>
        <w:rPr>
          <w:rFonts w:hint="eastAsia" w:ascii="仿宋" w:hAnsi="仿宋" w:eastAsia="仿宋" w:cs="仿宋"/>
          <w:color w:val="auto"/>
          <w:sz w:val="24"/>
          <w:highlight w:val="none"/>
        </w:rPr>
      </w:pPr>
    </w:p>
    <w:p w14:paraId="18F267D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11B3224">
      <w:pPr>
        <w:spacing w:line="360" w:lineRule="exact"/>
        <w:rPr>
          <w:rFonts w:hint="eastAsia" w:ascii="仿宋" w:hAnsi="仿宋" w:eastAsia="仿宋" w:cs="仿宋"/>
          <w:color w:val="auto"/>
          <w:sz w:val="24"/>
          <w:highlight w:val="none"/>
        </w:rPr>
      </w:pPr>
    </w:p>
    <w:p w14:paraId="22BFAF3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EECD49C">
      <w:pPr>
        <w:spacing w:line="360" w:lineRule="exact"/>
        <w:rPr>
          <w:rFonts w:hint="eastAsia" w:ascii="仿宋" w:hAnsi="仿宋" w:eastAsia="仿宋" w:cs="仿宋"/>
          <w:color w:val="auto"/>
          <w:sz w:val="24"/>
          <w:highlight w:val="none"/>
        </w:rPr>
      </w:pPr>
    </w:p>
    <w:p w14:paraId="0E3FF29C">
      <w:pPr>
        <w:spacing w:line="360" w:lineRule="exact"/>
        <w:rPr>
          <w:rFonts w:hint="eastAsia" w:ascii="仿宋" w:hAnsi="仿宋" w:eastAsia="仿宋" w:cs="仿宋"/>
          <w:color w:val="auto"/>
          <w:sz w:val="24"/>
          <w:highlight w:val="none"/>
        </w:rPr>
      </w:pPr>
    </w:p>
    <w:p w14:paraId="7F7A3E38">
      <w:pPr>
        <w:jc w:val="center"/>
        <w:rPr>
          <w:rFonts w:hint="eastAsia" w:ascii="仿宋" w:hAnsi="仿宋" w:eastAsia="仿宋" w:cs="仿宋"/>
          <w:b/>
          <w:color w:val="auto"/>
          <w:kern w:val="0"/>
          <w:sz w:val="32"/>
          <w:szCs w:val="32"/>
          <w:highlight w:val="none"/>
        </w:rPr>
      </w:pPr>
    </w:p>
    <w:p w14:paraId="1EC2DB31">
      <w:pPr>
        <w:rPr>
          <w:rFonts w:hint="eastAsia" w:ascii="仿宋" w:hAnsi="仿宋" w:eastAsia="仿宋" w:cs="仿宋"/>
          <w:color w:val="auto"/>
          <w:highlight w:val="none"/>
        </w:rPr>
      </w:pPr>
    </w:p>
    <w:p w14:paraId="695BAA8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BE1992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56DEF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DABC2C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5E1F6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B0243E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18843BC">
      <w:pPr>
        <w:spacing w:line="800" w:lineRule="exact"/>
        <w:rPr>
          <w:rFonts w:hint="eastAsia" w:ascii="仿宋" w:hAnsi="仿宋" w:eastAsia="仿宋" w:cs="仿宋"/>
          <w:b/>
          <w:color w:val="auto"/>
          <w:sz w:val="24"/>
          <w:highlight w:val="none"/>
        </w:rPr>
      </w:pPr>
    </w:p>
    <w:p w14:paraId="3E03D331">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14:paraId="2122122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14:paraId="2FE7F22C">
      <w:pPr>
        <w:spacing w:line="800" w:lineRule="exact"/>
        <w:rPr>
          <w:rFonts w:hint="eastAsia" w:ascii="仿宋" w:hAnsi="仿宋" w:eastAsia="仿宋" w:cs="仿宋"/>
          <w:b/>
          <w:color w:val="auto"/>
          <w:sz w:val="24"/>
          <w:highlight w:val="none"/>
        </w:rPr>
      </w:pPr>
    </w:p>
    <w:p w14:paraId="254BDF3A">
      <w:pPr>
        <w:spacing w:line="800" w:lineRule="exact"/>
        <w:rPr>
          <w:rFonts w:hint="eastAsia" w:ascii="仿宋" w:hAnsi="仿宋" w:eastAsia="仿宋" w:cs="仿宋"/>
          <w:b/>
          <w:color w:val="auto"/>
          <w:sz w:val="24"/>
          <w:highlight w:val="none"/>
        </w:rPr>
      </w:pPr>
    </w:p>
    <w:p w14:paraId="6CD36126">
      <w:pPr>
        <w:spacing w:line="800" w:lineRule="exact"/>
        <w:jc w:val="center"/>
        <w:rPr>
          <w:rFonts w:hint="eastAsia" w:ascii="仿宋" w:hAnsi="仿宋" w:eastAsia="仿宋" w:cs="仿宋"/>
          <w:b/>
          <w:color w:val="auto"/>
          <w:sz w:val="30"/>
          <w:szCs w:val="30"/>
          <w:highlight w:val="none"/>
          <w:lang w:eastAsia="zh-CN"/>
        </w:rPr>
      </w:pPr>
    </w:p>
    <w:p w14:paraId="003BC1F9">
      <w:pPr>
        <w:spacing w:line="800" w:lineRule="exact"/>
        <w:jc w:val="center"/>
        <w:rPr>
          <w:rFonts w:hint="eastAsia" w:ascii="仿宋" w:hAnsi="仿宋" w:eastAsia="仿宋" w:cs="仿宋"/>
          <w:b/>
          <w:color w:val="auto"/>
          <w:sz w:val="30"/>
          <w:szCs w:val="30"/>
          <w:highlight w:val="none"/>
          <w:lang w:eastAsia="zh-CN"/>
        </w:rPr>
      </w:pPr>
    </w:p>
    <w:p w14:paraId="213AD2C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14:paraId="7EAAB71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2A0D89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6DFB72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657D9D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58039D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611D0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58FBB6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F8DD65A">
      <w:pPr>
        <w:spacing w:line="440" w:lineRule="exact"/>
        <w:rPr>
          <w:rFonts w:hint="eastAsia" w:ascii="仿宋" w:hAnsi="仿宋" w:eastAsia="仿宋" w:cs="仿宋"/>
          <w:color w:val="auto"/>
          <w:sz w:val="24"/>
          <w:highlight w:val="none"/>
        </w:rPr>
      </w:pPr>
    </w:p>
    <w:p w14:paraId="715988E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5855E0A2">
      <w:pPr>
        <w:spacing w:line="440" w:lineRule="exact"/>
        <w:ind w:right="480"/>
        <w:rPr>
          <w:rFonts w:hint="eastAsia" w:ascii="仿宋" w:hAnsi="仿宋" w:eastAsia="仿宋" w:cs="仿宋"/>
          <w:color w:val="auto"/>
          <w:sz w:val="24"/>
          <w:highlight w:val="none"/>
        </w:rPr>
      </w:pPr>
    </w:p>
    <w:p w14:paraId="1AFE03C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5BE255A">
      <w:pPr>
        <w:jc w:val="center"/>
        <w:rPr>
          <w:rFonts w:hint="eastAsia" w:ascii="仿宋" w:hAnsi="仿宋" w:eastAsia="仿宋" w:cs="仿宋"/>
          <w:b/>
          <w:color w:val="auto"/>
          <w:kern w:val="0"/>
          <w:sz w:val="32"/>
          <w:szCs w:val="32"/>
          <w:highlight w:val="none"/>
        </w:rPr>
      </w:pPr>
    </w:p>
    <w:p w14:paraId="094FBCE0">
      <w:pPr>
        <w:jc w:val="center"/>
        <w:rPr>
          <w:rFonts w:hint="eastAsia" w:ascii="仿宋" w:hAnsi="仿宋" w:eastAsia="仿宋" w:cs="仿宋"/>
          <w:b/>
          <w:color w:val="auto"/>
          <w:kern w:val="0"/>
          <w:sz w:val="32"/>
          <w:szCs w:val="32"/>
          <w:highlight w:val="none"/>
        </w:rPr>
      </w:pPr>
    </w:p>
    <w:p w14:paraId="2EE81D2E">
      <w:pPr>
        <w:jc w:val="both"/>
        <w:rPr>
          <w:rFonts w:hint="eastAsia" w:ascii="仿宋" w:hAnsi="仿宋" w:eastAsia="仿宋" w:cs="仿宋"/>
          <w:b/>
          <w:color w:val="auto"/>
          <w:kern w:val="0"/>
          <w:sz w:val="32"/>
          <w:szCs w:val="32"/>
          <w:highlight w:val="none"/>
        </w:rPr>
      </w:pPr>
    </w:p>
    <w:p w14:paraId="2BEA200C">
      <w:pPr>
        <w:jc w:val="center"/>
        <w:rPr>
          <w:rFonts w:hint="eastAsia" w:ascii="仿宋" w:hAnsi="仿宋" w:eastAsia="仿宋" w:cs="仿宋"/>
          <w:b/>
          <w:color w:val="auto"/>
          <w:kern w:val="0"/>
          <w:sz w:val="32"/>
          <w:szCs w:val="32"/>
          <w:highlight w:val="none"/>
          <w:lang w:eastAsia="zh-CN"/>
        </w:rPr>
      </w:pPr>
    </w:p>
    <w:p w14:paraId="2444E99E">
      <w:pPr>
        <w:jc w:val="center"/>
        <w:rPr>
          <w:rFonts w:hint="eastAsia" w:ascii="仿宋" w:hAnsi="仿宋" w:eastAsia="仿宋" w:cs="仿宋"/>
          <w:b/>
          <w:color w:val="auto"/>
          <w:kern w:val="0"/>
          <w:sz w:val="32"/>
          <w:szCs w:val="32"/>
          <w:highlight w:val="none"/>
          <w:lang w:eastAsia="zh-CN"/>
        </w:rPr>
      </w:pPr>
    </w:p>
    <w:p w14:paraId="204D9AED">
      <w:pPr>
        <w:jc w:val="center"/>
        <w:rPr>
          <w:rFonts w:hint="eastAsia" w:ascii="仿宋" w:hAnsi="仿宋" w:eastAsia="仿宋" w:cs="仿宋"/>
          <w:b/>
          <w:color w:val="auto"/>
          <w:kern w:val="0"/>
          <w:sz w:val="32"/>
          <w:szCs w:val="32"/>
          <w:highlight w:val="none"/>
          <w:lang w:eastAsia="zh-CN"/>
        </w:rPr>
      </w:pPr>
    </w:p>
    <w:p w14:paraId="2C316BAF">
      <w:pPr>
        <w:jc w:val="center"/>
        <w:rPr>
          <w:rFonts w:hint="eastAsia" w:ascii="仿宋" w:hAnsi="仿宋" w:eastAsia="仿宋" w:cs="仿宋"/>
          <w:b/>
          <w:color w:val="auto"/>
          <w:kern w:val="0"/>
          <w:sz w:val="32"/>
          <w:szCs w:val="32"/>
          <w:highlight w:val="none"/>
          <w:lang w:eastAsia="zh-CN"/>
        </w:rPr>
      </w:pPr>
    </w:p>
    <w:p w14:paraId="4B5B8D1C">
      <w:pPr>
        <w:jc w:val="center"/>
        <w:rPr>
          <w:rFonts w:hint="eastAsia" w:ascii="仿宋" w:hAnsi="仿宋" w:eastAsia="仿宋" w:cs="仿宋"/>
          <w:b/>
          <w:color w:val="auto"/>
          <w:kern w:val="0"/>
          <w:sz w:val="32"/>
          <w:szCs w:val="32"/>
          <w:highlight w:val="none"/>
          <w:lang w:eastAsia="zh-CN"/>
        </w:rPr>
      </w:pPr>
    </w:p>
    <w:p w14:paraId="79EF4F6A">
      <w:pPr>
        <w:jc w:val="center"/>
        <w:rPr>
          <w:rFonts w:hint="eastAsia" w:ascii="仿宋" w:hAnsi="仿宋" w:eastAsia="仿宋" w:cs="仿宋"/>
          <w:b/>
          <w:color w:val="auto"/>
          <w:kern w:val="0"/>
          <w:sz w:val="32"/>
          <w:szCs w:val="32"/>
          <w:highlight w:val="none"/>
          <w:lang w:eastAsia="zh-CN"/>
        </w:rPr>
      </w:pPr>
    </w:p>
    <w:p w14:paraId="0F1E7FEC">
      <w:pPr>
        <w:jc w:val="center"/>
        <w:rPr>
          <w:rFonts w:hint="eastAsia" w:ascii="仿宋" w:hAnsi="仿宋" w:eastAsia="仿宋" w:cs="仿宋"/>
          <w:b/>
          <w:color w:val="auto"/>
          <w:kern w:val="0"/>
          <w:sz w:val="32"/>
          <w:szCs w:val="32"/>
          <w:highlight w:val="none"/>
          <w:lang w:eastAsia="zh-CN"/>
        </w:rPr>
      </w:pPr>
    </w:p>
    <w:p w14:paraId="14A6D9D9">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639C5912">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14:paraId="6846069F">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73FB9FC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43C39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498711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4AE195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0A0AC6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14:paraId="57A703A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C76D6EC">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76B1F8C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467934EF">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C8B7E5A">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14:paraId="2A79BF1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22292216">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3F9092E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6A9D154F">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1410F1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227D8CA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021AC16">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2C72CFC">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620A850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191E7C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0A6A68E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DB58E9D">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301C368B">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357812F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01D959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149FC57C">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05B5A684">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654F9A58">
      <w:pPr>
        <w:pStyle w:val="8"/>
        <w:jc w:val="center"/>
        <w:rPr>
          <w:rFonts w:hint="eastAsia" w:ascii="仿宋" w:hAnsi="仿宋" w:eastAsia="仿宋" w:cs="仿宋"/>
          <w:b/>
          <w:bCs/>
          <w:color w:val="auto"/>
          <w:sz w:val="24"/>
          <w:szCs w:val="24"/>
          <w:highlight w:val="none"/>
          <w:lang w:val="en-US" w:eastAsia="zh-CN"/>
        </w:rPr>
      </w:pPr>
    </w:p>
    <w:p w14:paraId="7A4B1423">
      <w:pPr>
        <w:pStyle w:val="8"/>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14:paraId="46617DE8">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3766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0BCDFA08">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64D53A8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23BBA3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343982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6ED2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427A07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BD58BDB">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2AF36E7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6334830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5754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67824DF2">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307E628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3C6993AA">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72164282">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3713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1E0A5B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2677641B">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793FDBA">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A79BAE6">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3C1E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220A8911">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316EB32">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0FCE1596">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26F61ED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08DE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8F41F7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2E14DEE5">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34218DC9">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D3489D2">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14:paraId="2501C7BD">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要求相比较且真实填列。</w:t>
      </w:r>
    </w:p>
    <w:p w14:paraId="04ADCDE5">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14:paraId="3F630162">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9AA4A0C">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3F8043F5">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14:paraId="267BE410">
      <w:pPr>
        <w:pStyle w:val="84"/>
        <w:jc w:val="center"/>
        <w:rPr>
          <w:rFonts w:hint="eastAsia" w:ascii="仿宋" w:hAnsi="仿宋" w:eastAsia="仿宋" w:cs="仿宋"/>
          <w:b/>
          <w:bCs/>
          <w:color w:val="auto"/>
          <w:sz w:val="24"/>
          <w:highlight w:val="none"/>
        </w:rPr>
      </w:pPr>
    </w:p>
    <w:p w14:paraId="538B57A3">
      <w:pPr>
        <w:spacing w:line="360" w:lineRule="auto"/>
        <w:jc w:val="center"/>
        <w:rPr>
          <w:rFonts w:hint="eastAsia" w:ascii="仿宋_GB2312" w:hAnsi="仿宋_GB2312" w:eastAsia="仿宋_GB2312" w:cs="仿宋_GB2312"/>
          <w:b/>
          <w:color w:val="auto"/>
          <w:sz w:val="32"/>
          <w:szCs w:val="32"/>
          <w:highlight w:val="none"/>
          <w:lang w:val="en-US" w:eastAsia="zh-CN"/>
        </w:rPr>
      </w:pPr>
    </w:p>
    <w:p w14:paraId="0664E20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6B5530D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4"/>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4E01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31D578C8">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232" w:type="dxa"/>
            <w:noWrap w:val="0"/>
            <w:vAlign w:val="center"/>
          </w:tcPr>
          <w:p w14:paraId="599E21DE">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合同</w:t>
            </w:r>
            <w:r>
              <w:rPr>
                <w:rFonts w:hint="eastAsia" w:ascii="仿宋" w:hAnsi="仿宋" w:eastAsia="仿宋" w:cs="仿宋"/>
                <w:b/>
                <w:color w:val="auto"/>
                <w:sz w:val="24"/>
                <w:szCs w:val="24"/>
                <w:highlight w:val="none"/>
              </w:rPr>
              <w:t>时间</w:t>
            </w:r>
          </w:p>
        </w:tc>
        <w:tc>
          <w:tcPr>
            <w:tcW w:w="1390" w:type="dxa"/>
            <w:noWrap w:val="0"/>
            <w:vAlign w:val="center"/>
          </w:tcPr>
          <w:p w14:paraId="3853AB3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项目名称 </w:t>
            </w:r>
          </w:p>
        </w:tc>
        <w:tc>
          <w:tcPr>
            <w:tcW w:w="966" w:type="dxa"/>
            <w:noWrap w:val="0"/>
            <w:vAlign w:val="center"/>
          </w:tcPr>
          <w:p w14:paraId="45B4D3D4">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金额</w:t>
            </w:r>
          </w:p>
        </w:tc>
        <w:tc>
          <w:tcPr>
            <w:tcW w:w="1242" w:type="dxa"/>
            <w:noWrap w:val="0"/>
            <w:vAlign w:val="center"/>
          </w:tcPr>
          <w:p w14:paraId="645BE047">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实施情况</w:t>
            </w:r>
          </w:p>
        </w:tc>
        <w:tc>
          <w:tcPr>
            <w:tcW w:w="1229" w:type="dxa"/>
            <w:noWrap w:val="0"/>
            <w:vAlign w:val="center"/>
          </w:tcPr>
          <w:p w14:paraId="1F3BCC95">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采购方单位名称</w:t>
            </w:r>
          </w:p>
        </w:tc>
        <w:tc>
          <w:tcPr>
            <w:tcW w:w="1428" w:type="dxa"/>
            <w:noWrap w:val="0"/>
            <w:vAlign w:val="center"/>
          </w:tcPr>
          <w:p w14:paraId="15A90608">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联系人姓名</w:t>
            </w:r>
          </w:p>
          <w:p w14:paraId="3BB3EF86">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联系方式</w:t>
            </w:r>
          </w:p>
        </w:tc>
        <w:tc>
          <w:tcPr>
            <w:tcW w:w="1248" w:type="dxa"/>
            <w:noWrap w:val="0"/>
            <w:vAlign w:val="center"/>
          </w:tcPr>
          <w:p w14:paraId="3305080A">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所在页码</w:t>
            </w:r>
          </w:p>
        </w:tc>
      </w:tr>
      <w:tr w14:paraId="1E6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noWrap w:val="0"/>
            <w:vAlign w:val="center"/>
          </w:tcPr>
          <w:p w14:paraId="7C888E82">
            <w:pPr>
              <w:jc w:val="center"/>
              <w:rPr>
                <w:rFonts w:hint="eastAsia" w:ascii="仿宋" w:hAnsi="仿宋" w:eastAsia="仿宋" w:cs="仿宋"/>
                <w:color w:val="auto"/>
                <w:sz w:val="24"/>
                <w:szCs w:val="24"/>
                <w:highlight w:val="none"/>
              </w:rPr>
            </w:pPr>
          </w:p>
        </w:tc>
        <w:tc>
          <w:tcPr>
            <w:tcW w:w="1232" w:type="dxa"/>
            <w:noWrap w:val="0"/>
            <w:vAlign w:val="top"/>
          </w:tcPr>
          <w:p w14:paraId="176080F1">
            <w:pPr>
              <w:jc w:val="center"/>
              <w:rPr>
                <w:rFonts w:hint="eastAsia" w:ascii="仿宋" w:hAnsi="仿宋" w:eastAsia="仿宋" w:cs="仿宋"/>
                <w:color w:val="auto"/>
                <w:sz w:val="24"/>
                <w:szCs w:val="24"/>
                <w:highlight w:val="none"/>
              </w:rPr>
            </w:pPr>
          </w:p>
        </w:tc>
        <w:tc>
          <w:tcPr>
            <w:tcW w:w="1390" w:type="dxa"/>
            <w:noWrap w:val="0"/>
            <w:vAlign w:val="center"/>
          </w:tcPr>
          <w:p w14:paraId="7A65C3CB">
            <w:pPr>
              <w:jc w:val="center"/>
              <w:rPr>
                <w:rFonts w:hint="eastAsia" w:ascii="仿宋" w:hAnsi="仿宋" w:eastAsia="仿宋" w:cs="仿宋"/>
                <w:color w:val="auto"/>
                <w:sz w:val="24"/>
                <w:szCs w:val="24"/>
                <w:highlight w:val="none"/>
              </w:rPr>
            </w:pPr>
          </w:p>
        </w:tc>
        <w:tc>
          <w:tcPr>
            <w:tcW w:w="966" w:type="dxa"/>
            <w:noWrap w:val="0"/>
            <w:vAlign w:val="center"/>
          </w:tcPr>
          <w:p w14:paraId="116D4283">
            <w:pPr>
              <w:jc w:val="center"/>
              <w:rPr>
                <w:rFonts w:hint="eastAsia" w:ascii="仿宋" w:hAnsi="仿宋" w:eastAsia="仿宋" w:cs="仿宋"/>
                <w:color w:val="auto"/>
                <w:sz w:val="24"/>
                <w:szCs w:val="24"/>
                <w:highlight w:val="none"/>
              </w:rPr>
            </w:pPr>
          </w:p>
        </w:tc>
        <w:tc>
          <w:tcPr>
            <w:tcW w:w="1242" w:type="dxa"/>
            <w:noWrap w:val="0"/>
            <w:vAlign w:val="center"/>
          </w:tcPr>
          <w:p w14:paraId="736DE72F">
            <w:pPr>
              <w:jc w:val="center"/>
              <w:rPr>
                <w:rFonts w:hint="eastAsia" w:ascii="仿宋" w:hAnsi="仿宋" w:eastAsia="仿宋" w:cs="仿宋"/>
                <w:color w:val="auto"/>
                <w:sz w:val="24"/>
                <w:szCs w:val="24"/>
                <w:highlight w:val="none"/>
              </w:rPr>
            </w:pPr>
          </w:p>
        </w:tc>
        <w:tc>
          <w:tcPr>
            <w:tcW w:w="1229" w:type="dxa"/>
            <w:noWrap w:val="0"/>
            <w:vAlign w:val="center"/>
          </w:tcPr>
          <w:p w14:paraId="39128536">
            <w:pPr>
              <w:jc w:val="center"/>
              <w:rPr>
                <w:rFonts w:hint="eastAsia" w:ascii="仿宋" w:hAnsi="仿宋" w:eastAsia="仿宋" w:cs="仿宋"/>
                <w:color w:val="auto"/>
                <w:sz w:val="24"/>
                <w:szCs w:val="24"/>
                <w:highlight w:val="none"/>
              </w:rPr>
            </w:pPr>
          </w:p>
        </w:tc>
        <w:tc>
          <w:tcPr>
            <w:tcW w:w="1428" w:type="dxa"/>
            <w:noWrap w:val="0"/>
            <w:vAlign w:val="center"/>
          </w:tcPr>
          <w:p w14:paraId="7EE00BD8">
            <w:pPr>
              <w:jc w:val="center"/>
              <w:rPr>
                <w:rFonts w:hint="eastAsia" w:ascii="仿宋" w:hAnsi="仿宋" w:eastAsia="仿宋" w:cs="仿宋"/>
                <w:color w:val="auto"/>
                <w:sz w:val="24"/>
                <w:szCs w:val="24"/>
                <w:highlight w:val="none"/>
              </w:rPr>
            </w:pPr>
          </w:p>
        </w:tc>
        <w:tc>
          <w:tcPr>
            <w:tcW w:w="1248" w:type="dxa"/>
            <w:noWrap w:val="0"/>
            <w:vAlign w:val="center"/>
          </w:tcPr>
          <w:p w14:paraId="5664B7E7">
            <w:pPr>
              <w:jc w:val="center"/>
              <w:rPr>
                <w:rFonts w:hint="eastAsia" w:ascii="仿宋" w:hAnsi="仿宋" w:eastAsia="仿宋" w:cs="仿宋"/>
                <w:color w:val="auto"/>
                <w:sz w:val="24"/>
                <w:szCs w:val="24"/>
                <w:highlight w:val="none"/>
              </w:rPr>
            </w:pPr>
          </w:p>
        </w:tc>
      </w:tr>
      <w:tr w14:paraId="7E38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noWrap w:val="0"/>
            <w:vAlign w:val="center"/>
          </w:tcPr>
          <w:p w14:paraId="7A66E895">
            <w:pPr>
              <w:jc w:val="center"/>
              <w:rPr>
                <w:rFonts w:hint="eastAsia" w:ascii="仿宋" w:hAnsi="仿宋" w:eastAsia="仿宋" w:cs="仿宋"/>
                <w:color w:val="auto"/>
                <w:sz w:val="24"/>
                <w:szCs w:val="24"/>
                <w:highlight w:val="none"/>
              </w:rPr>
            </w:pPr>
          </w:p>
        </w:tc>
        <w:tc>
          <w:tcPr>
            <w:tcW w:w="1232" w:type="dxa"/>
            <w:noWrap w:val="0"/>
            <w:vAlign w:val="top"/>
          </w:tcPr>
          <w:p w14:paraId="0D1C2484">
            <w:pPr>
              <w:jc w:val="center"/>
              <w:rPr>
                <w:rFonts w:hint="eastAsia" w:ascii="仿宋" w:hAnsi="仿宋" w:eastAsia="仿宋" w:cs="仿宋"/>
                <w:color w:val="auto"/>
                <w:sz w:val="24"/>
                <w:szCs w:val="24"/>
                <w:highlight w:val="none"/>
              </w:rPr>
            </w:pPr>
          </w:p>
        </w:tc>
        <w:tc>
          <w:tcPr>
            <w:tcW w:w="1390" w:type="dxa"/>
            <w:noWrap w:val="0"/>
            <w:vAlign w:val="center"/>
          </w:tcPr>
          <w:p w14:paraId="3DA2D934">
            <w:pPr>
              <w:jc w:val="center"/>
              <w:rPr>
                <w:rFonts w:hint="eastAsia" w:ascii="仿宋" w:hAnsi="仿宋" w:eastAsia="仿宋" w:cs="仿宋"/>
                <w:color w:val="auto"/>
                <w:sz w:val="24"/>
                <w:szCs w:val="24"/>
                <w:highlight w:val="none"/>
              </w:rPr>
            </w:pPr>
          </w:p>
        </w:tc>
        <w:tc>
          <w:tcPr>
            <w:tcW w:w="966" w:type="dxa"/>
            <w:noWrap w:val="0"/>
            <w:vAlign w:val="center"/>
          </w:tcPr>
          <w:p w14:paraId="7291CA4C">
            <w:pPr>
              <w:jc w:val="center"/>
              <w:rPr>
                <w:rFonts w:hint="eastAsia" w:ascii="仿宋" w:hAnsi="仿宋" w:eastAsia="仿宋" w:cs="仿宋"/>
                <w:color w:val="auto"/>
                <w:sz w:val="24"/>
                <w:szCs w:val="24"/>
                <w:highlight w:val="none"/>
              </w:rPr>
            </w:pPr>
          </w:p>
        </w:tc>
        <w:tc>
          <w:tcPr>
            <w:tcW w:w="1242" w:type="dxa"/>
            <w:noWrap w:val="0"/>
            <w:vAlign w:val="center"/>
          </w:tcPr>
          <w:p w14:paraId="7C9EFEE8">
            <w:pPr>
              <w:jc w:val="center"/>
              <w:rPr>
                <w:rFonts w:hint="eastAsia" w:ascii="仿宋" w:hAnsi="仿宋" w:eastAsia="仿宋" w:cs="仿宋"/>
                <w:color w:val="auto"/>
                <w:sz w:val="24"/>
                <w:szCs w:val="24"/>
                <w:highlight w:val="none"/>
              </w:rPr>
            </w:pPr>
          </w:p>
        </w:tc>
        <w:tc>
          <w:tcPr>
            <w:tcW w:w="1229" w:type="dxa"/>
            <w:noWrap w:val="0"/>
            <w:vAlign w:val="center"/>
          </w:tcPr>
          <w:p w14:paraId="3ACB1FC1">
            <w:pPr>
              <w:jc w:val="center"/>
              <w:rPr>
                <w:rFonts w:hint="eastAsia" w:ascii="仿宋" w:hAnsi="仿宋" w:eastAsia="仿宋" w:cs="仿宋"/>
                <w:color w:val="auto"/>
                <w:sz w:val="24"/>
                <w:szCs w:val="24"/>
                <w:highlight w:val="none"/>
              </w:rPr>
            </w:pPr>
          </w:p>
        </w:tc>
        <w:tc>
          <w:tcPr>
            <w:tcW w:w="1428" w:type="dxa"/>
            <w:noWrap w:val="0"/>
            <w:vAlign w:val="center"/>
          </w:tcPr>
          <w:p w14:paraId="1E63E3BA">
            <w:pPr>
              <w:jc w:val="center"/>
              <w:rPr>
                <w:rFonts w:hint="eastAsia" w:ascii="仿宋" w:hAnsi="仿宋" w:eastAsia="仿宋" w:cs="仿宋"/>
                <w:color w:val="auto"/>
                <w:sz w:val="24"/>
                <w:szCs w:val="24"/>
                <w:highlight w:val="none"/>
              </w:rPr>
            </w:pPr>
          </w:p>
        </w:tc>
        <w:tc>
          <w:tcPr>
            <w:tcW w:w="1248" w:type="dxa"/>
            <w:noWrap w:val="0"/>
            <w:vAlign w:val="center"/>
          </w:tcPr>
          <w:p w14:paraId="20257344">
            <w:pPr>
              <w:jc w:val="center"/>
              <w:rPr>
                <w:rFonts w:hint="eastAsia" w:ascii="仿宋" w:hAnsi="仿宋" w:eastAsia="仿宋" w:cs="仿宋"/>
                <w:color w:val="auto"/>
                <w:sz w:val="24"/>
                <w:szCs w:val="24"/>
                <w:highlight w:val="none"/>
              </w:rPr>
            </w:pPr>
          </w:p>
        </w:tc>
      </w:tr>
      <w:tr w14:paraId="3B36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noWrap w:val="0"/>
            <w:vAlign w:val="center"/>
          </w:tcPr>
          <w:p w14:paraId="004B52F9">
            <w:pPr>
              <w:jc w:val="center"/>
              <w:rPr>
                <w:rFonts w:hint="eastAsia" w:ascii="仿宋" w:hAnsi="仿宋" w:eastAsia="仿宋" w:cs="仿宋"/>
                <w:color w:val="auto"/>
                <w:sz w:val="24"/>
                <w:szCs w:val="24"/>
                <w:highlight w:val="none"/>
              </w:rPr>
            </w:pPr>
          </w:p>
        </w:tc>
        <w:tc>
          <w:tcPr>
            <w:tcW w:w="1232" w:type="dxa"/>
            <w:noWrap w:val="0"/>
            <w:vAlign w:val="top"/>
          </w:tcPr>
          <w:p w14:paraId="2CC444A9">
            <w:pPr>
              <w:jc w:val="center"/>
              <w:rPr>
                <w:rFonts w:hint="eastAsia" w:ascii="仿宋" w:hAnsi="仿宋" w:eastAsia="仿宋" w:cs="仿宋"/>
                <w:color w:val="auto"/>
                <w:sz w:val="24"/>
                <w:szCs w:val="24"/>
                <w:highlight w:val="none"/>
              </w:rPr>
            </w:pPr>
          </w:p>
        </w:tc>
        <w:tc>
          <w:tcPr>
            <w:tcW w:w="1390" w:type="dxa"/>
            <w:noWrap w:val="0"/>
            <w:vAlign w:val="center"/>
          </w:tcPr>
          <w:p w14:paraId="1492A6D2">
            <w:pPr>
              <w:jc w:val="center"/>
              <w:rPr>
                <w:rFonts w:hint="eastAsia" w:ascii="仿宋" w:hAnsi="仿宋" w:eastAsia="仿宋" w:cs="仿宋"/>
                <w:color w:val="auto"/>
                <w:sz w:val="24"/>
                <w:szCs w:val="24"/>
                <w:highlight w:val="none"/>
              </w:rPr>
            </w:pPr>
          </w:p>
        </w:tc>
        <w:tc>
          <w:tcPr>
            <w:tcW w:w="966" w:type="dxa"/>
            <w:noWrap w:val="0"/>
            <w:vAlign w:val="center"/>
          </w:tcPr>
          <w:p w14:paraId="3B430AEB">
            <w:pPr>
              <w:jc w:val="center"/>
              <w:rPr>
                <w:rFonts w:hint="eastAsia" w:ascii="仿宋" w:hAnsi="仿宋" w:eastAsia="仿宋" w:cs="仿宋"/>
                <w:color w:val="auto"/>
                <w:sz w:val="24"/>
                <w:szCs w:val="24"/>
                <w:highlight w:val="none"/>
              </w:rPr>
            </w:pPr>
          </w:p>
        </w:tc>
        <w:tc>
          <w:tcPr>
            <w:tcW w:w="1242" w:type="dxa"/>
            <w:noWrap w:val="0"/>
            <w:vAlign w:val="center"/>
          </w:tcPr>
          <w:p w14:paraId="395C4F78">
            <w:pPr>
              <w:jc w:val="center"/>
              <w:rPr>
                <w:rFonts w:hint="eastAsia" w:ascii="仿宋" w:hAnsi="仿宋" w:eastAsia="仿宋" w:cs="仿宋"/>
                <w:color w:val="auto"/>
                <w:sz w:val="24"/>
                <w:szCs w:val="24"/>
                <w:highlight w:val="none"/>
              </w:rPr>
            </w:pPr>
          </w:p>
        </w:tc>
        <w:tc>
          <w:tcPr>
            <w:tcW w:w="1229" w:type="dxa"/>
            <w:noWrap w:val="0"/>
            <w:vAlign w:val="center"/>
          </w:tcPr>
          <w:p w14:paraId="58C02DE4">
            <w:pPr>
              <w:jc w:val="center"/>
              <w:rPr>
                <w:rFonts w:hint="eastAsia" w:ascii="仿宋" w:hAnsi="仿宋" w:eastAsia="仿宋" w:cs="仿宋"/>
                <w:color w:val="auto"/>
                <w:sz w:val="24"/>
                <w:szCs w:val="24"/>
                <w:highlight w:val="none"/>
              </w:rPr>
            </w:pPr>
          </w:p>
        </w:tc>
        <w:tc>
          <w:tcPr>
            <w:tcW w:w="1428" w:type="dxa"/>
            <w:noWrap w:val="0"/>
            <w:vAlign w:val="center"/>
          </w:tcPr>
          <w:p w14:paraId="4B538E81">
            <w:pPr>
              <w:jc w:val="center"/>
              <w:rPr>
                <w:rFonts w:hint="eastAsia" w:ascii="仿宋" w:hAnsi="仿宋" w:eastAsia="仿宋" w:cs="仿宋"/>
                <w:color w:val="auto"/>
                <w:sz w:val="24"/>
                <w:szCs w:val="24"/>
                <w:highlight w:val="none"/>
              </w:rPr>
            </w:pPr>
          </w:p>
        </w:tc>
        <w:tc>
          <w:tcPr>
            <w:tcW w:w="1248" w:type="dxa"/>
            <w:noWrap w:val="0"/>
            <w:vAlign w:val="center"/>
          </w:tcPr>
          <w:p w14:paraId="5B11C3E5">
            <w:pPr>
              <w:jc w:val="center"/>
              <w:rPr>
                <w:rFonts w:hint="eastAsia" w:ascii="仿宋" w:hAnsi="仿宋" w:eastAsia="仿宋" w:cs="仿宋"/>
                <w:color w:val="auto"/>
                <w:sz w:val="24"/>
                <w:szCs w:val="24"/>
                <w:highlight w:val="none"/>
              </w:rPr>
            </w:pPr>
          </w:p>
        </w:tc>
      </w:tr>
      <w:tr w14:paraId="206F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noWrap w:val="0"/>
            <w:vAlign w:val="center"/>
          </w:tcPr>
          <w:p w14:paraId="7F95AFA8">
            <w:pPr>
              <w:jc w:val="center"/>
              <w:rPr>
                <w:rFonts w:hint="eastAsia" w:ascii="仿宋" w:hAnsi="仿宋" w:eastAsia="仿宋" w:cs="仿宋"/>
                <w:color w:val="auto"/>
                <w:sz w:val="24"/>
                <w:szCs w:val="24"/>
                <w:highlight w:val="none"/>
              </w:rPr>
            </w:pPr>
          </w:p>
        </w:tc>
        <w:tc>
          <w:tcPr>
            <w:tcW w:w="1232" w:type="dxa"/>
            <w:noWrap w:val="0"/>
            <w:vAlign w:val="top"/>
          </w:tcPr>
          <w:p w14:paraId="762E393F">
            <w:pPr>
              <w:jc w:val="center"/>
              <w:rPr>
                <w:rFonts w:hint="eastAsia" w:ascii="仿宋" w:hAnsi="仿宋" w:eastAsia="仿宋" w:cs="仿宋"/>
                <w:color w:val="auto"/>
                <w:sz w:val="24"/>
                <w:szCs w:val="24"/>
                <w:highlight w:val="none"/>
              </w:rPr>
            </w:pPr>
          </w:p>
        </w:tc>
        <w:tc>
          <w:tcPr>
            <w:tcW w:w="1390" w:type="dxa"/>
            <w:noWrap w:val="0"/>
            <w:vAlign w:val="center"/>
          </w:tcPr>
          <w:p w14:paraId="28B4B75F">
            <w:pPr>
              <w:jc w:val="center"/>
              <w:rPr>
                <w:rFonts w:hint="eastAsia" w:ascii="仿宋" w:hAnsi="仿宋" w:eastAsia="仿宋" w:cs="仿宋"/>
                <w:color w:val="auto"/>
                <w:sz w:val="24"/>
                <w:szCs w:val="24"/>
                <w:highlight w:val="none"/>
              </w:rPr>
            </w:pPr>
          </w:p>
        </w:tc>
        <w:tc>
          <w:tcPr>
            <w:tcW w:w="966" w:type="dxa"/>
            <w:noWrap w:val="0"/>
            <w:vAlign w:val="center"/>
          </w:tcPr>
          <w:p w14:paraId="71CD3CCE">
            <w:pPr>
              <w:jc w:val="center"/>
              <w:rPr>
                <w:rFonts w:hint="eastAsia" w:ascii="仿宋" w:hAnsi="仿宋" w:eastAsia="仿宋" w:cs="仿宋"/>
                <w:color w:val="auto"/>
                <w:sz w:val="24"/>
                <w:szCs w:val="24"/>
                <w:highlight w:val="none"/>
              </w:rPr>
            </w:pPr>
          </w:p>
        </w:tc>
        <w:tc>
          <w:tcPr>
            <w:tcW w:w="1242" w:type="dxa"/>
            <w:noWrap w:val="0"/>
            <w:vAlign w:val="center"/>
          </w:tcPr>
          <w:p w14:paraId="5A24BB6E">
            <w:pPr>
              <w:jc w:val="center"/>
              <w:rPr>
                <w:rFonts w:hint="eastAsia" w:ascii="仿宋" w:hAnsi="仿宋" w:eastAsia="仿宋" w:cs="仿宋"/>
                <w:color w:val="auto"/>
                <w:sz w:val="24"/>
                <w:szCs w:val="24"/>
                <w:highlight w:val="none"/>
              </w:rPr>
            </w:pPr>
          </w:p>
        </w:tc>
        <w:tc>
          <w:tcPr>
            <w:tcW w:w="1229" w:type="dxa"/>
            <w:noWrap w:val="0"/>
            <w:vAlign w:val="center"/>
          </w:tcPr>
          <w:p w14:paraId="0EBEA8C5">
            <w:pPr>
              <w:jc w:val="center"/>
              <w:rPr>
                <w:rFonts w:hint="eastAsia" w:ascii="仿宋" w:hAnsi="仿宋" w:eastAsia="仿宋" w:cs="仿宋"/>
                <w:color w:val="auto"/>
                <w:sz w:val="24"/>
                <w:szCs w:val="24"/>
                <w:highlight w:val="none"/>
              </w:rPr>
            </w:pPr>
          </w:p>
        </w:tc>
        <w:tc>
          <w:tcPr>
            <w:tcW w:w="1428" w:type="dxa"/>
            <w:noWrap w:val="0"/>
            <w:vAlign w:val="center"/>
          </w:tcPr>
          <w:p w14:paraId="7FD4B514">
            <w:pPr>
              <w:jc w:val="center"/>
              <w:rPr>
                <w:rFonts w:hint="eastAsia" w:ascii="仿宋" w:hAnsi="仿宋" w:eastAsia="仿宋" w:cs="仿宋"/>
                <w:color w:val="auto"/>
                <w:sz w:val="24"/>
                <w:szCs w:val="24"/>
                <w:highlight w:val="none"/>
              </w:rPr>
            </w:pPr>
          </w:p>
        </w:tc>
        <w:tc>
          <w:tcPr>
            <w:tcW w:w="1248" w:type="dxa"/>
            <w:noWrap w:val="0"/>
            <w:vAlign w:val="center"/>
          </w:tcPr>
          <w:p w14:paraId="0204BEB8">
            <w:pPr>
              <w:jc w:val="center"/>
              <w:rPr>
                <w:rFonts w:hint="eastAsia" w:ascii="仿宋" w:hAnsi="仿宋" w:eastAsia="仿宋" w:cs="仿宋"/>
                <w:color w:val="auto"/>
                <w:sz w:val="24"/>
                <w:szCs w:val="24"/>
                <w:highlight w:val="none"/>
              </w:rPr>
            </w:pPr>
          </w:p>
        </w:tc>
      </w:tr>
      <w:tr w14:paraId="0B50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noWrap w:val="0"/>
            <w:vAlign w:val="center"/>
          </w:tcPr>
          <w:p w14:paraId="565E40F5">
            <w:pPr>
              <w:jc w:val="center"/>
              <w:rPr>
                <w:rFonts w:hint="eastAsia" w:ascii="仿宋" w:hAnsi="仿宋" w:eastAsia="仿宋" w:cs="仿宋"/>
                <w:color w:val="auto"/>
                <w:sz w:val="24"/>
                <w:szCs w:val="24"/>
                <w:highlight w:val="none"/>
              </w:rPr>
            </w:pPr>
          </w:p>
        </w:tc>
        <w:tc>
          <w:tcPr>
            <w:tcW w:w="1232" w:type="dxa"/>
            <w:noWrap w:val="0"/>
            <w:vAlign w:val="top"/>
          </w:tcPr>
          <w:p w14:paraId="590482CB">
            <w:pPr>
              <w:jc w:val="center"/>
              <w:rPr>
                <w:rFonts w:hint="eastAsia" w:ascii="仿宋" w:hAnsi="仿宋" w:eastAsia="仿宋" w:cs="仿宋"/>
                <w:color w:val="auto"/>
                <w:sz w:val="24"/>
                <w:szCs w:val="24"/>
                <w:highlight w:val="none"/>
              </w:rPr>
            </w:pPr>
          </w:p>
        </w:tc>
        <w:tc>
          <w:tcPr>
            <w:tcW w:w="1390" w:type="dxa"/>
            <w:noWrap w:val="0"/>
            <w:vAlign w:val="center"/>
          </w:tcPr>
          <w:p w14:paraId="3E3FD523">
            <w:pPr>
              <w:jc w:val="center"/>
              <w:rPr>
                <w:rFonts w:hint="eastAsia" w:ascii="仿宋" w:hAnsi="仿宋" w:eastAsia="仿宋" w:cs="仿宋"/>
                <w:color w:val="auto"/>
                <w:sz w:val="24"/>
                <w:szCs w:val="24"/>
                <w:highlight w:val="none"/>
              </w:rPr>
            </w:pPr>
          </w:p>
        </w:tc>
        <w:tc>
          <w:tcPr>
            <w:tcW w:w="966" w:type="dxa"/>
            <w:noWrap w:val="0"/>
            <w:vAlign w:val="center"/>
          </w:tcPr>
          <w:p w14:paraId="2A3BC316">
            <w:pPr>
              <w:jc w:val="center"/>
              <w:rPr>
                <w:rFonts w:hint="eastAsia" w:ascii="仿宋" w:hAnsi="仿宋" w:eastAsia="仿宋" w:cs="仿宋"/>
                <w:color w:val="auto"/>
                <w:sz w:val="24"/>
                <w:szCs w:val="24"/>
                <w:highlight w:val="none"/>
              </w:rPr>
            </w:pPr>
          </w:p>
        </w:tc>
        <w:tc>
          <w:tcPr>
            <w:tcW w:w="1242" w:type="dxa"/>
            <w:noWrap w:val="0"/>
            <w:vAlign w:val="center"/>
          </w:tcPr>
          <w:p w14:paraId="54091B99">
            <w:pPr>
              <w:jc w:val="center"/>
              <w:rPr>
                <w:rFonts w:hint="eastAsia" w:ascii="仿宋" w:hAnsi="仿宋" w:eastAsia="仿宋" w:cs="仿宋"/>
                <w:color w:val="auto"/>
                <w:sz w:val="24"/>
                <w:szCs w:val="24"/>
                <w:highlight w:val="none"/>
              </w:rPr>
            </w:pPr>
          </w:p>
        </w:tc>
        <w:tc>
          <w:tcPr>
            <w:tcW w:w="1229" w:type="dxa"/>
            <w:noWrap w:val="0"/>
            <w:vAlign w:val="center"/>
          </w:tcPr>
          <w:p w14:paraId="331A8564">
            <w:pPr>
              <w:jc w:val="center"/>
              <w:rPr>
                <w:rFonts w:hint="eastAsia" w:ascii="仿宋" w:hAnsi="仿宋" w:eastAsia="仿宋" w:cs="仿宋"/>
                <w:color w:val="auto"/>
                <w:sz w:val="24"/>
                <w:szCs w:val="24"/>
                <w:highlight w:val="none"/>
              </w:rPr>
            </w:pPr>
          </w:p>
        </w:tc>
        <w:tc>
          <w:tcPr>
            <w:tcW w:w="1428" w:type="dxa"/>
            <w:noWrap w:val="0"/>
            <w:vAlign w:val="center"/>
          </w:tcPr>
          <w:p w14:paraId="1BE7B280">
            <w:pPr>
              <w:jc w:val="center"/>
              <w:rPr>
                <w:rFonts w:hint="eastAsia" w:ascii="仿宋" w:hAnsi="仿宋" w:eastAsia="仿宋" w:cs="仿宋"/>
                <w:color w:val="auto"/>
                <w:sz w:val="24"/>
                <w:szCs w:val="24"/>
                <w:highlight w:val="none"/>
              </w:rPr>
            </w:pPr>
          </w:p>
        </w:tc>
        <w:tc>
          <w:tcPr>
            <w:tcW w:w="1248" w:type="dxa"/>
            <w:noWrap w:val="0"/>
            <w:vAlign w:val="center"/>
          </w:tcPr>
          <w:p w14:paraId="61749505">
            <w:pPr>
              <w:jc w:val="center"/>
              <w:rPr>
                <w:rFonts w:hint="eastAsia" w:ascii="仿宋" w:hAnsi="仿宋" w:eastAsia="仿宋" w:cs="仿宋"/>
                <w:color w:val="auto"/>
                <w:sz w:val="24"/>
                <w:szCs w:val="24"/>
                <w:highlight w:val="none"/>
              </w:rPr>
            </w:pPr>
          </w:p>
        </w:tc>
      </w:tr>
      <w:tr w14:paraId="6ED6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noWrap w:val="0"/>
            <w:vAlign w:val="center"/>
          </w:tcPr>
          <w:p w14:paraId="3D89BD06">
            <w:pPr>
              <w:jc w:val="center"/>
              <w:rPr>
                <w:rFonts w:hint="eastAsia" w:ascii="仿宋" w:hAnsi="仿宋" w:eastAsia="仿宋" w:cs="仿宋"/>
                <w:color w:val="auto"/>
                <w:sz w:val="24"/>
                <w:szCs w:val="24"/>
                <w:highlight w:val="none"/>
              </w:rPr>
            </w:pPr>
          </w:p>
        </w:tc>
        <w:tc>
          <w:tcPr>
            <w:tcW w:w="1232" w:type="dxa"/>
            <w:noWrap w:val="0"/>
            <w:vAlign w:val="top"/>
          </w:tcPr>
          <w:p w14:paraId="55D1B573">
            <w:pPr>
              <w:jc w:val="center"/>
              <w:rPr>
                <w:rFonts w:hint="eastAsia" w:ascii="仿宋" w:hAnsi="仿宋" w:eastAsia="仿宋" w:cs="仿宋"/>
                <w:color w:val="auto"/>
                <w:sz w:val="24"/>
                <w:szCs w:val="24"/>
                <w:highlight w:val="none"/>
              </w:rPr>
            </w:pPr>
          </w:p>
        </w:tc>
        <w:tc>
          <w:tcPr>
            <w:tcW w:w="1390" w:type="dxa"/>
            <w:noWrap w:val="0"/>
            <w:vAlign w:val="center"/>
          </w:tcPr>
          <w:p w14:paraId="74800EFD">
            <w:pPr>
              <w:jc w:val="center"/>
              <w:rPr>
                <w:rFonts w:hint="eastAsia" w:ascii="仿宋" w:hAnsi="仿宋" w:eastAsia="仿宋" w:cs="仿宋"/>
                <w:color w:val="auto"/>
                <w:sz w:val="24"/>
                <w:szCs w:val="24"/>
                <w:highlight w:val="none"/>
              </w:rPr>
            </w:pPr>
          </w:p>
        </w:tc>
        <w:tc>
          <w:tcPr>
            <w:tcW w:w="966" w:type="dxa"/>
            <w:noWrap w:val="0"/>
            <w:vAlign w:val="center"/>
          </w:tcPr>
          <w:p w14:paraId="72B3DE30">
            <w:pPr>
              <w:jc w:val="center"/>
              <w:rPr>
                <w:rFonts w:hint="eastAsia" w:ascii="仿宋" w:hAnsi="仿宋" w:eastAsia="仿宋" w:cs="仿宋"/>
                <w:color w:val="auto"/>
                <w:sz w:val="24"/>
                <w:szCs w:val="24"/>
                <w:highlight w:val="none"/>
              </w:rPr>
            </w:pPr>
          </w:p>
        </w:tc>
        <w:tc>
          <w:tcPr>
            <w:tcW w:w="1242" w:type="dxa"/>
            <w:noWrap w:val="0"/>
            <w:vAlign w:val="center"/>
          </w:tcPr>
          <w:p w14:paraId="47162208">
            <w:pPr>
              <w:jc w:val="center"/>
              <w:rPr>
                <w:rFonts w:hint="eastAsia" w:ascii="仿宋" w:hAnsi="仿宋" w:eastAsia="仿宋" w:cs="仿宋"/>
                <w:color w:val="auto"/>
                <w:sz w:val="24"/>
                <w:szCs w:val="24"/>
                <w:highlight w:val="none"/>
              </w:rPr>
            </w:pPr>
          </w:p>
        </w:tc>
        <w:tc>
          <w:tcPr>
            <w:tcW w:w="1229" w:type="dxa"/>
            <w:noWrap w:val="0"/>
            <w:vAlign w:val="center"/>
          </w:tcPr>
          <w:p w14:paraId="20016EB4">
            <w:pPr>
              <w:jc w:val="center"/>
              <w:rPr>
                <w:rFonts w:hint="eastAsia" w:ascii="仿宋" w:hAnsi="仿宋" w:eastAsia="仿宋" w:cs="仿宋"/>
                <w:color w:val="auto"/>
                <w:sz w:val="24"/>
                <w:szCs w:val="24"/>
                <w:highlight w:val="none"/>
              </w:rPr>
            </w:pPr>
          </w:p>
        </w:tc>
        <w:tc>
          <w:tcPr>
            <w:tcW w:w="1428" w:type="dxa"/>
            <w:noWrap w:val="0"/>
            <w:vAlign w:val="center"/>
          </w:tcPr>
          <w:p w14:paraId="669678A5">
            <w:pPr>
              <w:jc w:val="center"/>
              <w:rPr>
                <w:rFonts w:hint="eastAsia" w:ascii="仿宋" w:hAnsi="仿宋" w:eastAsia="仿宋" w:cs="仿宋"/>
                <w:color w:val="auto"/>
                <w:sz w:val="24"/>
                <w:szCs w:val="24"/>
                <w:highlight w:val="none"/>
              </w:rPr>
            </w:pPr>
          </w:p>
        </w:tc>
        <w:tc>
          <w:tcPr>
            <w:tcW w:w="1248" w:type="dxa"/>
            <w:noWrap w:val="0"/>
            <w:vAlign w:val="center"/>
          </w:tcPr>
          <w:p w14:paraId="1453FABB">
            <w:pPr>
              <w:jc w:val="center"/>
              <w:rPr>
                <w:rFonts w:hint="eastAsia" w:ascii="仿宋" w:hAnsi="仿宋" w:eastAsia="仿宋" w:cs="仿宋"/>
                <w:color w:val="auto"/>
                <w:sz w:val="24"/>
                <w:szCs w:val="24"/>
                <w:highlight w:val="none"/>
              </w:rPr>
            </w:pPr>
          </w:p>
        </w:tc>
      </w:tr>
      <w:tr w14:paraId="6D5A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noWrap w:val="0"/>
            <w:vAlign w:val="center"/>
          </w:tcPr>
          <w:p w14:paraId="26E987C9">
            <w:pPr>
              <w:jc w:val="center"/>
              <w:rPr>
                <w:rFonts w:hint="eastAsia" w:ascii="仿宋" w:hAnsi="仿宋" w:eastAsia="仿宋" w:cs="仿宋"/>
                <w:color w:val="auto"/>
                <w:sz w:val="24"/>
                <w:szCs w:val="24"/>
                <w:highlight w:val="none"/>
              </w:rPr>
            </w:pPr>
          </w:p>
        </w:tc>
        <w:tc>
          <w:tcPr>
            <w:tcW w:w="1232" w:type="dxa"/>
            <w:noWrap w:val="0"/>
            <w:vAlign w:val="top"/>
          </w:tcPr>
          <w:p w14:paraId="24DA9FF8">
            <w:pPr>
              <w:jc w:val="center"/>
              <w:rPr>
                <w:rFonts w:hint="eastAsia" w:ascii="仿宋" w:hAnsi="仿宋" w:eastAsia="仿宋" w:cs="仿宋"/>
                <w:color w:val="auto"/>
                <w:sz w:val="24"/>
                <w:szCs w:val="24"/>
                <w:highlight w:val="none"/>
              </w:rPr>
            </w:pPr>
          </w:p>
        </w:tc>
        <w:tc>
          <w:tcPr>
            <w:tcW w:w="1390" w:type="dxa"/>
            <w:noWrap w:val="0"/>
            <w:vAlign w:val="center"/>
          </w:tcPr>
          <w:p w14:paraId="339E5069">
            <w:pPr>
              <w:jc w:val="center"/>
              <w:rPr>
                <w:rFonts w:hint="eastAsia" w:ascii="仿宋" w:hAnsi="仿宋" w:eastAsia="仿宋" w:cs="仿宋"/>
                <w:color w:val="auto"/>
                <w:sz w:val="24"/>
                <w:szCs w:val="24"/>
                <w:highlight w:val="none"/>
              </w:rPr>
            </w:pPr>
          </w:p>
        </w:tc>
        <w:tc>
          <w:tcPr>
            <w:tcW w:w="966" w:type="dxa"/>
            <w:noWrap w:val="0"/>
            <w:vAlign w:val="center"/>
          </w:tcPr>
          <w:p w14:paraId="70EB003C">
            <w:pPr>
              <w:jc w:val="center"/>
              <w:rPr>
                <w:rFonts w:hint="eastAsia" w:ascii="仿宋" w:hAnsi="仿宋" w:eastAsia="仿宋" w:cs="仿宋"/>
                <w:color w:val="auto"/>
                <w:sz w:val="24"/>
                <w:szCs w:val="24"/>
                <w:highlight w:val="none"/>
              </w:rPr>
            </w:pPr>
          </w:p>
        </w:tc>
        <w:tc>
          <w:tcPr>
            <w:tcW w:w="1242" w:type="dxa"/>
            <w:noWrap w:val="0"/>
            <w:vAlign w:val="center"/>
          </w:tcPr>
          <w:p w14:paraId="2AFBED7C">
            <w:pPr>
              <w:jc w:val="center"/>
              <w:rPr>
                <w:rFonts w:hint="eastAsia" w:ascii="仿宋" w:hAnsi="仿宋" w:eastAsia="仿宋" w:cs="仿宋"/>
                <w:color w:val="auto"/>
                <w:sz w:val="24"/>
                <w:szCs w:val="24"/>
                <w:highlight w:val="none"/>
              </w:rPr>
            </w:pPr>
          </w:p>
        </w:tc>
        <w:tc>
          <w:tcPr>
            <w:tcW w:w="1229" w:type="dxa"/>
            <w:noWrap w:val="0"/>
            <w:vAlign w:val="center"/>
          </w:tcPr>
          <w:p w14:paraId="72C20241">
            <w:pPr>
              <w:jc w:val="center"/>
              <w:rPr>
                <w:rFonts w:hint="eastAsia" w:ascii="仿宋" w:hAnsi="仿宋" w:eastAsia="仿宋" w:cs="仿宋"/>
                <w:color w:val="auto"/>
                <w:sz w:val="24"/>
                <w:szCs w:val="24"/>
                <w:highlight w:val="none"/>
              </w:rPr>
            </w:pPr>
          </w:p>
        </w:tc>
        <w:tc>
          <w:tcPr>
            <w:tcW w:w="1428" w:type="dxa"/>
            <w:noWrap w:val="0"/>
            <w:vAlign w:val="center"/>
          </w:tcPr>
          <w:p w14:paraId="68D63D54">
            <w:pPr>
              <w:jc w:val="center"/>
              <w:rPr>
                <w:rFonts w:hint="eastAsia" w:ascii="仿宋" w:hAnsi="仿宋" w:eastAsia="仿宋" w:cs="仿宋"/>
                <w:color w:val="auto"/>
                <w:sz w:val="24"/>
                <w:szCs w:val="24"/>
                <w:highlight w:val="none"/>
              </w:rPr>
            </w:pPr>
          </w:p>
        </w:tc>
        <w:tc>
          <w:tcPr>
            <w:tcW w:w="1248" w:type="dxa"/>
            <w:noWrap w:val="0"/>
            <w:vAlign w:val="center"/>
          </w:tcPr>
          <w:p w14:paraId="258B0B55">
            <w:pPr>
              <w:jc w:val="center"/>
              <w:rPr>
                <w:rFonts w:hint="eastAsia" w:ascii="仿宋" w:hAnsi="仿宋" w:eastAsia="仿宋" w:cs="仿宋"/>
                <w:color w:val="auto"/>
                <w:sz w:val="24"/>
                <w:szCs w:val="24"/>
                <w:highlight w:val="none"/>
              </w:rPr>
            </w:pPr>
          </w:p>
        </w:tc>
      </w:tr>
    </w:tbl>
    <w:p w14:paraId="113CC79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14:paraId="6ED269EF">
      <w:pPr>
        <w:autoSpaceDE w:val="0"/>
        <w:autoSpaceDN w:val="0"/>
        <w:spacing w:line="360" w:lineRule="auto"/>
        <w:rPr>
          <w:rFonts w:ascii="仿宋_GB2312" w:hAnsi="仿宋_GB2312" w:eastAsia="仿宋_GB2312" w:cs="仿宋_GB2312"/>
          <w:b/>
          <w:color w:val="auto"/>
          <w:sz w:val="24"/>
          <w:highlight w:val="none"/>
        </w:rPr>
      </w:pPr>
    </w:p>
    <w:p w14:paraId="45189590">
      <w:pPr>
        <w:autoSpaceDE w:val="0"/>
        <w:autoSpaceDN w:val="0"/>
        <w:spacing w:line="360" w:lineRule="auto"/>
        <w:rPr>
          <w:rFonts w:ascii="仿宋_GB2312" w:hAnsi="仿宋_GB2312" w:eastAsia="仿宋_GB2312" w:cs="仿宋_GB2312"/>
          <w:color w:val="auto"/>
          <w:sz w:val="24"/>
          <w:highlight w:val="none"/>
        </w:rPr>
      </w:pPr>
    </w:p>
    <w:p w14:paraId="0D684AF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C8D0D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6C53DB">
      <w:pPr>
        <w:pStyle w:val="653"/>
        <w:ind w:firstLine="0"/>
        <w:jc w:val="both"/>
        <w:rPr>
          <w:rFonts w:hAnsi="仿宋_GB2312" w:cs="仿宋_GB2312"/>
          <w:color w:val="auto"/>
          <w:highlight w:val="none"/>
        </w:rPr>
      </w:pPr>
    </w:p>
    <w:p w14:paraId="6CB2358F">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E64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81C93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42AC44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13670E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B6A5CD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661FC1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5CB9A0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94F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F3B4B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09E758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3BF3DE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87A722">
            <w:pPr>
              <w:spacing w:line="360" w:lineRule="auto"/>
              <w:jc w:val="center"/>
              <w:rPr>
                <w:rFonts w:ascii="仿宋_GB2312" w:hAnsi="仿宋_GB2312" w:eastAsia="仿宋_GB2312" w:cs="仿宋_GB2312"/>
                <w:color w:val="auto"/>
                <w:sz w:val="24"/>
                <w:highlight w:val="none"/>
              </w:rPr>
            </w:pPr>
          </w:p>
        </w:tc>
        <w:tc>
          <w:tcPr>
            <w:tcW w:w="1080" w:type="dxa"/>
            <w:vAlign w:val="center"/>
          </w:tcPr>
          <w:p w14:paraId="5235F70E">
            <w:pPr>
              <w:spacing w:line="360" w:lineRule="auto"/>
              <w:jc w:val="center"/>
              <w:rPr>
                <w:rFonts w:ascii="仿宋_GB2312" w:hAnsi="仿宋_GB2312" w:eastAsia="仿宋_GB2312" w:cs="仿宋_GB2312"/>
                <w:color w:val="auto"/>
                <w:sz w:val="24"/>
                <w:highlight w:val="none"/>
              </w:rPr>
            </w:pPr>
          </w:p>
        </w:tc>
        <w:tc>
          <w:tcPr>
            <w:tcW w:w="1332" w:type="dxa"/>
            <w:vAlign w:val="center"/>
          </w:tcPr>
          <w:p w14:paraId="7B63BE9A">
            <w:pPr>
              <w:spacing w:line="360" w:lineRule="auto"/>
              <w:jc w:val="center"/>
              <w:rPr>
                <w:rFonts w:ascii="仿宋_GB2312" w:hAnsi="仿宋_GB2312" w:eastAsia="仿宋_GB2312" w:cs="仿宋_GB2312"/>
                <w:color w:val="auto"/>
                <w:sz w:val="24"/>
                <w:highlight w:val="none"/>
              </w:rPr>
            </w:pPr>
          </w:p>
        </w:tc>
      </w:tr>
      <w:tr w14:paraId="0B27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44D7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A50994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A23DF4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59FB24">
            <w:pPr>
              <w:spacing w:line="360" w:lineRule="auto"/>
              <w:jc w:val="center"/>
              <w:rPr>
                <w:rFonts w:ascii="仿宋_GB2312" w:hAnsi="仿宋_GB2312" w:eastAsia="仿宋_GB2312" w:cs="仿宋_GB2312"/>
                <w:color w:val="auto"/>
                <w:sz w:val="24"/>
                <w:highlight w:val="none"/>
              </w:rPr>
            </w:pPr>
          </w:p>
        </w:tc>
        <w:tc>
          <w:tcPr>
            <w:tcW w:w="1080" w:type="dxa"/>
            <w:vAlign w:val="center"/>
          </w:tcPr>
          <w:p w14:paraId="1A82521B">
            <w:pPr>
              <w:spacing w:line="360" w:lineRule="auto"/>
              <w:jc w:val="center"/>
              <w:rPr>
                <w:rFonts w:ascii="仿宋_GB2312" w:hAnsi="仿宋_GB2312" w:eastAsia="仿宋_GB2312" w:cs="仿宋_GB2312"/>
                <w:color w:val="auto"/>
                <w:sz w:val="24"/>
                <w:highlight w:val="none"/>
              </w:rPr>
            </w:pPr>
          </w:p>
        </w:tc>
        <w:tc>
          <w:tcPr>
            <w:tcW w:w="1332" w:type="dxa"/>
            <w:vAlign w:val="center"/>
          </w:tcPr>
          <w:p w14:paraId="79094F07">
            <w:pPr>
              <w:spacing w:line="360" w:lineRule="auto"/>
              <w:jc w:val="center"/>
              <w:rPr>
                <w:rFonts w:ascii="仿宋_GB2312" w:hAnsi="仿宋_GB2312" w:eastAsia="仿宋_GB2312" w:cs="仿宋_GB2312"/>
                <w:color w:val="auto"/>
                <w:sz w:val="24"/>
                <w:highlight w:val="none"/>
              </w:rPr>
            </w:pPr>
          </w:p>
        </w:tc>
      </w:tr>
      <w:tr w14:paraId="5303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3E8C8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C3E050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3DC3D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50A314E">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269D6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047A246">
            <w:pPr>
              <w:spacing w:line="360" w:lineRule="auto"/>
              <w:jc w:val="center"/>
              <w:rPr>
                <w:rFonts w:ascii="仿宋_GB2312" w:hAnsi="仿宋_GB2312" w:eastAsia="仿宋_GB2312" w:cs="仿宋_GB2312"/>
                <w:color w:val="auto"/>
                <w:sz w:val="24"/>
                <w:highlight w:val="none"/>
              </w:rPr>
            </w:pPr>
          </w:p>
        </w:tc>
      </w:tr>
      <w:tr w14:paraId="49EF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CBE5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ECFE90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5D1A7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4AD6430">
            <w:pPr>
              <w:spacing w:line="360" w:lineRule="auto"/>
              <w:jc w:val="center"/>
              <w:rPr>
                <w:rFonts w:ascii="仿宋_GB2312" w:hAnsi="仿宋_GB2312" w:eastAsia="仿宋_GB2312" w:cs="仿宋_GB2312"/>
                <w:color w:val="auto"/>
                <w:sz w:val="24"/>
                <w:highlight w:val="none"/>
              </w:rPr>
            </w:pPr>
          </w:p>
        </w:tc>
        <w:tc>
          <w:tcPr>
            <w:tcW w:w="1080" w:type="dxa"/>
            <w:vAlign w:val="center"/>
          </w:tcPr>
          <w:p w14:paraId="7AD1257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91B4648">
            <w:pPr>
              <w:spacing w:line="360" w:lineRule="auto"/>
              <w:jc w:val="center"/>
              <w:rPr>
                <w:rFonts w:ascii="仿宋_GB2312" w:hAnsi="仿宋_GB2312" w:eastAsia="仿宋_GB2312" w:cs="仿宋_GB2312"/>
                <w:color w:val="auto"/>
                <w:sz w:val="24"/>
                <w:highlight w:val="none"/>
              </w:rPr>
            </w:pPr>
          </w:p>
        </w:tc>
      </w:tr>
      <w:tr w14:paraId="7DDC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0347C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C46FA4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79FE5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41247B2">
            <w:pPr>
              <w:spacing w:line="360" w:lineRule="auto"/>
              <w:jc w:val="center"/>
              <w:rPr>
                <w:rFonts w:ascii="仿宋_GB2312" w:hAnsi="仿宋_GB2312" w:eastAsia="仿宋_GB2312" w:cs="仿宋_GB2312"/>
                <w:color w:val="auto"/>
                <w:sz w:val="24"/>
                <w:highlight w:val="none"/>
              </w:rPr>
            </w:pPr>
          </w:p>
        </w:tc>
        <w:tc>
          <w:tcPr>
            <w:tcW w:w="1080" w:type="dxa"/>
            <w:vAlign w:val="center"/>
          </w:tcPr>
          <w:p w14:paraId="2A7912AC">
            <w:pPr>
              <w:spacing w:line="360" w:lineRule="auto"/>
              <w:jc w:val="center"/>
              <w:rPr>
                <w:rFonts w:ascii="仿宋_GB2312" w:hAnsi="仿宋_GB2312" w:eastAsia="仿宋_GB2312" w:cs="仿宋_GB2312"/>
                <w:color w:val="auto"/>
                <w:sz w:val="24"/>
                <w:highlight w:val="none"/>
              </w:rPr>
            </w:pPr>
          </w:p>
        </w:tc>
        <w:tc>
          <w:tcPr>
            <w:tcW w:w="1332" w:type="dxa"/>
            <w:vAlign w:val="center"/>
          </w:tcPr>
          <w:p w14:paraId="12828A3F">
            <w:pPr>
              <w:spacing w:line="360" w:lineRule="auto"/>
              <w:jc w:val="center"/>
              <w:rPr>
                <w:rFonts w:ascii="仿宋_GB2312" w:hAnsi="仿宋_GB2312" w:eastAsia="仿宋_GB2312" w:cs="仿宋_GB2312"/>
                <w:color w:val="auto"/>
                <w:sz w:val="24"/>
                <w:highlight w:val="none"/>
              </w:rPr>
            </w:pPr>
          </w:p>
        </w:tc>
      </w:tr>
    </w:tbl>
    <w:p w14:paraId="3B202CF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B31116">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56419C6">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35B8AFD7">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BA2DFD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0D3B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B4ECE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3DFB00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701D96C4">
      <w:pPr>
        <w:spacing w:line="360" w:lineRule="auto"/>
        <w:rPr>
          <w:rFonts w:ascii="仿宋_GB2312" w:hAnsi="仿宋_GB2312" w:eastAsia="仿宋_GB2312" w:cs="仿宋_GB2312"/>
          <w:color w:val="auto"/>
          <w:kern w:val="0"/>
          <w:sz w:val="24"/>
          <w:highlight w:val="none"/>
        </w:rPr>
      </w:pPr>
    </w:p>
    <w:p w14:paraId="6DCFAFE8">
      <w:pPr>
        <w:spacing w:line="360" w:lineRule="auto"/>
        <w:jc w:val="center"/>
        <w:rPr>
          <w:rFonts w:ascii="仿宋_GB2312" w:hAnsi="仿宋_GB2312" w:eastAsia="仿宋_GB2312" w:cs="仿宋_GB2312"/>
          <w:b/>
          <w:bCs/>
          <w:color w:val="auto"/>
          <w:sz w:val="32"/>
          <w:szCs w:val="32"/>
          <w:highlight w:val="none"/>
        </w:rPr>
      </w:pPr>
    </w:p>
    <w:p w14:paraId="5DC15F6E">
      <w:pPr>
        <w:spacing w:line="360" w:lineRule="auto"/>
        <w:rPr>
          <w:rFonts w:ascii="仿宋_GB2312" w:hAnsi="仿宋_GB2312" w:eastAsia="仿宋_GB2312" w:cs="仿宋_GB2312"/>
          <w:b/>
          <w:bCs/>
          <w:color w:val="auto"/>
          <w:sz w:val="32"/>
          <w:szCs w:val="32"/>
          <w:highlight w:val="none"/>
        </w:rPr>
      </w:pPr>
    </w:p>
    <w:p w14:paraId="56424D54">
      <w:pPr>
        <w:spacing w:line="360" w:lineRule="auto"/>
        <w:rPr>
          <w:rFonts w:ascii="仿宋_GB2312" w:hAnsi="仿宋_GB2312" w:eastAsia="仿宋_GB2312" w:cs="仿宋_GB2312"/>
          <w:b/>
          <w:bCs/>
          <w:color w:val="auto"/>
          <w:sz w:val="32"/>
          <w:szCs w:val="32"/>
          <w:highlight w:val="none"/>
        </w:rPr>
      </w:pPr>
    </w:p>
    <w:p w14:paraId="4D0FB024">
      <w:pPr>
        <w:spacing w:line="360" w:lineRule="auto"/>
        <w:rPr>
          <w:rFonts w:ascii="仿宋_GB2312" w:hAnsi="仿宋_GB2312" w:eastAsia="仿宋_GB2312" w:cs="仿宋_GB2312"/>
          <w:b/>
          <w:bCs/>
          <w:color w:val="auto"/>
          <w:sz w:val="32"/>
          <w:szCs w:val="32"/>
          <w:highlight w:val="none"/>
        </w:rPr>
      </w:pPr>
    </w:p>
    <w:p w14:paraId="495ADEEE">
      <w:pPr>
        <w:spacing w:line="360" w:lineRule="auto"/>
        <w:rPr>
          <w:rFonts w:ascii="仿宋_GB2312" w:hAnsi="仿宋_GB2312" w:eastAsia="仿宋_GB2312" w:cs="仿宋_GB2312"/>
          <w:b/>
          <w:bCs/>
          <w:color w:val="auto"/>
          <w:sz w:val="32"/>
          <w:szCs w:val="32"/>
          <w:highlight w:val="none"/>
        </w:rPr>
      </w:pPr>
    </w:p>
    <w:p w14:paraId="64768F0B">
      <w:pPr>
        <w:spacing w:line="360" w:lineRule="auto"/>
        <w:rPr>
          <w:rFonts w:ascii="仿宋_GB2312" w:hAnsi="仿宋_GB2312" w:eastAsia="仿宋_GB2312" w:cs="仿宋_GB2312"/>
          <w:b/>
          <w:bCs/>
          <w:color w:val="auto"/>
          <w:sz w:val="32"/>
          <w:szCs w:val="32"/>
          <w:highlight w:val="none"/>
        </w:rPr>
      </w:pPr>
    </w:p>
    <w:p w14:paraId="5904851B">
      <w:pPr>
        <w:spacing w:line="360" w:lineRule="auto"/>
        <w:rPr>
          <w:rFonts w:ascii="仿宋_GB2312" w:hAnsi="仿宋_GB2312" w:eastAsia="仿宋_GB2312" w:cs="仿宋_GB2312"/>
          <w:b/>
          <w:bCs/>
          <w:color w:val="auto"/>
          <w:sz w:val="32"/>
          <w:szCs w:val="32"/>
          <w:highlight w:val="none"/>
        </w:rPr>
      </w:pPr>
    </w:p>
    <w:p w14:paraId="7B7E0D84">
      <w:pPr>
        <w:spacing w:line="360" w:lineRule="auto"/>
        <w:rPr>
          <w:rFonts w:ascii="仿宋_GB2312" w:hAnsi="仿宋_GB2312" w:eastAsia="仿宋_GB2312" w:cs="仿宋_GB2312"/>
          <w:b/>
          <w:bCs/>
          <w:color w:val="auto"/>
          <w:sz w:val="32"/>
          <w:szCs w:val="32"/>
          <w:highlight w:val="none"/>
        </w:rPr>
      </w:pPr>
    </w:p>
    <w:p w14:paraId="70768CE5">
      <w:pPr>
        <w:spacing w:line="360" w:lineRule="auto"/>
        <w:rPr>
          <w:rFonts w:ascii="仿宋_GB2312" w:hAnsi="仿宋_GB2312" w:eastAsia="仿宋_GB2312" w:cs="仿宋_GB2312"/>
          <w:b/>
          <w:bCs/>
          <w:color w:val="auto"/>
          <w:sz w:val="32"/>
          <w:szCs w:val="32"/>
          <w:highlight w:val="none"/>
        </w:rPr>
      </w:pPr>
    </w:p>
    <w:p w14:paraId="7B3AA483">
      <w:pPr>
        <w:spacing w:line="360" w:lineRule="auto"/>
        <w:rPr>
          <w:rFonts w:ascii="仿宋_GB2312" w:hAnsi="仿宋_GB2312" w:eastAsia="仿宋_GB2312" w:cs="仿宋_GB2312"/>
          <w:b/>
          <w:bCs/>
          <w:color w:val="auto"/>
          <w:sz w:val="32"/>
          <w:szCs w:val="32"/>
          <w:highlight w:val="none"/>
        </w:rPr>
      </w:pPr>
    </w:p>
    <w:p w14:paraId="62BEA45C">
      <w:pPr>
        <w:spacing w:line="360" w:lineRule="auto"/>
        <w:rPr>
          <w:rFonts w:ascii="仿宋_GB2312" w:hAnsi="仿宋_GB2312" w:eastAsia="仿宋_GB2312" w:cs="仿宋_GB2312"/>
          <w:b/>
          <w:bCs/>
          <w:color w:val="auto"/>
          <w:sz w:val="32"/>
          <w:szCs w:val="32"/>
          <w:highlight w:val="none"/>
        </w:rPr>
      </w:pPr>
    </w:p>
    <w:p w14:paraId="4ECD885F">
      <w:pPr>
        <w:spacing w:line="360" w:lineRule="auto"/>
        <w:rPr>
          <w:rFonts w:hint="eastAsia" w:ascii="仿宋_GB2312" w:hAnsi="仿宋_GB2312" w:eastAsia="仿宋_GB2312" w:cs="仿宋_GB2312"/>
          <w:b/>
          <w:color w:val="auto"/>
          <w:sz w:val="30"/>
          <w:szCs w:val="30"/>
          <w:highlight w:val="none"/>
          <w:lang w:eastAsia="zh-CN"/>
        </w:rPr>
      </w:pPr>
    </w:p>
    <w:p w14:paraId="7BE882FA">
      <w:pPr>
        <w:spacing w:line="360" w:lineRule="auto"/>
        <w:jc w:val="center"/>
        <w:rPr>
          <w:rFonts w:hint="eastAsia" w:ascii="仿宋_GB2312" w:hAnsi="仿宋_GB2312" w:eastAsia="仿宋_GB2312" w:cs="仿宋_GB2312"/>
          <w:b/>
          <w:color w:val="auto"/>
          <w:sz w:val="30"/>
          <w:szCs w:val="30"/>
          <w:highlight w:val="none"/>
          <w:lang w:eastAsia="zh-CN"/>
        </w:rPr>
      </w:pPr>
    </w:p>
    <w:p w14:paraId="751903E1">
      <w:pPr>
        <w:pStyle w:val="84"/>
        <w:rPr>
          <w:rFonts w:hint="eastAsia"/>
          <w:color w:val="auto"/>
          <w:highlight w:val="none"/>
          <w:lang w:eastAsia="zh-CN"/>
        </w:rPr>
      </w:pPr>
    </w:p>
    <w:p w14:paraId="3B89DC5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14:paraId="680A7E08">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C45423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505CD4B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835C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368557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C51E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E2C272F">
            <w:pPr>
              <w:autoSpaceDE w:val="0"/>
              <w:autoSpaceDN w:val="0"/>
              <w:spacing w:line="360" w:lineRule="auto"/>
              <w:rPr>
                <w:rFonts w:ascii="仿宋_GB2312" w:hAnsi="仿宋_GB2312" w:eastAsia="仿宋_GB2312" w:cs="仿宋_GB2312"/>
                <w:color w:val="auto"/>
                <w:sz w:val="24"/>
                <w:highlight w:val="none"/>
              </w:rPr>
            </w:pPr>
          </w:p>
        </w:tc>
      </w:tr>
      <w:tr w14:paraId="7FBEE24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AA6A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CBF2C7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76A40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EA94A8B">
            <w:pPr>
              <w:autoSpaceDE w:val="0"/>
              <w:autoSpaceDN w:val="0"/>
              <w:spacing w:line="360" w:lineRule="auto"/>
              <w:jc w:val="center"/>
              <w:rPr>
                <w:rFonts w:ascii="仿宋_GB2312" w:hAnsi="仿宋_GB2312" w:eastAsia="仿宋_GB2312" w:cs="仿宋_GB2312"/>
                <w:color w:val="auto"/>
                <w:sz w:val="24"/>
                <w:highlight w:val="none"/>
              </w:rPr>
            </w:pPr>
          </w:p>
        </w:tc>
      </w:tr>
      <w:tr w14:paraId="1C716C5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FA83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E432C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2DF390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CF0317">
            <w:pPr>
              <w:autoSpaceDE w:val="0"/>
              <w:autoSpaceDN w:val="0"/>
              <w:spacing w:line="360" w:lineRule="auto"/>
              <w:jc w:val="center"/>
              <w:rPr>
                <w:rFonts w:ascii="仿宋_GB2312" w:hAnsi="仿宋_GB2312" w:eastAsia="仿宋_GB2312" w:cs="仿宋_GB2312"/>
                <w:color w:val="auto"/>
                <w:sz w:val="24"/>
                <w:highlight w:val="none"/>
              </w:rPr>
            </w:pPr>
          </w:p>
        </w:tc>
      </w:tr>
      <w:tr w14:paraId="064995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19BD6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22DE8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89B74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E9D0FB">
            <w:pPr>
              <w:autoSpaceDE w:val="0"/>
              <w:autoSpaceDN w:val="0"/>
              <w:spacing w:line="360" w:lineRule="auto"/>
              <w:jc w:val="center"/>
              <w:rPr>
                <w:rFonts w:ascii="仿宋_GB2312" w:hAnsi="仿宋_GB2312" w:eastAsia="仿宋_GB2312" w:cs="仿宋_GB2312"/>
                <w:color w:val="auto"/>
                <w:sz w:val="24"/>
                <w:highlight w:val="none"/>
              </w:rPr>
            </w:pPr>
          </w:p>
        </w:tc>
      </w:tr>
      <w:tr w14:paraId="311F350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C49C4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41652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ED12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91F5E2">
            <w:pPr>
              <w:autoSpaceDE w:val="0"/>
              <w:autoSpaceDN w:val="0"/>
              <w:spacing w:line="360" w:lineRule="auto"/>
              <w:jc w:val="center"/>
              <w:rPr>
                <w:rFonts w:ascii="仿宋_GB2312" w:hAnsi="仿宋_GB2312" w:eastAsia="仿宋_GB2312" w:cs="仿宋_GB2312"/>
                <w:color w:val="auto"/>
                <w:sz w:val="24"/>
                <w:highlight w:val="none"/>
              </w:rPr>
            </w:pPr>
          </w:p>
        </w:tc>
      </w:tr>
      <w:tr w14:paraId="245E2B5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2D399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2DE43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A1C32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1AB3C7">
            <w:pPr>
              <w:autoSpaceDE w:val="0"/>
              <w:autoSpaceDN w:val="0"/>
              <w:spacing w:line="360" w:lineRule="auto"/>
              <w:jc w:val="center"/>
              <w:rPr>
                <w:rFonts w:ascii="仿宋_GB2312" w:hAnsi="仿宋_GB2312" w:eastAsia="仿宋_GB2312" w:cs="仿宋_GB2312"/>
                <w:color w:val="auto"/>
                <w:sz w:val="24"/>
                <w:highlight w:val="none"/>
              </w:rPr>
            </w:pPr>
          </w:p>
        </w:tc>
      </w:tr>
      <w:tr w14:paraId="6587D16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E3E1A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1CAC4F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0DB36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C94CEE">
            <w:pPr>
              <w:autoSpaceDE w:val="0"/>
              <w:autoSpaceDN w:val="0"/>
              <w:spacing w:line="360" w:lineRule="auto"/>
              <w:jc w:val="center"/>
              <w:rPr>
                <w:rFonts w:ascii="仿宋_GB2312" w:hAnsi="仿宋_GB2312" w:eastAsia="仿宋_GB2312" w:cs="仿宋_GB2312"/>
                <w:color w:val="auto"/>
                <w:sz w:val="24"/>
                <w:highlight w:val="none"/>
              </w:rPr>
            </w:pPr>
          </w:p>
        </w:tc>
      </w:tr>
      <w:tr w14:paraId="6D3AF35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14210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30E2D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2C227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76D5DA">
            <w:pPr>
              <w:autoSpaceDE w:val="0"/>
              <w:autoSpaceDN w:val="0"/>
              <w:spacing w:line="360" w:lineRule="auto"/>
              <w:jc w:val="center"/>
              <w:rPr>
                <w:rFonts w:ascii="仿宋_GB2312" w:hAnsi="仿宋_GB2312" w:eastAsia="仿宋_GB2312" w:cs="仿宋_GB2312"/>
                <w:color w:val="auto"/>
                <w:sz w:val="24"/>
                <w:highlight w:val="none"/>
              </w:rPr>
            </w:pPr>
          </w:p>
        </w:tc>
      </w:tr>
      <w:tr w14:paraId="501CCE7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544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C67AA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FDCC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BBADA8">
            <w:pPr>
              <w:autoSpaceDE w:val="0"/>
              <w:autoSpaceDN w:val="0"/>
              <w:spacing w:line="360" w:lineRule="auto"/>
              <w:jc w:val="center"/>
              <w:rPr>
                <w:rFonts w:ascii="仿宋_GB2312" w:hAnsi="仿宋_GB2312" w:eastAsia="仿宋_GB2312" w:cs="仿宋_GB2312"/>
                <w:color w:val="auto"/>
                <w:sz w:val="24"/>
                <w:highlight w:val="none"/>
              </w:rPr>
            </w:pPr>
          </w:p>
        </w:tc>
      </w:tr>
      <w:tr w14:paraId="2F7517F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6D7E9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3FCF0D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099B4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6B252C">
            <w:pPr>
              <w:autoSpaceDE w:val="0"/>
              <w:autoSpaceDN w:val="0"/>
              <w:spacing w:line="360" w:lineRule="auto"/>
              <w:jc w:val="center"/>
              <w:rPr>
                <w:rFonts w:ascii="仿宋_GB2312" w:hAnsi="仿宋_GB2312" w:eastAsia="仿宋_GB2312" w:cs="仿宋_GB2312"/>
                <w:color w:val="auto"/>
                <w:sz w:val="24"/>
                <w:highlight w:val="none"/>
              </w:rPr>
            </w:pPr>
          </w:p>
        </w:tc>
      </w:tr>
    </w:tbl>
    <w:p w14:paraId="0CC1CE2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66B2C220">
      <w:pPr>
        <w:autoSpaceDE w:val="0"/>
        <w:autoSpaceDN w:val="0"/>
        <w:spacing w:line="360" w:lineRule="auto"/>
        <w:rPr>
          <w:rFonts w:hint="eastAsia" w:ascii="仿宋_GB2312" w:hAnsi="仿宋_GB2312" w:eastAsia="仿宋_GB2312" w:cs="仿宋_GB2312"/>
          <w:b/>
          <w:color w:val="auto"/>
          <w:sz w:val="24"/>
          <w:highlight w:val="none"/>
        </w:rPr>
      </w:pPr>
    </w:p>
    <w:p w14:paraId="59AA763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D41ECB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E5E6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88CD3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62BC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BB804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E4E02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7CC28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6CA80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4775C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36B2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04F0A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C8A6A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749AF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F190C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7C3582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CBA02D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5337B8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FA492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736A84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C168AA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03685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BA958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B1F93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713C4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214DCBA">
            <w:pPr>
              <w:autoSpaceDE w:val="0"/>
              <w:autoSpaceDN w:val="0"/>
              <w:spacing w:line="360" w:lineRule="auto"/>
              <w:rPr>
                <w:rFonts w:ascii="仿宋_GB2312" w:hAnsi="仿宋_GB2312" w:eastAsia="仿宋_GB2312" w:cs="仿宋_GB2312"/>
                <w:color w:val="auto"/>
                <w:sz w:val="24"/>
                <w:highlight w:val="none"/>
              </w:rPr>
            </w:pPr>
          </w:p>
        </w:tc>
      </w:tr>
      <w:tr w14:paraId="1F91E29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1F49D4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3F062B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2E78C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E88A3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223D74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D7475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ED715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55CF0B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A1649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17F982B">
            <w:pPr>
              <w:autoSpaceDE w:val="0"/>
              <w:autoSpaceDN w:val="0"/>
              <w:spacing w:line="360" w:lineRule="auto"/>
              <w:rPr>
                <w:rFonts w:ascii="仿宋_GB2312" w:hAnsi="仿宋_GB2312" w:eastAsia="仿宋_GB2312" w:cs="仿宋_GB2312"/>
                <w:color w:val="auto"/>
                <w:sz w:val="24"/>
                <w:highlight w:val="none"/>
              </w:rPr>
            </w:pPr>
          </w:p>
        </w:tc>
      </w:tr>
    </w:tbl>
    <w:p w14:paraId="00072DE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56800DA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B8DBB5F">
      <w:pPr>
        <w:spacing w:line="360" w:lineRule="auto"/>
        <w:ind w:firstLine="480" w:firstLineChars="200"/>
        <w:rPr>
          <w:rFonts w:ascii="仿宋_GB2312" w:hAnsi="仿宋_GB2312" w:eastAsia="仿宋_GB2312" w:cs="仿宋_GB2312"/>
          <w:color w:val="auto"/>
          <w:sz w:val="24"/>
          <w:szCs w:val="20"/>
          <w:highlight w:val="none"/>
        </w:rPr>
      </w:pPr>
    </w:p>
    <w:p w14:paraId="7C3F26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62CB5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C39A00">
      <w:pPr>
        <w:widowControl/>
        <w:adjustRightInd/>
        <w:jc w:val="left"/>
        <w:rPr>
          <w:rFonts w:hint="eastAsia" w:ascii="仿宋" w:hAnsi="仿宋" w:eastAsia="仿宋" w:cs="仿宋"/>
          <w:b/>
          <w:bCs/>
          <w:color w:val="auto"/>
          <w:sz w:val="32"/>
          <w:szCs w:val="32"/>
          <w:highlight w:val="none"/>
          <w:lang w:eastAsia="zh-CN"/>
        </w:rPr>
      </w:pPr>
    </w:p>
    <w:p w14:paraId="19443A09">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2DA805B3">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CBA2277">
      <w:pPr>
        <w:snapToGrid w:val="0"/>
        <w:spacing w:line="360" w:lineRule="auto"/>
        <w:rPr>
          <w:rFonts w:hint="eastAsia" w:ascii="仿宋" w:hAnsi="仿宋" w:eastAsia="仿宋" w:cs="仿宋"/>
          <w:color w:val="auto"/>
          <w:sz w:val="24"/>
          <w:highlight w:val="none"/>
        </w:rPr>
      </w:pPr>
    </w:p>
    <w:p w14:paraId="4910858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741965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DC2AE4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8811EC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EDB30D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27A4CE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CBE6A9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414CC1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8AA1F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533CA2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3FABC7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BFFF98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BB102B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5A36DF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D009BD7">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573EF8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39C3258">
      <w:pPr>
        <w:spacing w:line="360" w:lineRule="auto"/>
        <w:jc w:val="center"/>
        <w:rPr>
          <w:rFonts w:hint="eastAsia" w:ascii="仿宋" w:hAnsi="仿宋" w:eastAsia="仿宋" w:cs="仿宋"/>
          <w:b/>
          <w:bCs/>
          <w:color w:val="auto"/>
          <w:sz w:val="24"/>
          <w:highlight w:val="none"/>
        </w:rPr>
      </w:pPr>
    </w:p>
    <w:p w14:paraId="508171F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8A71789">
      <w:pPr>
        <w:spacing w:line="360" w:lineRule="auto"/>
        <w:jc w:val="center"/>
        <w:rPr>
          <w:rFonts w:ascii="仿宋_GB2312" w:hAnsi="仿宋_GB2312" w:eastAsia="仿宋_GB2312" w:cs="仿宋_GB2312"/>
          <w:b/>
          <w:bCs/>
          <w:color w:val="auto"/>
          <w:sz w:val="30"/>
          <w:szCs w:val="30"/>
          <w:highlight w:val="none"/>
        </w:rPr>
      </w:pPr>
    </w:p>
    <w:p w14:paraId="05456631">
      <w:pPr>
        <w:spacing w:line="360" w:lineRule="auto"/>
        <w:jc w:val="center"/>
        <w:rPr>
          <w:rFonts w:ascii="仿宋_GB2312" w:hAnsi="仿宋_GB2312" w:eastAsia="仿宋_GB2312" w:cs="仿宋_GB2312"/>
          <w:b/>
          <w:bCs/>
          <w:color w:val="auto"/>
          <w:sz w:val="30"/>
          <w:szCs w:val="30"/>
          <w:highlight w:val="none"/>
        </w:rPr>
      </w:pPr>
    </w:p>
    <w:p w14:paraId="31CB1DA0">
      <w:pPr>
        <w:spacing w:line="360" w:lineRule="auto"/>
        <w:jc w:val="center"/>
        <w:rPr>
          <w:rFonts w:ascii="仿宋_GB2312" w:hAnsi="仿宋_GB2312" w:eastAsia="仿宋_GB2312" w:cs="仿宋_GB2312"/>
          <w:b/>
          <w:bCs/>
          <w:color w:val="auto"/>
          <w:sz w:val="24"/>
          <w:highlight w:val="none"/>
        </w:rPr>
      </w:pPr>
    </w:p>
    <w:p w14:paraId="53D637E3">
      <w:pPr>
        <w:spacing w:line="360" w:lineRule="auto"/>
        <w:jc w:val="center"/>
        <w:rPr>
          <w:rFonts w:ascii="仿宋_GB2312" w:hAnsi="仿宋_GB2312" w:eastAsia="仿宋_GB2312" w:cs="仿宋_GB2312"/>
          <w:b/>
          <w:bCs/>
          <w:color w:val="auto"/>
          <w:sz w:val="24"/>
          <w:highlight w:val="none"/>
        </w:rPr>
      </w:pPr>
    </w:p>
    <w:p w14:paraId="42241046">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2A81A94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8A2B21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25037F5">
      <w:pPr>
        <w:spacing w:line="360" w:lineRule="auto"/>
        <w:rPr>
          <w:rFonts w:ascii="仿宋_GB2312" w:hAnsi="仿宋_GB2312" w:eastAsia="仿宋_GB2312" w:cs="仿宋_GB2312"/>
          <w:color w:val="auto"/>
          <w:sz w:val="24"/>
          <w:highlight w:val="none"/>
        </w:rPr>
      </w:pPr>
    </w:p>
    <w:p w14:paraId="099680C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0358EE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954CF9">
      <w:pPr>
        <w:pStyle w:val="86"/>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00BC763">
      <w:pPr>
        <w:spacing w:line="360" w:lineRule="auto"/>
        <w:jc w:val="center"/>
        <w:outlineLvl w:val="0"/>
        <w:rPr>
          <w:rFonts w:hint="eastAsia" w:ascii="仿宋" w:hAnsi="仿宋" w:eastAsia="仿宋" w:cs="仿宋"/>
          <w:b/>
          <w:color w:val="auto"/>
          <w:kern w:val="0"/>
          <w:sz w:val="36"/>
          <w:szCs w:val="36"/>
          <w:highlight w:val="none"/>
        </w:rPr>
      </w:pPr>
    </w:p>
    <w:p w14:paraId="7595878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9B0540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DE36ADB">
      <w:pPr>
        <w:spacing w:line="360" w:lineRule="auto"/>
        <w:jc w:val="center"/>
        <w:outlineLvl w:val="0"/>
        <w:rPr>
          <w:rFonts w:hint="eastAsia" w:ascii="仿宋" w:hAnsi="仿宋" w:eastAsia="仿宋" w:cs="仿宋"/>
          <w:b/>
          <w:color w:val="auto"/>
          <w:kern w:val="0"/>
          <w:sz w:val="36"/>
          <w:szCs w:val="36"/>
          <w:highlight w:val="none"/>
        </w:rPr>
      </w:pPr>
    </w:p>
    <w:p w14:paraId="5F67901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82158F1">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14:paraId="7BF84ED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14:paraId="47557A84">
      <w:pPr>
        <w:pStyle w:val="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7E96F2BC">
      <w:pPr>
        <w:snapToGrid w:val="0"/>
        <w:spacing w:line="360" w:lineRule="auto"/>
        <w:ind w:right="480"/>
        <w:jc w:val="center"/>
        <w:rPr>
          <w:rFonts w:hint="eastAsia" w:ascii="仿宋" w:hAnsi="仿宋" w:eastAsia="仿宋" w:cs="仿宋"/>
          <w:b/>
          <w:color w:val="auto"/>
          <w:kern w:val="0"/>
          <w:sz w:val="32"/>
          <w:szCs w:val="32"/>
          <w:highlight w:val="none"/>
        </w:rPr>
      </w:pPr>
    </w:p>
    <w:p w14:paraId="09AAE49A">
      <w:pPr>
        <w:snapToGrid w:val="0"/>
        <w:spacing w:line="360" w:lineRule="auto"/>
        <w:ind w:right="480"/>
        <w:jc w:val="center"/>
        <w:rPr>
          <w:rFonts w:hint="eastAsia" w:ascii="仿宋" w:hAnsi="仿宋" w:eastAsia="仿宋" w:cs="仿宋"/>
          <w:b/>
          <w:color w:val="auto"/>
          <w:kern w:val="0"/>
          <w:sz w:val="32"/>
          <w:szCs w:val="32"/>
          <w:highlight w:val="none"/>
        </w:rPr>
      </w:pPr>
    </w:p>
    <w:p w14:paraId="4AFE00FB">
      <w:pPr>
        <w:snapToGrid w:val="0"/>
        <w:spacing w:line="360" w:lineRule="auto"/>
        <w:ind w:right="480"/>
        <w:jc w:val="center"/>
        <w:rPr>
          <w:rFonts w:hint="eastAsia" w:ascii="仿宋" w:hAnsi="仿宋" w:eastAsia="仿宋" w:cs="仿宋"/>
          <w:b/>
          <w:color w:val="auto"/>
          <w:kern w:val="0"/>
          <w:sz w:val="32"/>
          <w:szCs w:val="32"/>
          <w:highlight w:val="none"/>
        </w:rPr>
      </w:pPr>
    </w:p>
    <w:p w14:paraId="6D2BD244">
      <w:pPr>
        <w:snapToGrid w:val="0"/>
        <w:spacing w:line="360" w:lineRule="auto"/>
        <w:ind w:right="480"/>
        <w:jc w:val="center"/>
        <w:rPr>
          <w:rFonts w:hint="eastAsia" w:ascii="仿宋" w:hAnsi="仿宋" w:eastAsia="仿宋" w:cs="仿宋"/>
          <w:b/>
          <w:color w:val="auto"/>
          <w:kern w:val="0"/>
          <w:sz w:val="32"/>
          <w:szCs w:val="32"/>
          <w:highlight w:val="none"/>
        </w:rPr>
      </w:pPr>
    </w:p>
    <w:p w14:paraId="155A591B">
      <w:pPr>
        <w:snapToGrid w:val="0"/>
        <w:spacing w:line="360" w:lineRule="auto"/>
        <w:ind w:right="480"/>
        <w:jc w:val="center"/>
        <w:rPr>
          <w:rFonts w:hint="eastAsia" w:ascii="仿宋" w:hAnsi="仿宋" w:eastAsia="仿宋" w:cs="仿宋"/>
          <w:b/>
          <w:color w:val="auto"/>
          <w:kern w:val="0"/>
          <w:sz w:val="32"/>
          <w:szCs w:val="32"/>
          <w:highlight w:val="none"/>
        </w:rPr>
      </w:pPr>
    </w:p>
    <w:p w14:paraId="5DEB010D">
      <w:pPr>
        <w:snapToGrid w:val="0"/>
        <w:spacing w:line="360" w:lineRule="auto"/>
        <w:ind w:right="480"/>
        <w:jc w:val="center"/>
        <w:rPr>
          <w:rFonts w:hint="eastAsia" w:ascii="仿宋" w:hAnsi="仿宋" w:eastAsia="仿宋" w:cs="仿宋"/>
          <w:b/>
          <w:color w:val="auto"/>
          <w:kern w:val="0"/>
          <w:sz w:val="32"/>
          <w:szCs w:val="32"/>
          <w:highlight w:val="none"/>
        </w:rPr>
      </w:pPr>
    </w:p>
    <w:p w14:paraId="32EC0655">
      <w:pPr>
        <w:snapToGrid w:val="0"/>
        <w:spacing w:line="360" w:lineRule="auto"/>
        <w:ind w:right="480"/>
        <w:jc w:val="center"/>
        <w:rPr>
          <w:rFonts w:hint="eastAsia" w:ascii="仿宋" w:hAnsi="仿宋" w:eastAsia="仿宋" w:cs="仿宋"/>
          <w:b/>
          <w:color w:val="auto"/>
          <w:kern w:val="0"/>
          <w:sz w:val="32"/>
          <w:szCs w:val="32"/>
          <w:highlight w:val="none"/>
        </w:rPr>
      </w:pPr>
    </w:p>
    <w:p w14:paraId="5232FFB8">
      <w:pPr>
        <w:snapToGrid w:val="0"/>
        <w:spacing w:line="360" w:lineRule="auto"/>
        <w:ind w:right="480"/>
        <w:jc w:val="center"/>
        <w:rPr>
          <w:rFonts w:hint="eastAsia" w:ascii="仿宋" w:hAnsi="仿宋" w:eastAsia="仿宋" w:cs="仿宋"/>
          <w:b/>
          <w:color w:val="auto"/>
          <w:kern w:val="0"/>
          <w:sz w:val="32"/>
          <w:szCs w:val="32"/>
          <w:highlight w:val="none"/>
        </w:rPr>
      </w:pPr>
    </w:p>
    <w:p w14:paraId="46F6B0B8">
      <w:pPr>
        <w:snapToGrid w:val="0"/>
        <w:spacing w:line="360" w:lineRule="auto"/>
        <w:ind w:right="480"/>
        <w:jc w:val="center"/>
        <w:rPr>
          <w:rFonts w:hint="eastAsia" w:ascii="仿宋" w:hAnsi="仿宋" w:eastAsia="仿宋" w:cs="仿宋"/>
          <w:b/>
          <w:color w:val="auto"/>
          <w:kern w:val="0"/>
          <w:sz w:val="32"/>
          <w:szCs w:val="32"/>
          <w:highlight w:val="none"/>
        </w:rPr>
      </w:pPr>
    </w:p>
    <w:p w14:paraId="4F73A7D9">
      <w:pPr>
        <w:snapToGrid w:val="0"/>
        <w:spacing w:line="360" w:lineRule="auto"/>
        <w:ind w:right="480"/>
        <w:jc w:val="center"/>
        <w:rPr>
          <w:rFonts w:hint="eastAsia" w:ascii="仿宋" w:hAnsi="仿宋" w:eastAsia="仿宋" w:cs="仿宋"/>
          <w:b/>
          <w:color w:val="auto"/>
          <w:kern w:val="0"/>
          <w:sz w:val="32"/>
          <w:szCs w:val="32"/>
          <w:highlight w:val="none"/>
        </w:rPr>
      </w:pPr>
    </w:p>
    <w:p w14:paraId="3677E49C">
      <w:pPr>
        <w:snapToGrid w:val="0"/>
        <w:spacing w:line="360" w:lineRule="auto"/>
        <w:ind w:right="480"/>
        <w:jc w:val="center"/>
        <w:rPr>
          <w:rFonts w:hint="eastAsia" w:ascii="仿宋" w:hAnsi="仿宋" w:eastAsia="仿宋" w:cs="仿宋"/>
          <w:b/>
          <w:color w:val="auto"/>
          <w:kern w:val="0"/>
          <w:sz w:val="32"/>
          <w:szCs w:val="32"/>
          <w:highlight w:val="none"/>
        </w:rPr>
      </w:pPr>
    </w:p>
    <w:p w14:paraId="4F798531">
      <w:pPr>
        <w:snapToGrid w:val="0"/>
        <w:spacing w:line="360" w:lineRule="auto"/>
        <w:ind w:right="480"/>
        <w:jc w:val="center"/>
        <w:rPr>
          <w:rFonts w:hint="eastAsia" w:ascii="仿宋" w:hAnsi="仿宋" w:eastAsia="仿宋" w:cs="仿宋"/>
          <w:b/>
          <w:color w:val="auto"/>
          <w:kern w:val="0"/>
          <w:sz w:val="32"/>
          <w:szCs w:val="32"/>
          <w:highlight w:val="none"/>
        </w:rPr>
      </w:pPr>
    </w:p>
    <w:p w14:paraId="66101A80">
      <w:pPr>
        <w:snapToGrid w:val="0"/>
        <w:spacing w:line="360" w:lineRule="auto"/>
        <w:ind w:right="480"/>
        <w:jc w:val="center"/>
        <w:rPr>
          <w:rFonts w:hint="eastAsia" w:ascii="仿宋" w:hAnsi="仿宋" w:eastAsia="仿宋" w:cs="仿宋"/>
          <w:b/>
          <w:color w:val="auto"/>
          <w:kern w:val="0"/>
          <w:sz w:val="32"/>
          <w:szCs w:val="32"/>
          <w:highlight w:val="none"/>
        </w:rPr>
      </w:pPr>
    </w:p>
    <w:p w14:paraId="78E67AD6">
      <w:pPr>
        <w:snapToGrid w:val="0"/>
        <w:spacing w:line="360" w:lineRule="auto"/>
        <w:ind w:right="480"/>
        <w:jc w:val="both"/>
        <w:rPr>
          <w:rFonts w:hint="eastAsia" w:ascii="仿宋" w:hAnsi="仿宋" w:eastAsia="仿宋" w:cs="仿宋"/>
          <w:b/>
          <w:color w:val="auto"/>
          <w:kern w:val="0"/>
          <w:sz w:val="32"/>
          <w:szCs w:val="32"/>
          <w:highlight w:val="none"/>
        </w:rPr>
      </w:pPr>
    </w:p>
    <w:p w14:paraId="21EF69F5">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597238A">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AE5473B">
      <w:pPr>
        <w:snapToGrid w:val="0"/>
        <w:spacing w:line="360" w:lineRule="auto"/>
        <w:ind w:firstLine="482"/>
        <w:rPr>
          <w:rFonts w:hint="eastAsia" w:ascii="仿宋" w:hAnsi="仿宋" w:eastAsia="仿宋" w:cs="仿宋"/>
          <w:color w:val="auto"/>
          <w:sz w:val="24"/>
          <w:highlight w:val="none"/>
          <w:lang w:val="en-US" w:eastAsia="zh-CN"/>
        </w:rPr>
      </w:pPr>
    </w:p>
    <w:p w14:paraId="7E3B880C">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0D2117D4">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247EE57B">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4"/>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8"/>
        <w:gridCol w:w="3210"/>
        <w:gridCol w:w="975"/>
        <w:gridCol w:w="2310"/>
        <w:gridCol w:w="1944"/>
      </w:tblGrid>
      <w:tr w14:paraId="0C48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898" w:type="dxa"/>
            <w:noWrap w:val="0"/>
            <w:tcMar>
              <w:top w:w="15" w:type="dxa"/>
              <w:left w:w="15" w:type="dxa"/>
              <w:right w:w="15" w:type="dxa"/>
            </w:tcMar>
            <w:vAlign w:val="center"/>
          </w:tcPr>
          <w:p w14:paraId="4E7C3367">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序号</w:t>
            </w:r>
          </w:p>
        </w:tc>
        <w:tc>
          <w:tcPr>
            <w:tcW w:w="3210" w:type="dxa"/>
            <w:noWrap w:val="0"/>
            <w:tcMar>
              <w:top w:w="15" w:type="dxa"/>
              <w:left w:w="15" w:type="dxa"/>
              <w:right w:w="15" w:type="dxa"/>
            </w:tcMar>
            <w:vAlign w:val="center"/>
          </w:tcPr>
          <w:p w14:paraId="720C950C">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采购内容</w:t>
            </w:r>
          </w:p>
        </w:tc>
        <w:tc>
          <w:tcPr>
            <w:tcW w:w="975" w:type="dxa"/>
            <w:noWrap w:val="0"/>
            <w:tcMar>
              <w:top w:w="15" w:type="dxa"/>
              <w:left w:w="15" w:type="dxa"/>
              <w:right w:w="15" w:type="dxa"/>
            </w:tcMar>
            <w:vAlign w:val="center"/>
          </w:tcPr>
          <w:p w14:paraId="1669F35F">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数量</w:t>
            </w:r>
          </w:p>
        </w:tc>
        <w:tc>
          <w:tcPr>
            <w:tcW w:w="2310" w:type="dxa"/>
            <w:noWrap w:val="0"/>
            <w:tcMar>
              <w:top w:w="15" w:type="dxa"/>
              <w:left w:w="15" w:type="dxa"/>
              <w:right w:w="15" w:type="dxa"/>
            </w:tcMar>
            <w:vAlign w:val="center"/>
          </w:tcPr>
          <w:p w14:paraId="2FF44EFF">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投标报价（元）</w:t>
            </w:r>
          </w:p>
        </w:tc>
        <w:tc>
          <w:tcPr>
            <w:tcW w:w="1944" w:type="dxa"/>
            <w:noWrap w:val="0"/>
            <w:tcMar>
              <w:top w:w="15" w:type="dxa"/>
              <w:left w:w="15" w:type="dxa"/>
              <w:right w:w="15" w:type="dxa"/>
            </w:tcMar>
            <w:vAlign w:val="center"/>
          </w:tcPr>
          <w:p w14:paraId="17C6BC8C">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备注</w:t>
            </w:r>
          </w:p>
        </w:tc>
      </w:tr>
      <w:tr w14:paraId="12D0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2" w:hRule="atLeast"/>
        </w:trPr>
        <w:tc>
          <w:tcPr>
            <w:tcW w:w="898" w:type="dxa"/>
            <w:noWrap w:val="0"/>
            <w:tcMar>
              <w:top w:w="15" w:type="dxa"/>
              <w:left w:w="15" w:type="dxa"/>
              <w:right w:w="15" w:type="dxa"/>
            </w:tcMar>
            <w:vAlign w:val="center"/>
          </w:tcPr>
          <w:p w14:paraId="43BA20A2">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3210" w:type="dxa"/>
            <w:noWrap w:val="0"/>
            <w:tcMar>
              <w:top w:w="15" w:type="dxa"/>
              <w:left w:w="15" w:type="dxa"/>
              <w:right w:w="15" w:type="dxa"/>
            </w:tcMar>
            <w:vAlign w:val="center"/>
          </w:tcPr>
          <w:p w14:paraId="27A941B8">
            <w:pPr>
              <w:widowControl/>
              <w:jc w:val="center"/>
              <w:textAlignment w:val="center"/>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嵊州市中医院医共体救治能力提升工程（金庭分院异地新建）智能化设备采购项目</w:t>
            </w:r>
          </w:p>
        </w:tc>
        <w:tc>
          <w:tcPr>
            <w:tcW w:w="975" w:type="dxa"/>
            <w:noWrap w:val="0"/>
            <w:tcMar>
              <w:top w:w="15" w:type="dxa"/>
              <w:left w:w="15" w:type="dxa"/>
              <w:right w:w="15" w:type="dxa"/>
            </w:tcMar>
            <w:vAlign w:val="center"/>
          </w:tcPr>
          <w:p w14:paraId="22FF6F6E">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1批</w:t>
            </w:r>
          </w:p>
        </w:tc>
        <w:tc>
          <w:tcPr>
            <w:tcW w:w="2310" w:type="dxa"/>
            <w:noWrap w:val="0"/>
            <w:tcMar>
              <w:top w:w="15" w:type="dxa"/>
              <w:left w:w="15" w:type="dxa"/>
              <w:right w:w="15" w:type="dxa"/>
            </w:tcMar>
            <w:vAlign w:val="center"/>
          </w:tcPr>
          <w:p w14:paraId="6BD0510C">
            <w:pPr>
              <w:jc w:val="center"/>
              <w:rPr>
                <w:rFonts w:hint="eastAsia" w:ascii="仿宋" w:hAnsi="仿宋" w:eastAsia="仿宋" w:cs="仿宋"/>
                <w:color w:val="auto"/>
                <w:sz w:val="24"/>
                <w:szCs w:val="24"/>
                <w:highlight w:val="none"/>
                <w:lang w:val="en-US" w:eastAsia="zh-CN"/>
              </w:rPr>
            </w:pPr>
          </w:p>
        </w:tc>
        <w:tc>
          <w:tcPr>
            <w:tcW w:w="1944" w:type="dxa"/>
            <w:noWrap w:val="0"/>
            <w:tcMar>
              <w:top w:w="15" w:type="dxa"/>
              <w:left w:w="15" w:type="dxa"/>
              <w:right w:w="15" w:type="dxa"/>
            </w:tcMar>
            <w:vAlign w:val="center"/>
          </w:tcPr>
          <w:p w14:paraId="3D239D53">
            <w:pPr>
              <w:jc w:val="center"/>
              <w:rPr>
                <w:rFonts w:hint="eastAsia" w:ascii="仿宋" w:hAnsi="仿宋" w:eastAsia="仿宋" w:cs="仿宋"/>
                <w:b/>
                <w:bCs w:val="0"/>
                <w:color w:val="auto"/>
                <w:sz w:val="24"/>
                <w:szCs w:val="24"/>
                <w:highlight w:val="none"/>
              </w:rPr>
            </w:pPr>
          </w:p>
        </w:tc>
      </w:tr>
      <w:tr w14:paraId="3C29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trPr>
        <w:tc>
          <w:tcPr>
            <w:tcW w:w="9337" w:type="dxa"/>
            <w:gridSpan w:val="5"/>
            <w:noWrap w:val="0"/>
            <w:tcMar>
              <w:top w:w="15" w:type="dxa"/>
              <w:left w:w="15" w:type="dxa"/>
              <w:right w:w="15" w:type="dxa"/>
            </w:tcMar>
            <w:vAlign w:val="center"/>
          </w:tcPr>
          <w:p w14:paraId="56686A1D">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14:paraId="7AAD7294">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B925CEA">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14:paraId="55AC862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249F25">
      <w:pPr>
        <w:spacing w:line="360" w:lineRule="auto"/>
        <w:ind w:firstLine="482" w:firstLineChars="200"/>
        <w:rPr>
          <w:rFonts w:hint="eastAsia" w:ascii="仿宋" w:hAnsi="仿宋" w:eastAsia="仿宋" w:cs="仿宋"/>
          <w:b/>
          <w:color w:val="auto"/>
          <w:kern w:val="0"/>
          <w:sz w:val="24"/>
          <w:highlight w:val="none"/>
        </w:rPr>
      </w:pPr>
    </w:p>
    <w:p w14:paraId="5368666E">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09A3343">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D42B7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0EBF32A">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9E59C15">
      <w:pPr>
        <w:pStyle w:val="697"/>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二、投标报价明细表</w:t>
      </w:r>
    </w:p>
    <w:p w14:paraId="071CF79A">
      <w:pPr>
        <w:snapToGrid w:val="0"/>
        <w:spacing w:line="360" w:lineRule="auto"/>
        <w:ind w:firstLine="482"/>
        <w:rPr>
          <w:rFonts w:hint="eastAsia" w:ascii="仿宋" w:hAnsi="仿宋" w:eastAsia="仿宋" w:cs="仿宋"/>
          <w:color w:val="auto"/>
          <w:sz w:val="24"/>
          <w:highlight w:val="none"/>
          <w:lang w:val="en-US" w:eastAsia="zh-CN"/>
        </w:rPr>
      </w:pPr>
    </w:p>
    <w:p w14:paraId="7114387C">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5DAF6E9E">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2A71921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4"/>
        <w:tblW w:w="9456"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1"/>
        <w:gridCol w:w="1945"/>
        <w:gridCol w:w="968"/>
        <w:gridCol w:w="1802"/>
        <w:gridCol w:w="1446"/>
        <w:gridCol w:w="1188"/>
        <w:gridCol w:w="1306"/>
      </w:tblGrid>
      <w:tr w14:paraId="6C799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801" w:type="dxa"/>
            <w:tcBorders>
              <w:top w:val="single" w:color="000000" w:sz="4" w:space="0"/>
              <w:left w:val="single" w:color="000000" w:sz="4" w:space="0"/>
              <w:bottom w:val="single" w:color="000000" w:sz="4" w:space="0"/>
              <w:right w:val="single" w:color="000000" w:sz="4" w:space="0"/>
            </w:tcBorders>
            <w:noWrap w:val="0"/>
            <w:vAlign w:val="center"/>
          </w:tcPr>
          <w:p w14:paraId="72C6ED67">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序号</w:t>
            </w:r>
          </w:p>
        </w:tc>
        <w:tc>
          <w:tcPr>
            <w:tcW w:w="1945" w:type="dxa"/>
            <w:tcBorders>
              <w:top w:val="single" w:color="000000" w:sz="4" w:space="0"/>
              <w:left w:val="single" w:color="000000" w:sz="4" w:space="0"/>
              <w:bottom w:val="single" w:color="000000" w:sz="4" w:space="0"/>
              <w:right w:val="single" w:color="000000" w:sz="4" w:space="0"/>
            </w:tcBorders>
            <w:noWrap w:val="0"/>
            <w:vAlign w:val="center"/>
          </w:tcPr>
          <w:p w14:paraId="58CF5B68">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名称</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14:paraId="13E7A906">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数量</w:t>
            </w:r>
          </w:p>
        </w:tc>
        <w:tc>
          <w:tcPr>
            <w:tcW w:w="1802" w:type="dxa"/>
            <w:tcBorders>
              <w:top w:val="single" w:color="000000" w:sz="4" w:space="0"/>
              <w:left w:val="single" w:color="000000" w:sz="4" w:space="0"/>
              <w:bottom w:val="single" w:color="000000" w:sz="4" w:space="0"/>
              <w:right w:val="single" w:color="000000" w:sz="4" w:space="0"/>
            </w:tcBorders>
            <w:noWrap w:val="0"/>
            <w:vAlign w:val="center"/>
          </w:tcPr>
          <w:p w14:paraId="130F37E7">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lang w:eastAsia="zh-CN"/>
              </w:rPr>
            </w:pPr>
            <w:r>
              <w:rPr>
                <w:rStyle w:val="968"/>
                <w:rFonts w:hint="eastAsia" w:ascii="仿宋" w:hAnsi="仿宋" w:eastAsia="仿宋" w:cs="仿宋"/>
                <w:color w:val="auto"/>
                <w:sz w:val="24"/>
                <w:szCs w:val="24"/>
                <w:highlight w:val="none"/>
              </w:rPr>
              <w:t>品牌</w:t>
            </w:r>
            <w:r>
              <w:rPr>
                <w:rStyle w:val="968"/>
                <w:rFonts w:hint="eastAsia" w:ascii="仿宋" w:hAnsi="仿宋" w:eastAsia="仿宋" w:cs="仿宋"/>
                <w:color w:val="auto"/>
                <w:sz w:val="24"/>
                <w:szCs w:val="24"/>
                <w:highlight w:val="none"/>
                <w:lang w:eastAsia="zh-CN"/>
              </w:rPr>
              <w:t>（</w:t>
            </w:r>
            <w:r>
              <w:rPr>
                <w:rStyle w:val="968"/>
                <w:rFonts w:hint="eastAsia" w:ascii="仿宋" w:hAnsi="仿宋" w:eastAsia="仿宋" w:cs="仿宋"/>
                <w:color w:val="auto"/>
                <w:sz w:val="24"/>
                <w:szCs w:val="24"/>
                <w:highlight w:val="none"/>
                <w:lang w:val="en-US" w:eastAsia="zh-CN"/>
              </w:rPr>
              <w:t>如有</w:t>
            </w:r>
            <w:r>
              <w:rPr>
                <w:rStyle w:val="968"/>
                <w:rFonts w:hint="eastAsia" w:ascii="仿宋" w:hAnsi="仿宋" w:eastAsia="仿宋" w:cs="仿宋"/>
                <w:color w:val="auto"/>
                <w:sz w:val="24"/>
                <w:szCs w:val="24"/>
                <w:highlight w:val="none"/>
                <w:lang w:eastAsia="zh-CN"/>
              </w:rPr>
              <w:t>）</w:t>
            </w:r>
          </w:p>
        </w:tc>
        <w:tc>
          <w:tcPr>
            <w:tcW w:w="1446" w:type="dxa"/>
            <w:tcBorders>
              <w:top w:val="single" w:color="000000" w:sz="4" w:space="0"/>
              <w:left w:val="single" w:color="000000" w:sz="4" w:space="0"/>
              <w:bottom w:val="single" w:color="000000" w:sz="4" w:space="0"/>
              <w:right w:val="single" w:color="000000" w:sz="4" w:space="0"/>
            </w:tcBorders>
            <w:noWrap w:val="0"/>
            <w:vAlign w:val="center"/>
          </w:tcPr>
          <w:p w14:paraId="41F01DF5">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lang w:eastAsia="zh-CN"/>
              </w:rPr>
            </w:pPr>
            <w:r>
              <w:rPr>
                <w:rStyle w:val="968"/>
                <w:rFonts w:hint="eastAsia" w:ascii="仿宋" w:hAnsi="仿宋" w:eastAsia="仿宋" w:cs="仿宋"/>
                <w:color w:val="auto"/>
                <w:sz w:val="24"/>
                <w:szCs w:val="24"/>
                <w:highlight w:val="none"/>
              </w:rPr>
              <w:t>规格型号</w:t>
            </w:r>
            <w:r>
              <w:rPr>
                <w:rStyle w:val="968"/>
                <w:rFonts w:hint="eastAsia" w:ascii="仿宋" w:hAnsi="仿宋" w:eastAsia="仿宋" w:cs="仿宋"/>
                <w:color w:val="auto"/>
                <w:sz w:val="24"/>
                <w:szCs w:val="24"/>
                <w:highlight w:val="none"/>
                <w:lang w:eastAsia="zh-CN"/>
              </w:rPr>
              <w:t>（</w:t>
            </w:r>
            <w:r>
              <w:rPr>
                <w:rStyle w:val="968"/>
                <w:rFonts w:hint="eastAsia" w:ascii="仿宋" w:hAnsi="仿宋" w:eastAsia="仿宋" w:cs="仿宋"/>
                <w:color w:val="auto"/>
                <w:sz w:val="24"/>
                <w:szCs w:val="24"/>
                <w:highlight w:val="none"/>
                <w:lang w:val="en-US" w:eastAsia="zh-CN"/>
              </w:rPr>
              <w:t>或具体服务</w:t>
            </w:r>
            <w:r>
              <w:rPr>
                <w:rStyle w:val="968"/>
                <w:rFonts w:hint="eastAsia" w:ascii="仿宋" w:hAnsi="仿宋" w:eastAsia="仿宋" w:cs="仿宋"/>
                <w:color w:val="auto"/>
                <w:sz w:val="24"/>
                <w:szCs w:val="24"/>
                <w:highlight w:val="none"/>
                <w:lang w:eastAsia="zh-CN"/>
              </w:rPr>
              <w:t>）</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F0185F3">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单价</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5DE391D3">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小计</w:t>
            </w:r>
          </w:p>
        </w:tc>
      </w:tr>
      <w:tr w14:paraId="53EDF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801" w:type="dxa"/>
            <w:tcBorders>
              <w:top w:val="single" w:color="000000" w:sz="4" w:space="0"/>
              <w:left w:val="single" w:color="000000" w:sz="4" w:space="0"/>
              <w:bottom w:val="single" w:color="000000" w:sz="4" w:space="0"/>
              <w:right w:val="single" w:color="000000" w:sz="4" w:space="0"/>
            </w:tcBorders>
            <w:noWrap w:val="0"/>
            <w:vAlign w:val="center"/>
          </w:tcPr>
          <w:p w14:paraId="50F0B8E2">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1</w:t>
            </w:r>
          </w:p>
        </w:tc>
        <w:tc>
          <w:tcPr>
            <w:tcW w:w="1945" w:type="dxa"/>
            <w:tcBorders>
              <w:top w:val="single" w:color="000000" w:sz="4" w:space="0"/>
              <w:left w:val="single" w:color="000000" w:sz="4" w:space="0"/>
              <w:bottom w:val="single" w:color="000000" w:sz="4" w:space="0"/>
              <w:right w:val="single" w:color="000000" w:sz="4" w:space="0"/>
            </w:tcBorders>
            <w:noWrap w:val="0"/>
            <w:vAlign w:val="center"/>
          </w:tcPr>
          <w:p w14:paraId="1592437D">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p>
        </w:tc>
        <w:tc>
          <w:tcPr>
            <w:tcW w:w="968" w:type="dxa"/>
            <w:tcBorders>
              <w:top w:val="single" w:color="000000" w:sz="4" w:space="0"/>
              <w:left w:val="single" w:color="000000" w:sz="4" w:space="0"/>
              <w:bottom w:val="single" w:color="000000" w:sz="4" w:space="0"/>
              <w:right w:val="single" w:color="000000" w:sz="4" w:space="0"/>
            </w:tcBorders>
            <w:noWrap w:val="0"/>
            <w:vAlign w:val="center"/>
          </w:tcPr>
          <w:p w14:paraId="06DEF63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802" w:type="dxa"/>
            <w:tcBorders>
              <w:top w:val="single" w:color="000000" w:sz="4" w:space="0"/>
              <w:left w:val="single" w:color="000000" w:sz="4" w:space="0"/>
              <w:bottom w:val="single" w:color="000000" w:sz="4" w:space="0"/>
              <w:right w:val="single" w:color="000000" w:sz="4" w:space="0"/>
            </w:tcBorders>
            <w:noWrap w:val="0"/>
            <w:vAlign w:val="center"/>
          </w:tcPr>
          <w:p w14:paraId="24BC5025">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446" w:type="dxa"/>
            <w:tcBorders>
              <w:top w:val="single" w:color="000000" w:sz="4" w:space="0"/>
              <w:left w:val="single" w:color="000000" w:sz="4" w:space="0"/>
              <w:bottom w:val="single" w:color="000000" w:sz="4" w:space="0"/>
              <w:right w:val="single" w:color="000000" w:sz="4" w:space="0"/>
            </w:tcBorders>
            <w:noWrap w:val="0"/>
            <w:vAlign w:val="center"/>
          </w:tcPr>
          <w:p w14:paraId="22AD4741">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217007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091B6AC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r>
      <w:tr w14:paraId="7D6AF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01" w:type="dxa"/>
            <w:tcBorders>
              <w:top w:val="single" w:color="000000" w:sz="4" w:space="0"/>
              <w:left w:val="single" w:color="000000" w:sz="4" w:space="0"/>
              <w:bottom w:val="single" w:color="000000" w:sz="4" w:space="0"/>
              <w:right w:val="single" w:color="000000" w:sz="4" w:space="0"/>
            </w:tcBorders>
            <w:noWrap w:val="0"/>
            <w:vAlign w:val="center"/>
          </w:tcPr>
          <w:p w14:paraId="49ACFD05">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2</w:t>
            </w:r>
          </w:p>
        </w:tc>
        <w:tc>
          <w:tcPr>
            <w:tcW w:w="1945" w:type="dxa"/>
            <w:tcBorders>
              <w:top w:val="single" w:color="000000" w:sz="4" w:space="0"/>
              <w:left w:val="single" w:color="000000" w:sz="4" w:space="0"/>
              <w:bottom w:val="single" w:color="000000" w:sz="4" w:space="0"/>
              <w:right w:val="single" w:color="000000" w:sz="4" w:space="0"/>
            </w:tcBorders>
            <w:noWrap w:val="0"/>
            <w:vAlign w:val="center"/>
          </w:tcPr>
          <w:p w14:paraId="2459C906">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p>
        </w:tc>
        <w:tc>
          <w:tcPr>
            <w:tcW w:w="968" w:type="dxa"/>
            <w:tcBorders>
              <w:top w:val="single" w:color="000000" w:sz="4" w:space="0"/>
              <w:left w:val="single" w:color="000000" w:sz="4" w:space="0"/>
              <w:bottom w:val="single" w:color="000000" w:sz="4" w:space="0"/>
              <w:right w:val="single" w:color="000000" w:sz="4" w:space="0"/>
            </w:tcBorders>
            <w:noWrap w:val="0"/>
            <w:vAlign w:val="center"/>
          </w:tcPr>
          <w:p w14:paraId="55D85A9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802" w:type="dxa"/>
            <w:tcBorders>
              <w:top w:val="single" w:color="000000" w:sz="4" w:space="0"/>
              <w:left w:val="single" w:color="000000" w:sz="4" w:space="0"/>
              <w:bottom w:val="single" w:color="000000" w:sz="4" w:space="0"/>
              <w:right w:val="single" w:color="000000" w:sz="4" w:space="0"/>
            </w:tcBorders>
            <w:noWrap w:val="0"/>
            <w:vAlign w:val="center"/>
          </w:tcPr>
          <w:p w14:paraId="26A4A81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446" w:type="dxa"/>
            <w:tcBorders>
              <w:top w:val="single" w:color="000000" w:sz="4" w:space="0"/>
              <w:left w:val="single" w:color="000000" w:sz="4" w:space="0"/>
              <w:bottom w:val="single" w:color="000000" w:sz="4" w:space="0"/>
              <w:right w:val="single" w:color="000000" w:sz="4" w:space="0"/>
            </w:tcBorders>
            <w:noWrap w:val="0"/>
            <w:vAlign w:val="center"/>
          </w:tcPr>
          <w:p w14:paraId="636B07A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6AB967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7510EF8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r>
      <w:tr w14:paraId="431E2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01" w:type="dxa"/>
            <w:tcBorders>
              <w:top w:val="single" w:color="000000" w:sz="4" w:space="0"/>
              <w:left w:val="single" w:color="000000" w:sz="4" w:space="0"/>
              <w:bottom w:val="single" w:color="000000" w:sz="4" w:space="0"/>
              <w:right w:val="single" w:color="000000" w:sz="4" w:space="0"/>
            </w:tcBorders>
            <w:noWrap w:val="0"/>
            <w:vAlign w:val="center"/>
          </w:tcPr>
          <w:p w14:paraId="75340C17">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3</w:t>
            </w:r>
          </w:p>
        </w:tc>
        <w:tc>
          <w:tcPr>
            <w:tcW w:w="1945" w:type="dxa"/>
            <w:tcBorders>
              <w:top w:val="single" w:color="000000" w:sz="4" w:space="0"/>
              <w:left w:val="single" w:color="000000" w:sz="4" w:space="0"/>
              <w:bottom w:val="single" w:color="000000" w:sz="4" w:space="0"/>
              <w:right w:val="single" w:color="000000" w:sz="4" w:space="0"/>
            </w:tcBorders>
            <w:noWrap w:val="0"/>
            <w:vAlign w:val="center"/>
          </w:tcPr>
          <w:p w14:paraId="4FB39390">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p>
        </w:tc>
        <w:tc>
          <w:tcPr>
            <w:tcW w:w="968" w:type="dxa"/>
            <w:tcBorders>
              <w:top w:val="single" w:color="000000" w:sz="4" w:space="0"/>
              <w:left w:val="single" w:color="000000" w:sz="4" w:space="0"/>
              <w:bottom w:val="single" w:color="000000" w:sz="4" w:space="0"/>
              <w:right w:val="single" w:color="000000" w:sz="4" w:space="0"/>
            </w:tcBorders>
            <w:noWrap w:val="0"/>
            <w:vAlign w:val="center"/>
          </w:tcPr>
          <w:p w14:paraId="6A3F322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802" w:type="dxa"/>
            <w:tcBorders>
              <w:top w:val="single" w:color="000000" w:sz="4" w:space="0"/>
              <w:left w:val="single" w:color="000000" w:sz="4" w:space="0"/>
              <w:bottom w:val="single" w:color="000000" w:sz="4" w:space="0"/>
              <w:right w:val="single" w:color="000000" w:sz="4" w:space="0"/>
            </w:tcBorders>
            <w:noWrap w:val="0"/>
            <w:vAlign w:val="center"/>
          </w:tcPr>
          <w:p w14:paraId="4AE104D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446" w:type="dxa"/>
            <w:tcBorders>
              <w:top w:val="single" w:color="000000" w:sz="4" w:space="0"/>
              <w:left w:val="single" w:color="000000" w:sz="4" w:space="0"/>
              <w:bottom w:val="single" w:color="000000" w:sz="4" w:space="0"/>
              <w:right w:val="single" w:color="000000" w:sz="4" w:space="0"/>
            </w:tcBorders>
            <w:noWrap w:val="0"/>
            <w:vAlign w:val="center"/>
          </w:tcPr>
          <w:p w14:paraId="3C17028A">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FBB62C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56829FE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r>
      <w:tr w14:paraId="35F7B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01" w:type="dxa"/>
            <w:tcBorders>
              <w:top w:val="single" w:color="000000" w:sz="4" w:space="0"/>
              <w:left w:val="single" w:color="000000" w:sz="4" w:space="0"/>
              <w:bottom w:val="single" w:color="000000" w:sz="4" w:space="0"/>
              <w:right w:val="single" w:color="000000" w:sz="4" w:space="0"/>
            </w:tcBorders>
            <w:noWrap w:val="0"/>
            <w:vAlign w:val="center"/>
          </w:tcPr>
          <w:p w14:paraId="615575CD">
            <w:pPr>
              <w:keepNext w:val="0"/>
              <w:keepLines w:val="0"/>
              <w:suppressLineNumbers w:val="0"/>
              <w:tabs>
                <w:tab w:val="left" w:pos="0"/>
              </w:tabs>
              <w:snapToGrid w:val="0"/>
              <w:spacing w:before="0" w:beforeAutospacing="0" w:after="0" w:afterAutospacing="0" w:line="500" w:lineRule="exact"/>
              <w:ind w:left="0" w:right="0"/>
              <w:jc w:val="center"/>
              <w:rPr>
                <w:rStyle w:val="968"/>
                <w:rFonts w:hint="eastAsia" w:ascii="仿宋" w:hAnsi="仿宋" w:eastAsia="仿宋" w:cs="仿宋"/>
                <w:color w:val="auto"/>
                <w:sz w:val="24"/>
                <w:szCs w:val="24"/>
                <w:highlight w:val="none"/>
              </w:rPr>
            </w:pPr>
          </w:p>
        </w:tc>
        <w:tc>
          <w:tcPr>
            <w:tcW w:w="1945" w:type="dxa"/>
            <w:tcBorders>
              <w:top w:val="single" w:color="000000" w:sz="4" w:space="0"/>
              <w:left w:val="single" w:color="000000" w:sz="4" w:space="0"/>
              <w:bottom w:val="single" w:color="000000" w:sz="4" w:space="0"/>
              <w:right w:val="single" w:color="000000" w:sz="4" w:space="0"/>
            </w:tcBorders>
            <w:noWrap w:val="0"/>
            <w:vAlign w:val="center"/>
          </w:tcPr>
          <w:p w14:paraId="2D43041F">
            <w:pPr>
              <w:keepNext w:val="0"/>
              <w:keepLines w:val="0"/>
              <w:suppressLineNumbers w:val="0"/>
              <w:tabs>
                <w:tab w:val="left" w:pos="0"/>
              </w:tabs>
              <w:snapToGrid w:val="0"/>
              <w:spacing w:before="0" w:beforeAutospacing="0" w:after="0" w:afterAutospacing="0" w:line="500" w:lineRule="exact"/>
              <w:ind w:left="0" w:right="0"/>
              <w:rPr>
                <w:rStyle w:val="968"/>
                <w:rFonts w:hint="eastAsia" w:ascii="仿宋" w:hAnsi="仿宋" w:eastAsia="仿宋" w:cs="仿宋"/>
                <w:color w:val="auto"/>
                <w:sz w:val="24"/>
                <w:szCs w:val="24"/>
                <w:highlight w:val="none"/>
              </w:rPr>
            </w:pPr>
            <w:r>
              <w:rPr>
                <w:rStyle w:val="968"/>
                <w:rFonts w:hint="eastAsia" w:ascii="仿宋" w:hAnsi="仿宋" w:eastAsia="仿宋" w:cs="仿宋"/>
                <w:b/>
                <w:bCs/>
                <w:color w:val="auto"/>
                <w:sz w:val="24"/>
                <w:szCs w:val="24"/>
                <w:highlight w:val="none"/>
              </w:rPr>
              <w:t>……</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14:paraId="28A48E1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802" w:type="dxa"/>
            <w:tcBorders>
              <w:top w:val="single" w:color="000000" w:sz="4" w:space="0"/>
              <w:left w:val="single" w:color="000000" w:sz="4" w:space="0"/>
              <w:bottom w:val="single" w:color="000000" w:sz="4" w:space="0"/>
              <w:right w:val="single" w:color="000000" w:sz="4" w:space="0"/>
            </w:tcBorders>
            <w:noWrap w:val="0"/>
            <w:vAlign w:val="center"/>
          </w:tcPr>
          <w:p w14:paraId="01D7670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446" w:type="dxa"/>
            <w:tcBorders>
              <w:top w:val="single" w:color="000000" w:sz="4" w:space="0"/>
              <w:left w:val="single" w:color="000000" w:sz="4" w:space="0"/>
              <w:bottom w:val="single" w:color="000000" w:sz="4" w:space="0"/>
              <w:right w:val="single" w:color="000000" w:sz="4" w:space="0"/>
            </w:tcBorders>
            <w:noWrap w:val="0"/>
            <w:vAlign w:val="center"/>
          </w:tcPr>
          <w:p w14:paraId="02B088BA">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FBB669A">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c>
          <w:tcPr>
            <w:tcW w:w="1306" w:type="dxa"/>
            <w:tcBorders>
              <w:top w:val="single" w:color="000000" w:sz="4" w:space="0"/>
              <w:left w:val="single" w:color="000000" w:sz="4" w:space="0"/>
              <w:bottom w:val="single" w:color="000000" w:sz="4" w:space="0"/>
              <w:right w:val="single" w:color="000000" w:sz="4" w:space="0"/>
            </w:tcBorders>
            <w:noWrap w:val="0"/>
            <w:vAlign w:val="center"/>
          </w:tcPr>
          <w:p w14:paraId="4E435CC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8"/>
                <w:rFonts w:hint="eastAsia" w:ascii="仿宋" w:hAnsi="仿宋" w:eastAsia="仿宋" w:cs="仿宋"/>
                <w:color w:val="auto"/>
                <w:sz w:val="24"/>
                <w:szCs w:val="24"/>
                <w:highlight w:val="none"/>
              </w:rPr>
            </w:pPr>
          </w:p>
        </w:tc>
      </w:tr>
      <w:tr w14:paraId="1637E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9456" w:type="dxa"/>
            <w:gridSpan w:val="7"/>
            <w:tcBorders>
              <w:top w:val="single" w:color="000000" w:sz="4" w:space="0"/>
              <w:left w:val="single" w:color="000000" w:sz="4" w:space="0"/>
              <w:bottom w:val="single" w:color="000000" w:sz="4" w:space="0"/>
              <w:right w:val="single" w:color="000000" w:sz="4" w:space="0"/>
            </w:tcBorders>
            <w:noWrap w:val="0"/>
            <w:vAlign w:val="center"/>
          </w:tcPr>
          <w:p w14:paraId="4422D3F3">
            <w:pPr>
              <w:keepNext w:val="0"/>
              <w:keepLines w:val="0"/>
              <w:suppressLineNumbers w:val="0"/>
              <w:tabs>
                <w:tab w:val="left" w:pos="0"/>
              </w:tabs>
              <w:snapToGrid w:val="0"/>
              <w:spacing w:before="0" w:beforeAutospacing="0" w:after="0" w:afterAutospacing="0" w:line="500" w:lineRule="exact"/>
              <w:ind w:right="0"/>
              <w:jc w:val="left"/>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rPr>
              <w:t>投标总报价（小写）：             元；大写：</w:t>
            </w:r>
          </w:p>
        </w:tc>
      </w:tr>
    </w:tbl>
    <w:p w14:paraId="5430EF07">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kern w:val="0"/>
          <w:sz w:val="24"/>
          <w:highlight w:val="none"/>
          <w:lang w:val="zh-CN"/>
        </w:rPr>
        <w:t>有关本项目实施所涉及的一切费用均计入报价</w:t>
      </w:r>
      <w:r>
        <w:rPr>
          <w:rStyle w:val="968"/>
          <w:rFonts w:hint="eastAsia" w:ascii="仿宋" w:hAnsi="仿宋" w:eastAsia="仿宋" w:cs="仿宋"/>
          <w:color w:val="auto"/>
          <w:sz w:val="24"/>
          <w:szCs w:val="24"/>
          <w:highlight w:val="none"/>
        </w:rPr>
        <w:t>。</w:t>
      </w:r>
    </w:p>
    <w:p w14:paraId="5DAA7363">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14:paraId="239EAB63">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3D4E03A0">
      <w:pPr>
        <w:pStyle w:val="969"/>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8"/>
          <w:rFonts w:hint="eastAsia" w:ascii="仿宋" w:hAnsi="仿宋" w:eastAsia="仿宋" w:cs="仿宋"/>
          <w:color w:val="auto"/>
          <w:sz w:val="24"/>
          <w:szCs w:val="24"/>
          <w:highlight w:val="none"/>
        </w:rPr>
      </w:pPr>
      <w:r>
        <w:rPr>
          <w:rStyle w:val="968"/>
          <w:rFonts w:hint="eastAsia" w:ascii="仿宋" w:hAnsi="仿宋" w:eastAsia="仿宋" w:cs="仿宋"/>
          <w:color w:val="auto"/>
          <w:sz w:val="24"/>
          <w:szCs w:val="24"/>
          <w:highlight w:val="none"/>
          <w:lang w:val="en-US" w:eastAsia="zh-CN"/>
        </w:rPr>
        <w:t>4、</w:t>
      </w:r>
      <w:r>
        <w:rPr>
          <w:rStyle w:val="968"/>
          <w:rFonts w:hint="eastAsia" w:ascii="仿宋" w:hAnsi="仿宋" w:eastAsia="仿宋" w:cs="仿宋"/>
          <w:color w:val="auto"/>
          <w:sz w:val="24"/>
          <w:szCs w:val="24"/>
          <w:highlight w:val="none"/>
        </w:rPr>
        <w:t>名称按不同采购内容分别填写，金额应与开标一览表中的相一致。</w:t>
      </w:r>
    </w:p>
    <w:p w14:paraId="56C60965">
      <w:pPr>
        <w:pStyle w:val="697"/>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8"/>
          <w:rFonts w:hint="eastAsia" w:ascii="仿宋" w:hAnsi="仿宋" w:eastAsia="仿宋" w:cs="仿宋"/>
          <w:b w:val="0"/>
          <w:color w:val="auto"/>
          <w:kern w:val="2"/>
          <w:sz w:val="24"/>
          <w:szCs w:val="24"/>
          <w:highlight w:val="none"/>
          <w:lang w:val="en-US" w:eastAsia="zh-CN" w:bidi="ar-SA"/>
        </w:rPr>
      </w:pPr>
      <w:r>
        <w:rPr>
          <w:rStyle w:val="968"/>
          <w:rFonts w:hint="eastAsia" w:ascii="仿宋" w:hAnsi="仿宋" w:eastAsia="仿宋" w:cs="仿宋"/>
          <w:b w:val="0"/>
          <w:color w:val="auto"/>
          <w:kern w:val="2"/>
          <w:sz w:val="24"/>
          <w:szCs w:val="24"/>
          <w:highlight w:val="none"/>
          <w:lang w:val="en-US" w:eastAsia="zh-CN" w:bidi="ar-SA"/>
        </w:rPr>
        <w:t>5、以上表格在“规格型号（或具体服务）”一栏中，货物类项目填写规格型号，服务类项目填写具体服务。</w:t>
      </w:r>
    </w:p>
    <w:p w14:paraId="017D53C8">
      <w:pPr>
        <w:pStyle w:val="697"/>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8"/>
          <w:rFonts w:hint="eastAsia" w:ascii="仿宋" w:hAnsi="仿宋" w:eastAsia="仿宋" w:cs="仿宋"/>
          <w:b w:val="0"/>
          <w:color w:val="auto"/>
          <w:kern w:val="2"/>
          <w:sz w:val="24"/>
          <w:szCs w:val="24"/>
          <w:highlight w:val="none"/>
          <w:lang w:val="en-US" w:eastAsia="zh-CN" w:bidi="ar-SA"/>
        </w:rPr>
      </w:pPr>
      <w:r>
        <w:rPr>
          <w:rStyle w:val="968"/>
          <w:rFonts w:hint="eastAsia" w:ascii="仿宋" w:hAnsi="仿宋" w:eastAsia="仿宋" w:cs="仿宋"/>
          <w:b w:val="0"/>
          <w:color w:val="auto"/>
          <w:kern w:val="2"/>
          <w:sz w:val="24"/>
          <w:szCs w:val="24"/>
          <w:highlight w:val="none"/>
          <w:lang w:val="en-US" w:eastAsia="zh-CN" w:bidi="ar-SA"/>
        </w:rPr>
        <w:t>6、此表仅提供了表格形式，投标人可按此表格格式进行扩展。</w:t>
      </w:r>
    </w:p>
    <w:p w14:paraId="74291CDC">
      <w:pPr>
        <w:spacing w:line="336" w:lineRule="auto"/>
        <w:ind w:firstLine="5280" w:firstLineChars="2200"/>
        <w:rPr>
          <w:rFonts w:hint="eastAsia" w:ascii="仿宋" w:hAnsi="仿宋" w:eastAsia="仿宋" w:cs="仿宋"/>
          <w:color w:val="auto"/>
          <w:sz w:val="24"/>
          <w:highlight w:val="none"/>
          <w:lang w:eastAsia="zh-CN"/>
        </w:rPr>
      </w:pPr>
    </w:p>
    <w:p w14:paraId="65F283D8">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6ADB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7A46585">
      <w:pPr>
        <w:pStyle w:val="697"/>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val="en-US" w:eastAsia="zh-CN"/>
        </w:rPr>
      </w:pPr>
    </w:p>
    <w:p w14:paraId="39FFF277">
      <w:pPr>
        <w:pStyle w:val="697"/>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14:paraId="0DF3EBE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9E0F13B">
      <w:pPr>
        <w:pStyle w:val="84"/>
        <w:rPr>
          <w:rFonts w:hint="eastAsia" w:ascii="仿宋" w:hAnsi="仿宋" w:eastAsia="仿宋" w:cs="仿宋"/>
          <w:b/>
          <w:color w:val="auto"/>
          <w:sz w:val="24"/>
          <w:highlight w:val="none"/>
        </w:rPr>
      </w:pPr>
    </w:p>
    <w:p w14:paraId="71EDE2FC">
      <w:pPr>
        <w:pStyle w:val="86"/>
        <w:rPr>
          <w:rFonts w:hint="eastAsia" w:ascii="仿宋" w:hAnsi="仿宋" w:eastAsia="仿宋" w:cs="仿宋"/>
          <w:b/>
          <w:color w:val="auto"/>
          <w:sz w:val="24"/>
          <w:highlight w:val="none"/>
        </w:rPr>
      </w:pPr>
    </w:p>
    <w:p w14:paraId="68A98593">
      <w:pPr>
        <w:rPr>
          <w:rFonts w:hint="eastAsia" w:ascii="仿宋" w:hAnsi="仿宋" w:eastAsia="仿宋" w:cs="仿宋"/>
          <w:b/>
          <w:color w:val="auto"/>
          <w:sz w:val="24"/>
          <w:highlight w:val="none"/>
        </w:rPr>
      </w:pPr>
    </w:p>
    <w:p w14:paraId="08FEB871">
      <w:pPr>
        <w:pStyle w:val="84"/>
        <w:rPr>
          <w:rFonts w:hint="eastAsia" w:ascii="仿宋" w:hAnsi="仿宋" w:eastAsia="仿宋" w:cs="仿宋"/>
          <w:b/>
          <w:color w:val="auto"/>
          <w:sz w:val="24"/>
          <w:highlight w:val="none"/>
        </w:rPr>
      </w:pPr>
    </w:p>
    <w:p w14:paraId="7C296390">
      <w:pPr>
        <w:pStyle w:val="86"/>
        <w:rPr>
          <w:rFonts w:hint="eastAsia" w:ascii="仿宋" w:hAnsi="仿宋" w:eastAsia="仿宋" w:cs="仿宋"/>
          <w:b/>
          <w:color w:val="auto"/>
          <w:sz w:val="24"/>
          <w:highlight w:val="none"/>
        </w:rPr>
      </w:pPr>
    </w:p>
    <w:p w14:paraId="4A1FBE0B">
      <w:pPr>
        <w:rPr>
          <w:rFonts w:hint="eastAsia"/>
          <w:color w:val="auto"/>
          <w:highlight w:val="none"/>
          <w:lang w:eastAsia="zh-CN"/>
        </w:rPr>
      </w:pPr>
    </w:p>
    <w:p w14:paraId="26A3FA7D">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14:paraId="7FF36C40">
      <w:pPr>
        <w:pStyle w:val="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27D1128">
      <w:pPr>
        <w:pStyle w:val="697"/>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B5197AD">
      <w:pPr>
        <w:spacing w:line="360" w:lineRule="auto"/>
        <w:ind w:right="420" w:firstLine="3614" w:firstLineChars="1000"/>
        <w:rPr>
          <w:rFonts w:hint="eastAsia" w:ascii="仿宋" w:hAnsi="仿宋" w:eastAsia="仿宋" w:cs="仿宋"/>
          <w:b/>
          <w:color w:val="auto"/>
          <w:kern w:val="0"/>
          <w:sz w:val="36"/>
          <w:szCs w:val="36"/>
          <w:highlight w:val="none"/>
        </w:rPr>
      </w:pPr>
    </w:p>
    <w:p w14:paraId="3AC31C47">
      <w:pPr>
        <w:spacing w:line="360" w:lineRule="auto"/>
        <w:ind w:right="420" w:firstLine="3614" w:firstLineChars="1000"/>
        <w:rPr>
          <w:rFonts w:hint="eastAsia" w:ascii="仿宋" w:hAnsi="仿宋" w:eastAsia="仿宋" w:cs="仿宋"/>
          <w:b/>
          <w:color w:val="auto"/>
          <w:kern w:val="0"/>
          <w:sz w:val="36"/>
          <w:szCs w:val="36"/>
          <w:highlight w:val="none"/>
        </w:rPr>
      </w:pPr>
    </w:p>
    <w:p w14:paraId="351E2AA6">
      <w:pPr>
        <w:spacing w:line="360" w:lineRule="auto"/>
        <w:ind w:right="420" w:firstLine="3614" w:firstLineChars="1000"/>
        <w:rPr>
          <w:rFonts w:hint="eastAsia" w:ascii="仿宋" w:hAnsi="仿宋" w:eastAsia="仿宋" w:cs="仿宋"/>
          <w:b/>
          <w:color w:val="auto"/>
          <w:kern w:val="0"/>
          <w:sz w:val="36"/>
          <w:szCs w:val="36"/>
          <w:highlight w:val="none"/>
        </w:rPr>
      </w:pPr>
    </w:p>
    <w:p w14:paraId="3335EB19">
      <w:pPr>
        <w:spacing w:line="360" w:lineRule="auto"/>
        <w:ind w:right="420" w:firstLine="3614" w:firstLineChars="1000"/>
        <w:rPr>
          <w:rFonts w:hint="eastAsia" w:ascii="仿宋" w:hAnsi="仿宋" w:eastAsia="仿宋" w:cs="仿宋"/>
          <w:b/>
          <w:color w:val="auto"/>
          <w:kern w:val="0"/>
          <w:sz w:val="36"/>
          <w:szCs w:val="36"/>
          <w:highlight w:val="none"/>
        </w:rPr>
      </w:pPr>
    </w:p>
    <w:p w14:paraId="61BB530D">
      <w:pPr>
        <w:spacing w:line="360" w:lineRule="auto"/>
        <w:ind w:right="420" w:firstLine="3614" w:firstLineChars="1000"/>
        <w:rPr>
          <w:rFonts w:hint="eastAsia" w:ascii="仿宋" w:hAnsi="仿宋" w:eastAsia="仿宋" w:cs="仿宋"/>
          <w:b/>
          <w:color w:val="auto"/>
          <w:kern w:val="0"/>
          <w:sz w:val="36"/>
          <w:szCs w:val="36"/>
          <w:highlight w:val="none"/>
        </w:rPr>
      </w:pPr>
    </w:p>
    <w:p w14:paraId="0EDDB4D8">
      <w:pPr>
        <w:spacing w:line="360" w:lineRule="auto"/>
        <w:ind w:right="420" w:firstLine="3614" w:firstLineChars="1000"/>
        <w:rPr>
          <w:rFonts w:hint="eastAsia" w:ascii="仿宋" w:hAnsi="仿宋" w:eastAsia="仿宋" w:cs="仿宋"/>
          <w:b/>
          <w:color w:val="auto"/>
          <w:kern w:val="0"/>
          <w:sz w:val="36"/>
          <w:szCs w:val="36"/>
          <w:highlight w:val="none"/>
        </w:rPr>
      </w:pPr>
    </w:p>
    <w:p w14:paraId="0018B7B6">
      <w:pPr>
        <w:spacing w:line="360" w:lineRule="auto"/>
        <w:ind w:right="420" w:firstLine="3614" w:firstLineChars="1000"/>
        <w:rPr>
          <w:rFonts w:hint="eastAsia" w:ascii="仿宋" w:hAnsi="仿宋" w:eastAsia="仿宋" w:cs="仿宋"/>
          <w:b/>
          <w:color w:val="auto"/>
          <w:kern w:val="0"/>
          <w:sz w:val="36"/>
          <w:szCs w:val="36"/>
          <w:highlight w:val="none"/>
        </w:rPr>
      </w:pPr>
    </w:p>
    <w:p w14:paraId="1FB51735">
      <w:pPr>
        <w:spacing w:line="360" w:lineRule="auto"/>
        <w:ind w:right="420" w:firstLine="3614" w:firstLineChars="1000"/>
        <w:rPr>
          <w:rFonts w:hint="eastAsia" w:ascii="仿宋" w:hAnsi="仿宋" w:eastAsia="仿宋" w:cs="仿宋"/>
          <w:b/>
          <w:color w:val="auto"/>
          <w:kern w:val="0"/>
          <w:sz w:val="36"/>
          <w:szCs w:val="36"/>
          <w:highlight w:val="none"/>
        </w:rPr>
      </w:pPr>
    </w:p>
    <w:p w14:paraId="242A33E6">
      <w:pPr>
        <w:spacing w:line="360" w:lineRule="auto"/>
        <w:ind w:right="420" w:firstLine="3614" w:firstLineChars="1000"/>
        <w:rPr>
          <w:rFonts w:hint="eastAsia" w:ascii="仿宋" w:hAnsi="仿宋" w:eastAsia="仿宋" w:cs="仿宋"/>
          <w:b/>
          <w:color w:val="auto"/>
          <w:kern w:val="0"/>
          <w:sz w:val="36"/>
          <w:szCs w:val="36"/>
          <w:highlight w:val="none"/>
        </w:rPr>
      </w:pPr>
    </w:p>
    <w:p w14:paraId="7E8BAE27">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EF4917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EF2E7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15FCD88">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B075D5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7BF1E5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41A64E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6A4B66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9CC10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41E92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4A66CE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0956F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A4531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766490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86BF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DCAD34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23D48B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3FAA0E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F14FC2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FA55DD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2565BE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018D5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1C1B2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F7CB3D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536EE7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EF6DB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7B25041">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0E95F71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B13855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15836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9A6993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09C8F5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CCB509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361D9D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36AC1C6">
      <w:pPr>
        <w:widowControl/>
        <w:spacing w:line="360" w:lineRule="auto"/>
        <w:ind w:firstLine="600" w:firstLineChars="200"/>
        <w:jc w:val="left"/>
        <w:rPr>
          <w:rFonts w:hint="eastAsia" w:ascii="仿宋" w:hAnsi="仿宋" w:eastAsia="仿宋" w:cs="仿宋"/>
          <w:color w:val="auto"/>
          <w:sz w:val="30"/>
          <w:szCs w:val="30"/>
          <w:highlight w:val="none"/>
        </w:rPr>
      </w:pPr>
    </w:p>
    <w:p w14:paraId="3CCA54C5">
      <w:pPr>
        <w:spacing w:line="360" w:lineRule="auto"/>
        <w:jc w:val="center"/>
        <w:rPr>
          <w:rFonts w:hint="eastAsia" w:ascii="仿宋" w:hAnsi="仿宋" w:eastAsia="仿宋" w:cs="仿宋"/>
          <w:b/>
          <w:color w:val="auto"/>
          <w:spacing w:val="6"/>
          <w:sz w:val="32"/>
          <w:szCs w:val="32"/>
          <w:highlight w:val="none"/>
        </w:rPr>
      </w:pPr>
    </w:p>
    <w:p w14:paraId="6EF21D3D">
      <w:pPr>
        <w:spacing w:line="360" w:lineRule="auto"/>
        <w:jc w:val="center"/>
        <w:rPr>
          <w:rFonts w:hint="eastAsia" w:ascii="仿宋" w:hAnsi="仿宋" w:eastAsia="仿宋" w:cs="仿宋"/>
          <w:b/>
          <w:color w:val="auto"/>
          <w:spacing w:val="6"/>
          <w:sz w:val="32"/>
          <w:szCs w:val="32"/>
          <w:highlight w:val="none"/>
        </w:rPr>
      </w:pPr>
    </w:p>
    <w:p w14:paraId="0BD1305D">
      <w:pPr>
        <w:spacing w:line="360" w:lineRule="auto"/>
        <w:jc w:val="center"/>
        <w:rPr>
          <w:rFonts w:hint="eastAsia" w:ascii="仿宋" w:hAnsi="仿宋" w:eastAsia="仿宋" w:cs="仿宋"/>
          <w:b/>
          <w:color w:val="auto"/>
          <w:spacing w:val="6"/>
          <w:sz w:val="32"/>
          <w:szCs w:val="32"/>
          <w:highlight w:val="none"/>
        </w:rPr>
      </w:pPr>
    </w:p>
    <w:p w14:paraId="6635C424">
      <w:pPr>
        <w:spacing w:line="360" w:lineRule="auto"/>
        <w:jc w:val="center"/>
        <w:rPr>
          <w:rFonts w:hint="eastAsia" w:ascii="仿宋" w:hAnsi="仿宋" w:eastAsia="仿宋" w:cs="仿宋"/>
          <w:b/>
          <w:color w:val="auto"/>
          <w:spacing w:val="6"/>
          <w:sz w:val="32"/>
          <w:szCs w:val="32"/>
          <w:highlight w:val="none"/>
        </w:rPr>
      </w:pPr>
    </w:p>
    <w:p w14:paraId="1071CE71">
      <w:pPr>
        <w:spacing w:line="360" w:lineRule="auto"/>
        <w:jc w:val="center"/>
        <w:rPr>
          <w:rFonts w:hint="eastAsia" w:ascii="仿宋" w:hAnsi="仿宋" w:eastAsia="仿宋" w:cs="仿宋"/>
          <w:b/>
          <w:color w:val="auto"/>
          <w:spacing w:val="6"/>
          <w:sz w:val="32"/>
          <w:szCs w:val="32"/>
          <w:highlight w:val="none"/>
        </w:rPr>
      </w:pPr>
    </w:p>
    <w:p w14:paraId="138974A3">
      <w:pPr>
        <w:spacing w:line="360" w:lineRule="auto"/>
        <w:jc w:val="center"/>
        <w:rPr>
          <w:rFonts w:hint="eastAsia" w:ascii="仿宋" w:hAnsi="仿宋" w:eastAsia="仿宋" w:cs="仿宋"/>
          <w:b/>
          <w:color w:val="auto"/>
          <w:spacing w:val="6"/>
          <w:sz w:val="32"/>
          <w:szCs w:val="32"/>
          <w:highlight w:val="none"/>
        </w:rPr>
      </w:pPr>
    </w:p>
    <w:p w14:paraId="4DC1C79C">
      <w:pPr>
        <w:spacing w:line="360" w:lineRule="auto"/>
        <w:jc w:val="center"/>
        <w:rPr>
          <w:rFonts w:hint="eastAsia" w:ascii="仿宋" w:hAnsi="仿宋" w:eastAsia="仿宋" w:cs="仿宋"/>
          <w:b/>
          <w:color w:val="auto"/>
          <w:spacing w:val="6"/>
          <w:sz w:val="32"/>
          <w:szCs w:val="32"/>
          <w:highlight w:val="none"/>
        </w:rPr>
      </w:pPr>
    </w:p>
    <w:p w14:paraId="660BB095">
      <w:pPr>
        <w:spacing w:line="360" w:lineRule="auto"/>
        <w:jc w:val="left"/>
        <w:rPr>
          <w:rFonts w:hint="eastAsia" w:ascii="仿宋" w:hAnsi="仿宋" w:eastAsia="仿宋" w:cs="仿宋"/>
          <w:b/>
          <w:color w:val="auto"/>
          <w:spacing w:val="6"/>
          <w:sz w:val="32"/>
          <w:szCs w:val="32"/>
          <w:highlight w:val="none"/>
        </w:rPr>
      </w:pPr>
    </w:p>
    <w:p w14:paraId="3404D3B1">
      <w:pPr>
        <w:spacing w:line="360" w:lineRule="auto"/>
        <w:jc w:val="left"/>
        <w:rPr>
          <w:rFonts w:hint="eastAsia" w:ascii="仿宋" w:hAnsi="仿宋" w:eastAsia="仿宋" w:cs="仿宋"/>
          <w:b/>
          <w:color w:val="auto"/>
          <w:spacing w:val="6"/>
          <w:sz w:val="32"/>
          <w:szCs w:val="32"/>
          <w:highlight w:val="none"/>
        </w:rPr>
      </w:pPr>
    </w:p>
    <w:p w14:paraId="781D5F0D">
      <w:pPr>
        <w:spacing w:line="360" w:lineRule="auto"/>
        <w:jc w:val="left"/>
        <w:rPr>
          <w:rFonts w:hint="eastAsia" w:ascii="仿宋" w:hAnsi="仿宋" w:eastAsia="仿宋" w:cs="仿宋"/>
          <w:b/>
          <w:color w:val="auto"/>
          <w:spacing w:val="6"/>
          <w:sz w:val="32"/>
          <w:szCs w:val="32"/>
          <w:highlight w:val="none"/>
        </w:rPr>
      </w:pPr>
    </w:p>
    <w:p w14:paraId="7EF08B3D">
      <w:pPr>
        <w:spacing w:line="360" w:lineRule="auto"/>
        <w:jc w:val="left"/>
        <w:rPr>
          <w:rFonts w:hint="eastAsia" w:ascii="仿宋" w:hAnsi="仿宋" w:eastAsia="仿宋" w:cs="仿宋"/>
          <w:b/>
          <w:color w:val="auto"/>
          <w:spacing w:val="6"/>
          <w:sz w:val="32"/>
          <w:szCs w:val="32"/>
          <w:highlight w:val="none"/>
        </w:rPr>
      </w:pPr>
    </w:p>
    <w:p w14:paraId="5271F25F">
      <w:pPr>
        <w:spacing w:line="360" w:lineRule="auto"/>
        <w:jc w:val="left"/>
        <w:rPr>
          <w:rFonts w:hint="eastAsia" w:ascii="仿宋" w:hAnsi="仿宋" w:eastAsia="仿宋" w:cs="仿宋"/>
          <w:b/>
          <w:color w:val="auto"/>
          <w:spacing w:val="6"/>
          <w:sz w:val="32"/>
          <w:szCs w:val="32"/>
          <w:highlight w:val="none"/>
        </w:rPr>
      </w:pPr>
    </w:p>
    <w:p w14:paraId="5C3E3B67">
      <w:pPr>
        <w:spacing w:line="360" w:lineRule="auto"/>
        <w:jc w:val="left"/>
        <w:rPr>
          <w:rFonts w:hint="eastAsia" w:ascii="仿宋" w:hAnsi="仿宋" w:eastAsia="仿宋" w:cs="仿宋"/>
          <w:b/>
          <w:color w:val="auto"/>
          <w:spacing w:val="6"/>
          <w:sz w:val="32"/>
          <w:szCs w:val="32"/>
          <w:highlight w:val="none"/>
        </w:rPr>
      </w:pPr>
    </w:p>
    <w:p w14:paraId="688B06A3">
      <w:pPr>
        <w:spacing w:line="360" w:lineRule="auto"/>
        <w:jc w:val="left"/>
        <w:rPr>
          <w:rFonts w:hint="eastAsia" w:ascii="仿宋" w:hAnsi="仿宋" w:eastAsia="仿宋" w:cs="仿宋"/>
          <w:b/>
          <w:color w:val="auto"/>
          <w:spacing w:val="6"/>
          <w:sz w:val="32"/>
          <w:szCs w:val="32"/>
          <w:highlight w:val="none"/>
        </w:rPr>
      </w:pPr>
    </w:p>
    <w:p w14:paraId="1DC3BFC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FC38EFF">
      <w:pPr>
        <w:spacing w:line="360" w:lineRule="auto"/>
        <w:jc w:val="center"/>
        <w:rPr>
          <w:rFonts w:hint="eastAsia" w:ascii="仿宋" w:hAnsi="仿宋" w:eastAsia="仿宋" w:cs="仿宋"/>
          <w:b/>
          <w:color w:val="auto"/>
          <w:sz w:val="24"/>
          <w:highlight w:val="none"/>
        </w:rPr>
      </w:pPr>
    </w:p>
    <w:p w14:paraId="5566739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11D15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920019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709FE9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45BB33">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E09329">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8E6305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B7397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45678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EA7E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7F9E9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BD91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51EFBF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FA82C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81403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308E6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90059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D82C2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3E64F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5E8A5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181A89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1986F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E6E12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8BB52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C7E103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2BFBD0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B5FC83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D516C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B20138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2ABFA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D7E265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0F8A4E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B38389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6EC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0CE65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30181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82BDE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4F0E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F607B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ABDC5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B59051C">
      <w:pPr>
        <w:spacing w:line="360" w:lineRule="auto"/>
        <w:rPr>
          <w:rFonts w:hint="eastAsia" w:ascii="仿宋" w:hAnsi="仿宋" w:eastAsia="仿宋" w:cs="仿宋"/>
          <w:b/>
          <w:color w:val="auto"/>
          <w:sz w:val="24"/>
          <w:highlight w:val="none"/>
        </w:rPr>
      </w:pPr>
    </w:p>
    <w:p w14:paraId="0999BEAE">
      <w:pPr>
        <w:spacing w:line="360" w:lineRule="auto"/>
        <w:rPr>
          <w:rFonts w:hint="eastAsia" w:ascii="仿宋" w:hAnsi="仿宋" w:eastAsia="仿宋" w:cs="仿宋"/>
          <w:b/>
          <w:color w:val="auto"/>
          <w:sz w:val="24"/>
          <w:highlight w:val="none"/>
        </w:rPr>
      </w:pPr>
    </w:p>
    <w:p w14:paraId="589D2DC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40D1C5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7A8C69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F3115B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252581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047B39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BD733B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2F2F27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361A3BD">
      <w:pPr>
        <w:spacing w:line="360" w:lineRule="auto"/>
        <w:rPr>
          <w:rFonts w:hint="eastAsia" w:ascii="仿宋" w:hAnsi="仿宋" w:eastAsia="仿宋" w:cs="仿宋"/>
          <w:b/>
          <w:color w:val="auto"/>
          <w:sz w:val="24"/>
          <w:highlight w:val="none"/>
        </w:rPr>
      </w:pPr>
    </w:p>
    <w:p w14:paraId="152C447B">
      <w:pPr>
        <w:autoSpaceDE w:val="0"/>
        <w:autoSpaceDN w:val="0"/>
        <w:jc w:val="center"/>
        <w:rPr>
          <w:rFonts w:hint="eastAsia" w:ascii="仿宋" w:hAnsi="仿宋" w:eastAsia="仿宋" w:cs="仿宋"/>
          <w:b/>
          <w:color w:val="auto"/>
          <w:spacing w:val="6"/>
          <w:sz w:val="32"/>
          <w:szCs w:val="32"/>
          <w:highlight w:val="none"/>
        </w:rPr>
      </w:pPr>
    </w:p>
    <w:p w14:paraId="6B8C85D6">
      <w:pPr>
        <w:autoSpaceDE w:val="0"/>
        <w:autoSpaceDN w:val="0"/>
        <w:jc w:val="center"/>
        <w:rPr>
          <w:rFonts w:hint="eastAsia" w:ascii="仿宋" w:hAnsi="仿宋" w:eastAsia="仿宋" w:cs="仿宋"/>
          <w:b/>
          <w:color w:val="auto"/>
          <w:spacing w:val="6"/>
          <w:sz w:val="32"/>
          <w:szCs w:val="32"/>
          <w:highlight w:val="none"/>
        </w:rPr>
      </w:pPr>
    </w:p>
    <w:p w14:paraId="0A2C6BA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070EEF8">
      <w:pPr>
        <w:spacing w:line="360" w:lineRule="auto"/>
        <w:rPr>
          <w:rFonts w:hint="eastAsia" w:ascii="仿宋" w:hAnsi="仿宋" w:eastAsia="仿宋" w:cs="仿宋"/>
          <w:color w:val="auto"/>
          <w:sz w:val="24"/>
          <w:highlight w:val="none"/>
          <w:u w:val="single"/>
        </w:rPr>
      </w:pPr>
    </w:p>
    <w:p w14:paraId="70834C3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ECC6A6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BA57B1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13A68AA">
      <w:pPr>
        <w:spacing w:line="360" w:lineRule="auto"/>
        <w:ind w:firstLine="494"/>
        <w:rPr>
          <w:rFonts w:hint="eastAsia" w:ascii="仿宋" w:hAnsi="仿宋" w:eastAsia="仿宋" w:cs="仿宋"/>
          <w:color w:val="auto"/>
          <w:sz w:val="24"/>
          <w:highlight w:val="none"/>
        </w:rPr>
      </w:pPr>
    </w:p>
    <w:p w14:paraId="6B461D1F">
      <w:pPr>
        <w:spacing w:line="360" w:lineRule="auto"/>
        <w:ind w:firstLine="494"/>
        <w:rPr>
          <w:rFonts w:hint="eastAsia" w:ascii="仿宋" w:hAnsi="仿宋" w:eastAsia="仿宋" w:cs="仿宋"/>
          <w:color w:val="auto"/>
          <w:sz w:val="24"/>
          <w:highlight w:val="none"/>
        </w:rPr>
      </w:pPr>
    </w:p>
    <w:p w14:paraId="1D236E13">
      <w:pPr>
        <w:spacing w:line="360" w:lineRule="auto"/>
        <w:ind w:firstLine="494"/>
        <w:rPr>
          <w:rFonts w:hint="eastAsia" w:ascii="仿宋" w:hAnsi="仿宋" w:eastAsia="仿宋" w:cs="仿宋"/>
          <w:color w:val="auto"/>
          <w:sz w:val="24"/>
          <w:highlight w:val="none"/>
        </w:rPr>
      </w:pPr>
    </w:p>
    <w:p w14:paraId="470D0EAD">
      <w:pPr>
        <w:spacing w:line="360" w:lineRule="auto"/>
        <w:ind w:firstLine="494"/>
        <w:rPr>
          <w:rFonts w:hint="eastAsia" w:ascii="仿宋" w:hAnsi="仿宋" w:eastAsia="仿宋" w:cs="仿宋"/>
          <w:color w:val="auto"/>
          <w:sz w:val="24"/>
          <w:highlight w:val="none"/>
        </w:rPr>
      </w:pPr>
    </w:p>
    <w:p w14:paraId="5A2AD549">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（法定名称章）：</w:t>
      </w:r>
    </w:p>
    <w:p w14:paraId="5792AE3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7F6E07">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C9BC65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法定名称章（印模）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“XX专用章”（印模）</w:t>
      </w:r>
    </w:p>
    <w:p w14:paraId="2ABC64F9">
      <w:pPr>
        <w:autoSpaceDE w:val="0"/>
        <w:autoSpaceDN w:val="0"/>
        <w:jc w:val="center"/>
        <w:rPr>
          <w:rFonts w:hint="eastAsia" w:ascii="仿宋" w:hAnsi="仿宋" w:eastAsia="仿宋" w:cs="仿宋"/>
          <w:b/>
          <w:color w:val="auto"/>
          <w:spacing w:val="6"/>
          <w:sz w:val="32"/>
          <w:szCs w:val="32"/>
          <w:highlight w:val="none"/>
        </w:rPr>
      </w:pPr>
    </w:p>
    <w:p w14:paraId="212AAAD2">
      <w:pPr>
        <w:autoSpaceDE w:val="0"/>
        <w:autoSpaceDN w:val="0"/>
        <w:jc w:val="center"/>
        <w:rPr>
          <w:rFonts w:hint="eastAsia" w:ascii="仿宋" w:hAnsi="仿宋" w:eastAsia="仿宋" w:cs="仿宋"/>
          <w:b/>
          <w:color w:val="auto"/>
          <w:spacing w:val="6"/>
          <w:sz w:val="32"/>
          <w:szCs w:val="32"/>
          <w:highlight w:val="none"/>
        </w:rPr>
      </w:pPr>
    </w:p>
    <w:p w14:paraId="75EDAE00">
      <w:pPr>
        <w:autoSpaceDE w:val="0"/>
        <w:autoSpaceDN w:val="0"/>
        <w:jc w:val="center"/>
        <w:rPr>
          <w:rFonts w:hint="eastAsia" w:ascii="仿宋" w:hAnsi="仿宋" w:eastAsia="仿宋" w:cs="仿宋"/>
          <w:b/>
          <w:color w:val="auto"/>
          <w:spacing w:val="6"/>
          <w:sz w:val="32"/>
          <w:szCs w:val="32"/>
          <w:highlight w:val="none"/>
        </w:rPr>
      </w:pPr>
    </w:p>
    <w:p w14:paraId="267AEB0D">
      <w:pPr>
        <w:autoSpaceDE w:val="0"/>
        <w:autoSpaceDN w:val="0"/>
        <w:jc w:val="center"/>
        <w:rPr>
          <w:rFonts w:hint="eastAsia" w:ascii="仿宋" w:hAnsi="仿宋" w:eastAsia="仿宋" w:cs="仿宋"/>
          <w:b/>
          <w:color w:val="auto"/>
          <w:spacing w:val="6"/>
          <w:sz w:val="32"/>
          <w:szCs w:val="32"/>
          <w:highlight w:val="none"/>
        </w:rPr>
      </w:pPr>
    </w:p>
    <w:p w14:paraId="3489C81F">
      <w:pPr>
        <w:autoSpaceDE w:val="0"/>
        <w:autoSpaceDN w:val="0"/>
        <w:jc w:val="center"/>
        <w:rPr>
          <w:rFonts w:hint="eastAsia" w:ascii="仿宋" w:hAnsi="仿宋" w:eastAsia="仿宋" w:cs="仿宋"/>
          <w:b/>
          <w:color w:val="auto"/>
          <w:spacing w:val="6"/>
          <w:sz w:val="32"/>
          <w:szCs w:val="32"/>
          <w:highlight w:val="none"/>
        </w:rPr>
      </w:pPr>
    </w:p>
    <w:p w14:paraId="4B29382B">
      <w:pPr>
        <w:autoSpaceDE w:val="0"/>
        <w:autoSpaceDN w:val="0"/>
        <w:jc w:val="center"/>
        <w:rPr>
          <w:rFonts w:hint="eastAsia" w:ascii="仿宋" w:hAnsi="仿宋" w:eastAsia="仿宋" w:cs="仿宋"/>
          <w:b/>
          <w:color w:val="auto"/>
          <w:spacing w:val="6"/>
          <w:sz w:val="32"/>
          <w:szCs w:val="32"/>
          <w:highlight w:val="none"/>
        </w:rPr>
      </w:pPr>
    </w:p>
    <w:p w14:paraId="7806151D">
      <w:pPr>
        <w:autoSpaceDE w:val="0"/>
        <w:autoSpaceDN w:val="0"/>
        <w:jc w:val="center"/>
        <w:rPr>
          <w:rFonts w:hint="eastAsia" w:ascii="仿宋" w:hAnsi="仿宋" w:eastAsia="仿宋" w:cs="仿宋"/>
          <w:b/>
          <w:color w:val="auto"/>
          <w:spacing w:val="6"/>
          <w:sz w:val="32"/>
          <w:szCs w:val="32"/>
          <w:highlight w:val="none"/>
        </w:rPr>
      </w:pPr>
    </w:p>
    <w:p w14:paraId="402A1F2C">
      <w:pPr>
        <w:autoSpaceDE w:val="0"/>
        <w:autoSpaceDN w:val="0"/>
        <w:jc w:val="center"/>
        <w:rPr>
          <w:rFonts w:hint="eastAsia" w:ascii="仿宋" w:hAnsi="仿宋" w:eastAsia="仿宋" w:cs="仿宋"/>
          <w:b/>
          <w:color w:val="auto"/>
          <w:spacing w:val="6"/>
          <w:sz w:val="32"/>
          <w:szCs w:val="32"/>
          <w:highlight w:val="none"/>
        </w:rPr>
      </w:pPr>
    </w:p>
    <w:p w14:paraId="4078C51C">
      <w:pPr>
        <w:autoSpaceDE w:val="0"/>
        <w:autoSpaceDN w:val="0"/>
        <w:jc w:val="center"/>
        <w:rPr>
          <w:rFonts w:hint="eastAsia" w:ascii="仿宋" w:hAnsi="仿宋" w:eastAsia="仿宋" w:cs="仿宋"/>
          <w:b/>
          <w:color w:val="auto"/>
          <w:spacing w:val="6"/>
          <w:sz w:val="32"/>
          <w:szCs w:val="32"/>
          <w:highlight w:val="none"/>
        </w:rPr>
      </w:pPr>
    </w:p>
    <w:p w14:paraId="6D42E76D">
      <w:pPr>
        <w:autoSpaceDE w:val="0"/>
        <w:autoSpaceDN w:val="0"/>
        <w:jc w:val="center"/>
        <w:rPr>
          <w:rFonts w:hint="eastAsia" w:ascii="仿宋" w:hAnsi="仿宋" w:eastAsia="仿宋" w:cs="仿宋"/>
          <w:b/>
          <w:color w:val="auto"/>
          <w:spacing w:val="6"/>
          <w:sz w:val="32"/>
          <w:szCs w:val="32"/>
          <w:highlight w:val="none"/>
        </w:rPr>
      </w:pPr>
    </w:p>
    <w:p w14:paraId="7CCE8879">
      <w:pPr>
        <w:autoSpaceDE w:val="0"/>
        <w:autoSpaceDN w:val="0"/>
        <w:jc w:val="center"/>
        <w:rPr>
          <w:rFonts w:hint="eastAsia" w:ascii="仿宋" w:hAnsi="仿宋" w:eastAsia="仿宋" w:cs="仿宋"/>
          <w:b/>
          <w:color w:val="auto"/>
          <w:spacing w:val="6"/>
          <w:sz w:val="32"/>
          <w:szCs w:val="32"/>
          <w:highlight w:val="none"/>
        </w:rPr>
      </w:pPr>
    </w:p>
    <w:p w14:paraId="7F3DE67C">
      <w:pPr>
        <w:autoSpaceDE w:val="0"/>
        <w:autoSpaceDN w:val="0"/>
        <w:jc w:val="center"/>
        <w:rPr>
          <w:rFonts w:hint="eastAsia" w:ascii="仿宋" w:hAnsi="仿宋" w:eastAsia="仿宋" w:cs="仿宋"/>
          <w:b/>
          <w:color w:val="auto"/>
          <w:spacing w:val="6"/>
          <w:sz w:val="32"/>
          <w:szCs w:val="32"/>
          <w:highlight w:val="none"/>
        </w:rPr>
      </w:pPr>
    </w:p>
    <w:p w14:paraId="040AB32E">
      <w:pPr>
        <w:autoSpaceDE w:val="0"/>
        <w:autoSpaceDN w:val="0"/>
        <w:jc w:val="center"/>
        <w:rPr>
          <w:rFonts w:hint="eastAsia" w:ascii="仿宋" w:hAnsi="仿宋" w:eastAsia="仿宋" w:cs="仿宋"/>
          <w:b/>
          <w:color w:val="auto"/>
          <w:spacing w:val="6"/>
          <w:sz w:val="32"/>
          <w:szCs w:val="32"/>
          <w:highlight w:val="none"/>
        </w:rPr>
      </w:pPr>
    </w:p>
    <w:p w14:paraId="55D0D08B">
      <w:pPr>
        <w:autoSpaceDE w:val="0"/>
        <w:autoSpaceDN w:val="0"/>
        <w:jc w:val="center"/>
        <w:rPr>
          <w:rFonts w:hint="eastAsia" w:ascii="仿宋" w:hAnsi="仿宋" w:eastAsia="仿宋" w:cs="仿宋"/>
          <w:b/>
          <w:color w:val="auto"/>
          <w:spacing w:val="6"/>
          <w:sz w:val="32"/>
          <w:szCs w:val="32"/>
          <w:highlight w:val="none"/>
        </w:rPr>
      </w:pPr>
    </w:p>
    <w:p w14:paraId="45EB1A20">
      <w:pPr>
        <w:autoSpaceDE w:val="0"/>
        <w:autoSpaceDN w:val="0"/>
        <w:jc w:val="center"/>
        <w:rPr>
          <w:rFonts w:hint="eastAsia" w:ascii="仿宋" w:hAnsi="仿宋" w:eastAsia="仿宋" w:cs="仿宋"/>
          <w:b/>
          <w:color w:val="auto"/>
          <w:spacing w:val="6"/>
          <w:sz w:val="32"/>
          <w:szCs w:val="32"/>
          <w:highlight w:val="none"/>
        </w:rPr>
      </w:pPr>
    </w:p>
    <w:p w14:paraId="1EC32ABF">
      <w:pPr>
        <w:autoSpaceDE w:val="0"/>
        <w:autoSpaceDN w:val="0"/>
        <w:jc w:val="center"/>
        <w:rPr>
          <w:rFonts w:hint="eastAsia" w:ascii="仿宋" w:hAnsi="仿宋" w:eastAsia="仿宋" w:cs="仿宋"/>
          <w:b/>
          <w:color w:val="auto"/>
          <w:spacing w:val="6"/>
          <w:sz w:val="32"/>
          <w:szCs w:val="32"/>
          <w:highlight w:val="none"/>
        </w:rPr>
      </w:pPr>
    </w:p>
    <w:p w14:paraId="20B7ADCD">
      <w:pPr>
        <w:autoSpaceDE w:val="0"/>
        <w:autoSpaceDN w:val="0"/>
        <w:jc w:val="center"/>
        <w:rPr>
          <w:rFonts w:hint="eastAsia" w:ascii="仿宋" w:hAnsi="仿宋" w:eastAsia="仿宋" w:cs="仿宋"/>
          <w:b/>
          <w:color w:val="auto"/>
          <w:spacing w:val="6"/>
          <w:sz w:val="32"/>
          <w:szCs w:val="32"/>
          <w:highlight w:val="none"/>
        </w:rPr>
      </w:pPr>
    </w:p>
    <w:p w14:paraId="09F32FA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717560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71E15D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67B9A1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331148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E9160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794419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7E300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1ECFC2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1B73C8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6CC633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0" w:name="_Hlk101131882"/>
      <w:r>
        <w:rPr>
          <w:rFonts w:hint="eastAsia" w:ascii="仿宋" w:hAnsi="仿宋" w:eastAsia="仿宋" w:cs="仿宋"/>
          <w:color w:val="auto"/>
          <w:kern w:val="0"/>
          <w:sz w:val="24"/>
          <w:highlight w:val="none"/>
          <w:u w:val="single"/>
        </w:rPr>
        <w:t>联合体成员X,……</w:t>
      </w:r>
      <w:bookmarkEnd w:id="4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1"/>
      <w:r>
        <w:rPr>
          <w:rFonts w:hint="eastAsia" w:ascii="仿宋" w:hAnsi="仿宋" w:eastAsia="仿宋" w:cs="仿宋"/>
          <w:b/>
          <w:color w:val="auto"/>
          <w:kern w:val="0"/>
          <w:sz w:val="24"/>
          <w:highlight w:val="none"/>
          <w:lang w:val="zh-CN"/>
        </w:rPr>
        <w:t>）</w:t>
      </w:r>
    </w:p>
    <w:p w14:paraId="216DCA37">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2"/>
    </w:p>
    <w:p w14:paraId="7725FF7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D2D85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AD1538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45C4C8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B5634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840BB9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9F806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22D11A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AA48735">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A8E581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C8F17E">
      <w:pPr>
        <w:autoSpaceDE w:val="0"/>
        <w:autoSpaceDN w:val="0"/>
        <w:jc w:val="center"/>
        <w:rPr>
          <w:rFonts w:hint="eastAsia" w:ascii="仿宋" w:hAnsi="仿宋" w:eastAsia="仿宋" w:cs="仿宋"/>
          <w:b/>
          <w:color w:val="auto"/>
          <w:spacing w:val="6"/>
          <w:sz w:val="32"/>
          <w:szCs w:val="32"/>
          <w:highlight w:val="none"/>
        </w:rPr>
      </w:pPr>
    </w:p>
    <w:p w14:paraId="3D0AB28E">
      <w:pPr>
        <w:autoSpaceDE w:val="0"/>
        <w:autoSpaceDN w:val="0"/>
        <w:jc w:val="center"/>
        <w:rPr>
          <w:rFonts w:hint="eastAsia" w:ascii="仿宋" w:hAnsi="仿宋" w:eastAsia="仿宋" w:cs="仿宋"/>
          <w:b/>
          <w:color w:val="auto"/>
          <w:spacing w:val="6"/>
          <w:sz w:val="32"/>
          <w:szCs w:val="32"/>
          <w:highlight w:val="none"/>
        </w:rPr>
      </w:pPr>
    </w:p>
    <w:p w14:paraId="537A055A">
      <w:pPr>
        <w:autoSpaceDE w:val="0"/>
        <w:autoSpaceDN w:val="0"/>
        <w:jc w:val="center"/>
        <w:rPr>
          <w:rFonts w:hint="eastAsia" w:ascii="仿宋" w:hAnsi="仿宋" w:eastAsia="仿宋" w:cs="仿宋"/>
          <w:b/>
          <w:color w:val="auto"/>
          <w:spacing w:val="6"/>
          <w:sz w:val="32"/>
          <w:szCs w:val="32"/>
          <w:highlight w:val="none"/>
        </w:rPr>
      </w:pPr>
    </w:p>
    <w:p w14:paraId="290EFCDA">
      <w:pPr>
        <w:autoSpaceDE w:val="0"/>
        <w:autoSpaceDN w:val="0"/>
        <w:jc w:val="center"/>
        <w:rPr>
          <w:rFonts w:hint="eastAsia" w:ascii="仿宋" w:hAnsi="仿宋" w:eastAsia="仿宋" w:cs="仿宋"/>
          <w:b/>
          <w:color w:val="auto"/>
          <w:spacing w:val="6"/>
          <w:sz w:val="32"/>
          <w:szCs w:val="32"/>
          <w:highlight w:val="none"/>
        </w:rPr>
      </w:pPr>
    </w:p>
    <w:p w14:paraId="00D3BDE1">
      <w:pPr>
        <w:autoSpaceDE w:val="0"/>
        <w:autoSpaceDN w:val="0"/>
        <w:jc w:val="center"/>
        <w:rPr>
          <w:rFonts w:hint="eastAsia" w:ascii="仿宋" w:hAnsi="仿宋" w:eastAsia="仿宋" w:cs="仿宋"/>
          <w:b/>
          <w:color w:val="auto"/>
          <w:spacing w:val="6"/>
          <w:sz w:val="32"/>
          <w:szCs w:val="32"/>
          <w:highlight w:val="none"/>
        </w:rPr>
      </w:pPr>
    </w:p>
    <w:p w14:paraId="04D44CB0">
      <w:pPr>
        <w:autoSpaceDE w:val="0"/>
        <w:autoSpaceDN w:val="0"/>
        <w:jc w:val="center"/>
        <w:rPr>
          <w:rFonts w:hint="eastAsia" w:ascii="仿宋" w:hAnsi="仿宋" w:eastAsia="仿宋" w:cs="仿宋"/>
          <w:b/>
          <w:color w:val="auto"/>
          <w:spacing w:val="6"/>
          <w:sz w:val="32"/>
          <w:szCs w:val="32"/>
          <w:highlight w:val="none"/>
        </w:rPr>
      </w:pPr>
    </w:p>
    <w:p w14:paraId="165DC795">
      <w:pPr>
        <w:autoSpaceDE w:val="0"/>
        <w:autoSpaceDN w:val="0"/>
        <w:jc w:val="center"/>
        <w:rPr>
          <w:rFonts w:hint="eastAsia" w:ascii="仿宋" w:hAnsi="仿宋" w:eastAsia="仿宋" w:cs="仿宋"/>
          <w:b/>
          <w:color w:val="auto"/>
          <w:spacing w:val="6"/>
          <w:sz w:val="32"/>
          <w:szCs w:val="32"/>
          <w:highlight w:val="none"/>
        </w:rPr>
      </w:pPr>
    </w:p>
    <w:p w14:paraId="05650B7F">
      <w:pPr>
        <w:autoSpaceDE w:val="0"/>
        <w:autoSpaceDN w:val="0"/>
        <w:jc w:val="center"/>
        <w:rPr>
          <w:rFonts w:hint="eastAsia" w:ascii="仿宋" w:hAnsi="仿宋" w:eastAsia="仿宋" w:cs="仿宋"/>
          <w:b/>
          <w:color w:val="auto"/>
          <w:spacing w:val="6"/>
          <w:sz w:val="32"/>
          <w:szCs w:val="32"/>
          <w:highlight w:val="none"/>
        </w:rPr>
      </w:pPr>
    </w:p>
    <w:p w14:paraId="61456348">
      <w:pPr>
        <w:autoSpaceDE w:val="0"/>
        <w:autoSpaceDN w:val="0"/>
        <w:jc w:val="center"/>
        <w:rPr>
          <w:rFonts w:hint="eastAsia" w:ascii="仿宋" w:hAnsi="仿宋" w:eastAsia="仿宋" w:cs="仿宋"/>
          <w:b/>
          <w:color w:val="auto"/>
          <w:spacing w:val="6"/>
          <w:sz w:val="32"/>
          <w:szCs w:val="32"/>
          <w:highlight w:val="none"/>
        </w:rPr>
      </w:pPr>
    </w:p>
    <w:p w14:paraId="5355C303">
      <w:pPr>
        <w:autoSpaceDE w:val="0"/>
        <w:autoSpaceDN w:val="0"/>
        <w:jc w:val="center"/>
        <w:rPr>
          <w:rFonts w:hint="eastAsia" w:ascii="仿宋" w:hAnsi="仿宋" w:eastAsia="仿宋" w:cs="仿宋"/>
          <w:b/>
          <w:color w:val="auto"/>
          <w:spacing w:val="6"/>
          <w:sz w:val="32"/>
          <w:szCs w:val="32"/>
          <w:highlight w:val="none"/>
        </w:rPr>
      </w:pPr>
    </w:p>
    <w:p w14:paraId="14B57465">
      <w:pPr>
        <w:autoSpaceDE w:val="0"/>
        <w:autoSpaceDN w:val="0"/>
        <w:jc w:val="center"/>
        <w:rPr>
          <w:rFonts w:hint="eastAsia" w:ascii="仿宋" w:hAnsi="仿宋" w:eastAsia="仿宋" w:cs="仿宋"/>
          <w:b/>
          <w:color w:val="auto"/>
          <w:spacing w:val="6"/>
          <w:sz w:val="32"/>
          <w:szCs w:val="32"/>
          <w:highlight w:val="none"/>
        </w:rPr>
      </w:pPr>
    </w:p>
    <w:p w14:paraId="051304E5">
      <w:pPr>
        <w:autoSpaceDE w:val="0"/>
        <w:autoSpaceDN w:val="0"/>
        <w:jc w:val="center"/>
        <w:rPr>
          <w:rFonts w:hint="eastAsia" w:ascii="仿宋" w:hAnsi="仿宋" w:eastAsia="仿宋" w:cs="仿宋"/>
          <w:b/>
          <w:color w:val="auto"/>
          <w:spacing w:val="6"/>
          <w:sz w:val="32"/>
          <w:szCs w:val="32"/>
          <w:highlight w:val="none"/>
        </w:rPr>
      </w:pPr>
    </w:p>
    <w:p w14:paraId="4D81E519">
      <w:pPr>
        <w:autoSpaceDE w:val="0"/>
        <w:autoSpaceDN w:val="0"/>
        <w:jc w:val="center"/>
        <w:rPr>
          <w:rFonts w:hint="eastAsia" w:ascii="仿宋" w:hAnsi="仿宋" w:eastAsia="仿宋" w:cs="仿宋"/>
          <w:b/>
          <w:color w:val="auto"/>
          <w:spacing w:val="6"/>
          <w:sz w:val="32"/>
          <w:szCs w:val="32"/>
          <w:highlight w:val="none"/>
        </w:rPr>
      </w:pPr>
    </w:p>
    <w:p w14:paraId="6AF918CF">
      <w:pPr>
        <w:autoSpaceDE w:val="0"/>
        <w:autoSpaceDN w:val="0"/>
        <w:jc w:val="center"/>
        <w:rPr>
          <w:rFonts w:hint="eastAsia" w:ascii="仿宋" w:hAnsi="仿宋" w:eastAsia="仿宋" w:cs="仿宋"/>
          <w:b/>
          <w:color w:val="auto"/>
          <w:spacing w:val="6"/>
          <w:sz w:val="32"/>
          <w:szCs w:val="32"/>
          <w:highlight w:val="none"/>
        </w:rPr>
      </w:pPr>
    </w:p>
    <w:p w14:paraId="1EE34700">
      <w:pPr>
        <w:autoSpaceDE w:val="0"/>
        <w:autoSpaceDN w:val="0"/>
        <w:jc w:val="center"/>
        <w:rPr>
          <w:rFonts w:hint="eastAsia" w:ascii="仿宋" w:hAnsi="仿宋" w:eastAsia="仿宋" w:cs="仿宋"/>
          <w:b/>
          <w:color w:val="auto"/>
          <w:spacing w:val="6"/>
          <w:sz w:val="32"/>
          <w:szCs w:val="32"/>
          <w:highlight w:val="none"/>
        </w:rPr>
      </w:pPr>
    </w:p>
    <w:p w14:paraId="72DED8A8">
      <w:pPr>
        <w:autoSpaceDE w:val="0"/>
        <w:autoSpaceDN w:val="0"/>
        <w:jc w:val="center"/>
        <w:rPr>
          <w:rFonts w:hint="eastAsia" w:ascii="仿宋" w:hAnsi="仿宋" w:eastAsia="仿宋" w:cs="仿宋"/>
          <w:b/>
          <w:color w:val="auto"/>
          <w:spacing w:val="6"/>
          <w:sz w:val="32"/>
          <w:szCs w:val="32"/>
          <w:highlight w:val="none"/>
        </w:rPr>
      </w:pPr>
    </w:p>
    <w:p w14:paraId="4BC4564C">
      <w:pPr>
        <w:autoSpaceDE w:val="0"/>
        <w:autoSpaceDN w:val="0"/>
        <w:jc w:val="center"/>
        <w:rPr>
          <w:rFonts w:hint="eastAsia" w:ascii="仿宋" w:hAnsi="仿宋" w:eastAsia="仿宋" w:cs="仿宋"/>
          <w:b/>
          <w:color w:val="auto"/>
          <w:spacing w:val="6"/>
          <w:sz w:val="32"/>
          <w:szCs w:val="32"/>
          <w:highlight w:val="none"/>
        </w:rPr>
      </w:pPr>
    </w:p>
    <w:p w14:paraId="7236813B">
      <w:pPr>
        <w:autoSpaceDE w:val="0"/>
        <w:autoSpaceDN w:val="0"/>
        <w:jc w:val="center"/>
        <w:rPr>
          <w:rFonts w:hint="eastAsia" w:ascii="仿宋" w:hAnsi="仿宋" w:eastAsia="仿宋" w:cs="仿宋"/>
          <w:b/>
          <w:color w:val="auto"/>
          <w:spacing w:val="6"/>
          <w:sz w:val="32"/>
          <w:szCs w:val="32"/>
          <w:highlight w:val="none"/>
        </w:rPr>
      </w:pPr>
    </w:p>
    <w:p w14:paraId="31ED8406">
      <w:pPr>
        <w:autoSpaceDE w:val="0"/>
        <w:autoSpaceDN w:val="0"/>
        <w:jc w:val="center"/>
        <w:rPr>
          <w:rFonts w:hint="eastAsia" w:ascii="仿宋" w:hAnsi="仿宋" w:eastAsia="仿宋" w:cs="仿宋"/>
          <w:b/>
          <w:color w:val="auto"/>
          <w:spacing w:val="6"/>
          <w:sz w:val="32"/>
          <w:szCs w:val="32"/>
          <w:highlight w:val="none"/>
        </w:rPr>
      </w:pPr>
    </w:p>
    <w:p w14:paraId="6B454DD4">
      <w:pPr>
        <w:autoSpaceDE w:val="0"/>
        <w:autoSpaceDN w:val="0"/>
        <w:jc w:val="center"/>
        <w:rPr>
          <w:rFonts w:hint="eastAsia" w:ascii="仿宋" w:hAnsi="仿宋" w:eastAsia="仿宋" w:cs="仿宋"/>
          <w:b/>
          <w:color w:val="auto"/>
          <w:spacing w:val="6"/>
          <w:sz w:val="32"/>
          <w:szCs w:val="32"/>
          <w:highlight w:val="none"/>
        </w:rPr>
      </w:pPr>
    </w:p>
    <w:p w14:paraId="08440292">
      <w:pPr>
        <w:autoSpaceDE w:val="0"/>
        <w:autoSpaceDN w:val="0"/>
        <w:jc w:val="center"/>
        <w:rPr>
          <w:rFonts w:hint="eastAsia" w:ascii="仿宋" w:hAnsi="仿宋" w:eastAsia="仿宋" w:cs="仿宋"/>
          <w:b/>
          <w:color w:val="auto"/>
          <w:spacing w:val="6"/>
          <w:sz w:val="32"/>
          <w:szCs w:val="32"/>
          <w:highlight w:val="none"/>
        </w:rPr>
      </w:pPr>
    </w:p>
    <w:p w14:paraId="77040D81">
      <w:pPr>
        <w:autoSpaceDE w:val="0"/>
        <w:autoSpaceDN w:val="0"/>
        <w:jc w:val="center"/>
        <w:rPr>
          <w:rFonts w:hint="eastAsia" w:ascii="仿宋" w:hAnsi="仿宋" w:eastAsia="仿宋" w:cs="仿宋"/>
          <w:b/>
          <w:color w:val="auto"/>
          <w:spacing w:val="6"/>
          <w:sz w:val="32"/>
          <w:szCs w:val="32"/>
          <w:highlight w:val="none"/>
        </w:rPr>
      </w:pPr>
    </w:p>
    <w:p w14:paraId="387643B5">
      <w:pPr>
        <w:autoSpaceDE w:val="0"/>
        <w:autoSpaceDN w:val="0"/>
        <w:jc w:val="center"/>
        <w:rPr>
          <w:rFonts w:hint="eastAsia" w:ascii="仿宋" w:hAnsi="仿宋" w:eastAsia="仿宋" w:cs="仿宋"/>
          <w:b/>
          <w:color w:val="auto"/>
          <w:spacing w:val="6"/>
          <w:sz w:val="32"/>
          <w:szCs w:val="32"/>
          <w:highlight w:val="none"/>
        </w:rPr>
      </w:pPr>
    </w:p>
    <w:p w14:paraId="6B5938B0">
      <w:pPr>
        <w:snapToGrid w:val="0"/>
        <w:spacing w:line="360" w:lineRule="auto"/>
        <w:ind w:firstLine="3666" w:firstLineChars="1100"/>
        <w:rPr>
          <w:rFonts w:hint="eastAsia" w:ascii="仿宋" w:hAnsi="仿宋" w:eastAsia="仿宋" w:cs="仿宋"/>
          <w:b/>
          <w:color w:val="auto"/>
          <w:spacing w:val="6"/>
          <w:sz w:val="32"/>
          <w:szCs w:val="32"/>
          <w:highlight w:val="none"/>
        </w:rPr>
      </w:pPr>
    </w:p>
    <w:p w14:paraId="3C344C73">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F36B474">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4165A0B">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C6C62C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的中标人，将依法采取分包方式履行合同。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A16DCE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D2F058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D2BEFED">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C5DAC7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53E549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5C7E12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33A63FF">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21DD3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2AC419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0DEFA1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BDE21D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595619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E78001C">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EE71F7E">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EC4264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8DBA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58C42C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F9BA5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35D0BC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6C211C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EB95BAA">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05FD84">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892EB0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154B73">
      <w:pPr>
        <w:autoSpaceDE w:val="0"/>
        <w:autoSpaceDN w:val="0"/>
        <w:jc w:val="center"/>
        <w:rPr>
          <w:rFonts w:hint="eastAsia" w:ascii="仿宋" w:hAnsi="仿宋" w:eastAsia="仿宋" w:cs="仿宋"/>
          <w:b/>
          <w:color w:val="auto"/>
          <w:spacing w:val="6"/>
          <w:sz w:val="32"/>
          <w:szCs w:val="32"/>
          <w:highlight w:val="none"/>
        </w:rPr>
      </w:pPr>
    </w:p>
    <w:p w14:paraId="016A4987">
      <w:pPr>
        <w:autoSpaceDE w:val="0"/>
        <w:autoSpaceDN w:val="0"/>
        <w:jc w:val="center"/>
        <w:rPr>
          <w:rFonts w:hint="eastAsia" w:ascii="仿宋" w:hAnsi="仿宋" w:eastAsia="仿宋" w:cs="仿宋"/>
          <w:b/>
          <w:color w:val="auto"/>
          <w:spacing w:val="6"/>
          <w:sz w:val="32"/>
          <w:szCs w:val="32"/>
          <w:highlight w:val="none"/>
        </w:rPr>
      </w:pPr>
    </w:p>
    <w:p w14:paraId="46976115">
      <w:pPr>
        <w:autoSpaceDE w:val="0"/>
        <w:autoSpaceDN w:val="0"/>
        <w:jc w:val="center"/>
        <w:rPr>
          <w:rFonts w:hint="eastAsia" w:ascii="仿宋" w:hAnsi="仿宋" w:eastAsia="仿宋" w:cs="仿宋"/>
          <w:b/>
          <w:color w:val="auto"/>
          <w:spacing w:val="6"/>
          <w:sz w:val="32"/>
          <w:szCs w:val="32"/>
          <w:highlight w:val="none"/>
        </w:rPr>
      </w:pPr>
    </w:p>
    <w:p w14:paraId="51B971CF">
      <w:pPr>
        <w:pStyle w:val="84"/>
        <w:rPr>
          <w:rFonts w:hint="eastAsia" w:ascii="仿宋" w:hAnsi="仿宋" w:eastAsia="仿宋" w:cs="仿宋"/>
          <w:b/>
          <w:color w:val="auto"/>
          <w:spacing w:val="6"/>
          <w:sz w:val="32"/>
          <w:szCs w:val="32"/>
          <w:highlight w:val="none"/>
        </w:rPr>
      </w:pPr>
    </w:p>
    <w:p w14:paraId="76ED533F">
      <w:pPr>
        <w:pStyle w:val="86"/>
        <w:rPr>
          <w:rFonts w:hint="eastAsia" w:ascii="仿宋" w:hAnsi="仿宋" w:eastAsia="仿宋" w:cs="仿宋"/>
          <w:b/>
          <w:color w:val="auto"/>
          <w:spacing w:val="6"/>
          <w:sz w:val="32"/>
          <w:szCs w:val="32"/>
          <w:highlight w:val="none"/>
        </w:rPr>
      </w:pPr>
    </w:p>
    <w:p w14:paraId="4F9623B9">
      <w:pPr>
        <w:rPr>
          <w:rFonts w:hint="eastAsia" w:ascii="仿宋" w:hAnsi="仿宋" w:eastAsia="仿宋" w:cs="仿宋"/>
          <w:b/>
          <w:color w:val="auto"/>
          <w:spacing w:val="6"/>
          <w:sz w:val="32"/>
          <w:szCs w:val="32"/>
          <w:highlight w:val="none"/>
        </w:rPr>
      </w:pPr>
    </w:p>
    <w:p w14:paraId="39C4A033">
      <w:pPr>
        <w:pStyle w:val="84"/>
        <w:rPr>
          <w:rFonts w:hint="eastAsia" w:ascii="仿宋" w:hAnsi="仿宋" w:eastAsia="仿宋" w:cs="仿宋"/>
          <w:b/>
          <w:color w:val="auto"/>
          <w:spacing w:val="6"/>
          <w:sz w:val="32"/>
          <w:szCs w:val="32"/>
          <w:highlight w:val="none"/>
        </w:rPr>
      </w:pPr>
    </w:p>
    <w:p w14:paraId="538F5B70">
      <w:pPr>
        <w:pStyle w:val="86"/>
        <w:rPr>
          <w:rFonts w:hint="eastAsia" w:ascii="仿宋" w:hAnsi="仿宋" w:eastAsia="仿宋" w:cs="仿宋"/>
          <w:b/>
          <w:color w:val="auto"/>
          <w:spacing w:val="6"/>
          <w:sz w:val="32"/>
          <w:szCs w:val="32"/>
          <w:highlight w:val="none"/>
        </w:rPr>
      </w:pPr>
    </w:p>
    <w:p w14:paraId="0807075B">
      <w:pPr>
        <w:rPr>
          <w:rFonts w:hint="eastAsia" w:ascii="仿宋" w:hAnsi="仿宋" w:eastAsia="仿宋" w:cs="仿宋"/>
          <w:b/>
          <w:color w:val="auto"/>
          <w:spacing w:val="6"/>
          <w:sz w:val="32"/>
          <w:szCs w:val="32"/>
          <w:highlight w:val="none"/>
        </w:rPr>
      </w:pPr>
    </w:p>
    <w:p w14:paraId="7BF701BE">
      <w:pPr>
        <w:pStyle w:val="84"/>
        <w:rPr>
          <w:rFonts w:hint="eastAsia" w:ascii="仿宋" w:hAnsi="仿宋" w:eastAsia="仿宋" w:cs="仿宋"/>
          <w:b/>
          <w:color w:val="auto"/>
          <w:spacing w:val="6"/>
          <w:sz w:val="32"/>
          <w:szCs w:val="32"/>
          <w:highlight w:val="none"/>
        </w:rPr>
      </w:pPr>
    </w:p>
    <w:p w14:paraId="137ECBF0">
      <w:pPr>
        <w:pStyle w:val="86"/>
        <w:rPr>
          <w:rFonts w:hint="eastAsia" w:ascii="仿宋" w:hAnsi="仿宋" w:eastAsia="仿宋" w:cs="仿宋"/>
          <w:b/>
          <w:color w:val="auto"/>
          <w:spacing w:val="6"/>
          <w:sz w:val="32"/>
          <w:szCs w:val="32"/>
          <w:highlight w:val="none"/>
        </w:rPr>
      </w:pPr>
    </w:p>
    <w:p w14:paraId="407D5BAC">
      <w:pPr>
        <w:rPr>
          <w:rFonts w:hint="eastAsia" w:ascii="仿宋" w:hAnsi="仿宋" w:eastAsia="仿宋" w:cs="仿宋"/>
          <w:b/>
          <w:color w:val="auto"/>
          <w:spacing w:val="6"/>
          <w:sz w:val="32"/>
          <w:szCs w:val="32"/>
          <w:highlight w:val="none"/>
        </w:rPr>
      </w:pPr>
    </w:p>
    <w:p w14:paraId="200BFBFA">
      <w:pPr>
        <w:pStyle w:val="84"/>
        <w:rPr>
          <w:rFonts w:hint="eastAsia" w:ascii="仿宋" w:hAnsi="仿宋" w:eastAsia="仿宋" w:cs="仿宋"/>
          <w:b/>
          <w:color w:val="auto"/>
          <w:spacing w:val="6"/>
          <w:sz w:val="32"/>
          <w:szCs w:val="32"/>
          <w:highlight w:val="none"/>
        </w:rPr>
      </w:pPr>
    </w:p>
    <w:p w14:paraId="35E3389D">
      <w:pPr>
        <w:pStyle w:val="86"/>
        <w:rPr>
          <w:rFonts w:hint="eastAsia" w:ascii="仿宋" w:hAnsi="仿宋" w:eastAsia="仿宋" w:cs="仿宋"/>
          <w:b/>
          <w:color w:val="auto"/>
          <w:spacing w:val="6"/>
          <w:sz w:val="32"/>
          <w:szCs w:val="32"/>
          <w:highlight w:val="none"/>
        </w:rPr>
      </w:pPr>
    </w:p>
    <w:p w14:paraId="3E9A0312">
      <w:pPr>
        <w:rPr>
          <w:rFonts w:hint="eastAsia" w:ascii="仿宋" w:hAnsi="仿宋" w:eastAsia="仿宋" w:cs="仿宋"/>
          <w:b/>
          <w:color w:val="auto"/>
          <w:spacing w:val="6"/>
          <w:sz w:val="32"/>
          <w:szCs w:val="32"/>
          <w:highlight w:val="none"/>
        </w:rPr>
      </w:pPr>
    </w:p>
    <w:p w14:paraId="75A70EEF">
      <w:pPr>
        <w:pStyle w:val="84"/>
        <w:rPr>
          <w:rFonts w:hint="eastAsia" w:ascii="仿宋" w:hAnsi="仿宋" w:eastAsia="仿宋" w:cs="仿宋"/>
          <w:b/>
          <w:color w:val="auto"/>
          <w:spacing w:val="6"/>
          <w:sz w:val="32"/>
          <w:szCs w:val="32"/>
          <w:highlight w:val="none"/>
        </w:rPr>
      </w:pPr>
    </w:p>
    <w:p w14:paraId="57E1ED6F">
      <w:pPr>
        <w:pStyle w:val="86"/>
        <w:rPr>
          <w:rFonts w:hint="eastAsia" w:ascii="仿宋" w:hAnsi="仿宋" w:eastAsia="仿宋" w:cs="仿宋"/>
          <w:b/>
          <w:color w:val="auto"/>
          <w:spacing w:val="6"/>
          <w:sz w:val="32"/>
          <w:szCs w:val="32"/>
          <w:highlight w:val="none"/>
        </w:rPr>
      </w:pPr>
    </w:p>
    <w:p w14:paraId="26321036">
      <w:pPr>
        <w:rPr>
          <w:rFonts w:hint="eastAsia" w:ascii="仿宋" w:hAnsi="仿宋" w:eastAsia="仿宋" w:cs="仿宋"/>
          <w:b/>
          <w:color w:val="auto"/>
          <w:spacing w:val="6"/>
          <w:sz w:val="32"/>
          <w:szCs w:val="32"/>
          <w:highlight w:val="none"/>
        </w:rPr>
      </w:pPr>
    </w:p>
    <w:p w14:paraId="0C1C4E45">
      <w:pPr>
        <w:pStyle w:val="84"/>
        <w:rPr>
          <w:rFonts w:hint="eastAsia" w:ascii="仿宋" w:hAnsi="仿宋" w:eastAsia="仿宋" w:cs="仿宋"/>
          <w:b/>
          <w:color w:val="auto"/>
          <w:spacing w:val="6"/>
          <w:sz w:val="32"/>
          <w:szCs w:val="32"/>
          <w:highlight w:val="none"/>
        </w:rPr>
      </w:pPr>
    </w:p>
    <w:p w14:paraId="4D04836B">
      <w:pPr>
        <w:pStyle w:val="86"/>
        <w:rPr>
          <w:rFonts w:hint="eastAsia" w:ascii="仿宋" w:hAnsi="仿宋" w:eastAsia="仿宋" w:cs="仿宋"/>
          <w:b/>
          <w:color w:val="auto"/>
          <w:spacing w:val="6"/>
          <w:sz w:val="32"/>
          <w:szCs w:val="32"/>
          <w:highlight w:val="none"/>
        </w:rPr>
      </w:pPr>
    </w:p>
    <w:p w14:paraId="24E01969">
      <w:pPr>
        <w:rPr>
          <w:rFonts w:hint="eastAsia" w:ascii="仿宋" w:hAnsi="仿宋" w:eastAsia="仿宋" w:cs="仿宋"/>
          <w:b/>
          <w:color w:val="auto"/>
          <w:spacing w:val="6"/>
          <w:sz w:val="32"/>
          <w:szCs w:val="32"/>
          <w:highlight w:val="none"/>
        </w:rPr>
      </w:pPr>
    </w:p>
    <w:p w14:paraId="254E43F7">
      <w:pPr>
        <w:pStyle w:val="84"/>
        <w:rPr>
          <w:rFonts w:hint="eastAsia"/>
          <w:color w:val="auto"/>
          <w:highlight w:val="none"/>
        </w:rPr>
      </w:pPr>
    </w:p>
    <w:p w14:paraId="4D947F6B">
      <w:pPr>
        <w:autoSpaceDE w:val="0"/>
        <w:autoSpaceDN w:val="0"/>
        <w:jc w:val="center"/>
        <w:rPr>
          <w:rFonts w:hint="eastAsia" w:ascii="仿宋" w:hAnsi="仿宋" w:eastAsia="仿宋" w:cs="仿宋"/>
          <w:b/>
          <w:color w:val="auto"/>
          <w:spacing w:val="6"/>
          <w:sz w:val="32"/>
          <w:szCs w:val="32"/>
          <w:highlight w:val="none"/>
        </w:rPr>
      </w:pPr>
    </w:p>
    <w:p w14:paraId="5931BB50">
      <w:pPr>
        <w:autoSpaceDE w:val="0"/>
        <w:autoSpaceDN w:val="0"/>
        <w:jc w:val="center"/>
        <w:rPr>
          <w:rFonts w:hint="eastAsia" w:ascii="仿宋" w:hAnsi="仿宋" w:eastAsia="仿宋" w:cs="仿宋"/>
          <w:b/>
          <w:color w:val="auto"/>
          <w:spacing w:val="6"/>
          <w:sz w:val="32"/>
          <w:szCs w:val="32"/>
          <w:highlight w:val="none"/>
        </w:rPr>
      </w:pPr>
    </w:p>
    <w:p w14:paraId="37E31BDF">
      <w:pPr>
        <w:autoSpaceDE w:val="0"/>
        <w:autoSpaceDN w:val="0"/>
        <w:jc w:val="center"/>
        <w:rPr>
          <w:rFonts w:hint="eastAsia" w:ascii="仿宋" w:hAnsi="仿宋" w:eastAsia="仿宋" w:cs="仿宋"/>
          <w:b/>
          <w:color w:val="auto"/>
          <w:spacing w:val="6"/>
          <w:sz w:val="32"/>
          <w:szCs w:val="32"/>
          <w:highlight w:val="none"/>
        </w:rPr>
      </w:pPr>
    </w:p>
    <w:p w14:paraId="0651299C">
      <w:pPr>
        <w:autoSpaceDE w:val="0"/>
        <w:autoSpaceDN w:val="0"/>
        <w:jc w:val="center"/>
        <w:rPr>
          <w:rFonts w:hint="eastAsia" w:ascii="仿宋" w:hAnsi="仿宋" w:eastAsia="仿宋" w:cs="仿宋"/>
          <w:b/>
          <w:color w:val="auto"/>
          <w:spacing w:val="6"/>
          <w:sz w:val="32"/>
          <w:szCs w:val="32"/>
          <w:highlight w:val="none"/>
        </w:rPr>
      </w:pPr>
    </w:p>
    <w:p w14:paraId="23649DCC">
      <w:pPr>
        <w:spacing w:line="360" w:lineRule="auto"/>
        <w:jc w:val="center"/>
        <w:rPr>
          <w:rFonts w:hint="eastAsia" w:ascii="仿宋" w:hAnsi="仿宋" w:eastAsia="仿宋" w:cs="仿宋"/>
          <w:b/>
          <w:color w:val="auto"/>
          <w:spacing w:val="6"/>
          <w:sz w:val="32"/>
          <w:szCs w:val="32"/>
          <w:highlight w:val="none"/>
        </w:rPr>
      </w:pPr>
    </w:p>
    <w:p w14:paraId="1C6E7A95">
      <w:pPr>
        <w:spacing w:line="360" w:lineRule="auto"/>
        <w:jc w:val="center"/>
        <w:rPr>
          <w:rFonts w:hint="eastAsia" w:ascii="仿宋" w:hAnsi="仿宋" w:eastAsia="仿宋" w:cs="仿宋"/>
          <w:b/>
          <w:color w:val="auto"/>
          <w:spacing w:val="6"/>
          <w:sz w:val="32"/>
          <w:szCs w:val="32"/>
          <w:highlight w:val="none"/>
        </w:rPr>
      </w:pPr>
    </w:p>
    <w:p w14:paraId="68AA041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3" w:name="OLE_LINK14"/>
      <w:bookmarkStart w:id="44" w:name="OLE_LINK13"/>
      <w:r>
        <w:rPr>
          <w:rFonts w:hint="eastAsia" w:ascii="仿宋" w:hAnsi="仿宋" w:eastAsia="仿宋" w:cs="仿宋"/>
          <w:b/>
          <w:color w:val="auto"/>
          <w:spacing w:val="6"/>
          <w:sz w:val="32"/>
          <w:szCs w:val="32"/>
          <w:highlight w:val="none"/>
        </w:rPr>
        <w:t>残疾人福利性单位声明函</w:t>
      </w:r>
    </w:p>
    <w:bookmarkEnd w:id="43"/>
    <w:bookmarkEnd w:id="44"/>
    <w:p w14:paraId="6E1E0866">
      <w:pPr>
        <w:spacing w:line="360" w:lineRule="auto"/>
        <w:rPr>
          <w:rFonts w:hint="eastAsia" w:ascii="仿宋" w:hAnsi="仿宋" w:eastAsia="仿宋" w:cs="仿宋"/>
          <w:b/>
          <w:color w:val="auto"/>
          <w:spacing w:val="6"/>
          <w:sz w:val="30"/>
          <w:szCs w:val="30"/>
          <w:highlight w:val="none"/>
        </w:rPr>
      </w:pPr>
    </w:p>
    <w:p w14:paraId="56B171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B19F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FB7C4F1">
      <w:pPr>
        <w:spacing w:line="360" w:lineRule="auto"/>
        <w:ind w:firstLine="480" w:firstLineChars="200"/>
        <w:rPr>
          <w:rFonts w:hint="eastAsia" w:ascii="仿宋" w:hAnsi="仿宋" w:eastAsia="仿宋" w:cs="仿宋"/>
          <w:color w:val="auto"/>
          <w:sz w:val="24"/>
          <w:highlight w:val="none"/>
        </w:rPr>
      </w:pPr>
    </w:p>
    <w:p w14:paraId="578F31B5">
      <w:pPr>
        <w:spacing w:line="360" w:lineRule="auto"/>
        <w:ind w:firstLine="480" w:firstLineChars="200"/>
        <w:rPr>
          <w:rFonts w:hint="eastAsia" w:ascii="仿宋" w:hAnsi="仿宋" w:eastAsia="仿宋" w:cs="仿宋"/>
          <w:color w:val="auto"/>
          <w:sz w:val="24"/>
          <w:highlight w:val="none"/>
        </w:rPr>
      </w:pPr>
    </w:p>
    <w:p w14:paraId="5452368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C230DF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F4EAF37">
      <w:pPr>
        <w:autoSpaceDE w:val="0"/>
        <w:autoSpaceDN w:val="0"/>
        <w:jc w:val="center"/>
        <w:rPr>
          <w:rFonts w:hint="eastAsia" w:ascii="仿宋" w:hAnsi="仿宋" w:eastAsia="仿宋" w:cs="仿宋"/>
          <w:b/>
          <w:color w:val="auto"/>
          <w:spacing w:val="6"/>
          <w:sz w:val="32"/>
          <w:szCs w:val="32"/>
          <w:highlight w:val="none"/>
        </w:rPr>
      </w:pPr>
    </w:p>
    <w:p w14:paraId="5DE7DCFC">
      <w:pPr>
        <w:autoSpaceDE w:val="0"/>
        <w:autoSpaceDN w:val="0"/>
        <w:jc w:val="center"/>
        <w:rPr>
          <w:rFonts w:hint="eastAsia" w:ascii="仿宋" w:hAnsi="仿宋" w:eastAsia="仿宋" w:cs="仿宋"/>
          <w:b/>
          <w:color w:val="auto"/>
          <w:spacing w:val="6"/>
          <w:sz w:val="32"/>
          <w:szCs w:val="32"/>
          <w:highlight w:val="none"/>
        </w:rPr>
      </w:pPr>
    </w:p>
    <w:p w14:paraId="74BFDF0B">
      <w:pPr>
        <w:autoSpaceDE w:val="0"/>
        <w:autoSpaceDN w:val="0"/>
        <w:jc w:val="center"/>
        <w:rPr>
          <w:rFonts w:hint="eastAsia" w:ascii="仿宋" w:hAnsi="仿宋" w:eastAsia="仿宋" w:cs="仿宋"/>
          <w:b/>
          <w:color w:val="auto"/>
          <w:spacing w:val="6"/>
          <w:sz w:val="32"/>
          <w:szCs w:val="32"/>
          <w:highlight w:val="none"/>
        </w:rPr>
      </w:pPr>
    </w:p>
    <w:p w14:paraId="73299435">
      <w:pPr>
        <w:autoSpaceDE w:val="0"/>
        <w:autoSpaceDN w:val="0"/>
        <w:jc w:val="center"/>
        <w:rPr>
          <w:rFonts w:hint="eastAsia" w:ascii="仿宋" w:hAnsi="仿宋" w:eastAsia="仿宋" w:cs="仿宋"/>
          <w:b/>
          <w:color w:val="auto"/>
          <w:spacing w:val="6"/>
          <w:sz w:val="32"/>
          <w:szCs w:val="32"/>
          <w:highlight w:val="none"/>
        </w:rPr>
      </w:pPr>
    </w:p>
    <w:p w14:paraId="6DA6BE35">
      <w:pPr>
        <w:autoSpaceDE w:val="0"/>
        <w:autoSpaceDN w:val="0"/>
        <w:jc w:val="center"/>
        <w:rPr>
          <w:rFonts w:hint="eastAsia" w:ascii="仿宋" w:hAnsi="仿宋" w:eastAsia="仿宋" w:cs="仿宋"/>
          <w:b/>
          <w:color w:val="auto"/>
          <w:spacing w:val="6"/>
          <w:sz w:val="32"/>
          <w:szCs w:val="32"/>
          <w:highlight w:val="none"/>
        </w:rPr>
      </w:pPr>
    </w:p>
    <w:p w14:paraId="3EFE5A51">
      <w:pPr>
        <w:autoSpaceDE w:val="0"/>
        <w:autoSpaceDN w:val="0"/>
        <w:jc w:val="center"/>
        <w:rPr>
          <w:rFonts w:hint="eastAsia" w:ascii="仿宋" w:hAnsi="仿宋" w:eastAsia="仿宋" w:cs="仿宋"/>
          <w:b/>
          <w:color w:val="auto"/>
          <w:spacing w:val="6"/>
          <w:sz w:val="32"/>
          <w:szCs w:val="32"/>
          <w:highlight w:val="none"/>
        </w:rPr>
      </w:pPr>
    </w:p>
    <w:p w14:paraId="0FADEB66">
      <w:pPr>
        <w:autoSpaceDE w:val="0"/>
        <w:autoSpaceDN w:val="0"/>
        <w:jc w:val="center"/>
        <w:rPr>
          <w:rFonts w:hint="eastAsia" w:ascii="仿宋" w:hAnsi="仿宋" w:eastAsia="仿宋" w:cs="仿宋"/>
          <w:b/>
          <w:color w:val="auto"/>
          <w:spacing w:val="6"/>
          <w:sz w:val="32"/>
          <w:szCs w:val="32"/>
          <w:highlight w:val="none"/>
        </w:rPr>
      </w:pPr>
    </w:p>
    <w:p w14:paraId="1F827B37">
      <w:pPr>
        <w:autoSpaceDE w:val="0"/>
        <w:autoSpaceDN w:val="0"/>
        <w:jc w:val="center"/>
        <w:rPr>
          <w:rFonts w:hint="eastAsia" w:ascii="仿宋" w:hAnsi="仿宋" w:eastAsia="仿宋" w:cs="仿宋"/>
          <w:b/>
          <w:color w:val="auto"/>
          <w:spacing w:val="6"/>
          <w:sz w:val="32"/>
          <w:szCs w:val="32"/>
          <w:highlight w:val="none"/>
        </w:rPr>
      </w:pPr>
    </w:p>
    <w:p w14:paraId="6359846A">
      <w:pPr>
        <w:autoSpaceDE w:val="0"/>
        <w:autoSpaceDN w:val="0"/>
        <w:jc w:val="center"/>
        <w:rPr>
          <w:rFonts w:hint="eastAsia" w:ascii="仿宋" w:hAnsi="仿宋" w:eastAsia="仿宋" w:cs="仿宋"/>
          <w:b/>
          <w:color w:val="auto"/>
          <w:spacing w:val="6"/>
          <w:sz w:val="32"/>
          <w:szCs w:val="32"/>
          <w:highlight w:val="none"/>
        </w:rPr>
      </w:pPr>
    </w:p>
    <w:p w14:paraId="7EA031E3">
      <w:pPr>
        <w:autoSpaceDE w:val="0"/>
        <w:autoSpaceDN w:val="0"/>
        <w:jc w:val="center"/>
        <w:rPr>
          <w:rFonts w:hint="eastAsia" w:ascii="仿宋" w:hAnsi="仿宋" w:eastAsia="仿宋" w:cs="仿宋"/>
          <w:b/>
          <w:color w:val="auto"/>
          <w:spacing w:val="6"/>
          <w:sz w:val="32"/>
          <w:szCs w:val="32"/>
          <w:highlight w:val="none"/>
        </w:rPr>
      </w:pPr>
    </w:p>
    <w:p w14:paraId="27242A45">
      <w:pPr>
        <w:autoSpaceDE w:val="0"/>
        <w:autoSpaceDN w:val="0"/>
        <w:jc w:val="center"/>
        <w:rPr>
          <w:rFonts w:hint="eastAsia" w:ascii="仿宋" w:hAnsi="仿宋" w:eastAsia="仿宋" w:cs="仿宋"/>
          <w:b/>
          <w:color w:val="auto"/>
          <w:spacing w:val="6"/>
          <w:sz w:val="32"/>
          <w:szCs w:val="32"/>
          <w:highlight w:val="none"/>
        </w:rPr>
      </w:pPr>
    </w:p>
    <w:p w14:paraId="24CA8DBD">
      <w:pPr>
        <w:autoSpaceDE w:val="0"/>
        <w:autoSpaceDN w:val="0"/>
        <w:jc w:val="center"/>
        <w:rPr>
          <w:rFonts w:hint="eastAsia" w:ascii="仿宋" w:hAnsi="仿宋" w:eastAsia="仿宋" w:cs="仿宋"/>
          <w:b/>
          <w:color w:val="auto"/>
          <w:spacing w:val="6"/>
          <w:sz w:val="32"/>
          <w:szCs w:val="32"/>
          <w:highlight w:val="none"/>
        </w:rPr>
      </w:pPr>
    </w:p>
    <w:p w14:paraId="56DE2088">
      <w:pPr>
        <w:autoSpaceDE w:val="0"/>
        <w:autoSpaceDN w:val="0"/>
        <w:jc w:val="center"/>
        <w:rPr>
          <w:rFonts w:hint="eastAsia" w:ascii="仿宋" w:hAnsi="仿宋" w:eastAsia="仿宋" w:cs="仿宋"/>
          <w:b/>
          <w:color w:val="auto"/>
          <w:spacing w:val="6"/>
          <w:sz w:val="32"/>
          <w:szCs w:val="32"/>
          <w:highlight w:val="none"/>
        </w:rPr>
      </w:pPr>
    </w:p>
    <w:p w14:paraId="77E8DCCE">
      <w:pPr>
        <w:autoSpaceDE w:val="0"/>
        <w:autoSpaceDN w:val="0"/>
        <w:jc w:val="center"/>
        <w:rPr>
          <w:rFonts w:hint="eastAsia" w:ascii="仿宋" w:hAnsi="仿宋" w:eastAsia="仿宋" w:cs="仿宋"/>
          <w:b/>
          <w:color w:val="auto"/>
          <w:spacing w:val="6"/>
          <w:sz w:val="32"/>
          <w:szCs w:val="32"/>
          <w:highlight w:val="none"/>
        </w:rPr>
      </w:pPr>
    </w:p>
    <w:p w14:paraId="32C2BDF5">
      <w:pPr>
        <w:autoSpaceDE w:val="0"/>
        <w:autoSpaceDN w:val="0"/>
        <w:jc w:val="center"/>
        <w:rPr>
          <w:rFonts w:hint="eastAsia" w:ascii="仿宋" w:hAnsi="仿宋" w:eastAsia="仿宋" w:cs="仿宋"/>
          <w:b/>
          <w:color w:val="auto"/>
          <w:spacing w:val="6"/>
          <w:sz w:val="32"/>
          <w:szCs w:val="32"/>
          <w:highlight w:val="none"/>
        </w:rPr>
      </w:pPr>
    </w:p>
    <w:p w14:paraId="3D2AB27F">
      <w:pPr>
        <w:pStyle w:val="3"/>
        <w:rPr>
          <w:rFonts w:hint="eastAsia" w:ascii="仿宋" w:hAnsi="仿宋" w:eastAsia="仿宋" w:cs="仿宋"/>
          <w:color w:val="auto"/>
          <w:highlight w:val="none"/>
        </w:rPr>
      </w:pPr>
    </w:p>
    <w:p w14:paraId="3B166920">
      <w:pPr>
        <w:snapToGrid w:val="0"/>
        <w:spacing w:line="360" w:lineRule="auto"/>
        <w:rPr>
          <w:rFonts w:hint="eastAsia" w:ascii="仿宋" w:hAnsi="仿宋" w:eastAsia="仿宋" w:cs="仿宋"/>
          <w:b/>
          <w:color w:val="auto"/>
          <w:kern w:val="0"/>
          <w:sz w:val="32"/>
          <w:szCs w:val="32"/>
          <w:highlight w:val="none"/>
        </w:rPr>
      </w:pPr>
    </w:p>
    <w:p w14:paraId="290B0BFD">
      <w:pPr>
        <w:snapToGrid w:val="0"/>
        <w:spacing w:line="360" w:lineRule="auto"/>
        <w:rPr>
          <w:rFonts w:hint="eastAsia" w:ascii="仿宋" w:hAnsi="仿宋" w:eastAsia="仿宋" w:cs="仿宋"/>
          <w:b/>
          <w:color w:val="auto"/>
          <w:kern w:val="0"/>
          <w:sz w:val="32"/>
          <w:szCs w:val="32"/>
          <w:highlight w:val="none"/>
        </w:rPr>
      </w:pPr>
    </w:p>
    <w:p w14:paraId="70A54F28">
      <w:pPr>
        <w:snapToGrid w:val="0"/>
        <w:spacing w:line="360" w:lineRule="auto"/>
        <w:rPr>
          <w:rFonts w:hint="eastAsia" w:ascii="仿宋" w:hAnsi="仿宋" w:eastAsia="仿宋" w:cs="仿宋"/>
          <w:b/>
          <w:color w:val="auto"/>
          <w:kern w:val="0"/>
          <w:sz w:val="32"/>
          <w:szCs w:val="32"/>
          <w:highlight w:val="none"/>
        </w:rPr>
      </w:pPr>
    </w:p>
    <w:p w14:paraId="44993E69">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0423BF4">
      <w:pPr>
        <w:spacing w:line="360" w:lineRule="auto"/>
        <w:jc w:val="center"/>
        <w:rPr>
          <w:rFonts w:hint="eastAsia" w:ascii="仿宋" w:hAnsi="仿宋" w:eastAsia="仿宋" w:cs="仿宋"/>
          <w:color w:val="auto"/>
          <w:sz w:val="24"/>
          <w:highlight w:val="none"/>
          <w:u w:val="single"/>
        </w:rPr>
      </w:pPr>
    </w:p>
    <w:p w14:paraId="0809E335">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0ADE6177">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5317EB35">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195E15E5">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580F9B81">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1684E32C">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158C8A6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72F7F867">
      <w:pPr>
        <w:ind w:right="420" w:firstLine="5880" w:firstLineChars="2450"/>
        <w:jc w:val="left"/>
        <w:rPr>
          <w:rFonts w:hint="eastAsia" w:ascii="仿宋" w:hAnsi="仿宋" w:eastAsia="仿宋" w:cs="仿宋"/>
          <w:color w:val="auto"/>
          <w:sz w:val="24"/>
          <w:szCs w:val="24"/>
          <w:highlight w:val="none"/>
        </w:rPr>
      </w:pPr>
    </w:p>
    <w:p w14:paraId="0068AE1C">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14:paraId="2824719C">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390033DB">
      <w:pPr>
        <w:spacing w:line="500" w:lineRule="exact"/>
        <w:ind w:right="420"/>
        <w:rPr>
          <w:rFonts w:hint="eastAsia" w:ascii="仿宋" w:hAnsi="仿宋" w:eastAsia="仿宋" w:cs="仿宋"/>
          <w:color w:val="auto"/>
          <w:sz w:val="24"/>
          <w:szCs w:val="24"/>
          <w:highlight w:val="none"/>
        </w:rPr>
      </w:pPr>
    </w:p>
    <w:p w14:paraId="4B5B6DA6">
      <w:pPr>
        <w:spacing w:line="360" w:lineRule="auto"/>
        <w:ind w:right="42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14:paraId="44A356F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2AA2B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8E6603C">
      <w:pPr>
        <w:pStyle w:val="5"/>
        <w:rPr>
          <w:rFonts w:hint="eastAsia" w:ascii="仿宋" w:hAnsi="仿宋" w:eastAsia="仿宋" w:cs="仿宋"/>
          <w:color w:val="auto"/>
          <w:highlight w:val="none"/>
          <w:lang w:val="en-US"/>
        </w:rPr>
      </w:pPr>
    </w:p>
    <w:p w14:paraId="6EFFB0D8">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97541A1">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1FD9BC6">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D3A643F">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A0383A0">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03A0E0B">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FB029F8">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F6C8A33">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BD58411">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A1FDDC7">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811FF88">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16F08D2">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7E04804">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7984C7C">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423E885">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B05E4A4">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0E75C15">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AB9D55C">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2D85AFE">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F44F107">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rPr>
      </w:pPr>
    </w:p>
    <w:p w14:paraId="70705E3D">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984537027</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14:paraId="3F87D13A">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FCE160C">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1E38F0B">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5363A81">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524030E">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FA17BE">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52C23994">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02BEB9F">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5AEA7556">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C1DF301">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2A74DFE">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62CF83C8">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56EF1258">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14:paraId="1D383399">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14:paraId="66A19EAF">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24E4B28C">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14:paraId="046E73F0">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3645BE92">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57FE1101">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14:paraId="48031F58">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788ED26A">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7C4547CD">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25E424DD">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40F52264">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4CEC06DB">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6A08AA6">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7E7F9C53">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62FC3332">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38B5DD91">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42134284">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2E255208">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5" w:name="_Toc11926"/>
    </w:p>
    <w:p w14:paraId="7A225BC8">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5"/>
    </w:p>
    <w:p w14:paraId="73B262F0">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6866D2EC">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9E8EEAD">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14:paraId="043C5461">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6E52D9AE">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14:paraId="6EBBD2C1">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51F5BB9A">
      <w:pPr>
        <w:pStyle w:val="970"/>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4EFD9BB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E1C96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50FD5D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E1C184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164019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CBA6A6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3AF5E0D">
      <w:pPr>
        <w:pStyle w:val="3"/>
        <w:rPr>
          <w:rFonts w:hint="eastAsia"/>
          <w:color w:val="auto"/>
          <w:highlight w:val="none"/>
          <w:lang w:val="en-US" w:eastAsia="zh-CN"/>
        </w:rPr>
      </w:pPr>
    </w:p>
    <w:p w14:paraId="2944A80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8065F4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3C931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CA0B12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2C6768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2ABB9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4BBF03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8B0976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BDD897">
      <w:pPr>
        <w:widowControl/>
        <w:jc w:val="left"/>
        <w:rPr>
          <w:rFonts w:hint="eastAsia" w:ascii="仿宋" w:hAnsi="仿宋" w:eastAsia="仿宋" w:cs="仿宋"/>
          <w:color w:val="auto"/>
          <w:kern w:val="0"/>
          <w:sz w:val="24"/>
          <w:highlight w:val="none"/>
        </w:rPr>
      </w:pPr>
    </w:p>
    <w:p w14:paraId="0AF4319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A98C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203A95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20D006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EB7886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CB3C0B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921255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3DCD6E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265D6C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86FC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CCD5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CABE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980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6A9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4930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10DF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5E9D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B999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4FDC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5934F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6B8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FD02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90AFB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BEA9F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7C04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405D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98BB26">
            <w:pPr>
              <w:widowControl/>
              <w:jc w:val="left"/>
              <w:rPr>
                <w:rFonts w:hint="eastAsia" w:ascii="仿宋" w:hAnsi="仿宋" w:eastAsia="仿宋" w:cs="仿宋"/>
                <w:color w:val="auto"/>
                <w:kern w:val="0"/>
                <w:sz w:val="24"/>
                <w:highlight w:val="none"/>
              </w:rPr>
            </w:pPr>
          </w:p>
        </w:tc>
        <w:tc>
          <w:tcPr>
            <w:tcW w:w="1560" w:type="dxa"/>
            <w:vAlign w:val="center"/>
          </w:tcPr>
          <w:p w14:paraId="041FC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44A5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7AF9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7106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C407E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43A1F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12FD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3C6A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B617F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FA1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86A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35DF2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BD77C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A1E2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E33F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4B7658">
            <w:pPr>
              <w:widowControl/>
              <w:jc w:val="left"/>
              <w:rPr>
                <w:rFonts w:hint="eastAsia" w:ascii="仿宋" w:hAnsi="仿宋" w:eastAsia="仿宋" w:cs="仿宋"/>
                <w:color w:val="auto"/>
                <w:kern w:val="0"/>
                <w:sz w:val="24"/>
                <w:highlight w:val="none"/>
              </w:rPr>
            </w:pPr>
          </w:p>
        </w:tc>
        <w:tc>
          <w:tcPr>
            <w:tcW w:w="1560" w:type="dxa"/>
            <w:vAlign w:val="center"/>
          </w:tcPr>
          <w:p w14:paraId="0A361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A73F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FC92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36C9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2B00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E65B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2693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C94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5B83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345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2BD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E11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D619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A0355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1252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FED27F">
            <w:pPr>
              <w:widowControl/>
              <w:jc w:val="left"/>
              <w:rPr>
                <w:rFonts w:hint="eastAsia" w:ascii="仿宋" w:hAnsi="仿宋" w:eastAsia="仿宋" w:cs="仿宋"/>
                <w:color w:val="auto"/>
                <w:kern w:val="0"/>
                <w:sz w:val="24"/>
                <w:highlight w:val="none"/>
              </w:rPr>
            </w:pPr>
          </w:p>
        </w:tc>
        <w:tc>
          <w:tcPr>
            <w:tcW w:w="1560" w:type="dxa"/>
            <w:vAlign w:val="center"/>
          </w:tcPr>
          <w:p w14:paraId="365BC2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7FE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A4F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ACD2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7DDB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AC54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1891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D8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FED2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A3BC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178C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CE0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3D367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6289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DA4F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1086DD">
            <w:pPr>
              <w:widowControl/>
              <w:jc w:val="left"/>
              <w:rPr>
                <w:rFonts w:hint="eastAsia" w:ascii="仿宋" w:hAnsi="仿宋" w:eastAsia="仿宋" w:cs="仿宋"/>
                <w:color w:val="auto"/>
                <w:kern w:val="0"/>
                <w:sz w:val="24"/>
                <w:highlight w:val="none"/>
              </w:rPr>
            </w:pPr>
          </w:p>
        </w:tc>
        <w:tc>
          <w:tcPr>
            <w:tcW w:w="1560" w:type="dxa"/>
            <w:vAlign w:val="center"/>
          </w:tcPr>
          <w:p w14:paraId="08ED65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0EB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DA2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B356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9AD0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44A3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809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3637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CF80F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0E2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8F9E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9A67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4805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DA2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CA9A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572710">
            <w:pPr>
              <w:widowControl/>
              <w:jc w:val="left"/>
              <w:rPr>
                <w:rFonts w:hint="eastAsia" w:ascii="仿宋" w:hAnsi="仿宋" w:eastAsia="仿宋" w:cs="仿宋"/>
                <w:color w:val="auto"/>
                <w:kern w:val="0"/>
                <w:sz w:val="24"/>
                <w:highlight w:val="none"/>
              </w:rPr>
            </w:pPr>
          </w:p>
        </w:tc>
        <w:tc>
          <w:tcPr>
            <w:tcW w:w="1560" w:type="dxa"/>
            <w:vAlign w:val="center"/>
          </w:tcPr>
          <w:p w14:paraId="054B6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1CF5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701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2DE3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B91A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A0B0D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3E81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7CE0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09C3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82B8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FDF7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0C2DF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9D1B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C127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7B0C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80113A">
            <w:pPr>
              <w:widowControl/>
              <w:jc w:val="left"/>
              <w:rPr>
                <w:rFonts w:hint="eastAsia" w:ascii="仿宋" w:hAnsi="仿宋" w:eastAsia="仿宋" w:cs="仿宋"/>
                <w:color w:val="auto"/>
                <w:kern w:val="0"/>
                <w:sz w:val="24"/>
                <w:highlight w:val="none"/>
              </w:rPr>
            </w:pPr>
          </w:p>
        </w:tc>
        <w:tc>
          <w:tcPr>
            <w:tcW w:w="1560" w:type="dxa"/>
            <w:vAlign w:val="center"/>
          </w:tcPr>
          <w:p w14:paraId="78174F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B0B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DC5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A48F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46187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70BAA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C22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2AFC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6821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BD9F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3FC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5008A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35C8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88D2C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C08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E8BB0C">
            <w:pPr>
              <w:widowControl/>
              <w:jc w:val="left"/>
              <w:rPr>
                <w:rFonts w:hint="eastAsia" w:ascii="仿宋" w:hAnsi="仿宋" w:eastAsia="仿宋" w:cs="仿宋"/>
                <w:color w:val="auto"/>
                <w:kern w:val="0"/>
                <w:sz w:val="24"/>
                <w:highlight w:val="none"/>
              </w:rPr>
            </w:pPr>
          </w:p>
        </w:tc>
        <w:tc>
          <w:tcPr>
            <w:tcW w:w="1560" w:type="dxa"/>
            <w:vAlign w:val="center"/>
          </w:tcPr>
          <w:p w14:paraId="00242D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95FD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1380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ED5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7A03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93861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623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988B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27DE8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BD9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AE6E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4BB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EEC1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680D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685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7439FF">
            <w:pPr>
              <w:widowControl/>
              <w:jc w:val="left"/>
              <w:rPr>
                <w:rFonts w:hint="eastAsia" w:ascii="仿宋" w:hAnsi="仿宋" w:eastAsia="仿宋" w:cs="仿宋"/>
                <w:color w:val="auto"/>
                <w:kern w:val="0"/>
                <w:sz w:val="24"/>
                <w:highlight w:val="none"/>
              </w:rPr>
            </w:pPr>
          </w:p>
        </w:tc>
        <w:tc>
          <w:tcPr>
            <w:tcW w:w="1560" w:type="dxa"/>
            <w:vAlign w:val="center"/>
          </w:tcPr>
          <w:p w14:paraId="46047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C717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F224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1001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960B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D27F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C75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94E9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68263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0EB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5189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3DD8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1BC4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D4B9B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307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2F1BAB">
            <w:pPr>
              <w:widowControl/>
              <w:jc w:val="left"/>
              <w:rPr>
                <w:rFonts w:hint="eastAsia" w:ascii="仿宋" w:hAnsi="仿宋" w:eastAsia="仿宋" w:cs="仿宋"/>
                <w:color w:val="auto"/>
                <w:kern w:val="0"/>
                <w:sz w:val="24"/>
                <w:highlight w:val="none"/>
              </w:rPr>
            </w:pPr>
          </w:p>
        </w:tc>
        <w:tc>
          <w:tcPr>
            <w:tcW w:w="1560" w:type="dxa"/>
            <w:vAlign w:val="center"/>
          </w:tcPr>
          <w:p w14:paraId="309BA0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D62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1598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2B4E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08A5C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33E0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B3C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5E3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1992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5A8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87A2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A851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B2AAE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82F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19E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E8EC7C">
            <w:pPr>
              <w:widowControl/>
              <w:jc w:val="left"/>
              <w:rPr>
                <w:rFonts w:hint="eastAsia" w:ascii="仿宋" w:hAnsi="仿宋" w:eastAsia="仿宋" w:cs="仿宋"/>
                <w:color w:val="auto"/>
                <w:kern w:val="0"/>
                <w:sz w:val="24"/>
                <w:highlight w:val="none"/>
              </w:rPr>
            </w:pPr>
          </w:p>
        </w:tc>
        <w:tc>
          <w:tcPr>
            <w:tcW w:w="1560" w:type="dxa"/>
            <w:vAlign w:val="center"/>
          </w:tcPr>
          <w:p w14:paraId="028D9C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4D5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CEC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38FC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312A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AFAB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E4DD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843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29129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319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1E4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B7B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48D24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A9FD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F6BB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4966B8">
            <w:pPr>
              <w:widowControl/>
              <w:jc w:val="left"/>
              <w:rPr>
                <w:rFonts w:hint="eastAsia" w:ascii="仿宋" w:hAnsi="仿宋" w:eastAsia="仿宋" w:cs="仿宋"/>
                <w:color w:val="auto"/>
                <w:kern w:val="0"/>
                <w:sz w:val="24"/>
                <w:highlight w:val="none"/>
              </w:rPr>
            </w:pPr>
          </w:p>
        </w:tc>
        <w:tc>
          <w:tcPr>
            <w:tcW w:w="1560" w:type="dxa"/>
            <w:vAlign w:val="center"/>
          </w:tcPr>
          <w:p w14:paraId="3A2A5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312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418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F74D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02EA4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A8A1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D87B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1E2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4D5FE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E83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130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7C8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01AF2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6E68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A53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2AB024">
            <w:pPr>
              <w:widowControl/>
              <w:jc w:val="left"/>
              <w:rPr>
                <w:rFonts w:hint="eastAsia" w:ascii="仿宋" w:hAnsi="仿宋" w:eastAsia="仿宋" w:cs="仿宋"/>
                <w:color w:val="auto"/>
                <w:kern w:val="0"/>
                <w:sz w:val="24"/>
                <w:highlight w:val="none"/>
              </w:rPr>
            </w:pPr>
          </w:p>
        </w:tc>
        <w:tc>
          <w:tcPr>
            <w:tcW w:w="1560" w:type="dxa"/>
            <w:vAlign w:val="center"/>
          </w:tcPr>
          <w:p w14:paraId="0B55A3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7841B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3D30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7EF97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C0915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36BCC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D81C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BFD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64C9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D43B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637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28756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E85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75C03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AA0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730513">
            <w:pPr>
              <w:widowControl/>
              <w:jc w:val="left"/>
              <w:rPr>
                <w:rFonts w:hint="eastAsia" w:ascii="仿宋" w:hAnsi="仿宋" w:eastAsia="仿宋" w:cs="仿宋"/>
                <w:color w:val="auto"/>
                <w:kern w:val="0"/>
                <w:sz w:val="24"/>
                <w:highlight w:val="none"/>
              </w:rPr>
            </w:pPr>
          </w:p>
        </w:tc>
        <w:tc>
          <w:tcPr>
            <w:tcW w:w="1560" w:type="dxa"/>
            <w:vAlign w:val="center"/>
          </w:tcPr>
          <w:p w14:paraId="7FF58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CBB1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F20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D2923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F2E20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B02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D58B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ED6A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B815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8DC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C2CD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BC9E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AEF1E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FEE4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620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7097B">
            <w:pPr>
              <w:widowControl/>
              <w:jc w:val="left"/>
              <w:rPr>
                <w:rFonts w:hint="eastAsia" w:ascii="仿宋" w:hAnsi="仿宋" w:eastAsia="仿宋" w:cs="仿宋"/>
                <w:color w:val="auto"/>
                <w:kern w:val="0"/>
                <w:sz w:val="24"/>
                <w:highlight w:val="none"/>
              </w:rPr>
            </w:pPr>
          </w:p>
        </w:tc>
        <w:tc>
          <w:tcPr>
            <w:tcW w:w="1560" w:type="dxa"/>
            <w:vAlign w:val="center"/>
          </w:tcPr>
          <w:p w14:paraId="3657E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98C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B55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34043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ED80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DE7E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E035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CDD0B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E2A6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7FD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8DE7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9DA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4E9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0734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AE109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933F5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C486A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873C43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833F1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DE262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852A0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4018E9F">
      <w:pPr>
        <w:widowControl/>
        <w:jc w:val="left"/>
        <w:rPr>
          <w:rFonts w:hint="eastAsia" w:ascii="仿宋" w:hAnsi="仿宋" w:eastAsia="仿宋" w:cs="仿宋"/>
          <w:color w:val="auto"/>
          <w:kern w:val="0"/>
          <w:sz w:val="24"/>
          <w:highlight w:val="none"/>
        </w:rPr>
      </w:pPr>
    </w:p>
    <w:p w14:paraId="2F97E863">
      <w:pPr>
        <w:widowControl/>
        <w:jc w:val="left"/>
        <w:rPr>
          <w:rFonts w:hint="eastAsia" w:ascii="仿宋" w:hAnsi="仿宋" w:eastAsia="仿宋" w:cs="仿宋"/>
          <w:color w:val="auto"/>
          <w:kern w:val="0"/>
          <w:sz w:val="24"/>
          <w:highlight w:val="none"/>
        </w:rPr>
      </w:pPr>
    </w:p>
    <w:p w14:paraId="56C228D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C318F5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66D72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B70AF2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90CC9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32E09B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D6E4B4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54033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B944E55">
      <w:pPr>
        <w:widowControl/>
        <w:jc w:val="left"/>
        <w:rPr>
          <w:rFonts w:hint="eastAsia" w:ascii="仿宋" w:hAnsi="仿宋" w:eastAsia="仿宋" w:cs="仿宋"/>
          <w:color w:val="auto"/>
          <w:kern w:val="0"/>
          <w:sz w:val="18"/>
          <w:szCs w:val="18"/>
          <w:highlight w:val="none"/>
        </w:rPr>
      </w:pPr>
    </w:p>
    <w:p w14:paraId="11C3B416">
      <w:pPr>
        <w:widowControl/>
        <w:jc w:val="left"/>
        <w:rPr>
          <w:rFonts w:hint="eastAsia" w:ascii="仿宋" w:hAnsi="仿宋" w:eastAsia="仿宋" w:cs="仿宋"/>
          <w:color w:val="auto"/>
          <w:kern w:val="0"/>
          <w:sz w:val="18"/>
          <w:szCs w:val="18"/>
          <w:highlight w:val="none"/>
        </w:rPr>
      </w:pPr>
    </w:p>
    <w:p w14:paraId="4B05EC0B">
      <w:pPr>
        <w:widowControl/>
        <w:jc w:val="left"/>
        <w:rPr>
          <w:rFonts w:hint="eastAsia" w:ascii="仿宋" w:hAnsi="仿宋" w:eastAsia="仿宋" w:cs="仿宋"/>
          <w:color w:val="auto"/>
          <w:kern w:val="0"/>
          <w:sz w:val="18"/>
          <w:szCs w:val="18"/>
          <w:highlight w:val="none"/>
        </w:rPr>
      </w:pPr>
    </w:p>
    <w:p w14:paraId="5B302BE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3EF46C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DC933B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9BD68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0A76E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65A4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244B1D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635151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1D7081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85CEA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A1008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B1957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67618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C2352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49842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AC5DD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A2F63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97036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7EA44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8CC05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E624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A31C5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93D21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5B808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755B1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D3C7D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DBB2F2D">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14:paraId="746CE140">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CB9D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FB078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8D979B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F9309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4DC4FF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FE90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8448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59B6A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7CD4F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0DBE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C94C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ADC0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205B74">
            <w:pPr>
              <w:widowControl/>
              <w:jc w:val="left"/>
              <w:rPr>
                <w:rFonts w:hint="eastAsia" w:ascii="仿宋" w:hAnsi="仿宋" w:eastAsia="仿宋" w:cs="仿宋"/>
                <w:color w:val="auto"/>
                <w:kern w:val="0"/>
                <w:sz w:val="24"/>
                <w:highlight w:val="none"/>
              </w:rPr>
            </w:pPr>
          </w:p>
        </w:tc>
        <w:tc>
          <w:tcPr>
            <w:tcW w:w="1025" w:type="dxa"/>
            <w:vMerge w:val="continue"/>
            <w:vAlign w:val="center"/>
          </w:tcPr>
          <w:p w14:paraId="5DB82BFF">
            <w:pPr>
              <w:widowControl/>
              <w:jc w:val="left"/>
              <w:rPr>
                <w:rFonts w:hint="eastAsia" w:ascii="仿宋" w:hAnsi="仿宋" w:eastAsia="仿宋" w:cs="仿宋"/>
                <w:color w:val="auto"/>
                <w:kern w:val="0"/>
                <w:sz w:val="24"/>
                <w:highlight w:val="none"/>
              </w:rPr>
            </w:pPr>
          </w:p>
        </w:tc>
        <w:tc>
          <w:tcPr>
            <w:tcW w:w="2836" w:type="dxa"/>
            <w:vMerge w:val="continue"/>
            <w:vAlign w:val="center"/>
          </w:tcPr>
          <w:p w14:paraId="1B832EC1">
            <w:pPr>
              <w:widowControl/>
              <w:jc w:val="left"/>
              <w:rPr>
                <w:rFonts w:hint="eastAsia" w:ascii="仿宋" w:hAnsi="仿宋" w:eastAsia="仿宋" w:cs="仿宋"/>
                <w:color w:val="auto"/>
                <w:kern w:val="0"/>
                <w:sz w:val="24"/>
                <w:highlight w:val="none"/>
              </w:rPr>
            </w:pPr>
          </w:p>
        </w:tc>
        <w:tc>
          <w:tcPr>
            <w:tcW w:w="606" w:type="dxa"/>
            <w:vAlign w:val="center"/>
          </w:tcPr>
          <w:p w14:paraId="641078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26C2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EF2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62D53C">
            <w:pPr>
              <w:widowControl/>
              <w:jc w:val="left"/>
              <w:rPr>
                <w:rFonts w:hint="eastAsia" w:ascii="仿宋" w:hAnsi="仿宋" w:eastAsia="仿宋" w:cs="仿宋"/>
                <w:color w:val="auto"/>
                <w:kern w:val="0"/>
                <w:sz w:val="24"/>
                <w:highlight w:val="none"/>
              </w:rPr>
            </w:pPr>
          </w:p>
        </w:tc>
        <w:tc>
          <w:tcPr>
            <w:tcW w:w="1025" w:type="dxa"/>
            <w:vMerge w:val="continue"/>
            <w:vAlign w:val="center"/>
          </w:tcPr>
          <w:p w14:paraId="6E018B92">
            <w:pPr>
              <w:widowControl/>
              <w:jc w:val="left"/>
              <w:rPr>
                <w:rFonts w:hint="eastAsia" w:ascii="仿宋" w:hAnsi="仿宋" w:eastAsia="仿宋" w:cs="仿宋"/>
                <w:color w:val="auto"/>
                <w:kern w:val="0"/>
                <w:sz w:val="24"/>
                <w:highlight w:val="none"/>
              </w:rPr>
            </w:pPr>
          </w:p>
        </w:tc>
        <w:tc>
          <w:tcPr>
            <w:tcW w:w="2836" w:type="dxa"/>
            <w:vMerge w:val="continue"/>
            <w:vAlign w:val="center"/>
          </w:tcPr>
          <w:p w14:paraId="291FA98C">
            <w:pPr>
              <w:widowControl/>
              <w:jc w:val="left"/>
              <w:rPr>
                <w:rFonts w:hint="eastAsia" w:ascii="仿宋" w:hAnsi="仿宋" w:eastAsia="仿宋" w:cs="仿宋"/>
                <w:color w:val="auto"/>
                <w:kern w:val="0"/>
                <w:sz w:val="24"/>
                <w:highlight w:val="none"/>
              </w:rPr>
            </w:pPr>
          </w:p>
        </w:tc>
        <w:tc>
          <w:tcPr>
            <w:tcW w:w="606" w:type="dxa"/>
            <w:vAlign w:val="center"/>
          </w:tcPr>
          <w:p w14:paraId="70D51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79E3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63D0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4017DF">
            <w:pPr>
              <w:widowControl/>
              <w:jc w:val="left"/>
              <w:rPr>
                <w:rFonts w:hint="eastAsia" w:ascii="仿宋" w:hAnsi="仿宋" w:eastAsia="仿宋" w:cs="仿宋"/>
                <w:color w:val="auto"/>
                <w:kern w:val="0"/>
                <w:sz w:val="24"/>
                <w:highlight w:val="none"/>
              </w:rPr>
            </w:pPr>
          </w:p>
        </w:tc>
        <w:tc>
          <w:tcPr>
            <w:tcW w:w="1025" w:type="dxa"/>
            <w:vMerge w:val="restart"/>
            <w:vAlign w:val="center"/>
          </w:tcPr>
          <w:p w14:paraId="694564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53FC7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66C3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5F9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26B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1DB91">
            <w:pPr>
              <w:widowControl/>
              <w:jc w:val="left"/>
              <w:rPr>
                <w:rFonts w:hint="eastAsia" w:ascii="仿宋" w:hAnsi="仿宋" w:eastAsia="仿宋" w:cs="仿宋"/>
                <w:color w:val="auto"/>
                <w:kern w:val="0"/>
                <w:sz w:val="24"/>
                <w:highlight w:val="none"/>
              </w:rPr>
            </w:pPr>
          </w:p>
        </w:tc>
        <w:tc>
          <w:tcPr>
            <w:tcW w:w="1025" w:type="dxa"/>
            <w:vMerge w:val="continue"/>
            <w:vAlign w:val="center"/>
          </w:tcPr>
          <w:p w14:paraId="74D3F085">
            <w:pPr>
              <w:widowControl/>
              <w:jc w:val="left"/>
              <w:rPr>
                <w:rFonts w:hint="eastAsia" w:ascii="仿宋" w:hAnsi="仿宋" w:eastAsia="仿宋" w:cs="仿宋"/>
                <w:color w:val="auto"/>
                <w:kern w:val="0"/>
                <w:sz w:val="24"/>
                <w:highlight w:val="none"/>
              </w:rPr>
            </w:pPr>
          </w:p>
        </w:tc>
        <w:tc>
          <w:tcPr>
            <w:tcW w:w="2836" w:type="dxa"/>
            <w:vMerge w:val="continue"/>
            <w:vAlign w:val="center"/>
          </w:tcPr>
          <w:p w14:paraId="6BAB8240">
            <w:pPr>
              <w:widowControl/>
              <w:jc w:val="left"/>
              <w:rPr>
                <w:rFonts w:hint="eastAsia" w:ascii="仿宋" w:hAnsi="仿宋" w:eastAsia="仿宋" w:cs="仿宋"/>
                <w:color w:val="auto"/>
                <w:kern w:val="0"/>
                <w:sz w:val="24"/>
                <w:highlight w:val="none"/>
              </w:rPr>
            </w:pPr>
          </w:p>
        </w:tc>
        <w:tc>
          <w:tcPr>
            <w:tcW w:w="606" w:type="dxa"/>
            <w:vAlign w:val="center"/>
          </w:tcPr>
          <w:p w14:paraId="285DD2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00DD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A577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A6998">
            <w:pPr>
              <w:widowControl/>
              <w:jc w:val="left"/>
              <w:rPr>
                <w:rFonts w:hint="eastAsia" w:ascii="仿宋" w:hAnsi="仿宋" w:eastAsia="仿宋" w:cs="仿宋"/>
                <w:color w:val="auto"/>
                <w:kern w:val="0"/>
                <w:sz w:val="24"/>
                <w:highlight w:val="none"/>
              </w:rPr>
            </w:pPr>
          </w:p>
        </w:tc>
        <w:tc>
          <w:tcPr>
            <w:tcW w:w="1025" w:type="dxa"/>
            <w:vMerge w:val="continue"/>
            <w:vAlign w:val="center"/>
          </w:tcPr>
          <w:p w14:paraId="2A17A6C7">
            <w:pPr>
              <w:widowControl/>
              <w:jc w:val="left"/>
              <w:rPr>
                <w:rFonts w:hint="eastAsia" w:ascii="仿宋" w:hAnsi="仿宋" w:eastAsia="仿宋" w:cs="仿宋"/>
                <w:color w:val="auto"/>
                <w:kern w:val="0"/>
                <w:sz w:val="24"/>
                <w:highlight w:val="none"/>
              </w:rPr>
            </w:pPr>
          </w:p>
        </w:tc>
        <w:tc>
          <w:tcPr>
            <w:tcW w:w="2836" w:type="dxa"/>
            <w:vMerge w:val="continue"/>
            <w:vAlign w:val="center"/>
          </w:tcPr>
          <w:p w14:paraId="4BB9678D">
            <w:pPr>
              <w:widowControl/>
              <w:jc w:val="left"/>
              <w:rPr>
                <w:rFonts w:hint="eastAsia" w:ascii="仿宋" w:hAnsi="仿宋" w:eastAsia="仿宋" w:cs="仿宋"/>
                <w:color w:val="auto"/>
                <w:kern w:val="0"/>
                <w:sz w:val="24"/>
                <w:highlight w:val="none"/>
              </w:rPr>
            </w:pPr>
          </w:p>
        </w:tc>
        <w:tc>
          <w:tcPr>
            <w:tcW w:w="606" w:type="dxa"/>
            <w:vAlign w:val="center"/>
          </w:tcPr>
          <w:p w14:paraId="298956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A36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1D0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DD1BFA">
            <w:pPr>
              <w:widowControl/>
              <w:jc w:val="left"/>
              <w:rPr>
                <w:rFonts w:hint="eastAsia" w:ascii="仿宋" w:hAnsi="仿宋" w:eastAsia="仿宋" w:cs="仿宋"/>
                <w:color w:val="auto"/>
                <w:kern w:val="0"/>
                <w:sz w:val="24"/>
                <w:highlight w:val="none"/>
              </w:rPr>
            </w:pPr>
          </w:p>
        </w:tc>
        <w:tc>
          <w:tcPr>
            <w:tcW w:w="1025" w:type="dxa"/>
            <w:vMerge w:val="continue"/>
            <w:vAlign w:val="center"/>
          </w:tcPr>
          <w:p w14:paraId="0E5F4FE3">
            <w:pPr>
              <w:widowControl/>
              <w:jc w:val="left"/>
              <w:rPr>
                <w:rFonts w:hint="eastAsia" w:ascii="仿宋" w:hAnsi="仿宋" w:eastAsia="仿宋" w:cs="仿宋"/>
                <w:color w:val="auto"/>
                <w:kern w:val="0"/>
                <w:sz w:val="24"/>
                <w:highlight w:val="none"/>
              </w:rPr>
            </w:pPr>
          </w:p>
        </w:tc>
        <w:tc>
          <w:tcPr>
            <w:tcW w:w="2836" w:type="dxa"/>
            <w:vMerge w:val="restart"/>
            <w:vAlign w:val="center"/>
          </w:tcPr>
          <w:p w14:paraId="38CC11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84CB6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FE338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9D31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A2D83">
            <w:pPr>
              <w:widowControl/>
              <w:jc w:val="left"/>
              <w:rPr>
                <w:rFonts w:hint="eastAsia" w:ascii="仿宋" w:hAnsi="仿宋" w:eastAsia="仿宋" w:cs="仿宋"/>
                <w:color w:val="auto"/>
                <w:kern w:val="0"/>
                <w:sz w:val="24"/>
                <w:highlight w:val="none"/>
              </w:rPr>
            </w:pPr>
          </w:p>
        </w:tc>
        <w:tc>
          <w:tcPr>
            <w:tcW w:w="1025" w:type="dxa"/>
            <w:vMerge w:val="continue"/>
            <w:vAlign w:val="center"/>
          </w:tcPr>
          <w:p w14:paraId="075AD44B">
            <w:pPr>
              <w:widowControl/>
              <w:jc w:val="left"/>
              <w:rPr>
                <w:rFonts w:hint="eastAsia" w:ascii="仿宋" w:hAnsi="仿宋" w:eastAsia="仿宋" w:cs="仿宋"/>
                <w:color w:val="auto"/>
                <w:kern w:val="0"/>
                <w:sz w:val="24"/>
                <w:highlight w:val="none"/>
              </w:rPr>
            </w:pPr>
          </w:p>
        </w:tc>
        <w:tc>
          <w:tcPr>
            <w:tcW w:w="2836" w:type="dxa"/>
            <w:vMerge w:val="continue"/>
            <w:vAlign w:val="center"/>
          </w:tcPr>
          <w:p w14:paraId="5E7DC644">
            <w:pPr>
              <w:widowControl/>
              <w:jc w:val="left"/>
              <w:rPr>
                <w:rFonts w:hint="eastAsia" w:ascii="仿宋" w:hAnsi="仿宋" w:eastAsia="仿宋" w:cs="仿宋"/>
                <w:color w:val="auto"/>
                <w:kern w:val="0"/>
                <w:sz w:val="24"/>
                <w:highlight w:val="none"/>
              </w:rPr>
            </w:pPr>
          </w:p>
        </w:tc>
        <w:tc>
          <w:tcPr>
            <w:tcW w:w="606" w:type="dxa"/>
            <w:vAlign w:val="center"/>
          </w:tcPr>
          <w:p w14:paraId="1197D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39F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46AD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8CB6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86E894">
            <w:pPr>
              <w:widowControl/>
              <w:jc w:val="left"/>
              <w:rPr>
                <w:rFonts w:hint="eastAsia" w:ascii="仿宋" w:hAnsi="仿宋" w:eastAsia="仿宋" w:cs="仿宋"/>
                <w:color w:val="auto"/>
                <w:kern w:val="0"/>
                <w:sz w:val="24"/>
                <w:highlight w:val="none"/>
              </w:rPr>
            </w:pPr>
          </w:p>
        </w:tc>
        <w:tc>
          <w:tcPr>
            <w:tcW w:w="2836" w:type="dxa"/>
            <w:vMerge w:val="continue"/>
            <w:vAlign w:val="center"/>
          </w:tcPr>
          <w:p w14:paraId="0C7C9DE6">
            <w:pPr>
              <w:widowControl/>
              <w:jc w:val="left"/>
              <w:rPr>
                <w:rFonts w:hint="eastAsia" w:ascii="仿宋" w:hAnsi="仿宋" w:eastAsia="仿宋" w:cs="仿宋"/>
                <w:color w:val="auto"/>
                <w:kern w:val="0"/>
                <w:sz w:val="24"/>
                <w:highlight w:val="none"/>
              </w:rPr>
            </w:pPr>
          </w:p>
        </w:tc>
        <w:tc>
          <w:tcPr>
            <w:tcW w:w="606" w:type="dxa"/>
            <w:vAlign w:val="center"/>
          </w:tcPr>
          <w:p w14:paraId="455322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43C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16F8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B82E8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687B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6361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74EF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18AF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3660AE">
            <w:pPr>
              <w:widowControl/>
              <w:jc w:val="left"/>
              <w:rPr>
                <w:rFonts w:hint="eastAsia" w:ascii="仿宋" w:hAnsi="仿宋" w:eastAsia="仿宋" w:cs="仿宋"/>
                <w:color w:val="auto"/>
                <w:kern w:val="0"/>
                <w:sz w:val="24"/>
                <w:highlight w:val="none"/>
              </w:rPr>
            </w:pPr>
          </w:p>
        </w:tc>
        <w:tc>
          <w:tcPr>
            <w:tcW w:w="2836" w:type="dxa"/>
            <w:vMerge w:val="continue"/>
            <w:vAlign w:val="center"/>
          </w:tcPr>
          <w:p w14:paraId="7DA722AC">
            <w:pPr>
              <w:widowControl/>
              <w:jc w:val="left"/>
              <w:rPr>
                <w:rFonts w:hint="eastAsia" w:ascii="仿宋" w:hAnsi="仿宋" w:eastAsia="仿宋" w:cs="仿宋"/>
                <w:color w:val="auto"/>
                <w:kern w:val="0"/>
                <w:sz w:val="24"/>
                <w:highlight w:val="none"/>
              </w:rPr>
            </w:pPr>
          </w:p>
        </w:tc>
        <w:tc>
          <w:tcPr>
            <w:tcW w:w="606" w:type="dxa"/>
            <w:vAlign w:val="center"/>
          </w:tcPr>
          <w:p w14:paraId="610CC5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14D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6687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9C63F5">
            <w:pPr>
              <w:widowControl/>
              <w:jc w:val="left"/>
              <w:rPr>
                <w:rFonts w:hint="eastAsia" w:ascii="仿宋" w:hAnsi="仿宋" w:eastAsia="仿宋" w:cs="仿宋"/>
                <w:color w:val="auto"/>
                <w:kern w:val="0"/>
                <w:sz w:val="24"/>
                <w:highlight w:val="none"/>
              </w:rPr>
            </w:pPr>
          </w:p>
        </w:tc>
        <w:tc>
          <w:tcPr>
            <w:tcW w:w="2836" w:type="dxa"/>
            <w:vMerge w:val="continue"/>
            <w:vAlign w:val="center"/>
          </w:tcPr>
          <w:p w14:paraId="6375C039">
            <w:pPr>
              <w:widowControl/>
              <w:jc w:val="left"/>
              <w:rPr>
                <w:rFonts w:hint="eastAsia" w:ascii="仿宋" w:hAnsi="仿宋" w:eastAsia="仿宋" w:cs="仿宋"/>
                <w:color w:val="auto"/>
                <w:kern w:val="0"/>
                <w:sz w:val="24"/>
                <w:highlight w:val="none"/>
              </w:rPr>
            </w:pPr>
          </w:p>
        </w:tc>
        <w:tc>
          <w:tcPr>
            <w:tcW w:w="606" w:type="dxa"/>
            <w:vAlign w:val="center"/>
          </w:tcPr>
          <w:p w14:paraId="354574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D914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37D6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2E45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9E72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F987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19B98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12D7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F0B9B2">
            <w:pPr>
              <w:widowControl/>
              <w:jc w:val="left"/>
              <w:rPr>
                <w:rFonts w:hint="eastAsia" w:ascii="仿宋" w:hAnsi="仿宋" w:eastAsia="仿宋" w:cs="仿宋"/>
                <w:color w:val="auto"/>
                <w:kern w:val="0"/>
                <w:sz w:val="24"/>
                <w:highlight w:val="none"/>
              </w:rPr>
            </w:pPr>
          </w:p>
        </w:tc>
        <w:tc>
          <w:tcPr>
            <w:tcW w:w="2836" w:type="dxa"/>
            <w:vMerge w:val="continue"/>
            <w:vAlign w:val="center"/>
          </w:tcPr>
          <w:p w14:paraId="676192BB">
            <w:pPr>
              <w:widowControl/>
              <w:jc w:val="left"/>
              <w:rPr>
                <w:rFonts w:hint="eastAsia" w:ascii="仿宋" w:hAnsi="仿宋" w:eastAsia="仿宋" w:cs="仿宋"/>
                <w:color w:val="auto"/>
                <w:kern w:val="0"/>
                <w:sz w:val="24"/>
                <w:highlight w:val="none"/>
              </w:rPr>
            </w:pPr>
          </w:p>
        </w:tc>
        <w:tc>
          <w:tcPr>
            <w:tcW w:w="606" w:type="dxa"/>
            <w:vAlign w:val="center"/>
          </w:tcPr>
          <w:p w14:paraId="36E8BE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5631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B7AC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64F4B00">
            <w:pPr>
              <w:widowControl/>
              <w:jc w:val="left"/>
              <w:rPr>
                <w:rFonts w:hint="eastAsia" w:ascii="仿宋" w:hAnsi="仿宋" w:eastAsia="仿宋" w:cs="仿宋"/>
                <w:color w:val="auto"/>
                <w:kern w:val="0"/>
                <w:sz w:val="24"/>
                <w:highlight w:val="none"/>
              </w:rPr>
            </w:pPr>
          </w:p>
        </w:tc>
        <w:tc>
          <w:tcPr>
            <w:tcW w:w="2836" w:type="dxa"/>
            <w:vMerge w:val="continue"/>
            <w:vAlign w:val="center"/>
          </w:tcPr>
          <w:p w14:paraId="34E9C80D">
            <w:pPr>
              <w:widowControl/>
              <w:jc w:val="left"/>
              <w:rPr>
                <w:rFonts w:hint="eastAsia" w:ascii="仿宋" w:hAnsi="仿宋" w:eastAsia="仿宋" w:cs="仿宋"/>
                <w:color w:val="auto"/>
                <w:kern w:val="0"/>
                <w:sz w:val="24"/>
                <w:highlight w:val="none"/>
              </w:rPr>
            </w:pPr>
          </w:p>
        </w:tc>
        <w:tc>
          <w:tcPr>
            <w:tcW w:w="606" w:type="dxa"/>
            <w:vAlign w:val="center"/>
          </w:tcPr>
          <w:p w14:paraId="041F12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0DCF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1A3F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E438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E87D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6E45F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02616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EDF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4B3F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D7656E">
            <w:pPr>
              <w:widowControl/>
              <w:jc w:val="left"/>
              <w:rPr>
                <w:rFonts w:hint="eastAsia" w:ascii="仿宋" w:hAnsi="仿宋" w:eastAsia="仿宋" w:cs="仿宋"/>
                <w:color w:val="auto"/>
                <w:kern w:val="0"/>
                <w:sz w:val="24"/>
                <w:highlight w:val="none"/>
              </w:rPr>
            </w:pPr>
          </w:p>
        </w:tc>
        <w:tc>
          <w:tcPr>
            <w:tcW w:w="1025" w:type="dxa"/>
            <w:vMerge w:val="continue"/>
            <w:vAlign w:val="center"/>
          </w:tcPr>
          <w:p w14:paraId="6A669A56">
            <w:pPr>
              <w:widowControl/>
              <w:jc w:val="left"/>
              <w:rPr>
                <w:rFonts w:hint="eastAsia" w:ascii="仿宋" w:hAnsi="仿宋" w:eastAsia="仿宋" w:cs="仿宋"/>
                <w:color w:val="auto"/>
                <w:kern w:val="0"/>
                <w:sz w:val="24"/>
                <w:highlight w:val="none"/>
              </w:rPr>
            </w:pPr>
          </w:p>
        </w:tc>
        <w:tc>
          <w:tcPr>
            <w:tcW w:w="2836" w:type="dxa"/>
            <w:vMerge w:val="continue"/>
            <w:vAlign w:val="center"/>
          </w:tcPr>
          <w:p w14:paraId="41E2F92A">
            <w:pPr>
              <w:widowControl/>
              <w:jc w:val="left"/>
              <w:rPr>
                <w:rFonts w:hint="eastAsia" w:ascii="仿宋" w:hAnsi="仿宋" w:eastAsia="仿宋" w:cs="仿宋"/>
                <w:color w:val="auto"/>
                <w:kern w:val="0"/>
                <w:sz w:val="24"/>
                <w:highlight w:val="none"/>
              </w:rPr>
            </w:pPr>
          </w:p>
        </w:tc>
        <w:tc>
          <w:tcPr>
            <w:tcW w:w="606" w:type="dxa"/>
            <w:vAlign w:val="center"/>
          </w:tcPr>
          <w:p w14:paraId="3E8CC6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C021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8887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13F475">
            <w:pPr>
              <w:widowControl/>
              <w:jc w:val="left"/>
              <w:rPr>
                <w:rFonts w:hint="eastAsia" w:ascii="仿宋" w:hAnsi="仿宋" w:eastAsia="仿宋" w:cs="仿宋"/>
                <w:color w:val="auto"/>
                <w:kern w:val="0"/>
                <w:sz w:val="24"/>
                <w:highlight w:val="none"/>
              </w:rPr>
            </w:pPr>
          </w:p>
        </w:tc>
        <w:tc>
          <w:tcPr>
            <w:tcW w:w="1025" w:type="dxa"/>
            <w:vMerge w:val="continue"/>
            <w:vAlign w:val="center"/>
          </w:tcPr>
          <w:p w14:paraId="1A4E9B50">
            <w:pPr>
              <w:widowControl/>
              <w:jc w:val="left"/>
              <w:rPr>
                <w:rFonts w:hint="eastAsia" w:ascii="仿宋" w:hAnsi="仿宋" w:eastAsia="仿宋" w:cs="仿宋"/>
                <w:color w:val="auto"/>
                <w:kern w:val="0"/>
                <w:sz w:val="24"/>
                <w:highlight w:val="none"/>
              </w:rPr>
            </w:pPr>
          </w:p>
        </w:tc>
        <w:tc>
          <w:tcPr>
            <w:tcW w:w="2836" w:type="dxa"/>
            <w:vMerge w:val="continue"/>
            <w:vAlign w:val="center"/>
          </w:tcPr>
          <w:p w14:paraId="71C47700">
            <w:pPr>
              <w:widowControl/>
              <w:jc w:val="left"/>
              <w:rPr>
                <w:rFonts w:hint="eastAsia" w:ascii="仿宋" w:hAnsi="仿宋" w:eastAsia="仿宋" w:cs="仿宋"/>
                <w:color w:val="auto"/>
                <w:kern w:val="0"/>
                <w:sz w:val="24"/>
                <w:highlight w:val="none"/>
              </w:rPr>
            </w:pPr>
          </w:p>
        </w:tc>
        <w:tc>
          <w:tcPr>
            <w:tcW w:w="606" w:type="dxa"/>
            <w:vAlign w:val="center"/>
          </w:tcPr>
          <w:p w14:paraId="1B55F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75E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61F9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5F2C34">
            <w:pPr>
              <w:widowControl/>
              <w:jc w:val="left"/>
              <w:rPr>
                <w:rFonts w:hint="eastAsia" w:ascii="仿宋" w:hAnsi="仿宋" w:eastAsia="仿宋" w:cs="仿宋"/>
                <w:color w:val="auto"/>
                <w:kern w:val="0"/>
                <w:sz w:val="24"/>
                <w:highlight w:val="none"/>
              </w:rPr>
            </w:pPr>
          </w:p>
        </w:tc>
        <w:tc>
          <w:tcPr>
            <w:tcW w:w="1025" w:type="dxa"/>
            <w:vMerge w:val="restart"/>
            <w:vAlign w:val="center"/>
          </w:tcPr>
          <w:p w14:paraId="1DE17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7370B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B4F1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17651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1B4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148CB0">
            <w:pPr>
              <w:widowControl/>
              <w:jc w:val="left"/>
              <w:rPr>
                <w:rFonts w:hint="eastAsia" w:ascii="仿宋" w:hAnsi="仿宋" w:eastAsia="仿宋" w:cs="仿宋"/>
                <w:color w:val="auto"/>
                <w:kern w:val="0"/>
                <w:sz w:val="24"/>
                <w:highlight w:val="none"/>
              </w:rPr>
            </w:pPr>
          </w:p>
        </w:tc>
        <w:tc>
          <w:tcPr>
            <w:tcW w:w="1025" w:type="dxa"/>
            <w:vMerge w:val="continue"/>
            <w:vAlign w:val="center"/>
          </w:tcPr>
          <w:p w14:paraId="11DEA5FE">
            <w:pPr>
              <w:widowControl/>
              <w:jc w:val="left"/>
              <w:rPr>
                <w:rFonts w:hint="eastAsia" w:ascii="仿宋" w:hAnsi="仿宋" w:eastAsia="仿宋" w:cs="仿宋"/>
                <w:color w:val="auto"/>
                <w:kern w:val="0"/>
                <w:sz w:val="24"/>
                <w:highlight w:val="none"/>
              </w:rPr>
            </w:pPr>
          </w:p>
        </w:tc>
        <w:tc>
          <w:tcPr>
            <w:tcW w:w="2836" w:type="dxa"/>
            <w:vMerge w:val="continue"/>
            <w:vAlign w:val="center"/>
          </w:tcPr>
          <w:p w14:paraId="696AF350">
            <w:pPr>
              <w:widowControl/>
              <w:jc w:val="left"/>
              <w:rPr>
                <w:rFonts w:hint="eastAsia" w:ascii="仿宋" w:hAnsi="仿宋" w:eastAsia="仿宋" w:cs="仿宋"/>
                <w:color w:val="auto"/>
                <w:kern w:val="0"/>
                <w:sz w:val="24"/>
                <w:highlight w:val="none"/>
              </w:rPr>
            </w:pPr>
          </w:p>
        </w:tc>
        <w:tc>
          <w:tcPr>
            <w:tcW w:w="606" w:type="dxa"/>
            <w:vAlign w:val="center"/>
          </w:tcPr>
          <w:p w14:paraId="19BB6A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AEBA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944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67E9C">
            <w:pPr>
              <w:widowControl/>
              <w:jc w:val="left"/>
              <w:rPr>
                <w:rFonts w:hint="eastAsia" w:ascii="仿宋" w:hAnsi="仿宋" w:eastAsia="仿宋" w:cs="仿宋"/>
                <w:color w:val="auto"/>
                <w:kern w:val="0"/>
                <w:sz w:val="24"/>
                <w:highlight w:val="none"/>
              </w:rPr>
            </w:pPr>
          </w:p>
        </w:tc>
        <w:tc>
          <w:tcPr>
            <w:tcW w:w="1025" w:type="dxa"/>
            <w:vMerge w:val="continue"/>
            <w:vAlign w:val="center"/>
          </w:tcPr>
          <w:p w14:paraId="21331AD6">
            <w:pPr>
              <w:widowControl/>
              <w:jc w:val="left"/>
              <w:rPr>
                <w:rFonts w:hint="eastAsia" w:ascii="仿宋" w:hAnsi="仿宋" w:eastAsia="仿宋" w:cs="仿宋"/>
                <w:color w:val="auto"/>
                <w:kern w:val="0"/>
                <w:sz w:val="24"/>
                <w:highlight w:val="none"/>
              </w:rPr>
            </w:pPr>
          </w:p>
        </w:tc>
        <w:tc>
          <w:tcPr>
            <w:tcW w:w="2836" w:type="dxa"/>
            <w:vMerge w:val="continue"/>
            <w:vAlign w:val="center"/>
          </w:tcPr>
          <w:p w14:paraId="33AB64D1">
            <w:pPr>
              <w:widowControl/>
              <w:jc w:val="left"/>
              <w:rPr>
                <w:rFonts w:hint="eastAsia" w:ascii="仿宋" w:hAnsi="仿宋" w:eastAsia="仿宋" w:cs="仿宋"/>
                <w:color w:val="auto"/>
                <w:kern w:val="0"/>
                <w:sz w:val="24"/>
                <w:highlight w:val="none"/>
              </w:rPr>
            </w:pPr>
          </w:p>
        </w:tc>
        <w:tc>
          <w:tcPr>
            <w:tcW w:w="606" w:type="dxa"/>
            <w:vAlign w:val="center"/>
          </w:tcPr>
          <w:p w14:paraId="52A32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F88E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F28E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E8902C">
            <w:pPr>
              <w:widowControl/>
              <w:jc w:val="left"/>
              <w:rPr>
                <w:rFonts w:hint="eastAsia" w:ascii="仿宋" w:hAnsi="仿宋" w:eastAsia="仿宋" w:cs="仿宋"/>
                <w:color w:val="auto"/>
                <w:kern w:val="0"/>
                <w:sz w:val="24"/>
                <w:highlight w:val="none"/>
              </w:rPr>
            </w:pPr>
          </w:p>
        </w:tc>
        <w:tc>
          <w:tcPr>
            <w:tcW w:w="1025" w:type="dxa"/>
            <w:vMerge w:val="restart"/>
            <w:vAlign w:val="center"/>
          </w:tcPr>
          <w:p w14:paraId="2698F5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296F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05CC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BDAE6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6858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6AD22">
            <w:pPr>
              <w:widowControl/>
              <w:jc w:val="left"/>
              <w:rPr>
                <w:rFonts w:hint="eastAsia" w:ascii="仿宋" w:hAnsi="仿宋" w:eastAsia="仿宋" w:cs="仿宋"/>
                <w:color w:val="auto"/>
                <w:kern w:val="0"/>
                <w:sz w:val="24"/>
                <w:highlight w:val="none"/>
              </w:rPr>
            </w:pPr>
          </w:p>
        </w:tc>
        <w:tc>
          <w:tcPr>
            <w:tcW w:w="1025" w:type="dxa"/>
            <w:vMerge w:val="continue"/>
            <w:vAlign w:val="center"/>
          </w:tcPr>
          <w:p w14:paraId="141ECE28">
            <w:pPr>
              <w:widowControl/>
              <w:jc w:val="left"/>
              <w:rPr>
                <w:rFonts w:hint="eastAsia" w:ascii="仿宋" w:hAnsi="仿宋" w:eastAsia="仿宋" w:cs="仿宋"/>
                <w:color w:val="auto"/>
                <w:kern w:val="0"/>
                <w:sz w:val="24"/>
                <w:highlight w:val="none"/>
              </w:rPr>
            </w:pPr>
          </w:p>
        </w:tc>
        <w:tc>
          <w:tcPr>
            <w:tcW w:w="2836" w:type="dxa"/>
            <w:vMerge w:val="continue"/>
            <w:vAlign w:val="center"/>
          </w:tcPr>
          <w:p w14:paraId="78FF2892">
            <w:pPr>
              <w:widowControl/>
              <w:jc w:val="left"/>
              <w:rPr>
                <w:rFonts w:hint="eastAsia" w:ascii="仿宋" w:hAnsi="仿宋" w:eastAsia="仿宋" w:cs="仿宋"/>
                <w:color w:val="auto"/>
                <w:kern w:val="0"/>
                <w:sz w:val="24"/>
                <w:highlight w:val="none"/>
              </w:rPr>
            </w:pPr>
          </w:p>
        </w:tc>
        <w:tc>
          <w:tcPr>
            <w:tcW w:w="606" w:type="dxa"/>
            <w:vAlign w:val="center"/>
          </w:tcPr>
          <w:p w14:paraId="71040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548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7D61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4879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4CD192C">
            <w:pPr>
              <w:widowControl/>
              <w:jc w:val="left"/>
              <w:rPr>
                <w:rFonts w:hint="eastAsia" w:ascii="仿宋" w:hAnsi="仿宋" w:eastAsia="仿宋" w:cs="仿宋"/>
                <w:color w:val="auto"/>
                <w:kern w:val="0"/>
                <w:sz w:val="24"/>
                <w:highlight w:val="none"/>
              </w:rPr>
            </w:pPr>
          </w:p>
        </w:tc>
        <w:tc>
          <w:tcPr>
            <w:tcW w:w="2836" w:type="dxa"/>
            <w:vMerge w:val="continue"/>
            <w:vAlign w:val="center"/>
          </w:tcPr>
          <w:p w14:paraId="62A87F01">
            <w:pPr>
              <w:widowControl/>
              <w:jc w:val="left"/>
              <w:rPr>
                <w:rFonts w:hint="eastAsia" w:ascii="仿宋" w:hAnsi="仿宋" w:eastAsia="仿宋" w:cs="仿宋"/>
                <w:color w:val="auto"/>
                <w:kern w:val="0"/>
                <w:sz w:val="24"/>
                <w:highlight w:val="none"/>
              </w:rPr>
            </w:pPr>
          </w:p>
        </w:tc>
        <w:tc>
          <w:tcPr>
            <w:tcW w:w="606" w:type="dxa"/>
            <w:vAlign w:val="center"/>
          </w:tcPr>
          <w:p w14:paraId="045B6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5C1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93B6383">
      <w:pPr>
        <w:rPr>
          <w:rFonts w:hint="eastAsia" w:ascii="仿宋" w:hAnsi="仿宋" w:eastAsia="仿宋" w:cs="仿宋"/>
          <w:color w:val="auto"/>
          <w:sz w:val="24"/>
          <w:highlight w:val="none"/>
        </w:rPr>
      </w:pPr>
    </w:p>
    <w:p w14:paraId="7B18D85A">
      <w:pPr>
        <w:ind w:firstLine="420" w:firstLineChars="200"/>
        <w:rPr>
          <w:rFonts w:hint="eastAsia" w:ascii="仿宋" w:hAnsi="仿宋" w:eastAsia="仿宋" w:cs="仿宋"/>
          <w:color w:val="auto"/>
          <w:highlight w:val="none"/>
        </w:rPr>
      </w:pPr>
    </w:p>
    <w:p w14:paraId="77CAF111">
      <w:pPr>
        <w:spacing w:line="360" w:lineRule="auto"/>
        <w:ind w:right="420"/>
        <w:rPr>
          <w:rFonts w:hint="eastAsia" w:ascii="仿宋" w:hAnsi="仿宋" w:eastAsia="仿宋" w:cs="仿宋"/>
          <w:color w:val="auto"/>
          <w:highlight w:val="none"/>
        </w:rPr>
      </w:pPr>
    </w:p>
    <w:p w14:paraId="1EC91A47">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10BFB">
    <w:pPr>
      <w:pStyle w:val="4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4F53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5D4F53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2ADE3">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A4B36">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4FA4B36">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2DAD7">
    <w:pPr>
      <w:pStyle w:val="41"/>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30771">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C330771">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1F2E9">
    <w:pPr>
      <w:pStyle w:val="41"/>
      <w:framePr w:wrap="around" w:vAnchor="text" w:hAnchor="margin" w:xAlign="right" w:y="1"/>
      <w:rPr>
        <w:rStyle w:val="74"/>
      </w:rPr>
    </w:pPr>
    <w:r>
      <w:fldChar w:fldCharType="begin"/>
    </w:r>
    <w:r>
      <w:rPr>
        <w:rStyle w:val="74"/>
      </w:rPr>
      <w:instrText xml:space="preserve">PAGE  </w:instrText>
    </w:r>
    <w:r>
      <w:fldChar w:fldCharType="end"/>
    </w:r>
  </w:p>
  <w:p w14:paraId="32357B2C">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B0F8F">
    <w:pPr>
      <w:pStyle w:val="41"/>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C6309">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7CC6309">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C0C3C">
    <w:pPr>
      <w:pStyle w:val="41"/>
      <w:framePr w:wrap="around" w:vAnchor="text" w:hAnchor="margin" w:xAlign="right" w:y="1"/>
      <w:rPr>
        <w:rStyle w:val="74"/>
      </w:rPr>
    </w:pPr>
    <w:r>
      <w:fldChar w:fldCharType="begin"/>
    </w:r>
    <w:r>
      <w:rPr>
        <w:rStyle w:val="74"/>
      </w:rPr>
      <w:instrText xml:space="preserve">PAGE  </w:instrText>
    </w:r>
    <w:r>
      <w:fldChar w:fldCharType="end"/>
    </w:r>
  </w:p>
  <w:p w14:paraId="373CC134">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4CD7A">
    <w:pPr>
      <w:pStyle w:val="41"/>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0B5E1">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200B5E1">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BB2F7">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25B6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0225B6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90429">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8B65A">
                          <w:pPr>
                            <w:pStyle w:val="4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D48B65A">
                    <w:pPr>
                      <w:pStyle w:val="4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021D4">
    <w:pPr>
      <w:pStyle w:val="4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41C84">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0341C84">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BFAF2">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49703">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AA49703">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92025">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6F9E1">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A76F9E1">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95A4">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6572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B06572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2BAB2">
    <w:pPr>
      <w:pStyle w:val="42"/>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SXWH2024-11-7</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1517A">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SXWH2024-11-7</w:t>
    </w:r>
    <w:r>
      <w:rPr>
        <w:rFonts w:hint="eastAsia" w:ascii="仿宋" w:hAnsi="仿宋" w:eastAsia="仿宋" w:cs="仿宋"/>
        <w:lang w:val="en-US" w:eastAsia="zh-CN"/>
      </w:rPr>
      <w:t xml:space="preserve"> </w:t>
    </w:r>
  </w:p>
  <w:p w14:paraId="00DB74DC">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0362C">
    <w:pPr>
      <w:pStyle w:val="42"/>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63D8E">
    <w:pPr>
      <w:pStyle w:val="42"/>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SXWH2024-11-7</w:t>
    </w:r>
  </w:p>
  <w:p w14:paraId="1234DC86">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890C">
    <w:pPr>
      <w:pStyle w:val="42"/>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SXWH2024-11-7</w:t>
    </w:r>
  </w:p>
  <w:p w14:paraId="182F1A2D">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0A9ED">
    <w:pPr>
      <w:pStyle w:val="42"/>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SXWH2024-11-7</w:t>
    </w:r>
  </w:p>
  <w:p w14:paraId="18A8DA4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2F8D3">
    <w:pPr>
      <w:pStyle w:val="42"/>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SXWH2024-11-7</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7D6BD">
    <w:pPr>
      <w:pStyle w:val="42"/>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SXWH2024-11-7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39F5E">
    <w:pPr>
      <w:pStyle w:val="42"/>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CF218"/>
    <w:multiLevelType w:val="singleLevel"/>
    <w:tmpl w:val="AAACF218"/>
    <w:lvl w:ilvl="0" w:tentative="0">
      <w:start w:val="1"/>
      <w:numFmt w:val="decimal"/>
      <w:suff w:val="nothing"/>
      <w:lvlText w:val="（%1）"/>
      <w:lvlJc w:val="left"/>
    </w:lvl>
  </w:abstractNum>
  <w:abstractNum w:abstractNumId="1">
    <w:nsid w:val="C557A576"/>
    <w:multiLevelType w:val="singleLevel"/>
    <w:tmpl w:val="C557A576"/>
    <w:lvl w:ilvl="0" w:tentative="0">
      <w:start w:val="7"/>
      <w:numFmt w:val="chineseCounting"/>
      <w:suff w:val="nothing"/>
      <w:lvlText w:val="%1、"/>
      <w:lvlJc w:val="left"/>
      <w:rPr>
        <w:rFonts w:hint="eastAsia"/>
      </w:rPr>
    </w:lvl>
  </w:abstractNum>
  <w:abstractNum w:abstractNumId="2">
    <w:nsid w:val="C8F14959"/>
    <w:multiLevelType w:val="singleLevel"/>
    <w:tmpl w:val="C8F14959"/>
    <w:lvl w:ilvl="0" w:tentative="0">
      <w:start w:val="1"/>
      <w:numFmt w:val="decimal"/>
      <w:lvlText w:val="%1."/>
      <w:lvlJc w:val="left"/>
      <w:pPr>
        <w:tabs>
          <w:tab w:val="left" w:pos="312"/>
        </w:tabs>
      </w:pPr>
    </w:lvl>
  </w:abstractNum>
  <w:abstractNum w:abstractNumId="3">
    <w:nsid w:val="F21250B0"/>
    <w:multiLevelType w:val="singleLevel"/>
    <w:tmpl w:val="F21250B0"/>
    <w:lvl w:ilvl="0" w:tentative="0">
      <w:start w:val="1"/>
      <w:numFmt w:val="decimal"/>
      <w:suff w:val="nothing"/>
      <w:lvlText w:val="（%1）"/>
      <w:lvlJc w:val="left"/>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40D675F"/>
    <w:multiLevelType w:val="singleLevel"/>
    <w:tmpl w:val="040D675F"/>
    <w:lvl w:ilvl="0" w:tentative="0">
      <w:start w:val="1"/>
      <w:numFmt w:val="decimal"/>
      <w:suff w:val="nothing"/>
      <w:lvlText w:val="（%1）"/>
      <w:lvlJc w:val="left"/>
    </w:lvl>
  </w:abstractNum>
  <w:abstractNum w:abstractNumId="6">
    <w:nsid w:val="3FB0C504"/>
    <w:multiLevelType w:val="singleLevel"/>
    <w:tmpl w:val="3FB0C504"/>
    <w:lvl w:ilvl="0" w:tentative="0">
      <w:start w:val="1"/>
      <w:numFmt w:val="decimal"/>
      <w:lvlText w:val="%1."/>
      <w:lvlJc w:val="left"/>
      <w:pPr>
        <w:tabs>
          <w:tab w:val="left" w:pos="312"/>
        </w:tabs>
      </w:pPr>
    </w:lvl>
  </w:abstractNum>
  <w:abstractNum w:abstractNumId="7">
    <w:nsid w:val="531C8658"/>
    <w:multiLevelType w:val="singleLevel"/>
    <w:tmpl w:val="531C8658"/>
    <w:lvl w:ilvl="0" w:tentative="0">
      <w:start w:val="1"/>
      <w:numFmt w:val="chineseCounting"/>
      <w:pStyle w:val="22"/>
      <w:suff w:val="nothing"/>
      <w:lvlText w:val="%1、"/>
      <w:lvlJc w:val="left"/>
      <w:pPr>
        <w:ind w:left="6090"/>
      </w:pPr>
    </w:lvl>
  </w:abstractNum>
  <w:abstractNum w:abstractNumId="8">
    <w:nsid w:val="545A512C"/>
    <w:multiLevelType w:val="multilevel"/>
    <w:tmpl w:val="545A512C"/>
    <w:lvl w:ilvl="0" w:tentative="0">
      <w:start w:val="1"/>
      <w:numFmt w:val="chineseCountingThousand"/>
      <w:pStyle w:val="970"/>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7B3FDBEB"/>
    <w:multiLevelType w:val="singleLevel"/>
    <w:tmpl w:val="7B3FDBEB"/>
    <w:lvl w:ilvl="0" w:tentative="0">
      <w:start w:val="1"/>
      <w:numFmt w:val="decimal"/>
      <w:suff w:val="space"/>
      <w:lvlText w:val="%1、"/>
      <w:lvlJc w:val="left"/>
    </w:lvl>
  </w:abstractNum>
  <w:num w:numId="1">
    <w:abstractNumId w:val="7"/>
  </w:num>
  <w:num w:numId="2">
    <w:abstractNumId w:val="8"/>
  </w:num>
  <w:num w:numId="3">
    <w:abstractNumId w:val="6"/>
  </w:num>
  <w:num w:numId="4">
    <w:abstractNumId w:val="0"/>
  </w:num>
  <w:num w:numId="5">
    <w:abstractNumId w:val="5"/>
  </w:num>
  <w:num w:numId="6">
    <w:abstractNumId w:val="9"/>
  </w:num>
  <w:num w:numId="7">
    <w:abstractNumId w:val="2"/>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NzMyYzk0MjUzOGM5OWJjYWI0ZTY3Y2QxOTM2ZGYifQ=="/>
  </w:docVars>
  <w:rsids>
    <w:rsidRoot w:val="00172A27"/>
    <w:rsid w:val="002B247F"/>
    <w:rsid w:val="004D2D93"/>
    <w:rsid w:val="00787163"/>
    <w:rsid w:val="0085619E"/>
    <w:rsid w:val="009D5041"/>
    <w:rsid w:val="00B34AC1"/>
    <w:rsid w:val="00CF165D"/>
    <w:rsid w:val="00D76C77"/>
    <w:rsid w:val="01A21052"/>
    <w:rsid w:val="01B90225"/>
    <w:rsid w:val="01BD616A"/>
    <w:rsid w:val="01D94A0C"/>
    <w:rsid w:val="02364379"/>
    <w:rsid w:val="026258B4"/>
    <w:rsid w:val="026D4671"/>
    <w:rsid w:val="02C32E43"/>
    <w:rsid w:val="030851C1"/>
    <w:rsid w:val="030B69FC"/>
    <w:rsid w:val="03233EA4"/>
    <w:rsid w:val="032D65AB"/>
    <w:rsid w:val="034157A5"/>
    <w:rsid w:val="037A59D2"/>
    <w:rsid w:val="03C45C57"/>
    <w:rsid w:val="03EB1AE4"/>
    <w:rsid w:val="04194CE4"/>
    <w:rsid w:val="048673C5"/>
    <w:rsid w:val="04900C72"/>
    <w:rsid w:val="049F0F5B"/>
    <w:rsid w:val="04FF7645"/>
    <w:rsid w:val="052B2F21"/>
    <w:rsid w:val="05327D53"/>
    <w:rsid w:val="055165CD"/>
    <w:rsid w:val="05526FCB"/>
    <w:rsid w:val="057C6008"/>
    <w:rsid w:val="060E0879"/>
    <w:rsid w:val="06156D08"/>
    <w:rsid w:val="06184D94"/>
    <w:rsid w:val="06891246"/>
    <w:rsid w:val="06AA21AC"/>
    <w:rsid w:val="06D6637D"/>
    <w:rsid w:val="07465DF0"/>
    <w:rsid w:val="07A3050C"/>
    <w:rsid w:val="082F2B38"/>
    <w:rsid w:val="08442832"/>
    <w:rsid w:val="085A6F43"/>
    <w:rsid w:val="089C2AAA"/>
    <w:rsid w:val="08AA2338"/>
    <w:rsid w:val="08C43BF6"/>
    <w:rsid w:val="08DA5D18"/>
    <w:rsid w:val="08F03867"/>
    <w:rsid w:val="08F31FA8"/>
    <w:rsid w:val="09312D98"/>
    <w:rsid w:val="097A69E7"/>
    <w:rsid w:val="098925DC"/>
    <w:rsid w:val="099E3CC2"/>
    <w:rsid w:val="09C7604B"/>
    <w:rsid w:val="09E80F72"/>
    <w:rsid w:val="09E95753"/>
    <w:rsid w:val="0A0976D6"/>
    <w:rsid w:val="0A157CFC"/>
    <w:rsid w:val="0A5653CC"/>
    <w:rsid w:val="0AC678ED"/>
    <w:rsid w:val="0AFD4DFA"/>
    <w:rsid w:val="0B2115B0"/>
    <w:rsid w:val="0B7008C0"/>
    <w:rsid w:val="0C16089F"/>
    <w:rsid w:val="0D191B06"/>
    <w:rsid w:val="0D600BC0"/>
    <w:rsid w:val="0DC2661B"/>
    <w:rsid w:val="0E1E1AF5"/>
    <w:rsid w:val="0E3A63C8"/>
    <w:rsid w:val="0E534049"/>
    <w:rsid w:val="0E797425"/>
    <w:rsid w:val="0EA50439"/>
    <w:rsid w:val="0EF8183B"/>
    <w:rsid w:val="0F096B8F"/>
    <w:rsid w:val="0F4B796A"/>
    <w:rsid w:val="0F63063F"/>
    <w:rsid w:val="0FA5040A"/>
    <w:rsid w:val="0FB85C02"/>
    <w:rsid w:val="0FC8519C"/>
    <w:rsid w:val="0FD261C4"/>
    <w:rsid w:val="10306DCC"/>
    <w:rsid w:val="105370A4"/>
    <w:rsid w:val="10B14C22"/>
    <w:rsid w:val="111D4066"/>
    <w:rsid w:val="114D7598"/>
    <w:rsid w:val="11C875B9"/>
    <w:rsid w:val="11CE25B9"/>
    <w:rsid w:val="1272218F"/>
    <w:rsid w:val="12EC0194"/>
    <w:rsid w:val="13007A3D"/>
    <w:rsid w:val="13257114"/>
    <w:rsid w:val="1360023A"/>
    <w:rsid w:val="136C6081"/>
    <w:rsid w:val="13767449"/>
    <w:rsid w:val="13CC00BB"/>
    <w:rsid w:val="13EA0554"/>
    <w:rsid w:val="13FC12BF"/>
    <w:rsid w:val="14060EC2"/>
    <w:rsid w:val="14690B80"/>
    <w:rsid w:val="150F13D5"/>
    <w:rsid w:val="151A266A"/>
    <w:rsid w:val="155A207F"/>
    <w:rsid w:val="15AD7FF7"/>
    <w:rsid w:val="15D32D5F"/>
    <w:rsid w:val="15DF3C49"/>
    <w:rsid w:val="15FF65EC"/>
    <w:rsid w:val="162D4D4B"/>
    <w:rsid w:val="162F0A5C"/>
    <w:rsid w:val="166F491D"/>
    <w:rsid w:val="167F2C93"/>
    <w:rsid w:val="16BB1DEF"/>
    <w:rsid w:val="16D86B1B"/>
    <w:rsid w:val="16FE064C"/>
    <w:rsid w:val="178341FE"/>
    <w:rsid w:val="17E576CA"/>
    <w:rsid w:val="185756E5"/>
    <w:rsid w:val="18E60774"/>
    <w:rsid w:val="19120228"/>
    <w:rsid w:val="1920701D"/>
    <w:rsid w:val="192749EA"/>
    <w:rsid w:val="19687E48"/>
    <w:rsid w:val="19A570A0"/>
    <w:rsid w:val="19DA0F9C"/>
    <w:rsid w:val="1A1928E2"/>
    <w:rsid w:val="1A36775C"/>
    <w:rsid w:val="1A6A1F83"/>
    <w:rsid w:val="1A7227F5"/>
    <w:rsid w:val="1A8561BC"/>
    <w:rsid w:val="1A8645A8"/>
    <w:rsid w:val="1B0B7FD0"/>
    <w:rsid w:val="1B394F38"/>
    <w:rsid w:val="1B415B07"/>
    <w:rsid w:val="1B7F1479"/>
    <w:rsid w:val="1BB51AB3"/>
    <w:rsid w:val="1BC11A92"/>
    <w:rsid w:val="1BCF2401"/>
    <w:rsid w:val="1BEC6B0F"/>
    <w:rsid w:val="1C0A548D"/>
    <w:rsid w:val="1C782A98"/>
    <w:rsid w:val="1CF00880"/>
    <w:rsid w:val="1D063DCA"/>
    <w:rsid w:val="1D2248A4"/>
    <w:rsid w:val="1D2F1C3B"/>
    <w:rsid w:val="1D6009EF"/>
    <w:rsid w:val="1DEA2225"/>
    <w:rsid w:val="1E126D51"/>
    <w:rsid w:val="1E803E86"/>
    <w:rsid w:val="1EE82621"/>
    <w:rsid w:val="1F063E62"/>
    <w:rsid w:val="1F784F2C"/>
    <w:rsid w:val="1F85443C"/>
    <w:rsid w:val="1F9250D4"/>
    <w:rsid w:val="1FB86926"/>
    <w:rsid w:val="20074B9B"/>
    <w:rsid w:val="201B466F"/>
    <w:rsid w:val="203E3095"/>
    <w:rsid w:val="210448FA"/>
    <w:rsid w:val="21357E35"/>
    <w:rsid w:val="21471BB1"/>
    <w:rsid w:val="21681D2D"/>
    <w:rsid w:val="21A52DD8"/>
    <w:rsid w:val="21CB26A0"/>
    <w:rsid w:val="22493F21"/>
    <w:rsid w:val="2269628D"/>
    <w:rsid w:val="22B8716F"/>
    <w:rsid w:val="22B917F7"/>
    <w:rsid w:val="22C6343D"/>
    <w:rsid w:val="23AC1614"/>
    <w:rsid w:val="23E5740F"/>
    <w:rsid w:val="24223806"/>
    <w:rsid w:val="246B49F7"/>
    <w:rsid w:val="248A02EB"/>
    <w:rsid w:val="24F56B95"/>
    <w:rsid w:val="24F63E4B"/>
    <w:rsid w:val="250918E6"/>
    <w:rsid w:val="25B36142"/>
    <w:rsid w:val="25DD571A"/>
    <w:rsid w:val="264D2961"/>
    <w:rsid w:val="26663961"/>
    <w:rsid w:val="26B13EE1"/>
    <w:rsid w:val="27072B67"/>
    <w:rsid w:val="270B59FD"/>
    <w:rsid w:val="270B5A07"/>
    <w:rsid w:val="27BF77CD"/>
    <w:rsid w:val="27D16DDA"/>
    <w:rsid w:val="28335CD2"/>
    <w:rsid w:val="285C326E"/>
    <w:rsid w:val="28857E42"/>
    <w:rsid w:val="28A65C60"/>
    <w:rsid w:val="28F61A62"/>
    <w:rsid w:val="295368E0"/>
    <w:rsid w:val="296A6C4A"/>
    <w:rsid w:val="296C69D9"/>
    <w:rsid w:val="29C43E7C"/>
    <w:rsid w:val="29E2266D"/>
    <w:rsid w:val="29F8110E"/>
    <w:rsid w:val="2A025B92"/>
    <w:rsid w:val="2A1E224B"/>
    <w:rsid w:val="2A3B7CA0"/>
    <w:rsid w:val="2A656BF1"/>
    <w:rsid w:val="2A6A3343"/>
    <w:rsid w:val="2A773D4B"/>
    <w:rsid w:val="2B125E92"/>
    <w:rsid w:val="2B4D3F53"/>
    <w:rsid w:val="2B997DFB"/>
    <w:rsid w:val="2BDF3293"/>
    <w:rsid w:val="2BDF55FC"/>
    <w:rsid w:val="2BE579DB"/>
    <w:rsid w:val="2C526E62"/>
    <w:rsid w:val="2C6E531E"/>
    <w:rsid w:val="2C741DFD"/>
    <w:rsid w:val="2C9F197B"/>
    <w:rsid w:val="2CC75428"/>
    <w:rsid w:val="2CEB696E"/>
    <w:rsid w:val="2D154190"/>
    <w:rsid w:val="2D21327F"/>
    <w:rsid w:val="2D335238"/>
    <w:rsid w:val="2D4651D0"/>
    <w:rsid w:val="2DB77A10"/>
    <w:rsid w:val="2DD96974"/>
    <w:rsid w:val="2DE33D57"/>
    <w:rsid w:val="2E114AFB"/>
    <w:rsid w:val="2E442B6F"/>
    <w:rsid w:val="2E884DBD"/>
    <w:rsid w:val="2E950F31"/>
    <w:rsid w:val="2EA37B88"/>
    <w:rsid w:val="2EE20741"/>
    <w:rsid w:val="2EFD03CC"/>
    <w:rsid w:val="2F6F4599"/>
    <w:rsid w:val="2F9100F3"/>
    <w:rsid w:val="2F9645B2"/>
    <w:rsid w:val="2FF76652"/>
    <w:rsid w:val="30074D66"/>
    <w:rsid w:val="3073530A"/>
    <w:rsid w:val="30952DF4"/>
    <w:rsid w:val="309E34D9"/>
    <w:rsid w:val="30CD01D9"/>
    <w:rsid w:val="30E82DA0"/>
    <w:rsid w:val="314A2AD9"/>
    <w:rsid w:val="3156183F"/>
    <w:rsid w:val="31596C78"/>
    <w:rsid w:val="316136A3"/>
    <w:rsid w:val="316C40F5"/>
    <w:rsid w:val="31AE7C10"/>
    <w:rsid w:val="31D64A87"/>
    <w:rsid w:val="3210779C"/>
    <w:rsid w:val="3226131A"/>
    <w:rsid w:val="32356659"/>
    <w:rsid w:val="328F68FE"/>
    <w:rsid w:val="334A28B5"/>
    <w:rsid w:val="33790241"/>
    <w:rsid w:val="33BA52ED"/>
    <w:rsid w:val="33DA4403"/>
    <w:rsid w:val="33EA5929"/>
    <w:rsid w:val="34476B10"/>
    <w:rsid w:val="345614B9"/>
    <w:rsid w:val="349C4C46"/>
    <w:rsid w:val="35315B6F"/>
    <w:rsid w:val="355568E6"/>
    <w:rsid w:val="35C525A9"/>
    <w:rsid w:val="35E14DB3"/>
    <w:rsid w:val="362703C8"/>
    <w:rsid w:val="371E59FA"/>
    <w:rsid w:val="37DA0D26"/>
    <w:rsid w:val="37FD6AAB"/>
    <w:rsid w:val="380D6749"/>
    <w:rsid w:val="381D033B"/>
    <w:rsid w:val="38645BA8"/>
    <w:rsid w:val="387B1880"/>
    <w:rsid w:val="38C74734"/>
    <w:rsid w:val="38D77273"/>
    <w:rsid w:val="391D25A6"/>
    <w:rsid w:val="39406294"/>
    <w:rsid w:val="395164B7"/>
    <w:rsid w:val="399124B2"/>
    <w:rsid w:val="399E18C3"/>
    <w:rsid w:val="39AF0A23"/>
    <w:rsid w:val="39B5569E"/>
    <w:rsid w:val="39F16712"/>
    <w:rsid w:val="3A0A0A1A"/>
    <w:rsid w:val="3A17326F"/>
    <w:rsid w:val="3AD159C5"/>
    <w:rsid w:val="3AF56470"/>
    <w:rsid w:val="3B3B2CBA"/>
    <w:rsid w:val="3BAD4388"/>
    <w:rsid w:val="3C323221"/>
    <w:rsid w:val="3C722306"/>
    <w:rsid w:val="3CE22F35"/>
    <w:rsid w:val="3D0C4E0B"/>
    <w:rsid w:val="3D284A64"/>
    <w:rsid w:val="3D342D45"/>
    <w:rsid w:val="3DC24667"/>
    <w:rsid w:val="3E347F93"/>
    <w:rsid w:val="3E8F344F"/>
    <w:rsid w:val="3E9679FA"/>
    <w:rsid w:val="3ECA78AB"/>
    <w:rsid w:val="3EE15FF9"/>
    <w:rsid w:val="3EF37553"/>
    <w:rsid w:val="3F620FE1"/>
    <w:rsid w:val="3FA32398"/>
    <w:rsid w:val="3FCA68B7"/>
    <w:rsid w:val="407C38BB"/>
    <w:rsid w:val="409441D8"/>
    <w:rsid w:val="40FA53EB"/>
    <w:rsid w:val="410C5800"/>
    <w:rsid w:val="415A344C"/>
    <w:rsid w:val="41741D5C"/>
    <w:rsid w:val="41993647"/>
    <w:rsid w:val="420A5691"/>
    <w:rsid w:val="423D563B"/>
    <w:rsid w:val="426D56E2"/>
    <w:rsid w:val="427B7848"/>
    <w:rsid w:val="427E60E8"/>
    <w:rsid w:val="4286740D"/>
    <w:rsid w:val="42947554"/>
    <w:rsid w:val="42C372D5"/>
    <w:rsid w:val="42D33CD5"/>
    <w:rsid w:val="42E26116"/>
    <w:rsid w:val="43347151"/>
    <w:rsid w:val="4358117D"/>
    <w:rsid w:val="43697C89"/>
    <w:rsid w:val="438B6181"/>
    <w:rsid w:val="43943464"/>
    <w:rsid w:val="43F42155"/>
    <w:rsid w:val="44ED72D0"/>
    <w:rsid w:val="458955AC"/>
    <w:rsid w:val="45DC6BAC"/>
    <w:rsid w:val="4618414C"/>
    <w:rsid w:val="46192D48"/>
    <w:rsid w:val="46317E42"/>
    <w:rsid w:val="470A3735"/>
    <w:rsid w:val="47840F56"/>
    <w:rsid w:val="47E76F4E"/>
    <w:rsid w:val="48196CD1"/>
    <w:rsid w:val="483908B7"/>
    <w:rsid w:val="484505D9"/>
    <w:rsid w:val="484E5453"/>
    <w:rsid w:val="48BA396D"/>
    <w:rsid w:val="48C317C9"/>
    <w:rsid w:val="48CC7E86"/>
    <w:rsid w:val="48D64A90"/>
    <w:rsid w:val="48E65588"/>
    <w:rsid w:val="49DE0AD7"/>
    <w:rsid w:val="4A062997"/>
    <w:rsid w:val="4A4840F4"/>
    <w:rsid w:val="4A487851"/>
    <w:rsid w:val="4A9A53A6"/>
    <w:rsid w:val="4B02377E"/>
    <w:rsid w:val="4B241572"/>
    <w:rsid w:val="4B4E00F1"/>
    <w:rsid w:val="4C3E34B4"/>
    <w:rsid w:val="4C7B78B7"/>
    <w:rsid w:val="4CA41E94"/>
    <w:rsid w:val="4CAF7AC1"/>
    <w:rsid w:val="4CEF6FC4"/>
    <w:rsid w:val="4D251E34"/>
    <w:rsid w:val="4D84014B"/>
    <w:rsid w:val="4D842D3A"/>
    <w:rsid w:val="4DB75FD1"/>
    <w:rsid w:val="4E125CA5"/>
    <w:rsid w:val="4E57622B"/>
    <w:rsid w:val="4E8E498B"/>
    <w:rsid w:val="4EA2732A"/>
    <w:rsid w:val="4EAA3FBB"/>
    <w:rsid w:val="4F1A6ACE"/>
    <w:rsid w:val="4F4B2569"/>
    <w:rsid w:val="4F4B3D85"/>
    <w:rsid w:val="4F502F66"/>
    <w:rsid w:val="4F50355E"/>
    <w:rsid w:val="4F5529EF"/>
    <w:rsid w:val="4FAC7DC3"/>
    <w:rsid w:val="502F10A7"/>
    <w:rsid w:val="50A761C7"/>
    <w:rsid w:val="50FA1E64"/>
    <w:rsid w:val="512B0194"/>
    <w:rsid w:val="51805A47"/>
    <w:rsid w:val="51D52DCD"/>
    <w:rsid w:val="52183035"/>
    <w:rsid w:val="52397FF8"/>
    <w:rsid w:val="52804889"/>
    <w:rsid w:val="528D7939"/>
    <w:rsid w:val="52C27FEE"/>
    <w:rsid w:val="533358A0"/>
    <w:rsid w:val="5392524A"/>
    <w:rsid w:val="5393731D"/>
    <w:rsid w:val="53B21E71"/>
    <w:rsid w:val="53B72FA1"/>
    <w:rsid w:val="54711881"/>
    <w:rsid w:val="547929CA"/>
    <w:rsid w:val="54CB0774"/>
    <w:rsid w:val="55125438"/>
    <w:rsid w:val="551805BE"/>
    <w:rsid w:val="55184787"/>
    <w:rsid w:val="55B96498"/>
    <w:rsid w:val="55E71124"/>
    <w:rsid w:val="56184DAE"/>
    <w:rsid w:val="561D2289"/>
    <w:rsid w:val="56C660FC"/>
    <w:rsid w:val="57192970"/>
    <w:rsid w:val="5741602B"/>
    <w:rsid w:val="575E1820"/>
    <w:rsid w:val="57876693"/>
    <w:rsid w:val="579F6F43"/>
    <w:rsid w:val="57AA3927"/>
    <w:rsid w:val="582F3631"/>
    <w:rsid w:val="58B60A6B"/>
    <w:rsid w:val="58C56AF2"/>
    <w:rsid w:val="59262959"/>
    <w:rsid w:val="595B4CF8"/>
    <w:rsid w:val="59C55698"/>
    <w:rsid w:val="5A640174"/>
    <w:rsid w:val="5A9F234E"/>
    <w:rsid w:val="5AA51EAF"/>
    <w:rsid w:val="5B081C66"/>
    <w:rsid w:val="5B124AE0"/>
    <w:rsid w:val="5B223310"/>
    <w:rsid w:val="5B2E2399"/>
    <w:rsid w:val="5B9F6B4A"/>
    <w:rsid w:val="5BDA6AC5"/>
    <w:rsid w:val="5CC71C2B"/>
    <w:rsid w:val="5D0F1AE3"/>
    <w:rsid w:val="5D4478A2"/>
    <w:rsid w:val="5D5409FB"/>
    <w:rsid w:val="5D9B691E"/>
    <w:rsid w:val="5DB030C1"/>
    <w:rsid w:val="5DF50B4C"/>
    <w:rsid w:val="5E171106"/>
    <w:rsid w:val="5E4D2855"/>
    <w:rsid w:val="5E4E6F28"/>
    <w:rsid w:val="5E557426"/>
    <w:rsid w:val="5E5608DB"/>
    <w:rsid w:val="5EA66E00"/>
    <w:rsid w:val="5EF425D7"/>
    <w:rsid w:val="5F346643"/>
    <w:rsid w:val="5F434264"/>
    <w:rsid w:val="5F561B6F"/>
    <w:rsid w:val="5F57E5CA"/>
    <w:rsid w:val="5F8A2976"/>
    <w:rsid w:val="5FCA1D1E"/>
    <w:rsid w:val="5FF6570A"/>
    <w:rsid w:val="607C7302"/>
    <w:rsid w:val="60D46992"/>
    <w:rsid w:val="6105147D"/>
    <w:rsid w:val="61117DDD"/>
    <w:rsid w:val="611675C8"/>
    <w:rsid w:val="612B495E"/>
    <w:rsid w:val="613C4304"/>
    <w:rsid w:val="61492913"/>
    <w:rsid w:val="61AE2DB9"/>
    <w:rsid w:val="61C5464F"/>
    <w:rsid w:val="6211426D"/>
    <w:rsid w:val="623E6F65"/>
    <w:rsid w:val="626253CB"/>
    <w:rsid w:val="628A6898"/>
    <w:rsid w:val="632D0DCC"/>
    <w:rsid w:val="63452928"/>
    <w:rsid w:val="634A2F00"/>
    <w:rsid w:val="63A25534"/>
    <w:rsid w:val="63BD0EEA"/>
    <w:rsid w:val="63D00AFB"/>
    <w:rsid w:val="64044275"/>
    <w:rsid w:val="643E5BBE"/>
    <w:rsid w:val="64AA0560"/>
    <w:rsid w:val="656C1408"/>
    <w:rsid w:val="65792D0B"/>
    <w:rsid w:val="65BC6B1F"/>
    <w:rsid w:val="661A04F6"/>
    <w:rsid w:val="66477CE1"/>
    <w:rsid w:val="66882EA5"/>
    <w:rsid w:val="669C35D3"/>
    <w:rsid w:val="66D02D7B"/>
    <w:rsid w:val="66DB5CE9"/>
    <w:rsid w:val="671C4B51"/>
    <w:rsid w:val="67302D72"/>
    <w:rsid w:val="677F7E04"/>
    <w:rsid w:val="679837D6"/>
    <w:rsid w:val="67997059"/>
    <w:rsid w:val="67F06864"/>
    <w:rsid w:val="685765BB"/>
    <w:rsid w:val="687C58B0"/>
    <w:rsid w:val="69164102"/>
    <w:rsid w:val="695A624A"/>
    <w:rsid w:val="69BF7A8A"/>
    <w:rsid w:val="69E84DCD"/>
    <w:rsid w:val="6AD74F2A"/>
    <w:rsid w:val="6B0873D4"/>
    <w:rsid w:val="6B122D3D"/>
    <w:rsid w:val="6B162E0E"/>
    <w:rsid w:val="6B424769"/>
    <w:rsid w:val="6B940F76"/>
    <w:rsid w:val="6BE63EBC"/>
    <w:rsid w:val="6C0C12C3"/>
    <w:rsid w:val="6CB8716B"/>
    <w:rsid w:val="6CFF79F9"/>
    <w:rsid w:val="6D23372C"/>
    <w:rsid w:val="6D380807"/>
    <w:rsid w:val="6D422BCF"/>
    <w:rsid w:val="6D68730F"/>
    <w:rsid w:val="6DA57D40"/>
    <w:rsid w:val="6DE6187E"/>
    <w:rsid w:val="6E0F17B6"/>
    <w:rsid w:val="6E217E67"/>
    <w:rsid w:val="6E5861BA"/>
    <w:rsid w:val="6E9543B1"/>
    <w:rsid w:val="6EAA0C20"/>
    <w:rsid w:val="6EEA7083"/>
    <w:rsid w:val="6F38459B"/>
    <w:rsid w:val="6F4D6803"/>
    <w:rsid w:val="6F591777"/>
    <w:rsid w:val="6F622303"/>
    <w:rsid w:val="6F765058"/>
    <w:rsid w:val="6FC37AD4"/>
    <w:rsid w:val="6FE55EDD"/>
    <w:rsid w:val="70A64653"/>
    <w:rsid w:val="70D00007"/>
    <w:rsid w:val="71123A97"/>
    <w:rsid w:val="71220184"/>
    <w:rsid w:val="71D46F9E"/>
    <w:rsid w:val="725D2146"/>
    <w:rsid w:val="72B6712F"/>
    <w:rsid w:val="72C813FD"/>
    <w:rsid w:val="72F52296"/>
    <w:rsid w:val="72F5541E"/>
    <w:rsid w:val="73730B78"/>
    <w:rsid w:val="73746E1E"/>
    <w:rsid w:val="73B14479"/>
    <w:rsid w:val="73E2782D"/>
    <w:rsid w:val="740A79DD"/>
    <w:rsid w:val="743B08AD"/>
    <w:rsid w:val="747D74FE"/>
    <w:rsid w:val="7480340D"/>
    <w:rsid w:val="74C675E4"/>
    <w:rsid w:val="74DD28F6"/>
    <w:rsid w:val="74EA34A5"/>
    <w:rsid w:val="74FC4EED"/>
    <w:rsid w:val="750C0221"/>
    <w:rsid w:val="75107E41"/>
    <w:rsid w:val="751D342D"/>
    <w:rsid w:val="75B9544D"/>
    <w:rsid w:val="75BC74F0"/>
    <w:rsid w:val="75CC7A53"/>
    <w:rsid w:val="75D91D6C"/>
    <w:rsid w:val="75F243E2"/>
    <w:rsid w:val="76025139"/>
    <w:rsid w:val="7627527E"/>
    <w:rsid w:val="765A31B8"/>
    <w:rsid w:val="767A3346"/>
    <w:rsid w:val="767D48CB"/>
    <w:rsid w:val="769A6F8C"/>
    <w:rsid w:val="76A0335D"/>
    <w:rsid w:val="76C637D6"/>
    <w:rsid w:val="77796A86"/>
    <w:rsid w:val="778255A2"/>
    <w:rsid w:val="77A12B9E"/>
    <w:rsid w:val="77C13065"/>
    <w:rsid w:val="77C65EA5"/>
    <w:rsid w:val="78434E7D"/>
    <w:rsid w:val="78462278"/>
    <w:rsid w:val="785E0CFE"/>
    <w:rsid w:val="78AA0A59"/>
    <w:rsid w:val="78AD1F79"/>
    <w:rsid w:val="78B24E6F"/>
    <w:rsid w:val="78D930EC"/>
    <w:rsid w:val="78DA1DE2"/>
    <w:rsid w:val="792534AB"/>
    <w:rsid w:val="79482534"/>
    <w:rsid w:val="7A1A39BC"/>
    <w:rsid w:val="7A3778C5"/>
    <w:rsid w:val="7A7155F6"/>
    <w:rsid w:val="7A8935EB"/>
    <w:rsid w:val="7A8A318A"/>
    <w:rsid w:val="7AAF67FA"/>
    <w:rsid w:val="7ACA242C"/>
    <w:rsid w:val="7B1D535D"/>
    <w:rsid w:val="7B59042A"/>
    <w:rsid w:val="7B7A0BB6"/>
    <w:rsid w:val="7B8A017D"/>
    <w:rsid w:val="7BFC15CB"/>
    <w:rsid w:val="7C2B3C5E"/>
    <w:rsid w:val="7C306B67"/>
    <w:rsid w:val="7C4B4301"/>
    <w:rsid w:val="7C637040"/>
    <w:rsid w:val="7C6F4493"/>
    <w:rsid w:val="7CC059B7"/>
    <w:rsid w:val="7D287230"/>
    <w:rsid w:val="7DCD1955"/>
    <w:rsid w:val="7DD143E1"/>
    <w:rsid w:val="7DDF5428"/>
    <w:rsid w:val="7DFF3A1B"/>
    <w:rsid w:val="7E585E9B"/>
    <w:rsid w:val="7E8B1E21"/>
    <w:rsid w:val="7F004CC0"/>
    <w:rsid w:val="7F075B03"/>
    <w:rsid w:val="7F1B3CA6"/>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3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7"/>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11"/>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6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2">
    <w:name w:val="Body Text First Indent"/>
    <w:basedOn w:val="3"/>
    <w:next w:val="1"/>
    <w:link w:val="325"/>
    <w:qFormat/>
    <w:uiPriority w:val="0"/>
    <w:pPr>
      <w:ind w:firstLine="420"/>
    </w:pPr>
    <w:rPr>
      <w:rFonts w:hAnsi="Calibri" w:cs="Times New Roman"/>
      <w:snapToGrid/>
      <w:szCs w:val="20"/>
    </w:rPr>
  </w:style>
  <w:style w:type="paragraph" w:styleId="3">
    <w:name w:val="Body Text"/>
    <w:basedOn w:val="1"/>
    <w:next w:val="2"/>
    <w:link w:val="434"/>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next w:val="8"/>
    <w:link w:val="198"/>
    <w:qFormat/>
    <w:uiPriority w:val="0"/>
    <w:pPr>
      <w:widowControl/>
      <w:snapToGrid w:val="0"/>
      <w:spacing w:line="480" w:lineRule="exact"/>
      <w:ind w:firstLine="567"/>
    </w:pPr>
    <w:rPr>
      <w:rFonts w:ascii="宋体"/>
      <w:snapToGrid w:val="0"/>
      <w:color w:val="000000"/>
      <w:kern w:val="28"/>
      <w:sz w:val="28"/>
      <w:szCs w:val="20"/>
    </w:rPr>
  </w:style>
  <w:style w:type="paragraph" w:styleId="8">
    <w:name w:val="Body Text Indent"/>
    <w:basedOn w:val="1"/>
    <w:next w:val="1"/>
    <w:link w:val="269"/>
    <w:qFormat/>
    <w:uiPriority w:val="0"/>
    <w:pPr>
      <w:spacing w:line="480" w:lineRule="exact"/>
      <w:ind w:firstLine="480" w:firstLineChars="200"/>
    </w:pPr>
    <w:rPr>
      <w:rFonts w:ascii="宋体" w:hAnsi="宋体"/>
      <w:sz w:val="24"/>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34"/>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7"/>
    <w:qFormat/>
    <w:uiPriority w:val="0"/>
    <w:pPr>
      <w:shd w:val="clear" w:color="auto" w:fill="000080"/>
    </w:pPr>
  </w:style>
  <w:style w:type="paragraph" w:styleId="22">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23">
    <w:name w:val="annotation text"/>
    <w:basedOn w:val="1"/>
    <w:link w:val="348"/>
    <w:qFormat/>
    <w:uiPriority w:val="99"/>
    <w:pPr>
      <w:jc w:val="left"/>
    </w:pPr>
  </w:style>
  <w:style w:type="paragraph" w:styleId="24">
    <w:name w:val="Salutation"/>
    <w:basedOn w:val="1"/>
    <w:next w:val="1"/>
    <w:link w:val="302"/>
    <w:qFormat/>
    <w:uiPriority w:val="0"/>
    <w:rPr>
      <w:rFonts w:ascii="仿宋_GB2312" w:eastAsia="仿宋_GB2312"/>
      <w:sz w:val="28"/>
      <w:szCs w:val="20"/>
    </w:rPr>
  </w:style>
  <w:style w:type="paragraph" w:styleId="25">
    <w:name w:val="Body Text 3"/>
    <w:basedOn w:val="1"/>
    <w:link w:val="334"/>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30"/>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6"/>
    <w:qFormat/>
    <w:uiPriority w:val="0"/>
    <w:pPr>
      <w:ind w:left="100" w:leftChars="2500"/>
    </w:pPr>
    <w:rPr>
      <w:rFonts w:ascii="宋体"/>
      <w:sz w:val="24"/>
      <w:szCs w:val="21"/>
      <w:lang w:val="zh-CN"/>
    </w:rPr>
  </w:style>
  <w:style w:type="paragraph" w:styleId="38">
    <w:name w:val="Body Text Indent 2"/>
    <w:basedOn w:val="1"/>
    <w:link w:val="312"/>
    <w:qFormat/>
    <w:uiPriority w:val="0"/>
    <w:pPr>
      <w:spacing w:line="360" w:lineRule="auto"/>
      <w:ind w:firstLine="601"/>
      <w:textAlignment w:val="baseline"/>
    </w:pPr>
    <w:rPr>
      <w:rFonts w:ascii="宋体"/>
      <w:kern w:val="0"/>
      <w:sz w:val="28"/>
      <w:szCs w:val="20"/>
    </w:rPr>
  </w:style>
  <w:style w:type="paragraph" w:styleId="39">
    <w:name w:val="endnote text"/>
    <w:basedOn w:val="1"/>
    <w:link w:val="934"/>
    <w:qFormat/>
    <w:uiPriority w:val="0"/>
    <w:rPr>
      <w:lang w:val="zh-CN"/>
    </w:rPr>
  </w:style>
  <w:style w:type="paragraph" w:styleId="40">
    <w:name w:val="Balloon Text"/>
    <w:basedOn w:val="1"/>
    <w:link w:val="193"/>
    <w:qFormat/>
    <w:uiPriority w:val="0"/>
    <w:rPr>
      <w:sz w:val="18"/>
      <w:szCs w:val="18"/>
    </w:rPr>
  </w:style>
  <w:style w:type="paragraph" w:styleId="41">
    <w:name w:val="footer"/>
    <w:basedOn w:val="1"/>
    <w:link w:val="387"/>
    <w:qFormat/>
    <w:uiPriority w:val="99"/>
    <w:pPr>
      <w:tabs>
        <w:tab w:val="center" w:pos="4153"/>
        <w:tab w:val="right" w:pos="8306"/>
      </w:tabs>
      <w:snapToGrid w:val="0"/>
      <w:jc w:val="left"/>
    </w:pPr>
    <w:rPr>
      <w:sz w:val="18"/>
      <w:szCs w:val="18"/>
    </w:rPr>
  </w:style>
  <w:style w:type="paragraph" w:styleId="42">
    <w:name w:val="header"/>
    <w:basedOn w:val="1"/>
    <w:link w:val="396"/>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9"/>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14"/>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9"/>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6"/>
    <w:qFormat/>
    <w:uiPriority w:val="0"/>
    <w:pPr>
      <w:spacing w:after="120" w:line="480" w:lineRule="auto"/>
    </w:pPr>
  </w:style>
  <w:style w:type="paragraph" w:styleId="58">
    <w:name w:val="HTML Preformatted"/>
    <w:basedOn w:val="1"/>
    <w:link w:val="3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0"/>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101"/>
    <w:qFormat/>
    <w:uiPriority w:val="0"/>
    <w:rPr>
      <w:b/>
      <w:bCs/>
    </w:rPr>
  </w:style>
  <w:style w:type="paragraph" w:styleId="62">
    <w:name w:val="Body Text First Indent 2"/>
    <w:basedOn w:val="8"/>
    <w:next w:val="63"/>
    <w:link w:val="126"/>
    <w:qFormat/>
    <w:uiPriority w:val="0"/>
    <w:pPr>
      <w:adjustRightInd/>
      <w:spacing w:after="120" w:line="240" w:lineRule="auto"/>
      <w:ind w:left="420" w:leftChars="200" w:firstLine="210"/>
    </w:pPr>
    <w:rPr>
      <w:sz w:val="21"/>
    </w:rPr>
  </w:style>
  <w:style w:type="paragraph" w:customStyle="1" w:styleId="63">
    <w:name w:val="样式 正文首行缩进 2 + Arial"/>
    <w:basedOn w:val="1"/>
    <w:next w:val="1"/>
    <w:qFormat/>
    <w:uiPriority w:val="0"/>
    <w:pPr>
      <w:spacing w:after="120" w:line="320" w:lineRule="atLeast"/>
      <w:ind w:firstLine="200" w:firstLineChars="200"/>
    </w:pPr>
    <w:rPr>
      <w:rFonts w:ascii="Arial" w:hAnsi="Arial"/>
      <w:kern w:val="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2">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3">
    <w:name w:val="首行缩进"/>
    <w:basedOn w:val="1"/>
    <w:qFormat/>
    <w:uiPriority w:val="0"/>
    <w:pPr>
      <w:spacing w:line="360" w:lineRule="auto"/>
      <w:ind w:firstLine="480" w:firstLineChars="200"/>
    </w:pPr>
    <w:rPr>
      <w:rFonts w:ascii="宋体"/>
      <w:sz w:val="24"/>
      <w:szCs w:val="20"/>
    </w:rPr>
  </w:style>
  <w:style w:type="paragraph" w:customStyle="1" w:styleId="84">
    <w:name w:val="Default"/>
    <w:next w:val="1"/>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5">
    <w:name w:val="TOC 标题4"/>
    <w:next w:val="1"/>
    <w:qFormat/>
    <w:uiPriority w:val="0"/>
    <w:pPr>
      <w:wordWrap w:val="0"/>
    </w:pPr>
    <w:rPr>
      <w:rFonts w:ascii="宋体" w:hAnsi="宋体" w:eastAsia="宋体" w:cs="宋体"/>
      <w:sz w:val="32"/>
      <w:lang w:val="en-US" w:eastAsia="zh-CN" w:bidi="ar-SA"/>
    </w:rPr>
  </w:style>
  <w:style w:type="paragraph" w:customStyle="1" w:styleId="8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7">
    <w:name w:val="表格非标题文字 Char"/>
    <w:link w:val="88"/>
    <w:qFormat/>
    <w:uiPriority w:val="0"/>
    <w:rPr>
      <w:rFonts w:ascii="Futura Bk" w:hAnsi="Futura Bk"/>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qFormat/>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仿宋_GB2312" w:hAnsi="仿宋_GB2312" w:eastAsia="仿宋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065a2bc-5607-4f88-bb9a-f4f6c7b4e0ea"/>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Char1"/>
    <w:link w:val="61"/>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仿宋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_29dca83e-cfa0-4d29-9006-28a1b752e563"/>
    <w:qFormat/>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仿宋_GB2312" w:hAnsi="微软雅黑" w:eastAsia="仿宋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仿宋_GB2312" w:hAnsi="宋体" w:eastAsia="仿宋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仿宋_GB2312" w:eastAsia="仿宋_GB2312"/>
      <w:b/>
      <w:bCs/>
      <w:kern w:val="2"/>
      <w:sz w:val="24"/>
      <w:szCs w:val="24"/>
      <w:lang w:val="zh-CN" w:eastAsia="zh-CN" w:bidi="ar-SA"/>
    </w:rPr>
  </w:style>
  <w:style w:type="character" w:customStyle="1" w:styleId="126">
    <w:name w:val="正文首行缩进 2 Char"/>
    <w:link w:val="62"/>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1"/>
    <w:qFormat/>
    <w:uiPriority w:val="0"/>
    <w:rPr>
      <w:rFonts w:ascii="Arial" w:hAnsi="Arial" w:eastAsia="黑体" w:cs="Arial"/>
      <w:snapToGrid w:val="0"/>
      <w:kern w:val="0"/>
      <w:szCs w:val="21"/>
    </w:rPr>
  </w:style>
  <w:style w:type="character" w:customStyle="1" w:styleId="130">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仿宋_GB2312" w:hAnsi="仿宋" w:eastAsia="仿宋_GB2312"/>
      <w:kern w:val="2"/>
      <w:sz w:val="24"/>
      <w:szCs w:val="24"/>
    </w:rPr>
  </w:style>
  <w:style w:type="character" w:customStyle="1" w:styleId="133">
    <w:name w:val="样式4 Char"/>
    <w:qFormat/>
    <w:uiPriority w:val="0"/>
    <w:rPr>
      <w:rFonts w:ascii="仿宋_GB2312" w:hAnsi="仿宋" w:eastAsia="仿宋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136"/>
    <w:qFormat/>
    <w:uiPriority w:val="0"/>
    <w:rPr>
      <w:rFonts w:eastAsia="宋体"/>
      <w:kern w:val="2"/>
      <w:sz w:val="24"/>
      <w:lang w:val="en-US" w:eastAsia="zh-CN" w:bidi="ar-SA"/>
    </w:rPr>
  </w:style>
  <w:style w:type="paragraph" w:customStyle="1" w:styleId="136">
    <w:name w:val="正文2"/>
    <w:basedOn w:val="1"/>
    <w:link w:val="135"/>
    <w:qFormat/>
    <w:uiPriority w:val="0"/>
    <w:pPr>
      <w:spacing w:before="156" w:line="360" w:lineRule="auto"/>
      <w:ind w:firstLine="510" w:firstLineChars="200"/>
    </w:pPr>
    <w:rPr>
      <w:sz w:val="24"/>
      <w:szCs w:val="20"/>
    </w:rPr>
  </w:style>
  <w:style w:type="character" w:customStyle="1" w:styleId="137">
    <w:name w:val="Char Char24"/>
    <w:qFormat/>
    <w:uiPriority w:val="6"/>
    <w:rPr>
      <w:kern w:val="1"/>
      <w:sz w:val="21"/>
    </w:rPr>
  </w:style>
  <w:style w:type="character" w:customStyle="1" w:styleId="138">
    <w:name w:val="副标题 Char"/>
    <w:link w:val="48"/>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145"/>
    <w:qFormat/>
    <w:uiPriority w:val="1"/>
    <w:rPr>
      <w:sz w:val="22"/>
      <w:szCs w:val="22"/>
      <w:lang w:val="en-US" w:eastAsia="zh-CN" w:bidi="ar-SA"/>
    </w:rPr>
  </w:style>
  <w:style w:type="paragraph" w:customStyle="1" w:styleId="145">
    <w:name w:val="无间隔1"/>
    <w:link w:val="144"/>
    <w:qFormat/>
    <w:uiPriority w:val="1"/>
    <w:rPr>
      <w:rFonts w:ascii="Times New Roman" w:hAnsi="Times New Roman" w:eastAsia="宋体" w:cs="Times New Roman"/>
      <w:sz w:val="22"/>
      <w:szCs w:val="22"/>
      <w:lang w:val="en-US" w:eastAsia="zh-CN" w:bidi="ar-SA"/>
    </w:rPr>
  </w:style>
  <w:style w:type="character" w:customStyle="1" w:styleId="146">
    <w:name w:val="样式7 Char"/>
    <w:qFormat/>
    <w:uiPriority w:val="0"/>
    <w:rPr>
      <w:rFonts w:ascii="仿宋_GB2312" w:hAnsi="仿宋" w:eastAsia="仿宋_GB2312"/>
      <w:b/>
      <w:kern w:val="2"/>
      <w:sz w:val="24"/>
      <w:szCs w:val="24"/>
    </w:rPr>
  </w:style>
  <w:style w:type="character" w:customStyle="1" w:styleId="147">
    <w:name w:val="font12gray1"/>
    <w:qFormat/>
    <w:uiPriority w:val="0"/>
    <w:rPr>
      <w:rFonts w:ascii="仿宋_GB2312" w:eastAsia="微软雅黑"/>
      <w:b/>
      <w:spacing w:val="300"/>
      <w:kern w:val="2"/>
      <w:sz w:val="18"/>
      <w:szCs w:val="18"/>
      <w:lang w:val="en-US" w:eastAsia="zh-CN" w:bidi="ar-SA"/>
    </w:rPr>
  </w:style>
  <w:style w:type="character" w:customStyle="1" w:styleId="148">
    <w:name w:val="Char Char7"/>
    <w:qFormat/>
    <w:uiPriority w:val="0"/>
    <w:rPr>
      <w:rFonts w:eastAsia="宋体"/>
      <w:kern w:val="2"/>
      <w:sz w:val="21"/>
      <w:szCs w:val="24"/>
      <w:lang w:val="en-US" w:eastAsia="zh-CN" w:bidi="ar-SA"/>
    </w:rPr>
  </w:style>
  <w:style w:type="character" w:customStyle="1" w:styleId="149">
    <w:name w:val="表名 Char"/>
    <w:qFormat/>
    <w:uiPriority w:val="0"/>
    <w:rPr>
      <w:rFonts w:eastAsia="宋体"/>
      <w:b/>
      <w:bCs/>
      <w:kern w:val="2"/>
      <w:sz w:val="24"/>
      <w:szCs w:val="24"/>
      <w:lang w:val="en-US" w:eastAsia="zh-CN" w:bidi="ar-SA"/>
    </w:rPr>
  </w:style>
  <w:style w:type="character" w:customStyle="1" w:styleId="150">
    <w:name w:val="Document Map Char"/>
    <w:qFormat/>
    <w:uiPriority w:val="0"/>
    <w:rPr>
      <w:rFonts w:eastAsia="宋体"/>
      <w:kern w:val="2"/>
      <w:sz w:val="21"/>
      <w:szCs w:val="24"/>
      <w:lang w:val="en-US" w:eastAsia="zh-CN" w:bidi="ar-SA"/>
    </w:rPr>
  </w:style>
  <w:style w:type="character" w:customStyle="1" w:styleId="151">
    <w:name w:val="font41"/>
    <w:qFormat/>
    <w:uiPriority w:val="0"/>
    <w:rPr>
      <w:rFonts w:hint="eastAsia" w:ascii="仿宋_GB2312" w:eastAsia="仿宋_GB2312" w:cs="仿宋_GB2312"/>
      <w:color w:val="000000"/>
      <w:sz w:val="22"/>
      <w:szCs w:val="22"/>
      <w:u w:val="none"/>
    </w:rPr>
  </w:style>
  <w:style w:type="character" w:customStyle="1" w:styleId="152">
    <w:name w:val="标题 6 Char"/>
    <w:link w:val="11"/>
    <w:qFormat/>
    <w:uiPriority w:val="0"/>
    <w:rPr>
      <w:rFonts w:ascii="Arial" w:hAnsi="Arial" w:eastAsia="黑体"/>
      <w:b/>
      <w:bCs/>
      <w:kern w:val="2"/>
      <w:sz w:val="24"/>
      <w:szCs w:val="24"/>
    </w:rPr>
  </w:style>
  <w:style w:type="character" w:customStyle="1" w:styleId="153">
    <w:name w:val="纯文本 Char_0"/>
    <w:link w:val="154"/>
    <w:qFormat/>
    <w:uiPriority w:val="0"/>
    <w:rPr>
      <w:rFonts w:ascii="宋体" w:hAnsi="Courier New"/>
      <w:kern w:val="2"/>
      <w:sz w:val="21"/>
      <w:szCs w:val="21"/>
      <w:lang w:val="en-US" w:eastAsia="zh-CN"/>
    </w:rPr>
  </w:style>
  <w:style w:type="paragraph" w:customStyle="1" w:styleId="154">
    <w:name w:val="纯文本_0_0"/>
    <w:basedOn w:val="155"/>
    <w:link w:val="153"/>
    <w:qFormat/>
    <w:uiPriority w:val="0"/>
    <w:rPr>
      <w:rFonts w:ascii="宋体" w:hAnsi="Courier New"/>
      <w:szCs w:val="21"/>
    </w:rPr>
  </w:style>
  <w:style w:type="paragraph" w:customStyle="1" w:styleId="15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qFormat/>
    <w:uiPriority w:val="0"/>
    <w:rPr>
      <w:rFonts w:eastAsia="宋体"/>
      <w:kern w:val="2"/>
      <w:sz w:val="18"/>
      <w:szCs w:val="18"/>
      <w:lang w:val="en-US" w:eastAsia="zh-CN" w:bidi="ar-SA"/>
    </w:rPr>
  </w:style>
  <w:style w:type="character" w:customStyle="1" w:styleId="157">
    <w:name w:val="正文 项目2 Char"/>
    <w:basedOn w:val="158"/>
    <w:qFormat/>
    <w:uiPriority w:val="0"/>
    <w:rPr>
      <w:rFonts w:ascii="仿宋_GB2312" w:hAnsi="仿宋_GB2312" w:eastAsia="仿宋_GB2312"/>
      <w:kern w:val="2"/>
      <w:sz w:val="24"/>
      <w:lang w:bidi="ar-SA"/>
    </w:rPr>
  </w:style>
  <w:style w:type="character" w:customStyle="1" w:styleId="158">
    <w:name w:val="正文 项目 Char"/>
    <w:qFormat/>
    <w:uiPriority w:val="0"/>
    <w:rPr>
      <w:rFonts w:ascii="仿宋_GB2312" w:hAnsi="仿宋_GB2312" w:eastAsia="仿宋_GB2312"/>
      <w:kern w:val="2"/>
      <w:sz w:val="24"/>
      <w:lang w:bidi="ar-SA"/>
    </w:rPr>
  </w:style>
  <w:style w:type="character" w:customStyle="1" w:styleId="159">
    <w:name w:val="h Char Char1"/>
    <w:qFormat/>
    <w:uiPriority w:val="0"/>
    <w:rPr>
      <w:rFonts w:eastAsia="宋体"/>
      <w:kern w:val="2"/>
      <w:sz w:val="18"/>
      <w:szCs w:val="18"/>
      <w:lang w:val="en-US" w:eastAsia="zh-CN" w:bidi="ar-SA"/>
    </w:rPr>
  </w:style>
  <w:style w:type="character" w:customStyle="1" w:styleId="160">
    <w:name w:val="Char Char27"/>
    <w:qFormat/>
    <w:uiPriority w:val="6"/>
    <w:rPr>
      <w:rFonts w:ascii="宋体" w:hAnsi="宋体" w:eastAsia="宋体"/>
      <w:color w:val="000000"/>
      <w:kern w:val="1"/>
      <w:sz w:val="28"/>
      <w:lang w:val="en-US" w:eastAsia="zh-CN" w:bidi="ar-SA"/>
    </w:rPr>
  </w:style>
  <w:style w:type="character" w:customStyle="1" w:styleId="161">
    <w:name w:val="px14"/>
    <w:qFormat/>
    <w:uiPriority w:val="0"/>
    <w:rPr>
      <w:rFonts w:ascii="仿宋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hei16b1"/>
    <w:qFormat/>
    <w:uiPriority w:val="0"/>
    <w:rPr>
      <w:rFonts w:hint="default" w:ascii="Arial" w:hAnsi="Arial" w:cs="Arial"/>
      <w:b/>
      <w:bCs/>
      <w:color w:val="000000"/>
      <w:sz w:val="24"/>
      <w:szCs w:val="24"/>
    </w:rPr>
  </w:style>
  <w:style w:type="character" w:customStyle="1" w:styleId="165">
    <w:name w:val="正文（绿盟科技） Char"/>
    <w:link w:val="166"/>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qFormat/>
    <w:uiPriority w:val="6"/>
    <w:rPr>
      <w:rFonts w:ascii="宋体" w:hAnsi="宋体"/>
      <w:i/>
      <w:sz w:val="24"/>
      <w:szCs w:val="24"/>
    </w:rPr>
  </w:style>
  <w:style w:type="character" w:customStyle="1" w:styleId="168">
    <w:name w:val="页脚 Char"/>
    <w:qFormat/>
    <w:uiPriority w:val="0"/>
    <w:rPr>
      <w:rFonts w:eastAsia="仿宋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qFormat/>
    <w:uiPriority w:val="0"/>
    <w:rPr>
      <w:rFonts w:ascii="宋体" w:hAnsi="宋体" w:eastAsia="宋体"/>
      <w:kern w:val="2"/>
      <w:sz w:val="24"/>
      <w:lang w:val="en-US" w:eastAsia="zh-CN" w:bidi="ar-SA"/>
    </w:rPr>
  </w:style>
  <w:style w:type="character" w:customStyle="1" w:styleId="171">
    <w:name w:val="标题 2 字符"/>
    <w:qFormat/>
    <w:uiPriority w:val="1"/>
    <w:rPr>
      <w:rFonts w:ascii="仿宋_GB2312" w:hAnsi="Times New Roman" w:eastAsia="仿宋_GB2312" w:cs="Times New Roman"/>
      <w:b/>
      <w:kern w:val="2"/>
      <w:sz w:val="24"/>
      <w:lang w:val="zh-CN"/>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5"/>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Char"/>
    <w:link w:val="37"/>
    <w:qFormat/>
    <w:uiPriority w:val="0"/>
    <w:rPr>
      <w:rFonts w:ascii="宋体"/>
      <w:kern w:val="2"/>
      <w:sz w:val="24"/>
      <w:szCs w:val="21"/>
      <w:lang w:val="zh-CN"/>
    </w:rPr>
  </w:style>
  <w:style w:type="character" w:customStyle="1" w:styleId="187">
    <w:name w:val="标题 9 Char"/>
    <w:link w:val="14"/>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99"/>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qFormat/>
    <w:uiPriority w:val="99"/>
    <w:rPr>
      <w:rFonts w:ascii="Times New Roman" w:hAnsi="Times New Roman" w:eastAsia="宋体" w:cs="Times New Roman"/>
      <w:szCs w:val="24"/>
    </w:rPr>
  </w:style>
  <w:style w:type="character" w:customStyle="1" w:styleId="193">
    <w:name w:val="批注框文本 Char"/>
    <w:link w:val="40"/>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7"/>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Char1"/>
    <w:link w:val="21"/>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0"/>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1"/>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Char"/>
    <w:link w:val="31"/>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9"/>
    <w:link w:val="22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_b6bb7154-40a1-4532-be09-cdbace51fda5"/>
    <w:qFormat/>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Char"/>
    <w:link w:val="19"/>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84"/>
    <w:qFormat/>
    <w:uiPriority w:val="0"/>
    <w:rPr>
      <w:rFonts w:ascii="仿宋_GB2312" w:eastAsia="仿宋_GB2312" w:cs="仿宋_GB2312"/>
      <w:color w:val="000000"/>
      <w:sz w:val="24"/>
      <w:szCs w:val="24"/>
      <w:lang w:val="en-US" w:eastAsia="zh-CN" w:bidi="ar-SA"/>
    </w:rPr>
  </w:style>
  <w:style w:type="character" w:customStyle="1" w:styleId="240">
    <w:name w:val="style91"/>
    <w:qFormat/>
    <w:uiPriority w:val="0"/>
    <w:rPr>
      <w:color w:val="333333"/>
    </w:rPr>
  </w:style>
  <w:style w:type="character" w:customStyle="1" w:styleId="241">
    <w:name w:val="列出段落 Char2"/>
    <w:qFormat/>
    <w:uiPriority w:val="34"/>
    <w:rPr>
      <w:rFonts w:ascii="Calibri" w:hAnsi="Calibri"/>
      <w:kern w:val="2"/>
      <w:sz w:val="28"/>
    </w:rPr>
  </w:style>
  <w:style w:type="character" w:customStyle="1" w:styleId="242">
    <w:name w:val="mdeck"/>
    <w:qFormat/>
    <w:uiPriority w:val="0"/>
    <w:rPr>
      <w:rFonts w:ascii="仿宋_GB2312" w:eastAsia="微软雅黑"/>
      <w:b/>
      <w:kern w:val="2"/>
      <w:sz w:val="32"/>
      <w:szCs w:val="32"/>
      <w:lang w:val="en-US" w:eastAsia="zh-CN" w:bidi="ar-SA"/>
    </w:rPr>
  </w:style>
  <w:style w:type="character" w:customStyle="1" w:styleId="243">
    <w:name w:val="unnamed11"/>
    <w:qFormat/>
    <w:uiPriority w:val="0"/>
    <w:rPr>
      <w:sz w:val="20"/>
      <w:szCs w:val="20"/>
    </w:rPr>
  </w:style>
  <w:style w:type="character" w:customStyle="1" w:styleId="244">
    <w:name w:val="正文文本 Char2"/>
    <w:qFormat/>
    <w:uiPriority w:val="99"/>
    <w:rPr>
      <w:rFonts w:ascii="Times New Roman" w:hAnsi="Times New Roman" w:eastAsia="宋体" w:cs="Times New Roman"/>
      <w:snapToGrid w:val="0"/>
      <w:kern w:val="0"/>
      <w:szCs w:val="24"/>
    </w:rPr>
  </w:style>
  <w:style w:type="character" w:customStyle="1" w:styleId="245">
    <w:name w:val="标书正文格式 Char"/>
    <w:qFormat/>
    <w:uiPriority w:val="0"/>
    <w:rPr>
      <w:rFonts w:eastAsia="楷体_GB2312"/>
      <w:kern w:val="2"/>
      <w:sz w:val="24"/>
      <w:szCs w:val="24"/>
      <w:lang w:bidi="ar-SA"/>
    </w:rPr>
  </w:style>
  <w:style w:type="character" w:customStyle="1" w:styleId="246">
    <w:name w:val="Char Char11"/>
    <w:qFormat/>
    <w:uiPriority w:val="0"/>
    <w:rPr>
      <w:rFonts w:ascii="宋体" w:hAnsi="宋体" w:eastAsia="宋体"/>
      <w:b/>
      <w:kern w:val="2"/>
      <w:sz w:val="24"/>
      <w:szCs w:val="24"/>
      <w:lang w:val="en-US" w:eastAsia="zh-CN" w:bidi="ar-SA"/>
    </w:rPr>
  </w:style>
  <w:style w:type="character" w:customStyle="1" w:styleId="247">
    <w:name w:val="ca-131"/>
    <w:qFormat/>
    <w:uiPriority w:val="0"/>
    <w:rPr>
      <w:rFonts w:hint="eastAsia" w:ascii="仿宋_GB2312" w:eastAsia="仿宋_GB2312"/>
      <w:b/>
      <w:bCs/>
      <w:color w:val="000000"/>
      <w:spacing w:val="-20"/>
      <w:sz w:val="24"/>
      <w:szCs w:val="24"/>
    </w:rPr>
  </w:style>
  <w:style w:type="character" w:customStyle="1" w:styleId="248">
    <w:name w:val="tw4winMark"/>
    <w:qFormat/>
    <w:uiPriority w:val="0"/>
    <w:rPr>
      <w:rFonts w:ascii="Courier New" w:hAnsi="Courier New" w:cs="Courier New"/>
      <w:vanish/>
      <w:color w:val="800080"/>
      <w:sz w:val="24"/>
      <w:szCs w:val="24"/>
      <w:vertAlign w:val="subscript"/>
    </w:rPr>
  </w:style>
  <w:style w:type="character" w:customStyle="1" w:styleId="249">
    <w:name w:val="正文样式 Char"/>
    <w:link w:val="250"/>
    <w:qFormat/>
    <w:uiPriority w:val="0"/>
    <w:rPr>
      <w:rFonts w:ascii="Calibri" w:hAnsi="Calibri"/>
      <w:sz w:val="24"/>
      <w:szCs w:val="24"/>
    </w:rPr>
  </w:style>
  <w:style w:type="paragraph" w:customStyle="1" w:styleId="250">
    <w:name w:val="正文样式"/>
    <w:basedOn w:val="1"/>
    <w:link w:val="249"/>
    <w:qFormat/>
    <w:uiPriority w:val="0"/>
    <w:pPr>
      <w:adjustRightInd/>
      <w:spacing w:line="360" w:lineRule="auto"/>
      <w:ind w:firstLine="480" w:firstLineChars="200"/>
    </w:pPr>
    <w:rPr>
      <w:kern w:val="0"/>
      <w:sz w:val="24"/>
    </w:rPr>
  </w:style>
  <w:style w:type="character" w:customStyle="1" w:styleId="251">
    <w:name w:val="表正文 Char3"/>
    <w:qFormat/>
    <w:uiPriority w:val="0"/>
    <w:rPr>
      <w:rFonts w:eastAsia="宋体"/>
    </w:rPr>
  </w:style>
  <w:style w:type="character" w:customStyle="1" w:styleId="252">
    <w:name w:val="H5 Char"/>
    <w:qFormat/>
    <w:uiPriority w:val="0"/>
    <w:rPr>
      <w:b/>
      <w:bCs/>
      <w:kern w:val="2"/>
      <w:sz w:val="28"/>
      <w:szCs w:val="28"/>
    </w:rPr>
  </w:style>
  <w:style w:type="character" w:customStyle="1" w:styleId="253">
    <w:name w:val="Char Char3"/>
    <w:qFormat/>
    <w:uiPriority w:val="0"/>
    <w:rPr>
      <w:rFonts w:eastAsia="宋体"/>
      <w:kern w:val="2"/>
      <w:sz w:val="21"/>
      <w:szCs w:val="24"/>
      <w:lang w:val="en-US" w:eastAsia="zh-CN" w:bidi="ar-SA"/>
    </w:rPr>
  </w:style>
  <w:style w:type="character" w:customStyle="1" w:styleId="254">
    <w:name w:val="正文 编号 Char"/>
    <w:qFormat/>
    <w:uiPriority w:val="0"/>
    <w:rPr>
      <w:rFonts w:ascii="仿宋_GB2312" w:hAnsi="仿宋_GB2312" w:eastAsia="仿宋_GB2312"/>
      <w:kern w:val="2"/>
      <w:sz w:val="24"/>
      <w:lang w:bidi="ar-SA"/>
    </w:rPr>
  </w:style>
  <w:style w:type="character" w:customStyle="1" w:styleId="255">
    <w:name w:val="question-title2"/>
    <w:qFormat/>
    <w:uiPriority w:val="6"/>
    <w:rPr>
      <w:rFonts w:ascii="Arial" w:hAnsi="Arial" w:eastAsia="黑体" w:cs="Arial"/>
      <w:snapToGrid w:val="0"/>
      <w:kern w:val="0"/>
      <w:szCs w:val="21"/>
    </w:rPr>
  </w:style>
  <w:style w:type="character" w:customStyle="1" w:styleId="256">
    <w:name w:val="gf正文1 Char Char"/>
    <w:link w:val="257"/>
    <w:qFormat/>
    <w:uiPriority w:val="0"/>
    <w:rPr>
      <w:rFonts w:ascii="宋体" w:hAnsi="宋体" w:cs="宋体"/>
      <w:kern w:val="2"/>
      <w:sz w:val="24"/>
      <w:szCs w:val="24"/>
    </w:rPr>
  </w:style>
  <w:style w:type="paragraph" w:customStyle="1" w:styleId="257">
    <w:name w:val="gf正文1"/>
    <w:basedOn w:val="1"/>
    <w:link w:val="256"/>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qFormat/>
    <w:uiPriority w:val="6"/>
    <w:rPr>
      <w:rFonts w:ascii="宋体" w:hAnsi="宋体"/>
      <w:kern w:val="1"/>
      <w:sz w:val="21"/>
    </w:rPr>
  </w:style>
  <w:style w:type="character" w:customStyle="1" w:styleId="259">
    <w:name w:val="正文缩进 Char3"/>
    <w:qFormat/>
    <w:uiPriority w:val="0"/>
    <w:rPr>
      <w:rFonts w:ascii="宋体" w:eastAsia="宋体"/>
      <w:snapToGrid w:val="0"/>
      <w:color w:val="000000"/>
      <w:kern w:val="28"/>
      <w:sz w:val="28"/>
      <w:lang w:val="en-US" w:eastAsia="zh-CN" w:bidi="ar-SA"/>
    </w:rPr>
  </w:style>
  <w:style w:type="character" w:customStyle="1" w:styleId="260">
    <w:name w:val="列出段落 Char1"/>
    <w:link w:val="261"/>
    <w:qFormat/>
    <w:uiPriority w:val="0"/>
    <w:rPr>
      <w:rFonts w:ascii="Calibri" w:hAnsi="Calibri"/>
      <w:sz w:val="24"/>
      <w:lang w:eastAsia="en-US"/>
    </w:rPr>
  </w:style>
  <w:style w:type="paragraph" w:customStyle="1" w:styleId="261">
    <w:name w:val="列表1"/>
    <w:basedOn w:val="1"/>
    <w:next w:val="262"/>
    <w:link w:val="260"/>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2">
    <w:name w:val="List Paragraph"/>
    <w:basedOn w:val="1"/>
    <w:qFormat/>
    <w:uiPriority w:val="34"/>
    <w:pPr>
      <w:spacing w:line="360" w:lineRule="auto"/>
      <w:ind w:firstLine="200" w:firstLineChars="200"/>
    </w:pPr>
    <w:rPr>
      <w:rFonts w:eastAsia="楷体_GB2312" w:cs="Lucida Sans"/>
      <w:sz w:val="24"/>
    </w:rPr>
  </w:style>
  <w:style w:type="character" w:customStyle="1" w:styleId="263">
    <w:name w:val="Char Char8"/>
    <w:qFormat/>
    <w:uiPriority w:val="0"/>
    <w:rPr>
      <w:rFonts w:eastAsia="宋体"/>
      <w:b/>
      <w:sz w:val="24"/>
      <w:lang w:val="en-GB" w:eastAsia="zh-CN"/>
    </w:rPr>
  </w:style>
  <w:style w:type="character" w:customStyle="1" w:styleId="264">
    <w:name w:val="Normal Indent Char Char"/>
    <w:qFormat/>
    <w:uiPriority w:val="0"/>
    <w:rPr>
      <w:rFonts w:eastAsia="宋体"/>
      <w:kern w:val="2"/>
      <w:sz w:val="21"/>
      <w:lang w:val="en-US" w:eastAsia="zh-CN" w:bidi="ar-SA"/>
    </w:rPr>
  </w:style>
  <w:style w:type="character" w:customStyle="1" w:styleId="265">
    <w:name w:val="列表段落 字符"/>
    <w:qFormat/>
    <w:uiPriority w:val="99"/>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方案正文 Char"/>
    <w:qFormat/>
    <w:uiPriority w:val="0"/>
    <w:rPr>
      <w:rFonts w:ascii="仿宋_GB2312" w:eastAsia="仿宋_GB2312"/>
      <w:b/>
      <w:color w:val="000000"/>
      <w:kern w:val="2"/>
      <w:sz w:val="24"/>
      <w:lang w:val="en-US" w:eastAsia="zh-CN" w:bidi="ar-SA"/>
    </w:rPr>
  </w:style>
  <w:style w:type="character" w:customStyle="1" w:styleId="268">
    <w:name w:val="Char Char30"/>
    <w:qFormat/>
    <w:uiPriority w:val="6"/>
    <w:rPr>
      <w:rFonts w:ascii="Arial" w:hAnsi="Arial" w:eastAsia="黑体"/>
      <w:kern w:val="1"/>
      <w:sz w:val="21"/>
      <w:szCs w:val="21"/>
    </w:rPr>
  </w:style>
  <w:style w:type="character" w:customStyle="1" w:styleId="269">
    <w:name w:val="正文文本缩进 Char3"/>
    <w:link w:val="8"/>
    <w:qFormat/>
    <w:uiPriority w:val="0"/>
    <w:rPr>
      <w:rFonts w:ascii="宋体" w:hAnsi="宋体"/>
      <w:kern w:val="2"/>
      <w:sz w:val="24"/>
      <w:szCs w:val="24"/>
    </w:rPr>
  </w:style>
  <w:style w:type="character" w:customStyle="1" w:styleId="270">
    <w:name w:val="font01"/>
    <w:qFormat/>
    <w:uiPriority w:val="0"/>
    <w:rPr>
      <w:rFonts w:hint="eastAsia" w:ascii="微软雅黑" w:hAnsi="微软雅黑" w:eastAsia="微软雅黑" w:cs="微软雅黑"/>
      <w:color w:val="000000"/>
      <w:sz w:val="20"/>
      <w:szCs w:val="20"/>
      <w:u w:val="none"/>
    </w:rPr>
  </w:style>
  <w:style w:type="character" w:customStyle="1" w:styleId="271">
    <w:name w:val="Char Char20"/>
    <w:qFormat/>
    <w:uiPriority w:val="6"/>
    <w:rPr>
      <w:kern w:val="1"/>
      <w:sz w:val="24"/>
    </w:rPr>
  </w:style>
  <w:style w:type="character" w:customStyle="1" w:styleId="272">
    <w:name w:val="tw4winExternal"/>
    <w:qFormat/>
    <w:uiPriority w:val="0"/>
    <w:rPr>
      <w:rFonts w:ascii="Courier New" w:hAnsi="Courier New" w:cs="Courier New"/>
      <w:color w:val="808080"/>
      <w:lang w:val="en-US" w:eastAsia="zh-CN"/>
    </w:rPr>
  </w:style>
  <w:style w:type="character" w:customStyle="1" w:styleId="273">
    <w:name w:val="标题 4 Char1"/>
    <w:qFormat/>
    <w:uiPriority w:val="9"/>
    <w:rPr>
      <w:rFonts w:ascii="Cambria" w:hAnsi="Cambria" w:eastAsia="宋体" w:cs="Times New Roman"/>
      <w:b/>
      <w:bCs/>
      <w:kern w:val="2"/>
      <w:sz w:val="28"/>
      <w:szCs w:val="28"/>
    </w:rPr>
  </w:style>
  <w:style w:type="character" w:customStyle="1" w:styleId="274">
    <w:name w:val="批注文字 Char2"/>
    <w:qFormat/>
    <w:uiPriority w:val="99"/>
    <w:rPr>
      <w:rFonts w:ascii="Times New Roman" w:hAnsi="Times New Roman" w:eastAsia="宋体" w:cs="Times New Roman"/>
      <w:snapToGrid w:val="0"/>
      <w:kern w:val="0"/>
      <w:szCs w:val="24"/>
    </w:rPr>
  </w:style>
  <w:style w:type="character" w:customStyle="1" w:styleId="275">
    <w:name w:val="正文文本 2 Char"/>
    <w:qFormat/>
    <w:uiPriority w:val="0"/>
    <w:rPr>
      <w:rFonts w:eastAsia="宋体"/>
      <w:kern w:val="2"/>
      <w:sz w:val="21"/>
      <w:szCs w:val="24"/>
      <w:lang w:val="en-US" w:eastAsia="zh-CN" w:bidi="ar-SA"/>
    </w:rPr>
  </w:style>
  <w:style w:type="character" w:customStyle="1" w:styleId="276">
    <w:name w:val="Ò³Ã¼ Char Char"/>
    <w:qFormat/>
    <w:uiPriority w:val="0"/>
    <w:rPr>
      <w:rFonts w:eastAsia="宋体"/>
      <w:kern w:val="2"/>
      <w:sz w:val="18"/>
      <w:lang w:val="en-US" w:eastAsia="zh-CN" w:bidi="ar-SA"/>
    </w:rPr>
  </w:style>
  <w:style w:type="character" w:customStyle="1" w:styleId="277">
    <w:name w:val="message1"/>
    <w:qFormat/>
    <w:uiPriority w:val="0"/>
    <w:rPr>
      <w:rFonts w:hint="default" w:ascii="Tahoma" w:hAnsi="Tahoma" w:cs="Tahoma"/>
      <w:sz w:val="18"/>
      <w:szCs w:val="18"/>
    </w:rPr>
  </w:style>
  <w:style w:type="character" w:customStyle="1" w:styleId="278">
    <w:name w:val="Char Char23"/>
    <w:qFormat/>
    <w:uiPriority w:val="6"/>
    <w:rPr>
      <w:color w:val="0000FF"/>
      <w:sz w:val="21"/>
    </w:rPr>
  </w:style>
  <w:style w:type="character" w:customStyle="1" w:styleId="279">
    <w:name w:val="批注框文本 字符"/>
    <w:qFormat/>
    <w:uiPriority w:val="0"/>
    <w:rPr>
      <w:rFonts w:ascii="Arial" w:hAnsi="Arial" w:eastAsia="黑体" w:cs="Arial"/>
      <w:snapToGrid w:val="0"/>
      <w:kern w:val="0"/>
      <w:sz w:val="18"/>
      <w:szCs w:val="18"/>
    </w:rPr>
  </w:style>
  <w:style w:type="character" w:customStyle="1" w:styleId="280">
    <w:name w:val="纯文本 Char2"/>
    <w:qFormat/>
    <w:uiPriority w:val="99"/>
    <w:rPr>
      <w:rFonts w:ascii="宋体" w:hAnsi="Courier New" w:eastAsia="宋体" w:cs="Courier New"/>
    </w:rPr>
  </w:style>
  <w:style w:type="character" w:customStyle="1" w:styleId="281">
    <w:name w:val="Char Char25"/>
    <w:qFormat/>
    <w:uiPriority w:val="6"/>
    <w:rPr>
      <w:rFonts w:ascii="宋体" w:hAnsi="宋体"/>
      <w:kern w:val="1"/>
      <w:sz w:val="24"/>
      <w:lang w:val="zh-CN"/>
    </w:rPr>
  </w:style>
  <w:style w:type="character" w:customStyle="1" w:styleId="282">
    <w:name w:val="Char Char411"/>
    <w:qFormat/>
    <w:uiPriority w:val="0"/>
    <w:rPr>
      <w:rFonts w:eastAsia="宋体"/>
      <w:b/>
      <w:sz w:val="24"/>
      <w:lang w:val="en-GB" w:eastAsia="zh-CN" w:bidi="ar-SA"/>
    </w:rPr>
  </w:style>
  <w:style w:type="character" w:customStyle="1" w:styleId="283">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4">
    <w:name w:val="此正文 Char"/>
    <w:link w:val="285"/>
    <w:qFormat/>
    <w:uiPriority w:val="0"/>
    <w:rPr>
      <w:kern w:val="2"/>
      <w:sz w:val="24"/>
      <w:szCs w:val="24"/>
    </w:rPr>
  </w:style>
  <w:style w:type="paragraph" w:customStyle="1" w:styleId="285">
    <w:name w:val="此正文"/>
    <w:basedOn w:val="1"/>
    <w:link w:val="284"/>
    <w:qFormat/>
    <w:uiPriority w:val="0"/>
    <w:pPr>
      <w:adjustRightInd/>
      <w:spacing w:line="360" w:lineRule="auto"/>
      <w:ind w:firstLine="200" w:firstLineChars="200"/>
    </w:pPr>
    <w:rPr>
      <w:sz w:val="24"/>
    </w:rPr>
  </w:style>
  <w:style w:type="character" w:customStyle="1" w:styleId="286">
    <w:name w:val="Char Char2"/>
    <w:qFormat/>
    <w:uiPriority w:val="0"/>
    <w:rPr>
      <w:rFonts w:eastAsia="宋体"/>
      <w:b/>
      <w:bCs/>
      <w:kern w:val="2"/>
      <w:sz w:val="21"/>
      <w:szCs w:val="24"/>
      <w:lang w:val="en-US" w:eastAsia="zh-CN" w:bidi="ar-SA"/>
    </w:rPr>
  </w:style>
  <w:style w:type="character" w:customStyle="1" w:styleId="287">
    <w:name w:val="标题 1 Char"/>
    <w:link w:val="4"/>
    <w:qFormat/>
    <w:uiPriority w:val="9"/>
    <w:rPr>
      <w:b/>
      <w:bCs/>
      <w:kern w:val="44"/>
      <w:sz w:val="44"/>
      <w:szCs w:val="44"/>
    </w:rPr>
  </w:style>
  <w:style w:type="character" w:customStyle="1" w:styleId="288">
    <w:name w:val="Footer-Even Char1"/>
    <w:qFormat/>
    <w:uiPriority w:val="0"/>
    <w:rPr>
      <w:rFonts w:eastAsia="宋体"/>
      <w:kern w:val="2"/>
      <w:sz w:val="18"/>
      <w:szCs w:val="18"/>
      <w:lang w:val="en-US" w:eastAsia="zh-CN" w:bidi="ar-SA"/>
    </w:rPr>
  </w:style>
  <w:style w:type="character" w:customStyle="1" w:styleId="289">
    <w:name w:val="Char Char29"/>
    <w:qFormat/>
    <w:uiPriority w:val="6"/>
    <w:rPr>
      <w:rFonts w:ascii="Arial" w:hAnsi="Arial" w:eastAsia="微软雅黑"/>
      <w:b/>
      <w:kern w:val="1"/>
      <w:sz w:val="44"/>
      <w:szCs w:val="32"/>
      <w:lang w:val="en-US" w:eastAsia="zh-CN" w:bidi="ar-SA"/>
    </w:rPr>
  </w:style>
  <w:style w:type="character" w:customStyle="1" w:styleId="290">
    <w:name w:val="标题 Char2"/>
    <w:link w:val="60"/>
    <w:qFormat/>
    <w:uiPriority w:val="10"/>
    <w:rPr>
      <w:b/>
      <w:sz w:val="24"/>
      <w:lang w:val="en-GB"/>
    </w:rPr>
  </w:style>
  <w:style w:type="character" w:customStyle="1" w:styleId="291">
    <w:name w:val="font81"/>
    <w:qFormat/>
    <w:uiPriority w:val="0"/>
    <w:rPr>
      <w:rFonts w:ascii="微软雅黑" w:hAnsi="微软雅黑" w:eastAsia="微软雅黑" w:cs="微软雅黑"/>
      <w:color w:val="000000"/>
      <w:sz w:val="20"/>
      <w:szCs w:val="20"/>
      <w:u w:val="none"/>
    </w:rPr>
  </w:style>
  <w:style w:type="character" w:customStyle="1" w:styleId="292">
    <w:name w:val="Char Char312"/>
    <w:qFormat/>
    <w:uiPriority w:val="0"/>
    <w:rPr>
      <w:rFonts w:ascii="Times New Roman" w:hAnsi="Times New Roman" w:eastAsia="宋体" w:cs="Times New Roman"/>
      <w:b/>
      <w:kern w:val="2"/>
      <w:sz w:val="32"/>
      <w:szCs w:val="24"/>
      <w:lang w:val="en-US" w:eastAsia="zh-CN" w:bidi="ar-SA"/>
    </w:rPr>
  </w:style>
  <w:style w:type="character" w:customStyle="1" w:styleId="293">
    <w:name w:val="t21"/>
    <w:qFormat/>
    <w:uiPriority w:val="0"/>
    <w:rPr>
      <w:rFonts w:ascii="仿宋_GB2312" w:eastAsia="微软雅黑"/>
      <w:b/>
      <w:kern w:val="2"/>
      <w:sz w:val="23"/>
      <w:szCs w:val="23"/>
      <w:lang w:val="en-US" w:eastAsia="zh-CN" w:bidi="ar-SA"/>
    </w:rPr>
  </w:style>
  <w:style w:type="character" w:customStyle="1" w:styleId="294">
    <w:name w:val="样式8 Char"/>
    <w:qFormat/>
    <w:uiPriority w:val="0"/>
    <w:rPr>
      <w:rFonts w:ascii="仿宋_GB2312" w:hAnsi="宋体" w:eastAsia="仿宋_GB2312"/>
      <w:b/>
      <w:bCs/>
      <w:kern w:val="2"/>
      <w:sz w:val="24"/>
      <w:szCs w:val="24"/>
    </w:rPr>
  </w:style>
  <w:style w:type="character" w:customStyle="1" w:styleId="295">
    <w:name w:val="表格 Char Char"/>
    <w:qFormat/>
    <w:uiPriority w:val="0"/>
    <w:rPr>
      <w:rFonts w:ascii="宋体" w:hAnsi="宋体" w:eastAsia="宋体"/>
      <w:lang w:bidi="ar-SA"/>
    </w:rPr>
  </w:style>
  <w:style w:type="character" w:customStyle="1" w:styleId="296">
    <w:name w:val="正文文本 字符1"/>
    <w:qFormat/>
    <w:uiPriority w:val="0"/>
    <w:rPr>
      <w:rFonts w:ascii="Calibri" w:hAnsi="Calibri" w:eastAsia="黑体" w:cs="Arial"/>
      <w:snapToGrid w:val="0"/>
      <w:kern w:val="2"/>
      <w:sz w:val="28"/>
      <w:szCs w:val="21"/>
    </w:rPr>
  </w:style>
  <w:style w:type="character" w:customStyle="1" w:styleId="297">
    <w:name w:val="标题 5 Char"/>
    <w:link w:val="10"/>
    <w:qFormat/>
    <w:uiPriority w:val="9"/>
    <w:rPr>
      <w:b/>
      <w:bCs/>
      <w:kern w:val="2"/>
      <w:sz w:val="28"/>
      <w:szCs w:val="28"/>
    </w:rPr>
  </w:style>
  <w:style w:type="character" w:customStyle="1" w:styleId="298">
    <w:name w:val="标题 6 Char1"/>
    <w:qFormat/>
    <w:uiPriority w:val="0"/>
    <w:rPr>
      <w:rFonts w:ascii="Arial" w:hAnsi="Arial" w:eastAsia="黑体" w:cs="Times New Roman"/>
      <w:b/>
      <w:sz w:val="24"/>
      <w:szCs w:val="20"/>
      <w:lang w:bidi="ar-SA"/>
    </w:rPr>
  </w:style>
  <w:style w:type="character" w:customStyle="1" w:styleId="299">
    <w:name w:val="带编号样式 Char"/>
    <w:qFormat/>
    <w:uiPriority w:val="0"/>
    <w:rPr>
      <w:rFonts w:ascii="仿宋_GB2312" w:eastAsia="仿宋_GB2312"/>
      <w:color w:val="000000"/>
      <w:sz w:val="24"/>
      <w:lang w:bidi="ar-SA"/>
    </w:rPr>
  </w:style>
  <w:style w:type="character" w:customStyle="1" w:styleId="300">
    <w:name w:val="unnamed31"/>
    <w:qFormat/>
    <w:uiPriority w:val="0"/>
    <w:rPr>
      <w:rFonts w:ascii="Tahoma" w:hAnsi="Tahoma" w:eastAsia="宋体"/>
      <w:b/>
      <w:kern w:val="2"/>
      <w:sz w:val="24"/>
      <w:szCs w:val="32"/>
      <w:u w:val="none"/>
      <w:lang w:val="en-US" w:eastAsia="zh-CN" w:bidi="ar-SA"/>
    </w:rPr>
  </w:style>
  <w:style w:type="character" w:customStyle="1" w:styleId="301">
    <w:name w:val="正文首行缩进 Char Char Char Char Char Char1"/>
    <w:qFormat/>
    <w:uiPriority w:val="0"/>
    <w:rPr>
      <w:rFonts w:ascii="宋体" w:eastAsia="宋体"/>
      <w:kern w:val="2"/>
      <w:sz w:val="24"/>
      <w:szCs w:val="24"/>
      <w:lang w:val="zh-CN" w:bidi="ar-SA"/>
    </w:rPr>
  </w:style>
  <w:style w:type="character" w:customStyle="1" w:styleId="302">
    <w:name w:val="称呼 Char"/>
    <w:link w:val="24"/>
    <w:qFormat/>
    <w:uiPriority w:val="0"/>
    <w:rPr>
      <w:rFonts w:ascii="仿宋_GB2312" w:eastAsia="仿宋_GB2312"/>
      <w:kern w:val="2"/>
      <w:sz w:val="28"/>
    </w:rPr>
  </w:style>
  <w:style w:type="character" w:customStyle="1" w:styleId="303">
    <w:name w:val="文本正文 Char Char"/>
    <w:qFormat/>
    <w:uiPriority w:val="0"/>
    <w:rPr>
      <w:sz w:val="24"/>
      <w:lang w:bidi="ar-SA"/>
    </w:rPr>
  </w:style>
  <w:style w:type="character" w:customStyle="1" w:styleId="304">
    <w:name w:val="正文缩进 字符"/>
    <w:qFormat/>
    <w:uiPriority w:val="0"/>
    <w:rPr>
      <w:rFonts w:ascii="宋体" w:eastAsia="宋体"/>
      <w:snapToGrid w:val="0"/>
      <w:color w:val="000000"/>
      <w:kern w:val="28"/>
      <w:sz w:val="28"/>
      <w:lang w:val="en-US" w:eastAsia="zh-CN" w:bidi="ar-SA"/>
    </w:rPr>
  </w:style>
  <w:style w:type="character" w:customStyle="1" w:styleId="305">
    <w:name w:val="HTML 预设格式 Char"/>
    <w:link w:val="58"/>
    <w:qFormat/>
    <w:uiPriority w:val="0"/>
    <w:rPr>
      <w:rFonts w:ascii="黑体" w:hAnsi="Courier New" w:eastAsia="黑体"/>
    </w:rPr>
  </w:style>
  <w:style w:type="character" w:customStyle="1" w:styleId="306">
    <w:name w:val="正文文本 2 Char1"/>
    <w:link w:val="57"/>
    <w:qFormat/>
    <w:uiPriority w:val="0"/>
    <w:rPr>
      <w:kern w:val="2"/>
      <w:sz w:val="21"/>
      <w:szCs w:val="24"/>
    </w:rPr>
  </w:style>
  <w:style w:type="character" w:customStyle="1" w:styleId="307">
    <w:name w:val="样式 样式 标题 4h4H4Fab-4T5Ref Heading 1rh1Heading sqlsect 1.2.3.... +... Char"/>
    <w:link w:val="308"/>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qFormat/>
    <w:uiPriority w:val="0"/>
    <w:pPr>
      <w:tabs>
        <w:tab w:val="left" w:pos="2356"/>
      </w:tabs>
    </w:pPr>
  </w:style>
  <w:style w:type="paragraph" w:customStyle="1" w:styleId="309">
    <w:name w:val="样式 标题 4h4H4Fab-4T5Ref Heading 1rh1Heading sqlsect 1.2.3...."/>
    <w:basedOn w:val="9"/>
    <w:link w:val="417"/>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qFormat/>
    <w:uiPriority w:val="0"/>
    <w:rPr>
      <w:rFonts w:ascii="宋体" w:eastAsia="宋体"/>
      <w:snapToGrid w:val="0"/>
      <w:color w:val="000000"/>
      <w:kern w:val="28"/>
      <w:sz w:val="28"/>
      <w:lang w:val="en-US" w:eastAsia="zh-CN" w:bidi="ar-SA"/>
    </w:rPr>
  </w:style>
  <w:style w:type="character" w:customStyle="1" w:styleId="311">
    <w:name w:val="标题 7 Char"/>
    <w:link w:val="12"/>
    <w:qFormat/>
    <w:uiPriority w:val="0"/>
    <w:rPr>
      <w:b/>
      <w:bCs/>
      <w:kern w:val="2"/>
      <w:sz w:val="24"/>
      <w:szCs w:val="24"/>
    </w:rPr>
  </w:style>
  <w:style w:type="character" w:customStyle="1" w:styleId="312">
    <w:name w:val="正文文本缩进 2 Char"/>
    <w:link w:val="38"/>
    <w:qFormat/>
    <w:uiPriority w:val="0"/>
    <w:rPr>
      <w:rFonts w:ascii="宋体"/>
      <w:sz w:val="28"/>
    </w:rPr>
  </w:style>
  <w:style w:type="character" w:customStyle="1" w:styleId="313">
    <w:name w:val="Char Char5"/>
    <w:qFormat/>
    <w:uiPriority w:val="0"/>
    <w:rPr>
      <w:rFonts w:ascii="宋体" w:hAnsi="Courier New" w:eastAsia="宋体"/>
      <w:kern w:val="2"/>
      <w:sz w:val="21"/>
      <w:lang w:val="en-US" w:eastAsia="zh-CN"/>
    </w:rPr>
  </w:style>
  <w:style w:type="character" w:customStyle="1" w:styleId="314">
    <w:name w:val="脚注文本 Char"/>
    <w:link w:val="51"/>
    <w:qFormat/>
    <w:uiPriority w:val="0"/>
    <w:rPr>
      <w:color w:val="0000FF"/>
      <w:sz w:val="21"/>
    </w:rPr>
  </w:style>
  <w:style w:type="character" w:customStyle="1" w:styleId="315">
    <w:name w:val="称呼 Char1"/>
    <w:qFormat/>
    <w:uiPriority w:val="0"/>
    <w:rPr>
      <w:rFonts w:ascii="Times New Roman" w:hAnsi="Times New Roman" w:eastAsia="宋体" w:cs="Times New Roman"/>
      <w:szCs w:val="24"/>
    </w:rPr>
  </w:style>
  <w:style w:type="character" w:customStyle="1" w:styleId="316">
    <w:name w:val="正文1 Char"/>
    <w:qFormat/>
    <w:uiPriority w:val="0"/>
    <w:rPr>
      <w:rFonts w:ascii="宋体" w:eastAsia="宋体"/>
      <w:snapToGrid w:val="0"/>
      <w:color w:val="000000"/>
      <w:kern w:val="28"/>
      <w:sz w:val="28"/>
      <w:lang w:val="en-US" w:eastAsia="zh-CN" w:bidi="ar-SA"/>
    </w:rPr>
  </w:style>
  <w:style w:type="character" w:customStyle="1" w:styleId="317">
    <w:name w:val="正文缩进 Char1"/>
    <w:qFormat/>
    <w:uiPriority w:val="0"/>
    <w:rPr>
      <w:rFonts w:ascii="宋体" w:eastAsia="宋体"/>
      <w:snapToGrid w:val="0"/>
      <w:color w:val="000000"/>
      <w:kern w:val="28"/>
      <w:sz w:val="28"/>
      <w:lang w:val="en-US" w:eastAsia="zh-CN" w:bidi="ar-SA"/>
    </w:rPr>
  </w:style>
  <w:style w:type="character" w:customStyle="1" w:styleId="318">
    <w:name w:val="font21"/>
    <w:basedOn w:val="71"/>
    <w:qFormat/>
    <w:uiPriority w:val="0"/>
    <w:rPr>
      <w:rFonts w:hint="eastAsia" w:ascii="宋体" w:hAnsi="宋体" w:eastAsia="宋体"/>
      <w:kern w:val="2"/>
      <w:sz w:val="28"/>
      <w:szCs w:val="28"/>
      <w:lang w:val="en-US" w:eastAsia="zh-CN" w:bidi="ar-SA"/>
    </w:rPr>
  </w:style>
  <w:style w:type="character" w:customStyle="1" w:styleId="319">
    <w:name w:val="Char Char26"/>
    <w:qFormat/>
    <w:uiPriority w:val="6"/>
    <w:rPr>
      <w:kern w:val="1"/>
      <w:sz w:val="21"/>
      <w:szCs w:val="24"/>
    </w:rPr>
  </w:style>
  <w:style w:type="character" w:customStyle="1" w:styleId="320">
    <w:name w:val="Item List Char"/>
    <w:link w:val="321"/>
    <w:qFormat/>
    <w:uiPriority w:val="0"/>
    <w:rPr>
      <w:rFonts w:ascii="Arial"/>
      <w:bCs/>
      <w:sz w:val="21"/>
      <w:szCs w:val="21"/>
      <w:lang w:val="en-US" w:eastAsia="zh-CN" w:bidi="ar-SA"/>
    </w:rPr>
  </w:style>
  <w:style w:type="paragraph" w:customStyle="1" w:styleId="321">
    <w:name w:val="Item List"/>
    <w:link w:val="32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2">
    <w:name w:val="批注框文本 Char1"/>
    <w:qFormat/>
    <w:uiPriority w:val="0"/>
    <w:rPr>
      <w:rFonts w:ascii="Times New Roman" w:hAnsi="Times New Roman" w:eastAsia="宋体" w:cs="Times New Roman"/>
      <w:sz w:val="18"/>
      <w:szCs w:val="18"/>
    </w:rPr>
  </w:style>
  <w:style w:type="character" w:customStyle="1" w:styleId="323">
    <w:name w:val="纯文本 Char1"/>
    <w:link w:val="324"/>
    <w:qFormat/>
    <w:uiPriority w:val="0"/>
    <w:rPr>
      <w:rFonts w:ascii="宋体" w:hAnsi="Courier New"/>
    </w:rPr>
  </w:style>
  <w:style w:type="paragraph" w:customStyle="1" w:styleId="324">
    <w:name w:val="纯文本1"/>
    <w:basedOn w:val="1"/>
    <w:link w:val="323"/>
    <w:qFormat/>
    <w:uiPriority w:val="0"/>
    <w:pPr>
      <w:adjustRightInd/>
    </w:pPr>
    <w:rPr>
      <w:rFonts w:ascii="宋体" w:hAnsi="Courier New"/>
      <w:kern w:val="0"/>
      <w:sz w:val="20"/>
      <w:szCs w:val="20"/>
    </w:rPr>
  </w:style>
  <w:style w:type="character" w:customStyle="1" w:styleId="325">
    <w:name w:val="正文首行缩进 Char"/>
    <w:link w:val="2"/>
    <w:qFormat/>
    <w:uiPriority w:val="0"/>
    <w:rPr>
      <w:rFonts w:ascii="宋体"/>
      <w:kern w:val="2"/>
      <w:sz w:val="24"/>
      <w:lang w:val="zh-CN"/>
    </w:rPr>
  </w:style>
  <w:style w:type="character" w:customStyle="1" w:styleId="326">
    <w:name w:val="h3 Char"/>
    <w:qFormat/>
    <w:uiPriority w:val="0"/>
    <w:rPr>
      <w:rFonts w:eastAsia="宋体"/>
      <w:b/>
      <w:kern w:val="2"/>
      <w:sz w:val="32"/>
      <w:lang w:val="en-US" w:eastAsia="zh-CN" w:bidi="ar-SA"/>
    </w:rPr>
  </w:style>
  <w:style w:type="character" w:customStyle="1" w:styleId="327">
    <w:name w:val="dandyren_title1"/>
    <w:qFormat/>
    <w:uiPriority w:val="0"/>
    <w:rPr>
      <w:b/>
      <w:bCs/>
      <w:color w:val="FF6633"/>
      <w:sz w:val="18"/>
      <w:szCs w:val="18"/>
    </w:rPr>
  </w:style>
  <w:style w:type="character" w:customStyle="1" w:styleId="328">
    <w:name w:val="Char Char31"/>
    <w:qFormat/>
    <w:uiPriority w:val="6"/>
    <w:rPr>
      <w:rFonts w:ascii="Arial" w:hAnsi="Arial" w:eastAsia="黑体"/>
      <w:kern w:val="1"/>
      <w:sz w:val="24"/>
      <w:szCs w:val="24"/>
    </w:rPr>
  </w:style>
  <w:style w:type="character" w:customStyle="1" w:styleId="329">
    <w:name w:val="h Char1"/>
    <w:qFormat/>
    <w:uiPriority w:val="0"/>
    <w:rPr>
      <w:sz w:val="18"/>
      <w:szCs w:val="18"/>
    </w:rPr>
  </w:style>
  <w:style w:type="character" w:customStyle="1" w:styleId="330">
    <w:name w:val="solutionfonts"/>
    <w:qFormat/>
    <w:uiPriority w:val="0"/>
  </w:style>
  <w:style w:type="character" w:customStyle="1" w:styleId="331">
    <w:name w:val="标题 4 Char2"/>
    <w:link w:val="9"/>
    <w:qFormat/>
    <w:uiPriority w:val="9"/>
    <w:rPr>
      <w:rFonts w:ascii="Arial" w:hAnsi="Arial" w:eastAsia="黑体"/>
      <w:b/>
      <w:bCs/>
      <w:kern w:val="2"/>
      <w:sz w:val="28"/>
      <w:szCs w:val="28"/>
      <w:lang w:val="zh-CN"/>
    </w:rPr>
  </w:style>
  <w:style w:type="character" w:customStyle="1" w:styleId="332">
    <w:name w:val="首行缩进 Char"/>
    <w:qFormat/>
    <w:uiPriority w:val="0"/>
    <w:rPr>
      <w:rFonts w:ascii="宋体" w:eastAsia="宋体"/>
      <w:kern w:val="2"/>
      <w:sz w:val="24"/>
      <w:lang w:val="en-US" w:eastAsia="zh-CN" w:bidi="ar-SA"/>
    </w:rPr>
  </w:style>
  <w:style w:type="character" w:customStyle="1" w:styleId="333">
    <w:name w:val="Char Char52"/>
    <w:qFormat/>
    <w:uiPriority w:val="0"/>
    <w:rPr>
      <w:rFonts w:ascii="宋体" w:hAnsi="Courier New" w:eastAsia="宋体"/>
      <w:kern w:val="2"/>
      <w:sz w:val="21"/>
      <w:lang w:val="en-US" w:eastAsia="zh-CN"/>
    </w:rPr>
  </w:style>
  <w:style w:type="character" w:customStyle="1" w:styleId="334">
    <w:name w:val="正文文本 3 Char"/>
    <w:link w:val="25"/>
    <w:qFormat/>
    <w:uiPriority w:val="0"/>
    <w:rPr>
      <w:kern w:val="2"/>
      <w:sz w:val="21"/>
    </w:rPr>
  </w:style>
  <w:style w:type="character" w:customStyle="1" w:styleId="335">
    <w:name w:val="font31"/>
    <w:basedOn w:val="71"/>
    <w:qFormat/>
    <w:uiPriority w:val="0"/>
    <w:rPr>
      <w:rFonts w:hint="eastAsia" w:ascii="仿宋" w:hAnsi="仿宋" w:eastAsia="仿宋" w:cs="仿宋"/>
      <w:color w:val="000000"/>
      <w:sz w:val="20"/>
      <w:szCs w:val="20"/>
      <w:u w:val="none"/>
    </w:rPr>
  </w:style>
  <w:style w:type="character" w:customStyle="1" w:styleId="336">
    <w:name w:val="正文说明 Char"/>
    <w:link w:val="337"/>
    <w:qFormat/>
    <w:uiPriority w:val="0"/>
    <w:rPr>
      <w:sz w:val="24"/>
      <w:szCs w:val="24"/>
    </w:rPr>
  </w:style>
  <w:style w:type="paragraph" w:customStyle="1" w:styleId="337">
    <w:name w:val="正文说明"/>
    <w:basedOn w:val="1"/>
    <w:link w:val="336"/>
    <w:qFormat/>
    <w:uiPriority w:val="0"/>
    <w:pPr>
      <w:adjustRightInd/>
      <w:spacing w:line="360" w:lineRule="auto"/>
    </w:pPr>
    <w:rPr>
      <w:kern w:val="0"/>
      <w:sz w:val="24"/>
    </w:rPr>
  </w:style>
  <w:style w:type="character" w:customStyle="1" w:styleId="338">
    <w:name w:val="脚注文本 Char1"/>
    <w:qFormat/>
    <w:uiPriority w:val="0"/>
    <w:rPr>
      <w:rFonts w:ascii="Times New Roman" w:hAnsi="Times New Roman" w:eastAsia="宋体" w:cs="Times New Roman"/>
      <w:sz w:val="18"/>
      <w:szCs w:val="18"/>
    </w:rPr>
  </w:style>
  <w:style w:type="character" w:customStyle="1" w:styleId="339">
    <w:name w:val="Char Char1211"/>
    <w:qFormat/>
    <w:uiPriority w:val="0"/>
    <w:rPr>
      <w:rFonts w:ascii="仿宋_GB2312" w:eastAsia="仿宋_GB2312"/>
      <w:b/>
      <w:bCs/>
      <w:kern w:val="2"/>
      <w:sz w:val="24"/>
      <w:szCs w:val="24"/>
      <w:lang w:val="zh-CN" w:eastAsia="zh-CN" w:bidi="ar-SA"/>
    </w:rPr>
  </w:style>
  <w:style w:type="character" w:customStyle="1" w:styleId="340">
    <w:name w:val="标题 Char"/>
    <w:qFormat/>
    <w:uiPriority w:val="0"/>
    <w:rPr>
      <w:rFonts w:eastAsia="宋体"/>
      <w:b/>
      <w:sz w:val="24"/>
      <w:lang w:val="en-GB" w:eastAsia="zh-CN" w:bidi="ar-SA"/>
    </w:rPr>
  </w:style>
  <w:style w:type="character" w:customStyle="1" w:styleId="341">
    <w:name w:val="Char Char35"/>
    <w:qFormat/>
    <w:uiPriority w:val="6"/>
    <w:rPr>
      <w:rFonts w:ascii="Arial" w:hAnsi="Arial" w:eastAsia="黑体"/>
      <w:b/>
      <w:kern w:val="1"/>
      <w:sz w:val="28"/>
      <w:szCs w:val="28"/>
      <w:lang w:val="zh-CN"/>
    </w:rPr>
  </w:style>
  <w:style w:type="character" w:customStyle="1" w:styleId="342">
    <w:name w:val="纯文本 Char Char Char"/>
    <w:qFormat/>
    <w:uiPriority w:val="0"/>
    <w:rPr>
      <w:rFonts w:ascii="宋体" w:hAnsi="Courier New" w:eastAsia="宋体"/>
      <w:kern w:val="2"/>
      <w:sz w:val="21"/>
      <w:lang w:val="en-US" w:eastAsia="zh-CN" w:bidi="ar-SA"/>
    </w:rPr>
  </w:style>
  <w:style w:type="character" w:customStyle="1" w:styleId="343">
    <w:name w:val="Table Text Char"/>
    <w:link w:val="344"/>
    <w:qFormat/>
    <w:uiPriority w:val="0"/>
    <w:rPr>
      <w:sz w:val="24"/>
      <w:szCs w:val="24"/>
    </w:rPr>
  </w:style>
  <w:style w:type="paragraph" w:customStyle="1" w:styleId="344">
    <w:name w:val="Table Text"/>
    <w:basedOn w:val="1"/>
    <w:link w:val="343"/>
    <w:qFormat/>
    <w:uiPriority w:val="0"/>
    <w:pPr>
      <w:widowControl/>
      <w:spacing w:before="60" w:after="60"/>
      <w:jc w:val="left"/>
    </w:pPr>
    <w:rPr>
      <w:kern w:val="0"/>
      <w:sz w:val="24"/>
    </w:rPr>
  </w:style>
  <w:style w:type="character" w:customStyle="1" w:styleId="345">
    <w:name w:val="正文1 Char1"/>
    <w:qFormat/>
    <w:uiPriority w:val="0"/>
    <w:rPr>
      <w:rFonts w:ascii="仿宋_GB2312" w:hAnsi="Courier New" w:eastAsia="仿宋_GB2312"/>
      <w:kern w:val="28"/>
      <w:sz w:val="24"/>
      <w:szCs w:val="24"/>
      <w:lang w:val="en-US" w:eastAsia="zh-CN"/>
    </w:rPr>
  </w:style>
  <w:style w:type="character" w:customStyle="1" w:styleId="346">
    <w:name w:val="页脚 Char1"/>
    <w:qFormat/>
    <w:uiPriority w:val="0"/>
    <w:rPr>
      <w:rFonts w:eastAsia="宋体"/>
      <w:kern w:val="2"/>
      <w:sz w:val="18"/>
      <w:szCs w:val="18"/>
      <w:lang w:val="en-US" w:eastAsia="zh-CN" w:bidi="ar-SA"/>
    </w:rPr>
  </w:style>
  <w:style w:type="character" w:customStyle="1" w:styleId="347">
    <w:name w:val="Bold"/>
    <w:qFormat/>
    <w:uiPriority w:val="0"/>
    <w:rPr>
      <w:rFonts w:ascii="Arial" w:hAnsi="Arial" w:eastAsia="黑体" w:cs="Times New Roman"/>
      <w:b/>
      <w:kern w:val="2"/>
      <w:sz w:val="32"/>
      <w:szCs w:val="32"/>
      <w:lang w:val="en-US" w:eastAsia="zh-CN" w:bidi="ar-SA"/>
    </w:rPr>
  </w:style>
  <w:style w:type="character" w:customStyle="1" w:styleId="348">
    <w:name w:val="批注文字 Char1"/>
    <w:link w:val="23"/>
    <w:qFormat/>
    <w:uiPriority w:val="99"/>
    <w:rPr>
      <w:kern w:val="2"/>
      <w:sz w:val="21"/>
      <w:szCs w:val="24"/>
    </w:rPr>
  </w:style>
  <w:style w:type="character" w:customStyle="1" w:styleId="349">
    <w:name w:val="签名 Char"/>
    <w:link w:val="43"/>
    <w:qFormat/>
    <w:uiPriority w:val="0"/>
    <w:rPr>
      <w:rFonts w:eastAsia="仿宋_GB2312"/>
      <w:sz w:val="24"/>
    </w:rPr>
  </w:style>
  <w:style w:type="character" w:customStyle="1" w:styleId="350">
    <w:name w:val="hui3"/>
    <w:qFormat/>
    <w:uiPriority w:val="0"/>
    <w:rPr>
      <w:color w:val="333333"/>
    </w:rPr>
  </w:style>
  <w:style w:type="character" w:customStyle="1" w:styleId="351">
    <w:name w:val="Char Char17"/>
    <w:qFormat/>
    <w:uiPriority w:val="6"/>
    <w:rPr>
      <w:rFonts w:eastAsia="仿宋_GB2312"/>
      <w:sz w:val="24"/>
    </w:rPr>
  </w:style>
  <w:style w:type="character" w:customStyle="1" w:styleId="352">
    <w:name w:val="标题 4 字符"/>
    <w:qFormat/>
    <w:uiPriority w:val="9"/>
    <w:rPr>
      <w:rFonts w:ascii="等线 Light" w:hAnsi="等线 Light" w:eastAsia="等线 Light" w:cs="Times New Roman"/>
      <w:b/>
      <w:bCs/>
      <w:snapToGrid w:val="0"/>
      <w:kern w:val="0"/>
      <w:sz w:val="28"/>
      <w:szCs w:val="28"/>
    </w:rPr>
  </w:style>
  <w:style w:type="character" w:customStyle="1" w:styleId="353">
    <w:name w:val="Char Char37"/>
    <w:qFormat/>
    <w:uiPriority w:val="6"/>
    <w:rPr>
      <w:b/>
      <w:kern w:val="1"/>
      <w:sz w:val="44"/>
      <w:szCs w:val="44"/>
    </w:rPr>
  </w:style>
  <w:style w:type="character" w:customStyle="1" w:styleId="354">
    <w:name w:val="列出段落 Char"/>
    <w:qFormat/>
    <w:uiPriority w:val="0"/>
    <w:rPr>
      <w:rFonts w:eastAsia="楷体_GB2312" w:cs="Lucida Sans"/>
      <w:kern w:val="2"/>
      <w:sz w:val="24"/>
      <w:szCs w:val="24"/>
      <w:lang w:val="en-US" w:eastAsia="zh-CN" w:bidi="ar-SA"/>
    </w:rPr>
  </w:style>
  <w:style w:type="character" w:customStyle="1" w:styleId="355">
    <w:name w:val="正文文本缩进 3 Char1"/>
    <w:qFormat/>
    <w:uiPriority w:val="99"/>
    <w:rPr>
      <w:rFonts w:ascii="Times New Roman" w:hAnsi="Times New Roman" w:eastAsia="宋体" w:cs="Times New Roman"/>
      <w:sz w:val="16"/>
      <w:szCs w:val="16"/>
    </w:rPr>
  </w:style>
  <w:style w:type="character" w:customStyle="1" w:styleId="356">
    <w:name w:val="公文正文 Char Char"/>
    <w:link w:val="357"/>
    <w:qFormat/>
    <w:uiPriority w:val="0"/>
    <w:rPr>
      <w:rFonts w:ascii="仿宋_GB2312" w:eastAsia="仿宋_GB2312"/>
      <w:kern w:val="2"/>
      <w:sz w:val="24"/>
      <w:szCs w:val="24"/>
    </w:rPr>
  </w:style>
  <w:style w:type="paragraph" w:customStyle="1" w:styleId="357">
    <w:name w:val="公文正文"/>
    <w:basedOn w:val="1"/>
    <w:link w:val="356"/>
    <w:qFormat/>
    <w:uiPriority w:val="0"/>
    <w:pPr>
      <w:adjustRightInd/>
      <w:spacing w:before="156" w:line="360" w:lineRule="auto"/>
      <w:ind w:firstLine="360" w:firstLineChars="200"/>
    </w:pPr>
    <w:rPr>
      <w:rFonts w:ascii="仿宋_GB2312" w:eastAsia="仿宋_GB2312"/>
      <w:sz w:val="24"/>
    </w:rPr>
  </w:style>
  <w:style w:type="character" w:customStyle="1" w:styleId="358">
    <w:name w:val="Table Text Char1"/>
    <w:qFormat/>
    <w:uiPriority w:val="0"/>
    <w:rPr>
      <w:rFonts w:eastAsia="宋体"/>
      <w:sz w:val="24"/>
      <w:szCs w:val="24"/>
      <w:lang w:val="en-US" w:eastAsia="zh-CN" w:bidi="ar-SA"/>
    </w:rPr>
  </w:style>
  <w:style w:type="character" w:customStyle="1" w:styleId="359">
    <w:name w:val="标题 1 Char Char"/>
    <w:qFormat/>
    <w:uiPriority w:val="0"/>
    <w:rPr>
      <w:rFonts w:hint="eastAsia" w:ascii="宋体" w:hAnsi="宋体" w:eastAsia="宋体"/>
      <w:b/>
      <w:spacing w:val="-2"/>
      <w:sz w:val="24"/>
      <w:lang w:val="en-US" w:eastAsia="zh-CN" w:bidi="ar-SA"/>
    </w:rPr>
  </w:style>
  <w:style w:type="character" w:customStyle="1" w:styleId="360">
    <w:name w:val="正文（缩进2汉字） Char"/>
    <w:link w:val="361"/>
    <w:qFormat/>
    <w:uiPriority w:val="0"/>
    <w:rPr>
      <w:rFonts w:ascii="宋体"/>
    </w:rPr>
  </w:style>
  <w:style w:type="paragraph" w:customStyle="1" w:styleId="361">
    <w:name w:val="正文（缩进2汉字）"/>
    <w:basedOn w:val="1"/>
    <w:link w:val="36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题 8 Char"/>
    <w:link w:val="13"/>
    <w:qFormat/>
    <w:uiPriority w:val="0"/>
    <w:rPr>
      <w:rFonts w:ascii="Arial" w:hAnsi="Arial" w:eastAsia="黑体"/>
      <w:kern w:val="2"/>
      <w:sz w:val="24"/>
      <w:szCs w:val="24"/>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仿宋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basedOn w:val="71"/>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正文文本缩进 3 Char"/>
    <w:link w:val="54"/>
    <w:qFormat/>
    <w:uiPriority w:val="0"/>
    <w:rPr>
      <w:kern w:val="2"/>
      <w:sz w:val="24"/>
    </w:rPr>
  </w:style>
  <w:style w:type="character" w:customStyle="1" w:styleId="380">
    <w:name w:val="日期 Char1"/>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页脚 Char2"/>
    <w:link w:val="41"/>
    <w:qFormat/>
    <w:uiPriority w:val="99"/>
    <w:rPr>
      <w:kern w:val="2"/>
      <w:sz w:val="18"/>
      <w:szCs w:val="18"/>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页眉 Char2"/>
    <w:link w:val="42"/>
    <w:qFormat/>
    <w:uiPriority w:val="99"/>
    <w:rPr>
      <w:kern w:val="2"/>
      <w:sz w:val="18"/>
      <w:szCs w:val="18"/>
    </w:rPr>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156"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样式 标题 4h4H4Fab-4T5Ref Heading 1rh1Heading sqlsect 1.2.3.... Char"/>
    <w:link w:val="309"/>
    <w:qFormat/>
    <w:uiPriority w:val="0"/>
    <w:rPr>
      <w:rFonts w:ascii="微软雅黑" w:hAnsi="微软雅黑" w:eastAsia="微软雅黑"/>
      <w:b/>
      <w:bCs/>
      <w:kern w:val="2"/>
      <w:sz w:val="24"/>
      <w:szCs w:val="28"/>
    </w:rPr>
  </w:style>
  <w:style w:type="character" w:customStyle="1" w:styleId="418">
    <w:name w:val="h Char Char"/>
    <w:qFormat/>
    <w:uiPriority w:val="0"/>
    <w:rPr>
      <w:rFonts w:eastAsia="宋体"/>
      <w:kern w:val="2"/>
      <w:sz w:val="18"/>
      <w:lang w:val="en-US" w:eastAsia="zh-CN" w:bidi="ar-SA"/>
    </w:rPr>
  </w:style>
  <w:style w:type="character" w:customStyle="1" w:styleId="419">
    <w:name w:val="仿宋正文 Char"/>
    <w:link w:val="420"/>
    <w:qFormat/>
    <w:uiPriority w:val="0"/>
    <w:rPr>
      <w:rFonts w:ascii="仿宋_GB2312" w:eastAsia="仿宋_GB2312"/>
      <w:kern w:val="2"/>
      <w:sz w:val="24"/>
      <w:lang w:val="en-US" w:eastAsia="zh-CN" w:bidi="ar-SA"/>
    </w:rPr>
  </w:style>
  <w:style w:type="paragraph" w:customStyle="1" w:styleId="420">
    <w:name w:val="仿宋正文"/>
    <w:basedOn w:val="1"/>
    <w:link w:val="419"/>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qFormat/>
    <w:uiPriority w:val="9"/>
    <w:rPr>
      <w:rFonts w:ascii="Arial" w:hAnsi="Arial" w:eastAsia="黑体" w:cs="Arial"/>
      <w:b/>
      <w:bCs/>
      <w:snapToGrid w:val="0"/>
      <w:kern w:val="44"/>
      <w:sz w:val="44"/>
      <w:szCs w:val="44"/>
    </w:rPr>
  </w:style>
  <w:style w:type="character" w:customStyle="1" w:styleId="425">
    <w:name w:val="style36"/>
    <w:basedOn w:val="71"/>
    <w:qFormat/>
    <w:uiPriority w:val="0"/>
    <w:rPr>
      <w:rFonts w:ascii="Arial" w:hAnsi="Arial" w:eastAsia="黑体" w:cs="Arial"/>
      <w:snapToGrid w:val="0"/>
      <w:kern w:val="0"/>
      <w:szCs w:val="21"/>
    </w:rPr>
  </w:style>
  <w:style w:type="character" w:customStyle="1" w:styleId="426">
    <w:name w:val="pt9"/>
    <w:qFormat/>
    <w:uiPriority w:val="0"/>
    <w:rPr>
      <w:rFonts w:ascii="仿宋_GB2312" w:eastAsia="微软雅黑"/>
      <w:b/>
      <w:kern w:val="2"/>
      <w:sz w:val="32"/>
      <w:szCs w:val="32"/>
      <w:lang w:val="en-US" w:eastAsia="zh-CN" w:bidi="ar-SA"/>
    </w:rPr>
  </w:style>
  <w:style w:type="character" w:customStyle="1" w:styleId="427">
    <w:name w:val="DO_NOT_TRANSLATE"/>
    <w:qFormat/>
    <w:uiPriority w:val="0"/>
    <w:rPr>
      <w:rFonts w:ascii="Courier New" w:hAnsi="Courier New" w:cs="Courier New"/>
      <w:color w:val="800000"/>
      <w:lang w:val="en-US" w:eastAsia="zh-CN"/>
    </w:rPr>
  </w:style>
  <w:style w:type="character" w:customStyle="1" w:styleId="428">
    <w:name w:val="标书1 Char1"/>
    <w:qFormat/>
    <w:uiPriority w:val="0"/>
    <w:rPr>
      <w:rFonts w:eastAsia="宋体"/>
      <w:b/>
      <w:bCs/>
      <w:kern w:val="44"/>
      <w:sz w:val="44"/>
      <w:szCs w:val="44"/>
      <w:lang w:val="en-US" w:eastAsia="zh-CN" w:bidi="ar-SA"/>
    </w:rPr>
  </w:style>
  <w:style w:type="character" w:customStyle="1" w:styleId="429">
    <w:name w:val="页脚 字符"/>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qFormat/>
    <w:uiPriority w:val="6"/>
    <w:rPr>
      <w:rFonts w:ascii="宋体" w:hAnsi="宋体"/>
      <w:kern w:val="1"/>
      <w:sz w:val="24"/>
      <w:szCs w:val="21"/>
      <w:lang w:val="zh-CN"/>
    </w:rPr>
  </w:style>
  <w:style w:type="character" w:customStyle="1" w:styleId="432">
    <w:name w:val="样式 正文缩进 + 首行缩进:  2 字符 Char Char"/>
    <w:link w:val="433"/>
    <w:qFormat/>
    <w:uiPriority w:val="0"/>
    <w:rPr>
      <w:rFonts w:cs="宋体"/>
      <w:kern w:val="2"/>
      <w:sz w:val="24"/>
    </w:rPr>
  </w:style>
  <w:style w:type="paragraph" w:customStyle="1" w:styleId="433">
    <w:name w:val="样式 正文缩进 + 首行缩进:  2 字符"/>
    <w:basedOn w:val="7"/>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5">
    <w:name w:val="gray6"/>
    <w:basedOn w:val="71"/>
    <w:qFormat/>
    <w:uiPriority w:val="0"/>
    <w:rPr>
      <w:rFonts w:ascii="Arial" w:hAnsi="Arial" w:eastAsia="黑体" w:cs="Arial"/>
      <w:snapToGrid w:val="0"/>
      <w:kern w:val="0"/>
      <w:szCs w:val="21"/>
    </w:rPr>
  </w:style>
  <w:style w:type="character" w:customStyle="1" w:styleId="436">
    <w:name w:val="hui"/>
    <w:basedOn w:val="71"/>
    <w:qFormat/>
    <w:uiPriority w:val="0"/>
    <w:rPr>
      <w:rFonts w:ascii="Arial" w:hAnsi="Arial" w:eastAsia="黑体" w:cs="Arial"/>
      <w:snapToGrid w:val="0"/>
      <w:kern w:val="0"/>
      <w:szCs w:val="21"/>
    </w:rPr>
  </w:style>
  <w:style w:type="character" w:customStyle="1" w:styleId="437">
    <w:name w:val="哈哈正文 Char Char"/>
    <w:qFormat/>
    <w:uiPriority w:val="0"/>
    <w:rPr>
      <w:rFonts w:ascii="宋体" w:hAnsi="宋体" w:eastAsia="宋体" w:cs="宋体"/>
      <w:kern w:val="2"/>
      <w:sz w:val="24"/>
      <w:lang w:val="en-US" w:eastAsia="zh-CN" w:bidi="ar-SA"/>
    </w:rPr>
  </w:style>
  <w:style w:type="paragraph" w:customStyle="1" w:styleId="438">
    <w:name w:val="样式 正文文本缩进 + 左侧:  2 字符 首行缩进:  2 字符"/>
    <w:basedOn w:val="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0">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5">
    <w:name w:val="标题4_自定义"/>
    <w:basedOn w:val="9"/>
    <w:qFormat/>
    <w:uiPriority w:val="0"/>
    <w:pPr>
      <w:adjustRightInd/>
      <w:spacing w:before="0" w:after="0" w:line="360" w:lineRule="auto"/>
    </w:pPr>
    <w:rPr>
      <w:rFonts w:ascii="Verdana" w:eastAsia="Verdana"/>
      <w:sz w:val="21"/>
      <w:lang w:val="en-US"/>
    </w:rPr>
  </w:style>
  <w:style w:type="paragraph" w:customStyle="1" w:styleId="446">
    <w:name w:val="正文 内标 序号标"/>
    <w:basedOn w:val="447"/>
    <w:qFormat/>
    <w:uiPriority w:val="0"/>
    <w:pPr>
      <w:tabs>
        <w:tab w:val="left" w:pos="0"/>
      </w:tabs>
      <w:adjustRightInd/>
      <w:spacing w:before="0"/>
      <w:ind w:firstLine="482"/>
    </w:pPr>
    <w:rPr>
      <w:rFonts w:ascii="微软雅黑" w:hAnsi="微软雅黑"/>
      <w:sz w:val="24"/>
      <w:szCs w:val="24"/>
    </w:rPr>
  </w:style>
  <w:style w:type="paragraph" w:customStyle="1" w:styleId="447">
    <w:name w:val="My正文"/>
    <w:basedOn w:val="1"/>
    <w:qFormat/>
    <w:uiPriority w:val="0"/>
    <w:pPr>
      <w:spacing w:before="120" w:line="360" w:lineRule="auto"/>
      <w:ind w:firstLine="567"/>
    </w:pPr>
    <w:rPr>
      <w:rFonts w:ascii="Arial" w:hAnsi="Arial"/>
      <w:sz w:val="20"/>
      <w:szCs w:val="20"/>
    </w:rPr>
  </w:style>
  <w:style w:type="paragraph" w:customStyle="1" w:styleId="44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1">
    <w:name w:val="修订2"/>
    <w:qFormat/>
    <w:uiPriority w:val="0"/>
    <w:rPr>
      <w:rFonts w:ascii="Times New Roman" w:hAnsi="Times New Roman" w:eastAsia="宋体" w:cs="Times New Roman"/>
      <w:kern w:val="2"/>
      <w:sz w:val="21"/>
      <w:lang w:val="en-US" w:eastAsia="zh-CN" w:bidi="ar-SA"/>
    </w:rPr>
  </w:style>
  <w:style w:type="paragraph" w:customStyle="1" w:styleId="45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4">
    <w:name w:val="文章标题"/>
    <w:next w:val="455"/>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5">
    <w:name w:val="封面公司名"/>
    <w:qFormat/>
    <w:uiPriority w:val="0"/>
    <w:pPr>
      <w:jc w:val="center"/>
    </w:pPr>
    <w:rPr>
      <w:rFonts w:ascii="Arial" w:hAnsi="Arial" w:eastAsia="楷体_GB2312" w:cs="宋体"/>
      <w:bCs/>
      <w:kern w:val="2"/>
      <w:sz w:val="28"/>
      <w:lang w:val="en-US" w:eastAsia="zh-CN" w:bidi="ar-SA"/>
    </w:rPr>
  </w:style>
  <w:style w:type="paragraph" w:customStyle="1" w:styleId="456">
    <w:name w:val="Char1 Char Char Char5"/>
    <w:basedOn w:val="1"/>
    <w:qFormat/>
    <w:uiPriority w:val="0"/>
    <w:pPr>
      <w:adjustRightInd/>
      <w:ind w:firstLine="200" w:firstLineChars="200"/>
    </w:pPr>
    <w:rPr>
      <w:rFonts w:ascii="Tahoma" w:hAnsi="Tahoma"/>
      <w:sz w:val="24"/>
      <w:szCs w:val="20"/>
    </w:rPr>
  </w:style>
  <w:style w:type="paragraph" w:customStyle="1" w:styleId="4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9">
    <w:name w:val="Char Char Char Char Char Char Char Char"/>
    <w:basedOn w:val="1"/>
    <w:qFormat/>
    <w:uiPriority w:val="0"/>
    <w:pPr>
      <w:tabs>
        <w:tab w:val="left" w:pos="360"/>
      </w:tabs>
    </w:pPr>
    <w:rPr>
      <w:sz w:val="24"/>
      <w:szCs w:val="20"/>
    </w:rPr>
  </w:style>
  <w:style w:type="paragraph" w:customStyle="1" w:styleId="460">
    <w:name w:val="Char Char11 Char Char Char"/>
    <w:basedOn w:val="1"/>
    <w:qFormat/>
    <w:uiPriority w:val="0"/>
    <w:pPr>
      <w:spacing w:line="360" w:lineRule="auto"/>
    </w:pPr>
    <w:rPr>
      <w:szCs w:val="20"/>
    </w:rPr>
  </w:style>
  <w:style w:type="paragraph" w:customStyle="1" w:styleId="46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3">
    <w:name w:val="样式3"/>
    <w:basedOn w:val="464"/>
    <w:qFormat/>
    <w:uiPriority w:val="0"/>
    <w:pPr>
      <w:tabs>
        <w:tab w:val="left" w:pos="2790"/>
        <w:tab w:val="left" w:pos="4230"/>
      </w:tabs>
      <w:spacing w:before="312" w:beforeLines="100"/>
      <w:jc w:val="left"/>
    </w:pPr>
  </w:style>
  <w:style w:type="paragraph" w:customStyle="1" w:styleId="46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5">
    <w:name w:val="Char Char1 Char Char1 Char Char1"/>
    <w:basedOn w:val="1"/>
    <w:qFormat/>
    <w:uiPriority w:val="0"/>
    <w:pPr>
      <w:tabs>
        <w:tab w:val="left" w:pos="840"/>
      </w:tabs>
      <w:ind w:left="840" w:hanging="420"/>
    </w:pPr>
    <w:rPr>
      <w:rFonts w:ascii="Tahoma" w:hAnsi="Tahoma"/>
      <w:sz w:val="24"/>
    </w:rPr>
  </w:style>
  <w:style w:type="paragraph" w:customStyle="1" w:styleId="46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7">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9">
    <w:name w:val="正文21"/>
    <w:basedOn w:val="1"/>
    <w:qFormat/>
    <w:uiPriority w:val="0"/>
    <w:pPr>
      <w:adjustRightInd/>
      <w:spacing w:before="156" w:line="360" w:lineRule="auto"/>
      <w:ind w:firstLine="510" w:firstLineChars="200"/>
    </w:pPr>
    <w:rPr>
      <w:sz w:val="24"/>
      <w:szCs w:val="20"/>
    </w:rPr>
  </w:style>
  <w:style w:type="paragraph" w:customStyle="1" w:styleId="470">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2">
    <w:name w:val="Char1"/>
    <w:basedOn w:val="1"/>
    <w:qFormat/>
    <w:uiPriority w:val="0"/>
    <w:rPr>
      <w:rFonts w:ascii="仿宋_GB2312" w:eastAsia="仿宋_GB2312"/>
      <w:b/>
      <w:sz w:val="32"/>
      <w:szCs w:val="32"/>
    </w:rPr>
  </w:style>
  <w:style w:type="paragraph" w:customStyle="1" w:styleId="47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7">
    <w:name w:val="6级标题"/>
    <w:basedOn w:val="478"/>
    <w:qFormat/>
    <w:uiPriority w:val="0"/>
    <w:pPr>
      <w:keepNext/>
      <w:tabs>
        <w:tab w:val="left" w:pos="360"/>
      </w:tabs>
      <w:spacing w:before="0" w:after="0"/>
      <w:outlineLvl w:val="5"/>
    </w:pPr>
  </w:style>
  <w:style w:type="paragraph" w:customStyle="1" w:styleId="478">
    <w:name w:val="5级标题"/>
    <w:basedOn w:val="479"/>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9">
    <w:name w:val="4级标题"/>
    <w:basedOn w:val="26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0">
    <w:name w:val="样式 正文文本缩进 + 段前: 2 字符"/>
    <w:basedOn w:val="1"/>
    <w:qFormat/>
    <w:uiPriority w:val="0"/>
    <w:pPr>
      <w:adjustRightInd/>
      <w:ind w:left="420" w:leftChars="200"/>
      <w:jc w:val="left"/>
    </w:pPr>
    <w:rPr>
      <w:sz w:val="28"/>
      <w:szCs w:val="20"/>
      <w:lang w:eastAsia="zh-TW"/>
    </w:rPr>
  </w:style>
  <w:style w:type="paragraph" w:customStyle="1" w:styleId="481">
    <w:name w:val="Char2 Char Char"/>
    <w:basedOn w:val="1"/>
    <w:qFormat/>
    <w:uiPriority w:val="0"/>
    <w:pPr>
      <w:adjustRightInd/>
    </w:pPr>
    <w:rPr>
      <w:rFonts w:ascii="Tahoma" w:hAnsi="Tahoma"/>
      <w:sz w:val="24"/>
      <w:szCs w:val="20"/>
    </w:rPr>
  </w:style>
  <w:style w:type="paragraph" w:customStyle="1" w:styleId="482">
    <w:name w:val="_Style 11"/>
    <w:basedOn w:val="1"/>
    <w:qFormat/>
    <w:uiPriority w:val="34"/>
    <w:pPr>
      <w:adjustRightInd/>
      <w:ind w:firstLine="420" w:firstLineChars="200"/>
    </w:pPr>
    <w:rPr>
      <w:rFonts w:eastAsia="仿宋_GB2312"/>
      <w:sz w:val="28"/>
    </w:rPr>
  </w:style>
  <w:style w:type="paragraph" w:customStyle="1" w:styleId="48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4">
    <w:name w:val="Char Char Char"/>
    <w:basedOn w:val="1"/>
    <w:qFormat/>
    <w:uiPriority w:val="0"/>
    <w:rPr>
      <w:rFonts w:ascii="Tahoma" w:hAnsi="Tahoma"/>
      <w:sz w:val="24"/>
      <w:szCs w:val="20"/>
    </w:rPr>
  </w:style>
  <w:style w:type="paragraph" w:customStyle="1" w:styleId="485">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7">
    <w:name w:val="No Spacing"/>
    <w:basedOn w:val="1"/>
    <w:link w:val="935"/>
    <w:qFormat/>
    <w:uiPriority w:val="99"/>
    <w:rPr>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5"/>
    <w:qFormat/>
    <w:uiPriority w:val="0"/>
    <w:pPr>
      <w:tabs>
        <w:tab w:val="left" w:pos="1260"/>
      </w:tabs>
      <w:ind w:left="1260" w:hanging="420"/>
    </w:pPr>
    <w:rPr>
      <w:rFonts w:ascii="Arial" w:hAnsi="Arial" w:eastAsia="黑体"/>
      <w:lang w:val="en-US"/>
    </w:rPr>
  </w:style>
  <w:style w:type="paragraph" w:customStyle="1" w:styleId="494">
    <w:name w:val="五级无标题条"/>
    <w:basedOn w:val="1"/>
    <w:qFormat/>
    <w:uiPriority w:val="0"/>
    <w:pPr>
      <w:adjustRightInd/>
    </w:pPr>
  </w:style>
  <w:style w:type="paragraph" w:customStyle="1" w:styleId="495">
    <w:name w:val="Char5"/>
    <w:basedOn w:val="1"/>
    <w:qFormat/>
    <w:uiPriority w:val="0"/>
    <w:rPr>
      <w:rFonts w:ascii="仿宋_GB2312" w:eastAsia="仿宋_GB2312"/>
      <w:b/>
      <w:sz w:val="32"/>
      <w:szCs w:val="32"/>
    </w:rPr>
  </w:style>
  <w:style w:type="paragraph" w:customStyle="1" w:styleId="496">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qFormat/>
    <w:uiPriority w:val="0"/>
    <w:rPr>
      <w:rFonts w:ascii="仿宋_GB2312" w:eastAsia="仿宋_GB2312"/>
      <w:b/>
      <w:sz w:val="32"/>
      <w:szCs w:val="32"/>
    </w:rPr>
  </w:style>
  <w:style w:type="paragraph" w:customStyle="1" w:styleId="500">
    <w:name w:val="数字标题3"/>
    <w:basedOn w:val="6"/>
    <w:next w:val="1"/>
    <w:qFormat/>
    <w:uiPriority w:val="0"/>
    <w:pPr>
      <w:spacing w:line="240" w:lineRule="auto"/>
    </w:pPr>
    <w:rPr>
      <w:sz w:val="28"/>
      <w:szCs w:val="28"/>
    </w:rPr>
  </w:style>
  <w:style w:type="paragraph" w:customStyle="1" w:styleId="501">
    <w:name w:val="FA正文"/>
    <w:basedOn w:val="1"/>
    <w:qFormat/>
    <w:uiPriority w:val="0"/>
    <w:pPr>
      <w:spacing w:line="360" w:lineRule="auto"/>
      <w:ind w:firstLine="480" w:firstLineChars="200"/>
    </w:pPr>
    <w:rPr>
      <w:rFonts w:hAnsi="宋体"/>
      <w:sz w:val="24"/>
      <w:szCs w:val="20"/>
    </w:rPr>
  </w:style>
  <w:style w:type="paragraph" w:customStyle="1" w:styleId="502">
    <w:name w:val="MM Topic 5"/>
    <w:basedOn w:val="10"/>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qFormat/>
    <w:uiPriority w:val="0"/>
    <w:rPr>
      <w:rFonts w:ascii="仿宋_GB2312" w:eastAsia="仿宋_GB2312"/>
      <w:b/>
      <w:sz w:val="32"/>
      <w:szCs w:val="32"/>
    </w:rPr>
  </w:style>
  <w:style w:type="paragraph" w:customStyle="1" w:styleId="507">
    <w:name w:val="Char2 Char Char Char1"/>
    <w:basedOn w:val="1"/>
    <w:qFormat/>
    <w:uiPriority w:val="6"/>
    <w:rPr>
      <w:rFonts w:ascii="仿宋_GB2312" w:eastAsia="仿宋_GB2312"/>
      <w:b/>
      <w:sz w:val="32"/>
      <w:szCs w:val="32"/>
    </w:rPr>
  </w:style>
  <w:style w:type="paragraph" w:customStyle="1" w:styleId="508">
    <w:name w:val="默认段落样式"/>
    <w:basedOn w:val="136"/>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qFormat/>
    <w:uiPriority w:val="0"/>
    <w:pPr>
      <w:snapToGrid w:val="0"/>
      <w:spacing w:line="0" w:lineRule="atLeast"/>
      <w:ind w:firstLine="200" w:firstLineChars="200"/>
      <w:jc w:val="center"/>
    </w:pPr>
    <w:rPr>
      <w:sz w:val="24"/>
      <w:szCs w:val="20"/>
    </w:rPr>
  </w:style>
  <w:style w:type="paragraph" w:customStyle="1" w:styleId="5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6"/>
    <w:qFormat/>
    <w:uiPriority w:val="0"/>
    <w:pPr>
      <w:tabs>
        <w:tab w:val="left" w:pos="1680"/>
      </w:tabs>
      <w:adjustRightInd/>
      <w:ind w:left="1680" w:hanging="420"/>
    </w:pPr>
  </w:style>
  <w:style w:type="paragraph" w:customStyle="1" w:styleId="512">
    <w:name w:val="标准小四"/>
    <w:basedOn w:val="1"/>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2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qFormat/>
    <w:uiPriority w:val="0"/>
    <w:pPr>
      <w:adjustRightInd/>
      <w:ind w:firstLine="200" w:firstLineChars="200"/>
      <w:jc w:val="right"/>
    </w:pPr>
  </w:style>
  <w:style w:type="paragraph" w:customStyle="1" w:styleId="529">
    <w:name w:val="Char Char11 Char Char Char Char Char Char Char Char Char"/>
    <w:basedOn w:val="1"/>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qFormat/>
    <w:uiPriority w:val="6"/>
    <w:rPr>
      <w:rFonts w:ascii="仿宋_GB2312" w:eastAsia="仿宋_GB2312"/>
      <w:b/>
      <w:sz w:val="32"/>
      <w:szCs w:val="20"/>
    </w:rPr>
  </w:style>
  <w:style w:type="paragraph" w:customStyle="1" w:styleId="535">
    <w:name w:val="列出段落2"/>
    <w:basedOn w:val="1"/>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9"/>
    <w:qFormat/>
    <w:uiPriority w:val="0"/>
    <w:pPr>
      <w:widowControl/>
      <w:jc w:val="left"/>
    </w:pPr>
    <w:rPr>
      <w:rFonts w:cs="宋体"/>
      <w:sz w:val="24"/>
      <w:szCs w:val="20"/>
    </w:rPr>
  </w:style>
  <w:style w:type="paragraph" w:customStyle="1" w:styleId="539">
    <w:name w:val="彩色列表 - 强调文字颜色 11"/>
    <w:basedOn w:val="1"/>
    <w:qFormat/>
    <w:uiPriority w:val="0"/>
    <w:pPr>
      <w:adjustRightInd/>
      <w:ind w:firstLine="420" w:firstLineChars="200"/>
    </w:pPr>
    <w:rPr>
      <w:rFonts w:ascii="Calibri" w:hAnsi="Calibri"/>
      <w:szCs w:val="22"/>
    </w:rPr>
  </w:style>
  <w:style w:type="paragraph" w:customStyle="1" w:styleId="540">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84"/>
    <w:next w:val="84"/>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84"/>
    <w:next w:val="84"/>
    <w:qFormat/>
    <w:uiPriority w:val="0"/>
    <w:rPr>
      <w:rFonts w:ascii="宋体" w:eastAsia="宋体" w:cs="Times New Roman"/>
      <w:color w:val="auto"/>
    </w:rPr>
  </w:style>
  <w:style w:type="paragraph" w:customStyle="1" w:styleId="554">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qFormat/>
    <w:uiPriority w:val="0"/>
    <w:rPr>
      <w:rFonts w:ascii="仿宋_GB2312" w:eastAsia="仿宋_GB2312"/>
      <w:b/>
      <w:sz w:val="32"/>
      <w:szCs w:val="32"/>
    </w:rPr>
  </w:style>
  <w:style w:type="paragraph" w:customStyle="1" w:styleId="55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qFormat/>
    <w:uiPriority w:val="0"/>
    <w:rPr>
      <w:szCs w:val="20"/>
    </w:rPr>
  </w:style>
  <w:style w:type="paragraph" w:customStyle="1" w:styleId="58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qFormat/>
    <w:uiPriority w:val="0"/>
    <w:pPr>
      <w:adjustRightInd/>
      <w:spacing w:before="156"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7"/>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qFormat/>
    <w:uiPriority w:val="0"/>
    <w:pPr>
      <w:widowControl/>
      <w:adjustRightInd/>
      <w:spacing w:after="160" w:line="240" w:lineRule="exact"/>
      <w:jc w:val="left"/>
    </w:pPr>
    <w:rPr>
      <w:szCs w:val="20"/>
    </w:rPr>
  </w:style>
  <w:style w:type="paragraph" w:customStyle="1" w:styleId="621">
    <w:name w:val="表格标题2"/>
    <w:basedOn w:val="622"/>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qFormat/>
    <w:uiPriority w:val="0"/>
    <w:rPr>
      <w:rFonts w:ascii="仿宋_GB2312" w:eastAsia="仿宋_GB2312"/>
      <w:b/>
      <w:sz w:val="32"/>
      <w:szCs w:val="32"/>
    </w:rPr>
  </w:style>
  <w:style w:type="paragraph" w:customStyle="1" w:styleId="62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qFormat/>
    <w:uiPriority w:val="0"/>
    <w:pPr>
      <w:spacing w:line="360" w:lineRule="auto"/>
    </w:pPr>
    <w:rPr>
      <w:szCs w:val="20"/>
    </w:rPr>
  </w:style>
  <w:style w:type="paragraph" w:customStyle="1" w:styleId="62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9">
    <w:name w:val="MM Topic 1"/>
    <w:basedOn w:val="4"/>
    <w:qFormat/>
    <w:uiPriority w:val="0"/>
    <w:pPr>
      <w:tabs>
        <w:tab w:val="left" w:pos="840"/>
      </w:tabs>
      <w:adjustRightInd/>
      <w:ind w:left="840" w:hanging="420"/>
    </w:pPr>
  </w:style>
  <w:style w:type="paragraph" w:customStyle="1" w:styleId="630">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qFormat/>
    <w:uiPriority w:val="0"/>
    <w:pPr>
      <w:spacing w:line="360" w:lineRule="auto"/>
      <w:ind w:firstLine="200" w:firstLineChars="200"/>
    </w:pPr>
    <w:rPr>
      <w:kern w:val="0"/>
      <w:sz w:val="24"/>
      <w:szCs w:val="20"/>
    </w:rPr>
  </w:style>
  <w:style w:type="paragraph" w:customStyle="1" w:styleId="632">
    <w:name w:val="表格"/>
    <w:basedOn w:val="1"/>
    <w:qFormat/>
    <w:uiPriority w:val="0"/>
    <w:pPr>
      <w:snapToGrid w:val="0"/>
      <w:ind w:firstLine="42" w:firstLineChars="21"/>
    </w:pPr>
    <w:rPr>
      <w:rFonts w:ascii="宋体" w:hAnsi="宋体"/>
      <w:kern w:val="0"/>
      <w:sz w:val="20"/>
      <w:szCs w:val="20"/>
    </w:rPr>
  </w:style>
  <w:style w:type="paragraph" w:customStyle="1" w:styleId="633">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156"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4"/>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0" w:after="0"/>
      <w:ind w:left="1680"/>
      <w:outlineLvl w:val="2"/>
    </w:pPr>
  </w:style>
  <w:style w:type="paragraph" w:customStyle="1" w:styleId="662">
    <w:name w:val="章标题"/>
    <w:next w:val="64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9"/>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1"/>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8"/>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6"/>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4"/>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9"/>
    <w:next w:val="644"/>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8"/>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3"/>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21"/>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2"/>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6"/>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2"/>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2"/>
    <w:qFormat/>
    <w:uiPriority w:val="0"/>
    <w:rPr>
      <w:b w:val="0"/>
      <w:sz w:val="20"/>
    </w:rPr>
  </w:style>
  <w:style w:type="paragraph" w:customStyle="1" w:styleId="896">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10"/>
    <w:next w:val="1"/>
    <w:qFormat/>
    <w:uiPriority w:val="0"/>
    <w:pPr>
      <w:tabs>
        <w:tab w:val="left" w:pos="1080"/>
      </w:tabs>
      <w:ind w:left="1080" w:hanging="1080"/>
    </w:pPr>
  </w:style>
  <w:style w:type="paragraph" w:customStyle="1" w:styleId="899">
    <w:name w:val="数字标题1"/>
    <w:basedOn w:val="4"/>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7"/>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6"/>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9"/>
    <w:qFormat/>
    <w:uiPriority w:val="0"/>
    <w:rPr>
      <w:kern w:val="2"/>
      <w:sz w:val="21"/>
      <w:szCs w:val="24"/>
      <w:lang w:val="zh-CN"/>
    </w:rPr>
  </w:style>
  <w:style w:type="character" w:customStyle="1" w:styleId="935">
    <w:name w:val="无间隔 Char"/>
    <w:link w:val="487"/>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2"/>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1"/>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basedOn w:val="7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customStyle="1" w:styleId="967">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8">
    <w:name w:val="NormalCharacter"/>
    <w:semiHidden/>
    <w:qFormat/>
    <w:uiPriority w:val="0"/>
  </w:style>
  <w:style w:type="paragraph" w:customStyle="1" w:styleId="969">
    <w:name w:val="PlainText"/>
    <w:basedOn w:val="1"/>
    <w:next w:val="1"/>
    <w:qFormat/>
    <w:uiPriority w:val="0"/>
    <w:rPr>
      <w:rFonts w:ascii="宋体" w:hAnsi="Courier New"/>
      <w:sz w:val="21"/>
    </w:rPr>
  </w:style>
  <w:style w:type="paragraph" w:customStyle="1" w:styleId="970">
    <w:name w:val="Plain Text"/>
    <w:basedOn w:val="971"/>
    <w:qFormat/>
    <w:uiPriority w:val="0"/>
    <w:pPr>
      <w:numPr>
        <w:ilvl w:val="0"/>
        <w:numId w:val="2"/>
      </w:numPr>
      <w:autoSpaceDE w:val="0"/>
      <w:autoSpaceDN w:val="0"/>
      <w:adjustRightInd w:val="0"/>
      <w:ind w:left="0" w:firstLine="0"/>
      <w:textAlignment w:val="baseline"/>
    </w:pPr>
    <w:rPr>
      <w:rFonts w:ascii="宋体" w:hAnsi="Tms Rmn"/>
      <w:kern w:val="0"/>
      <w:sz w:val="21"/>
    </w:rPr>
  </w:style>
  <w:style w:type="paragraph" w:customStyle="1" w:styleId="971">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2">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3">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4">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141</Pages>
  <Words>24858</Words>
  <Characters>28443</Characters>
  <Paragraphs>1943</Paragraphs>
  <TotalTime>1</TotalTime>
  <ScaleCrop>false</ScaleCrop>
  <LinksUpToDate>false</LinksUpToDate>
  <CharactersWithSpaces>30275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2024-07-29T08:09:00Z</cp:lastPrinted>
  <dcterms:modified xsi:type="dcterms:W3CDTF">2024-11-26T14:25:48Z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2E8D77266C7E4962878BDCDF080E7846_13</vt:lpwstr>
  </property>
</Properties>
</file>