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0A6F9">
      <w:pPr>
        <w:pStyle w:val="10"/>
        <w:spacing w:line="360" w:lineRule="auto"/>
        <w:ind w:left="0" w:leftChars="0" w:firstLine="0" w:firstLineChars="0"/>
        <w:jc w:val="center"/>
        <w:rPr>
          <w:rFonts w:hint="default" w:ascii="宋体" w:hAnsi="宋体" w:eastAsia="宋体" w:cs="宋体"/>
          <w:b/>
          <w:bCs/>
          <w:color w:val="auto"/>
          <w:sz w:val="44"/>
          <w:szCs w:val="44"/>
          <w:highlight w:val="none"/>
          <w:lang w:val="en-US"/>
        </w:rPr>
      </w:pPr>
      <w:r>
        <w:rPr>
          <w:rFonts w:hint="eastAsia" w:ascii="宋体" w:hAnsi="宋体" w:cs="宋体"/>
          <w:b/>
          <w:bCs/>
          <w:color w:val="auto"/>
          <w:sz w:val="48"/>
          <w:szCs w:val="48"/>
          <w:highlight w:val="none"/>
          <w:lang w:eastAsia="zh-CN"/>
        </w:rPr>
        <w:t>2025年市级重要媒体宣传服务项目(第四次)</w:t>
      </w:r>
    </w:p>
    <w:p w14:paraId="1A310267">
      <w:pPr>
        <w:pStyle w:val="10"/>
        <w:spacing w:line="360" w:lineRule="auto"/>
        <w:rPr>
          <w:rFonts w:hint="eastAsia" w:ascii="宋体" w:hAnsi="宋体" w:eastAsia="宋体" w:cs="宋体"/>
          <w:b/>
          <w:bCs/>
          <w:color w:val="auto"/>
          <w:sz w:val="44"/>
          <w:szCs w:val="44"/>
          <w:highlight w:val="none"/>
        </w:rPr>
      </w:pPr>
    </w:p>
    <w:p w14:paraId="7A2EF644">
      <w:pPr>
        <w:pStyle w:val="10"/>
        <w:spacing w:line="360" w:lineRule="auto"/>
        <w:rPr>
          <w:rFonts w:hint="eastAsia" w:ascii="宋体" w:hAnsi="宋体" w:eastAsia="宋体" w:cs="宋体"/>
          <w:b/>
          <w:bCs/>
          <w:color w:val="auto"/>
          <w:sz w:val="44"/>
          <w:szCs w:val="44"/>
          <w:highlight w:val="none"/>
        </w:rPr>
      </w:pPr>
    </w:p>
    <w:p w14:paraId="495114A3">
      <w:pPr>
        <w:pStyle w:val="10"/>
        <w:spacing w:line="360" w:lineRule="auto"/>
        <w:rPr>
          <w:rFonts w:hint="eastAsia" w:ascii="宋体" w:hAnsi="宋体" w:eastAsia="宋体" w:cs="宋体"/>
          <w:b/>
          <w:bCs/>
          <w:color w:val="auto"/>
          <w:sz w:val="44"/>
          <w:szCs w:val="44"/>
          <w:highlight w:val="none"/>
        </w:rPr>
      </w:pPr>
    </w:p>
    <w:p w14:paraId="07B144E3">
      <w:pPr>
        <w:pStyle w:val="10"/>
        <w:spacing w:line="360" w:lineRule="auto"/>
        <w:rPr>
          <w:rFonts w:hint="eastAsia" w:ascii="宋体" w:hAnsi="宋体" w:eastAsia="宋体" w:cs="宋体"/>
          <w:b/>
          <w:bCs/>
          <w:color w:val="auto"/>
          <w:sz w:val="44"/>
          <w:szCs w:val="44"/>
          <w:highlight w:val="none"/>
        </w:rPr>
      </w:pPr>
    </w:p>
    <w:p w14:paraId="7438F30E">
      <w:pPr>
        <w:pStyle w:val="10"/>
        <w:spacing w:line="360" w:lineRule="auto"/>
        <w:rPr>
          <w:rFonts w:hint="eastAsia" w:ascii="宋体" w:hAnsi="宋体" w:eastAsia="宋体" w:cs="宋体"/>
          <w:color w:val="auto"/>
          <w:highlight w:val="none"/>
        </w:rPr>
      </w:pPr>
    </w:p>
    <w:p w14:paraId="2CA09419">
      <w:pPr>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竞争性磋商文件</w:t>
      </w:r>
    </w:p>
    <w:p w14:paraId="3B051054">
      <w:pPr>
        <w:spacing w:line="360" w:lineRule="auto"/>
        <w:jc w:val="center"/>
        <w:rPr>
          <w:rFonts w:hint="eastAsia" w:ascii="宋体" w:hAnsi="宋体" w:eastAsia="宋体" w:cs="宋体"/>
          <w:b/>
          <w:bCs/>
          <w:color w:val="auto"/>
          <w:sz w:val="24"/>
          <w:szCs w:val="24"/>
          <w:highlight w:val="none"/>
        </w:rPr>
      </w:pPr>
    </w:p>
    <w:p w14:paraId="12C2F667">
      <w:pPr>
        <w:snapToGrid w:val="0"/>
        <w:spacing w:line="360" w:lineRule="auto"/>
        <w:jc w:val="center"/>
        <w:rPr>
          <w:rFonts w:hint="default"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rPr>
        <w:t>项目编号：</w:t>
      </w:r>
      <w:r>
        <w:rPr>
          <w:rFonts w:hint="eastAsia" w:ascii="宋体" w:hAnsi="宋体" w:cs="宋体"/>
          <w:color w:val="auto"/>
          <w:sz w:val="30"/>
          <w:szCs w:val="30"/>
          <w:highlight w:val="none"/>
          <w:lang w:val="en-US" w:eastAsia="zh-CN"/>
        </w:rPr>
        <w:t>CY2024040XXX</w:t>
      </w:r>
    </w:p>
    <w:p w14:paraId="45A3D417">
      <w:pPr>
        <w:snapToGrid w:val="0"/>
        <w:spacing w:line="360" w:lineRule="auto"/>
        <w:ind w:firstLine="2301" w:firstLineChars="767"/>
        <w:jc w:val="left"/>
        <w:rPr>
          <w:rFonts w:hint="eastAsia" w:ascii="宋体" w:hAnsi="宋体" w:eastAsia="宋体" w:cs="宋体"/>
          <w:color w:val="auto"/>
          <w:sz w:val="30"/>
          <w:szCs w:val="30"/>
          <w:highlight w:val="none"/>
        </w:rPr>
      </w:pPr>
    </w:p>
    <w:p w14:paraId="43BE038C">
      <w:pPr>
        <w:pStyle w:val="10"/>
        <w:spacing w:line="360" w:lineRule="auto"/>
        <w:rPr>
          <w:rFonts w:hint="eastAsia" w:ascii="宋体" w:hAnsi="宋体" w:eastAsia="宋体" w:cs="宋体"/>
          <w:highlight w:val="none"/>
        </w:rPr>
      </w:pPr>
    </w:p>
    <w:p w14:paraId="4CA1A695">
      <w:pPr>
        <w:spacing w:line="360" w:lineRule="auto"/>
        <w:rPr>
          <w:rFonts w:hint="eastAsia" w:ascii="宋体" w:hAnsi="宋体" w:eastAsia="宋体" w:cs="宋体"/>
          <w:color w:val="auto"/>
          <w:sz w:val="28"/>
          <w:szCs w:val="28"/>
          <w:highlight w:val="none"/>
        </w:rPr>
      </w:pPr>
    </w:p>
    <w:p w14:paraId="2E20BE32">
      <w:pPr>
        <w:spacing w:line="360" w:lineRule="auto"/>
        <w:jc w:val="center"/>
        <w:rPr>
          <w:rFonts w:hint="eastAsia" w:ascii="宋体" w:hAnsi="宋体" w:eastAsia="宋体" w:cs="宋体"/>
          <w:color w:val="auto"/>
          <w:sz w:val="24"/>
          <w:szCs w:val="24"/>
          <w:highlight w:val="none"/>
        </w:rPr>
      </w:pPr>
    </w:p>
    <w:p w14:paraId="4033DEB4">
      <w:pPr>
        <w:spacing w:line="360" w:lineRule="auto"/>
        <w:jc w:val="center"/>
        <w:rPr>
          <w:rFonts w:hint="eastAsia" w:ascii="宋体" w:hAnsi="宋体" w:eastAsia="宋体" w:cs="宋体"/>
          <w:color w:val="auto"/>
          <w:sz w:val="24"/>
          <w:szCs w:val="24"/>
          <w:highlight w:val="none"/>
        </w:rPr>
      </w:pPr>
    </w:p>
    <w:p w14:paraId="44DAF52A">
      <w:pPr>
        <w:spacing w:line="360" w:lineRule="auto"/>
        <w:jc w:val="center"/>
        <w:rPr>
          <w:rFonts w:hint="eastAsia" w:ascii="宋体" w:hAnsi="宋体" w:eastAsia="宋体" w:cs="宋体"/>
          <w:color w:val="auto"/>
          <w:sz w:val="24"/>
          <w:szCs w:val="24"/>
          <w:highlight w:val="none"/>
        </w:rPr>
      </w:pPr>
    </w:p>
    <w:p w14:paraId="6C55F57E">
      <w:pPr>
        <w:spacing w:line="360" w:lineRule="auto"/>
        <w:jc w:val="center"/>
        <w:rPr>
          <w:rFonts w:hint="eastAsia" w:ascii="宋体" w:hAnsi="宋体" w:eastAsia="宋体" w:cs="宋体"/>
          <w:color w:val="auto"/>
          <w:sz w:val="24"/>
          <w:szCs w:val="24"/>
          <w:highlight w:val="none"/>
        </w:rPr>
      </w:pPr>
    </w:p>
    <w:p w14:paraId="5659E973">
      <w:pPr>
        <w:spacing w:line="360" w:lineRule="auto"/>
        <w:jc w:val="center"/>
        <w:rPr>
          <w:rFonts w:hint="eastAsia" w:ascii="宋体" w:hAnsi="宋体" w:eastAsia="宋体" w:cs="宋体"/>
          <w:color w:val="auto"/>
          <w:sz w:val="24"/>
          <w:szCs w:val="24"/>
          <w:highlight w:val="none"/>
        </w:rPr>
      </w:pPr>
    </w:p>
    <w:p w14:paraId="1C0E9701">
      <w:pPr>
        <w:snapToGrid w:val="0"/>
        <w:spacing w:line="360" w:lineRule="auto"/>
        <w:ind w:firstLine="1500" w:firstLineChars="500"/>
        <w:rPr>
          <w:rFonts w:hint="eastAsia" w:ascii="宋体" w:hAnsi="宋体" w:eastAsia="宋体" w:cs="宋体"/>
          <w:color w:val="auto"/>
          <w:highlight w:val="none"/>
          <w:u w:val="single"/>
          <w:lang w:eastAsia="zh-CN"/>
        </w:rPr>
      </w:pPr>
      <w:r>
        <w:rPr>
          <w:rFonts w:hint="eastAsia" w:ascii="宋体" w:hAnsi="宋体" w:eastAsia="宋体" w:cs="宋体"/>
          <w:color w:val="auto"/>
          <w:sz w:val="30"/>
          <w:szCs w:val="30"/>
          <w:highlight w:val="none"/>
        </w:rPr>
        <w:t xml:space="preserve">采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购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人：</w:t>
      </w:r>
      <w:r>
        <w:rPr>
          <w:rFonts w:hint="eastAsia" w:ascii="宋体" w:hAnsi="宋体" w:cs="宋体"/>
          <w:color w:val="auto"/>
          <w:sz w:val="30"/>
          <w:szCs w:val="30"/>
          <w:highlight w:val="none"/>
          <w:lang w:eastAsia="zh-CN"/>
        </w:rPr>
        <w:t>中共绍兴市上虞区委宣传部</w:t>
      </w:r>
    </w:p>
    <w:p w14:paraId="76128DB8">
      <w:pPr>
        <w:snapToGrid w:val="0"/>
        <w:spacing w:line="360" w:lineRule="auto"/>
        <w:ind w:firstLine="1500" w:firstLineChars="5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采购代理机构：</w:t>
      </w:r>
      <w:r>
        <w:rPr>
          <w:rFonts w:hint="eastAsia" w:ascii="宋体" w:hAnsi="宋体" w:eastAsia="宋体" w:cs="宋体"/>
          <w:color w:val="auto"/>
          <w:sz w:val="30"/>
          <w:szCs w:val="30"/>
          <w:highlight w:val="none"/>
          <w:lang w:val="en-US" w:eastAsia="zh-CN"/>
        </w:rPr>
        <w:t>绍兴成言工程咨询管理有限公司</w:t>
      </w:r>
    </w:p>
    <w:p w14:paraId="2DA42C7A">
      <w:pPr>
        <w:spacing w:line="360" w:lineRule="auto"/>
        <w:jc w:val="center"/>
        <w:rPr>
          <w:rFonts w:hint="eastAsia" w:ascii="宋体" w:hAnsi="宋体" w:eastAsia="宋体" w:cs="宋体"/>
          <w:color w:val="auto"/>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30"/>
          <w:szCs w:val="30"/>
          <w:highlight w:val="none"/>
        </w:rPr>
        <w:t>二〇二</w:t>
      </w:r>
      <w:r>
        <w:rPr>
          <w:rFonts w:hint="eastAsia" w:ascii="宋体" w:hAnsi="宋体" w:cs="宋体"/>
          <w:color w:val="auto"/>
          <w:sz w:val="30"/>
          <w:szCs w:val="30"/>
          <w:highlight w:val="none"/>
          <w:lang w:eastAsia="zh-CN"/>
        </w:rPr>
        <w:t>五</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一</w:t>
      </w:r>
      <w:r>
        <w:rPr>
          <w:rFonts w:hint="eastAsia" w:ascii="宋体" w:hAnsi="宋体" w:eastAsia="宋体" w:cs="宋体"/>
          <w:color w:val="auto"/>
          <w:sz w:val="30"/>
          <w:szCs w:val="30"/>
          <w:highlight w:val="none"/>
        </w:rPr>
        <w:t>月</w:t>
      </w:r>
    </w:p>
    <w:p w14:paraId="0B77002F">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22A67443">
      <w:pPr>
        <w:pStyle w:val="22"/>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_Toc2223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第一部分 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1CD8FFC">
      <w:pPr>
        <w:pStyle w:val="22"/>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_Toc21447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第二部分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_Toc21447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C8FCD0E">
      <w:pPr>
        <w:pStyle w:val="25"/>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_Toc20057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 总则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_Toc20057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625D065">
      <w:pPr>
        <w:pStyle w:val="25"/>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_Toc25793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 竞争性磋商文件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_Toc25793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9</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44895332">
      <w:pPr>
        <w:pStyle w:val="25"/>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_Toc538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 竞争性磋商响应文件的编写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_Toc538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BF6181E">
      <w:pPr>
        <w:pStyle w:val="25"/>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_Toc28561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 响应文件的递交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_Toc28561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4371323">
      <w:pPr>
        <w:pStyle w:val="25"/>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_Toc24860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 磋商无效的情形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_Toc24860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14</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82EF026">
      <w:pPr>
        <w:pStyle w:val="25"/>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_Toc32601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六、 采购中止的情形</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_Toc32601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1EA7E7B">
      <w:pPr>
        <w:pStyle w:val="25"/>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_Toc10742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七、 确定成交供应商与签订合同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_Toc10742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9D49797">
      <w:pPr>
        <w:pStyle w:val="22"/>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_Toc16467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第三部分 采购内容及要求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_Toc16467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7929E01C">
      <w:pPr>
        <w:pStyle w:val="25"/>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_Toc2064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 采购内容及要求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_Toc2064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18</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1D02E431">
      <w:pPr>
        <w:pStyle w:val="25"/>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_Toc26642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 xml:space="preserve">第二章 </w:t>
      </w:r>
      <w:r>
        <w:rPr>
          <w:rFonts w:hint="eastAsia" w:ascii="宋体" w:hAnsi="宋体" w:eastAsia="宋体" w:cs="宋体"/>
          <w:sz w:val="24"/>
          <w:szCs w:val="24"/>
          <w:highlight w:val="none"/>
        </w:rPr>
        <w:t>付款方式及要求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_Toc26642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20</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866CCAA">
      <w:pPr>
        <w:pStyle w:val="22"/>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_Toc23375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第四部分 磋商原则及磋商方法</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_Toc23375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0928217">
      <w:pPr>
        <w:pStyle w:val="25"/>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_Toc23804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 磋商原则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_Toc23804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03904F01">
      <w:pPr>
        <w:pStyle w:val="25"/>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_Toc17973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 磋商程序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_Toc17973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C1EEB94">
      <w:pPr>
        <w:pStyle w:val="25"/>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_Toc32378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 注意事项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_Toc32378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2B07F3E4">
      <w:pPr>
        <w:pStyle w:val="25"/>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_Toc32205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 评分细则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_Toc32205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36212B08">
      <w:pPr>
        <w:pStyle w:val="22"/>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_Toc15269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第五部分 采购合同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_Toc15269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31</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61766280">
      <w:pPr>
        <w:pStyle w:val="22"/>
        <w:tabs>
          <w:tab w:val="right" w:leader="dot" w:pos="8306"/>
        </w:tabs>
        <w:spacing w:line="360" w:lineRule="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sz w:val="24"/>
          <w:szCs w:val="24"/>
          <w:highlight w:val="none"/>
        </w:rPr>
        <w:instrText xml:space="preserve"> HYPERLINK \l _Toc29205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第六部分 应提交的有关格式范例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_Toc29205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36</w:t>
      </w:r>
      <w:r>
        <w:rPr>
          <w:rFonts w:hint="eastAsia" w:ascii="宋体" w:hAnsi="宋体" w:eastAsia="宋体" w:cs="宋体"/>
          <w:sz w:val="24"/>
          <w:szCs w:val="24"/>
          <w:highlight w:val="none"/>
        </w:rPr>
        <w:fldChar w:fldCharType="end"/>
      </w:r>
      <w:r>
        <w:rPr>
          <w:rFonts w:hint="eastAsia" w:ascii="宋体" w:hAnsi="宋体" w:eastAsia="宋体" w:cs="宋体"/>
          <w:color w:val="auto"/>
          <w:sz w:val="24"/>
          <w:szCs w:val="24"/>
          <w:highlight w:val="none"/>
        </w:rPr>
        <w:fldChar w:fldCharType="end"/>
      </w:r>
    </w:p>
    <w:p w14:paraId="53032AFD">
      <w:pPr>
        <w:pStyle w:val="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14:paraId="249DDE18">
      <w:pPr>
        <w:spacing w:line="360" w:lineRule="auto"/>
        <w:rPr>
          <w:rFonts w:hint="eastAsia" w:ascii="宋体" w:hAnsi="宋体" w:eastAsia="宋体" w:cs="宋体"/>
          <w:color w:val="auto"/>
          <w:highlight w:val="none"/>
        </w:rPr>
      </w:pPr>
    </w:p>
    <w:p w14:paraId="4766D9C7">
      <w:pPr>
        <w:spacing w:line="360" w:lineRule="auto"/>
        <w:rPr>
          <w:rFonts w:hint="eastAsia" w:ascii="宋体" w:hAnsi="宋体" w:eastAsia="宋体" w:cs="宋体"/>
          <w:color w:val="auto"/>
          <w:highlight w:val="none"/>
        </w:rPr>
      </w:pPr>
    </w:p>
    <w:p w14:paraId="1212F512">
      <w:pPr>
        <w:spacing w:line="360" w:lineRule="auto"/>
        <w:rPr>
          <w:rFonts w:hint="eastAsia" w:ascii="宋体" w:hAnsi="宋体" w:eastAsia="宋体" w:cs="宋体"/>
          <w:color w:val="auto"/>
          <w:highlight w:val="none"/>
        </w:rPr>
      </w:pPr>
    </w:p>
    <w:p w14:paraId="1C89B446">
      <w:pPr>
        <w:spacing w:line="360" w:lineRule="auto"/>
        <w:rPr>
          <w:rFonts w:hint="eastAsia" w:ascii="宋体" w:hAnsi="宋体" w:eastAsia="宋体" w:cs="宋体"/>
          <w:color w:val="auto"/>
          <w:highlight w:val="none"/>
        </w:rPr>
      </w:pPr>
    </w:p>
    <w:p w14:paraId="6604BBF8">
      <w:pPr>
        <w:tabs>
          <w:tab w:val="left" w:pos="3148"/>
        </w:tabs>
        <w:spacing w:line="360" w:lineRule="auto"/>
        <w:jc w:val="left"/>
        <w:rPr>
          <w:rFonts w:hint="eastAsia" w:ascii="宋体" w:hAnsi="宋体" w:eastAsia="宋体" w:cs="宋体"/>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highlight w:val="none"/>
        </w:rPr>
        <w:tab/>
      </w:r>
    </w:p>
    <w:p w14:paraId="7C39B70D">
      <w:pPr>
        <w:pStyle w:val="4"/>
        <w:spacing w:line="360" w:lineRule="auto"/>
        <w:jc w:val="center"/>
        <w:rPr>
          <w:rFonts w:hint="eastAsia" w:ascii="宋体" w:hAnsi="宋体" w:eastAsia="宋体" w:cs="宋体"/>
          <w:color w:val="auto"/>
          <w:highlight w:val="none"/>
        </w:rPr>
      </w:pPr>
      <w:bookmarkStart w:id="0" w:name="_Toc2223"/>
      <w:bookmarkStart w:id="1" w:name="_Toc31034"/>
      <w:bookmarkStart w:id="2" w:name="_Toc32199"/>
      <w:bookmarkStart w:id="3" w:name="第二部分"/>
      <w:bookmarkStart w:id="4" w:name="_Toc91899870"/>
      <w:r>
        <w:rPr>
          <w:rFonts w:hint="eastAsia" w:ascii="宋体" w:hAnsi="宋体" w:eastAsia="宋体" w:cs="宋体"/>
          <w:color w:val="auto"/>
          <w:sz w:val="36"/>
          <w:szCs w:val="36"/>
          <w:highlight w:val="none"/>
        </w:rPr>
        <w:t>第一部分 磋商公告</w:t>
      </w:r>
      <w:bookmarkEnd w:id="0"/>
      <w:bookmarkEnd w:id="1"/>
      <w:bookmarkEnd w:id="2"/>
    </w:p>
    <w:p w14:paraId="6EA4A7DA">
      <w:pPr>
        <w:adjustRightInd w:val="0"/>
        <w:spacing w:line="360" w:lineRule="auto"/>
        <w:ind w:right="-313" w:rightChars="-14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绍兴成言工程咨询管理有限公司关于</w:t>
      </w:r>
      <w:r>
        <w:rPr>
          <w:rFonts w:hint="eastAsia" w:ascii="宋体" w:hAnsi="宋体" w:cs="宋体"/>
          <w:color w:val="auto"/>
          <w:sz w:val="24"/>
          <w:szCs w:val="24"/>
          <w:highlight w:val="none"/>
          <w:lang w:eastAsia="zh-CN"/>
        </w:rPr>
        <w:t>中共绍兴市上虞区委宣传部2025年市级重要媒体宣传服务项目(第四次)</w:t>
      </w:r>
      <w:r>
        <w:rPr>
          <w:rFonts w:hint="eastAsia" w:ascii="宋体" w:hAnsi="宋体" w:eastAsia="宋体" w:cs="宋体"/>
          <w:color w:val="auto"/>
          <w:sz w:val="24"/>
          <w:szCs w:val="24"/>
          <w:highlight w:val="none"/>
        </w:rPr>
        <w:t>的竞争性磋商公告</w:t>
      </w:r>
    </w:p>
    <w:p w14:paraId="0C73459B">
      <w:pPr>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公告日期：</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p>
    <w:p w14:paraId="6CA6D23F">
      <w:pPr>
        <w:keepNext w:val="0"/>
        <w:keepLines w:val="0"/>
        <w:pageBreakBefore w:val="0"/>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根据《中华人民共和国政府采购法》等有关规定，</w:t>
      </w:r>
      <w:r>
        <w:rPr>
          <w:rFonts w:hint="eastAsia" w:ascii="宋体" w:hAnsi="宋体" w:eastAsia="宋体" w:cs="宋体"/>
          <w:color w:val="auto"/>
          <w:sz w:val="24"/>
          <w:szCs w:val="24"/>
          <w:highlight w:val="none"/>
          <w:u w:val="single"/>
        </w:rPr>
        <w:t>绍兴成言工程咨询管理有限公司</w:t>
      </w:r>
      <w:r>
        <w:rPr>
          <w:rFonts w:hint="eastAsia" w:ascii="宋体" w:hAnsi="宋体" w:eastAsia="宋体" w:cs="宋体"/>
          <w:color w:val="auto"/>
          <w:sz w:val="24"/>
          <w:szCs w:val="24"/>
          <w:highlight w:val="none"/>
        </w:rPr>
        <w:t>受</w:t>
      </w:r>
      <w:r>
        <w:rPr>
          <w:rFonts w:hint="eastAsia" w:ascii="宋体" w:hAnsi="宋体" w:cs="宋体"/>
          <w:color w:val="auto"/>
          <w:sz w:val="24"/>
          <w:szCs w:val="24"/>
          <w:highlight w:val="none"/>
          <w:u w:val="single"/>
          <w:lang w:eastAsia="zh-CN"/>
        </w:rPr>
        <w:t>中共绍兴市上虞区委宣传部</w:t>
      </w:r>
      <w:r>
        <w:rPr>
          <w:rFonts w:hint="eastAsia" w:ascii="宋体" w:hAnsi="宋体" w:eastAsia="宋体" w:cs="宋体"/>
          <w:color w:val="auto"/>
          <w:sz w:val="24"/>
          <w:szCs w:val="24"/>
          <w:highlight w:val="none"/>
        </w:rPr>
        <w:t>委托，现就</w:t>
      </w:r>
      <w:r>
        <w:rPr>
          <w:rFonts w:hint="eastAsia" w:ascii="宋体" w:hAnsi="宋体" w:cs="宋体"/>
          <w:color w:val="auto"/>
          <w:sz w:val="24"/>
          <w:szCs w:val="24"/>
          <w:highlight w:val="none"/>
          <w:u w:val="single"/>
          <w:lang w:eastAsia="zh-CN"/>
        </w:rPr>
        <w:t>2025年市级重要媒体宣传服务项目(第四次)</w:t>
      </w:r>
      <w:r>
        <w:rPr>
          <w:rFonts w:hint="eastAsia" w:ascii="宋体" w:hAnsi="宋体" w:eastAsia="宋体" w:cs="宋体"/>
          <w:color w:val="auto"/>
          <w:sz w:val="24"/>
          <w:szCs w:val="24"/>
          <w:highlight w:val="none"/>
          <w:u w:val="none"/>
          <w:lang w:val="en-US" w:eastAsia="zh-CN"/>
        </w:rPr>
        <w:t>进行</w:t>
      </w:r>
      <w:r>
        <w:rPr>
          <w:rFonts w:hint="eastAsia" w:ascii="宋体" w:hAnsi="宋体" w:eastAsia="宋体" w:cs="宋体"/>
          <w:color w:val="auto"/>
          <w:sz w:val="24"/>
          <w:szCs w:val="24"/>
          <w:highlight w:val="none"/>
        </w:rPr>
        <w:t>竞争性磋商采购，欢迎国内合格的供应商参加本次采购活动。</w:t>
      </w:r>
    </w:p>
    <w:p w14:paraId="274C7CA3">
      <w:pPr>
        <w:keepNext w:val="0"/>
        <w:keepLines w:val="0"/>
        <w:pageBreakBefore w:val="0"/>
        <w:numPr>
          <w:ilvl w:val="0"/>
          <w:numId w:val="2"/>
        </w:numPr>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磋商项目编号：</w:t>
      </w:r>
      <w:r>
        <w:rPr>
          <w:rFonts w:hint="eastAsia" w:ascii="宋体" w:hAnsi="宋体" w:cs="宋体"/>
          <w:color w:val="auto"/>
          <w:sz w:val="24"/>
          <w:szCs w:val="24"/>
          <w:highlight w:val="none"/>
          <w:u w:val="single"/>
          <w:lang w:val="en-US" w:eastAsia="zh-CN"/>
        </w:rPr>
        <w:t xml:space="preserve">  CY2024040XXX    </w:t>
      </w:r>
      <w:r>
        <w:rPr>
          <w:rFonts w:hint="eastAsia" w:ascii="宋体" w:hAnsi="宋体" w:eastAsia="宋体" w:cs="宋体"/>
          <w:color w:val="auto"/>
          <w:sz w:val="24"/>
          <w:szCs w:val="24"/>
          <w:highlight w:val="none"/>
          <w:u w:val="single"/>
          <w:lang w:val="en-US" w:eastAsia="zh-CN"/>
        </w:rPr>
        <w:t xml:space="preserve">    </w:t>
      </w:r>
    </w:p>
    <w:p w14:paraId="313279BD">
      <w:pPr>
        <w:keepNext w:val="0"/>
        <w:keepLines w:val="0"/>
        <w:pageBreakBefore w:val="0"/>
        <w:numPr>
          <w:ilvl w:val="0"/>
          <w:numId w:val="2"/>
        </w:numPr>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采购组织类型：</w:t>
      </w:r>
      <w:r>
        <w:rPr>
          <w:rFonts w:hint="eastAsia" w:ascii="宋体" w:hAnsi="宋体" w:eastAsia="宋体" w:cs="宋体"/>
          <w:color w:val="auto"/>
          <w:sz w:val="24"/>
          <w:szCs w:val="24"/>
          <w:highlight w:val="none"/>
          <w:u w:val="single"/>
        </w:rPr>
        <w:t xml:space="preserve"> 分散采购（中介代理） </w:t>
      </w:r>
      <w:r>
        <w:rPr>
          <w:rFonts w:hint="eastAsia" w:ascii="宋体" w:hAnsi="宋体" w:eastAsia="宋体" w:cs="宋体"/>
          <w:color w:val="auto"/>
          <w:sz w:val="24"/>
          <w:szCs w:val="24"/>
          <w:highlight w:val="none"/>
        </w:rPr>
        <w:t xml:space="preserve"> </w:t>
      </w:r>
    </w:p>
    <w:p w14:paraId="34266BC3">
      <w:pPr>
        <w:keepNext w:val="0"/>
        <w:keepLines w:val="0"/>
        <w:pageBreakBefore w:val="0"/>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磋商项目概况</w:t>
      </w:r>
      <w:r>
        <w:rPr>
          <w:rFonts w:hint="eastAsia" w:ascii="宋体" w:hAnsi="宋体" w:eastAsia="宋体" w:cs="宋体"/>
          <w:color w:val="auto"/>
          <w:sz w:val="24"/>
          <w:szCs w:val="24"/>
          <w:highlight w:val="none"/>
          <w:lang w:eastAsia="zh-CN"/>
        </w:rPr>
        <w:t>：</w:t>
      </w:r>
    </w:p>
    <w:tbl>
      <w:tblPr>
        <w:tblStyle w:val="31"/>
        <w:tblW w:w="9363"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472"/>
        <w:gridCol w:w="1821"/>
        <w:gridCol w:w="650"/>
        <w:gridCol w:w="680"/>
        <w:gridCol w:w="1130"/>
        <w:gridCol w:w="2747"/>
        <w:gridCol w:w="1127"/>
        <w:gridCol w:w="736"/>
      </w:tblGrid>
      <w:tr w14:paraId="75EE0AF1">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072" w:hRule="atLeast"/>
          <w:jc w:val="center"/>
        </w:trPr>
        <w:tc>
          <w:tcPr>
            <w:tcW w:w="472" w:type="dxa"/>
            <w:tcBorders>
              <w:top w:val="single" w:color="000000" w:sz="4" w:space="0"/>
            </w:tcBorders>
            <w:vAlign w:val="center"/>
          </w:tcPr>
          <w:p w14:paraId="50C4EACD">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21" w:type="dxa"/>
            <w:tcBorders>
              <w:top w:val="single" w:color="000000" w:sz="4" w:space="0"/>
            </w:tcBorders>
            <w:vAlign w:val="center"/>
          </w:tcPr>
          <w:p w14:paraId="2573FD88">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50" w:type="dxa"/>
            <w:tcBorders>
              <w:top w:val="single" w:color="000000" w:sz="4" w:space="0"/>
            </w:tcBorders>
            <w:vAlign w:val="center"/>
          </w:tcPr>
          <w:p w14:paraId="508A2ED9">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680" w:type="dxa"/>
            <w:tcBorders>
              <w:top w:val="single" w:color="000000" w:sz="4" w:space="0"/>
            </w:tcBorders>
            <w:vAlign w:val="center"/>
          </w:tcPr>
          <w:p w14:paraId="1BE206A0">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30" w:type="dxa"/>
            <w:tcBorders>
              <w:top w:val="single" w:color="000000" w:sz="4" w:space="0"/>
            </w:tcBorders>
            <w:vAlign w:val="center"/>
          </w:tcPr>
          <w:p w14:paraId="46058776">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p>
        </w:tc>
        <w:tc>
          <w:tcPr>
            <w:tcW w:w="2747" w:type="dxa"/>
            <w:tcBorders>
              <w:top w:val="single" w:color="000000" w:sz="4" w:space="0"/>
            </w:tcBorders>
            <w:vAlign w:val="center"/>
          </w:tcPr>
          <w:p w14:paraId="37217200">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简要规格描述或标项基本概况介绍</w:t>
            </w:r>
          </w:p>
        </w:tc>
        <w:tc>
          <w:tcPr>
            <w:tcW w:w="1127" w:type="dxa"/>
            <w:tcBorders>
              <w:top w:val="single" w:color="000000" w:sz="4" w:space="0"/>
            </w:tcBorders>
            <w:vAlign w:val="center"/>
          </w:tcPr>
          <w:p w14:paraId="66A17042">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p>
        </w:tc>
        <w:tc>
          <w:tcPr>
            <w:tcW w:w="736" w:type="dxa"/>
            <w:tcBorders>
              <w:top w:val="single" w:color="000000" w:sz="4" w:space="0"/>
            </w:tcBorders>
            <w:vAlign w:val="center"/>
          </w:tcPr>
          <w:p w14:paraId="0DE9E9AB">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8534F13">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380" w:hRule="atLeast"/>
          <w:jc w:val="center"/>
        </w:trPr>
        <w:tc>
          <w:tcPr>
            <w:tcW w:w="472" w:type="dxa"/>
            <w:tcBorders>
              <w:bottom w:val="single" w:color="000000" w:sz="4" w:space="0"/>
            </w:tcBorders>
            <w:vAlign w:val="center"/>
          </w:tcPr>
          <w:p w14:paraId="00DD0D6B">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21" w:type="dxa"/>
            <w:tcBorders>
              <w:bottom w:val="single" w:color="000000" w:sz="4" w:space="0"/>
            </w:tcBorders>
            <w:vAlign w:val="center"/>
          </w:tcPr>
          <w:p w14:paraId="4CA9E686">
            <w:pPr>
              <w:pStyle w:val="17"/>
              <w:keepNext w:val="0"/>
              <w:keepLines w:val="0"/>
              <w:pageBreakBefore w:val="0"/>
              <w:suppressLineNumbers w:val="0"/>
              <w:kinsoku/>
              <w:topLinePunct w:val="0"/>
              <w:bidi w:val="0"/>
              <w:snapToGrid w:val="0"/>
              <w:spacing w:before="120" w:beforeAutospacing="0" w:after="120" w:afterAutospacing="0" w:line="360" w:lineRule="auto"/>
              <w:ind w:left="0" w:right="0"/>
              <w:jc w:val="center"/>
              <w:textAlignment w:val="auto"/>
              <w:rPr>
                <w:rFonts w:hint="eastAsia" w:ascii="宋体" w:hAnsi="宋体" w:eastAsia="宋体" w:cs="宋体"/>
                <w:color w:val="auto"/>
                <w:sz w:val="24"/>
                <w:szCs w:val="24"/>
                <w:highlight w:val="none"/>
                <w:lang w:eastAsia="zh-CN"/>
              </w:rPr>
            </w:pPr>
            <w:r>
              <w:rPr>
                <w:rFonts w:hint="eastAsia" w:hAnsi="宋体" w:cs="宋体"/>
                <w:sz w:val="24"/>
                <w:szCs w:val="24"/>
                <w:highlight w:val="none"/>
                <w:lang w:val="en-US" w:eastAsia="zh-CN"/>
              </w:rPr>
              <w:t>2025年市级重要媒体宣传服务项目(第四次)</w:t>
            </w:r>
          </w:p>
        </w:tc>
        <w:tc>
          <w:tcPr>
            <w:tcW w:w="650" w:type="dxa"/>
            <w:tcBorders>
              <w:bottom w:val="single" w:color="000000" w:sz="4" w:space="0"/>
            </w:tcBorders>
            <w:vAlign w:val="center"/>
          </w:tcPr>
          <w:p w14:paraId="7B4EBDC2">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680" w:type="dxa"/>
            <w:tcBorders>
              <w:bottom w:val="single" w:color="000000" w:sz="4" w:space="0"/>
            </w:tcBorders>
            <w:vAlign w:val="center"/>
          </w:tcPr>
          <w:p w14:paraId="0BBD02B4">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w:t>
            </w:r>
          </w:p>
        </w:tc>
        <w:tc>
          <w:tcPr>
            <w:tcW w:w="1130" w:type="dxa"/>
            <w:tcBorders>
              <w:bottom w:val="single" w:color="000000" w:sz="4" w:space="0"/>
            </w:tcBorders>
            <w:vAlign w:val="center"/>
          </w:tcPr>
          <w:p w14:paraId="59EEA308">
            <w:pPr>
              <w:keepNext w:val="0"/>
              <w:keepLines w:val="0"/>
              <w:pageBreakBefore w:val="0"/>
              <w:widowControl/>
              <w:suppressLineNumbers w:val="0"/>
              <w:kinsoku/>
              <w:topLinePunct w:val="0"/>
              <w:bidi w:val="0"/>
              <w:spacing w:before="100" w:beforeAutospacing="0" w:after="10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70</w:t>
            </w:r>
            <w:r>
              <w:rPr>
                <w:rFonts w:hint="eastAsia" w:ascii="宋体" w:hAnsi="宋体" w:eastAsia="宋体" w:cs="宋体"/>
                <w:color w:val="auto"/>
                <w:kern w:val="0"/>
                <w:sz w:val="24"/>
                <w:szCs w:val="24"/>
                <w:highlight w:val="none"/>
                <w:lang w:val="en-US" w:eastAsia="zh-CN"/>
              </w:rPr>
              <w:t>.00</w:t>
            </w:r>
          </w:p>
        </w:tc>
        <w:tc>
          <w:tcPr>
            <w:tcW w:w="2747" w:type="dxa"/>
            <w:tcBorders>
              <w:bottom w:val="single" w:color="000000" w:sz="4" w:space="0"/>
            </w:tcBorders>
            <w:vAlign w:val="center"/>
          </w:tcPr>
          <w:p w14:paraId="71A02253">
            <w:pPr>
              <w:keepNext w:val="0"/>
              <w:keepLines w:val="0"/>
              <w:pageBreakBefore w:val="0"/>
              <w:widowControl w:val="0"/>
              <w:suppressLineNumbers w:val="0"/>
              <w:suppressAutoHyphens/>
              <w:kinsoku/>
              <w:wordWrap/>
              <w:overflowPunct w:val="0"/>
              <w:topLinePunct w:val="0"/>
              <w:autoSpaceDE w:val="0"/>
              <w:autoSpaceDN w:val="0"/>
              <w:bidi w:val="0"/>
              <w:adjustRightInd/>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详见采购需求</w:t>
            </w:r>
          </w:p>
        </w:tc>
        <w:tc>
          <w:tcPr>
            <w:tcW w:w="1127" w:type="dxa"/>
            <w:tcBorders>
              <w:bottom w:val="single" w:color="000000" w:sz="4" w:space="0"/>
            </w:tcBorders>
            <w:vAlign w:val="center"/>
          </w:tcPr>
          <w:p w14:paraId="627E13BD">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70</w:t>
            </w:r>
            <w:r>
              <w:rPr>
                <w:rFonts w:hint="eastAsia" w:ascii="宋体" w:hAnsi="宋体" w:eastAsia="宋体" w:cs="宋体"/>
                <w:color w:val="auto"/>
                <w:kern w:val="0"/>
                <w:sz w:val="24"/>
                <w:szCs w:val="24"/>
                <w:highlight w:val="none"/>
                <w:lang w:val="en-US" w:eastAsia="zh-CN"/>
              </w:rPr>
              <w:t>.00</w:t>
            </w:r>
          </w:p>
        </w:tc>
        <w:tc>
          <w:tcPr>
            <w:tcW w:w="736" w:type="dxa"/>
            <w:tcBorders>
              <w:bottom w:val="single" w:color="000000" w:sz="4" w:space="0"/>
            </w:tcBorders>
            <w:vAlign w:val="center"/>
          </w:tcPr>
          <w:p w14:paraId="0A0B8E38">
            <w:pPr>
              <w:keepNext w:val="0"/>
              <w:keepLines w:val="0"/>
              <w:pageBreakBefore w:val="0"/>
              <w:suppressLineNumbers w:val="0"/>
              <w:kinsoku/>
              <w:topLinePunct w:val="0"/>
              <w:bidi w:val="0"/>
              <w:adjustRightIn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681C2ADA">
      <w:pPr>
        <w:keepNext w:val="0"/>
        <w:keepLines w:val="0"/>
        <w:pageBreakBefore w:val="0"/>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合格供应商资格要求</w:t>
      </w:r>
      <w:r>
        <w:rPr>
          <w:rFonts w:hint="eastAsia" w:ascii="宋体" w:hAnsi="宋体" w:eastAsia="宋体" w:cs="宋体"/>
          <w:color w:val="auto"/>
          <w:sz w:val="24"/>
          <w:szCs w:val="24"/>
          <w:highlight w:val="none"/>
          <w:lang w:eastAsia="zh-CN"/>
        </w:rPr>
        <w:t>：</w:t>
      </w:r>
    </w:p>
    <w:p w14:paraId="4231C493">
      <w:pPr>
        <w:keepNext w:val="0"/>
        <w:keepLines w:val="0"/>
        <w:pageBreakBefore w:val="0"/>
        <w:numPr>
          <w:ilvl w:val="0"/>
          <w:numId w:val="3"/>
        </w:numPr>
        <w:kinsoku/>
        <w:wordWrap w:val="0"/>
        <w:topLinePunct w:val="0"/>
        <w:bidi w:val="0"/>
        <w:adjustRightIn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符合政府采购法第二十二条，且未被“信用中国”（www.creditchina.gov.cn）、中国政府采购网（www.ccgp.gov.cn）列入失信被执行人、重大税收违法案件当事人名单、政府采购严重违法失信行为记录名单。 </w:t>
      </w:r>
    </w:p>
    <w:p w14:paraId="5B269232">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r>
        <w:rPr>
          <w:rFonts w:hint="eastAsia" w:ascii="宋体" w:hAnsi="宋体" w:cs="宋体"/>
          <w:sz w:val="24"/>
          <w:highlight w:val="none"/>
        </w:rPr>
        <w:t>供应商为中小企业/小微企业。</w:t>
      </w:r>
    </w:p>
    <w:p w14:paraId="629A55EE">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不</w:t>
      </w:r>
      <w:r>
        <w:rPr>
          <w:rFonts w:hint="eastAsia" w:ascii="宋体" w:hAnsi="宋体" w:eastAsia="宋体" w:cs="宋体"/>
          <w:color w:val="auto"/>
          <w:sz w:val="24"/>
          <w:szCs w:val="24"/>
          <w:highlight w:val="none"/>
          <w:u w:val="single"/>
        </w:rPr>
        <w:t xml:space="preserve">接受 </w:t>
      </w:r>
      <w:r>
        <w:rPr>
          <w:rFonts w:hint="eastAsia" w:ascii="宋体" w:hAnsi="宋体" w:eastAsia="宋体" w:cs="宋体"/>
          <w:color w:val="auto"/>
          <w:sz w:val="24"/>
          <w:szCs w:val="24"/>
          <w:highlight w:val="none"/>
        </w:rPr>
        <w:t>联合体参加磋商。</w:t>
      </w:r>
    </w:p>
    <w:p w14:paraId="20A1F075">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color w:val="auto"/>
          <w:kern w:val="2"/>
          <w:sz w:val="24"/>
          <w:szCs w:val="24"/>
          <w:highlight w:val="none"/>
          <w:lang w:val="en-US" w:eastAsia="zh-CN" w:bidi="ar-SA"/>
        </w:rPr>
        <w:t>本项目采用资格后审的审查方式，由磋商小组负责审查。</w:t>
      </w:r>
    </w:p>
    <w:p w14:paraId="22C7FC03">
      <w:pPr>
        <w:keepNext w:val="0"/>
        <w:keepLines w:val="0"/>
        <w:pageBreakBefore w:val="0"/>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五．获取磋商文件</w:t>
      </w:r>
    </w:p>
    <w:p w14:paraId="3C1D86D5">
      <w:pPr>
        <w:keepNext w:val="0"/>
        <w:keepLines w:val="0"/>
        <w:pageBreakBefore w:val="0"/>
        <w:numPr>
          <w:ilvl w:val="0"/>
          <w:numId w:val="4"/>
        </w:numPr>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bookmarkStart w:id="5" w:name="报名开始时间1"/>
      <w:r>
        <w:rPr>
          <w:rFonts w:hint="eastAsia" w:ascii="宋体" w:hAnsi="宋体" w:eastAsia="宋体" w:cs="宋体"/>
          <w:color w:val="auto"/>
          <w:sz w:val="24"/>
          <w:szCs w:val="24"/>
          <w:highlight w:val="none"/>
        </w:rPr>
        <w:t>获取磋商文件时间</w:t>
      </w:r>
      <w:r>
        <w:rPr>
          <w:rFonts w:hint="eastAsia" w:ascii="宋体" w:hAnsi="宋体" w:eastAsia="宋体" w:cs="宋体"/>
          <w:color w:val="auto"/>
          <w:sz w:val="24"/>
          <w:szCs w:val="24"/>
          <w:highlight w:val="none"/>
          <w:lang w:eastAsia="zh-CN"/>
        </w:rPr>
        <w:t>：</w:t>
      </w:r>
      <w:bookmarkEnd w:id="5"/>
      <w:r>
        <w:rPr>
          <w:rFonts w:hint="eastAsia" w:ascii="宋体" w:hAnsi="宋体" w:eastAsia="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24</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上午09:30</w:t>
      </w:r>
      <w:r>
        <w:rPr>
          <w:rFonts w:hint="eastAsia" w:ascii="宋体" w:hAnsi="宋体" w:eastAsia="宋体" w:cs="宋体"/>
          <w:color w:val="auto"/>
          <w:sz w:val="24"/>
          <w:szCs w:val="24"/>
          <w:highlight w:val="none"/>
        </w:rPr>
        <w:t>之前获取。</w:t>
      </w:r>
    </w:p>
    <w:p w14:paraId="022BC8D9">
      <w:pPr>
        <w:keepNext w:val="0"/>
        <w:keepLines w:val="0"/>
        <w:pageBreakBefore w:val="0"/>
        <w:numPr>
          <w:ilvl w:val="0"/>
          <w:numId w:val="4"/>
        </w:numPr>
        <w:kinsoku/>
        <w:topLinePunct w:val="0"/>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获取磋商文件方式：供应商</w:t>
      </w:r>
      <w:r>
        <w:rPr>
          <w:rFonts w:hint="eastAsia" w:ascii="宋体" w:hAnsi="宋体" w:eastAsia="宋体" w:cs="宋体"/>
          <w:color w:val="auto"/>
          <w:sz w:val="24"/>
          <w:szCs w:val="24"/>
          <w:highlight w:val="none"/>
          <w:lang w:eastAsia="zh-CN"/>
        </w:rPr>
        <w:t>登录</w:t>
      </w:r>
      <w:r>
        <w:rPr>
          <w:rFonts w:hint="eastAsia" w:ascii="宋体" w:hAnsi="宋体" w:eastAsia="宋体" w:cs="宋体"/>
          <w:color w:val="auto"/>
          <w:sz w:val="24"/>
          <w:szCs w:val="24"/>
          <w:highlight w:val="none"/>
        </w:rPr>
        <w:t>政采云平台http://www.zcygov.cn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在线申请获取磋商文件（进入“项目采购”应用，在获取采购文件菜单中选择项目，申请获取采购文件）。</w:t>
      </w:r>
    </w:p>
    <w:p w14:paraId="5AC74EBD">
      <w:pPr>
        <w:keepNext w:val="0"/>
        <w:keepLines w:val="0"/>
        <w:pageBreakBefore w:val="0"/>
        <w:widowControl w:val="0"/>
        <w:numPr>
          <w:ilvl w:val="0"/>
          <w:numId w:val="4"/>
        </w:numPr>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w:t>
      </w:r>
    </w:p>
    <w:p w14:paraId="4ABF17A8">
      <w:pPr>
        <w:keepNext w:val="0"/>
        <w:keepLines w:val="0"/>
        <w:pageBreakBefore w:val="0"/>
        <w:widowControl w:val="0"/>
        <w:numPr>
          <w:ilvl w:val="0"/>
          <w:numId w:val="5"/>
        </w:numPr>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将拒绝接受未获取磋商文件供应商的响应文件。</w:t>
      </w:r>
    </w:p>
    <w:p w14:paraId="12A41EA5">
      <w:pPr>
        <w:keepNext w:val="0"/>
        <w:keepLines w:val="0"/>
        <w:pageBreakBefore w:val="0"/>
        <w:widowControl w:val="0"/>
        <w:numPr>
          <w:ilvl w:val="0"/>
          <w:numId w:val="5"/>
        </w:numPr>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磋商文件及更正补充公告请自行登录浙江政府采购网或绍兴市上虞区公共资源交易中心网站，在采购公告页面中下载。</w:t>
      </w:r>
    </w:p>
    <w:p w14:paraId="7F97BEFF">
      <w:pPr>
        <w:keepNext w:val="0"/>
        <w:keepLines w:val="0"/>
        <w:pageBreakBefore w:val="0"/>
        <w:widowControl w:val="0"/>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六．投标与开标注意事项：</w:t>
      </w:r>
    </w:p>
    <w:p w14:paraId="3D5E1B9A">
      <w:pPr>
        <w:keepNext w:val="0"/>
        <w:keepLines w:val="0"/>
        <w:pageBreakBefore w:val="0"/>
        <w:widowControl w:val="0"/>
        <w:numPr>
          <w:ilvl w:val="0"/>
          <w:numId w:val="6"/>
        </w:numPr>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w:t>
      </w:r>
      <w:r>
        <w:rPr>
          <w:rFonts w:hint="eastAsia" w:ascii="宋体" w:hAnsi="宋体" w:eastAsia="宋体" w:cs="宋体"/>
          <w:b w:val="0"/>
          <w:bCs w:val="0"/>
          <w:color w:val="auto"/>
          <w:sz w:val="24"/>
          <w:szCs w:val="24"/>
          <w:highlight w:val="none"/>
        </w:rPr>
        <w:t>网上投标</w:t>
      </w:r>
      <w:r>
        <w:rPr>
          <w:rFonts w:hint="eastAsia" w:ascii="宋体" w:hAnsi="宋体" w:eastAsia="宋体" w:cs="宋体"/>
          <w:color w:val="auto"/>
          <w:sz w:val="24"/>
          <w:szCs w:val="24"/>
          <w:highlight w:val="none"/>
        </w:rPr>
        <w:t>，采用电子投标文件，若供应商参与投标，自行承担投标一切费用。</w:t>
      </w:r>
    </w:p>
    <w:p w14:paraId="450CC964">
      <w:pPr>
        <w:keepNext w:val="0"/>
        <w:keepLines w:val="0"/>
        <w:pageBreakBefore w:val="0"/>
        <w:widowControl w:val="0"/>
        <w:numPr>
          <w:ilvl w:val="0"/>
          <w:numId w:val="6"/>
        </w:numPr>
        <w:kinsoku/>
        <w:wordWrap w:val="0"/>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3BF7A39B">
      <w:pPr>
        <w:keepNext w:val="0"/>
        <w:keepLines w:val="0"/>
        <w:pageBreakBefore w:val="0"/>
        <w:widowControl w:val="0"/>
        <w:kinsoku/>
        <w:overflowPunct/>
        <w:topLinePunct w:val="0"/>
        <w:autoSpaceDE w:val="0"/>
        <w:autoSpaceDN w:val="0"/>
        <w:bidi w:val="0"/>
        <w:snapToGrid/>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供应商将政采云电子交易客户端下载、安装完成后，可通过账号密码或CA登录客户端进行投标文件制作。在使用政采云投标客户端时，建议使用WIN7及以上操作系统。</w:t>
      </w:r>
    </w:p>
    <w:p w14:paraId="598538B0">
      <w:pPr>
        <w:keepNext w:val="0"/>
        <w:keepLines w:val="0"/>
        <w:pageBreakBefore w:val="0"/>
        <w:widowControl w:val="0"/>
        <w:kinsoku/>
        <w:overflowPunct/>
        <w:topLinePunct w:val="0"/>
        <w:autoSpaceDE w:val="0"/>
        <w:autoSpaceDN w:val="0"/>
        <w:bidi w:val="0"/>
        <w:snapToGrid/>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29BD75FA">
      <w:pPr>
        <w:keepNext w:val="0"/>
        <w:keepLines w:val="0"/>
        <w:pageBreakBefore w:val="0"/>
        <w:widowControl w:val="0"/>
        <w:kinsoku/>
        <w:overflowPunct/>
        <w:topLinePunct w:val="0"/>
        <w:bidi w:val="0"/>
        <w:adjustRightInd w:val="0"/>
        <w:snapToGrid/>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《CA管理学习专题》：</w:t>
      </w:r>
    </w:p>
    <w:p w14:paraId="3B198760">
      <w:pPr>
        <w:keepNext w:val="0"/>
        <w:keepLines w:val="0"/>
        <w:pageBreakBefore w:val="0"/>
        <w:widowControl w:val="0"/>
        <w:kinsoku/>
        <w:overflowPunct/>
        <w:topLinePunct w:val="0"/>
        <w:bidi w:val="0"/>
        <w:adjustRightInd w:val="0"/>
        <w:snapToGrid/>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https://edu.zcygov.cn/luban/ca?utm=web-government-front.380aac0a.0.0.fc2b6aa0b6e211ebbdb0dd007730dd44</w:t>
      </w:r>
    </w:p>
    <w:p w14:paraId="7D43DAD7">
      <w:pPr>
        <w:keepNext w:val="0"/>
        <w:keepLines w:val="0"/>
        <w:pageBreakBefore w:val="0"/>
        <w:widowControl w:val="0"/>
        <w:kinsoku/>
        <w:overflowPunct/>
        <w:topLinePunct w:val="0"/>
        <w:bidi w:val="0"/>
        <w:adjustRightInd w:val="0"/>
        <w:snapToGrid/>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《CA驱动和申领流程》:</w:t>
      </w:r>
    </w:p>
    <w:p w14:paraId="4489F307">
      <w:pPr>
        <w:keepNext w:val="0"/>
        <w:keepLines w:val="0"/>
        <w:pageBreakBefore w:val="0"/>
        <w:widowControl w:val="0"/>
        <w:kinsoku/>
        <w:overflowPunct/>
        <w:topLinePunct w:val="0"/>
        <w:bidi w:val="0"/>
        <w:adjustRightInd w:val="0"/>
        <w:snapToGrid/>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"http://zfcg.czt.zj.gov.cn/bidClientTemplate/2019-05-27/12945.html"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http://zfcg.czt.zj.gov.cn/bidClientTemplate/2019-05-27/12945.html</w:t>
      </w:r>
      <w:r>
        <w:rPr>
          <w:rFonts w:hint="eastAsia" w:ascii="宋体" w:hAnsi="宋体" w:eastAsia="宋体" w:cs="宋体"/>
          <w:color w:val="auto"/>
          <w:sz w:val="24"/>
          <w:szCs w:val="24"/>
          <w:highlight w:val="none"/>
        </w:rPr>
        <w:fldChar w:fldCharType="end"/>
      </w:r>
    </w:p>
    <w:p w14:paraId="57F55B6D">
      <w:pPr>
        <w:keepNext w:val="0"/>
        <w:keepLines w:val="0"/>
        <w:pageBreakBefore w:val="0"/>
        <w:widowControl w:val="0"/>
        <w:numPr>
          <w:ilvl w:val="0"/>
          <w:numId w:val="6"/>
        </w:numPr>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投标文件制作：</w:t>
      </w:r>
    </w:p>
    <w:p w14:paraId="0C372936">
      <w:pPr>
        <w:keepNext w:val="0"/>
        <w:keepLines w:val="0"/>
        <w:pageBreakBefore w:val="0"/>
        <w:widowControl w:val="0"/>
        <w:numPr>
          <w:ilvl w:val="0"/>
          <w:numId w:val="7"/>
        </w:numPr>
        <w:kinsoku/>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w:t>
      </w:r>
      <w:r>
        <w:rPr>
          <w:rFonts w:hint="eastAsia" w:ascii="宋体" w:hAnsi="宋体" w:eastAsia="宋体" w:cs="宋体"/>
          <w:color w:val="auto"/>
          <w:sz w:val="24"/>
          <w:szCs w:val="24"/>
          <w:highlight w:val="none"/>
          <w:lang w:val="en-US" w:eastAsia="zh-CN"/>
        </w:rPr>
        <w:t>95763</w:t>
      </w:r>
      <w:r>
        <w:rPr>
          <w:rFonts w:hint="eastAsia" w:ascii="宋体" w:hAnsi="宋体" w:eastAsia="宋体" w:cs="宋体"/>
          <w:color w:val="auto"/>
          <w:sz w:val="24"/>
          <w:szCs w:val="24"/>
          <w:highlight w:val="none"/>
        </w:rPr>
        <w:t>。</w:t>
      </w:r>
    </w:p>
    <w:p w14:paraId="1F90A651">
      <w:pPr>
        <w:keepNext w:val="0"/>
        <w:keepLines w:val="0"/>
        <w:pageBreakBefore w:val="0"/>
        <w:widowControl w:val="0"/>
        <w:numPr>
          <w:ilvl w:val="0"/>
          <w:numId w:val="7"/>
        </w:numPr>
        <w:kinsoku/>
        <w:wordWrap w:val="0"/>
        <w:overflowPunct/>
        <w:topLinePunct w:val="0"/>
        <w:bidi w:val="0"/>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投标人通过“政采云”平台电子投标工具制作投标文件。</w:t>
      </w:r>
    </w:p>
    <w:p w14:paraId="284DC041">
      <w:pPr>
        <w:keepNext w:val="0"/>
        <w:keepLines w:val="0"/>
        <w:pageBreakBefore w:val="0"/>
        <w:widowControl w:val="0"/>
        <w:kinsoku/>
        <w:overflowPunct/>
        <w:topLinePunct w:val="0"/>
        <w:bidi w:val="0"/>
        <w:adjustRightInd w:val="0"/>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《电子投标工具》：</w:t>
      </w:r>
    </w:p>
    <w:p w14:paraId="23B31C7B">
      <w:pPr>
        <w:keepNext w:val="0"/>
        <w:keepLines w:val="0"/>
        <w:pageBreakBefore w:val="0"/>
        <w:widowControl w:val="0"/>
        <w:kinsoku/>
        <w:overflowPunct/>
        <w:topLinePunct w:val="0"/>
        <w:bidi w:val="0"/>
        <w:adjustRightInd w:val="0"/>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"http://zfcg.czt.zj.gov.cn/bidClientTemplate/2019-09-24/12975.html"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http://zfcg.czt.zj.gov.cn/bidClientTemplate/2019-09-24/12975.html</w:t>
      </w:r>
      <w:r>
        <w:rPr>
          <w:rFonts w:hint="eastAsia" w:ascii="宋体" w:hAnsi="宋体" w:eastAsia="宋体" w:cs="宋体"/>
          <w:color w:val="auto"/>
          <w:sz w:val="24"/>
          <w:szCs w:val="24"/>
          <w:highlight w:val="none"/>
        </w:rPr>
        <w:fldChar w:fldCharType="end"/>
      </w:r>
    </w:p>
    <w:p w14:paraId="7DBBFB79">
      <w:pPr>
        <w:keepNext w:val="0"/>
        <w:keepLines w:val="0"/>
        <w:pageBreakBefore w:val="0"/>
        <w:widowControl w:val="0"/>
        <w:kinsoku/>
        <w:overflowPunct/>
        <w:topLinePunct w:val="0"/>
        <w:bidi w:val="0"/>
        <w:adjustRightInd w:val="0"/>
        <w:snapToGrid/>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政府采购项目电子交易操作指南》：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需登录账号后查看</w:t>
      </w:r>
      <w:r>
        <w:rPr>
          <w:rFonts w:hint="eastAsia" w:ascii="宋体" w:hAnsi="宋体" w:eastAsia="宋体" w:cs="宋体"/>
          <w:color w:val="auto"/>
          <w:sz w:val="24"/>
          <w:szCs w:val="24"/>
          <w:highlight w:val="none"/>
          <w:lang w:eastAsia="zh-CN"/>
        </w:rPr>
        <w:t>）</w:t>
      </w:r>
    </w:p>
    <w:p w14:paraId="0B9382F0">
      <w:pPr>
        <w:keepNext w:val="0"/>
        <w:keepLines w:val="0"/>
        <w:pageBreakBefore w:val="0"/>
        <w:widowControl w:val="0"/>
        <w:kinsoku/>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"https://service.zcygov.cn/" \l "/knowledges/tree?tag=AG1DtGwBFdiHxlNdhY0r"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https://service.zcygov.cn/#/knowledges/tree?tag=AG1DtGwBFdiHxlNdhY0r</w:t>
      </w:r>
      <w:r>
        <w:rPr>
          <w:rFonts w:hint="eastAsia" w:ascii="宋体" w:hAnsi="宋体" w:eastAsia="宋体" w:cs="宋体"/>
          <w:color w:val="auto"/>
          <w:sz w:val="24"/>
          <w:szCs w:val="24"/>
          <w:highlight w:val="none"/>
        </w:rPr>
        <w:fldChar w:fldCharType="end"/>
      </w:r>
    </w:p>
    <w:p w14:paraId="1F367708">
      <w:pPr>
        <w:keepNext w:val="0"/>
        <w:keepLines w:val="0"/>
        <w:pageBreakBefore w:val="0"/>
        <w:widowControl w:val="0"/>
        <w:numPr>
          <w:ilvl w:val="0"/>
          <w:numId w:val="6"/>
        </w:numPr>
        <w:tabs>
          <w:tab w:val="left" w:pos="204"/>
        </w:tabs>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供应商在法定质疑期内应一次性提出针对同一采购程序环节的质疑。</w:t>
      </w:r>
    </w:p>
    <w:p w14:paraId="050B4295">
      <w:pPr>
        <w:keepNext w:val="0"/>
        <w:keepLines w:val="0"/>
        <w:pageBreakBefore w:val="0"/>
        <w:widowControl w:val="0"/>
        <w:numPr>
          <w:ilvl w:val="0"/>
          <w:numId w:val="6"/>
        </w:numPr>
        <w:kinsoku/>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投标人可指派授权代表递交备份文件，授权代表递交备份文件需携带法定代表人授权书原件，于投标截止时间前到达开标地点递交。</w:t>
      </w:r>
    </w:p>
    <w:p w14:paraId="599CC47B">
      <w:pPr>
        <w:keepNext w:val="0"/>
        <w:keepLines w:val="0"/>
        <w:pageBreakBefore w:val="0"/>
        <w:widowControl w:val="0"/>
        <w:kinsoku/>
        <w:overflowPunct/>
        <w:topLinePunct w:val="0"/>
        <w:autoSpaceDE/>
        <w:autoSpaceDN/>
        <w:bidi w:val="0"/>
        <w:adjustRightInd w:val="0"/>
        <w:snapToGrid/>
        <w:spacing w:line="360" w:lineRule="auto"/>
        <w:ind w:left="420"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6.特别提醒</w:t>
      </w:r>
    </w:p>
    <w:p w14:paraId="7B885843">
      <w:pPr>
        <w:keepNext w:val="0"/>
        <w:keepLines w:val="0"/>
        <w:pageBreakBefore w:val="0"/>
        <w:widowControl w:val="0"/>
        <w:numPr>
          <w:ilvl w:val="0"/>
          <w:numId w:val="8"/>
        </w:numPr>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14:paraId="3549D21C">
      <w:pPr>
        <w:keepNext w:val="0"/>
        <w:keepLines w:val="0"/>
        <w:pageBreakBefore w:val="0"/>
        <w:widowControl w:val="0"/>
        <w:numPr>
          <w:ilvl w:val="0"/>
          <w:numId w:val="8"/>
        </w:numPr>
        <w:kinsoku/>
        <w:wordWrap w:val="0"/>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除单一来源采购项目外，为采购项目提供整体设计、规范编制或者项目管理、监理、检测等服务的供应商，不得再参加该采购项目的其他采购活动。</w:t>
      </w:r>
    </w:p>
    <w:p w14:paraId="438170EA">
      <w:pPr>
        <w:keepNext w:val="0"/>
        <w:keepLines w:val="0"/>
        <w:pageBreakBefore w:val="0"/>
        <w:widowControl w:val="0"/>
        <w:kinsoku/>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七．磋商响应截止时间及要求：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上午</w:t>
      </w:r>
      <w:r>
        <w:rPr>
          <w:rFonts w:hint="eastAsia" w:ascii="宋体" w:hAnsi="宋体" w:eastAsia="宋体" w:cs="宋体"/>
          <w:color w:val="auto"/>
          <w:sz w:val="24"/>
          <w:szCs w:val="24"/>
          <w:highlight w:val="none"/>
          <w:u w:val="single"/>
        </w:rPr>
        <w:t xml:space="preserve"> 09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分整</w:t>
      </w:r>
      <w:r>
        <w:rPr>
          <w:rFonts w:hint="eastAsia" w:ascii="宋体" w:hAnsi="宋体" w:eastAsia="宋体" w:cs="宋体"/>
          <w:color w:val="auto"/>
          <w:kern w:val="0"/>
          <w:sz w:val="24"/>
          <w:szCs w:val="24"/>
          <w:highlight w:val="none"/>
        </w:rPr>
        <w:t>之前将电子磋商响应文件上传到“政采云”平台。</w:t>
      </w:r>
    </w:p>
    <w:p w14:paraId="25E12A4A">
      <w:pPr>
        <w:keepNext w:val="0"/>
        <w:keepLines w:val="0"/>
        <w:pageBreakBefore w:val="0"/>
        <w:widowControl w:val="0"/>
        <w:kinsoku/>
        <w:overflowPunct/>
        <w:topLinePunct w:val="0"/>
        <w:autoSpaceDE/>
        <w:autoSpaceDN/>
        <w:bidi w:val="0"/>
        <w:adjustRightInd w:val="0"/>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八．递交首次响应文件时间及地点：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rPr>
        <w:t>日 上午</w:t>
      </w:r>
      <w:r>
        <w:rPr>
          <w:rFonts w:hint="eastAsia" w:ascii="宋体" w:hAnsi="宋体" w:eastAsia="宋体" w:cs="宋体"/>
          <w:color w:val="auto"/>
          <w:sz w:val="24"/>
          <w:szCs w:val="24"/>
          <w:highlight w:val="none"/>
          <w:u w:val="single"/>
        </w:rPr>
        <w:t xml:space="preserve"> 09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分</w:t>
      </w:r>
      <w:bookmarkStart w:id="6" w:name="B30_开标地点"/>
      <w:r>
        <w:rPr>
          <w:rFonts w:hint="eastAsia" w:ascii="宋体" w:hAnsi="宋体" w:eastAsia="宋体" w:cs="宋体"/>
          <w:color w:val="auto"/>
          <w:sz w:val="24"/>
          <w:szCs w:val="24"/>
          <w:highlight w:val="none"/>
        </w:rPr>
        <w:t>整在</w:t>
      </w:r>
      <w:bookmarkEnd w:id="6"/>
      <w:r>
        <w:rPr>
          <w:rFonts w:hint="eastAsia" w:ascii="宋体" w:hAnsi="宋体" w:cs="宋体"/>
          <w:sz w:val="24"/>
          <w:highlight w:val="none"/>
        </w:rPr>
        <w:t>绍兴成言工程咨询管理有限公司开标室（绍兴市上虞区梁祝大道2385号万金大厦24楼）开标。</w:t>
      </w:r>
    </w:p>
    <w:p w14:paraId="6060061A">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开标时间后30分钟内（</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 10 : 00 前）供应商可以登录“政采云”平台，用“项目采购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开标评标”功能进行解密响应文件。若供应商在规定时间内（</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 10 : 00 前）解密失败，则由采购代理机构工作人员上传供应商提供的备份文件。备份文件（后缀名为.bfbs）须存储在U盘中，与上传的电子磋商响应文件一致，用信封进行密封并盖章</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color w:val="auto"/>
          <w:sz w:val="24"/>
          <w:szCs w:val="24"/>
          <w:highlight w:val="none"/>
        </w:rPr>
        <w:t>，由授权代表在磋商响应截止时间前递交至开标地点。若电子磋商响应文件正常解锁，则U盘退还给供应商；若解锁失败，则由采购代理机构将U盘中的备份文件上传，该U盘将由采购代理机构保存。</w:t>
      </w:r>
    </w:p>
    <w:p w14:paraId="17016627">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本次开标不提供现场视频。</w:t>
      </w:r>
    </w:p>
    <w:p w14:paraId="61201B4B">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九．磋商保证金：无</w:t>
      </w:r>
    </w:p>
    <w:p w14:paraId="3A883B0B">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十．公告期限：</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14:paraId="78A319C9">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十一．联系方式：</w:t>
      </w:r>
    </w:p>
    <w:p w14:paraId="2D257AF3">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1．采购代理机构名称：绍兴成言工程咨询管理有限公司</w:t>
      </w:r>
    </w:p>
    <w:p w14:paraId="23D4B345">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周吉</w:t>
      </w:r>
      <w:r>
        <w:rPr>
          <w:rFonts w:hint="eastAsia" w:ascii="宋体" w:hAnsi="宋体" w:eastAsia="宋体" w:cs="宋体"/>
          <w:color w:val="auto"/>
          <w:sz w:val="24"/>
          <w:szCs w:val="24"/>
          <w:highlight w:val="none"/>
        </w:rPr>
        <w:t xml:space="preserve">               </w:t>
      </w:r>
    </w:p>
    <w:p w14:paraId="1327D88C">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cs="宋体"/>
          <w:color w:val="auto"/>
          <w:sz w:val="24"/>
          <w:szCs w:val="24"/>
          <w:highlight w:val="none"/>
          <w:lang w:val="en-US" w:eastAsia="zh-CN"/>
        </w:rPr>
        <w:t>18005858072</w:t>
      </w:r>
      <w:r>
        <w:rPr>
          <w:rFonts w:hint="eastAsia" w:ascii="宋体" w:hAnsi="宋体" w:eastAsia="宋体" w:cs="宋体"/>
          <w:color w:val="auto"/>
          <w:sz w:val="24"/>
          <w:szCs w:val="24"/>
          <w:highlight w:val="none"/>
        </w:rPr>
        <w:t xml:space="preserve">          </w:t>
      </w:r>
    </w:p>
    <w:p w14:paraId="3F494E40">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章女士</w:t>
      </w:r>
      <w:r>
        <w:rPr>
          <w:rFonts w:hint="eastAsia" w:ascii="宋体" w:hAnsi="宋体" w:eastAsia="宋体" w:cs="宋体"/>
          <w:color w:val="auto"/>
          <w:sz w:val="24"/>
          <w:szCs w:val="24"/>
          <w:highlight w:val="none"/>
        </w:rPr>
        <w:t xml:space="preserve">             </w:t>
      </w:r>
    </w:p>
    <w:p w14:paraId="2AC52B93">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cs="宋体"/>
          <w:color w:val="auto"/>
          <w:sz w:val="24"/>
          <w:szCs w:val="24"/>
          <w:highlight w:val="none"/>
          <w:lang w:val="en-US" w:eastAsia="zh-CN"/>
        </w:rPr>
        <w:t>0575-82180058</w:t>
      </w:r>
      <w:r>
        <w:rPr>
          <w:rFonts w:hint="eastAsia" w:ascii="宋体" w:hAnsi="宋体" w:eastAsia="宋体" w:cs="宋体"/>
          <w:color w:val="auto"/>
          <w:sz w:val="24"/>
          <w:szCs w:val="24"/>
          <w:highlight w:val="none"/>
        </w:rPr>
        <w:t xml:space="preserve">       </w:t>
      </w:r>
    </w:p>
    <w:p w14:paraId="07702659">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地址：绍兴市上虞区百官街道</w:t>
      </w:r>
      <w:r>
        <w:rPr>
          <w:rFonts w:hint="eastAsia" w:ascii="宋体" w:hAnsi="宋体" w:cs="宋体"/>
          <w:color w:val="auto"/>
          <w:sz w:val="24"/>
          <w:szCs w:val="24"/>
          <w:highlight w:val="none"/>
          <w:lang w:val="en-US" w:eastAsia="zh-CN"/>
        </w:rPr>
        <w:t>梁祝大道2385号万金大厦24楼</w:t>
      </w:r>
      <w:r>
        <w:rPr>
          <w:rFonts w:hint="eastAsia" w:ascii="宋体" w:hAnsi="宋体" w:eastAsia="宋体" w:cs="宋体"/>
          <w:color w:val="auto"/>
          <w:sz w:val="24"/>
          <w:szCs w:val="24"/>
          <w:highlight w:val="none"/>
        </w:rPr>
        <w:t xml:space="preserve"> </w:t>
      </w:r>
    </w:p>
    <w:p w14:paraId="7D8A73BE">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2．采购人名称：</w:t>
      </w:r>
      <w:r>
        <w:rPr>
          <w:rFonts w:hint="eastAsia" w:ascii="宋体" w:hAnsi="宋体" w:cs="宋体"/>
          <w:color w:val="auto"/>
          <w:sz w:val="24"/>
          <w:szCs w:val="24"/>
          <w:highlight w:val="none"/>
          <w:lang w:eastAsia="zh-CN"/>
        </w:rPr>
        <w:t>中共绍兴市上虞区委宣传部</w:t>
      </w:r>
    </w:p>
    <w:p w14:paraId="25D87AA7">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方女士</w:t>
      </w:r>
    </w:p>
    <w:p w14:paraId="0C945C46">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0575-82202502</w:t>
      </w:r>
    </w:p>
    <w:p w14:paraId="6EEB2384">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：陈先生</w:t>
      </w:r>
    </w:p>
    <w:p w14:paraId="7969B4DF">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 xml:space="preserve"> 0575-82214134</w:t>
      </w:r>
    </w:p>
    <w:p w14:paraId="5BC90885">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地址：</w:t>
      </w:r>
      <w:r>
        <w:rPr>
          <w:rFonts w:hint="eastAsia" w:ascii="宋体" w:hAnsi="宋体" w:eastAsia="宋体" w:cs="宋体"/>
          <w:sz w:val="24"/>
          <w:highlight w:val="none"/>
          <w:lang w:eastAsia="zh-CN"/>
        </w:rPr>
        <w:t>绍兴市</w:t>
      </w:r>
      <w:r>
        <w:rPr>
          <w:rFonts w:hint="eastAsia" w:ascii="宋体" w:hAnsi="宋体" w:eastAsia="宋体" w:cs="宋体"/>
          <w:sz w:val="24"/>
          <w:highlight w:val="none"/>
          <w:lang w:val="en-US" w:eastAsia="zh-CN"/>
        </w:rPr>
        <w:t>上虞区百官街道</w:t>
      </w:r>
      <w:r>
        <w:rPr>
          <w:rFonts w:hint="eastAsia" w:ascii="宋体" w:hAnsi="宋体" w:cs="宋体"/>
          <w:sz w:val="24"/>
          <w:highlight w:val="none"/>
          <w:lang w:val="en-US" w:eastAsia="zh-CN"/>
        </w:rPr>
        <w:t>市民大道987号</w:t>
      </w:r>
    </w:p>
    <w:p w14:paraId="4D79FE27">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3．同级政府采购监督管理部门名称：上虞区财政局政府采购监管科</w:t>
      </w:r>
    </w:p>
    <w:p w14:paraId="086E0D2F">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联系人：谷先生</w:t>
      </w:r>
    </w:p>
    <w:p w14:paraId="20B3AA06">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监督投诉电话：0575-82130212</w:t>
      </w:r>
    </w:p>
    <w:p w14:paraId="6665B6C4">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sz w:val="24"/>
          <w:szCs w:val="24"/>
          <w:highlight w:val="none"/>
        </w:rPr>
        <w:t>0575-821</w:t>
      </w:r>
      <w:r>
        <w:rPr>
          <w:rFonts w:hint="eastAsia" w:ascii="宋体" w:hAnsi="宋体" w:eastAsia="宋体" w:cs="宋体"/>
          <w:sz w:val="24"/>
          <w:szCs w:val="24"/>
          <w:highlight w:val="none"/>
          <w:lang w:val="en-US" w:eastAsia="zh-CN"/>
        </w:rPr>
        <w:t>54859</w:t>
      </w:r>
    </w:p>
    <w:p w14:paraId="5A809925">
      <w:pPr>
        <w:keepNext w:val="0"/>
        <w:keepLines w:val="0"/>
        <w:pageBreakBefore w:val="0"/>
        <w:widowControl w:val="0"/>
        <w:kinsoku/>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地址：绍兴市上虞区体育场路18号</w:t>
      </w:r>
    </w:p>
    <w:p w14:paraId="03B7513A">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9"/>
          <w:rFonts w:hint="eastAsia" w:ascii="宋体" w:hAnsi="宋体" w:eastAsia="宋体" w:cs="宋体"/>
          <w:color w:val="auto"/>
          <w:sz w:val="36"/>
          <w:szCs w:val="36"/>
          <w:highlight w:val="none"/>
        </w:rPr>
      </w:pPr>
      <w:bookmarkStart w:id="7" w:name="_Toc21447"/>
      <w:bookmarkStart w:id="8" w:name="_Toc546"/>
      <w:bookmarkStart w:id="9" w:name="_Toc29834"/>
    </w:p>
    <w:p w14:paraId="2E174973">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9"/>
          <w:rFonts w:hint="eastAsia" w:ascii="宋体" w:hAnsi="宋体" w:eastAsia="宋体" w:cs="宋体"/>
          <w:color w:val="auto"/>
          <w:sz w:val="36"/>
          <w:szCs w:val="36"/>
          <w:highlight w:val="none"/>
        </w:rPr>
      </w:pPr>
    </w:p>
    <w:p w14:paraId="088F9010">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9"/>
          <w:rFonts w:hint="eastAsia" w:ascii="宋体" w:hAnsi="宋体" w:eastAsia="宋体" w:cs="宋体"/>
          <w:color w:val="auto"/>
          <w:sz w:val="36"/>
          <w:szCs w:val="36"/>
          <w:highlight w:val="none"/>
        </w:rPr>
      </w:pPr>
    </w:p>
    <w:p w14:paraId="394F74FE">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9"/>
          <w:rFonts w:hint="eastAsia" w:ascii="宋体" w:hAnsi="宋体" w:eastAsia="宋体" w:cs="宋体"/>
          <w:color w:val="auto"/>
          <w:sz w:val="36"/>
          <w:szCs w:val="36"/>
          <w:highlight w:val="none"/>
        </w:rPr>
      </w:pPr>
    </w:p>
    <w:p w14:paraId="31AA9C24">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9"/>
          <w:rFonts w:hint="eastAsia" w:ascii="宋体" w:hAnsi="宋体" w:eastAsia="宋体" w:cs="宋体"/>
          <w:color w:val="auto"/>
          <w:sz w:val="36"/>
          <w:szCs w:val="36"/>
          <w:highlight w:val="none"/>
        </w:rPr>
      </w:pPr>
    </w:p>
    <w:p w14:paraId="025DCD6C">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9"/>
          <w:rFonts w:hint="eastAsia" w:ascii="宋体" w:hAnsi="宋体" w:eastAsia="宋体" w:cs="宋体"/>
          <w:color w:val="auto"/>
          <w:sz w:val="36"/>
          <w:szCs w:val="36"/>
          <w:highlight w:val="none"/>
        </w:rPr>
      </w:pPr>
    </w:p>
    <w:p w14:paraId="24186BE2">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9"/>
          <w:rFonts w:hint="eastAsia" w:ascii="宋体" w:hAnsi="宋体" w:eastAsia="宋体" w:cs="宋体"/>
          <w:color w:val="auto"/>
          <w:sz w:val="36"/>
          <w:szCs w:val="36"/>
          <w:highlight w:val="none"/>
        </w:rPr>
      </w:pPr>
    </w:p>
    <w:p w14:paraId="3B46EE7A">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9"/>
          <w:rFonts w:hint="eastAsia" w:ascii="宋体" w:hAnsi="宋体" w:eastAsia="宋体" w:cs="宋体"/>
          <w:color w:val="auto"/>
          <w:sz w:val="36"/>
          <w:szCs w:val="36"/>
          <w:highlight w:val="none"/>
        </w:rPr>
      </w:pPr>
    </w:p>
    <w:p w14:paraId="2F4F5A34">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9"/>
          <w:rFonts w:hint="eastAsia" w:ascii="宋体" w:hAnsi="宋体" w:eastAsia="宋体" w:cs="宋体"/>
          <w:color w:val="auto"/>
          <w:sz w:val="36"/>
          <w:szCs w:val="36"/>
          <w:highlight w:val="none"/>
        </w:rPr>
      </w:pPr>
    </w:p>
    <w:p w14:paraId="1D9FA5DF">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9"/>
          <w:rFonts w:hint="eastAsia" w:ascii="宋体" w:hAnsi="宋体" w:eastAsia="宋体" w:cs="宋体"/>
          <w:color w:val="auto"/>
          <w:sz w:val="36"/>
          <w:szCs w:val="36"/>
          <w:highlight w:val="none"/>
        </w:rPr>
      </w:pPr>
    </w:p>
    <w:p w14:paraId="2E22D190">
      <w:pPr>
        <w:keepNext w:val="0"/>
        <w:keepLines w:val="0"/>
        <w:pageBreakBefore w:val="0"/>
        <w:widowControl w:val="0"/>
        <w:kinsoku/>
        <w:overflowPunct/>
        <w:topLinePunct w:val="0"/>
        <w:autoSpaceDE/>
        <w:autoSpaceDN/>
        <w:bidi w:val="0"/>
        <w:snapToGrid/>
        <w:spacing w:line="360" w:lineRule="auto"/>
        <w:jc w:val="both"/>
        <w:textAlignment w:val="auto"/>
        <w:outlineLvl w:val="0"/>
        <w:rPr>
          <w:rStyle w:val="49"/>
          <w:rFonts w:hint="eastAsia" w:ascii="宋体" w:hAnsi="宋体" w:eastAsia="宋体" w:cs="宋体"/>
          <w:color w:val="auto"/>
          <w:sz w:val="36"/>
          <w:szCs w:val="36"/>
          <w:highlight w:val="none"/>
        </w:rPr>
      </w:pPr>
    </w:p>
    <w:p w14:paraId="405D2904">
      <w:pPr>
        <w:keepNext w:val="0"/>
        <w:keepLines w:val="0"/>
        <w:pageBreakBefore w:val="0"/>
        <w:widowControl w:val="0"/>
        <w:kinsoku/>
        <w:overflowPunct/>
        <w:topLinePunct w:val="0"/>
        <w:autoSpaceDE/>
        <w:autoSpaceDN/>
        <w:bidi w:val="0"/>
        <w:snapToGrid/>
        <w:spacing w:line="360" w:lineRule="auto"/>
        <w:jc w:val="center"/>
        <w:textAlignment w:val="auto"/>
        <w:outlineLvl w:val="0"/>
        <w:rPr>
          <w:rFonts w:hint="eastAsia" w:ascii="宋体" w:hAnsi="宋体" w:eastAsia="宋体" w:cs="宋体"/>
          <w:b/>
          <w:bCs/>
          <w:color w:val="auto"/>
          <w:sz w:val="36"/>
          <w:szCs w:val="36"/>
          <w:highlight w:val="none"/>
        </w:rPr>
      </w:pPr>
      <w:r>
        <w:rPr>
          <w:rStyle w:val="49"/>
          <w:rFonts w:hint="eastAsia" w:ascii="宋体" w:hAnsi="宋体" w:eastAsia="宋体" w:cs="宋体"/>
          <w:color w:val="auto"/>
          <w:sz w:val="36"/>
          <w:szCs w:val="36"/>
          <w:highlight w:val="none"/>
        </w:rPr>
        <w:t>第二部分</w:t>
      </w:r>
      <w:bookmarkEnd w:id="3"/>
      <w:r>
        <w:rPr>
          <w:rStyle w:val="49"/>
          <w:rFonts w:hint="eastAsia" w:ascii="宋体" w:hAnsi="宋体" w:eastAsia="宋体" w:cs="宋体"/>
          <w:color w:val="auto"/>
          <w:sz w:val="36"/>
          <w:szCs w:val="36"/>
          <w:highlight w:val="none"/>
        </w:rPr>
        <w:t xml:space="preserve"> </w:t>
      </w:r>
      <w:bookmarkEnd w:id="4"/>
      <w:r>
        <w:rPr>
          <w:rStyle w:val="49"/>
          <w:rFonts w:hint="eastAsia" w:ascii="宋体" w:hAnsi="宋体" w:eastAsia="宋体" w:cs="宋体"/>
          <w:color w:val="auto"/>
          <w:sz w:val="36"/>
          <w:szCs w:val="36"/>
          <w:highlight w:val="none"/>
        </w:rPr>
        <w:t>供应商须知</w:t>
      </w:r>
      <w:bookmarkEnd w:id="7"/>
      <w:bookmarkEnd w:id="8"/>
      <w:bookmarkEnd w:id="9"/>
    </w:p>
    <w:p w14:paraId="48D64B76">
      <w:pPr>
        <w:widowControl/>
        <w:adjustRightInd w:val="0"/>
        <w:snapToGrid w:val="0"/>
        <w:spacing w:line="360" w:lineRule="auto"/>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供应商须知前附表</w:t>
      </w:r>
    </w:p>
    <w:tbl>
      <w:tblPr>
        <w:tblStyle w:val="31"/>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631493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5675305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bCs/>
                <w:snapToGrid w:val="0"/>
                <w:color w:val="auto"/>
                <w:kern w:val="0"/>
                <w:highlight w:val="none"/>
              </w:rPr>
            </w:pPr>
            <w:r>
              <w:rPr>
                <w:rFonts w:hint="eastAsia" w:ascii="宋体" w:hAnsi="宋体" w:eastAsia="宋体" w:cs="宋体"/>
                <w:b/>
                <w:bCs/>
                <w:snapToGrid w:val="0"/>
                <w:color w:val="auto"/>
                <w:kern w:val="0"/>
                <w:highlight w:val="none"/>
              </w:rPr>
              <w:t>序号</w:t>
            </w:r>
          </w:p>
        </w:tc>
        <w:tc>
          <w:tcPr>
            <w:tcW w:w="1800" w:type="dxa"/>
            <w:tcBorders>
              <w:top w:val="double" w:color="auto" w:sz="4" w:space="0"/>
            </w:tcBorders>
            <w:vAlign w:val="center"/>
          </w:tcPr>
          <w:p w14:paraId="2DC894A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项目</w:t>
            </w:r>
          </w:p>
        </w:tc>
        <w:tc>
          <w:tcPr>
            <w:tcW w:w="6682" w:type="dxa"/>
            <w:tcBorders>
              <w:top w:val="double" w:color="auto" w:sz="4" w:space="0"/>
            </w:tcBorders>
            <w:vAlign w:val="center"/>
          </w:tcPr>
          <w:p w14:paraId="5F5D18E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内容</w:t>
            </w:r>
          </w:p>
        </w:tc>
      </w:tr>
      <w:tr w14:paraId="2C2899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1A1DDE5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1800" w:type="dxa"/>
            <w:vAlign w:val="center"/>
          </w:tcPr>
          <w:p w14:paraId="1D39244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项目名称</w:t>
            </w:r>
          </w:p>
        </w:tc>
        <w:tc>
          <w:tcPr>
            <w:tcW w:w="6682" w:type="dxa"/>
            <w:vAlign w:val="center"/>
          </w:tcPr>
          <w:p w14:paraId="0A0D952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eastAsia="zh-CN"/>
              </w:rPr>
              <w:t>2025年市级重要媒体宣传服务项目(第四次)</w:t>
            </w:r>
          </w:p>
        </w:tc>
      </w:tr>
      <w:tr w14:paraId="036653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2040E6A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800" w:type="dxa"/>
            <w:vAlign w:val="center"/>
          </w:tcPr>
          <w:p w14:paraId="60B5824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服务周期</w:t>
            </w:r>
          </w:p>
        </w:tc>
        <w:tc>
          <w:tcPr>
            <w:tcW w:w="6682" w:type="dxa"/>
            <w:vAlign w:val="center"/>
          </w:tcPr>
          <w:p w14:paraId="71EE65C9">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rPr>
              <w:t>自合同签订之日起至合同履行完毕</w:t>
            </w:r>
          </w:p>
        </w:tc>
      </w:tr>
      <w:tr w14:paraId="2B570E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0807C3D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800" w:type="dxa"/>
            <w:vAlign w:val="center"/>
          </w:tcPr>
          <w:p w14:paraId="08B86CE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最高限价</w:t>
            </w:r>
          </w:p>
        </w:tc>
        <w:tc>
          <w:tcPr>
            <w:tcW w:w="6682" w:type="dxa"/>
            <w:vAlign w:val="center"/>
          </w:tcPr>
          <w:p w14:paraId="166C40B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color w:val="auto"/>
                <w:sz w:val="24"/>
                <w:szCs w:val="24"/>
                <w:highlight w:val="none"/>
              </w:rPr>
              <w:t>本项目最高限价</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70</w:t>
            </w:r>
            <w:r>
              <w:rPr>
                <w:rFonts w:hint="eastAsia" w:ascii="宋体" w:hAnsi="宋体" w:eastAsia="宋体" w:cs="宋体"/>
                <w:color w:val="auto"/>
                <w:sz w:val="24"/>
                <w:szCs w:val="24"/>
                <w:highlight w:val="none"/>
              </w:rPr>
              <w:t>万元。</w:t>
            </w:r>
          </w:p>
        </w:tc>
      </w:tr>
      <w:tr w14:paraId="0DA60A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648" w:type="dxa"/>
            <w:vAlign w:val="center"/>
          </w:tcPr>
          <w:p w14:paraId="62E5923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800" w:type="dxa"/>
            <w:vAlign w:val="center"/>
          </w:tcPr>
          <w:p w14:paraId="3E7457E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资格审查方式</w:t>
            </w:r>
          </w:p>
        </w:tc>
        <w:tc>
          <w:tcPr>
            <w:tcW w:w="6682" w:type="dxa"/>
            <w:vAlign w:val="center"/>
          </w:tcPr>
          <w:p w14:paraId="653D136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资格审查是指开标后，磋商小组将依据法律法规和磋商文件的规定对供应商的资格进行审查。</w:t>
            </w:r>
          </w:p>
        </w:tc>
      </w:tr>
      <w:tr w14:paraId="030BE7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648" w:type="dxa"/>
            <w:vAlign w:val="center"/>
          </w:tcPr>
          <w:p w14:paraId="49AEDB2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800" w:type="dxa"/>
            <w:vAlign w:val="center"/>
          </w:tcPr>
          <w:p w14:paraId="10119E3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踏勘现场</w:t>
            </w:r>
          </w:p>
        </w:tc>
        <w:tc>
          <w:tcPr>
            <w:tcW w:w="6682" w:type="dxa"/>
            <w:vAlign w:val="center"/>
          </w:tcPr>
          <w:p w14:paraId="5B05A60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本项目不组织现场踏勘</w:t>
            </w:r>
          </w:p>
        </w:tc>
      </w:tr>
      <w:tr w14:paraId="238DD5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1" w:hRule="atLeast"/>
          <w:jc w:val="center"/>
        </w:trPr>
        <w:tc>
          <w:tcPr>
            <w:tcW w:w="648" w:type="dxa"/>
            <w:vAlign w:val="center"/>
          </w:tcPr>
          <w:p w14:paraId="792CCAF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800" w:type="dxa"/>
            <w:vAlign w:val="center"/>
          </w:tcPr>
          <w:p w14:paraId="66FB17D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询问</w:t>
            </w:r>
          </w:p>
        </w:tc>
        <w:tc>
          <w:tcPr>
            <w:tcW w:w="6682" w:type="dxa"/>
            <w:vAlign w:val="center"/>
          </w:tcPr>
          <w:p w14:paraId="459B091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0609A7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44" w:hRule="atLeast"/>
          <w:jc w:val="center"/>
        </w:trPr>
        <w:tc>
          <w:tcPr>
            <w:tcW w:w="648" w:type="dxa"/>
            <w:vAlign w:val="center"/>
          </w:tcPr>
          <w:p w14:paraId="5D4F82C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w:t>
            </w:r>
          </w:p>
        </w:tc>
        <w:tc>
          <w:tcPr>
            <w:tcW w:w="1800" w:type="dxa"/>
            <w:vAlign w:val="center"/>
          </w:tcPr>
          <w:p w14:paraId="04F13E1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磋商文件的澄清与修改</w:t>
            </w:r>
          </w:p>
        </w:tc>
        <w:tc>
          <w:tcPr>
            <w:tcW w:w="6682" w:type="dxa"/>
            <w:vAlign w:val="center"/>
          </w:tcPr>
          <w:p w14:paraId="65D96A6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w:t>
            </w:r>
            <w:r>
              <w:rPr>
                <w:rFonts w:hint="eastAsia" w:ascii="宋体" w:hAnsi="宋体" w:cs="宋体"/>
                <w:snapToGrid w:val="0"/>
                <w:color w:val="auto"/>
                <w:kern w:val="0"/>
                <w:sz w:val="24"/>
                <w:szCs w:val="24"/>
                <w:highlight w:val="none"/>
                <w:lang w:val="en-US" w:eastAsia="zh-CN"/>
              </w:rPr>
              <w:t>人</w:t>
            </w:r>
            <w:r>
              <w:rPr>
                <w:rFonts w:hint="eastAsia" w:ascii="宋体" w:hAnsi="宋体" w:eastAsia="宋体" w:cs="宋体"/>
                <w:snapToGrid w:val="0"/>
                <w:color w:val="auto"/>
                <w:kern w:val="0"/>
                <w:sz w:val="24"/>
                <w:szCs w:val="24"/>
                <w:highlight w:val="none"/>
              </w:rPr>
              <w:t>可以对已发出的磋商文件进行必要澄清或者修改，澄清或者修改的内容可能影响磋商响应文件编制的，应当在磋商文件要求提交磋商响应文件截止时间五日前，在招标公告发布的媒体上发布更正公告，该澄清或者修改的内容为磋商文件的组成部分。本项目磋商文件和补充（答疑、澄清）、修改文件等请自行登录浙江政府采购网或绍兴市上虞区公共资源交易中心网站查看。</w:t>
            </w:r>
          </w:p>
        </w:tc>
      </w:tr>
      <w:tr w14:paraId="19F103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648" w:type="dxa"/>
            <w:vAlign w:val="center"/>
          </w:tcPr>
          <w:p w14:paraId="7ECC4D5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w:t>
            </w:r>
          </w:p>
        </w:tc>
        <w:tc>
          <w:tcPr>
            <w:tcW w:w="1800" w:type="dxa"/>
            <w:vAlign w:val="center"/>
          </w:tcPr>
          <w:p w14:paraId="338BC4E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磋商响应文件组成</w:t>
            </w:r>
          </w:p>
        </w:tc>
        <w:tc>
          <w:tcPr>
            <w:tcW w:w="6682" w:type="dxa"/>
            <w:vAlign w:val="center"/>
          </w:tcPr>
          <w:p w14:paraId="5E0BD88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供应商向采购人递交的响应文件由资格文件、商务技术文件、报价文件三部分组成。</w:t>
            </w:r>
          </w:p>
        </w:tc>
      </w:tr>
      <w:tr w14:paraId="1D135F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648" w:type="dxa"/>
            <w:vAlign w:val="center"/>
          </w:tcPr>
          <w:p w14:paraId="6F09E94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w:t>
            </w:r>
          </w:p>
        </w:tc>
        <w:tc>
          <w:tcPr>
            <w:tcW w:w="1800" w:type="dxa"/>
            <w:vAlign w:val="center"/>
          </w:tcPr>
          <w:p w14:paraId="4B7712D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评标办法</w:t>
            </w:r>
          </w:p>
        </w:tc>
        <w:tc>
          <w:tcPr>
            <w:tcW w:w="6682" w:type="dxa"/>
            <w:vAlign w:val="center"/>
          </w:tcPr>
          <w:p w14:paraId="28CE0D3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综合评分法</w:t>
            </w:r>
          </w:p>
        </w:tc>
      </w:tr>
      <w:tr w14:paraId="6415A0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4BDFC2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w:t>
            </w:r>
          </w:p>
        </w:tc>
        <w:tc>
          <w:tcPr>
            <w:tcW w:w="1800" w:type="dxa"/>
            <w:vAlign w:val="center"/>
          </w:tcPr>
          <w:p w14:paraId="515FC49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磋商响应文件递交地址及截止时间</w:t>
            </w:r>
          </w:p>
        </w:tc>
        <w:tc>
          <w:tcPr>
            <w:tcW w:w="6682" w:type="dxa"/>
            <w:vAlign w:val="center"/>
          </w:tcPr>
          <w:p w14:paraId="4557F0F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详见磋商公告</w:t>
            </w:r>
          </w:p>
        </w:tc>
      </w:tr>
      <w:tr w14:paraId="7D09E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FFB873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p>
        </w:tc>
        <w:tc>
          <w:tcPr>
            <w:tcW w:w="1800" w:type="dxa"/>
            <w:vAlign w:val="center"/>
          </w:tcPr>
          <w:p w14:paraId="2B20398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开标时间、地点</w:t>
            </w:r>
          </w:p>
        </w:tc>
        <w:tc>
          <w:tcPr>
            <w:tcW w:w="6682" w:type="dxa"/>
            <w:vAlign w:val="center"/>
          </w:tcPr>
          <w:p w14:paraId="39BBE4D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w:t>
            </w:r>
            <w:r>
              <w:rPr>
                <w:rFonts w:hint="eastAsia" w:ascii="宋体" w:hAnsi="宋体" w:eastAsia="宋体" w:cs="宋体"/>
                <w:color w:val="auto"/>
                <w:kern w:val="0"/>
                <w:sz w:val="24"/>
                <w:szCs w:val="24"/>
                <w:highlight w:val="none"/>
              </w:rPr>
              <w:t>详见磋商公告</w:t>
            </w:r>
          </w:p>
          <w:p w14:paraId="60DB36C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 w:val="24"/>
                <w:szCs w:val="24"/>
                <w:highlight w:val="none"/>
              </w:rPr>
              <w:t>开标地点：</w:t>
            </w:r>
            <w:r>
              <w:rPr>
                <w:rFonts w:hint="eastAsia" w:ascii="宋体" w:hAnsi="宋体" w:eastAsia="宋体" w:cs="宋体"/>
                <w:color w:val="auto"/>
                <w:kern w:val="0"/>
                <w:sz w:val="24"/>
                <w:szCs w:val="24"/>
                <w:highlight w:val="none"/>
              </w:rPr>
              <w:t>详见磋商公告</w:t>
            </w:r>
          </w:p>
        </w:tc>
      </w:tr>
      <w:tr w14:paraId="203E54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1A6EC5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w:t>
            </w:r>
          </w:p>
        </w:tc>
        <w:tc>
          <w:tcPr>
            <w:tcW w:w="1800" w:type="dxa"/>
            <w:vAlign w:val="center"/>
          </w:tcPr>
          <w:p w14:paraId="7975439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磋商响应文件有效期</w:t>
            </w:r>
          </w:p>
        </w:tc>
        <w:tc>
          <w:tcPr>
            <w:tcW w:w="6682" w:type="dxa"/>
            <w:vAlign w:val="center"/>
          </w:tcPr>
          <w:p w14:paraId="1DE12A5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响应文件有效期为从提交响应文件的截止之日起90天。供应商的</w:t>
            </w:r>
            <w:r>
              <w:rPr>
                <w:rFonts w:hint="eastAsia" w:ascii="宋体" w:hAnsi="宋体" w:eastAsia="宋体" w:cs="宋体"/>
                <w:snapToGrid w:val="0"/>
                <w:color w:val="auto"/>
                <w:kern w:val="0"/>
                <w:sz w:val="24"/>
                <w:szCs w:val="24"/>
                <w:highlight w:val="none"/>
                <w:lang w:val="en-US" w:eastAsia="zh-CN"/>
              </w:rPr>
              <w:t>磋商</w:t>
            </w:r>
            <w:r>
              <w:rPr>
                <w:rFonts w:hint="eastAsia" w:ascii="宋体" w:hAnsi="宋体" w:eastAsia="宋体" w:cs="宋体"/>
                <w:snapToGrid w:val="0"/>
                <w:color w:val="auto"/>
                <w:kern w:val="0"/>
                <w:sz w:val="24"/>
                <w:szCs w:val="24"/>
                <w:highlight w:val="none"/>
              </w:rPr>
              <w:t>响应文件中承诺的响应文件有效期少于磋商文件中载明的响应文件有效期的，磋商无效。</w:t>
            </w:r>
          </w:p>
        </w:tc>
      </w:tr>
      <w:tr w14:paraId="2B248D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648" w:type="dxa"/>
            <w:vAlign w:val="center"/>
          </w:tcPr>
          <w:p w14:paraId="6755037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C00000"/>
                <w:kern w:val="0"/>
                <w:sz w:val="24"/>
                <w:szCs w:val="24"/>
                <w:highlight w:val="none"/>
              </w:rPr>
            </w:pPr>
            <w:r>
              <w:rPr>
                <w:rFonts w:hint="eastAsia" w:ascii="宋体" w:hAnsi="宋体" w:eastAsia="宋体" w:cs="宋体"/>
                <w:snapToGrid w:val="0"/>
                <w:color w:val="auto"/>
                <w:kern w:val="0"/>
                <w:sz w:val="24"/>
                <w:szCs w:val="24"/>
                <w:highlight w:val="none"/>
              </w:rPr>
              <w:t>13</w:t>
            </w:r>
          </w:p>
        </w:tc>
        <w:tc>
          <w:tcPr>
            <w:tcW w:w="1800" w:type="dxa"/>
            <w:vAlign w:val="center"/>
          </w:tcPr>
          <w:p w14:paraId="741CC45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履约保证金</w:t>
            </w:r>
          </w:p>
        </w:tc>
        <w:tc>
          <w:tcPr>
            <w:tcW w:w="6682" w:type="dxa"/>
            <w:vAlign w:val="center"/>
          </w:tcPr>
          <w:p w14:paraId="023F4E3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Cs/>
                <w:sz w:val="24"/>
                <w:szCs w:val="24"/>
                <w:highlight w:val="none"/>
                <w:lang w:val="en-US" w:eastAsia="zh-CN"/>
              </w:rPr>
              <w:t>本项目不设置履约保证金。</w:t>
            </w:r>
          </w:p>
        </w:tc>
      </w:tr>
      <w:tr w14:paraId="4025E6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30086C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w:t>
            </w:r>
          </w:p>
        </w:tc>
        <w:tc>
          <w:tcPr>
            <w:tcW w:w="1800" w:type="dxa"/>
            <w:vAlign w:val="center"/>
          </w:tcPr>
          <w:p w14:paraId="6CC403C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磋商公告及成交结果公告发布媒体</w:t>
            </w:r>
          </w:p>
        </w:tc>
        <w:tc>
          <w:tcPr>
            <w:tcW w:w="6682" w:type="dxa"/>
            <w:vAlign w:val="center"/>
          </w:tcPr>
          <w:p w14:paraId="6378E04D">
            <w:pPr>
              <w:pStyle w:val="17"/>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浙江省政府采购网、绍兴市上虞区公共资源交易中心网站</w:t>
            </w:r>
          </w:p>
        </w:tc>
      </w:tr>
      <w:tr w14:paraId="5B3FF5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0B5A25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00" w:type="dxa"/>
            <w:vAlign w:val="center"/>
          </w:tcPr>
          <w:p w14:paraId="0CA39E5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w:t>
            </w:r>
          </w:p>
        </w:tc>
        <w:tc>
          <w:tcPr>
            <w:tcW w:w="6682" w:type="dxa"/>
            <w:vAlign w:val="center"/>
          </w:tcPr>
          <w:p w14:paraId="054B7FCD">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根据《中华人民共和国政府采购法》第五十二条、《中华人民共和国政府采购法实施条例》第五十三条、《浙江省政府采购供应商质疑处理办法》的规定：</w:t>
            </w:r>
          </w:p>
          <w:p w14:paraId="70227BA7">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磋商文件使自己的权益受到损害的，可以在磋商文件公告期限届满之日起7个工作日内，以书面形式向采购人和采购代理机构提出质疑。供应商在法定质疑期内应一次性提出针对同一采购程序环节的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w:t>
            </w:r>
          </w:p>
          <w:p w14:paraId="2AF9FEC2">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供应商如认为采购过程使自身的合法权益受到损害的，应于各采购程序环节结束之日起七个工作日内以书面形式向采购机构提出质疑；</w:t>
            </w:r>
          </w:p>
          <w:p w14:paraId="20EB4CA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供应商如认为中标结果使自身的合法权益受到损害的，应于中标或者成交结果公告期限届满之日起七个工作日内以书面形式向采购机构提出质疑</w:t>
            </w:r>
            <w:r>
              <w:rPr>
                <w:rFonts w:hint="eastAsia" w:ascii="宋体" w:hAnsi="宋体" w:eastAsia="宋体" w:cs="宋体"/>
                <w:snapToGrid w:val="0"/>
                <w:color w:val="auto"/>
                <w:kern w:val="0"/>
                <w:sz w:val="24"/>
                <w:szCs w:val="24"/>
                <w:highlight w:val="none"/>
              </w:rPr>
              <w:t>。</w:t>
            </w:r>
          </w:p>
        </w:tc>
      </w:tr>
      <w:tr w14:paraId="7D2EF3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6" w:hRule="atLeast"/>
          <w:jc w:val="center"/>
        </w:trPr>
        <w:tc>
          <w:tcPr>
            <w:tcW w:w="648" w:type="dxa"/>
            <w:vAlign w:val="center"/>
          </w:tcPr>
          <w:p w14:paraId="5E29337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16</w:t>
            </w:r>
          </w:p>
        </w:tc>
        <w:tc>
          <w:tcPr>
            <w:tcW w:w="1800" w:type="dxa"/>
            <w:vAlign w:val="center"/>
          </w:tcPr>
          <w:p w14:paraId="7F7E6F6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投诉</w:t>
            </w:r>
          </w:p>
        </w:tc>
        <w:tc>
          <w:tcPr>
            <w:tcW w:w="6682" w:type="dxa"/>
            <w:vAlign w:val="center"/>
          </w:tcPr>
          <w:p w14:paraId="044A5BD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中华人民共和国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14:paraId="5DB566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1D9335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17</w:t>
            </w:r>
          </w:p>
        </w:tc>
        <w:tc>
          <w:tcPr>
            <w:tcW w:w="1800" w:type="dxa"/>
            <w:vAlign w:val="center"/>
          </w:tcPr>
          <w:p w14:paraId="6C6ADEA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特别说明</w:t>
            </w:r>
          </w:p>
        </w:tc>
        <w:tc>
          <w:tcPr>
            <w:tcW w:w="6682" w:type="dxa"/>
            <w:vAlign w:val="center"/>
          </w:tcPr>
          <w:p w14:paraId="5E744DC0">
            <w:pPr>
              <w:pStyle w:val="17"/>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供应商应无条件</w:t>
            </w:r>
            <w:r>
              <w:rPr>
                <w:rFonts w:hint="eastAsia" w:hAnsi="宋体" w:cs="宋体"/>
                <w:color w:val="auto"/>
                <w:kern w:val="0"/>
                <w:sz w:val="24"/>
                <w:szCs w:val="24"/>
                <w:highlight w:val="none"/>
                <w:lang w:eastAsia="zh-CN"/>
              </w:rPr>
              <w:t>地</w:t>
            </w:r>
            <w:r>
              <w:rPr>
                <w:rFonts w:hint="eastAsia" w:ascii="宋体" w:hAnsi="宋体" w:eastAsia="宋体" w:cs="宋体"/>
                <w:color w:val="auto"/>
                <w:kern w:val="0"/>
                <w:sz w:val="24"/>
                <w:szCs w:val="24"/>
                <w:highlight w:val="none"/>
              </w:rPr>
              <w:t>、认真仔细</w:t>
            </w:r>
            <w:r>
              <w:rPr>
                <w:rFonts w:hint="eastAsia" w:hAnsi="宋体" w:cs="宋体"/>
                <w:color w:val="auto"/>
                <w:kern w:val="0"/>
                <w:sz w:val="24"/>
                <w:szCs w:val="24"/>
                <w:highlight w:val="none"/>
                <w:lang w:eastAsia="zh-CN"/>
              </w:rPr>
              <w:t>地</w:t>
            </w:r>
            <w:r>
              <w:rPr>
                <w:rFonts w:hint="eastAsia" w:ascii="宋体" w:hAnsi="宋体" w:eastAsia="宋体" w:cs="宋体"/>
                <w:color w:val="auto"/>
                <w:kern w:val="0"/>
                <w:sz w:val="24"/>
                <w:szCs w:val="24"/>
                <w:highlight w:val="none"/>
              </w:rPr>
              <w:t>阅读本磋商文件及其澄清答疑、修改答复的补充文件，严格按照磋商文件及补充文件的规定和要求编制</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响应文件。在编制</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响应文件过程中，应严格遵循实事求是、诚信投标的原则，针对磋商文件中的采购需求、合同条款等各项内容进行确认，如有偏离，应如实填写响应偏离表。</w:t>
            </w:r>
          </w:p>
          <w:p w14:paraId="29E802BF">
            <w:pPr>
              <w:pStyle w:val="17"/>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7F6E9C6A">
            <w:pPr>
              <w:pStyle w:val="17"/>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firstLine="480"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磋商文件中凡标注“</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”的条款均为实质性要求，不响应的</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响应文件将作无效标处理。</w:t>
            </w:r>
          </w:p>
        </w:tc>
      </w:tr>
      <w:tr w14:paraId="2876AE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648" w:type="dxa"/>
            <w:vAlign w:val="center"/>
          </w:tcPr>
          <w:p w14:paraId="6063EF6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18</w:t>
            </w:r>
          </w:p>
        </w:tc>
        <w:tc>
          <w:tcPr>
            <w:tcW w:w="1800" w:type="dxa"/>
            <w:vAlign w:val="center"/>
          </w:tcPr>
          <w:p w14:paraId="0115459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w:t>
            </w:r>
          </w:p>
          <w:p w14:paraId="0C9D03F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持</w:t>
            </w:r>
          </w:p>
          <w:p w14:paraId="0192783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w:t>
            </w:r>
          </w:p>
          <w:p w14:paraId="46AFFCD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w:t>
            </w:r>
          </w:p>
          <w:p w14:paraId="1A3C428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w:t>
            </w:r>
          </w:p>
          <w:p w14:paraId="53215A1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w:t>
            </w:r>
          </w:p>
          <w:p w14:paraId="24EFA45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682" w:type="dxa"/>
            <w:vAlign w:val="center"/>
          </w:tcPr>
          <w:p w14:paraId="2B5B34A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71DD3E4E">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符合中小企业划分标准的个体工商户，在政府采购活动中视同中小企业。</w:t>
            </w:r>
          </w:p>
          <w:p w14:paraId="2608012C">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5E1D65ED">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在服务采购项目中，服务由小微企业承接，即提供服务的人员为小微企业依照《中华人民共和国劳动合同法》订立劳动合同的从业人员。</w:t>
            </w:r>
          </w:p>
          <w:p w14:paraId="0894DF03">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联合体各方均为小型、微型企业的，联合体视同为小型、微型企业。</w:t>
            </w:r>
          </w:p>
          <w:p w14:paraId="7F615986">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符合上述条件的中小微型企业应按照</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文件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BABF8E1">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5F3C91ED">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组成联合体或者接受分包的小微企业与联合体内其他企业、分包企业之间存在直接控股、管理关系的，不享受价格扣除优惠政策</w:t>
            </w:r>
            <w:r>
              <w:rPr>
                <w:rFonts w:hint="eastAsia" w:ascii="宋体" w:hAnsi="宋体" w:eastAsia="宋体" w:cs="宋体"/>
                <w:color w:val="auto"/>
                <w:sz w:val="24"/>
                <w:szCs w:val="24"/>
                <w:highlight w:val="none"/>
              </w:rPr>
              <w:t>。</w:t>
            </w:r>
          </w:p>
        </w:tc>
      </w:tr>
      <w:tr w14:paraId="3145B8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713B2B7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19</w:t>
            </w:r>
          </w:p>
        </w:tc>
        <w:tc>
          <w:tcPr>
            <w:tcW w:w="1800" w:type="dxa"/>
            <w:vAlign w:val="center"/>
          </w:tcPr>
          <w:p w14:paraId="6FD5FC6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招标代理服务费</w:t>
            </w:r>
          </w:p>
        </w:tc>
        <w:tc>
          <w:tcPr>
            <w:tcW w:w="6682" w:type="dxa"/>
            <w:vAlign w:val="center"/>
          </w:tcPr>
          <w:p w14:paraId="2478C9BB">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p>
          <w:p w14:paraId="4E61A76D">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代理服务费用收取标准：</w:t>
            </w:r>
          </w:p>
          <w:tbl>
            <w:tblPr>
              <w:tblStyle w:val="31"/>
              <w:tblW w:w="610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14:paraId="36BDA3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67C70ED8">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服务类型 中标金额（万元）</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2B4B9A60">
                  <w:pPr>
                    <w:pStyle w:val="28"/>
                    <w:keepNext w:val="0"/>
                    <w:keepLines w:val="0"/>
                    <w:pageBreakBefore w:val="0"/>
                    <w:suppressLineNumbers w:val="0"/>
                    <w:kinsoku/>
                    <w:wordWrap/>
                    <w:overflowPunct/>
                    <w:topLinePunct w:val="0"/>
                    <w:autoSpaceDE/>
                    <w:bidi w:val="0"/>
                    <w:adjustRightInd/>
                    <w:spacing w:line="288" w:lineRule="auto"/>
                    <w:ind w:left="0" w:right="0"/>
                    <w:jc w:val="center"/>
                    <w:textAlignment w:val="auto"/>
                    <w:rPr>
                      <w:rFonts w:hint="eastAsia"/>
                      <w:sz w:val="21"/>
                      <w:szCs w:val="21"/>
                      <w:highlight w:val="none"/>
                    </w:rPr>
                  </w:pPr>
                  <w:r>
                    <w:rPr>
                      <w:rFonts w:hint="eastAsia"/>
                      <w:sz w:val="21"/>
                      <w:szCs w:val="21"/>
                      <w:highlight w:val="none"/>
                    </w:rPr>
                    <w:t>货物招标</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0D2057E8">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服务招标</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0B2F2187">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工程招标</w:t>
                  </w:r>
                </w:p>
              </w:tc>
            </w:tr>
            <w:tr w14:paraId="032D84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3FE8984B">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100以下</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31BBF926">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1.5％</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7681D638">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1.5％</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0A1F6817">
                  <w:pPr>
                    <w:keepNext w:val="0"/>
                    <w:keepLines w:val="0"/>
                    <w:pageBreakBefore w:val="0"/>
                    <w:suppressLineNumbers w:val="0"/>
                    <w:kinsoku/>
                    <w:wordWrap/>
                    <w:overflowPunct/>
                    <w:topLinePunct w:val="0"/>
                    <w:autoSpaceDE/>
                    <w:bidi w:val="0"/>
                    <w:adjustRightInd/>
                    <w:spacing w:before="0" w:beforeAutospacing="0" w:after="0" w:afterAutospacing="0" w:line="288" w:lineRule="auto"/>
                    <w:ind w:left="0" w:right="0"/>
                    <w:jc w:val="center"/>
                    <w:textAlignment w:val="auto"/>
                    <w:rPr>
                      <w:rFonts w:hint="eastAsia" w:ascii="宋体" w:hAnsi="宋体" w:cs="宋体"/>
                      <w:highlight w:val="none"/>
                    </w:rPr>
                  </w:pPr>
                  <w:r>
                    <w:rPr>
                      <w:rFonts w:hint="eastAsia" w:ascii="宋体" w:hAnsi="宋体" w:cs="宋体"/>
                      <w:highlight w:val="none"/>
                    </w:rPr>
                    <w:t>1.0％</w:t>
                  </w:r>
                </w:p>
              </w:tc>
            </w:tr>
          </w:tbl>
          <w:p w14:paraId="58C17180">
            <w:pPr>
              <w:pStyle w:val="30"/>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highlight w:val="none"/>
              </w:rPr>
            </w:pPr>
          </w:p>
          <w:p w14:paraId="6810B2E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结算方式及时间为：在领取中标通知书前由成交供应商一次性向采购代理机构付清。</w:t>
            </w:r>
          </w:p>
        </w:tc>
      </w:tr>
      <w:tr w14:paraId="00E489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377C446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20</w:t>
            </w:r>
          </w:p>
        </w:tc>
        <w:tc>
          <w:tcPr>
            <w:tcW w:w="1800" w:type="dxa"/>
            <w:vAlign w:val="center"/>
          </w:tcPr>
          <w:p w14:paraId="5DE7E0A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是否允许分包</w:t>
            </w:r>
          </w:p>
        </w:tc>
        <w:tc>
          <w:tcPr>
            <w:tcW w:w="6682" w:type="dxa"/>
            <w:vAlign w:val="center"/>
          </w:tcPr>
          <w:p w14:paraId="3DAC227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不允许</w:t>
            </w:r>
            <w:r>
              <w:rPr>
                <w:rFonts w:hint="eastAsia" w:ascii="宋体" w:hAnsi="宋体" w:eastAsia="宋体" w:cs="宋体"/>
                <w:color w:val="auto"/>
                <w:sz w:val="24"/>
                <w:szCs w:val="24"/>
                <w:highlight w:val="none"/>
              </w:rPr>
              <w:t>分包</w:t>
            </w:r>
          </w:p>
        </w:tc>
      </w:tr>
      <w:tr w14:paraId="02CC7C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039D1A0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21</w:t>
            </w:r>
          </w:p>
        </w:tc>
        <w:tc>
          <w:tcPr>
            <w:tcW w:w="1800" w:type="dxa"/>
            <w:tcBorders>
              <w:top w:val="single" w:color="auto" w:sz="4" w:space="0"/>
            </w:tcBorders>
            <w:vAlign w:val="center"/>
          </w:tcPr>
          <w:p w14:paraId="257090D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是否提供演示</w:t>
            </w:r>
          </w:p>
        </w:tc>
        <w:tc>
          <w:tcPr>
            <w:tcW w:w="6682" w:type="dxa"/>
            <w:tcBorders>
              <w:top w:val="single" w:color="auto" w:sz="4" w:space="0"/>
            </w:tcBorders>
            <w:vAlign w:val="center"/>
          </w:tcPr>
          <w:p w14:paraId="62B74003">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不需要</w:t>
            </w:r>
            <w:r>
              <w:rPr>
                <w:rFonts w:hint="eastAsia" w:ascii="宋体" w:hAnsi="宋体" w:eastAsia="宋体" w:cs="宋体"/>
                <w:color w:val="auto"/>
                <w:sz w:val="24"/>
                <w:szCs w:val="24"/>
                <w:highlight w:val="none"/>
              </w:rPr>
              <w:t>提供演示。</w:t>
            </w:r>
          </w:p>
        </w:tc>
      </w:tr>
      <w:tr w14:paraId="2764A6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restart"/>
            <w:vAlign w:val="center"/>
          </w:tcPr>
          <w:p w14:paraId="06E8BBD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lang w:val="en-US" w:eastAsia="zh-CN"/>
              </w:rPr>
              <w:t>22</w:t>
            </w:r>
          </w:p>
        </w:tc>
        <w:tc>
          <w:tcPr>
            <w:tcW w:w="1800" w:type="dxa"/>
            <w:vMerge w:val="restart"/>
            <w:tcBorders>
              <w:top w:val="single" w:color="auto" w:sz="4" w:space="0"/>
            </w:tcBorders>
            <w:vAlign w:val="center"/>
          </w:tcPr>
          <w:p w14:paraId="73BCEF9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预付款</w:t>
            </w:r>
          </w:p>
          <w:p w14:paraId="4A19839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682" w:type="dxa"/>
            <w:tcBorders>
              <w:top w:val="single" w:color="auto" w:sz="4" w:space="0"/>
            </w:tcBorders>
            <w:vAlign w:val="center"/>
          </w:tcPr>
          <w:p w14:paraId="03CF0B85">
            <w:pPr>
              <w:keepNext w:val="0"/>
              <w:keepLines w:val="0"/>
              <w:pageBreakBefore w:val="0"/>
              <w:suppressLineNumbers w:val="0"/>
              <w:tabs>
                <w:tab w:val="left" w:pos="256"/>
              </w:tabs>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本项目涉及预付款，预付款比例为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70   </w:t>
            </w:r>
            <w:r>
              <w:rPr>
                <w:rFonts w:hint="eastAsia" w:ascii="宋体" w:hAnsi="宋体" w:eastAsia="宋体" w:cs="宋体"/>
                <w:color w:val="auto"/>
                <w:sz w:val="24"/>
                <w:szCs w:val="24"/>
                <w:highlight w:val="none"/>
                <w:u w:val="single"/>
                <w:lang w:val="en-US" w:eastAsia="zh-CN"/>
              </w:rPr>
              <w:t>%</w:t>
            </w:r>
          </w:p>
        </w:tc>
      </w:tr>
      <w:tr w14:paraId="23A1FB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Merge w:val="continue"/>
            <w:vAlign w:val="center"/>
          </w:tcPr>
          <w:p w14:paraId="46890FE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rPr>
            </w:pPr>
          </w:p>
        </w:tc>
        <w:tc>
          <w:tcPr>
            <w:tcW w:w="1800" w:type="dxa"/>
            <w:vMerge w:val="continue"/>
            <w:vAlign w:val="center"/>
          </w:tcPr>
          <w:p w14:paraId="5091EC3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p>
        </w:tc>
        <w:tc>
          <w:tcPr>
            <w:tcW w:w="6682" w:type="dxa"/>
            <w:tcBorders>
              <w:top w:val="single" w:color="auto" w:sz="4" w:space="0"/>
            </w:tcBorders>
            <w:vAlign w:val="center"/>
          </w:tcPr>
          <w:p w14:paraId="7F4945E2">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根据《浙江省财政厅关于进一步发挥政府采购政策功能全力推动经济稳进提质的通知》[浙财采监(2022）3号]文件第二条第五点关于“进一步提高政府采购预付款比例”的规定：</w:t>
            </w:r>
          </w:p>
          <w:p w14:paraId="05FD7950">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1、采购单位应当在政府采购合同中约定预付款；</w:t>
            </w:r>
          </w:p>
          <w:p w14:paraId="506FC853">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5064DE95">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3、本项目涉及投标人为大型企业，或者以人工投入为主且实行按月定期结算支付款项的，预付款可低于上述比例或者不约定预付款（相应字样应在合同中体现）。</w:t>
            </w:r>
          </w:p>
          <w:p w14:paraId="0007DDCB">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4、在签订合同时，中标人明确表示无需预付款或者主动要求降低预付款比例的，应提交相应申请函经采购人确认后，可不适用前述规定。</w:t>
            </w:r>
          </w:p>
        </w:tc>
      </w:tr>
      <w:tr w14:paraId="32B8CC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FB04AB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3</w:t>
            </w:r>
          </w:p>
        </w:tc>
        <w:tc>
          <w:tcPr>
            <w:tcW w:w="1800" w:type="dxa"/>
            <w:vAlign w:val="center"/>
          </w:tcPr>
          <w:p w14:paraId="500A02F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供应商信用信息查询渠道及截止时点、信用信息查询记录和证据留存的具体方式、信用信息的使用规则</w:t>
            </w:r>
          </w:p>
        </w:tc>
        <w:tc>
          <w:tcPr>
            <w:tcW w:w="6682" w:type="dxa"/>
            <w:vAlign w:val="center"/>
          </w:tcPr>
          <w:p w14:paraId="40EFCD1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1、查询渠道：信用中国（网址：http://www.creditchina.gov.cn）、中国政府采购网(网址：http://www.ccgp.gov.cn）。</w:t>
            </w:r>
          </w:p>
          <w:p w14:paraId="2B1E9A9E">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2、截止时点：开标后评标前。</w:t>
            </w:r>
          </w:p>
          <w:p w14:paraId="20EF5077">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3、信用信息查询记录和证据留存的具体方式：由采购组织机构在规定查询时间内打印信用信息查询记录并归入项目档案。</w:t>
            </w:r>
          </w:p>
          <w:p w14:paraId="1E922B8E">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22C73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D36361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4</w:t>
            </w:r>
          </w:p>
        </w:tc>
        <w:tc>
          <w:tcPr>
            <w:tcW w:w="1800" w:type="dxa"/>
            <w:vAlign w:val="center"/>
          </w:tcPr>
          <w:p w14:paraId="3B9D837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金融支持</w:t>
            </w:r>
          </w:p>
        </w:tc>
        <w:tc>
          <w:tcPr>
            <w:tcW w:w="6682" w:type="dxa"/>
            <w:vAlign w:val="center"/>
          </w:tcPr>
          <w:p w14:paraId="6DCB014B">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为支持和促进中小企业发展，进一步发挥政府采购政策功能，企业若有融资意向，可</w:t>
            </w:r>
            <w:r>
              <w:rPr>
                <w:rFonts w:hint="eastAsia" w:ascii="宋体" w:hAnsi="宋体" w:eastAsia="宋体" w:cs="宋体"/>
                <w:color w:val="auto"/>
                <w:sz w:val="24"/>
                <w:szCs w:val="24"/>
                <w:highlight w:val="none"/>
                <w:lang w:eastAsia="zh-CN"/>
              </w:rPr>
              <w:t>登录</w:t>
            </w:r>
            <w:r>
              <w:rPr>
                <w:rFonts w:hint="eastAsia" w:ascii="宋体" w:hAnsi="宋体" w:eastAsia="宋体" w:cs="宋体"/>
                <w:color w:val="auto"/>
                <w:sz w:val="24"/>
                <w:szCs w:val="24"/>
                <w:highlight w:val="none"/>
              </w:rPr>
              <w:t>政采云平台融资服务（https://jinrong.zcygov.cn/），查看相应融资政策文件及各相关银行服务方案。</w:t>
            </w:r>
          </w:p>
        </w:tc>
      </w:tr>
      <w:tr w14:paraId="47DEC7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0D2AD86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rPr>
              <w:t>2</w:t>
            </w:r>
            <w:r>
              <w:rPr>
                <w:rFonts w:hint="eastAsia" w:ascii="宋体" w:hAnsi="宋体" w:eastAsia="宋体" w:cs="宋体"/>
                <w:snapToGrid w:val="0"/>
                <w:color w:val="auto"/>
                <w:kern w:val="0"/>
                <w:highlight w:val="none"/>
                <w:lang w:val="en-US" w:eastAsia="zh-CN"/>
              </w:rPr>
              <w:t>5</w:t>
            </w:r>
          </w:p>
        </w:tc>
        <w:tc>
          <w:tcPr>
            <w:tcW w:w="1800" w:type="dxa"/>
            <w:tcBorders>
              <w:bottom w:val="double" w:color="auto" w:sz="4" w:space="0"/>
            </w:tcBorders>
            <w:vAlign w:val="center"/>
          </w:tcPr>
          <w:p w14:paraId="08F55C3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682" w:type="dxa"/>
            <w:tcBorders>
              <w:bottom w:val="double" w:color="auto" w:sz="4" w:space="0"/>
            </w:tcBorders>
            <w:vAlign w:val="center"/>
          </w:tcPr>
          <w:p w14:paraId="00E02755">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本磋商文件要求提供的身份证复印件皆需提供正反面，否则按不提供处理。</w:t>
            </w:r>
          </w:p>
          <w:p w14:paraId="041B5E9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2、本项目货物如涉及柴油动力移动源，柴油动力移动源应当符合低排放要求。</w:t>
            </w:r>
          </w:p>
        </w:tc>
      </w:tr>
    </w:tbl>
    <w:p w14:paraId="2C8053A2">
      <w:pPr>
        <w:pStyle w:val="10"/>
        <w:spacing w:line="360" w:lineRule="auto"/>
        <w:rPr>
          <w:rFonts w:hint="eastAsia" w:ascii="宋体" w:hAnsi="宋体" w:eastAsia="宋体" w:cs="宋体"/>
          <w:color w:val="auto"/>
          <w:highlight w:val="none"/>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auto"/>
          <w:sz w:val="24"/>
          <w:szCs w:val="24"/>
          <w:highlight w:val="none"/>
        </w:rPr>
        <w:t>注：以上内容如有变化将另行通知。如通知其中某一内容发生变化，其余未提及的将不作变动。</w:t>
      </w:r>
    </w:p>
    <w:p w14:paraId="2F9204C1">
      <w:pPr>
        <w:pStyle w:val="5"/>
        <w:numPr>
          <w:ilvl w:val="0"/>
          <w:numId w:val="9"/>
        </w:num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10" w:name="_Toc25187"/>
      <w:bookmarkStart w:id="11" w:name="_Toc20057"/>
      <w:r>
        <w:rPr>
          <w:rFonts w:hint="eastAsia" w:ascii="宋体" w:hAnsi="宋体" w:eastAsia="宋体" w:cs="宋体"/>
          <w:color w:val="auto"/>
          <w:sz w:val="24"/>
          <w:szCs w:val="24"/>
          <w:highlight w:val="none"/>
        </w:rPr>
        <w:t>总则</w:t>
      </w:r>
      <w:bookmarkEnd w:id="10"/>
      <w:bookmarkEnd w:id="11"/>
    </w:p>
    <w:p w14:paraId="16911D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60439B0F">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1、适用范围</w:t>
      </w:r>
    </w:p>
    <w:p w14:paraId="2D75BA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1.1本次磋商工作仅适用于</w:t>
      </w:r>
      <w:r>
        <w:rPr>
          <w:rFonts w:hint="eastAsia" w:ascii="宋体" w:hAnsi="宋体" w:cs="宋体"/>
          <w:color w:val="auto"/>
          <w:sz w:val="24"/>
          <w:szCs w:val="24"/>
          <w:highlight w:val="none"/>
          <w:u w:val="single"/>
          <w:lang w:eastAsia="zh-CN"/>
        </w:rPr>
        <w:t>2025年市级重要媒体宣传服务项目(第四次)</w:t>
      </w:r>
      <w:r>
        <w:rPr>
          <w:rFonts w:hint="eastAsia" w:ascii="宋体" w:hAnsi="宋体" w:eastAsia="宋体" w:cs="宋体"/>
          <w:color w:val="auto"/>
          <w:sz w:val="24"/>
          <w:szCs w:val="24"/>
          <w:highlight w:val="none"/>
        </w:rPr>
        <w:t>。</w:t>
      </w:r>
    </w:p>
    <w:p w14:paraId="693C4448">
      <w:pPr>
        <w:pStyle w:val="2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1.2本项目采购方式采用竞争性磋商方式。</w:t>
      </w:r>
    </w:p>
    <w:p w14:paraId="4B36C84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2、定义</w:t>
      </w:r>
    </w:p>
    <w:p w14:paraId="0445B7D1">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zh-CN"/>
        </w:rPr>
        <w:t>采购人”系指</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中共绍兴市上虞区委宣传部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。采购人委托</w:t>
      </w:r>
      <w:r>
        <w:rPr>
          <w:rFonts w:hint="eastAsia" w:ascii="宋体" w:hAnsi="宋体" w:eastAsia="宋体" w:cs="宋体"/>
          <w:color w:val="auto"/>
          <w:sz w:val="24"/>
          <w:szCs w:val="24"/>
          <w:highlight w:val="none"/>
          <w:u w:val="single"/>
        </w:rPr>
        <w:t xml:space="preserve">绍兴成言工程咨询管理有限公司 </w:t>
      </w:r>
      <w:r>
        <w:rPr>
          <w:rFonts w:hint="eastAsia" w:ascii="宋体" w:hAnsi="宋体" w:eastAsia="宋体" w:cs="宋体"/>
          <w:color w:val="auto"/>
          <w:sz w:val="24"/>
          <w:szCs w:val="24"/>
          <w:highlight w:val="none"/>
        </w:rPr>
        <w:t>为本项目采购代理机构。</w:t>
      </w:r>
    </w:p>
    <w:p w14:paraId="051336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2.2“供应商”系指响应本次采购，参加本次竞争性磋商的供应商。</w:t>
      </w:r>
    </w:p>
    <w:p w14:paraId="0FD6937D">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zh-CN"/>
        </w:rPr>
        <w:t>“服务”系指</w:t>
      </w:r>
      <w:r>
        <w:rPr>
          <w:rFonts w:hint="eastAsia" w:ascii="宋体" w:hAnsi="宋体" w:eastAsia="宋体" w:cs="宋体"/>
          <w:color w:val="auto"/>
          <w:sz w:val="24"/>
          <w:szCs w:val="24"/>
          <w:highlight w:val="none"/>
        </w:rPr>
        <w:t>磋商供应商按合同规定，须承担的服务的义务</w:t>
      </w:r>
      <w:r>
        <w:rPr>
          <w:rFonts w:hint="eastAsia" w:ascii="宋体" w:hAnsi="宋体" w:eastAsia="宋体" w:cs="宋体"/>
          <w:color w:val="auto"/>
          <w:sz w:val="24"/>
          <w:szCs w:val="24"/>
          <w:highlight w:val="none"/>
          <w:lang w:val="zh-CN"/>
        </w:rPr>
        <w:t>。</w:t>
      </w:r>
    </w:p>
    <w:p w14:paraId="4A1F233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3、采购项目概况</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p>
    <w:p w14:paraId="4B6CD7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详见竞争性磋商公告相关内容，主要要求参见本文件第</w:t>
      </w:r>
      <w:r>
        <w:rPr>
          <w:rFonts w:hint="eastAsia" w:ascii="宋体" w:hAnsi="宋体" w:eastAsia="宋体" w:cs="宋体"/>
          <w:color w:val="auto"/>
          <w:sz w:val="24"/>
          <w:szCs w:val="24"/>
          <w:highlight w:val="none"/>
          <w:u w:val="single"/>
        </w:rPr>
        <w:t xml:space="preserve"> 三 </w:t>
      </w:r>
      <w:r>
        <w:rPr>
          <w:rFonts w:hint="eastAsia" w:ascii="宋体" w:hAnsi="宋体" w:eastAsia="宋体" w:cs="宋体"/>
          <w:color w:val="auto"/>
          <w:sz w:val="24"/>
          <w:szCs w:val="24"/>
          <w:highlight w:val="none"/>
        </w:rPr>
        <w:t>部分。</w:t>
      </w:r>
    </w:p>
    <w:p w14:paraId="6A4FFE95">
      <w:pPr>
        <w:adjustRightIn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4、合格的磋商供应商</w:t>
      </w:r>
    </w:p>
    <w:p w14:paraId="2D2D90EC">
      <w:pPr>
        <w:spacing w:line="360" w:lineRule="auto"/>
        <w:ind w:firstLine="480" w:firstLineChars="200"/>
        <w:rPr>
          <w:rFonts w:hint="eastAsia" w:ascii="宋体" w:hAnsi="宋体" w:eastAsia="宋体" w:cs="宋体"/>
          <w:color w:val="auto"/>
          <w:sz w:val="24"/>
          <w:szCs w:val="24"/>
          <w:highlight w:val="none"/>
        </w:rPr>
      </w:pPr>
      <w:bookmarkStart w:id="12" w:name="_Toc211412066"/>
      <w:bookmarkStart w:id="13" w:name="_Toc208287611"/>
      <w:bookmarkStart w:id="14" w:name="_Toc193538208"/>
      <w:bookmarkStart w:id="15" w:name="_Toc208913145"/>
      <w:bookmarkStart w:id="16" w:name="_Toc207946571"/>
      <w:bookmarkStart w:id="17" w:name="_Toc197156227"/>
      <w:bookmarkStart w:id="18" w:name="_Toc209435242"/>
      <w:bookmarkStart w:id="19" w:name="_Toc209504018"/>
      <w:bookmarkStart w:id="20" w:name="_Toc193523219"/>
      <w:bookmarkStart w:id="21" w:name="_Toc197163261"/>
      <w:bookmarkStart w:id="22" w:name="_Toc204683265"/>
      <w:bookmarkStart w:id="23" w:name="_Toc209520993"/>
      <w:bookmarkStart w:id="24" w:name="_Toc197657950"/>
      <w:bookmarkStart w:id="25" w:name="_Toc197053926"/>
      <w:r>
        <w:rPr>
          <w:rFonts w:hint="eastAsia" w:ascii="宋体" w:hAnsi="宋体" w:eastAsia="宋体" w:cs="宋体"/>
          <w:color w:val="auto"/>
          <w:sz w:val="24"/>
          <w:szCs w:val="24"/>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44D039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5、磋商费用</w:t>
      </w:r>
    </w:p>
    <w:p w14:paraId="29EEF4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磋商供应商应承担其参加磋商所涉及的一切费用，不管结果如何，采购人对上述费用不负任何责任。</w:t>
      </w:r>
    </w:p>
    <w:p w14:paraId="6B5444CF">
      <w:pPr>
        <w:pStyle w:val="5"/>
        <w:numPr>
          <w:ilvl w:val="0"/>
          <w:numId w:val="9"/>
        </w:numPr>
        <w:spacing w:line="360" w:lineRule="auto"/>
        <w:jc w:val="center"/>
        <w:rPr>
          <w:rFonts w:hint="eastAsia" w:ascii="宋体" w:hAnsi="宋体" w:eastAsia="宋体" w:cs="宋体"/>
          <w:color w:val="auto"/>
          <w:sz w:val="24"/>
          <w:szCs w:val="24"/>
          <w:highlight w:val="none"/>
        </w:rPr>
      </w:pPr>
      <w:bookmarkStart w:id="26" w:name="_Toc416992151"/>
      <w:bookmarkStart w:id="27" w:name="_Toc32689"/>
      <w:bookmarkStart w:id="28" w:name="_Toc25923"/>
      <w:r>
        <w:rPr>
          <w:rFonts w:hint="eastAsia" w:ascii="宋体" w:hAnsi="宋体" w:eastAsia="宋体" w:cs="宋体"/>
          <w:color w:val="auto"/>
          <w:sz w:val="24"/>
          <w:szCs w:val="24"/>
          <w:highlight w:val="none"/>
        </w:rPr>
        <w:t xml:space="preserve"> </w:t>
      </w:r>
      <w:bookmarkStart w:id="29" w:name="_Toc25793"/>
      <w:bookmarkStart w:id="30" w:name="_Toc11814"/>
      <w:r>
        <w:rPr>
          <w:rFonts w:hint="eastAsia" w:ascii="宋体" w:hAnsi="宋体" w:eastAsia="宋体" w:cs="宋体"/>
          <w:color w:val="auto"/>
          <w:sz w:val="24"/>
          <w:szCs w:val="24"/>
          <w:highlight w:val="none"/>
        </w:rPr>
        <w:t>竞争性磋商文件</w:t>
      </w:r>
      <w:bookmarkEnd w:id="26"/>
      <w:bookmarkEnd w:id="27"/>
      <w:bookmarkEnd w:id="28"/>
      <w:bookmarkEnd w:id="29"/>
      <w:bookmarkEnd w:id="30"/>
    </w:p>
    <w:p w14:paraId="19192206">
      <w:pPr>
        <w:adjustRightIn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6、磋商文件的组成</w:t>
      </w:r>
    </w:p>
    <w:p w14:paraId="793CE69A">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6.1本磋商文件包括目录所示内容及所有按本须知发出的补充资料（如果有）。</w:t>
      </w:r>
    </w:p>
    <w:p w14:paraId="7B478DD3">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6.2除上述所列内容外，采购人及采购代理机构的任何工作人员对磋商供应商所作的任何口头解释、介绍、答复，只能供磋商供应商参考，对采购人和磋商供应商无任何约束力。</w:t>
      </w:r>
    </w:p>
    <w:p w14:paraId="5BFB3648">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6.3磋商供应商应仔细阅读磋商文件的所有内容，按照文件要求提交响应文件，并保证所提交的全部资料的真实性。不按磋商文件的要求提供的响应文件和资料，可能导致磋商被拒绝。</w:t>
      </w:r>
    </w:p>
    <w:p w14:paraId="425D86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7BEE053F">
      <w:pPr>
        <w:adjustRightInd w:val="0"/>
        <w:spacing w:line="360"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7、磋商文件的澄清与修改</w:t>
      </w:r>
    </w:p>
    <w:p w14:paraId="3864ABF8">
      <w:pPr>
        <w:pStyle w:val="1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17E3F816">
      <w:pPr>
        <w:pStyle w:val="14"/>
        <w:spacing w:line="360" w:lineRule="auto"/>
        <w:ind w:right="-252" w:rightChars="-12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7.2磋商供应商要求解释或澄清的问题应以书面形式，并加盖公章、写明日期。</w:t>
      </w:r>
    </w:p>
    <w:p w14:paraId="589AE7BF">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7.3提交响应文件截止之日前，采购人、采购代理机构或者磋商小组可以对已发出的磋商文件进行必要的澄清或者修改，澄清或者修改的内容作为磋商文件的组成部分。</w:t>
      </w:r>
    </w:p>
    <w:p w14:paraId="35A5E21E">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7.4竞争性磋商文件的澄清修改文件及更正补充公告，请自行登录浙江政府采购网或绍兴市上虞区公共资源交易中心网站，在采购公告页面中下载。</w:t>
      </w:r>
    </w:p>
    <w:p w14:paraId="7DD525D6">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14:paraId="77775B45">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7.6竞争性磋商文件澄清、答复、修改、补充的内容为竞争性磋商文件的组成部分。</w:t>
      </w:r>
    </w:p>
    <w:p w14:paraId="2A17E184">
      <w:pPr>
        <w:pStyle w:val="1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7.7磋商文件发售截止日后，经采购人同意后购买磋商文件的磋商供应商不得对磋商文件和补充文件提出答疑或质疑。</w:t>
      </w:r>
    </w:p>
    <w:p w14:paraId="7A0BC713">
      <w:pPr>
        <w:pStyle w:val="5"/>
        <w:numPr>
          <w:ilvl w:val="0"/>
          <w:numId w:val="9"/>
        </w:numPr>
        <w:spacing w:line="360" w:lineRule="auto"/>
        <w:jc w:val="center"/>
        <w:rPr>
          <w:rFonts w:hint="eastAsia" w:ascii="宋体" w:hAnsi="宋体" w:eastAsia="宋体" w:cs="宋体"/>
          <w:color w:val="auto"/>
          <w:sz w:val="24"/>
          <w:szCs w:val="24"/>
          <w:highlight w:val="none"/>
        </w:rPr>
      </w:pPr>
      <w:bookmarkStart w:id="31" w:name="_Toc1828"/>
      <w:bookmarkStart w:id="32" w:name="_Toc7126"/>
      <w:bookmarkStart w:id="33" w:name="_Toc1202"/>
      <w:bookmarkStart w:id="34" w:name="_Toc10810"/>
      <w:bookmarkStart w:id="35" w:name="_Toc10669"/>
      <w:bookmarkStart w:id="36" w:name="_Toc26027"/>
      <w:bookmarkStart w:id="37" w:name="_Toc6273"/>
      <w:bookmarkStart w:id="38" w:name="_Toc26603"/>
      <w:bookmarkStart w:id="39" w:name="_Toc23135"/>
      <w:bookmarkStart w:id="40" w:name="_Toc18702"/>
      <w:bookmarkStart w:id="41" w:name="_Toc6457"/>
      <w:bookmarkStart w:id="42" w:name="_Toc31748"/>
      <w:bookmarkStart w:id="43" w:name="_Toc14650"/>
      <w:bookmarkStart w:id="44" w:name="_Toc1729"/>
      <w:bookmarkStart w:id="45" w:name="_Toc11093"/>
      <w:bookmarkStart w:id="46" w:name="_Toc8860"/>
      <w:bookmarkStart w:id="47" w:name="_Toc11669"/>
      <w:bookmarkStart w:id="48" w:name="_Toc23975"/>
      <w:bookmarkStart w:id="49" w:name="_Toc24622"/>
      <w:bookmarkStart w:id="50" w:name="_Toc391298957"/>
      <w:bookmarkStart w:id="51" w:name="_Toc11692"/>
      <w:bookmarkStart w:id="52" w:name="_Toc6079"/>
      <w:r>
        <w:rPr>
          <w:rFonts w:hint="eastAsia" w:ascii="宋体" w:hAnsi="宋体" w:eastAsia="宋体" w:cs="宋体"/>
          <w:color w:val="auto"/>
          <w:sz w:val="24"/>
          <w:szCs w:val="24"/>
          <w:highlight w:val="none"/>
        </w:rPr>
        <w:t xml:space="preserve"> </w:t>
      </w:r>
      <w:bookmarkStart w:id="53" w:name="_Toc538"/>
      <w:bookmarkStart w:id="54" w:name="_Toc11515"/>
      <w:r>
        <w:rPr>
          <w:rFonts w:hint="eastAsia" w:ascii="宋体" w:hAnsi="宋体" w:eastAsia="宋体" w:cs="宋体"/>
          <w:color w:val="auto"/>
          <w:sz w:val="24"/>
          <w:szCs w:val="24"/>
          <w:highlight w:val="none"/>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2B57D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8、要求</w:t>
      </w:r>
    </w:p>
    <w:p w14:paraId="729EC6C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3B339D5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8.2报价</w:t>
      </w:r>
    </w:p>
    <w:p w14:paraId="2BE2326D">
      <w:pPr>
        <w:spacing w:line="360" w:lineRule="auto"/>
        <w:ind w:firstLine="480" w:firstLineChars="200"/>
        <w:rPr>
          <w:rFonts w:hint="eastAsia" w:ascii="宋体" w:hAnsi="宋体" w:eastAsia="宋体" w:cs="宋体"/>
          <w:b/>
          <w:bCs/>
          <w:color w:val="auto"/>
          <w:sz w:val="24"/>
          <w:szCs w:val="24"/>
          <w:highlight w:val="none"/>
          <w:shd w:val="clear" w:color="FFFFFF" w:fill="D9D9D9"/>
        </w:rPr>
      </w:pPr>
      <w:r>
        <w:rPr>
          <w:rFonts w:hint="eastAsia" w:ascii="宋体" w:hAnsi="宋体" w:eastAsia="宋体" w:cs="宋体"/>
          <w:color w:val="auto"/>
          <w:sz w:val="24"/>
          <w:szCs w:val="24"/>
          <w:highlight w:val="none"/>
        </w:rPr>
        <w:t>8.2.1本次报价非一次性报价，报价币种为人民币。在磋商后根据磋商情况（包括细化采购方案和要求，增补部分采购内容等），供应商须二次报价（最终报价），</w:t>
      </w:r>
      <w:r>
        <w:rPr>
          <w:rFonts w:hint="eastAsia" w:ascii="宋体" w:hAnsi="宋体" w:eastAsia="宋体" w:cs="宋体"/>
          <w:b/>
          <w:bCs/>
          <w:color w:val="auto"/>
          <w:sz w:val="24"/>
          <w:szCs w:val="24"/>
          <w:highlight w:val="none"/>
        </w:rPr>
        <w:t>如果供应商在规定时间30分钟内未提交第二次报价，视该供应商放弃本次投标，作无效标处理</w:t>
      </w:r>
      <w:r>
        <w:rPr>
          <w:rFonts w:hint="eastAsia" w:ascii="宋体" w:hAnsi="宋体" w:eastAsia="宋体" w:cs="宋体"/>
          <w:color w:val="auto"/>
          <w:sz w:val="24"/>
          <w:szCs w:val="24"/>
          <w:highlight w:val="none"/>
        </w:rPr>
        <w:t>。</w:t>
      </w:r>
    </w:p>
    <w:p w14:paraId="24FE05E1">
      <w:pPr>
        <w:spacing w:line="360" w:lineRule="auto"/>
        <w:ind w:firstLine="482" w:firstLineChars="200"/>
        <w:rPr>
          <w:rFonts w:hint="eastAsia" w:ascii="宋体" w:hAnsi="宋体" w:eastAsia="宋体" w:cs="宋体"/>
          <w:color w:val="auto"/>
          <w:highlight w:val="none"/>
          <w:u w:val="single"/>
        </w:rPr>
      </w:pPr>
      <w:r>
        <w:rPr>
          <w:rFonts w:hint="eastAsia" w:ascii="宋体" w:hAnsi="宋体" w:eastAsia="宋体" w:cs="宋体"/>
          <w:b/>
          <w:bCs/>
          <w:color w:val="auto"/>
          <w:sz w:val="24"/>
          <w:szCs w:val="32"/>
          <w:highlight w:val="none"/>
        </w:rPr>
        <w:t>8.2.2本次报价应包含项目所需全部服务，不得缺漏，是履行合同的最终价格，</w:t>
      </w:r>
      <w:r>
        <w:rPr>
          <w:rFonts w:hint="eastAsia" w:ascii="宋体" w:hAnsi="宋体" w:eastAsia="宋体" w:cs="宋体"/>
          <w:b/>
          <w:bCs/>
          <w:color w:val="auto"/>
          <w:sz w:val="24"/>
          <w:szCs w:val="32"/>
          <w:highlight w:val="none"/>
          <w:lang w:eastAsia="zh-CN"/>
        </w:rPr>
        <w:t>包括但不限于日常运营服务费、人工费、管理费、税金、风险、代理服务费等完成本项目的全部费用。凡乙方在报价中未列明但又为本次采购所必备的项目或遗漏项目，甲方将一律视为已包括在合同价中，在合同执行中将不予考虑。</w:t>
      </w:r>
    </w:p>
    <w:p w14:paraId="1FC029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投标报价固定是指供应商所填写的投标报价在合同实施期间不因市场因素而变动，供应商在计算报价时可考虑一定的风险系数（由供应商自行考虑）。</w:t>
      </w:r>
    </w:p>
    <w:p w14:paraId="7C2CE795">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8.2.3供应商的报价作为供应商计算单价或总价的依据，</w:t>
      </w:r>
      <w:r>
        <w:rPr>
          <w:rFonts w:hint="eastAsia" w:ascii="宋体" w:hAnsi="宋体" w:cs="宋体"/>
          <w:color w:val="auto"/>
          <w:sz w:val="24"/>
          <w:szCs w:val="24"/>
          <w:highlight w:val="none"/>
          <w:lang w:eastAsia="zh-CN"/>
        </w:rPr>
        <w:t>应</w:t>
      </w:r>
      <w:r>
        <w:rPr>
          <w:rFonts w:hint="eastAsia" w:ascii="宋体" w:hAnsi="宋体" w:eastAsia="宋体" w:cs="宋体"/>
          <w:color w:val="auto"/>
          <w:sz w:val="24"/>
          <w:szCs w:val="24"/>
          <w:highlight w:val="none"/>
        </w:rPr>
        <w:t>完成技术文件中的所有要求，不得以任何理由予以重复，供应商对报价若有说明应在报价一览表备注处注明。任何有选择的报价方案及价格将不予接受。</w:t>
      </w:r>
    </w:p>
    <w:p w14:paraId="197A688B">
      <w:pPr>
        <w:pStyle w:val="17"/>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9、响应文件的组成</w:t>
      </w:r>
      <w:r>
        <w:rPr>
          <w:rFonts w:hint="eastAsia" w:ascii="宋体" w:hAnsi="宋体" w:eastAsia="宋体" w:cs="宋体"/>
          <w:b/>
          <w:bCs/>
          <w:color w:val="auto"/>
          <w:sz w:val="24"/>
          <w:szCs w:val="24"/>
          <w:highlight w:val="none"/>
          <w:u w:val="single"/>
        </w:rPr>
        <w:t>（供应商应根据采购文件的要求提供相应的内容且设置关联定位，供应商可查看《供应商</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政府采购项目电子交易操作指南》进行操作：https://help.zcygov.cn/web/site_2/2018/12-28/2573.html）</w:t>
      </w:r>
    </w:p>
    <w:p w14:paraId="12D061E9">
      <w:pPr>
        <w:pStyle w:val="65"/>
        <w:tabs>
          <w:tab w:val="left" w:pos="0"/>
        </w:tabs>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响应文件应当包括以下主要内容：资格文件、商务技术文件、报价文件。</w:t>
      </w:r>
    </w:p>
    <w:p w14:paraId="2F7EAA30">
      <w:pPr>
        <w:pStyle w:val="65"/>
        <w:numPr>
          <w:ilvl w:val="0"/>
          <w:numId w:val="10"/>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资格文件包括以下内容：</w:t>
      </w:r>
    </w:p>
    <w:p w14:paraId="550B16EA">
      <w:pPr>
        <w:pStyle w:val="65"/>
        <w:numPr>
          <w:ilvl w:val="0"/>
          <w:numId w:val="11"/>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1DE27C94">
      <w:pPr>
        <w:pStyle w:val="65"/>
        <w:numPr>
          <w:ilvl w:val="0"/>
          <w:numId w:val="11"/>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营业执照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或事业法人登记证或其他工商等登记证明材料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复印件、税务登记证</w:t>
      </w:r>
      <w:r>
        <w:rPr>
          <w:rFonts w:hint="eastAsia" w:ascii="宋体" w:hAnsi="宋体" w:eastAsia="宋体" w:cs="宋体"/>
          <w:color w:val="auto"/>
          <w:highlight w:val="none"/>
          <w:lang w:eastAsia="zh-CN"/>
        </w:rPr>
        <w:t>（</w:t>
      </w:r>
      <w:r>
        <w:rPr>
          <w:rFonts w:hint="eastAsia" w:ascii="宋体" w:hAnsi="宋体" w:cs="宋体"/>
          <w:color w:val="auto"/>
          <w:highlight w:val="none"/>
          <w:lang w:eastAsia="zh-CN"/>
        </w:rPr>
        <w:t>或其他</w:t>
      </w:r>
      <w:r>
        <w:rPr>
          <w:rFonts w:hint="eastAsia" w:ascii="宋体" w:hAnsi="宋体" w:eastAsia="宋体" w:cs="宋体"/>
          <w:color w:val="auto"/>
          <w:highlight w:val="none"/>
        </w:rPr>
        <w:t>缴纳证明材料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复印件、社保登记证（</w:t>
      </w:r>
      <w:r>
        <w:rPr>
          <w:rFonts w:hint="eastAsia" w:ascii="宋体" w:hAnsi="宋体" w:cs="宋体"/>
          <w:color w:val="auto"/>
          <w:highlight w:val="none"/>
          <w:lang w:eastAsia="zh-CN"/>
        </w:rPr>
        <w:t>或其他</w:t>
      </w:r>
      <w:r>
        <w:rPr>
          <w:rFonts w:hint="eastAsia" w:ascii="宋体" w:hAnsi="宋体" w:eastAsia="宋体" w:cs="宋体"/>
          <w:color w:val="auto"/>
          <w:highlight w:val="none"/>
        </w:rPr>
        <w:t>缴纳证明材料）复印件；实施“五证合一、一照一码”登记制度改革的，只需提供改革后取得的营业执照复印件；事业单位的，则提供有效的《事业单位法人证书》副本复印件并加盖单位公章；</w:t>
      </w:r>
    </w:p>
    <w:p w14:paraId="45D8C3A4">
      <w:pPr>
        <w:pStyle w:val="65"/>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454468C0">
      <w:pPr>
        <w:pStyle w:val="65"/>
        <w:numPr>
          <w:ilvl w:val="0"/>
          <w:numId w:val="11"/>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具有履行合同所必需的产品和专业技术能力的承诺函；</w:t>
      </w:r>
    </w:p>
    <w:p w14:paraId="4E4562CA">
      <w:pPr>
        <w:pStyle w:val="65"/>
        <w:numPr>
          <w:ilvl w:val="0"/>
          <w:numId w:val="11"/>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投标人承诺函（格式见附件）</w:t>
      </w:r>
      <w:r>
        <w:rPr>
          <w:rFonts w:hint="eastAsia" w:ascii="宋体" w:hAnsi="宋体" w:cs="宋体"/>
          <w:color w:val="auto"/>
          <w:highlight w:val="none"/>
          <w:lang w:eastAsia="zh-CN"/>
        </w:rPr>
        <w:t>；</w:t>
      </w:r>
    </w:p>
    <w:p w14:paraId="0A966AAD">
      <w:pPr>
        <w:pStyle w:val="65"/>
        <w:numPr>
          <w:ilvl w:val="0"/>
          <w:numId w:val="11"/>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中小企业声明函（格式见附件）；</w:t>
      </w:r>
    </w:p>
    <w:p w14:paraId="3B8FB6D7">
      <w:pPr>
        <w:pStyle w:val="65"/>
        <w:numPr>
          <w:ilvl w:val="0"/>
          <w:numId w:val="11"/>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残疾人福利性单位声明函（如有）（格式见附件）；</w:t>
      </w:r>
    </w:p>
    <w:p w14:paraId="61A24DA4">
      <w:pPr>
        <w:pStyle w:val="65"/>
        <w:numPr>
          <w:ilvl w:val="0"/>
          <w:numId w:val="11"/>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监狱企业证明文件（如有）（格式见附件）。</w:t>
      </w:r>
    </w:p>
    <w:p w14:paraId="46FDB717">
      <w:pPr>
        <w:pStyle w:val="65"/>
        <w:numPr>
          <w:ilvl w:val="0"/>
          <w:numId w:val="10"/>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商务技术文件，本次磋商需要供应商提供以下项所列的技术文件：</w:t>
      </w:r>
    </w:p>
    <w:p w14:paraId="410292EF">
      <w:pPr>
        <w:pStyle w:val="65"/>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评分对应表（格式见附件</w:t>
      </w:r>
      <w:r>
        <w:rPr>
          <w:rFonts w:hint="eastAsia" w:ascii="宋体" w:hAnsi="宋体" w:eastAsia="宋体" w:cs="宋体"/>
          <w:color w:val="auto"/>
          <w:highlight w:val="none"/>
          <w:lang w:eastAsia="zh-CN"/>
        </w:rPr>
        <w:t>，主要用于评委对应评分内容</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p>
    <w:p w14:paraId="2E8D4C69">
      <w:pPr>
        <w:pStyle w:val="65"/>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供应商商务技术文件中资信分自评表（格式见附件）；</w:t>
      </w:r>
    </w:p>
    <w:p w14:paraId="24337D94">
      <w:pPr>
        <w:pStyle w:val="65"/>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磋商项目明细清单（格式见附件）；</w:t>
      </w:r>
    </w:p>
    <w:p w14:paraId="0A8F1D88">
      <w:pPr>
        <w:pStyle w:val="65"/>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技术响应及建议表（格式见附件）；</w:t>
      </w:r>
    </w:p>
    <w:p w14:paraId="45BAB0C1">
      <w:pPr>
        <w:pStyle w:val="65"/>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商务响应表（格式见附件）；</w:t>
      </w:r>
    </w:p>
    <w:p w14:paraId="48DB7675">
      <w:pPr>
        <w:pStyle w:val="65"/>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重难点分析；</w:t>
      </w:r>
    </w:p>
    <w:p w14:paraId="6797A9D5">
      <w:pPr>
        <w:pStyle w:val="65"/>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项目方案；</w:t>
      </w:r>
    </w:p>
    <w:p w14:paraId="5E771D87">
      <w:pPr>
        <w:pStyle w:val="65"/>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供应商优势；</w:t>
      </w:r>
    </w:p>
    <w:p w14:paraId="7C0A4553">
      <w:pPr>
        <w:pStyle w:val="65"/>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服务质量；</w:t>
      </w:r>
    </w:p>
    <w:p w14:paraId="5F9A0DD6">
      <w:pPr>
        <w:pStyle w:val="65"/>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团队实力；</w:t>
      </w:r>
    </w:p>
    <w:p w14:paraId="244E7E11">
      <w:pPr>
        <w:pStyle w:val="65"/>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进度计划；</w:t>
      </w:r>
    </w:p>
    <w:p w14:paraId="39601F48">
      <w:pPr>
        <w:pStyle w:val="65"/>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质量保证措施；</w:t>
      </w:r>
    </w:p>
    <w:p w14:paraId="33F0C17C">
      <w:pPr>
        <w:pStyle w:val="65"/>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合理化建议；</w:t>
      </w:r>
    </w:p>
    <w:p w14:paraId="438DCC2C">
      <w:pPr>
        <w:pStyle w:val="65"/>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保密措施；</w:t>
      </w:r>
    </w:p>
    <w:p w14:paraId="052E8145">
      <w:pPr>
        <w:pStyle w:val="65"/>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验收方案</w:t>
      </w:r>
      <w:r>
        <w:rPr>
          <w:rFonts w:hint="eastAsia" w:ascii="宋体" w:hAnsi="宋体" w:eastAsia="宋体" w:cs="宋体"/>
          <w:color w:val="auto"/>
          <w:highlight w:val="none"/>
          <w:lang w:val="en-US" w:eastAsia="zh-CN"/>
        </w:rPr>
        <w:t>；</w:t>
      </w:r>
    </w:p>
    <w:p w14:paraId="3CBF8975">
      <w:pPr>
        <w:pStyle w:val="65"/>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类似业绩；</w:t>
      </w:r>
    </w:p>
    <w:p w14:paraId="6909F91B">
      <w:pPr>
        <w:pStyle w:val="65"/>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cs="宋体"/>
          <w:color w:val="auto"/>
          <w:highlight w:val="none"/>
          <w:lang w:val="en-US" w:eastAsia="zh-CN"/>
        </w:rPr>
        <w:t>企业荣誉</w:t>
      </w:r>
    </w:p>
    <w:p w14:paraId="703DC8BE">
      <w:pPr>
        <w:pStyle w:val="65"/>
        <w:numPr>
          <w:ilvl w:val="0"/>
          <w:numId w:val="12"/>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供应商认为需要的其他文件资料。 </w:t>
      </w:r>
    </w:p>
    <w:p w14:paraId="57145859">
      <w:pPr>
        <w:pStyle w:val="65"/>
        <w:tabs>
          <w:tab w:val="left" w:pos="0"/>
        </w:tabs>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注：以上内容应与评标办法中内容具有一致性。</w:t>
      </w:r>
    </w:p>
    <w:p w14:paraId="6BB06229">
      <w:pPr>
        <w:pStyle w:val="65"/>
        <w:tabs>
          <w:tab w:val="left" w:pos="0"/>
        </w:tabs>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331A88DD">
      <w:pPr>
        <w:pStyle w:val="65"/>
        <w:tabs>
          <w:tab w:val="left" w:pos="0"/>
        </w:tabs>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hint="eastAsia" w:ascii="宋体" w:hAnsi="宋体" w:eastAsia="宋体" w:cs="宋体"/>
          <w:b/>
          <w:bCs/>
          <w:color w:val="auto"/>
          <w:highlight w:val="none"/>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4C7349FA">
      <w:pPr>
        <w:pStyle w:val="65"/>
        <w:numPr>
          <w:ilvl w:val="0"/>
          <w:numId w:val="10"/>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报价文件包括以下内容：</w:t>
      </w:r>
    </w:p>
    <w:p w14:paraId="513CB23C">
      <w:pPr>
        <w:pStyle w:val="65"/>
        <w:numPr>
          <w:ilvl w:val="0"/>
          <w:numId w:val="13"/>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磋商函（格式见附件）；</w:t>
      </w:r>
    </w:p>
    <w:p w14:paraId="2F94A54D">
      <w:pPr>
        <w:pStyle w:val="65"/>
        <w:numPr>
          <w:ilvl w:val="0"/>
          <w:numId w:val="13"/>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报价一览表（格式见附件）；</w:t>
      </w:r>
    </w:p>
    <w:p w14:paraId="3055354D">
      <w:pPr>
        <w:pStyle w:val="65"/>
        <w:numPr>
          <w:ilvl w:val="0"/>
          <w:numId w:val="13"/>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磋商报价明细表（格式见附件）</w:t>
      </w:r>
      <w:r>
        <w:rPr>
          <w:rFonts w:hint="eastAsia" w:ascii="宋体" w:hAnsi="宋体" w:eastAsia="宋体" w:cs="宋体"/>
          <w:color w:val="auto"/>
          <w:highlight w:val="none"/>
          <w:lang w:eastAsia="zh-CN"/>
        </w:rPr>
        <w:t>；</w:t>
      </w:r>
    </w:p>
    <w:p w14:paraId="51F5B68F">
      <w:pPr>
        <w:pStyle w:val="65"/>
        <w:spacing w:before="0" w:line="360" w:lineRule="auto"/>
        <w:ind w:firstLine="241" w:firstLineChars="1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注：“资格文件</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商务技术文件</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报价文件”须分3个PDF格式分别导入。</w:t>
      </w:r>
    </w:p>
    <w:p w14:paraId="28032709">
      <w:pPr>
        <w:pStyle w:val="65"/>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10、响应文件有效期</w:t>
      </w:r>
    </w:p>
    <w:p w14:paraId="4FB0D16D">
      <w:pPr>
        <w:pStyle w:val="65"/>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 响应文件未在磋商响应截止时间前完成传输的或者未按时解密的，视为放弃磋商；响应文件解密失败后未提供备份文件或者备份文件也出现异常情况无法进行评审的，亦视为放弃磋商。</w:t>
      </w:r>
    </w:p>
    <w:p w14:paraId="0159D039">
      <w:pPr>
        <w:pStyle w:val="65"/>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 响应文件上传后，自磋商响应截止日期起，在前附表所列的磋商响应文件有效期内有效。</w:t>
      </w:r>
    </w:p>
    <w:p w14:paraId="443DD60B">
      <w:pPr>
        <w:pStyle w:val="65"/>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 在原定有效期满之前，如果出现特殊情况，采购代理机构可以以书面形式向磋商供应商提出延长磋商有效期的要求，磋商供应商对此须以书面形式予以答复。</w:t>
      </w:r>
    </w:p>
    <w:p w14:paraId="088EDA31">
      <w:pPr>
        <w:pStyle w:val="65"/>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11、供应商如有下列情况之一者列入不良行为记录：</w:t>
      </w:r>
    </w:p>
    <w:p w14:paraId="4E6B1CED">
      <w:pPr>
        <w:pStyle w:val="65"/>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11.1 供应商在磋商响应文件有效期内撤回投标的；</w:t>
      </w:r>
    </w:p>
    <w:p w14:paraId="27EBAFA4">
      <w:pPr>
        <w:pStyle w:val="65"/>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11.2 供应商或中标候选人放弃中标或中标候选人资格的；</w:t>
      </w:r>
    </w:p>
    <w:p w14:paraId="26D00648">
      <w:pPr>
        <w:pStyle w:val="65"/>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11.3 擅自修改或拒绝接受已经确认的条款；</w:t>
      </w:r>
    </w:p>
    <w:p w14:paraId="20613E84">
      <w:pPr>
        <w:pStyle w:val="65"/>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11.4 成交供应商未按规定与采购人签订合同；</w:t>
      </w:r>
    </w:p>
    <w:p w14:paraId="5F85726B">
      <w:pPr>
        <w:pStyle w:val="65"/>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11.5 供应商采取提供虚假资料等不正当手段的；</w:t>
      </w:r>
    </w:p>
    <w:p w14:paraId="7F6483CC">
      <w:pPr>
        <w:pStyle w:val="65"/>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11.6 供应商在投标过程中串通投标的。</w:t>
      </w:r>
    </w:p>
    <w:p w14:paraId="73F3D800">
      <w:pPr>
        <w:pStyle w:val="65"/>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12、响应文件的编制和签署</w:t>
      </w:r>
    </w:p>
    <w:p w14:paraId="25D87117">
      <w:pPr>
        <w:pStyle w:val="65"/>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 按磋商文件9.1条、9.2条、9.3条要求提供的各种文件，响应文件分为资格文件、商务技术文件和报价文件三部分。</w:t>
      </w:r>
    </w:p>
    <w:p w14:paraId="46F580AB">
      <w:pPr>
        <w:pStyle w:val="65"/>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 响应文件须按附件格式要求进行电子签章，供应商应写全称。（电子磋商响应文件中所</w:t>
      </w:r>
      <w:r>
        <w:rPr>
          <w:rFonts w:hint="eastAsia" w:ascii="宋体" w:hAnsi="宋体" w:cs="宋体"/>
          <w:color w:val="auto"/>
          <w:highlight w:val="none"/>
          <w:lang w:eastAsia="zh-CN"/>
        </w:rPr>
        <w:t>需</w:t>
      </w:r>
      <w:r>
        <w:rPr>
          <w:rFonts w:hint="eastAsia" w:ascii="宋体" w:hAnsi="宋体" w:eastAsia="宋体" w:cs="宋体"/>
          <w:color w:val="auto"/>
          <w:highlight w:val="none"/>
        </w:rPr>
        <w:t>加盖公章部分均应采用电子签章）</w:t>
      </w:r>
    </w:p>
    <w:p w14:paraId="23AB6FB5">
      <w:pPr>
        <w:pStyle w:val="65"/>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12.3 全套响应文件应无涂改和行间插字，除非这些删改是根据采购代理机构要求进行，或者是供应商造成的必须修改的错误。所修改处应由法定代表人或其授权代表签字盖章予以确认。</w:t>
      </w:r>
    </w:p>
    <w:p w14:paraId="794D9802">
      <w:pPr>
        <w:pStyle w:val="65"/>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12.4 由于字迹模糊或表达不清引起的后果由供应商负责。</w:t>
      </w:r>
    </w:p>
    <w:p w14:paraId="4C3A676C">
      <w:pPr>
        <w:pStyle w:val="65"/>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13、响应文件的形式</w:t>
      </w:r>
    </w:p>
    <w:p w14:paraId="0EB81B61">
      <w:pPr>
        <w:pStyle w:val="65"/>
        <w:keepNext w:val="0"/>
        <w:keepLines w:val="0"/>
        <w:pageBreakBefore w:val="0"/>
        <w:widowControl w:val="0"/>
        <w:kinsoku/>
        <w:wordWrap/>
        <w:overflowPunct/>
        <w:topLinePunct w:val="0"/>
        <w:autoSpaceDE/>
        <w:autoSpaceDN/>
        <w:bidi w:val="0"/>
        <w:adjustRightInd w:val="0"/>
        <w:snapToGrid/>
        <w:spacing w:before="0" w:line="360" w:lineRule="auto"/>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响应文件为电子磋商响应文件，电子磋商响应文件按“政采云供应商项目采购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电子招投标操作指南”及本磋商文件要求制作、加密传输。</w:t>
      </w:r>
    </w:p>
    <w:p w14:paraId="5B639F97">
      <w:pPr>
        <w:pStyle w:val="5"/>
        <w:numPr>
          <w:ilvl w:val="0"/>
          <w:numId w:val="9"/>
        </w:numPr>
        <w:spacing w:line="360" w:lineRule="auto"/>
        <w:jc w:val="center"/>
        <w:rPr>
          <w:rFonts w:hint="eastAsia" w:ascii="宋体" w:hAnsi="宋体" w:eastAsia="宋体" w:cs="宋体"/>
          <w:color w:val="auto"/>
          <w:sz w:val="24"/>
          <w:szCs w:val="24"/>
          <w:highlight w:val="none"/>
        </w:rPr>
      </w:pPr>
      <w:bookmarkStart w:id="55" w:name="_Toc1420"/>
      <w:r>
        <w:rPr>
          <w:rFonts w:hint="eastAsia" w:ascii="宋体" w:hAnsi="宋体" w:eastAsia="宋体" w:cs="宋体"/>
          <w:color w:val="auto"/>
          <w:sz w:val="24"/>
          <w:szCs w:val="24"/>
          <w:highlight w:val="none"/>
        </w:rPr>
        <w:t xml:space="preserve"> </w:t>
      </w:r>
      <w:bookmarkStart w:id="56" w:name="_Toc28561"/>
      <w:bookmarkStart w:id="57" w:name="_Toc21266"/>
      <w:r>
        <w:rPr>
          <w:rFonts w:hint="eastAsia" w:ascii="宋体" w:hAnsi="宋体" w:eastAsia="宋体" w:cs="宋体"/>
          <w:color w:val="auto"/>
          <w:sz w:val="24"/>
          <w:szCs w:val="24"/>
          <w:highlight w:val="none"/>
        </w:rPr>
        <w:t>响应文件的递交</w:t>
      </w:r>
      <w:bookmarkEnd w:id="55"/>
      <w:bookmarkEnd w:id="56"/>
      <w:bookmarkEnd w:id="57"/>
    </w:p>
    <w:p w14:paraId="714DBAD6">
      <w:pPr>
        <w:pStyle w:val="17"/>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14、磋商响应截止期</w:t>
      </w:r>
    </w:p>
    <w:p w14:paraId="510F8BE5">
      <w:pPr>
        <w:pStyle w:val="65"/>
        <w:numPr>
          <w:ilvl w:val="0"/>
          <w:numId w:val="14"/>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6AFF0D58">
      <w:pPr>
        <w:pStyle w:val="65"/>
        <w:numPr>
          <w:ilvl w:val="0"/>
          <w:numId w:val="14"/>
        </w:numPr>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采购人因故推迟磋商响应截止时间，将以公告形式通知。在这种情况下，采购人和供应商的权利和义务将受到新的截止时间的约束。</w:t>
      </w:r>
    </w:p>
    <w:p w14:paraId="56A28585">
      <w:pPr>
        <w:pStyle w:val="17"/>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15、响应文件的修改、撤销</w:t>
      </w:r>
    </w:p>
    <w:p w14:paraId="0AC7EE62">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43470144">
      <w:pPr>
        <w:pStyle w:val="5"/>
        <w:numPr>
          <w:ilvl w:val="0"/>
          <w:numId w:val="9"/>
        </w:num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58" w:name="_Toc24860"/>
      <w:bookmarkStart w:id="59" w:name="_Toc24120"/>
      <w:r>
        <w:rPr>
          <w:rFonts w:hint="eastAsia" w:ascii="宋体" w:hAnsi="宋体" w:eastAsia="宋体" w:cs="宋体"/>
          <w:color w:val="auto"/>
          <w:sz w:val="24"/>
          <w:szCs w:val="24"/>
          <w:highlight w:val="none"/>
        </w:rPr>
        <w:t>磋商无效的情形</w:t>
      </w:r>
      <w:bookmarkEnd w:id="58"/>
      <w:bookmarkEnd w:id="59"/>
    </w:p>
    <w:p w14:paraId="1CDCD5BA">
      <w:pPr>
        <w:pStyle w:val="17"/>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16、无效响应</w:t>
      </w:r>
    </w:p>
    <w:p w14:paraId="64BB7F24">
      <w:pPr>
        <w:pStyle w:val="17"/>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p>
    <w:p w14:paraId="094BF8B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16.1未按照磋商文件规定要求签署、盖章的；</w:t>
      </w:r>
    </w:p>
    <w:p w14:paraId="6D38A50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16.2《法定代表人授权书》填写不全、错误、未加盖供应商公章（公章和签字或盖章缺一不可）； </w:t>
      </w:r>
    </w:p>
    <w:p w14:paraId="1EFE8976">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16.3个体工商户的身份证明与营业执照不一致的；</w:t>
      </w:r>
    </w:p>
    <w:p w14:paraId="0957FFD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16.4响应文件中的磋商函未加盖供应商的企业公章或填写不全的；</w:t>
      </w:r>
    </w:p>
    <w:p w14:paraId="5A908AE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16.5报价一经涂改，未在涂改处加盖投标单位公章或者未经法定代表人或其授权代表签字或盖章的；</w:t>
      </w:r>
    </w:p>
    <w:p w14:paraId="4A68F07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16.6因未按规定的格式填写，内容不全或主要实质性内容字迹模糊辨认不清</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经评标委员会认定为无法评审的；</w:t>
      </w:r>
    </w:p>
    <w:p w14:paraId="07FAB52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16.7出现同一标的物或本次采购产品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服务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内的主要产品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重要组成部分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出现技术、商务描述不一致或前后描述不一致，经评标委员会认定后为无法评审的；</w:t>
      </w:r>
    </w:p>
    <w:p w14:paraId="63333B5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16.8响应详细配置清单响应表不真实填写或弄虚作假的；改变磋商文件提供的清单中的计量单位、工程数量；</w:t>
      </w:r>
    </w:p>
    <w:p w14:paraId="6C146EB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16.9对采购产品技术规格未详细应答，致使其技术文件无法评审的；</w:t>
      </w:r>
    </w:p>
    <w:p w14:paraId="1D8E2B2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16.10响应文件有采购方不能接受的条件；</w:t>
      </w:r>
    </w:p>
    <w:p w14:paraId="0B4DE6F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7AA2BC1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16.12磋商报价超过预算金额或最高限价的；</w:t>
      </w:r>
    </w:p>
    <w:p w14:paraId="7CC9CD66">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16.13响应文件“商务技术文件资料”部分中出现《报价一览表》或《磋商报价明细表》相关内容的；</w:t>
      </w:r>
    </w:p>
    <w:p w14:paraId="00FDD27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16.14评标委员会认定有重大偏差或实质性不响应磋商文件要求的，即“★”的关键性指标及技术参数要求负偏离或缺漏；</w:t>
      </w:r>
    </w:p>
    <w:p w14:paraId="6F400F99">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16.15供应商拒绝按磋商文件规定的修正原则对响应文件进行修改的；</w:t>
      </w:r>
    </w:p>
    <w:p w14:paraId="31C94739">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16.16有下列情形之一的，视为供应商串通投标，其投标无效：</w:t>
      </w:r>
    </w:p>
    <w:p w14:paraId="68C32915">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16.16.1不同供应商的响应文件由同一单位或者个人编制；</w:t>
      </w:r>
    </w:p>
    <w:p w14:paraId="28C91C9E">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16.16.2不同供应商委托同一单位或者个人办理投标事宜；</w:t>
      </w:r>
    </w:p>
    <w:p w14:paraId="4F956A0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16.16.3不同供应商的响应文件载明的项目管理成员或者联系人员为同一人；</w:t>
      </w:r>
    </w:p>
    <w:p w14:paraId="6219C9A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16.16.4不同供应商的响应文件异常一致或者投标报价呈规律性差异；</w:t>
      </w:r>
    </w:p>
    <w:p w14:paraId="30CB314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16.16.5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14:paraId="586DA909">
      <w:pPr>
        <w:tabs>
          <w:tab w:val="left" w:pos="3870"/>
          <w:tab w:val="left" w:pos="4085"/>
        </w:tabs>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其他违反</w:t>
      </w:r>
      <w:r>
        <w:rPr>
          <w:rFonts w:hint="eastAsia" w:ascii="宋体" w:hAnsi="宋体" w:eastAsia="宋体" w:cs="宋体"/>
          <w:b/>
          <w:bCs/>
          <w:color w:val="auto"/>
          <w:sz w:val="24"/>
          <w:szCs w:val="24"/>
          <w:highlight w:val="none"/>
          <w:lang w:eastAsia="zh-CN"/>
        </w:rPr>
        <w:t>法律法规</w:t>
      </w:r>
      <w:r>
        <w:rPr>
          <w:rFonts w:hint="eastAsia" w:ascii="宋体" w:hAnsi="宋体" w:eastAsia="宋体" w:cs="宋体"/>
          <w:b/>
          <w:bCs/>
          <w:color w:val="auto"/>
          <w:sz w:val="24"/>
          <w:szCs w:val="24"/>
          <w:highlight w:val="none"/>
        </w:rPr>
        <w:t>的情形。</w:t>
      </w:r>
    </w:p>
    <w:p w14:paraId="6653214F">
      <w:pPr>
        <w:pStyle w:val="5"/>
        <w:numPr>
          <w:ilvl w:val="0"/>
          <w:numId w:val="9"/>
        </w:num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60" w:name="_Toc21752"/>
      <w:bookmarkStart w:id="61" w:name="_Toc32601"/>
      <w:r>
        <w:rPr>
          <w:rFonts w:hint="eastAsia" w:ascii="宋体" w:hAnsi="宋体" w:eastAsia="宋体" w:cs="宋体"/>
          <w:color w:val="auto"/>
          <w:sz w:val="24"/>
          <w:szCs w:val="24"/>
          <w:highlight w:val="none"/>
        </w:rPr>
        <w:t>采购中止的情形</w:t>
      </w:r>
      <w:bookmarkEnd w:id="60"/>
      <w:bookmarkEnd w:id="61"/>
    </w:p>
    <w:p w14:paraId="5B736EAC">
      <w:pPr>
        <w:pStyle w:val="17"/>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w:t>
      </w:r>
      <w:r>
        <w:rPr>
          <w:rFonts w:hint="eastAsia" w:ascii="宋体" w:hAnsi="宋体" w:eastAsia="宋体" w:cs="宋体"/>
          <w:b/>
          <w:bCs/>
          <w:color w:val="auto"/>
          <w:sz w:val="24"/>
          <w:szCs w:val="24"/>
          <w:highlight w:val="none"/>
          <w:lang w:val="zh-CN"/>
        </w:rPr>
        <w:t>中止电子交易活动和</w:t>
      </w:r>
      <w:r>
        <w:rPr>
          <w:rFonts w:hint="eastAsia" w:ascii="宋体" w:hAnsi="宋体" w:eastAsia="宋体" w:cs="宋体"/>
          <w:b/>
          <w:bCs/>
          <w:color w:val="auto"/>
          <w:sz w:val="24"/>
          <w:szCs w:val="24"/>
          <w:highlight w:val="none"/>
        </w:rPr>
        <w:t>重新组织采购</w:t>
      </w:r>
    </w:p>
    <w:p w14:paraId="6F5F374A">
      <w:pPr>
        <w:pStyle w:val="65"/>
        <w:tabs>
          <w:tab w:val="left" w:pos="0"/>
        </w:tabs>
        <w:spacing w:before="0" w:line="360" w:lineRule="auto"/>
        <w:ind w:left="420" w:leftChars="200"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rPr>
        <w:t>17.1</w:t>
      </w:r>
      <w:r>
        <w:rPr>
          <w:rFonts w:hint="eastAsia" w:ascii="宋体" w:hAnsi="宋体" w:eastAsia="宋体" w:cs="宋体"/>
          <w:color w:val="auto"/>
          <w:highlight w:val="none"/>
          <w:lang w:val="zh-CN"/>
        </w:rPr>
        <w:t>采购过程中出现以下情形，导致电子交易平台无法正常运行，或者无法保证电子交易的公平、公正和安全时，采购组织机构可中止电子交易活动：</w:t>
      </w:r>
    </w:p>
    <w:p w14:paraId="2E6B967D">
      <w:pPr>
        <w:numPr>
          <w:ilvl w:val="0"/>
          <w:numId w:val="15"/>
        </w:num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电子交易平台发生故障而无法登录访问的； </w:t>
      </w:r>
    </w:p>
    <w:p w14:paraId="0637CDBF">
      <w:pPr>
        <w:numPr>
          <w:ilvl w:val="0"/>
          <w:numId w:val="15"/>
        </w:num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电子交易平台应用或数据库出现错误，不能进行正常操作的；</w:t>
      </w:r>
    </w:p>
    <w:p w14:paraId="62A5D1D9">
      <w:pPr>
        <w:numPr>
          <w:ilvl w:val="0"/>
          <w:numId w:val="15"/>
        </w:num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电子交易平台发现严重安全漏洞，有潜在泄密危险的；</w:t>
      </w:r>
    </w:p>
    <w:p w14:paraId="7F4D6E73">
      <w:pPr>
        <w:numPr>
          <w:ilvl w:val="0"/>
          <w:numId w:val="15"/>
        </w:num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病毒发作导致不能进行正常操作的； </w:t>
      </w:r>
    </w:p>
    <w:p w14:paraId="7371F1B1">
      <w:pPr>
        <w:numPr>
          <w:ilvl w:val="0"/>
          <w:numId w:val="15"/>
        </w:num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其他无法保证电子交易的公平、公正和安全的情况。</w:t>
      </w:r>
    </w:p>
    <w:p w14:paraId="17914ED9">
      <w:pPr>
        <w:pStyle w:val="65"/>
        <w:tabs>
          <w:tab w:val="left" w:pos="0"/>
        </w:tabs>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0F410477">
      <w:pPr>
        <w:pStyle w:val="5"/>
        <w:numPr>
          <w:ilvl w:val="0"/>
          <w:numId w:val="9"/>
        </w:num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62" w:name="_Toc14029"/>
      <w:bookmarkStart w:id="63" w:name="_Toc10742"/>
      <w:r>
        <w:rPr>
          <w:rFonts w:hint="eastAsia" w:ascii="宋体" w:hAnsi="宋体" w:eastAsia="宋体" w:cs="宋体"/>
          <w:color w:val="auto"/>
          <w:sz w:val="24"/>
          <w:szCs w:val="24"/>
          <w:highlight w:val="none"/>
        </w:rPr>
        <w:t>确定成交供应商与签订合同</w:t>
      </w:r>
      <w:bookmarkEnd w:id="62"/>
      <w:bookmarkEnd w:id="63"/>
    </w:p>
    <w:p w14:paraId="42271130">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18、推荐成交候选供应商</w:t>
      </w:r>
    </w:p>
    <w:p w14:paraId="68B953C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14:paraId="3250424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采购代理机构应当在评审结束后2个工作日内将评审报告送采购人确认。</w:t>
      </w:r>
    </w:p>
    <w:p w14:paraId="68AB9CCF">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19、确定成交供应商</w:t>
      </w:r>
    </w:p>
    <w:p w14:paraId="226BDB09">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1DBBC3B">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19.2采购人或者采购代理机构应当在成交供应商确定后2个工作日内，在省级以上财政部门指定的政府采购信息发布媒体上公告成交结果，同时向成交供应商发出成交通知书。</w:t>
      </w:r>
    </w:p>
    <w:p w14:paraId="550E030E">
      <w:pPr>
        <w:adjustRightIn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20、签订合同</w:t>
      </w:r>
    </w:p>
    <w:p w14:paraId="1E186708">
      <w:pPr>
        <w:pStyle w:val="65"/>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20.1. 采购人与成交供应商应当在成交通知书发出之日起30日内，按照磋商文件确定的合同文本以及采购标的、规格型号、采购金额、采购数量、技术和服务要求等事项签订政府采购合同。</w:t>
      </w:r>
    </w:p>
    <w:p w14:paraId="0438DA70">
      <w:pPr>
        <w:pStyle w:val="65"/>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2D7A570A">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21、解释权</w:t>
      </w:r>
    </w:p>
    <w:p w14:paraId="2E398B80">
      <w:pPr>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磋商文件的解释权均属于</w:t>
      </w:r>
      <w:r>
        <w:rPr>
          <w:rFonts w:hint="eastAsia" w:ascii="宋体" w:hAnsi="宋体" w:cs="宋体"/>
          <w:color w:val="auto"/>
          <w:sz w:val="24"/>
          <w:szCs w:val="24"/>
          <w:highlight w:val="none"/>
          <w:u w:val="single"/>
          <w:lang w:eastAsia="zh-CN"/>
        </w:rPr>
        <w:t>中共绍兴市上虞区委宣传部</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u w:val="single"/>
        </w:rPr>
        <w:t xml:space="preserve"> 绍兴成言工程咨询管理有限公司 </w:t>
      </w:r>
      <w:r>
        <w:rPr>
          <w:rFonts w:hint="eastAsia" w:ascii="宋体" w:hAnsi="宋体" w:eastAsia="宋体" w:cs="宋体"/>
          <w:color w:val="auto"/>
          <w:sz w:val="24"/>
          <w:szCs w:val="24"/>
          <w:highlight w:val="none"/>
        </w:rPr>
        <w:t>。</w:t>
      </w:r>
    </w:p>
    <w:p w14:paraId="37BD68C9">
      <w:pPr>
        <w:pStyle w:val="4"/>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64" w:name="_Toc16467"/>
      <w:bookmarkStart w:id="65" w:name="_Toc21248"/>
      <w:r>
        <w:rPr>
          <w:rFonts w:hint="eastAsia" w:ascii="宋体" w:hAnsi="宋体" w:eastAsia="宋体" w:cs="宋体"/>
          <w:color w:val="auto"/>
          <w:sz w:val="36"/>
          <w:szCs w:val="36"/>
          <w:highlight w:val="none"/>
        </w:rPr>
        <w:t>第三部分 采购内容及要求</w:t>
      </w:r>
      <w:bookmarkEnd w:id="64"/>
      <w:bookmarkEnd w:id="65"/>
    </w:p>
    <w:p w14:paraId="0C0D93B1">
      <w:pPr>
        <w:pStyle w:val="5"/>
        <w:spacing w:line="360" w:lineRule="auto"/>
        <w:jc w:val="center"/>
        <w:rPr>
          <w:rFonts w:hint="eastAsia" w:ascii="宋体" w:hAnsi="宋体" w:eastAsia="宋体" w:cs="宋体"/>
          <w:color w:val="auto"/>
          <w:highlight w:val="none"/>
          <w:lang w:val="en-US" w:eastAsia="zh-CN"/>
        </w:rPr>
      </w:pPr>
      <w:bookmarkStart w:id="66" w:name="_Toc25073"/>
      <w:bookmarkStart w:id="67" w:name="_Toc2064"/>
      <w:bookmarkStart w:id="68" w:name="_Toc15284"/>
      <w:r>
        <w:rPr>
          <w:rFonts w:hint="eastAsia" w:ascii="宋体" w:hAnsi="宋体" w:eastAsia="宋体" w:cs="宋体"/>
          <w:color w:val="auto"/>
          <w:highlight w:val="none"/>
        </w:rPr>
        <w:t xml:space="preserve">第一章 </w:t>
      </w:r>
      <w:bookmarkStart w:id="69" w:name="_Toc506107120"/>
      <w:r>
        <w:rPr>
          <w:rFonts w:hint="eastAsia" w:ascii="宋体" w:hAnsi="宋体" w:eastAsia="宋体" w:cs="宋体"/>
          <w:color w:val="auto"/>
          <w:highlight w:val="none"/>
        </w:rPr>
        <w:t>采购内容及要求</w:t>
      </w:r>
      <w:bookmarkEnd w:id="66"/>
      <w:bookmarkEnd w:id="67"/>
      <w:bookmarkEnd w:id="69"/>
    </w:p>
    <w:p w14:paraId="77F53C56">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bCs/>
          <w:kern w:val="2"/>
          <w:sz w:val="24"/>
          <w:szCs w:val="24"/>
          <w:highlight w:val="none"/>
        </w:rPr>
      </w:pPr>
      <w:bookmarkStart w:id="70" w:name="_Toc12256"/>
      <w:bookmarkStart w:id="71" w:name="_Toc22912"/>
      <w:bookmarkStart w:id="72" w:name="_Toc506107121"/>
      <w:bookmarkStart w:id="73" w:name="_Toc21027"/>
      <w:bookmarkStart w:id="74" w:name="_Toc26642"/>
      <w:bookmarkStart w:id="75" w:name="_Toc23375"/>
      <w:r>
        <w:rPr>
          <w:rFonts w:hint="eastAsia" w:ascii="宋体" w:hAnsi="宋体" w:eastAsia="宋体" w:cs="宋体"/>
          <w:b/>
          <w:bCs/>
          <w:kern w:val="2"/>
          <w:sz w:val="24"/>
          <w:szCs w:val="24"/>
          <w:highlight w:val="none"/>
          <w:lang w:val="en-US" w:eastAsia="zh-CN" w:bidi="ar"/>
        </w:rPr>
        <w:t>一、服务期限</w:t>
      </w:r>
    </w:p>
    <w:p w14:paraId="1092E150">
      <w:pPr>
        <w:pStyle w:val="28"/>
        <w:keepNext w:val="0"/>
        <w:keepLines w:val="0"/>
        <w:widowControl w:val="0"/>
        <w:suppressLineNumbers w:val="0"/>
        <w:autoSpaceDE w:val="0"/>
        <w:autoSpaceDN/>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服务期限为一年。</w:t>
      </w:r>
    </w:p>
    <w:p w14:paraId="08A6B1E3">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二、工作内容</w:t>
      </w:r>
    </w:p>
    <w:p w14:paraId="18DD1F81">
      <w:pPr>
        <w:numPr>
          <w:ilvl w:val="0"/>
          <w:numId w:val="0"/>
        </w:numPr>
        <w:spacing w:line="360"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通过市级报刊专版的形式宣传上虞区</w:t>
      </w:r>
      <w:r>
        <w:rPr>
          <w:rFonts w:hint="default" w:ascii="宋体" w:hAnsi="宋体" w:eastAsia="宋体" w:cs="宋体"/>
          <w:color w:val="auto"/>
          <w:sz w:val="24"/>
          <w:highlight w:val="none"/>
          <w:lang w:val="en-US" w:eastAsia="zh-CN"/>
        </w:rPr>
        <w:t>人文、经济、城市等各领域</w:t>
      </w:r>
      <w:r>
        <w:rPr>
          <w:rFonts w:hint="eastAsia" w:ascii="宋体" w:hAnsi="宋体" w:eastAsia="宋体" w:cs="宋体"/>
          <w:color w:val="auto"/>
          <w:sz w:val="24"/>
          <w:highlight w:val="none"/>
          <w:lang w:val="en-US" w:eastAsia="zh-CN"/>
        </w:rPr>
        <w:t>的亮点工作，共计12个专版。</w:t>
      </w:r>
    </w:p>
    <w:p w14:paraId="20E5975A">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三、项目要求</w:t>
      </w:r>
    </w:p>
    <w:p w14:paraId="79E677A0">
      <w:pPr>
        <w:numPr>
          <w:ilvl w:val="0"/>
          <w:numId w:val="0"/>
        </w:numPr>
        <w:spacing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重点宣传：根据采购人的年度工作重点和宣传需要，充分发挥中标人在宣传策划采写上的专业优势，负责挖掘采购人的宣传题材，包括</w:t>
      </w:r>
      <w:r>
        <w:rPr>
          <w:rFonts w:hint="eastAsia" w:ascii="宋体" w:hAnsi="宋体" w:eastAsia="宋体" w:cs="宋体"/>
          <w:color w:val="auto"/>
          <w:sz w:val="24"/>
          <w:highlight w:val="none"/>
          <w:lang w:val="en-US" w:eastAsia="zh-CN"/>
        </w:rPr>
        <w:t>上虞区</w:t>
      </w:r>
      <w:r>
        <w:rPr>
          <w:rFonts w:hint="default" w:ascii="宋体" w:hAnsi="宋体" w:eastAsia="宋体" w:cs="宋体"/>
          <w:color w:val="auto"/>
          <w:sz w:val="24"/>
          <w:highlight w:val="none"/>
          <w:lang w:val="en-US" w:eastAsia="zh-CN"/>
        </w:rPr>
        <w:t>人文、经济、城市等各领域</w:t>
      </w:r>
      <w:r>
        <w:rPr>
          <w:rFonts w:hint="eastAsia" w:ascii="宋体" w:hAnsi="宋体" w:eastAsia="宋体" w:cs="宋体"/>
          <w:color w:val="auto"/>
          <w:kern w:val="2"/>
          <w:sz w:val="24"/>
          <w:szCs w:val="24"/>
          <w:highlight w:val="none"/>
          <w:lang w:val="en-US" w:eastAsia="zh-CN" w:bidi="ar-SA"/>
        </w:rPr>
        <w:t>的新举措、新业绩和新典型等鲜活内容，为采购人做好对外宣传。</w:t>
      </w:r>
    </w:p>
    <w:p w14:paraId="56482122">
      <w:pPr>
        <w:numPr>
          <w:ilvl w:val="0"/>
          <w:numId w:val="0"/>
        </w:numPr>
        <w:spacing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专版：根据采购人宣传重点和宣传需求，中标人为其在</w:t>
      </w:r>
      <w:r>
        <w:rPr>
          <w:rFonts w:hint="eastAsia" w:ascii="宋体" w:hAnsi="宋体" w:cs="宋体"/>
          <w:color w:val="auto"/>
          <w:kern w:val="2"/>
          <w:sz w:val="24"/>
          <w:szCs w:val="24"/>
          <w:highlight w:val="none"/>
          <w:lang w:val="en-US" w:eastAsia="zh-CN" w:bidi="ar-SA"/>
        </w:rPr>
        <w:t>市</w:t>
      </w:r>
      <w:r>
        <w:rPr>
          <w:rFonts w:hint="eastAsia" w:ascii="宋体" w:hAnsi="宋体" w:eastAsia="宋体" w:cs="宋体"/>
          <w:color w:val="auto"/>
          <w:kern w:val="2"/>
          <w:sz w:val="24"/>
          <w:szCs w:val="24"/>
          <w:highlight w:val="none"/>
          <w:lang w:val="en-US" w:eastAsia="zh-CN" w:bidi="ar-SA"/>
        </w:rPr>
        <w:t>级报刊进行专版宣传。关注重点包括：</w:t>
      </w:r>
      <w:r>
        <w:rPr>
          <w:rFonts w:hint="eastAsia" w:ascii="宋体" w:hAnsi="宋体" w:eastAsia="宋体" w:cs="宋体"/>
          <w:color w:val="auto"/>
          <w:sz w:val="24"/>
          <w:highlight w:val="none"/>
          <w:lang w:val="en-US" w:eastAsia="zh-CN"/>
        </w:rPr>
        <w:t>上虞区</w:t>
      </w:r>
      <w:r>
        <w:rPr>
          <w:rFonts w:hint="default" w:ascii="宋体" w:hAnsi="宋体" w:eastAsia="宋体" w:cs="宋体"/>
          <w:color w:val="auto"/>
          <w:sz w:val="24"/>
          <w:highlight w:val="none"/>
          <w:lang w:val="en-US" w:eastAsia="zh-CN"/>
        </w:rPr>
        <w:t>人文、经济、城市等各领域</w:t>
      </w:r>
      <w:r>
        <w:rPr>
          <w:rFonts w:hint="eastAsia" w:ascii="宋体" w:hAnsi="宋体" w:cs="宋体"/>
          <w:color w:val="auto"/>
          <w:sz w:val="24"/>
          <w:highlight w:val="none"/>
          <w:lang w:val="en-US" w:eastAsia="zh-CN"/>
        </w:rPr>
        <w:t>。</w:t>
      </w:r>
    </w:p>
    <w:p w14:paraId="6987F28F">
      <w:pPr>
        <w:keepNext w:val="0"/>
        <w:keepLines w:val="0"/>
        <w:widowControl w:val="0"/>
        <w:suppressLineNumbers w:val="0"/>
        <w:spacing w:before="0" w:beforeAutospacing="0" w:after="0" w:afterAutospacing="0" w:line="360" w:lineRule="auto"/>
        <w:ind w:left="0" w:right="0" w:firstLine="240" w:firstLine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注：以上宣传具体刊登时间和内容由双方协商确定。</w:t>
      </w:r>
    </w:p>
    <w:p w14:paraId="4558D767">
      <w:pPr>
        <w:pStyle w:val="5"/>
        <w:numPr>
          <w:ilvl w:val="0"/>
          <w:numId w:val="0"/>
        </w:numPr>
        <w:bidi w:val="0"/>
        <w:spacing w:line="360" w:lineRule="auto"/>
        <w:ind w:left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第二章 </w:t>
      </w:r>
      <w:r>
        <w:rPr>
          <w:rFonts w:hint="eastAsia" w:ascii="宋体" w:hAnsi="宋体" w:eastAsia="宋体" w:cs="宋体"/>
          <w:color w:val="auto"/>
          <w:highlight w:val="none"/>
        </w:rPr>
        <w:t>付款方式及要求</w:t>
      </w:r>
      <w:bookmarkEnd w:id="70"/>
      <w:bookmarkEnd w:id="71"/>
      <w:bookmarkEnd w:id="72"/>
      <w:bookmarkEnd w:id="73"/>
      <w:bookmarkEnd w:id="74"/>
    </w:p>
    <w:p w14:paraId="5C1EC1D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一、付款方式：</w:t>
      </w:r>
    </w:p>
    <w:p w14:paraId="07125CB7">
      <w:pPr>
        <w:numPr>
          <w:ilvl w:val="0"/>
          <w:numId w:val="0"/>
        </w:numPr>
        <w:spacing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在合同生效以及具备实施条件后7个工作日内向中标人支付</w:t>
      </w:r>
      <w:r>
        <w:rPr>
          <w:rFonts w:hint="eastAsia" w:ascii="宋体" w:hAnsi="宋体" w:cs="宋体"/>
          <w:color w:val="auto"/>
          <w:kern w:val="2"/>
          <w:sz w:val="24"/>
          <w:szCs w:val="24"/>
          <w:highlight w:val="none"/>
          <w:lang w:val="en-US" w:eastAsia="zh-CN" w:bidi="ar-SA"/>
        </w:rPr>
        <w:t>70%</w:t>
      </w:r>
      <w:r>
        <w:rPr>
          <w:rFonts w:hint="eastAsia" w:ascii="宋体" w:hAnsi="宋体" w:eastAsia="宋体" w:cs="宋体"/>
          <w:color w:val="auto"/>
          <w:kern w:val="2"/>
          <w:sz w:val="24"/>
          <w:szCs w:val="24"/>
          <w:highlight w:val="none"/>
          <w:lang w:val="en-US" w:eastAsia="zh-CN" w:bidi="ar-SA"/>
        </w:rPr>
        <w:t>合同价款</w:t>
      </w:r>
      <w:r>
        <w:rPr>
          <w:rFonts w:hint="eastAsia" w:ascii="宋体" w:hAnsi="宋体" w:cs="宋体"/>
          <w:color w:val="auto"/>
          <w:kern w:val="2"/>
          <w:sz w:val="24"/>
          <w:szCs w:val="24"/>
          <w:highlight w:val="none"/>
          <w:lang w:val="en-US" w:eastAsia="zh-CN" w:bidi="ar-SA"/>
        </w:rPr>
        <w:t>；项目完成并验收合格后支付剩余合同价款。</w:t>
      </w:r>
    </w:p>
    <w:p w14:paraId="1CE1833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二、付款要求：</w:t>
      </w:r>
    </w:p>
    <w:p w14:paraId="0F00F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000000"/>
          <w:sz w:val="24"/>
          <w:highlight w:val="none"/>
          <w:lang w:val="en-US" w:eastAsia="zh-CN"/>
        </w:rPr>
        <w:t>中标人在收款之前，应向采购人提供等额、合法、有效的发票，采购人凭发票付款。如中标人未按约定提供发票的，采购人有权拒绝付款，直至收到中标人提交的相应发票为止，在此情况下，采购人不承担逾期付款违约责任</w:t>
      </w:r>
      <w:r>
        <w:rPr>
          <w:rFonts w:hint="eastAsia" w:ascii="宋体" w:hAnsi="宋体" w:eastAsia="宋体" w:cs="宋体"/>
          <w:color w:val="auto"/>
          <w:kern w:val="0"/>
          <w:sz w:val="24"/>
          <w:highlight w:val="none"/>
          <w:lang w:eastAsia="zh-CN"/>
        </w:rPr>
        <w:t>。</w:t>
      </w:r>
    </w:p>
    <w:p w14:paraId="5CCBDD60">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0213D330">
      <w:pPr>
        <w:pStyle w:val="4"/>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第四部分 磋商原则及磋商方法</w:t>
      </w:r>
      <w:bookmarkEnd w:id="68"/>
      <w:bookmarkEnd w:id="75"/>
    </w:p>
    <w:p w14:paraId="653318A2">
      <w:pPr>
        <w:pStyle w:val="5"/>
        <w:numPr>
          <w:ilvl w:val="0"/>
          <w:numId w:val="16"/>
        </w:numPr>
        <w:spacing w:line="360" w:lineRule="auto"/>
        <w:jc w:val="center"/>
        <w:rPr>
          <w:rFonts w:hint="eastAsia" w:ascii="宋体" w:hAnsi="宋体" w:eastAsia="宋体" w:cs="宋体"/>
          <w:color w:val="auto"/>
          <w:highlight w:val="none"/>
        </w:rPr>
      </w:pPr>
      <w:bookmarkStart w:id="76" w:name="_Toc1265"/>
      <w:r>
        <w:rPr>
          <w:rFonts w:hint="eastAsia" w:ascii="宋体" w:hAnsi="宋体" w:eastAsia="宋体" w:cs="宋体"/>
          <w:color w:val="auto"/>
          <w:highlight w:val="none"/>
        </w:rPr>
        <w:t xml:space="preserve"> </w:t>
      </w:r>
      <w:bookmarkStart w:id="77" w:name="_Toc23804"/>
      <w:r>
        <w:rPr>
          <w:rFonts w:hint="eastAsia" w:ascii="宋体" w:hAnsi="宋体" w:eastAsia="宋体" w:cs="宋体"/>
          <w:color w:val="auto"/>
          <w:highlight w:val="none"/>
        </w:rPr>
        <w:t>磋商原则</w:t>
      </w:r>
      <w:bookmarkEnd w:id="76"/>
      <w:bookmarkEnd w:id="77"/>
    </w:p>
    <w:p w14:paraId="1E4CA953">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1、本次竞争性磋商本着公平、公正、科学、择优的原则，邀请各磋商方参加报价。</w:t>
      </w:r>
    </w:p>
    <w:p w14:paraId="33E71556">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2、磋商小组将严格按照竞争性磋商文件的要求，对供应商的响应性文件进行认真评审；磋商小组对响应性文件的评审仅依据响应性文件本身，而不依据响应性文件以外的任何因素。</w:t>
      </w:r>
    </w:p>
    <w:p w14:paraId="1A9C8ACF">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3、磋商小组按照统一的磋商原则和磋商方法，用同一标准对所有响应性文件进行评审。</w:t>
      </w:r>
    </w:p>
    <w:p w14:paraId="6804C4E5">
      <w:pPr>
        <w:pStyle w:val="17"/>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4、评审</w:t>
      </w:r>
    </w:p>
    <w:p w14:paraId="6C31E441">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4.1在磋商响应截止时间前按规定提交响应文件的供应商在三家（含）以上的，由采购人或采购代理机构组织进行开标。</w:t>
      </w:r>
    </w:p>
    <w:p w14:paraId="5650570B">
      <w:pPr>
        <w:pStyle w:val="17"/>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供应商登录政采云平台，用“项目采购-开标评标”功能对电子磋商响应文件进行在线解密。在线解密电子磋商响应文件时间为开标时间起30分钟内。若电子磋商响应文件解密失败，则由采购代理机构工作人员上传供应商提供的备份文件。</w:t>
      </w:r>
      <w:r>
        <w:rPr>
          <w:rFonts w:hint="eastAsia" w:ascii="宋体" w:hAnsi="宋体" w:eastAsia="宋体" w:cs="宋体"/>
          <w:color w:val="auto"/>
          <w:sz w:val="24"/>
          <w:szCs w:val="24"/>
          <w:highlight w:val="none"/>
        </w:rPr>
        <w:t>备份文件（后缀名为.bfbs）须存储在U盘中，与上传的电子磋商响应文件一致，用信封进行密封并盖章</w:t>
      </w:r>
      <w:r>
        <w:rPr>
          <w:rFonts w:hint="eastAsia" w:ascii="宋体" w:hAnsi="宋体" w:eastAsia="宋体" w:cs="宋体"/>
          <w:b/>
          <w:bCs/>
          <w:color w:val="auto"/>
          <w:sz w:val="24"/>
          <w:szCs w:val="24"/>
          <w:highlight w:val="none"/>
        </w:rPr>
        <w:t>（信封内仅需放入存储备份文件的U盘）</w:t>
      </w:r>
      <w:r>
        <w:rPr>
          <w:rFonts w:hint="eastAsia" w:ascii="宋体" w:hAnsi="宋体" w:eastAsia="宋体" w:cs="宋体"/>
          <w:color w:val="auto"/>
          <w:sz w:val="24"/>
          <w:szCs w:val="24"/>
          <w:highlight w:val="none"/>
        </w:rPr>
        <w:t>，由授权代表在磋商响应截止时间前递交至开标地点。</w:t>
      </w:r>
    </w:p>
    <w:p w14:paraId="30141496">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4.3采购人按磋商文件规定的时间、地点公开开标。开标仪式由采购人或采购代理机构主持及有关人员参加。</w:t>
      </w:r>
    </w:p>
    <w:p w14:paraId="0DDB7D09">
      <w:pPr>
        <w:pStyle w:val="65"/>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4.4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U盘退还给供应商；若解锁失败，则由采购代理机构将U盘中的备份文件上传，该U盘将由采购代理机构保存。</w:t>
      </w:r>
    </w:p>
    <w:p w14:paraId="37FB0DF1">
      <w:pPr>
        <w:pStyle w:val="65"/>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134D6CA">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5、组建磋商小组</w:t>
      </w:r>
    </w:p>
    <w:p w14:paraId="3BD2753F">
      <w:pPr>
        <w:pStyle w:val="65"/>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5.1磋商小组由采购人代表和评审专家共3人或以上单数组成，其中评审专家人数不少于磋商小组成员总数的2/3。</w:t>
      </w:r>
    </w:p>
    <w:p w14:paraId="602B724C">
      <w:pPr>
        <w:pStyle w:val="65"/>
        <w:tabs>
          <w:tab w:val="left" w:pos="0"/>
        </w:tabs>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5.2</w:t>
      </w:r>
      <w:r>
        <w:rPr>
          <w:rFonts w:hint="eastAsia" w:ascii="宋体" w:hAnsi="宋体" w:eastAsia="宋体" w:cs="宋体"/>
          <w:color w:val="auto"/>
          <w:highlight w:val="none"/>
          <w:lang w:val="zh-CN"/>
        </w:rPr>
        <w:t>评标工作由评标委员会负责，并推选产生的组长主持；</w:t>
      </w:r>
    </w:p>
    <w:p w14:paraId="30C32D70">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lang w:val="zh-CN"/>
        </w:rPr>
        <w:t>本次评标为在线评标。</w:t>
      </w:r>
    </w:p>
    <w:p w14:paraId="284C34BC">
      <w:pPr>
        <w:pStyle w:val="5"/>
        <w:numPr>
          <w:ilvl w:val="0"/>
          <w:numId w:val="16"/>
        </w:num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78" w:name="_Toc10093"/>
      <w:bookmarkStart w:id="79" w:name="_Toc17973"/>
      <w:r>
        <w:rPr>
          <w:rFonts w:hint="eastAsia" w:ascii="宋体" w:hAnsi="宋体" w:eastAsia="宋体" w:cs="宋体"/>
          <w:color w:val="auto"/>
          <w:highlight w:val="none"/>
        </w:rPr>
        <w:t>磋商程序</w:t>
      </w:r>
      <w:bookmarkEnd w:id="78"/>
      <w:bookmarkEnd w:id="79"/>
    </w:p>
    <w:p w14:paraId="58AFD425">
      <w:pPr>
        <w:snapToGrid w:val="0"/>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1、对所有响应文件的初审</w:t>
      </w:r>
    </w:p>
    <w:p w14:paraId="5270348A">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1.1资格审查</w:t>
      </w:r>
    </w:p>
    <w:p w14:paraId="1719E7F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（1）开标后，磋商小组将依法对供应商的资格进行审查。</w:t>
      </w:r>
    </w:p>
    <w:p w14:paraId="324EBC7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（2）磋商小组依据法律法规和磋商文件的规定，对供应商的基本资格条件、特定资格条件进行审查。</w:t>
      </w:r>
    </w:p>
    <w:p w14:paraId="6DE1077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（3）供应商未按照磋商文件要求提供与基本资格条件、特定资格条件相应的有效资格证明材料的，视为供应商不具备磋商文件中规定的资格要求，其磋商无效。并将无效原由告知相关供应商.</w:t>
      </w:r>
    </w:p>
    <w:p w14:paraId="7197135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（4）采购人或采购代理机构将通过“信用中国”网站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www.creditchina.gov.cn)、中国政府采购网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www.ccgp.gov.cn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渠道查询供应商磋商开标后评标前的信用记录，经查询供应商列入失信被执行人名单、重大税收违法案件当事人名单、政府采购严重违法失信行为记录名单的，其磋商无效。</w:t>
      </w:r>
    </w:p>
    <w:p w14:paraId="3BC55C2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14:paraId="1E1AEDF0">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72AE765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（1）响应文件无法定代表人或其委托授权代表签名或盖章。</w:t>
      </w:r>
    </w:p>
    <w:p w14:paraId="33939CC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（2）响应文件内容虚假的。</w:t>
      </w:r>
    </w:p>
    <w:p w14:paraId="29A8C71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（3）响应文件有采购人不能接受的附加条件的。</w:t>
      </w:r>
    </w:p>
    <w:p w14:paraId="052C1A0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（4）磋商有效期、服务期等商务条款不能满足磋商文件要求的。</w:t>
      </w:r>
    </w:p>
    <w:p w14:paraId="6ED8B668">
      <w:pPr>
        <w:widowControl/>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（5）投标价格超出预算或最高限价，导致采购单位无法支付的。</w:t>
      </w:r>
    </w:p>
    <w:p w14:paraId="42493BE8">
      <w:pPr>
        <w:widowControl/>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（6）磋商文件明确规定的其他无效条款的。</w:t>
      </w:r>
    </w:p>
    <w:p w14:paraId="7B75D588">
      <w:pPr>
        <w:adjustRightInd w:val="0"/>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16D096">
      <w:pPr>
        <w:pStyle w:val="65"/>
        <w:tabs>
          <w:tab w:val="left" w:pos="0"/>
        </w:tabs>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600D1A03">
      <w:pPr>
        <w:snapToGrid w:val="0"/>
        <w:spacing w:line="360" w:lineRule="auto"/>
        <w:ind w:firstLine="48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、磋商</w:t>
      </w:r>
    </w:p>
    <w:p w14:paraId="6F087CC7">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初审合格的供应商进入下一步的磋商活动。</w:t>
      </w:r>
    </w:p>
    <w:p w14:paraId="3976A04F">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磋商小组所有成员应当集中与单一供应商分别进行磋商，并给予所有参加磋商的供应商平等的磋商机会。</w:t>
      </w:r>
    </w:p>
    <w:p w14:paraId="1B5DB576">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以递交响应文件的时间先后决定磋商顺序。磋商时先听取由供应商拟派的项目负责人就项目采购的重点内容进行磋商，磋商过程中由磋商小组成员提出相关问题，并由供应商拟派项目负责人进行回复与承诺。 </w:t>
      </w:r>
    </w:p>
    <w:p w14:paraId="2C8A00F5">
      <w:pPr>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在磋商过程中，磋商小组可以根据磋商文件和磋商情况实质性变动采购需求中的技术、服务要求以及合同草案条款。实质性变动的内容，须经采购人代表确认。</w:t>
      </w:r>
    </w:p>
    <w:p w14:paraId="083E112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磋商文件作出的实质性变动是磋商文件的有效组成部分，磋商小组应当及时以书面形式同时通知所有参加磋商的供应商。</w:t>
      </w:r>
    </w:p>
    <w:p w14:paraId="5C9F92A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16E42B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14:paraId="39C90B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652F893">
      <w:pPr>
        <w:snapToGrid w:val="0"/>
        <w:spacing w:line="360" w:lineRule="auto"/>
        <w:ind w:firstLine="48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zh-CN"/>
        </w:rPr>
        <w:t>、最后报价</w:t>
      </w:r>
    </w:p>
    <w:p w14:paraId="0DA6F73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3.1商务技术汇总后，供应商开启报价文件，磋商小组应当要求所有实质性响应的供应商在规定时间内提交最后报价。</w:t>
      </w:r>
    </w:p>
    <w:p w14:paraId="2749FD8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3.2最后报价是供应商响应文件的有效组成部分，若最后报价高于响应</w:t>
      </w:r>
      <w:r>
        <w:rPr>
          <w:rFonts w:hint="eastAsia" w:ascii="宋体" w:hAnsi="宋体" w:cs="宋体"/>
          <w:color w:val="auto"/>
          <w:sz w:val="24"/>
          <w:szCs w:val="24"/>
          <w:highlight w:val="none"/>
          <w:lang w:eastAsia="zh-CN"/>
        </w:rPr>
        <w:t>文件报价</w:t>
      </w:r>
      <w:r>
        <w:rPr>
          <w:rFonts w:hint="eastAsia" w:ascii="宋体" w:hAnsi="宋体" w:eastAsia="宋体" w:cs="宋体"/>
          <w:color w:val="auto"/>
          <w:sz w:val="24"/>
          <w:szCs w:val="24"/>
          <w:highlight w:val="none"/>
        </w:rPr>
        <w:t>，则以第一次报价计入评分。</w:t>
      </w:r>
    </w:p>
    <w:p w14:paraId="79E91A5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3.3已提交响应文件的供应商，在提交最后报价之前，若因磋商文件实质性变动导致供应商无法满足采购需求的，允许供应商退出磋商。</w:t>
      </w:r>
    </w:p>
    <w:p w14:paraId="7D5ADE43">
      <w:pPr>
        <w:pStyle w:val="1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4、电子评标</w:t>
      </w:r>
    </w:p>
    <w:p w14:paraId="4C48B99C">
      <w:pPr>
        <w:pStyle w:val="10"/>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4.1磋商活动由采购代理机构主持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磋商响应截止时间后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供应商登录政采云平台对电子响应文件进行在线解密；</w:t>
      </w:r>
    </w:p>
    <w:p w14:paraId="5C569D92">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4.2响应文件解密结束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开启响应文件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磋商小组对资格和商务技术响应文件进行资格审查和符合性审查；</w:t>
      </w:r>
    </w:p>
    <w:p w14:paraId="5AE59EB2">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4.3供应商按递交磋商响应文件的前后顺序决定磋商的顺序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就价格、服务等认为需要磋商的内容进行磋商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供应商逐家回答磋商小组的提问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供应商作出最终承诺；</w:t>
      </w:r>
    </w:p>
    <w:p w14:paraId="3584F99A">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4.4磋商小组对商务技术响应文件进行评审；</w:t>
      </w:r>
    </w:p>
    <w:p w14:paraId="086BC26E">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4.5商务技术汇总后，供应商开启报价文件，进行磋商二次报价（最终报价），</w:t>
      </w:r>
      <w:r>
        <w:rPr>
          <w:rFonts w:hint="eastAsia" w:ascii="宋体" w:hAnsi="宋体" w:eastAsia="宋体" w:cs="宋体"/>
          <w:b/>
          <w:bCs/>
          <w:color w:val="auto"/>
          <w:sz w:val="24"/>
          <w:szCs w:val="24"/>
          <w:highlight w:val="none"/>
        </w:rPr>
        <w:t>如果供应商在规定时间30分钟内未提交第二次报价，视该供应商放弃本次投标，作无效标处理</w:t>
      </w:r>
      <w:r>
        <w:rPr>
          <w:rFonts w:hint="eastAsia" w:ascii="宋体" w:hAnsi="宋体" w:eastAsia="宋体" w:cs="宋体"/>
          <w:color w:val="auto"/>
          <w:sz w:val="24"/>
          <w:szCs w:val="24"/>
          <w:highlight w:val="none"/>
        </w:rPr>
        <w:t>；</w:t>
      </w:r>
    </w:p>
    <w:p w14:paraId="2059478E">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4.6在系统上开启最终报价情况；</w:t>
      </w:r>
    </w:p>
    <w:p w14:paraId="17AD0528">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4.7磋商小组对报价情况进行评审；</w:t>
      </w:r>
    </w:p>
    <w:p w14:paraId="6BC2FD36">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4.8在系统上公开资格和商务技术评审结果；</w:t>
      </w:r>
    </w:p>
    <w:p w14:paraId="016D89FC">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4.9在系统上公布评审结果。</w:t>
      </w:r>
    </w:p>
    <w:p w14:paraId="2C2A303D">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4.10开标会结束。</w:t>
      </w:r>
    </w:p>
    <w:p w14:paraId="3EFC7AFB">
      <w:pPr>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特别说明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政采云如对电子化开标及评审程序有调整的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按调整后的程序操作。</w:t>
      </w:r>
    </w:p>
    <w:p w14:paraId="3B51B6AD">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5.综合评分</w:t>
      </w:r>
    </w:p>
    <w:p w14:paraId="2DE94456">
      <w:pPr>
        <w:tabs>
          <w:tab w:val="left" w:pos="-1080"/>
          <w:tab w:val="left" w:pos="180"/>
          <w:tab w:val="left" w:pos="1080"/>
        </w:tabs>
        <w:snapToGrid w:val="0"/>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5.1本评标办法采用综合评标法，由商务技术分和报价分合计组成，其中商务技术分</w:t>
      </w:r>
      <w:r>
        <w:rPr>
          <w:rFonts w:hint="eastAsia" w:ascii="宋体" w:hAnsi="宋体" w:eastAsia="宋体" w:cs="宋体"/>
          <w:color w:val="auto"/>
          <w:sz w:val="24"/>
          <w:szCs w:val="24"/>
          <w:highlight w:val="none"/>
          <w:u w:val="single"/>
        </w:rPr>
        <w:t xml:space="preserve"> 80 </w:t>
      </w:r>
      <w:r>
        <w:rPr>
          <w:rFonts w:hint="eastAsia" w:ascii="宋体" w:hAnsi="宋体" w:eastAsia="宋体" w:cs="宋体"/>
          <w:color w:val="auto"/>
          <w:sz w:val="24"/>
          <w:szCs w:val="24"/>
          <w:highlight w:val="none"/>
        </w:rPr>
        <w:t>分、报价分</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分；满分为100分。</w:t>
      </w:r>
    </w:p>
    <w:p w14:paraId="6632B05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5.2经初步评审合格的响应文件，磋商小组根据竞争性磋商文件确定的评审标准和方法，对其商务技术部分作进一步评审、比较、打分。</w:t>
      </w:r>
    </w:p>
    <w:p w14:paraId="5B7A6B86">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70310145">
      <w:pPr>
        <w:pStyle w:val="17"/>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6、修正原则</w:t>
      </w:r>
    </w:p>
    <w:p w14:paraId="73BE4104">
      <w:pPr>
        <w:pStyle w:val="65"/>
        <w:spacing w:before="0" w:line="360" w:lineRule="auto"/>
        <w:ind w:left="420" w:leftChars="200" w:firstLine="0" w:firstLineChars="0"/>
        <w:rPr>
          <w:rFonts w:hint="eastAsia" w:ascii="宋体" w:hAnsi="宋体" w:eastAsia="宋体" w:cs="宋体"/>
          <w:color w:val="auto"/>
          <w:highlight w:val="none"/>
          <w:lang w:val="zh-CN"/>
        </w:rPr>
      </w:pP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文件报价出现前后不一致的，按照下列规定修正：</w:t>
      </w:r>
    </w:p>
    <w:p w14:paraId="21473FB5">
      <w:pPr>
        <w:pStyle w:val="65"/>
        <w:tabs>
          <w:tab w:val="left" w:pos="0"/>
        </w:tabs>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6.1响应</w:t>
      </w:r>
      <w:r>
        <w:rPr>
          <w:rFonts w:hint="eastAsia" w:ascii="宋体" w:hAnsi="宋体" w:eastAsia="宋体" w:cs="宋体"/>
          <w:color w:val="auto"/>
          <w:highlight w:val="none"/>
          <w:lang w:val="zh-CN"/>
        </w:rPr>
        <w:t>文件中</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一览表内容与</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文件中相应内容不一致的，以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一览表为准；</w:t>
      </w:r>
    </w:p>
    <w:p w14:paraId="1AB34D33">
      <w:pPr>
        <w:pStyle w:val="65"/>
        <w:tabs>
          <w:tab w:val="left" w:pos="0"/>
        </w:tabs>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6.2</w:t>
      </w:r>
      <w:r>
        <w:rPr>
          <w:rFonts w:hint="eastAsia" w:ascii="宋体" w:hAnsi="宋体" w:eastAsia="宋体" w:cs="宋体"/>
          <w:color w:val="auto"/>
          <w:highlight w:val="none"/>
          <w:lang w:val="zh-CN"/>
        </w:rPr>
        <w:t>大写金额和小写金额不一致的，以大写金额为准；</w:t>
      </w:r>
    </w:p>
    <w:p w14:paraId="09EC9732">
      <w:pPr>
        <w:pStyle w:val="65"/>
        <w:tabs>
          <w:tab w:val="left" w:pos="0"/>
        </w:tabs>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6.3</w:t>
      </w:r>
      <w:r>
        <w:rPr>
          <w:rFonts w:hint="eastAsia" w:ascii="宋体" w:hAnsi="宋体" w:eastAsia="宋体" w:cs="宋体"/>
          <w:color w:val="auto"/>
          <w:highlight w:val="none"/>
          <w:lang w:val="zh-CN"/>
        </w:rPr>
        <w:t>单价金额小数点或者百分比有明显错位的，以</w:t>
      </w:r>
      <w:r>
        <w:rPr>
          <w:rFonts w:hint="eastAsia" w:ascii="宋体" w:hAnsi="宋体" w:eastAsia="宋体" w:cs="宋体"/>
          <w:color w:val="auto"/>
          <w:highlight w:val="none"/>
        </w:rPr>
        <w:t>报价</w:t>
      </w:r>
      <w:r>
        <w:rPr>
          <w:rFonts w:hint="eastAsia" w:ascii="宋体" w:hAnsi="宋体" w:eastAsia="宋体" w:cs="宋体"/>
          <w:color w:val="auto"/>
          <w:highlight w:val="none"/>
          <w:lang w:val="zh-CN"/>
        </w:rPr>
        <w:t>一览表的总价为准，并修改单价；</w:t>
      </w:r>
    </w:p>
    <w:p w14:paraId="291631EC">
      <w:pPr>
        <w:pStyle w:val="65"/>
        <w:tabs>
          <w:tab w:val="left" w:pos="0"/>
        </w:tabs>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6.4</w:t>
      </w:r>
      <w:r>
        <w:rPr>
          <w:rFonts w:hint="eastAsia" w:ascii="宋体" w:hAnsi="宋体" w:eastAsia="宋体" w:cs="宋体"/>
          <w:color w:val="auto"/>
          <w:highlight w:val="none"/>
          <w:lang w:val="zh-CN"/>
        </w:rPr>
        <w:t>总价金额与按单价汇总金额不一致的，以单价金额计算结果为准。</w:t>
      </w:r>
    </w:p>
    <w:p w14:paraId="4C18FF23">
      <w:pPr>
        <w:pStyle w:val="65"/>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同时出现两种以上不一致的，按照前款规定的顺序修正。修正后的报价按照财政部公布第87号令 《政府采购</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lang w:val="zh-CN"/>
        </w:rPr>
        <w:t>和服务招标投标管理办法》第五十一条第二款的规定经</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确认后产生约束力，</w:t>
      </w:r>
      <w:r>
        <w:rPr>
          <w:rFonts w:hint="eastAsia" w:ascii="宋体" w:hAnsi="宋体" w:eastAsia="宋体" w:cs="宋体"/>
          <w:color w:val="auto"/>
          <w:highlight w:val="none"/>
        </w:rPr>
        <w:t>供应商</w:t>
      </w:r>
      <w:r>
        <w:rPr>
          <w:rFonts w:hint="eastAsia" w:ascii="宋体" w:hAnsi="宋体" w:eastAsia="宋体" w:cs="宋体"/>
          <w:color w:val="auto"/>
          <w:highlight w:val="none"/>
          <w:lang w:val="zh-CN"/>
        </w:rPr>
        <w:t>不确认的，其</w:t>
      </w:r>
      <w:r>
        <w:rPr>
          <w:rFonts w:hint="eastAsia" w:ascii="宋体" w:hAnsi="宋体" w:eastAsia="宋体" w:cs="宋体"/>
          <w:color w:val="auto"/>
          <w:highlight w:val="none"/>
        </w:rPr>
        <w:t>磋商</w:t>
      </w:r>
      <w:r>
        <w:rPr>
          <w:rFonts w:hint="eastAsia" w:ascii="宋体" w:hAnsi="宋体" w:eastAsia="宋体" w:cs="宋体"/>
          <w:color w:val="auto"/>
          <w:highlight w:val="none"/>
          <w:lang w:val="zh-CN"/>
        </w:rPr>
        <w:t>无效。</w:t>
      </w:r>
    </w:p>
    <w:p w14:paraId="5C8108F1">
      <w:pPr>
        <w:pStyle w:val="17"/>
        <w:spacing w:line="360" w:lineRule="auto"/>
        <w:ind w:left="420" w:left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7、响应文件的澄清</w:t>
      </w:r>
    </w:p>
    <w:p w14:paraId="714ABA2D">
      <w:pPr>
        <w:pStyle w:val="65"/>
        <w:tabs>
          <w:tab w:val="left" w:pos="0"/>
        </w:tabs>
        <w:spacing w:before="0"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7.1</w:t>
      </w:r>
      <w:r>
        <w:rPr>
          <w:rFonts w:hint="eastAsia" w:ascii="宋体" w:hAnsi="宋体" w:eastAsia="宋体" w:cs="宋体"/>
          <w:color w:val="auto"/>
          <w:highlight w:val="none"/>
          <w:lang w:val="zh-CN"/>
        </w:rPr>
        <w:t>评审中因</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文件含义不明、表述不一致或有明显计算错误等内容需要供应商作出澄清、说明或者补正的，</w:t>
      </w:r>
      <w:r>
        <w:rPr>
          <w:rFonts w:hint="eastAsia" w:ascii="宋体" w:hAnsi="宋体" w:eastAsia="宋体" w:cs="宋体"/>
          <w:color w:val="auto"/>
          <w:highlight w:val="none"/>
        </w:rPr>
        <w:t>磋商小组</w:t>
      </w:r>
      <w:r>
        <w:rPr>
          <w:rFonts w:hint="eastAsia" w:ascii="宋体" w:hAnsi="宋体" w:eastAsia="宋体" w:cs="宋体"/>
          <w:color w:val="auto"/>
          <w:highlight w:val="none"/>
          <w:lang w:val="zh-CN"/>
        </w:rPr>
        <w:t>和供应商应当通过政采云平台交换数据电文，给予供应商提交澄清说明或补正的时间不少于半小时，供应商已经明确表示澄清说明或补正完毕的除外。</w:t>
      </w:r>
    </w:p>
    <w:p w14:paraId="24AC3A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供应商通过政采云平台交换的数据电文必须进行电子签章。</w:t>
      </w:r>
    </w:p>
    <w:p w14:paraId="02C833C8">
      <w:pPr>
        <w:pStyle w:val="5"/>
        <w:numPr>
          <w:ilvl w:val="0"/>
          <w:numId w:val="16"/>
        </w:num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80" w:name="_Toc32378"/>
      <w:bookmarkStart w:id="81" w:name="_Toc12816"/>
      <w:r>
        <w:rPr>
          <w:rFonts w:hint="eastAsia" w:ascii="宋体" w:hAnsi="宋体" w:eastAsia="宋体" w:cs="宋体"/>
          <w:color w:val="auto"/>
          <w:highlight w:val="none"/>
        </w:rPr>
        <w:t>注意事项</w:t>
      </w:r>
      <w:bookmarkEnd w:id="80"/>
      <w:bookmarkEnd w:id="81"/>
    </w:p>
    <w:p w14:paraId="03EBB5E5">
      <w:pPr>
        <w:pStyle w:val="1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289CE813">
      <w:pPr>
        <w:pStyle w:val="5"/>
        <w:numPr>
          <w:ilvl w:val="0"/>
          <w:numId w:val="17"/>
        </w:num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82" w:name="_Toc13782"/>
      <w:bookmarkStart w:id="83" w:name="_Toc32205"/>
      <w:r>
        <w:rPr>
          <w:rFonts w:hint="eastAsia" w:ascii="宋体" w:hAnsi="宋体" w:eastAsia="宋体" w:cs="宋体"/>
          <w:color w:val="auto"/>
          <w:highlight w:val="none"/>
        </w:rPr>
        <w:t>评分细则</w:t>
      </w:r>
      <w:bookmarkEnd w:id="82"/>
      <w:bookmarkEnd w:id="83"/>
    </w:p>
    <w:p w14:paraId="05633D6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一、报价文件评分标准（</w:t>
      </w:r>
      <w:r>
        <w:rPr>
          <w:rFonts w:hint="eastAsia" w:ascii="宋体" w:hAnsi="宋体" w:eastAsia="宋体" w:cs="宋体"/>
          <w:b/>
          <w:bCs/>
          <w:color w:val="auto"/>
          <w:sz w:val="24"/>
          <w:szCs w:val="24"/>
          <w:highlight w:val="none"/>
          <w:u w:val="single"/>
        </w:rPr>
        <w:t xml:space="preserve">20 </w:t>
      </w:r>
      <w:r>
        <w:rPr>
          <w:rFonts w:hint="eastAsia" w:ascii="宋体" w:hAnsi="宋体" w:eastAsia="宋体" w:cs="宋体"/>
          <w:b/>
          <w:bCs/>
          <w:color w:val="auto"/>
          <w:sz w:val="24"/>
          <w:szCs w:val="24"/>
          <w:highlight w:val="none"/>
        </w:rPr>
        <w:t>分）</w:t>
      </w:r>
    </w:p>
    <w:p w14:paraId="48D87DD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报价文件主要是对供应商的有效报价进行评议，其评分标准及分值设置规则如下：</w:t>
      </w:r>
    </w:p>
    <w:p w14:paraId="3C9BEA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1、本次采购最高限价规定如下：</w:t>
      </w:r>
    </w:p>
    <w:p w14:paraId="449C5764">
      <w:pPr>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rPr>
        <w:t>本项目投标报价的最高限价</w:t>
      </w:r>
      <w:r>
        <w:rPr>
          <w:rFonts w:hint="eastAsia" w:ascii="宋体" w:hAnsi="宋体" w:eastAsia="宋体" w:cs="宋体"/>
          <w:b/>
          <w:bCs/>
          <w:color w:val="auto"/>
          <w:sz w:val="24"/>
          <w:szCs w:val="24"/>
          <w:highlight w:val="none"/>
        </w:rPr>
        <w:t>为人民币</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柒拾万</w:t>
      </w:r>
      <w:r>
        <w:rPr>
          <w:rFonts w:hint="eastAsia" w:ascii="宋体" w:hAnsi="宋体" w:eastAsia="宋体" w:cs="宋体"/>
          <w:b/>
          <w:bCs/>
          <w:color w:val="auto"/>
          <w:sz w:val="24"/>
          <w:szCs w:val="24"/>
          <w:highlight w:val="none"/>
          <w:u w:val="single"/>
        </w:rPr>
        <w:t xml:space="preserve">元整 </w:t>
      </w:r>
      <w:r>
        <w:rPr>
          <w:rFonts w:hint="eastAsia" w:ascii="宋体" w:hAnsi="宋体" w:eastAsia="宋体" w:cs="宋体"/>
          <w:b/>
          <w:bCs/>
          <w:color w:val="auto"/>
          <w:sz w:val="24"/>
          <w:szCs w:val="24"/>
          <w:highlight w:val="none"/>
        </w:rPr>
        <w:t>（小写</w:t>
      </w:r>
      <w:r>
        <w:rPr>
          <w:rFonts w:hint="eastAsia" w:ascii="宋体" w:hAnsi="宋体" w:cs="宋体"/>
          <w:b/>
          <w:bCs/>
          <w:color w:val="auto"/>
          <w:sz w:val="24"/>
          <w:szCs w:val="24"/>
          <w:highlight w:val="none"/>
          <w:u w:val="single"/>
          <w:lang w:val="en-US" w:eastAsia="zh-CN"/>
        </w:rPr>
        <w:t>70</w:t>
      </w:r>
      <w:r>
        <w:rPr>
          <w:rFonts w:hint="eastAsia" w:ascii="宋体" w:hAnsi="宋体" w:eastAsia="宋体" w:cs="宋体"/>
          <w:b/>
          <w:bCs/>
          <w:color w:val="auto"/>
          <w:sz w:val="24"/>
          <w:szCs w:val="24"/>
          <w:highlight w:val="none"/>
          <w:u w:val="single"/>
          <w:lang w:val="en-US" w:eastAsia="zh-CN"/>
        </w:rPr>
        <w:t>0</w:t>
      </w:r>
      <w:r>
        <w:rPr>
          <w:rFonts w:hint="eastAsia" w:ascii="宋体" w:hAnsi="宋体" w:eastAsia="宋体" w:cs="宋体"/>
          <w:b/>
          <w:bCs/>
          <w:color w:val="auto"/>
          <w:sz w:val="24"/>
          <w:szCs w:val="24"/>
          <w:highlight w:val="none"/>
          <w:u w:val="single"/>
        </w:rPr>
        <w:t xml:space="preserve">000.00 </w:t>
      </w:r>
      <w:r>
        <w:rPr>
          <w:rFonts w:hint="eastAsia" w:ascii="宋体" w:hAnsi="宋体" w:eastAsia="宋体" w:cs="宋体"/>
          <w:b/>
          <w:bCs/>
          <w:color w:val="auto"/>
          <w:sz w:val="24"/>
          <w:szCs w:val="24"/>
          <w:highlight w:val="none"/>
        </w:rPr>
        <w:t>元）。</w:t>
      </w:r>
    </w:p>
    <w:p w14:paraId="4CDBB0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2、供应商的报价在最高限价内的，为有效报价。</w:t>
      </w:r>
    </w:p>
    <w:p w14:paraId="70B46B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3、本次评标设有最佳报价。最佳报价确定方式：根据所有入围供应商有效报价中的最低报价作为最佳报价。</w:t>
      </w:r>
    </w:p>
    <w:p w14:paraId="62F0E9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4、最佳报价者的报价分为满分，其他供应商的有效报价与最佳报价相比，按下列方法计算其报价分：</w:t>
      </w:r>
    </w:p>
    <w:p w14:paraId="71800FC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投标价格分=(最佳报价/投标报价)*价格权值*100。</w:t>
      </w:r>
    </w:p>
    <w:p w14:paraId="3C911AE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5、当报价一览表与磋商报价明细表报价不一致时，以报价一览表为准，磋商报价明细表报价予以修正并由授权代表签字确认，拒绝修正或确认的，则做无效标处理。</w:t>
      </w:r>
    </w:p>
    <w:p w14:paraId="2F0BEB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6、响应文件只允许有一个报价，磋商报价应按磋商文件中相关附表格式填报，该磋商报价应与明细报价汇总相等，且不允许出现报价优惠、赠送等字样（明细出现“0”元，视同赠送）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如出现则做</w:t>
      </w:r>
      <w:r>
        <w:rPr>
          <w:rFonts w:hint="eastAsia" w:ascii="宋体" w:hAnsi="宋体" w:eastAsia="宋体" w:cs="宋体"/>
          <w:b/>
          <w:bCs/>
          <w:color w:val="auto"/>
          <w:sz w:val="24"/>
          <w:szCs w:val="24"/>
          <w:highlight w:val="none"/>
        </w:rPr>
        <w:t>无效响应</w:t>
      </w:r>
      <w:r>
        <w:rPr>
          <w:rFonts w:hint="eastAsia" w:ascii="宋体" w:hAnsi="宋体" w:eastAsia="宋体" w:cs="宋体"/>
          <w:color w:val="auto"/>
          <w:sz w:val="24"/>
          <w:szCs w:val="24"/>
          <w:highlight w:val="none"/>
        </w:rPr>
        <w:t>处理。</w:t>
      </w:r>
    </w:p>
    <w:p w14:paraId="60FA7EA3">
      <w:pPr>
        <w:autoSpaceDE w:val="0"/>
        <w:autoSpaceDN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b/>
          <w:bCs/>
          <w:color w:val="auto"/>
          <w:sz w:val="24"/>
          <w:szCs w:val="24"/>
          <w:highlight w:val="none"/>
        </w:rPr>
        <w:t>投标价格的合理性</w:t>
      </w:r>
      <w:r>
        <w:rPr>
          <w:rFonts w:hint="eastAsia" w:ascii="宋体" w:hAnsi="宋体" w:eastAsia="宋体" w:cs="宋体"/>
          <w:color w:val="auto"/>
          <w:sz w:val="24"/>
          <w:szCs w:val="24"/>
          <w:highlight w:val="none"/>
        </w:rPr>
        <w:t>：评标委员会认为供应商的报价明显低于其他通过符合性审</w:t>
      </w:r>
      <w:r>
        <w:rPr>
          <w:rFonts w:hint="eastAsia" w:ascii="宋体" w:hAnsi="宋体" w:cs="宋体"/>
          <w:color w:val="auto"/>
          <w:sz w:val="24"/>
          <w:szCs w:val="24"/>
          <w:highlight w:val="none"/>
          <w:lang w:eastAsia="zh-CN"/>
        </w:rPr>
        <w:t>查的</w:t>
      </w:r>
      <w:r>
        <w:rPr>
          <w:rFonts w:hint="eastAsia" w:ascii="宋体" w:hAnsi="宋体" w:eastAsia="宋体" w:cs="宋体"/>
          <w:color w:val="auto"/>
          <w:sz w:val="24"/>
          <w:szCs w:val="24"/>
          <w:highlight w:val="none"/>
        </w:rPr>
        <w:t>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6948DAE1">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rPr>
        <w:t>8、价格扣除：</w:t>
      </w:r>
      <w:r>
        <w:rPr>
          <w:rFonts w:hint="eastAsia" w:ascii="宋体" w:hAnsi="宋体" w:eastAsia="宋体" w:cs="宋体"/>
          <w:color w:val="auto"/>
          <w:sz w:val="24"/>
          <w:szCs w:val="21"/>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03F53BD6">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符合中小企业划分标准的个体工商户，在政府采购活动中视同中小企业。</w:t>
      </w:r>
    </w:p>
    <w:p w14:paraId="15BDB77A">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769C94CF">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在服务采购项目中，服务由小微企业承接，即提供服务的人员为小微企业依照《中华人民共和国劳动合同法》订立劳动合同的从业人员。</w:t>
      </w:r>
    </w:p>
    <w:p w14:paraId="5A0F9DA7">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联合体各方均为小型、微型企业的，联合体视同为小型、微型企业。</w:t>
      </w:r>
    </w:p>
    <w:p w14:paraId="3C3FFE60">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符合上述条件的中小微型企业应按照</w:t>
      </w:r>
      <w:r>
        <w:rPr>
          <w:rFonts w:hint="eastAsia" w:ascii="宋体" w:hAnsi="宋体" w:eastAsia="宋体" w:cs="宋体"/>
          <w:color w:val="auto"/>
          <w:sz w:val="24"/>
          <w:szCs w:val="21"/>
          <w:highlight w:val="none"/>
          <w:lang w:eastAsia="zh-CN"/>
        </w:rPr>
        <w:t>磋商文件</w:t>
      </w:r>
      <w:r>
        <w:rPr>
          <w:rFonts w:hint="eastAsia" w:ascii="宋体" w:hAnsi="宋体" w:eastAsia="宋体" w:cs="宋体"/>
          <w:color w:val="auto"/>
          <w:sz w:val="24"/>
          <w:szCs w:val="21"/>
          <w:highlight w:val="none"/>
        </w:rPr>
        <w:t>附件的格式要求提供《中小企业声明函》。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1D8383D">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062E8D6E">
      <w:pPr>
        <w:spacing w:line="360" w:lineRule="auto"/>
        <w:ind w:firstLine="480" w:firstLineChars="200"/>
        <w:rPr>
          <w:rFonts w:hint="eastAsia"/>
          <w:highlight w:val="none"/>
        </w:rPr>
      </w:pPr>
      <w:r>
        <w:rPr>
          <w:rFonts w:hint="eastAsia" w:ascii="宋体" w:hAnsi="宋体" w:eastAsia="宋体" w:cs="宋体"/>
          <w:color w:val="auto"/>
          <w:sz w:val="24"/>
          <w:szCs w:val="21"/>
          <w:highlight w:val="none"/>
        </w:rPr>
        <w:t>组成联合体或者接受分包的小微企业与联合体内其他企业、分包企业之间存在直接控股、管理关系的，不享受价格扣除优惠政策。</w:t>
      </w:r>
    </w:p>
    <w:p w14:paraId="7D813FB5">
      <w:pPr>
        <w:numPr>
          <w:ilvl w:val="0"/>
          <w:numId w:val="18"/>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商务技术文件评标内容及标准（</w:t>
      </w:r>
      <w:r>
        <w:rPr>
          <w:rFonts w:hint="eastAsia" w:ascii="宋体" w:hAnsi="宋体" w:eastAsia="宋体" w:cs="宋体"/>
          <w:b/>
          <w:bCs/>
          <w:color w:val="auto"/>
          <w:sz w:val="24"/>
          <w:szCs w:val="24"/>
          <w:highlight w:val="none"/>
          <w:u w:val="single"/>
        </w:rPr>
        <w:t xml:space="preserve"> 80 </w:t>
      </w:r>
      <w:r>
        <w:rPr>
          <w:rFonts w:hint="eastAsia" w:ascii="宋体" w:hAnsi="宋体" w:eastAsia="宋体" w:cs="宋体"/>
          <w:b/>
          <w:bCs/>
          <w:color w:val="auto"/>
          <w:sz w:val="24"/>
          <w:szCs w:val="24"/>
          <w:highlight w:val="none"/>
        </w:rPr>
        <w:t>分）</w:t>
      </w:r>
    </w:p>
    <w:p w14:paraId="3475EC2C">
      <w:pPr>
        <w:numPr>
          <w:ilvl w:val="0"/>
          <w:numId w:val="19"/>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tbl>
      <w:tblPr>
        <w:tblStyle w:val="31"/>
        <w:tblW w:w="5073" w:type="pct"/>
        <w:jc w:val="center"/>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98"/>
        <w:gridCol w:w="1155"/>
        <w:gridCol w:w="5696"/>
        <w:gridCol w:w="869"/>
      </w:tblGrid>
      <w:tr w14:paraId="7737CD87">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1191" w:type="pct"/>
            <w:gridSpan w:val="2"/>
            <w:tcBorders>
              <w:top w:val="single" w:color="000000" w:sz="4" w:space="0"/>
              <w:left w:val="single" w:color="000000" w:sz="8" w:space="0"/>
              <w:bottom w:val="single" w:color="000000" w:sz="4" w:space="0"/>
              <w:right w:val="single" w:color="000000" w:sz="4" w:space="0"/>
            </w:tcBorders>
            <w:shd w:val="clear" w:color="auto" w:fill="FFFFFF"/>
            <w:vAlign w:val="center"/>
          </w:tcPr>
          <w:p w14:paraId="650C39BB">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评审内容</w:t>
            </w:r>
          </w:p>
        </w:tc>
        <w:tc>
          <w:tcPr>
            <w:tcW w:w="3304"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18447E1">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评分标准</w:t>
            </w:r>
          </w:p>
        </w:tc>
        <w:tc>
          <w:tcPr>
            <w:tcW w:w="504" w:type="pct"/>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219602F2">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分值</w:t>
            </w:r>
          </w:p>
        </w:tc>
      </w:tr>
      <w:tr w14:paraId="4DCBB5C1">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521" w:type="pct"/>
            <w:vMerge w:val="restart"/>
            <w:tcBorders>
              <w:top w:val="single" w:color="000000" w:sz="4" w:space="0"/>
              <w:left w:val="single" w:color="000000" w:sz="8" w:space="0"/>
              <w:right w:val="single" w:color="000000" w:sz="4" w:space="0"/>
            </w:tcBorders>
            <w:shd w:val="clear" w:color="auto" w:fill="FFFFFF"/>
            <w:tcMar>
              <w:top w:w="80" w:type="dxa"/>
              <w:left w:w="80" w:type="dxa"/>
              <w:bottom w:w="80" w:type="dxa"/>
              <w:right w:w="80" w:type="dxa"/>
            </w:tcMar>
            <w:vAlign w:val="center"/>
          </w:tcPr>
          <w:p w14:paraId="42E6FC29">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p>
          <w:p w14:paraId="6A8DE9D7">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p>
          <w:p w14:paraId="2FCF5FCB">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p>
          <w:p w14:paraId="6EF9BE34">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p>
          <w:p w14:paraId="72ACA5F4">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p>
          <w:p w14:paraId="785463DD">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p>
          <w:p w14:paraId="6F85E99B">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p>
          <w:p w14:paraId="2145FD5B">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p>
          <w:p w14:paraId="632004F9">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技术</w:t>
            </w:r>
          </w:p>
          <w:p w14:paraId="776F28FA">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（78）</w:t>
            </w:r>
          </w:p>
        </w:tc>
        <w:tc>
          <w:tcPr>
            <w:tcW w:w="670" w:type="pct"/>
            <w:vMerge w:val="restart"/>
            <w:tcBorders>
              <w:top w:val="single" w:color="000000" w:sz="4" w:space="0"/>
              <w:left w:val="single" w:color="000000" w:sz="4" w:space="0"/>
              <w:right w:val="single" w:color="000000" w:sz="4" w:space="0"/>
            </w:tcBorders>
            <w:shd w:val="clear" w:color="auto" w:fill="FFFFFF"/>
            <w:tcMar>
              <w:top w:w="80" w:type="dxa"/>
              <w:left w:w="80" w:type="dxa"/>
              <w:bottom w:w="80" w:type="dxa"/>
              <w:right w:w="80" w:type="dxa"/>
            </w:tcMar>
            <w:vAlign w:val="center"/>
          </w:tcPr>
          <w:p w14:paraId="21A93E08">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重难点分析</w:t>
            </w:r>
          </w:p>
        </w:tc>
        <w:tc>
          <w:tcPr>
            <w:tcW w:w="3304"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43A5C41">
            <w:pPr>
              <w:pStyle w:val="28"/>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根据供应商针对本项目特点提出的工作重点、难点分析进行综合评分。</w:t>
            </w:r>
          </w:p>
        </w:tc>
        <w:tc>
          <w:tcPr>
            <w:tcW w:w="504" w:type="pct"/>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2C53258C">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r>
      <w:tr w14:paraId="6B5A38FD">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521" w:type="pct"/>
            <w:vMerge w:val="continue"/>
            <w:tcBorders>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865C68C">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default"/>
              </w:rPr>
            </w:pPr>
          </w:p>
        </w:tc>
        <w:tc>
          <w:tcPr>
            <w:tcW w:w="670" w:type="pct"/>
            <w:vMerge w:val="continue"/>
            <w:tcBorders>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10725AA">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default"/>
              </w:rPr>
            </w:pPr>
          </w:p>
        </w:tc>
        <w:tc>
          <w:tcPr>
            <w:tcW w:w="3304"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2D22340">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left"/>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根据供应商针对重难点</w:t>
            </w:r>
            <w:r>
              <w:rPr>
                <w:rFonts w:hint="eastAsia" w:ascii="宋体" w:hAnsi="宋体" w:eastAsia="宋体" w:cs="宋体"/>
                <w:kern w:val="2"/>
                <w:sz w:val="21"/>
                <w:szCs w:val="21"/>
                <w:highlight w:val="none"/>
                <w:lang w:val="en-US" w:eastAsia="zh-CN" w:bidi="ar"/>
              </w:rPr>
              <w:t>提出的解决问题的对策与方案建议</w:t>
            </w:r>
            <w:r>
              <w:rPr>
                <w:rFonts w:hint="eastAsia" w:ascii="宋体" w:hAnsi="宋体" w:cs="宋体"/>
                <w:kern w:val="2"/>
                <w:sz w:val="21"/>
                <w:szCs w:val="21"/>
                <w:highlight w:val="none"/>
                <w:lang w:val="en-US" w:eastAsia="zh-CN" w:bidi="ar"/>
              </w:rPr>
              <w:t>进行综合打分。</w:t>
            </w:r>
          </w:p>
        </w:tc>
        <w:tc>
          <w:tcPr>
            <w:tcW w:w="504" w:type="pct"/>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77857D5A">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5分</w:t>
            </w:r>
          </w:p>
        </w:tc>
      </w:tr>
      <w:tr w14:paraId="384304DB">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521" w:type="pct"/>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473F26">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DC87997">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项目方案</w:t>
            </w:r>
          </w:p>
        </w:tc>
        <w:tc>
          <w:tcPr>
            <w:tcW w:w="3304"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66BA0E">
            <w:pPr>
              <w:pStyle w:val="28"/>
              <w:keepNext w:val="0"/>
              <w:keepLines w:val="0"/>
              <w:widowControl w:val="0"/>
              <w:suppressLineNumbers w:val="0"/>
              <w:autoSpaceDE w:val="0"/>
              <w:autoSpaceDN/>
              <w:adjustRightInd w:val="0"/>
              <w:spacing w:before="0" w:beforeAutospacing="0" w:after="0" w:afterAutospacing="0" w:line="312" w:lineRule="auto"/>
              <w:ind w:left="0" w:leftChars="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根据供应商结合本区工作实际，提供的主题宣传推广实施方案的合理性、可操作性进行综合打分。</w:t>
            </w:r>
          </w:p>
        </w:tc>
        <w:tc>
          <w:tcPr>
            <w:tcW w:w="504" w:type="pct"/>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64181308">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6分</w:t>
            </w:r>
          </w:p>
        </w:tc>
      </w:tr>
      <w:tr w14:paraId="7A5C1CC6">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521" w:type="pct"/>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33BDFEC">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DDBC27E">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16C734">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根据供应商提供的主题宣传推广的内容包括采购人的重点工作、重要活动等进行综合打分。</w:t>
            </w:r>
          </w:p>
        </w:tc>
        <w:tc>
          <w:tcPr>
            <w:tcW w:w="504" w:type="pct"/>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35D5AB64">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6分</w:t>
            </w:r>
          </w:p>
        </w:tc>
      </w:tr>
      <w:tr w14:paraId="1107F9A7">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521" w:type="pct"/>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524B10">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E257146">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E5574C9">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根据供应商提供的宣传活动的方式的多样性，包括信息发布、媒体采风等进行综合打分。</w:t>
            </w:r>
          </w:p>
        </w:tc>
        <w:tc>
          <w:tcPr>
            <w:tcW w:w="504" w:type="pct"/>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21318F68">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6分</w:t>
            </w:r>
          </w:p>
        </w:tc>
      </w:tr>
      <w:tr w14:paraId="778E240A">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52" w:hRule="atLeast"/>
          <w:jc w:val="center"/>
        </w:trPr>
        <w:tc>
          <w:tcPr>
            <w:tcW w:w="521" w:type="pct"/>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F69E1AC">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1942C8">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供应商优势</w:t>
            </w:r>
          </w:p>
        </w:tc>
        <w:tc>
          <w:tcPr>
            <w:tcW w:w="3304" w:type="pct"/>
            <w:tcBorders>
              <w:top w:val="single" w:color="000000" w:sz="4" w:space="0"/>
              <w:left w:val="single" w:color="000000" w:sz="4" w:space="0"/>
              <w:right w:val="single" w:color="000000" w:sz="4" w:space="0"/>
            </w:tcBorders>
            <w:shd w:val="clear" w:color="auto" w:fill="FFFFFF"/>
            <w:tcMar>
              <w:top w:w="80" w:type="dxa"/>
              <w:left w:w="80" w:type="dxa"/>
              <w:bottom w:w="80" w:type="dxa"/>
              <w:right w:w="80" w:type="dxa"/>
            </w:tcMar>
            <w:vAlign w:val="center"/>
          </w:tcPr>
          <w:p w14:paraId="339B89BF">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供应商应详尽阐述本公司的优势，如:策划执行优势、对接国家省市区各级媒体优势合理情况进行综合打分。</w:t>
            </w:r>
          </w:p>
        </w:tc>
        <w:tc>
          <w:tcPr>
            <w:tcW w:w="504" w:type="pct"/>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211380CC">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r>
      <w:tr w14:paraId="7081995C">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73" w:hRule="atLeast"/>
          <w:jc w:val="center"/>
        </w:trPr>
        <w:tc>
          <w:tcPr>
            <w:tcW w:w="521" w:type="pct"/>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5EB182">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100207">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服务质量</w:t>
            </w:r>
          </w:p>
        </w:tc>
        <w:tc>
          <w:tcPr>
            <w:tcW w:w="3304"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FB498F">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根据供应商</w:t>
            </w:r>
            <w:r>
              <w:rPr>
                <w:rFonts w:hint="eastAsia" w:ascii="宋体" w:hAnsi="宋体" w:eastAsia="宋体" w:cs="宋体"/>
                <w:kern w:val="2"/>
                <w:sz w:val="21"/>
                <w:szCs w:val="21"/>
                <w:highlight w:val="none"/>
                <w:lang w:val="en-US" w:eastAsia="zh-CN" w:bidi="ar"/>
              </w:rPr>
              <w:t>服务质量体系完善程度，有完整的服务链，设计、编辑、排版、校对等均有专业技术人员负责，有详细的人员责任分工，进行综合打分。</w:t>
            </w:r>
          </w:p>
        </w:tc>
        <w:tc>
          <w:tcPr>
            <w:tcW w:w="504" w:type="pct"/>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11D24DB4">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r>
      <w:tr w14:paraId="770800AD">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82" w:hRule="atLeast"/>
          <w:jc w:val="center"/>
        </w:trPr>
        <w:tc>
          <w:tcPr>
            <w:tcW w:w="521" w:type="pct"/>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74F222">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BDBCE0">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团队实力</w:t>
            </w:r>
          </w:p>
        </w:tc>
        <w:tc>
          <w:tcPr>
            <w:tcW w:w="3304"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BC2DBF3">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根据供应商拟投入项目负责人的实力情况进行综合打分，需提供学历证书、人员证书、近</w:t>
            </w:r>
            <w:r>
              <w:rPr>
                <w:rFonts w:hint="eastAsia" w:ascii="宋体" w:hAnsi="宋体" w:cs="宋体"/>
                <w:kern w:val="2"/>
                <w:sz w:val="21"/>
                <w:szCs w:val="21"/>
                <w:highlight w:val="none"/>
                <w:lang w:val="en-US" w:eastAsia="zh-CN" w:bidi="ar"/>
              </w:rPr>
              <w:t>期</w:t>
            </w:r>
            <w:r>
              <w:rPr>
                <w:rFonts w:hint="eastAsia" w:ascii="宋体" w:hAnsi="宋体" w:eastAsia="宋体" w:cs="宋体"/>
                <w:kern w:val="2"/>
                <w:sz w:val="21"/>
                <w:szCs w:val="21"/>
                <w:highlight w:val="none"/>
                <w:lang w:val="en-US" w:eastAsia="zh-CN" w:bidi="ar"/>
              </w:rPr>
              <w:t>社保证明等复印件并加盖投标人公章。</w:t>
            </w:r>
          </w:p>
        </w:tc>
        <w:tc>
          <w:tcPr>
            <w:tcW w:w="504" w:type="pct"/>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07DC9EC8">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r>
      <w:tr w14:paraId="6148CCCC">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66" w:hRule="atLeast"/>
          <w:jc w:val="center"/>
        </w:trPr>
        <w:tc>
          <w:tcPr>
            <w:tcW w:w="521" w:type="pct"/>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D0171D">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7AD40">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p>
        </w:tc>
        <w:tc>
          <w:tcPr>
            <w:tcW w:w="3304"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EAA6D15">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根据供应商拟投入的其他项目组成员的实力及构成情况进行综合打分，需提供人员名单、职务、学历证书、人员证书、</w:t>
            </w:r>
            <w:r>
              <w:rPr>
                <w:rFonts w:hint="eastAsia" w:ascii="宋体" w:hAnsi="宋体" w:cs="宋体"/>
                <w:kern w:val="2"/>
                <w:sz w:val="21"/>
                <w:szCs w:val="21"/>
                <w:highlight w:val="none"/>
                <w:lang w:val="en-US" w:eastAsia="zh-CN" w:bidi="ar"/>
              </w:rPr>
              <w:t>近期</w:t>
            </w:r>
            <w:r>
              <w:rPr>
                <w:rFonts w:hint="eastAsia" w:ascii="宋体" w:hAnsi="宋体" w:eastAsia="宋体" w:cs="宋体"/>
                <w:kern w:val="2"/>
                <w:sz w:val="21"/>
                <w:szCs w:val="21"/>
                <w:highlight w:val="none"/>
                <w:lang w:val="en-US" w:eastAsia="zh-CN" w:bidi="ar"/>
              </w:rPr>
              <w:t>社保证明等并加盖投标人公章。</w:t>
            </w:r>
          </w:p>
        </w:tc>
        <w:tc>
          <w:tcPr>
            <w:tcW w:w="504" w:type="pct"/>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4FBA817F">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r>
      <w:tr w14:paraId="027ECB18">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521" w:type="pct"/>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41A1387">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5A43F">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进度计划</w:t>
            </w:r>
          </w:p>
        </w:tc>
        <w:tc>
          <w:tcPr>
            <w:tcW w:w="3304"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0B891F0">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根据供应商提供的针对本项目的组织和实施计划（包括进度计划、进度保障措施、关键节点把握），进行综合打分。</w:t>
            </w:r>
          </w:p>
        </w:tc>
        <w:tc>
          <w:tcPr>
            <w:tcW w:w="504" w:type="pct"/>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3B4935A6">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r>
      <w:tr w14:paraId="01271375">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83" w:hRule="atLeast"/>
          <w:jc w:val="center"/>
        </w:trPr>
        <w:tc>
          <w:tcPr>
            <w:tcW w:w="521" w:type="pct"/>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6F0723C">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BE7F4">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质量保证措施</w:t>
            </w:r>
          </w:p>
        </w:tc>
        <w:tc>
          <w:tcPr>
            <w:tcW w:w="3304"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7D6AE5">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根据供应商提供的服务质量保证方案，包括是否提供切实可行的服务质量保证措施，是否具备科学性、合理性、可操作性，是否确保项目有质量完成等情况，进行综合打分。</w:t>
            </w:r>
          </w:p>
        </w:tc>
        <w:tc>
          <w:tcPr>
            <w:tcW w:w="504" w:type="pct"/>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4CEB7368">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r>
      <w:tr w14:paraId="74677CA4">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521" w:type="pct"/>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46DE503">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43300">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合理化建议</w:t>
            </w:r>
          </w:p>
        </w:tc>
        <w:tc>
          <w:tcPr>
            <w:tcW w:w="3304"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AA261F6">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根据供应商提出的其它有助提高项目可行性建议进行综合打分。</w:t>
            </w:r>
          </w:p>
        </w:tc>
        <w:tc>
          <w:tcPr>
            <w:tcW w:w="504" w:type="pct"/>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5D4C431E">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r>
      <w:tr w14:paraId="5DFFA8EA">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521" w:type="pct"/>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242B522">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6A5F4">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保密措施</w:t>
            </w:r>
          </w:p>
        </w:tc>
        <w:tc>
          <w:tcPr>
            <w:tcW w:w="3304"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4AC03C">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根据供应商提供的针对服务过程中的研究资料、成果等涉及的保密制度及措施方案，进行综合打分。</w:t>
            </w:r>
          </w:p>
        </w:tc>
        <w:tc>
          <w:tcPr>
            <w:tcW w:w="504" w:type="pct"/>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0F6E5595">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r>
      <w:tr w14:paraId="5FD8E89F">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521" w:type="pct"/>
            <w:vMerge w:val="continue"/>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6E342BE">
            <w:pPr>
              <w:keepNext w:val="0"/>
              <w:keepLines w:val="0"/>
              <w:suppressLineNumbers w:val="0"/>
              <w:spacing w:before="0" w:beforeAutospacing="0" w:after="0" w:afterAutospacing="0"/>
              <w:ind w:left="0" w:right="0"/>
              <w:rPr>
                <w:rFonts w:hint="eastAsia" w:ascii="宋体" w:hAnsi="宋体" w:eastAsia="宋体" w:cs="宋体"/>
                <w:sz w:val="21"/>
                <w:szCs w:val="21"/>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1A24E">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left"/>
              <w:rPr>
                <w:rFonts w:hint="eastAsia" w:ascii="宋体" w:hAnsi="宋体" w:eastAsia="宋体" w:cs="宋体"/>
                <w:kern w:val="2"/>
                <w:sz w:val="21"/>
                <w:szCs w:val="21"/>
                <w:highlight w:val="none"/>
              </w:rPr>
            </w:pPr>
            <w:r>
              <w:rPr>
                <w:rFonts w:hint="eastAsia" w:ascii="宋体" w:hAnsi="宋体" w:cs="宋体"/>
                <w:kern w:val="2"/>
                <w:sz w:val="21"/>
                <w:szCs w:val="21"/>
                <w:highlight w:val="none"/>
                <w:lang w:val="en-US" w:eastAsia="zh-CN" w:bidi="ar"/>
              </w:rPr>
              <w:t>验收方案</w:t>
            </w:r>
          </w:p>
        </w:tc>
        <w:tc>
          <w:tcPr>
            <w:tcW w:w="3304"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88AE5C">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left"/>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根据供应商提供的项目拟验收方案的全面性等进行综合打分。</w:t>
            </w:r>
          </w:p>
        </w:tc>
        <w:tc>
          <w:tcPr>
            <w:tcW w:w="504" w:type="pct"/>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2F7EE6E8">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5分</w:t>
            </w:r>
          </w:p>
        </w:tc>
      </w:tr>
      <w:tr w14:paraId="2B4DB5D3">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521" w:type="pct"/>
            <w:vMerge w:val="restart"/>
            <w:tcBorders>
              <w:top w:val="single" w:color="000000" w:sz="4" w:space="0"/>
              <w:left w:val="single" w:color="000000" w:sz="8" w:space="0"/>
              <w:right w:val="single" w:color="000000" w:sz="4" w:space="0"/>
            </w:tcBorders>
            <w:shd w:val="clear" w:color="auto" w:fill="auto"/>
            <w:vAlign w:val="center"/>
          </w:tcPr>
          <w:p w14:paraId="3AB5B447">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资信（</w:t>
            </w:r>
            <w:r>
              <w:rPr>
                <w:rFonts w:hint="eastAsia" w:ascii="宋体" w:hAnsi="宋体" w:cs="宋体"/>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分）</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3F1D">
            <w:pPr>
              <w:keepNext w:val="0"/>
              <w:keepLines w:val="0"/>
              <w:widowControl w:val="0"/>
              <w:suppressLineNumbers w:val="0"/>
              <w:autoSpaceDE w:val="0"/>
              <w:autoSpaceDN/>
              <w:spacing w:before="0" w:beforeAutospacing="0" w:after="0" w:afterAutospacing="0" w:line="312" w:lineRule="auto"/>
              <w:ind w:left="0" w:leftChars="0" w:right="0" w:rightChars="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类似业绩</w:t>
            </w:r>
          </w:p>
        </w:tc>
        <w:tc>
          <w:tcPr>
            <w:tcW w:w="3304"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361D3C">
            <w:pPr>
              <w:keepNext w:val="0"/>
              <w:keepLines w:val="0"/>
              <w:widowControl w:val="0"/>
              <w:suppressLineNumbers w:val="0"/>
              <w:autoSpaceDE w:val="0"/>
              <w:autoSpaceDN/>
              <w:spacing w:before="0" w:beforeAutospacing="0" w:after="0" w:afterAutospacing="0" w:line="312" w:lineRule="auto"/>
              <w:ind w:left="0" w:leftChars="0" w:right="0" w:rightChars="0" w:firstLine="0" w:firstLineChars="0"/>
              <w:jc w:val="both"/>
              <w:rPr>
                <w:rFonts w:hint="eastAsia" w:ascii="宋体" w:hAnsi="宋体" w:eastAsia="宋体" w:cs="宋体"/>
                <w:kern w:val="2"/>
                <w:sz w:val="21"/>
                <w:szCs w:val="21"/>
                <w:highlight w:val="none"/>
              </w:rPr>
            </w:pPr>
            <w:r>
              <w:rPr>
                <w:rFonts w:hint="eastAsia" w:ascii="宋体" w:hAnsi="宋体" w:eastAsia="宋体" w:cs="宋体"/>
                <w:b/>
                <w:bCs/>
                <w:kern w:val="2"/>
                <w:sz w:val="21"/>
                <w:szCs w:val="21"/>
                <w:highlight w:val="none"/>
                <w:lang w:val="en-US" w:eastAsia="zh-CN" w:bidi="ar"/>
              </w:rPr>
              <w:t>详见商务要求表</w:t>
            </w:r>
          </w:p>
        </w:tc>
        <w:tc>
          <w:tcPr>
            <w:tcW w:w="504" w:type="pct"/>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43E3D140">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2分</w:t>
            </w:r>
          </w:p>
        </w:tc>
      </w:tr>
      <w:tr w14:paraId="578E8858">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521" w:type="pct"/>
            <w:vMerge w:val="continue"/>
            <w:tcBorders>
              <w:left w:val="single" w:color="000000" w:sz="8" w:space="0"/>
              <w:bottom w:val="single" w:color="000000" w:sz="8" w:space="0"/>
              <w:right w:val="single" w:color="000000" w:sz="4" w:space="0"/>
            </w:tcBorders>
            <w:shd w:val="clear" w:color="auto" w:fill="auto"/>
            <w:vAlign w:val="center"/>
          </w:tcPr>
          <w:p w14:paraId="28674AA9">
            <w:pPr>
              <w:keepNext w:val="0"/>
              <w:keepLines w:val="0"/>
              <w:widowControl w:val="0"/>
              <w:suppressLineNumbers w:val="0"/>
              <w:autoSpaceDE w:val="0"/>
              <w:autoSpaceDN/>
              <w:adjustRightInd w:val="0"/>
              <w:spacing w:before="0" w:beforeAutospacing="0" w:after="0" w:afterAutospacing="0" w:line="312" w:lineRule="auto"/>
              <w:ind w:left="0" w:right="0" w:firstLine="0" w:firstLineChars="0"/>
              <w:jc w:val="center"/>
              <w:rPr>
                <w:rFonts w:hint="eastAsia" w:ascii="宋体" w:hAnsi="宋体" w:eastAsia="宋体" w:cs="宋体"/>
                <w:kern w:val="2"/>
                <w:sz w:val="21"/>
                <w:szCs w:val="21"/>
                <w:highlight w:val="none"/>
                <w:lang w:val="en-US" w:eastAsia="zh-CN" w:bidi="ar"/>
              </w:rPr>
            </w:pPr>
          </w:p>
        </w:tc>
        <w:tc>
          <w:tcPr>
            <w:tcW w:w="67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7CA1F4F4">
            <w:pPr>
              <w:keepNext w:val="0"/>
              <w:keepLines w:val="0"/>
              <w:widowControl w:val="0"/>
              <w:suppressLineNumbers w:val="0"/>
              <w:autoSpaceDE w:val="0"/>
              <w:autoSpaceDN/>
              <w:spacing w:before="0" w:beforeAutospacing="0" w:after="0" w:afterAutospacing="0" w:line="312" w:lineRule="auto"/>
              <w:ind w:left="0" w:leftChars="0" w:right="0" w:rightChars="0" w:firstLine="0" w:firstLineChars="0"/>
              <w:jc w:val="center"/>
              <w:rPr>
                <w:rFonts w:hint="eastAsia" w:ascii="宋体" w:hAnsi="宋体" w:eastAsia="宋体" w:cs="宋体"/>
                <w:kern w:val="2"/>
                <w:sz w:val="21"/>
                <w:szCs w:val="21"/>
                <w:highlight w:val="none"/>
                <w:lang w:val="en-US" w:eastAsia="zh-CN" w:bidi="ar"/>
              </w:rPr>
            </w:pPr>
            <w:r>
              <w:rPr>
                <w:rFonts w:hint="eastAsia" w:ascii="宋体" w:hAnsi="宋体" w:cs="宋体"/>
                <w:kern w:val="2"/>
                <w:sz w:val="24"/>
                <w:szCs w:val="24"/>
                <w:highlight w:val="none"/>
                <w:lang w:val="en-US" w:eastAsia="zh-CN" w:bidi="ar"/>
              </w:rPr>
              <w:t>企业荣誉</w:t>
            </w:r>
          </w:p>
        </w:tc>
        <w:tc>
          <w:tcPr>
            <w:tcW w:w="3304" w:type="pct"/>
            <w:tcBorders>
              <w:top w:val="single" w:color="000000" w:sz="4" w:space="0"/>
              <w:left w:val="single" w:color="000000" w:sz="4" w:space="0"/>
              <w:bottom w:val="single" w:color="000000" w:sz="8" w:space="0"/>
              <w:right w:val="single" w:color="000000" w:sz="4" w:space="0"/>
            </w:tcBorders>
            <w:shd w:val="clear" w:color="auto" w:fill="FFFFFF"/>
            <w:tcMar>
              <w:top w:w="80" w:type="dxa"/>
              <w:left w:w="80" w:type="dxa"/>
              <w:bottom w:w="80" w:type="dxa"/>
              <w:right w:w="80" w:type="dxa"/>
            </w:tcMar>
            <w:vAlign w:val="center"/>
          </w:tcPr>
          <w:p w14:paraId="41D651B5">
            <w:pPr>
              <w:keepNext w:val="0"/>
              <w:keepLines w:val="0"/>
              <w:widowControl w:val="0"/>
              <w:suppressLineNumbers w:val="0"/>
              <w:autoSpaceDE w:val="0"/>
              <w:autoSpaceDN/>
              <w:spacing w:before="0" w:beforeAutospacing="0" w:after="0" w:afterAutospacing="0" w:line="312" w:lineRule="auto"/>
              <w:ind w:left="0" w:leftChars="0" w:right="0" w:rightChars="0" w:firstLine="0" w:firstLineChars="0"/>
              <w:jc w:val="both"/>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详见商务要求表</w:t>
            </w:r>
          </w:p>
        </w:tc>
        <w:tc>
          <w:tcPr>
            <w:tcW w:w="504" w:type="pct"/>
            <w:tcBorders>
              <w:top w:val="single" w:color="000000" w:sz="4" w:space="0"/>
              <w:left w:val="single" w:color="000000" w:sz="4"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234A5878">
            <w:pPr>
              <w:keepNext w:val="0"/>
              <w:keepLines w:val="0"/>
              <w:widowControl w:val="0"/>
              <w:suppressLineNumbers w:val="0"/>
              <w:autoSpaceDE w:val="0"/>
              <w:autoSpaceDN/>
              <w:adjustRightInd w:val="0"/>
              <w:spacing w:before="0" w:beforeAutospacing="0" w:after="0" w:afterAutospacing="0" w:line="312" w:lineRule="auto"/>
              <w:ind w:left="0" w:leftChars="0" w:right="0" w:rightChars="0" w:firstLine="0" w:firstLineChars="0"/>
              <w:jc w:val="center"/>
              <w:rPr>
                <w:rFonts w:hint="default"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5分</w:t>
            </w:r>
          </w:p>
        </w:tc>
      </w:tr>
    </w:tbl>
    <w:p w14:paraId="7A2B2158">
      <w:pPr>
        <w:pStyle w:val="2"/>
        <w:rPr>
          <w:rFonts w:hint="eastAsia"/>
          <w:highlight w:val="none"/>
        </w:rPr>
      </w:pPr>
    </w:p>
    <w:p w14:paraId="204DF2B3">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商务要求表（对应评分标准）</w:t>
      </w:r>
    </w:p>
    <w:tbl>
      <w:tblPr>
        <w:tblStyle w:val="31"/>
        <w:tblW w:w="9276" w:type="dxa"/>
        <w:jc w:val="center"/>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80"/>
        <w:gridCol w:w="740"/>
        <w:gridCol w:w="6661"/>
        <w:gridCol w:w="1095"/>
      </w:tblGrid>
      <w:tr w14:paraId="4F68C431">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1" w:hRule="atLeast"/>
          <w:jc w:val="center"/>
        </w:trPr>
        <w:tc>
          <w:tcPr>
            <w:tcW w:w="1520" w:type="dxa"/>
            <w:gridSpan w:val="2"/>
            <w:tcBorders>
              <w:top w:val="single" w:color="000000" w:sz="4" w:space="0"/>
              <w:left w:val="single" w:color="000000" w:sz="8"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640AB68">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评审内容</w:t>
            </w:r>
          </w:p>
        </w:tc>
        <w:tc>
          <w:tcPr>
            <w:tcW w:w="66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1565D3">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评分标准</w:t>
            </w:r>
          </w:p>
        </w:tc>
        <w:tc>
          <w:tcPr>
            <w:tcW w:w="1095" w:type="dxa"/>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39FDE2BB">
            <w:pPr>
              <w:keepNext w:val="0"/>
              <w:keepLines w:val="0"/>
              <w:widowControl w:val="0"/>
              <w:suppressLineNumbers w:val="0"/>
              <w:adjustRightInd w:val="0"/>
              <w:spacing w:before="0" w:beforeAutospacing="0" w:after="0" w:afterAutospacing="0" w:line="360" w:lineRule="auto"/>
              <w:ind w:left="0" w:leftChars="0" w:right="0" w:rightChars="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分值</w:t>
            </w:r>
          </w:p>
        </w:tc>
      </w:tr>
      <w:tr w14:paraId="46A12038">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22" w:hRule="atLeast"/>
          <w:jc w:val="center"/>
        </w:trPr>
        <w:tc>
          <w:tcPr>
            <w:tcW w:w="780" w:type="dxa"/>
            <w:vMerge w:val="restart"/>
            <w:tcBorders>
              <w:top w:val="single" w:color="000000" w:sz="4" w:space="0"/>
              <w:left w:val="single" w:color="000000" w:sz="8" w:space="0"/>
              <w:right w:val="single" w:color="000000" w:sz="4" w:space="0"/>
            </w:tcBorders>
            <w:shd w:val="clear" w:color="auto" w:fill="FFFFFF"/>
            <w:tcMar>
              <w:top w:w="80" w:type="dxa"/>
              <w:left w:w="80" w:type="dxa"/>
              <w:bottom w:w="80" w:type="dxa"/>
              <w:right w:w="80" w:type="dxa"/>
            </w:tcMar>
            <w:vAlign w:val="center"/>
          </w:tcPr>
          <w:p w14:paraId="1BBF0BDA">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资信（</w:t>
            </w:r>
            <w:r>
              <w:rPr>
                <w:rFonts w:hint="eastAsia" w:cs="Times New Roman"/>
                <w:kern w:val="2"/>
                <w:sz w:val="24"/>
                <w:szCs w:val="24"/>
                <w:highlight w:val="none"/>
                <w:lang w:val="en-US" w:eastAsia="zh-CN" w:bidi="ar"/>
              </w:rPr>
              <w:t>7</w:t>
            </w:r>
            <w:r>
              <w:rPr>
                <w:rFonts w:hint="eastAsia" w:ascii="宋体" w:hAnsi="宋体" w:eastAsia="宋体" w:cs="宋体"/>
                <w:kern w:val="2"/>
                <w:sz w:val="24"/>
                <w:szCs w:val="24"/>
                <w:highlight w:val="none"/>
                <w:lang w:val="en-US" w:eastAsia="zh-CN" w:bidi="ar"/>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1B24F52">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类似业绩</w:t>
            </w:r>
          </w:p>
        </w:tc>
        <w:tc>
          <w:tcPr>
            <w:tcW w:w="666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978D72">
            <w:pPr>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宋体"/>
                <w:kern w:val="2"/>
                <w:sz w:val="24"/>
                <w:szCs w:val="24"/>
                <w:highlight w:val="none"/>
              </w:rPr>
            </w:pPr>
            <w:r>
              <w:rPr>
                <w:rFonts w:hint="eastAsia" w:ascii="宋体" w:hAnsi="宋体" w:eastAsia="宋体" w:cs="宋体"/>
                <w:kern w:val="0"/>
                <w:sz w:val="21"/>
                <w:szCs w:val="21"/>
                <w:highlight w:val="none"/>
                <w:lang w:val="en-US" w:eastAsia="zh-CN" w:bidi="ar"/>
              </w:rPr>
              <w:t>供应商自202</w:t>
            </w:r>
            <w:r>
              <w:rPr>
                <w:rFonts w:hint="eastAsia" w:ascii="宋体" w:hAnsi="宋体" w:cs="宋体"/>
                <w:kern w:val="0"/>
                <w:sz w:val="21"/>
                <w:szCs w:val="21"/>
                <w:highlight w:val="none"/>
                <w:lang w:val="en-US" w:eastAsia="zh-CN" w:bidi="ar"/>
              </w:rPr>
              <w:t>2</w:t>
            </w:r>
            <w:r>
              <w:rPr>
                <w:rFonts w:hint="eastAsia" w:ascii="宋体" w:hAnsi="宋体" w:eastAsia="宋体" w:cs="宋体"/>
                <w:kern w:val="0"/>
                <w:sz w:val="21"/>
                <w:szCs w:val="21"/>
                <w:highlight w:val="none"/>
                <w:lang w:val="en-US" w:eastAsia="zh-CN" w:bidi="ar"/>
              </w:rPr>
              <w:t>年1月1日以来（以合同签订时间为准）有类似业绩的，每个得1分，最高得2分。需提供合同复印件并加盖公章。</w:t>
            </w:r>
          </w:p>
        </w:tc>
        <w:tc>
          <w:tcPr>
            <w:tcW w:w="1095" w:type="dxa"/>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14:paraId="3CFDAA17">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2分</w:t>
            </w:r>
          </w:p>
        </w:tc>
      </w:tr>
      <w:tr w14:paraId="74C43F23">
        <w:tblPrEx>
          <w:tblBorders>
            <w:top w:val="single" w:color="000000" w:sz="4"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22" w:hRule="atLeast"/>
          <w:jc w:val="center"/>
        </w:trPr>
        <w:tc>
          <w:tcPr>
            <w:tcW w:w="780" w:type="dxa"/>
            <w:vMerge w:val="continue"/>
            <w:tcBorders>
              <w:left w:val="single" w:color="000000" w:sz="8" w:space="0"/>
              <w:bottom w:val="single" w:color="000000" w:sz="8" w:space="0"/>
              <w:right w:val="single" w:color="000000" w:sz="4" w:space="0"/>
            </w:tcBorders>
            <w:shd w:val="clear" w:color="auto" w:fill="FFFFFF"/>
            <w:tcMar>
              <w:top w:w="80" w:type="dxa"/>
              <w:left w:w="80" w:type="dxa"/>
              <w:bottom w:w="80" w:type="dxa"/>
              <w:right w:w="80" w:type="dxa"/>
            </w:tcMar>
            <w:vAlign w:val="center"/>
          </w:tcPr>
          <w:p w14:paraId="598259E4">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bidi="ar"/>
              </w:rPr>
            </w:pPr>
          </w:p>
        </w:tc>
        <w:tc>
          <w:tcPr>
            <w:tcW w:w="740" w:type="dxa"/>
            <w:tcBorders>
              <w:top w:val="single" w:color="000000" w:sz="4" w:space="0"/>
              <w:left w:val="single" w:color="000000" w:sz="4" w:space="0"/>
              <w:bottom w:val="single" w:color="000000" w:sz="8" w:space="0"/>
              <w:right w:val="single" w:color="000000" w:sz="4" w:space="0"/>
            </w:tcBorders>
            <w:shd w:val="clear" w:color="auto" w:fill="FFFFFF"/>
            <w:tcMar>
              <w:top w:w="80" w:type="dxa"/>
              <w:left w:w="80" w:type="dxa"/>
              <w:bottom w:w="80" w:type="dxa"/>
              <w:right w:w="80" w:type="dxa"/>
            </w:tcMar>
            <w:vAlign w:val="center"/>
          </w:tcPr>
          <w:p w14:paraId="6C5E90DE">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宋体"/>
                <w:kern w:val="2"/>
                <w:sz w:val="24"/>
                <w:szCs w:val="24"/>
                <w:highlight w:val="none"/>
                <w:lang w:val="en-US" w:eastAsia="zh-CN" w:bidi="ar"/>
              </w:rPr>
            </w:pPr>
            <w:r>
              <w:rPr>
                <w:rFonts w:hint="eastAsia" w:ascii="宋体" w:hAnsi="宋体" w:cs="宋体"/>
                <w:kern w:val="2"/>
                <w:sz w:val="24"/>
                <w:szCs w:val="24"/>
                <w:highlight w:val="none"/>
                <w:lang w:val="en-US" w:eastAsia="zh-CN" w:bidi="ar"/>
              </w:rPr>
              <w:t>企业荣誉</w:t>
            </w:r>
          </w:p>
        </w:tc>
        <w:tc>
          <w:tcPr>
            <w:tcW w:w="6661" w:type="dxa"/>
            <w:tcBorders>
              <w:top w:val="single" w:color="000000" w:sz="4" w:space="0"/>
              <w:left w:val="single" w:color="000000" w:sz="4" w:space="0"/>
              <w:bottom w:val="single" w:color="000000" w:sz="8" w:space="0"/>
              <w:right w:val="single" w:color="000000" w:sz="4" w:space="0"/>
            </w:tcBorders>
            <w:shd w:val="clear" w:color="auto" w:fill="FFFFFF"/>
            <w:tcMar>
              <w:top w:w="80" w:type="dxa"/>
              <w:left w:w="80" w:type="dxa"/>
              <w:bottom w:w="80" w:type="dxa"/>
              <w:right w:w="80" w:type="dxa"/>
            </w:tcMar>
            <w:vAlign w:val="center"/>
          </w:tcPr>
          <w:p w14:paraId="1EF28546">
            <w:pPr>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宋体"/>
                <w:kern w:val="0"/>
                <w:sz w:val="21"/>
                <w:szCs w:val="21"/>
                <w:highlight w:val="none"/>
                <w:lang w:val="en-US" w:eastAsia="zh-CN" w:bidi="ar"/>
              </w:rPr>
            </w:pPr>
            <w:r>
              <w:rPr>
                <w:rFonts w:hint="eastAsia"/>
                <w:lang w:eastAsia="zh-CN"/>
              </w:rPr>
              <w:t>供应商</w:t>
            </w:r>
            <w:r>
              <w:rPr>
                <w:rFonts w:hint="eastAsia"/>
              </w:rPr>
              <w:t>自202</w:t>
            </w:r>
            <w:r>
              <w:rPr>
                <w:rFonts w:hint="eastAsia"/>
                <w:lang w:val="en-US" w:eastAsia="zh-CN"/>
              </w:rPr>
              <w:t>2</w:t>
            </w:r>
            <w:r>
              <w:rPr>
                <w:rFonts w:hint="eastAsia"/>
              </w:rPr>
              <w:t>年1月1日以来</w:t>
            </w:r>
            <w:r>
              <w:rPr>
                <w:rFonts w:hint="eastAsia"/>
                <w:lang w:eastAsia="zh-CN"/>
              </w:rPr>
              <w:t>（以落款时间为准）</w:t>
            </w:r>
            <w:r>
              <w:rPr>
                <w:rFonts w:hint="eastAsia"/>
              </w:rPr>
              <w:t>获得省级一等奖的每个得2分，获得省级</w:t>
            </w:r>
            <w:r>
              <w:rPr>
                <w:rFonts w:hint="eastAsia"/>
                <w:lang w:eastAsia="zh-CN"/>
              </w:rPr>
              <w:t>二等奖</w:t>
            </w:r>
            <w:r>
              <w:rPr>
                <w:rFonts w:hint="eastAsia"/>
              </w:rPr>
              <w:t>的每个得</w:t>
            </w:r>
            <w:r>
              <w:rPr>
                <w:rFonts w:hint="eastAsia"/>
                <w:lang w:val="en-US" w:eastAsia="zh-CN"/>
              </w:rPr>
              <w:t>1</w:t>
            </w:r>
            <w:r>
              <w:rPr>
                <w:rFonts w:hint="eastAsia"/>
              </w:rPr>
              <w:t>分，</w:t>
            </w:r>
            <w:r>
              <w:rPr>
                <w:rFonts w:hint="eastAsia"/>
                <w:lang w:eastAsia="zh-CN"/>
              </w:rPr>
              <w:t>获得过省级三等奖的每个得</w:t>
            </w:r>
            <w:r>
              <w:rPr>
                <w:rFonts w:hint="eastAsia"/>
                <w:lang w:val="en-US" w:eastAsia="zh-CN"/>
              </w:rPr>
              <w:t>0.5分，</w:t>
            </w:r>
            <w:r>
              <w:rPr>
                <w:rFonts w:hint="eastAsia"/>
              </w:rPr>
              <w:t>本项最高得</w:t>
            </w:r>
            <w:r>
              <w:rPr>
                <w:rFonts w:hint="eastAsia"/>
                <w:lang w:val="en-US" w:eastAsia="zh-CN"/>
              </w:rPr>
              <w:t>5</w:t>
            </w:r>
            <w:r>
              <w:rPr>
                <w:rFonts w:hint="eastAsia"/>
              </w:rPr>
              <w:t>分。（需提供相关证明材料</w:t>
            </w:r>
            <w:r>
              <w:rPr>
                <w:rFonts w:hint="eastAsia"/>
                <w:lang w:eastAsia="zh-CN"/>
              </w:rPr>
              <w:t>并</w:t>
            </w:r>
            <w:r>
              <w:rPr>
                <w:rFonts w:hint="eastAsia"/>
              </w:rPr>
              <w:t>加盖公章）</w:t>
            </w:r>
          </w:p>
        </w:tc>
        <w:tc>
          <w:tcPr>
            <w:tcW w:w="1095" w:type="dxa"/>
            <w:tcBorders>
              <w:top w:val="single" w:color="000000" w:sz="4" w:space="0"/>
              <w:left w:val="single" w:color="000000" w:sz="4"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45A30FA5">
            <w:pPr>
              <w:keepNext w:val="0"/>
              <w:keepLines w:val="0"/>
              <w:widowControl w:val="0"/>
              <w:suppressLineNumbers w:val="0"/>
              <w:adjustRightInd w:val="0"/>
              <w:spacing w:before="0" w:beforeAutospacing="0" w:after="0" w:afterAutospacing="0" w:line="360" w:lineRule="auto"/>
              <w:ind w:left="0" w:right="0"/>
              <w:jc w:val="center"/>
              <w:rPr>
                <w:rFonts w:hint="default" w:ascii="宋体" w:hAnsi="宋体" w:eastAsia="宋体" w:cs="宋体"/>
                <w:kern w:val="2"/>
                <w:sz w:val="24"/>
                <w:szCs w:val="24"/>
                <w:highlight w:val="none"/>
                <w:lang w:val="en-US" w:eastAsia="zh-CN" w:bidi="ar"/>
              </w:rPr>
            </w:pPr>
            <w:r>
              <w:rPr>
                <w:rFonts w:hint="eastAsia" w:ascii="宋体" w:hAnsi="宋体" w:cs="宋体"/>
                <w:kern w:val="2"/>
                <w:sz w:val="24"/>
                <w:szCs w:val="24"/>
                <w:highlight w:val="none"/>
                <w:lang w:val="en-US" w:eastAsia="zh-CN" w:bidi="ar"/>
              </w:rPr>
              <w:t>5分</w:t>
            </w:r>
          </w:p>
        </w:tc>
      </w:tr>
    </w:tbl>
    <w:p w14:paraId="2D5F5865">
      <w:pPr>
        <w:pStyle w:val="2"/>
        <w:numPr>
          <w:ilvl w:val="0"/>
          <w:numId w:val="0"/>
        </w:numPr>
        <w:ind w:leftChars="200"/>
        <w:rPr>
          <w:rFonts w:hint="eastAsia"/>
          <w:highlight w:val="none"/>
        </w:rPr>
      </w:pPr>
    </w:p>
    <w:p w14:paraId="7880B31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备注：</w:t>
      </w:r>
    </w:p>
    <w:p w14:paraId="340FF71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、评标委员会各成员应当独立对每个供应商的响应文件进行评价，并汇总每个供应商的得分。资信分为客观分，也需独立进行评价并核对分值，最终分值需一致。</w:t>
      </w:r>
    </w:p>
    <w:p w14:paraId="0EE679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bookmarkStart w:id="84" w:name="_Toc8033"/>
      <w:bookmarkStart w:id="85" w:name="_Toc4517"/>
      <w:r>
        <w:rPr>
          <w:rFonts w:hint="eastAsia" w:ascii="宋体" w:hAnsi="宋体" w:eastAsia="宋体" w:cs="宋体"/>
          <w:color w:val="auto"/>
          <w:sz w:val="24"/>
          <w:szCs w:val="24"/>
          <w:highlight w:val="none"/>
        </w:rPr>
        <w:t>所有文件、合同、证书、资质等需要真实有效。成交供应商在中标后签订合同时需提供以上证明文件原件，若发现资料作假的取消中标资格。</w:t>
      </w:r>
    </w:p>
    <w:p w14:paraId="5D68783D">
      <w:pPr>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69515826">
      <w:pPr>
        <w:pStyle w:val="4"/>
        <w:spacing w:line="360" w:lineRule="auto"/>
        <w:jc w:val="center"/>
        <w:rPr>
          <w:rFonts w:hint="eastAsia" w:ascii="宋体" w:hAnsi="宋体" w:eastAsia="宋体" w:cs="宋体"/>
          <w:color w:val="auto"/>
          <w:highlight w:val="none"/>
        </w:rPr>
      </w:pPr>
      <w:bookmarkStart w:id="86" w:name="_Toc15269"/>
      <w:r>
        <w:rPr>
          <w:rFonts w:hint="eastAsia" w:ascii="宋体" w:hAnsi="宋体" w:eastAsia="宋体" w:cs="宋体"/>
          <w:color w:val="auto"/>
          <w:sz w:val="36"/>
          <w:szCs w:val="36"/>
          <w:highlight w:val="none"/>
        </w:rPr>
        <w:t>第五部分 采购合同</w:t>
      </w:r>
      <w:bookmarkEnd w:id="84"/>
      <w:bookmarkEnd w:id="85"/>
      <w:bookmarkEnd w:id="86"/>
    </w:p>
    <w:p w14:paraId="6D712A6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合同编号：（202</w:t>
      </w:r>
      <w:r>
        <w:rPr>
          <w:rFonts w:hint="eastAsia" w:ascii="宋体" w:hAnsi="宋体" w:cs="宋体"/>
          <w:b w:val="0"/>
          <w:bCs/>
          <w:sz w:val="24"/>
          <w:highlight w:val="none"/>
          <w:lang w:val="en-US" w:eastAsia="zh-CN"/>
        </w:rPr>
        <w:t>5</w:t>
      </w:r>
      <w:r>
        <w:rPr>
          <w:rFonts w:hint="eastAsia" w:ascii="宋体" w:hAnsi="宋体" w:eastAsia="宋体" w:cs="宋体"/>
          <w:b w:val="0"/>
          <w:bCs/>
          <w:sz w:val="24"/>
          <w:highlight w:val="none"/>
          <w:lang w:val="en-US" w:eastAsia="zh-CN"/>
        </w:rPr>
        <w:t>）第</w:t>
      </w:r>
      <w:r>
        <w:rPr>
          <w:rFonts w:hint="eastAsia" w:ascii="宋体" w:hAnsi="宋体" w:eastAsia="宋体" w:cs="宋体"/>
          <w:b w:val="0"/>
          <w:bCs/>
          <w:sz w:val="24"/>
          <w:highlight w:val="none"/>
          <w:u w:val="single"/>
          <w:lang w:val="en-US" w:eastAsia="zh-CN"/>
        </w:rPr>
        <w:t>　　</w:t>
      </w:r>
      <w:r>
        <w:rPr>
          <w:rFonts w:hint="eastAsia" w:ascii="宋体" w:hAnsi="宋体" w:eastAsia="宋体" w:cs="宋体"/>
          <w:b w:val="0"/>
          <w:bCs/>
          <w:sz w:val="24"/>
          <w:highlight w:val="none"/>
          <w:lang w:val="en-US" w:eastAsia="zh-CN"/>
        </w:rPr>
        <w:t>号</w:t>
      </w:r>
    </w:p>
    <w:p w14:paraId="5F03FB8C">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签订日期：202</w:t>
      </w:r>
      <w:r>
        <w:rPr>
          <w:rFonts w:hint="eastAsia" w:ascii="宋体" w:hAnsi="宋体" w:cs="宋体"/>
          <w:b w:val="0"/>
          <w:bCs/>
          <w:sz w:val="24"/>
          <w:highlight w:val="none"/>
          <w:lang w:val="en-US" w:eastAsia="zh-CN"/>
        </w:rPr>
        <w:t>5</w:t>
      </w:r>
      <w:r>
        <w:rPr>
          <w:rFonts w:hint="eastAsia" w:ascii="宋体" w:hAnsi="宋体" w:eastAsia="宋体" w:cs="宋体"/>
          <w:b w:val="0"/>
          <w:bCs/>
          <w:sz w:val="24"/>
          <w:highlight w:val="none"/>
          <w:lang w:val="en-US" w:eastAsia="zh-CN"/>
        </w:rPr>
        <w:t>年</w:t>
      </w:r>
      <w:r>
        <w:rPr>
          <w:rFonts w:hint="eastAsia" w:ascii="宋体" w:hAnsi="宋体" w:eastAsia="宋体" w:cs="宋体"/>
          <w:b w:val="0"/>
          <w:bCs/>
          <w:sz w:val="24"/>
          <w:highlight w:val="none"/>
          <w:u w:val="single"/>
          <w:lang w:val="en-US" w:eastAsia="zh-CN"/>
        </w:rPr>
        <w:t>　　</w:t>
      </w:r>
      <w:r>
        <w:rPr>
          <w:rFonts w:hint="eastAsia" w:ascii="宋体" w:hAnsi="宋体" w:eastAsia="宋体" w:cs="宋体"/>
          <w:b w:val="0"/>
          <w:bCs/>
          <w:sz w:val="24"/>
          <w:highlight w:val="none"/>
          <w:lang w:val="en-US" w:eastAsia="zh-CN"/>
        </w:rPr>
        <w:t>月</w:t>
      </w:r>
      <w:r>
        <w:rPr>
          <w:rFonts w:hint="eastAsia" w:ascii="宋体" w:hAnsi="宋体" w:eastAsia="宋体" w:cs="宋体"/>
          <w:b w:val="0"/>
          <w:bCs/>
          <w:sz w:val="24"/>
          <w:highlight w:val="none"/>
          <w:u w:val="single"/>
          <w:lang w:val="en-US" w:eastAsia="zh-CN"/>
        </w:rPr>
        <w:t>　　</w:t>
      </w:r>
      <w:r>
        <w:rPr>
          <w:rFonts w:hint="eastAsia" w:ascii="宋体" w:hAnsi="宋体" w:eastAsia="宋体" w:cs="宋体"/>
          <w:b w:val="0"/>
          <w:bCs/>
          <w:sz w:val="24"/>
          <w:highlight w:val="none"/>
          <w:lang w:val="en-US" w:eastAsia="zh-CN"/>
        </w:rPr>
        <w:t>日</w:t>
      </w:r>
    </w:p>
    <w:p w14:paraId="7759E1A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u w:val="single"/>
          <w:lang w:val="en-US" w:eastAsia="zh-CN"/>
        </w:rPr>
      </w:pPr>
      <w:r>
        <w:rPr>
          <w:rFonts w:hint="eastAsia" w:ascii="宋体" w:hAnsi="宋体" w:eastAsia="宋体" w:cs="宋体"/>
          <w:b w:val="0"/>
          <w:bCs/>
          <w:sz w:val="24"/>
          <w:highlight w:val="none"/>
          <w:lang w:val="en-US" w:eastAsia="zh-CN"/>
        </w:rPr>
        <w:t>甲方：</w:t>
      </w:r>
      <w:r>
        <w:rPr>
          <w:rFonts w:hint="eastAsia" w:ascii="宋体" w:hAnsi="宋体" w:eastAsia="宋体" w:cs="宋体"/>
          <w:b w:val="0"/>
          <w:bCs/>
          <w:sz w:val="24"/>
          <w:highlight w:val="none"/>
          <w:u w:val="single"/>
          <w:lang w:val="en-US" w:eastAsia="zh-CN"/>
        </w:rPr>
        <w:t>　　</w:t>
      </w:r>
      <w:r>
        <w:rPr>
          <w:rFonts w:hint="eastAsia" w:ascii="宋体" w:hAnsi="宋体" w:cs="宋体"/>
          <w:b w:val="0"/>
          <w:bCs/>
          <w:sz w:val="24"/>
          <w:highlight w:val="none"/>
          <w:u w:val="single"/>
          <w:lang w:val="en-US" w:eastAsia="zh-CN"/>
        </w:rPr>
        <w:t>中共绍兴市上虞区委宣传部</w:t>
      </w:r>
      <w:r>
        <w:rPr>
          <w:rFonts w:hint="eastAsia" w:ascii="宋体" w:hAnsi="宋体" w:eastAsia="宋体" w:cs="宋体"/>
          <w:b w:val="0"/>
          <w:bCs/>
          <w:sz w:val="24"/>
          <w:highlight w:val="none"/>
          <w:u w:val="single"/>
          <w:lang w:val="en-US" w:eastAsia="zh-CN"/>
        </w:rPr>
        <w:t>　　　　　　　　　</w:t>
      </w:r>
    </w:p>
    <w:p w14:paraId="32E83D92">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乙方：</w:t>
      </w:r>
      <w:r>
        <w:rPr>
          <w:rFonts w:hint="eastAsia" w:ascii="宋体" w:hAnsi="宋体" w:eastAsia="宋体" w:cs="宋体"/>
          <w:b w:val="0"/>
          <w:bCs/>
          <w:sz w:val="24"/>
          <w:highlight w:val="none"/>
          <w:u w:val="single"/>
          <w:lang w:val="en-US" w:eastAsia="zh-CN"/>
        </w:rPr>
        <w:t>　　　　　　　　　　　　　　　　　　　　　　　</w:t>
      </w:r>
    </w:p>
    <w:p w14:paraId="6B3C6D4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根据《中华人民共和国民法典》、政府采购编号为</w:t>
      </w:r>
      <w:r>
        <w:rPr>
          <w:rFonts w:hint="eastAsia" w:ascii="宋体" w:hAnsi="宋体" w:cs="宋体"/>
          <w:b w:val="0"/>
          <w:bCs/>
          <w:sz w:val="24"/>
          <w:highlight w:val="none"/>
          <w:u w:val="single"/>
          <w:lang w:val="en-US" w:eastAsia="zh-CN"/>
        </w:rPr>
        <w:t xml:space="preserve">   CY20204040XXX   </w:t>
      </w:r>
      <w:r>
        <w:rPr>
          <w:rFonts w:hint="eastAsia" w:ascii="宋体" w:hAnsi="宋体" w:eastAsia="宋体" w:cs="宋体"/>
          <w:b w:val="0"/>
          <w:bCs/>
          <w:sz w:val="24"/>
          <w:highlight w:val="none"/>
          <w:lang w:val="en-US" w:eastAsia="zh-CN"/>
        </w:rPr>
        <w:t xml:space="preserve">招标文件、乙方响应文件的规定，经公开招标采购，签订本合同。 </w:t>
      </w:r>
    </w:p>
    <w:p w14:paraId="577F02B2">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bidi="ar"/>
        </w:rPr>
        <w:t>一、服务期限</w:t>
      </w:r>
    </w:p>
    <w:p w14:paraId="6A0809C4">
      <w:pPr>
        <w:pStyle w:val="28"/>
        <w:keepNext w:val="0"/>
        <w:keepLines w:val="0"/>
        <w:widowControl w:val="0"/>
        <w:suppressLineNumbers w:val="0"/>
        <w:autoSpaceDE w:val="0"/>
        <w:autoSpaceDN/>
        <w:adjustRightInd w:val="0"/>
        <w:spacing w:before="0" w:beforeAutospacing="0" w:after="0" w:afterAutospacing="0" w:line="360" w:lineRule="auto"/>
        <w:ind w:left="0" w:right="0" w:firstLine="480" w:firstLineChars="200"/>
        <w:jc w:val="both"/>
        <w:textAlignment w:val="baseline"/>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服务期限为一年。</w:t>
      </w:r>
    </w:p>
    <w:p w14:paraId="2ACAD590">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二、工作内容</w:t>
      </w:r>
    </w:p>
    <w:p w14:paraId="00AB449E">
      <w:pPr>
        <w:numPr>
          <w:ilvl w:val="0"/>
          <w:numId w:val="0"/>
        </w:numPr>
        <w:spacing w:line="360" w:lineRule="auto"/>
        <w:ind w:left="0" w:leftChars="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通过市级报刊专版的形式宣传上虞区</w:t>
      </w:r>
      <w:r>
        <w:rPr>
          <w:rFonts w:hint="default" w:ascii="宋体" w:hAnsi="宋体" w:eastAsia="宋体" w:cs="宋体"/>
          <w:color w:val="auto"/>
          <w:sz w:val="24"/>
          <w:highlight w:val="none"/>
          <w:lang w:val="en-US" w:eastAsia="zh-CN"/>
        </w:rPr>
        <w:t>人文、经济、城市等各领域</w:t>
      </w:r>
      <w:r>
        <w:rPr>
          <w:rFonts w:hint="eastAsia" w:ascii="宋体" w:hAnsi="宋体" w:eastAsia="宋体" w:cs="宋体"/>
          <w:color w:val="auto"/>
          <w:sz w:val="24"/>
          <w:highlight w:val="none"/>
          <w:lang w:val="en-US" w:eastAsia="zh-CN"/>
        </w:rPr>
        <w:t>的亮点工作，共计12个专版。</w:t>
      </w:r>
    </w:p>
    <w:p w14:paraId="3AE4FA98">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三、项目要求</w:t>
      </w:r>
    </w:p>
    <w:p w14:paraId="03DF475D">
      <w:pPr>
        <w:numPr>
          <w:ilvl w:val="0"/>
          <w:numId w:val="0"/>
        </w:numPr>
        <w:spacing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重点宣传：根据</w:t>
      </w:r>
      <w:r>
        <w:rPr>
          <w:rFonts w:hint="eastAsia" w:ascii="宋体" w:hAnsi="宋体" w:cs="宋体"/>
          <w:color w:val="auto"/>
          <w:kern w:val="2"/>
          <w:sz w:val="24"/>
          <w:szCs w:val="24"/>
          <w:highlight w:val="none"/>
          <w:lang w:val="en-US" w:eastAsia="zh-CN" w:bidi="ar-SA"/>
        </w:rPr>
        <w:t>甲方</w:t>
      </w:r>
      <w:r>
        <w:rPr>
          <w:rFonts w:hint="eastAsia" w:ascii="宋体" w:hAnsi="宋体" w:eastAsia="宋体" w:cs="宋体"/>
          <w:color w:val="auto"/>
          <w:kern w:val="2"/>
          <w:sz w:val="24"/>
          <w:szCs w:val="24"/>
          <w:highlight w:val="none"/>
          <w:lang w:val="en-US" w:eastAsia="zh-CN" w:bidi="ar-SA"/>
        </w:rPr>
        <w:t>的年度工作重点和宣传需要，充分发挥</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kern w:val="2"/>
          <w:sz w:val="24"/>
          <w:szCs w:val="24"/>
          <w:highlight w:val="none"/>
          <w:lang w:val="en-US" w:eastAsia="zh-CN" w:bidi="ar-SA"/>
        </w:rPr>
        <w:t>在宣传策划采写上的专业优势，负责挖掘采购人的宣传题材，包括</w:t>
      </w:r>
      <w:r>
        <w:rPr>
          <w:rFonts w:hint="eastAsia" w:ascii="宋体" w:hAnsi="宋体" w:eastAsia="宋体" w:cs="宋体"/>
          <w:color w:val="auto"/>
          <w:sz w:val="24"/>
          <w:highlight w:val="none"/>
          <w:lang w:val="en-US" w:eastAsia="zh-CN"/>
        </w:rPr>
        <w:t>上虞区</w:t>
      </w:r>
      <w:r>
        <w:rPr>
          <w:rFonts w:hint="default" w:ascii="宋体" w:hAnsi="宋体" w:eastAsia="宋体" w:cs="宋体"/>
          <w:color w:val="auto"/>
          <w:sz w:val="24"/>
          <w:highlight w:val="none"/>
          <w:lang w:val="en-US" w:eastAsia="zh-CN"/>
        </w:rPr>
        <w:t>人文、经济、城市等各领域</w:t>
      </w:r>
      <w:r>
        <w:rPr>
          <w:rFonts w:hint="eastAsia" w:ascii="宋体" w:hAnsi="宋体" w:eastAsia="宋体" w:cs="宋体"/>
          <w:color w:val="auto"/>
          <w:kern w:val="2"/>
          <w:sz w:val="24"/>
          <w:szCs w:val="24"/>
          <w:highlight w:val="none"/>
          <w:lang w:val="en-US" w:eastAsia="zh-CN" w:bidi="ar-SA"/>
        </w:rPr>
        <w:t>的新举措、新业绩和新典型等鲜活内容，为</w:t>
      </w:r>
      <w:r>
        <w:rPr>
          <w:rFonts w:hint="eastAsia" w:ascii="宋体" w:hAnsi="宋体" w:cs="宋体"/>
          <w:color w:val="auto"/>
          <w:kern w:val="2"/>
          <w:sz w:val="24"/>
          <w:szCs w:val="24"/>
          <w:highlight w:val="none"/>
          <w:lang w:val="en-US" w:eastAsia="zh-CN" w:bidi="ar-SA"/>
        </w:rPr>
        <w:t>甲方</w:t>
      </w:r>
      <w:r>
        <w:rPr>
          <w:rFonts w:hint="eastAsia" w:ascii="宋体" w:hAnsi="宋体" w:eastAsia="宋体" w:cs="宋体"/>
          <w:color w:val="auto"/>
          <w:kern w:val="2"/>
          <w:sz w:val="24"/>
          <w:szCs w:val="24"/>
          <w:highlight w:val="none"/>
          <w:lang w:val="en-US" w:eastAsia="zh-CN" w:bidi="ar-SA"/>
        </w:rPr>
        <w:t>做好对外宣传。</w:t>
      </w:r>
    </w:p>
    <w:p w14:paraId="08BE31E1">
      <w:pPr>
        <w:numPr>
          <w:ilvl w:val="0"/>
          <w:numId w:val="0"/>
        </w:numPr>
        <w:spacing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专版：根据</w:t>
      </w:r>
      <w:r>
        <w:rPr>
          <w:rFonts w:hint="eastAsia" w:ascii="宋体" w:hAnsi="宋体" w:cs="宋体"/>
          <w:color w:val="auto"/>
          <w:kern w:val="2"/>
          <w:sz w:val="24"/>
          <w:szCs w:val="24"/>
          <w:highlight w:val="none"/>
          <w:lang w:val="en-US" w:eastAsia="zh-CN" w:bidi="ar-SA"/>
        </w:rPr>
        <w:t>甲方</w:t>
      </w:r>
      <w:r>
        <w:rPr>
          <w:rFonts w:hint="eastAsia" w:ascii="宋体" w:hAnsi="宋体" w:eastAsia="宋体" w:cs="宋体"/>
          <w:color w:val="auto"/>
          <w:kern w:val="2"/>
          <w:sz w:val="24"/>
          <w:szCs w:val="24"/>
          <w:highlight w:val="none"/>
          <w:lang w:val="en-US" w:eastAsia="zh-CN" w:bidi="ar-SA"/>
        </w:rPr>
        <w:t>宣传重点和宣传需求，</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kern w:val="2"/>
          <w:sz w:val="24"/>
          <w:szCs w:val="24"/>
          <w:highlight w:val="none"/>
          <w:lang w:val="en-US" w:eastAsia="zh-CN" w:bidi="ar-SA"/>
        </w:rPr>
        <w:t>为其在</w:t>
      </w:r>
      <w:r>
        <w:rPr>
          <w:rFonts w:hint="eastAsia" w:ascii="宋体" w:hAnsi="宋体" w:cs="宋体"/>
          <w:color w:val="auto"/>
          <w:kern w:val="2"/>
          <w:sz w:val="24"/>
          <w:szCs w:val="24"/>
          <w:highlight w:val="none"/>
          <w:lang w:val="en-US" w:eastAsia="zh-CN" w:bidi="ar-SA"/>
        </w:rPr>
        <w:t>市</w:t>
      </w:r>
      <w:r>
        <w:rPr>
          <w:rFonts w:hint="eastAsia" w:ascii="宋体" w:hAnsi="宋体" w:eastAsia="宋体" w:cs="宋体"/>
          <w:color w:val="auto"/>
          <w:kern w:val="2"/>
          <w:sz w:val="24"/>
          <w:szCs w:val="24"/>
          <w:highlight w:val="none"/>
          <w:lang w:val="en-US" w:eastAsia="zh-CN" w:bidi="ar-SA"/>
        </w:rPr>
        <w:t>级报刊进行专版宣传。关注重点包括：</w:t>
      </w:r>
      <w:r>
        <w:rPr>
          <w:rFonts w:hint="eastAsia" w:ascii="宋体" w:hAnsi="宋体" w:eastAsia="宋体" w:cs="宋体"/>
          <w:color w:val="auto"/>
          <w:sz w:val="24"/>
          <w:highlight w:val="none"/>
          <w:lang w:val="en-US" w:eastAsia="zh-CN"/>
        </w:rPr>
        <w:t>上虞区</w:t>
      </w:r>
      <w:r>
        <w:rPr>
          <w:rFonts w:hint="default" w:ascii="宋体" w:hAnsi="宋体" w:eastAsia="宋体" w:cs="宋体"/>
          <w:color w:val="auto"/>
          <w:sz w:val="24"/>
          <w:highlight w:val="none"/>
          <w:lang w:val="en-US" w:eastAsia="zh-CN"/>
        </w:rPr>
        <w:t>人文、经济、城市等各领域</w:t>
      </w:r>
      <w:r>
        <w:rPr>
          <w:rFonts w:hint="eastAsia" w:ascii="宋体" w:hAnsi="宋体" w:cs="宋体"/>
          <w:color w:val="auto"/>
          <w:sz w:val="24"/>
          <w:highlight w:val="none"/>
          <w:lang w:val="en-US" w:eastAsia="zh-CN"/>
        </w:rPr>
        <w:t>。</w:t>
      </w:r>
    </w:p>
    <w:p w14:paraId="04AB02CE">
      <w:pPr>
        <w:keepNext w:val="0"/>
        <w:keepLines w:val="0"/>
        <w:widowControl w:val="0"/>
        <w:suppressLineNumbers w:val="0"/>
        <w:spacing w:before="0" w:beforeAutospacing="0" w:after="0" w:afterAutospacing="0" w:line="360" w:lineRule="auto"/>
        <w:ind w:left="0" w:right="0" w:firstLine="240" w:firstLineChars="1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注：以上宣传具体刊登时间和内容由双方协商确定。</w:t>
      </w:r>
    </w:p>
    <w:p w14:paraId="1AD8F608">
      <w:pPr>
        <w:pageBreakBefore w:val="0"/>
        <w:kinsoku/>
        <w:overflowPunct/>
        <w:topLinePunct w:val="0"/>
        <w:bidi w:val="0"/>
        <w:snapToGrid/>
        <w:spacing w:line="360" w:lineRule="auto"/>
        <w:ind w:firstLine="241" w:firstLineChars="100"/>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rPr>
        <w:t>、实施方案要求</w:t>
      </w:r>
    </w:p>
    <w:p w14:paraId="08D2B0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1、服务要求：</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在履行合同义务期间，应遵守国家有关法律、法规、维护采购人的合法权益；</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应组建能够满足本项目服务需要的项目编制小组，按照工作范围和内容完成规划设计工作，并按约定向</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汇报工作进展；最终研究、规划及相关成果须通过委托方验收。在项目成果通过验收并实施过程中，成交供应商应按照项目实际需求，配合</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进一步完善细节。</w:t>
      </w:r>
    </w:p>
    <w:p w14:paraId="56CE71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2、保密要求：</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参与本项目研究的资料、成果等知识产权归</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，有关的信息未经</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同意不得向第三方泄露。</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有责任对涉及项目的重要信息进行保密；</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如因为项目的开展需要向第三方提供资料,必须提前得到</w:t>
      </w:r>
      <w:r>
        <w:rPr>
          <w:rFonts w:hint="eastAsia" w:ascii="宋体" w:hAnsi="宋体" w:cs="宋体"/>
          <w:sz w:val="24"/>
          <w:szCs w:val="24"/>
          <w:highlight w:val="none"/>
          <w:lang w:eastAsia="zh-CN"/>
        </w:rPr>
        <w:t>甲方</w:t>
      </w:r>
      <w:r>
        <w:rPr>
          <w:rFonts w:hint="eastAsia" w:ascii="宋体" w:hAnsi="宋体" w:eastAsia="宋体" w:cs="宋体"/>
          <w:sz w:val="24"/>
          <w:szCs w:val="24"/>
          <w:highlight w:val="none"/>
        </w:rPr>
        <w:t>批准。若</w:t>
      </w:r>
      <w:r>
        <w:rPr>
          <w:rFonts w:hint="eastAsia" w:ascii="宋体" w:hAnsi="宋体" w:cs="宋体"/>
          <w:sz w:val="24"/>
          <w:szCs w:val="24"/>
          <w:highlight w:val="none"/>
          <w:lang w:eastAsia="zh-CN"/>
        </w:rPr>
        <w:t>乙方</w:t>
      </w:r>
      <w:r>
        <w:rPr>
          <w:rFonts w:hint="eastAsia" w:ascii="宋体" w:hAnsi="宋体" w:eastAsia="宋体" w:cs="宋体"/>
          <w:sz w:val="24"/>
          <w:szCs w:val="24"/>
          <w:highlight w:val="none"/>
        </w:rPr>
        <w:t>违反保密要求的约定，应当承担违约责任。</w:t>
      </w:r>
    </w:p>
    <w:p w14:paraId="2FA8581C">
      <w:pPr>
        <w:pStyle w:val="17"/>
        <w:keepNext w:val="0"/>
        <w:keepLines w:val="0"/>
        <w:pageBreakBefore w:val="0"/>
        <w:widowControl w:val="0"/>
        <w:kinsoku/>
        <w:wordWrap/>
        <w:overflowPunct/>
        <w:topLinePunct w:val="0"/>
        <w:autoSpaceDE/>
        <w:autoSpaceDN/>
        <w:bidi w:val="0"/>
        <w:spacing w:line="360" w:lineRule="auto"/>
        <w:ind w:left="0" w:leftChars="0" w:firstLine="241" w:firstLineChars="100"/>
        <w:textAlignment w:val="auto"/>
        <w:rPr>
          <w:rFonts w:hint="eastAsia" w:hAnsi="宋体" w:cs="宋体"/>
          <w:b/>
          <w:sz w:val="24"/>
          <w:szCs w:val="24"/>
          <w:highlight w:val="none"/>
        </w:rPr>
      </w:pPr>
      <w:r>
        <w:rPr>
          <w:rFonts w:hint="eastAsia" w:hAnsi="宋体" w:cs="宋体"/>
          <w:b/>
          <w:bCs w:val="0"/>
          <w:sz w:val="24"/>
          <w:highlight w:val="none"/>
          <w:lang w:val="en-US" w:eastAsia="zh-CN"/>
        </w:rPr>
        <w:t>五</w:t>
      </w:r>
      <w:r>
        <w:rPr>
          <w:rFonts w:hint="eastAsia" w:ascii="宋体" w:hAnsi="宋体" w:eastAsia="宋体" w:cs="宋体"/>
          <w:b/>
          <w:bCs w:val="0"/>
          <w:sz w:val="24"/>
          <w:highlight w:val="none"/>
          <w:lang w:val="en-US" w:eastAsia="zh-CN"/>
        </w:rPr>
        <w:t>、</w:t>
      </w:r>
      <w:r>
        <w:rPr>
          <w:rFonts w:hint="eastAsia" w:hAnsi="宋体"/>
          <w:b/>
          <w:bCs/>
          <w:color w:val="auto"/>
          <w:kern w:val="0"/>
          <w:sz w:val="24"/>
          <w:szCs w:val="24"/>
          <w:highlight w:val="none"/>
          <w:lang w:val="en-US" w:eastAsia="zh-CN"/>
        </w:rPr>
        <w:t>履约</w:t>
      </w:r>
      <w:r>
        <w:rPr>
          <w:rFonts w:hint="eastAsia" w:hAnsi="宋体" w:cs="宋体"/>
          <w:b/>
          <w:sz w:val="24"/>
          <w:szCs w:val="24"/>
          <w:highlight w:val="none"/>
        </w:rPr>
        <w:t>验收</w:t>
      </w:r>
    </w:p>
    <w:p w14:paraId="7CF18714">
      <w:pPr>
        <w:pStyle w:val="65"/>
        <w:keepNext w:val="0"/>
        <w:keepLines w:val="0"/>
        <w:pageBreakBefore w:val="0"/>
        <w:widowControl w:val="0"/>
        <w:tabs>
          <w:tab w:val="left" w:pos="0"/>
        </w:tabs>
        <w:kinsoku/>
        <w:wordWrap/>
        <w:overflowPunct/>
        <w:topLinePunct w:val="0"/>
        <w:autoSpaceDE/>
        <w:autoSpaceDN/>
        <w:bidi w:val="0"/>
        <w:spacing w:before="0" w:after="0" w:line="360" w:lineRule="auto"/>
        <w:ind w:left="0" w:leftChars="0" w:firstLine="480"/>
        <w:textAlignment w:val="auto"/>
        <w:rPr>
          <w:rFonts w:hint="eastAsia" w:ascii="宋体" w:hAnsi="宋体" w:cs="宋体"/>
          <w:szCs w:val="24"/>
          <w:highlight w:val="none"/>
        </w:rPr>
      </w:pPr>
      <w:r>
        <w:rPr>
          <w:rFonts w:hint="eastAsia" w:ascii="宋体" w:hAnsi="宋体" w:cs="宋体"/>
          <w:szCs w:val="24"/>
          <w:highlight w:val="none"/>
        </w:rPr>
        <w:t>1</w:t>
      </w:r>
      <w:r>
        <w:rPr>
          <w:rFonts w:hint="eastAsia" w:ascii="宋体" w:hAnsi="宋体" w:cs="宋体"/>
          <w:szCs w:val="24"/>
          <w:highlight w:val="none"/>
          <w:lang w:eastAsia="zh-CN"/>
        </w:rPr>
        <w:t>甲方</w:t>
      </w:r>
      <w:r>
        <w:rPr>
          <w:rFonts w:hint="eastAsia" w:ascii="宋体" w:hAnsi="宋体" w:cs="宋体"/>
          <w:szCs w:val="24"/>
          <w:highlight w:val="none"/>
        </w:rPr>
        <w:t>组织对</w:t>
      </w:r>
      <w:r>
        <w:rPr>
          <w:rFonts w:hint="eastAsia" w:ascii="宋体" w:hAnsi="宋体" w:cs="宋体"/>
          <w:szCs w:val="24"/>
          <w:highlight w:val="none"/>
          <w:lang w:eastAsia="zh-CN"/>
        </w:rPr>
        <w:t>乙方</w:t>
      </w:r>
      <w:r>
        <w:rPr>
          <w:rFonts w:hint="eastAsia" w:ascii="宋体" w:hAnsi="宋体" w:cs="宋体"/>
          <w:szCs w:val="24"/>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cs="宋体"/>
          <w:szCs w:val="24"/>
          <w:highlight w:val="none"/>
          <w:lang w:eastAsia="zh-CN"/>
        </w:rPr>
        <w:t>乙方</w:t>
      </w:r>
      <w:r>
        <w:rPr>
          <w:rFonts w:hint="eastAsia" w:ascii="宋体" w:hAnsi="宋体" w:cs="宋体"/>
          <w:szCs w:val="24"/>
          <w:highlight w:val="none"/>
        </w:rPr>
        <w:t>须承担由此发生的一切损失和费用，并接受相应的处理。</w:t>
      </w:r>
    </w:p>
    <w:p w14:paraId="076C3905">
      <w:pPr>
        <w:pStyle w:val="65"/>
        <w:keepNext w:val="0"/>
        <w:keepLines w:val="0"/>
        <w:pageBreakBefore w:val="0"/>
        <w:widowControl w:val="0"/>
        <w:tabs>
          <w:tab w:val="left" w:pos="0"/>
        </w:tabs>
        <w:kinsoku/>
        <w:wordWrap/>
        <w:overflowPunct/>
        <w:topLinePunct w:val="0"/>
        <w:autoSpaceDE/>
        <w:autoSpaceDN/>
        <w:bidi w:val="0"/>
        <w:spacing w:before="0" w:after="0" w:line="360" w:lineRule="auto"/>
        <w:ind w:left="0" w:leftChars="0" w:firstLine="480"/>
        <w:textAlignment w:val="auto"/>
        <w:rPr>
          <w:rFonts w:hint="eastAsia" w:ascii="宋体" w:hAnsi="宋体" w:cs="宋体"/>
          <w:szCs w:val="24"/>
          <w:highlight w:val="none"/>
        </w:rPr>
      </w:pPr>
      <w:r>
        <w:rPr>
          <w:rFonts w:hint="eastAsia" w:ascii="宋体" w:hAnsi="宋体" w:cs="宋体"/>
          <w:szCs w:val="24"/>
          <w:highlight w:val="none"/>
        </w:rPr>
        <w:t>2</w:t>
      </w:r>
      <w:r>
        <w:rPr>
          <w:rFonts w:hint="eastAsia" w:ascii="宋体" w:hAnsi="宋体" w:cs="宋体"/>
          <w:szCs w:val="24"/>
          <w:highlight w:val="none"/>
          <w:lang w:eastAsia="zh-CN"/>
        </w:rPr>
        <w:t>甲方</w:t>
      </w:r>
      <w:r>
        <w:rPr>
          <w:rFonts w:hint="eastAsia" w:ascii="宋体" w:hAnsi="宋体" w:cs="宋体"/>
          <w:szCs w:val="24"/>
          <w:highlight w:val="none"/>
        </w:rPr>
        <w:t>应当及时对采购项目进行验收，</w:t>
      </w:r>
      <w:r>
        <w:rPr>
          <w:rFonts w:hint="eastAsia" w:ascii="宋体" w:hAnsi="宋体" w:cs="宋体"/>
          <w:szCs w:val="24"/>
          <w:highlight w:val="none"/>
          <w:lang w:eastAsia="zh-CN"/>
        </w:rPr>
        <w:t>甲方</w:t>
      </w:r>
      <w:r>
        <w:rPr>
          <w:rFonts w:hint="eastAsia" w:ascii="宋体" w:hAnsi="宋体" w:cs="宋体"/>
          <w:szCs w:val="24"/>
          <w:highlight w:val="none"/>
        </w:rPr>
        <w:t>可以邀请参加本项目的其他投标人或者第三方机构参与验收，参与验收的投标人或者第三方机构的意见作为验收书的参考资料一并存档。</w:t>
      </w:r>
    </w:p>
    <w:p w14:paraId="34BDD0B6">
      <w:pPr>
        <w:pStyle w:val="65"/>
        <w:keepNext w:val="0"/>
        <w:keepLines w:val="0"/>
        <w:pageBreakBefore w:val="0"/>
        <w:widowControl w:val="0"/>
        <w:tabs>
          <w:tab w:val="left" w:pos="0"/>
        </w:tabs>
        <w:kinsoku/>
        <w:wordWrap/>
        <w:overflowPunct/>
        <w:topLinePunct w:val="0"/>
        <w:autoSpaceDE/>
        <w:autoSpaceDN/>
        <w:bidi w:val="0"/>
        <w:spacing w:before="0" w:after="0" w:line="360" w:lineRule="auto"/>
        <w:ind w:left="0" w:leftChars="0" w:firstLine="480"/>
        <w:textAlignment w:val="auto"/>
        <w:rPr>
          <w:rFonts w:hint="eastAsia" w:ascii="宋体" w:hAnsi="宋体" w:eastAsia="宋体" w:cs="宋体"/>
          <w:sz w:val="24"/>
          <w:szCs w:val="24"/>
          <w:highlight w:val="none"/>
        </w:rPr>
      </w:pPr>
      <w:r>
        <w:rPr>
          <w:rFonts w:hint="eastAsia" w:ascii="宋体" w:hAnsi="宋体" w:cs="宋体"/>
          <w:szCs w:val="24"/>
          <w:highlight w:val="none"/>
        </w:rPr>
        <w:t>3</w:t>
      </w:r>
      <w:r>
        <w:rPr>
          <w:rFonts w:hint="eastAsia" w:ascii="宋体" w:hAnsi="宋体" w:cs="宋体"/>
          <w:szCs w:val="24"/>
          <w:highlight w:val="none"/>
          <w:lang w:eastAsia="zh-CN"/>
        </w:rPr>
        <w:t>甲方</w:t>
      </w:r>
      <w:r>
        <w:rPr>
          <w:rFonts w:hint="eastAsia" w:ascii="宋体" w:hAnsi="宋体" w:cs="宋体"/>
          <w:szCs w:val="24"/>
          <w:highlight w:val="none"/>
        </w:rPr>
        <w:t>负责加强对</w:t>
      </w:r>
      <w:r>
        <w:rPr>
          <w:rFonts w:hint="eastAsia" w:ascii="宋体" w:hAnsi="宋体" w:cs="宋体"/>
          <w:szCs w:val="24"/>
          <w:highlight w:val="none"/>
          <w:lang w:eastAsia="zh-CN"/>
        </w:rPr>
        <w:t>乙方</w:t>
      </w:r>
      <w:r>
        <w:rPr>
          <w:rFonts w:hint="eastAsia" w:ascii="宋体" w:hAnsi="宋体" w:cs="宋体"/>
          <w:szCs w:val="24"/>
          <w:highlight w:val="none"/>
        </w:rPr>
        <w:t>的履约管理，并按照采购合同约定，及时向</w:t>
      </w:r>
      <w:r>
        <w:rPr>
          <w:rFonts w:hint="eastAsia" w:ascii="宋体" w:hAnsi="宋体" w:cs="宋体"/>
          <w:szCs w:val="24"/>
          <w:highlight w:val="none"/>
          <w:lang w:eastAsia="zh-CN"/>
        </w:rPr>
        <w:t>乙方</w:t>
      </w:r>
      <w:r>
        <w:rPr>
          <w:rFonts w:hint="eastAsia" w:ascii="宋体" w:hAnsi="宋体" w:cs="宋体"/>
          <w:szCs w:val="24"/>
          <w:highlight w:val="none"/>
        </w:rPr>
        <w:t>支付采购资金。对于</w:t>
      </w:r>
      <w:r>
        <w:rPr>
          <w:rFonts w:hint="eastAsia" w:ascii="宋体" w:hAnsi="宋体" w:cs="宋体"/>
          <w:szCs w:val="24"/>
          <w:highlight w:val="none"/>
          <w:lang w:eastAsia="zh-CN"/>
        </w:rPr>
        <w:t>乙方</w:t>
      </w:r>
      <w:r>
        <w:rPr>
          <w:rFonts w:hint="eastAsia" w:ascii="宋体" w:hAnsi="宋体" w:cs="宋体"/>
          <w:szCs w:val="24"/>
          <w:highlight w:val="none"/>
        </w:rPr>
        <w:t>违反采购合同约定的行为，</w:t>
      </w:r>
      <w:r>
        <w:rPr>
          <w:rFonts w:hint="eastAsia" w:ascii="宋体" w:hAnsi="宋体" w:cs="宋体"/>
          <w:szCs w:val="24"/>
          <w:highlight w:val="none"/>
          <w:lang w:eastAsia="zh-CN"/>
        </w:rPr>
        <w:t>甲方</w:t>
      </w:r>
      <w:r>
        <w:rPr>
          <w:rFonts w:hint="eastAsia" w:ascii="宋体" w:hAnsi="宋体" w:cs="宋体"/>
          <w:szCs w:val="24"/>
          <w:highlight w:val="none"/>
        </w:rPr>
        <w:t>应当及时处理，依法追究其违约责任。</w:t>
      </w:r>
    </w:p>
    <w:p w14:paraId="0B9CA08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val="0"/>
          <w:sz w:val="24"/>
          <w:highlight w:val="none"/>
          <w:lang w:val="en-US" w:eastAsia="zh-CN"/>
        </w:rPr>
      </w:pPr>
      <w:r>
        <w:rPr>
          <w:rFonts w:hint="eastAsia" w:ascii="宋体" w:hAnsi="宋体" w:cs="宋体"/>
          <w:b/>
          <w:bCs w:val="0"/>
          <w:sz w:val="24"/>
          <w:highlight w:val="none"/>
          <w:lang w:val="en-US" w:eastAsia="zh-CN"/>
        </w:rPr>
        <w:t>六</w:t>
      </w:r>
      <w:r>
        <w:rPr>
          <w:rFonts w:hint="eastAsia" w:ascii="宋体" w:hAnsi="宋体" w:eastAsia="宋体" w:cs="宋体"/>
          <w:b/>
          <w:bCs w:val="0"/>
          <w:sz w:val="24"/>
          <w:highlight w:val="none"/>
          <w:lang w:val="en-US" w:eastAsia="zh-CN"/>
        </w:rPr>
        <w:t>.中标价</w:t>
      </w:r>
    </w:p>
    <w:p w14:paraId="123D56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1</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lang w:val="en-US" w:eastAsia="zh-CN"/>
        </w:rPr>
        <w:t>中标价为人民币</w:t>
      </w:r>
      <w:r>
        <w:rPr>
          <w:rFonts w:hint="eastAsia" w:ascii="宋体" w:hAnsi="宋体" w:eastAsia="宋体" w:cs="宋体"/>
          <w:b w:val="0"/>
          <w:bCs/>
          <w:sz w:val="24"/>
          <w:highlight w:val="none"/>
          <w:u w:val="single"/>
          <w:lang w:val="en-US" w:eastAsia="zh-CN"/>
        </w:rPr>
        <w:t xml:space="preserve">         </w:t>
      </w:r>
      <w:r>
        <w:rPr>
          <w:rFonts w:hint="eastAsia" w:ascii="宋体" w:hAnsi="宋体" w:eastAsia="宋体" w:cs="宋体"/>
          <w:b w:val="0"/>
          <w:bCs/>
          <w:sz w:val="24"/>
          <w:highlight w:val="none"/>
          <w:lang w:val="en-US" w:eastAsia="zh-CN"/>
        </w:rPr>
        <w:t>元（大写:          元），包括但不限于日常运营服务费、人工费、宣传费、管理费、税金、风险、代理服务费等完成本项目的全部费用。凡乙方在报价中未列明但又为本次采购所必备的项目或遗漏项目，甲方将一律视为已包括在合同价中，在合同执行中将不予考虑。</w:t>
      </w:r>
    </w:p>
    <w:p w14:paraId="5E2C32F9">
      <w:pPr>
        <w:keepNext w:val="0"/>
        <w:keepLines w:val="0"/>
        <w:pageBreakBefore w:val="0"/>
        <w:widowControl w:val="0"/>
        <w:tabs>
          <w:tab w:val="left" w:pos="461"/>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val="0"/>
          <w:bCs/>
          <w:sz w:val="24"/>
          <w:highlight w:val="none"/>
          <w:lang w:val="en-US" w:eastAsia="zh-CN"/>
        </w:rPr>
      </w:pPr>
      <w:r>
        <w:rPr>
          <w:rFonts w:hint="eastAsia" w:ascii="宋体" w:hAnsi="宋体" w:eastAsia="宋体" w:cs="宋体"/>
          <w:b w:val="0"/>
          <w:bCs/>
          <w:sz w:val="24"/>
          <w:highlight w:val="none"/>
          <w:lang w:val="en-US" w:eastAsia="zh-CN"/>
        </w:rPr>
        <w:t>2</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lang w:val="en-US" w:eastAsia="zh-CN"/>
        </w:rPr>
        <w:t>付款方式</w:t>
      </w:r>
      <w:r>
        <w:rPr>
          <w:rFonts w:hint="eastAsia" w:ascii="宋体" w:hAnsi="宋体" w:cs="宋体"/>
          <w:b w:val="0"/>
          <w:bCs/>
          <w:sz w:val="24"/>
          <w:highlight w:val="none"/>
          <w:lang w:val="en-US" w:eastAsia="zh-CN"/>
        </w:rPr>
        <w:t>：</w:t>
      </w:r>
    </w:p>
    <w:p w14:paraId="54633F38">
      <w:pPr>
        <w:numPr>
          <w:ilvl w:val="0"/>
          <w:numId w:val="0"/>
        </w:numPr>
        <w:spacing w:line="36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在合同生效以及具备实施条件后7个工作日内向</w:t>
      </w:r>
      <w:r>
        <w:rPr>
          <w:rFonts w:hint="eastAsia" w:ascii="宋体" w:hAnsi="宋体" w:cs="宋体"/>
          <w:color w:val="auto"/>
          <w:kern w:val="2"/>
          <w:sz w:val="24"/>
          <w:szCs w:val="24"/>
          <w:highlight w:val="none"/>
          <w:lang w:val="en-US" w:eastAsia="zh-CN" w:bidi="ar-SA"/>
        </w:rPr>
        <w:t>乙方</w:t>
      </w:r>
      <w:r>
        <w:rPr>
          <w:rFonts w:hint="eastAsia" w:ascii="宋体" w:hAnsi="宋体" w:eastAsia="宋体" w:cs="宋体"/>
          <w:color w:val="auto"/>
          <w:kern w:val="2"/>
          <w:sz w:val="24"/>
          <w:szCs w:val="24"/>
          <w:highlight w:val="none"/>
          <w:lang w:val="en-US" w:eastAsia="zh-CN" w:bidi="ar-SA"/>
        </w:rPr>
        <w:t>支付</w:t>
      </w:r>
      <w:r>
        <w:rPr>
          <w:rFonts w:hint="eastAsia" w:ascii="宋体" w:hAnsi="宋体" w:cs="宋体"/>
          <w:color w:val="auto"/>
          <w:kern w:val="2"/>
          <w:sz w:val="24"/>
          <w:szCs w:val="24"/>
          <w:highlight w:val="none"/>
          <w:lang w:val="en-US" w:eastAsia="zh-CN" w:bidi="ar-SA"/>
        </w:rPr>
        <w:t>70%</w:t>
      </w:r>
      <w:r>
        <w:rPr>
          <w:rFonts w:hint="eastAsia" w:ascii="宋体" w:hAnsi="宋体" w:eastAsia="宋体" w:cs="宋体"/>
          <w:color w:val="auto"/>
          <w:kern w:val="2"/>
          <w:sz w:val="24"/>
          <w:szCs w:val="24"/>
          <w:highlight w:val="none"/>
          <w:lang w:val="en-US" w:eastAsia="zh-CN" w:bidi="ar-SA"/>
        </w:rPr>
        <w:t>合同价款</w:t>
      </w:r>
      <w:r>
        <w:rPr>
          <w:rFonts w:hint="eastAsia" w:ascii="宋体" w:hAnsi="宋体" w:cs="宋体"/>
          <w:color w:val="auto"/>
          <w:kern w:val="2"/>
          <w:sz w:val="24"/>
          <w:szCs w:val="24"/>
          <w:highlight w:val="none"/>
          <w:lang w:val="en-US" w:eastAsia="zh-CN" w:bidi="ar-SA"/>
        </w:rPr>
        <w:t>；项目完成并验收合格后支付剩余合同价款。</w:t>
      </w:r>
    </w:p>
    <w:p w14:paraId="3E33AC1C">
      <w:pPr>
        <w:keepNext w:val="0"/>
        <w:keepLines w:val="0"/>
        <w:pageBreakBefore w:val="0"/>
        <w:widowControl w:val="0"/>
        <w:tabs>
          <w:tab w:val="left" w:pos="461"/>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3付款要求：</w:t>
      </w:r>
    </w:p>
    <w:p w14:paraId="53EEC549">
      <w:pPr>
        <w:pStyle w:val="5"/>
        <w:keepNext/>
        <w:keepLines w:val="0"/>
        <w:pageBreakBefore w:val="0"/>
        <w:widowControl w:val="0"/>
        <w:kinsoku/>
        <w:wordWrap/>
        <w:overflowPunct/>
        <w:topLinePunct w:val="0"/>
        <w:autoSpaceDE/>
        <w:autoSpaceDN/>
        <w:bidi w:val="0"/>
        <w:adjustRightInd/>
        <w:snapToGrid/>
        <w:ind w:firstLine="482" w:firstLineChars="200"/>
        <w:textAlignment w:val="auto"/>
        <w:rPr>
          <w:rFonts w:hint="default"/>
          <w:sz w:val="24"/>
          <w:szCs w:val="24"/>
          <w:highlight w:val="none"/>
          <w:lang w:val="en-US" w:eastAsia="zh-CN"/>
        </w:rPr>
      </w:pPr>
      <w:r>
        <w:rPr>
          <w:rFonts w:hint="eastAsia" w:hAnsi="宋体" w:cs="宋体"/>
          <w:color w:val="000000"/>
          <w:sz w:val="24"/>
          <w:szCs w:val="24"/>
          <w:highlight w:val="none"/>
          <w:lang w:val="en-US" w:eastAsia="zh-CN"/>
        </w:rPr>
        <w:t>乙方</w:t>
      </w:r>
      <w:r>
        <w:rPr>
          <w:rFonts w:hint="eastAsia" w:ascii="宋体" w:hAnsi="宋体" w:eastAsia="宋体" w:cs="宋体"/>
          <w:color w:val="000000"/>
          <w:sz w:val="24"/>
          <w:szCs w:val="24"/>
          <w:highlight w:val="none"/>
          <w:lang w:val="en-US" w:eastAsia="zh-CN"/>
        </w:rPr>
        <w:t>在收款之前，应向</w:t>
      </w:r>
      <w:r>
        <w:rPr>
          <w:rFonts w:hint="eastAsia" w:hAnsi="宋体" w:cs="宋体"/>
          <w:color w:val="000000"/>
          <w:sz w:val="24"/>
          <w:szCs w:val="24"/>
          <w:highlight w:val="none"/>
          <w:lang w:val="en-US" w:eastAsia="zh-CN"/>
        </w:rPr>
        <w:t>甲方</w:t>
      </w:r>
      <w:r>
        <w:rPr>
          <w:rFonts w:hint="eastAsia" w:ascii="宋体" w:hAnsi="宋体" w:eastAsia="宋体" w:cs="宋体"/>
          <w:color w:val="000000"/>
          <w:sz w:val="24"/>
          <w:szCs w:val="24"/>
          <w:highlight w:val="none"/>
          <w:lang w:val="en-US" w:eastAsia="zh-CN"/>
        </w:rPr>
        <w:t>提供等额、合法、有效的发票，</w:t>
      </w:r>
      <w:r>
        <w:rPr>
          <w:rFonts w:hint="eastAsia" w:hAnsi="宋体" w:cs="宋体"/>
          <w:color w:val="000000"/>
          <w:sz w:val="24"/>
          <w:szCs w:val="24"/>
          <w:highlight w:val="none"/>
          <w:lang w:val="en-US" w:eastAsia="zh-CN"/>
        </w:rPr>
        <w:t>甲方</w:t>
      </w:r>
      <w:r>
        <w:rPr>
          <w:rFonts w:hint="eastAsia" w:ascii="宋体" w:hAnsi="宋体" w:eastAsia="宋体" w:cs="宋体"/>
          <w:color w:val="000000"/>
          <w:sz w:val="24"/>
          <w:szCs w:val="24"/>
          <w:highlight w:val="none"/>
          <w:lang w:val="en-US" w:eastAsia="zh-CN"/>
        </w:rPr>
        <w:t>凭发票付款。如</w:t>
      </w:r>
      <w:r>
        <w:rPr>
          <w:rFonts w:hint="eastAsia" w:hAnsi="宋体" w:cs="宋体"/>
          <w:color w:val="000000"/>
          <w:sz w:val="24"/>
          <w:szCs w:val="24"/>
          <w:highlight w:val="none"/>
          <w:lang w:val="en-US" w:eastAsia="zh-CN"/>
        </w:rPr>
        <w:t>乙方</w:t>
      </w:r>
      <w:r>
        <w:rPr>
          <w:rFonts w:hint="eastAsia" w:ascii="宋体" w:hAnsi="宋体" w:eastAsia="宋体" w:cs="宋体"/>
          <w:color w:val="000000"/>
          <w:sz w:val="24"/>
          <w:szCs w:val="24"/>
          <w:highlight w:val="none"/>
          <w:lang w:val="en-US" w:eastAsia="zh-CN"/>
        </w:rPr>
        <w:t>未按约定提供发票的，</w:t>
      </w:r>
      <w:r>
        <w:rPr>
          <w:rFonts w:hint="eastAsia" w:hAnsi="宋体" w:cs="宋体"/>
          <w:color w:val="000000"/>
          <w:sz w:val="24"/>
          <w:szCs w:val="24"/>
          <w:highlight w:val="none"/>
          <w:lang w:val="en-US" w:eastAsia="zh-CN"/>
        </w:rPr>
        <w:t>甲方</w:t>
      </w:r>
      <w:r>
        <w:rPr>
          <w:rFonts w:hint="eastAsia" w:ascii="宋体" w:hAnsi="宋体" w:eastAsia="宋体" w:cs="宋体"/>
          <w:color w:val="000000"/>
          <w:sz w:val="24"/>
          <w:szCs w:val="24"/>
          <w:highlight w:val="none"/>
          <w:lang w:val="en-US" w:eastAsia="zh-CN"/>
        </w:rPr>
        <w:t>有权拒绝付款，直至收到</w:t>
      </w:r>
      <w:r>
        <w:rPr>
          <w:rFonts w:hint="eastAsia" w:hAnsi="宋体" w:cs="宋体"/>
          <w:color w:val="000000"/>
          <w:sz w:val="24"/>
          <w:szCs w:val="24"/>
          <w:highlight w:val="none"/>
          <w:lang w:val="en-US" w:eastAsia="zh-CN"/>
        </w:rPr>
        <w:t>乙方</w:t>
      </w:r>
      <w:r>
        <w:rPr>
          <w:rFonts w:hint="eastAsia" w:ascii="宋体" w:hAnsi="宋体" w:eastAsia="宋体" w:cs="宋体"/>
          <w:color w:val="000000"/>
          <w:sz w:val="24"/>
          <w:szCs w:val="24"/>
          <w:highlight w:val="none"/>
          <w:lang w:val="en-US" w:eastAsia="zh-CN"/>
        </w:rPr>
        <w:t>提交的相应发票为止，在此情况下，</w:t>
      </w:r>
      <w:r>
        <w:rPr>
          <w:rFonts w:hint="eastAsia" w:hAnsi="宋体" w:cs="宋体"/>
          <w:color w:val="000000"/>
          <w:sz w:val="24"/>
          <w:szCs w:val="24"/>
          <w:highlight w:val="none"/>
          <w:lang w:val="en-US" w:eastAsia="zh-CN"/>
        </w:rPr>
        <w:t>甲方</w:t>
      </w:r>
      <w:r>
        <w:rPr>
          <w:rFonts w:hint="eastAsia" w:ascii="宋体" w:hAnsi="宋体" w:eastAsia="宋体" w:cs="宋体"/>
          <w:color w:val="000000"/>
          <w:sz w:val="24"/>
          <w:szCs w:val="24"/>
          <w:highlight w:val="none"/>
          <w:lang w:val="en-US" w:eastAsia="zh-CN"/>
        </w:rPr>
        <w:t>不承担逾期付款违约责任</w:t>
      </w:r>
      <w:r>
        <w:rPr>
          <w:rFonts w:hint="eastAsia" w:hAnsi="宋体" w:cs="宋体"/>
          <w:color w:val="000000"/>
          <w:sz w:val="24"/>
          <w:szCs w:val="24"/>
          <w:highlight w:val="none"/>
          <w:lang w:val="en-US" w:eastAsia="zh-CN"/>
        </w:rPr>
        <w:t>。</w:t>
      </w:r>
    </w:p>
    <w:p w14:paraId="4A39127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sz w:val="24"/>
          <w:highlight w:val="none"/>
        </w:rPr>
      </w:pPr>
      <w:r>
        <w:rPr>
          <w:rFonts w:hint="eastAsia" w:ascii="宋体" w:hAnsi="宋体" w:cs="宋体"/>
          <w:b/>
          <w:sz w:val="24"/>
          <w:highlight w:val="none"/>
          <w:lang w:eastAsia="zh-CN"/>
        </w:rPr>
        <w:t>七</w:t>
      </w:r>
      <w:r>
        <w:rPr>
          <w:rFonts w:hint="eastAsia" w:ascii="宋体" w:hAnsi="宋体" w:eastAsia="宋体" w:cs="宋体"/>
          <w:b/>
          <w:sz w:val="24"/>
          <w:highlight w:val="none"/>
        </w:rPr>
        <w:t>、转包或分包</w:t>
      </w:r>
    </w:p>
    <w:p w14:paraId="1BB01671">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不允许转包。</w:t>
      </w:r>
    </w:p>
    <w:p w14:paraId="15495884">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2、不</w:t>
      </w:r>
      <w:r>
        <w:rPr>
          <w:rFonts w:hint="eastAsia" w:ascii="宋体" w:hAnsi="宋体" w:eastAsia="宋体" w:cs="宋体"/>
          <w:bCs/>
          <w:color w:val="auto"/>
          <w:sz w:val="24"/>
          <w:highlight w:val="none"/>
        </w:rPr>
        <w:t>允许分包。</w:t>
      </w:r>
    </w:p>
    <w:p w14:paraId="25684D72">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如乙方将项目转包或将不允许分包部分进行了分包，甲方有权解除合同，并追究乙方的违约责任。</w:t>
      </w:r>
    </w:p>
    <w:p w14:paraId="587369F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sz w:val="24"/>
          <w:highlight w:val="none"/>
        </w:rPr>
      </w:pPr>
      <w:r>
        <w:rPr>
          <w:rFonts w:hint="eastAsia" w:ascii="宋体" w:hAnsi="宋体" w:cs="宋体"/>
          <w:b/>
          <w:sz w:val="24"/>
          <w:highlight w:val="none"/>
          <w:lang w:eastAsia="zh-CN"/>
        </w:rPr>
        <w:t>八</w:t>
      </w:r>
      <w:r>
        <w:rPr>
          <w:rFonts w:hint="eastAsia" w:ascii="宋体" w:hAnsi="宋体" w:eastAsia="宋体" w:cs="宋体"/>
          <w:b/>
          <w:sz w:val="24"/>
          <w:highlight w:val="none"/>
        </w:rPr>
        <w:t>、违约责任</w:t>
      </w:r>
    </w:p>
    <w:p w14:paraId="3575300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除合同规定的不可抗力外，如果乙方没有按照合同规定的时间提供服务，甲方可要求乙方支付违约金。违约金按合同款的</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%计收。但违约金的最高限额为合同价的</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%。一周按 7 天计算，不足 7 天按一周计算。如果达到最高限额，甲方有权解除合同。</w:t>
      </w:r>
    </w:p>
    <w:p w14:paraId="617C763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项目结束时验收不合格，乙方应在收到甲方通知后 7 日内退还甲方已支付的合同款，逾期退还合同款的，每日按未退还金额的</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%支付违约金。</w:t>
      </w:r>
    </w:p>
    <w:p w14:paraId="3CCAA80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highlight w:val="none"/>
        </w:rPr>
        <w:t>其他违约条款双方协商确定：</w:t>
      </w:r>
      <w:r>
        <w:rPr>
          <w:rFonts w:hint="eastAsia" w:ascii="宋体" w:hAnsi="宋体" w:eastAsia="宋体" w:cs="宋体"/>
          <w:bCs/>
          <w:sz w:val="24"/>
          <w:szCs w:val="24"/>
          <w:highlight w:val="none"/>
        </w:rPr>
        <w:t xml:space="preserve">  </w:t>
      </w:r>
    </w:p>
    <w:p w14:paraId="6BEE3AB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九</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违约解除合同</w:t>
      </w:r>
    </w:p>
    <w:p w14:paraId="315AC35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1.在乙方违约的情况下，甲方可向乙方发出书面通知，部分或全部终止合同,同时保留向乙方追诉的权利：</w:t>
      </w:r>
    </w:p>
    <w:p w14:paraId="043F93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乙方未能在合同规定的限期或甲方同意延长的限期内，提供全部或部分标的物的；</w:t>
      </w:r>
    </w:p>
    <w:p w14:paraId="5AA5D4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乙方未能履行合同规定</w:t>
      </w:r>
      <w:r>
        <w:rPr>
          <w:rFonts w:hint="eastAsia" w:ascii="宋体" w:hAnsi="宋体" w:cs="宋体"/>
          <w:sz w:val="24"/>
          <w:szCs w:val="24"/>
          <w:highlight w:val="none"/>
          <w:lang w:eastAsia="zh-CN"/>
        </w:rPr>
        <w:t>的其他</w:t>
      </w:r>
      <w:r>
        <w:rPr>
          <w:rFonts w:hint="eastAsia" w:ascii="宋体" w:hAnsi="宋体" w:eastAsia="宋体" w:cs="宋体"/>
          <w:sz w:val="24"/>
          <w:szCs w:val="24"/>
          <w:highlight w:val="none"/>
        </w:rPr>
        <w:t>主要义务的；</w:t>
      </w:r>
    </w:p>
    <w:p w14:paraId="12B4ED2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甲方认为乙方在本合同履行过程中有腐败和欺诈等行为的。</w:t>
      </w:r>
    </w:p>
    <w:p w14:paraId="73F22EF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2.甲方解除合同的，合同于甲方发出书面解除合同通知书送达乙方之日起解除。乙方应在合同解除后</w:t>
      </w:r>
      <w:r>
        <w:rPr>
          <w:rFonts w:hint="eastAsia" w:ascii="宋体" w:hAnsi="宋体" w:eastAsia="宋体" w:cs="宋体"/>
          <w:sz w:val="24"/>
          <w:szCs w:val="24"/>
          <w:highlight w:val="none"/>
          <w:u w:val="single"/>
        </w:rPr>
        <w:t xml:space="preserve"> 7 </w:t>
      </w:r>
      <w:r>
        <w:rPr>
          <w:rFonts w:hint="eastAsia" w:ascii="宋体" w:hAnsi="宋体" w:eastAsia="宋体" w:cs="宋体"/>
          <w:sz w:val="24"/>
          <w:szCs w:val="24"/>
          <w:highlight w:val="none"/>
        </w:rPr>
        <w:t>日内退还甲方已支付的合同款，逾期退还合同款的，每日按未退还金额的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%支付违约金。</w:t>
      </w:r>
    </w:p>
    <w:p w14:paraId="0B97DCB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十</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破产终止合同</w:t>
      </w:r>
    </w:p>
    <w:p w14:paraId="0435F5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2CB5651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sz w:val="24"/>
          <w:highlight w:val="none"/>
        </w:rPr>
      </w:pPr>
      <w:r>
        <w:rPr>
          <w:rFonts w:hint="eastAsia" w:ascii="宋体" w:hAnsi="宋体" w:cs="宋体"/>
          <w:b/>
          <w:sz w:val="24"/>
          <w:highlight w:val="none"/>
          <w:lang w:val="en-US" w:eastAsia="zh-CN"/>
        </w:rPr>
        <w:t>十一</w:t>
      </w:r>
      <w:r>
        <w:rPr>
          <w:rFonts w:hint="eastAsia" w:ascii="宋体" w:hAnsi="宋体" w:eastAsia="宋体" w:cs="宋体"/>
          <w:b/>
          <w:sz w:val="24"/>
          <w:highlight w:val="none"/>
        </w:rPr>
        <w:t>、</w:t>
      </w:r>
      <w:r>
        <w:rPr>
          <w:rFonts w:hint="eastAsia" w:ascii="宋体" w:hAnsi="宋体" w:eastAsia="宋体" w:cs="宋体"/>
          <w:b/>
          <w:bCs/>
          <w:sz w:val="24"/>
          <w:szCs w:val="24"/>
          <w:highlight w:val="none"/>
          <w:lang w:val="en-US" w:eastAsia="zh-CN"/>
        </w:rPr>
        <w:t>不可抗力</w:t>
      </w:r>
      <w:r>
        <w:rPr>
          <w:rFonts w:hint="eastAsia" w:ascii="宋体" w:hAnsi="宋体" w:eastAsia="宋体" w:cs="宋体"/>
          <w:b/>
          <w:sz w:val="24"/>
          <w:highlight w:val="none"/>
        </w:rPr>
        <w:t>事件处理</w:t>
      </w:r>
    </w:p>
    <w:p w14:paraId="21820F19">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1.在合同有效期内，任何一方因不可抗力事件导致不能履行合同，则合同履行期可延长，其延长期与不可抗力影响期相同。</w:t>
      </w:r>
    </w:p>
    <w:p w14:paraId="72F6A3F3">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2.不可抗力事件发生后，应立即通知对方，并寄送有关权威机构出具的证明。</w:t>
      </w:r>
    </w:p>
    <w:p w14:paraId="03B751AE">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3.不可抗力事件延续120天以上，双方应通过友好协商，确定是否继续履行合同。</w:t>
      </w:r>
    </w:p>
    <w:p w14:paraId="374F2C12">
      <w:pPr>
        <w:keepNext w:val="0"/>
        <w:keepLines w:val="0"/>
        <w:pageBreakBefore w:val="0"/>
        <w:widowControl w:val="0"/>
        <w:tabs>
          <w:tab w:val="left" w:pos="840"/>
          <w:tab w:val="left" w:pos="1020"/>
        </w:tabs>
        <w:kinsoku/>
        <w:wordWrap/>
        <w:overflowPunct/>
        <w:topLinePunct w:val="0"/>
        <w:autoSpaceDE/>
        <w:autoSpaceDN/>
        <w:bidi w:val="0"/>
        <w:spacing w:line="360" w:lineRule="auto"/>
        <w:jc w:val="left"/>
        <w:textAlignment w:val="auto"/>
        <w:rPr>
          <w:rFonts w:hint="eastAsia" w:ascii="宋体" w:hAnsi="宋体" w:eastAsia="宋体" w:cs="宋体"/>
          <w:b/>
          <w:sz w:val="24"/>
          <w:highlight w:val="none"/>
        </w:rPr>
      </w:pPr>
      <w:r>
        <w:rPr>
          <w:rFonts w:hint="eastAsia" w:ascii="宋体" w:hAnsi="宋体" w:cs="宋体"/>
          <w:b/>
          <w:sz w:val="24"/>
          <w:highlight w:val="none"/>
          <w:lang w:val="en-US" w:eastAsia="zh-CN"/>
        </w:rPr>
        <w:t>十二</w:t>
      </w:r>
      <w:r>
        <w:rPr>
          <w:rFonts w:hint="eastAsia" w:ascii="宋体" w:hAnsi="宋体" w:eastAsia="宋体" w:cs="宋体"/>
          <w:b/>
          <w:sz w:val="24"/>
          <w:highlight w:val="none"/>
        </w:rPr>
        <w:t>、解决争议的方法</w:t>
      </w:r>
    </w:p>
    <w:p w14:paraId="73887218">
      <w:pPr>
        <w:numPr>
          <w:ilvl w:val="0"/>
          <w:numId w:val="0"/>
        </w:numPr>
        <w:spacing w:line="360" w:lineRule="auto"/>
        <w:ind w:firstLine="480" w:firstLineChars="200"/>
        <w:jc w:val="left"/>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lang w:val="en-US" w:eastAsia="zh-CN"/>
        </w:rPr>
        <w:t>1.</w:t>
      </w:r>
      <w:r>
        <w:rPr>
          <w:rFonts w:hint="eastAsia" w:ascii="宋体" w:hAnsi="宋体" w:eastAsia="宋体" w:cs="宋体"/>
          <w:kern w:val="0"/>
          <w:sz w:val="24"/>
          <w:szCs w:val="20"/>
          <w:highlight w:val="none"/>
        </w:rPr>
        <w:t xml:space="preserve"> 因本合同及合同有关事项发生的争议，由</w:t>
      </w:r>
      <w:r>
        <w:rPr>
          <w:rFonts w:hint="eastAsia" w:ascii="宋体" w:hAnsi="宋体" w:eastAsia="宋体" w:cs="宋体"/>
          <w:kern w:val="0"/>
          <w:sz w:val="24"/>
          <w:szCs w:val="20"/>
          <w:highlight w:val="none"/>
          <w:lang w:eastAsia="zh-CN"/>
        </w:rPr>
        <w:t>甲乙双</w:t>
      </w:r>
      <w:r>
        <w:rPr>
          <w:rFonts w:hint="eastAsia" w:ascii="宋体" w:hAnsi="宋体" w:eastAsia="宋体" w:cs="宋体"/>
          <w:kern w:val="0"/>
          <w:sz w:val="24"/>
          <w:szCs w:val="20"/>
          <w:highlight w:val="none"/>
        </w:rPr>
        <w:t>方友好协商解决。协商不成时，可以</w:t>
      </w:r>
      <w:r>
        <w:rPr>
          <w:rFonts w:hint="eastAsia" w:ascii="宋体" w:hAnsi="宋体" w:eastAsia="宋体" w:cs="宋体"/>
          <w:kern w:val="0"/>
          <w:sz w:val="24"/>
          <w:szCs w:val="20"/>
          <w:highlight w:val="none"/>
          <w:lang w:eastAsia="zh-CN"/>
        </w:rPr>
        <w:t>向有关组织申请</w:t>
      </w:r>
      <w:r>
        <w:rPr>
          <w:rFonts w:hint="eastAsia" w:ascii="宋体" w:hAnsi="宋体" w:eastAsia="宋体" w:cs="宋体"/>
          <w:kern w:val="0"/>
          <w:sz w:val="24"/>
          <w:szCs w:val="20"/>
          <w:highlight w:val="none"/>
        </w:rPr>
        <w:t>调解。合同一方或</w:t>
      </w:r>
      <w:r>
        <w:rPr>
          <w:rFonts w:hint="eastAsia" w:ascii="宋体" w:hAnsi="宋体" w:eastAsia="宋体" w:cs="宋体"/>
          <w:kern w:val="0"/>
          <w:sz w:val="24"/>
          <w:szCs w:val="20"/>
          <w:highlight w:val="none"/>
          <w:lang w:eastAsia="zh-CN"/>
        </w:rPr>
        <w:t>双</w:t>
      </w:r>
      <w:r>
        <w:rPr>
          <w:rFonts w:hint="eastAsia" w:ascii="宋体" w:hAnsi="宋体" w:eastAsia="宋体" w:cs="宋体"/>
          <w:kern w:val="0"/>
          <w:sz w:val="24"/>
          <w:szCs w:val="20"/>
          <w:highlight w:val="none"/>
        </w:rPr>
        <w:t>方不愿调解或调解不成的，可以通过仲裁或诉讼的方式解决争议。</w:t>
      </w:r>
    </w:p>
    <w:p w14:paraId="79A62BEE">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b w:val="0"/>
          <w:bCs w:val="0"/>
          <w:iCs/>
          <w:color w:val="auto"/>
          <w:kern w:val="2"/>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iCs/>
          <w:color w:val="auto"/>
          <w:kern w:val="2"/>
          <w:sz w:val="24"/>
          <w:szCs w:val="24"/>
          <w:highlight w:val="none"/>
        </w:rPr>
        <w:t>因本合同及合同有关事项发生的争议，按下列第</w:t>
      </w:r>
      <w:r>
        <w:rPr>
          <w:rFonts w:hint="eastAsia" w:ascii="宋体" w:hAnsi="宋体" w:eastAsia="宋体" w:cs="宋体"/>
          <w:b w:val="0"/>
          <w:bCs w:val="0"/>
          <w:iCs/>
          <w:color w:val="auto"/>
          <w:kern w:val="2"/>
          <w:sz w:val="24"/>
          <w:szCs w:val="24"/>
          <w:highlight w:val="none"/>
          <w:u w:val="single"/>
          <w:lang w:eastAsia="zh-CN"/>
        </w:rPr>
        <w:t>（</w:t>
      </w:r>
      <w:r>
        <w:rPr>
          <w:rFonts w:hint="eastAsia" w:ascii="宋体" w:hAnsi="宋体" w:eastAsia="宋体" w:cs="宋体"/>
          <w:b w:val="0"/>
          <w:bCs w:val="0"/>
          <w:iCs/>
          <w:color w:val="auto"/>
          <w:kern w:val="2"/>
          <w:sz w:val="24"/>
          <w:szCs w:val="24"/>
          <w:highlight w:val="none"/>
          <w:u w:val="single"/>
          <w:lang w:val="en-US" w:eastAsia="zh-CN"/>
        </w:rPr>
        <w:t>2</w:t>
      </w:r>
      <w:r>
        <w:rPr>
          <w:rFonts w:hint="eastAsia" w:ascii="宋体" w:hAnsi="宋体" w:eastAsia="宋体" w:cs="宋体"/>
          <w:b w:val="0"/>
          <w:bCs w:val="0"/>
          <w:iCs/>
          <w:color w:val="auto"/>
          <w:kern w:val="2"/>
          <w:sz w:val="24"/>
          <w:szCs w:val="24"/>
          <w:highlight w:val="none"/>
          <w:u w:val="single"/>
          <w:lang w:eastAsia="zh-CN"/>
        </w:rPr>
        <w:t>）</w:t>
      </w:r>
      <w:r>
        <w:rPr>
          <w:rFonts w:hint="eastAsia" w:ascii="宋体" w:hAnsi="宋体" w:eastAsia="宋体" w:cs="宋体"/>
          <w:b w:val="0"/>
          <w:bCs w:val="0"/>
          <w:iCs/>
          <w:color w:val="auto"/>
          <w:kern w:val="2"/>
          <w:sz w:val="24"/>
          <w:szCs w:val="24"/>
          <w:highlight w:val="none"/>
        </w:rPr>
        <w:t>种方式解决：</w:t>
      </w:r>
    </w:p>
    <w:p w14:paraId="5A8027C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right="0" w:firstLine="480" w:firstLineChars="200"/>
        <w:jc w:val="left"/>
        <w:textAlignment w:val="auto"/>
        <w:rPr>
          <w:rFonts w:hint="eastAsia" w:ascii="宋体" w:hAnsi="宋体" w:eastAsia="宋体" w:cs="宋体"/>
          <w:b w:val="0"/>
          <w:bCs w:val="0"/>
          <w:iCs/>
          <w:color w:val="auto"/>
          <w:kern w:val="2"/>
          <w:sz w:val="24"/>
          <w:szCs w:val="24"/>
          <w:highlight w:val="none"/>
        </w:rPr>
      </w:pPr>
      <w:r>
        <w:rPr>
          <w:rFonts w:hint="eastAsia" w:ascii="宋体" w:hAnsi="宋体" w:eastAsia="宋体" w:cs="宋体"/>
          <w:b w:val="0"/>
          <w:bCs w:val="0"/>
          <w:iCs/>
          <w:color w:val="auto"/>
          <w:kern w:val="2"/>
          <w:sz w:val="24"/>
          <w:szCs w:val="24"/>
          <w:highlight w:val="none"/>
        </w:rPr>
        <w:t>（1）向</w:t>
      </w:r>
      <w:r>
        <w:rPr>
          <w:rFonts w:hint="eastAsia" w:ascii="宋体" w:hAnsi="宋体" w:eastAsia="宋体" w:cs="宋体"/>
          <w:b w:val="0"/>
          <w:bCs w:val="0"/>
          <w:iCs/>
          <w:color w:val="auto"/>
          <w:kern w:val="2"/>
          <w:sz w:val="24"/>
          <w:szCs w:val="24"/>
          <w:highlight w:val="none"/>
          <w:u w:val="single"/>
        </w:rPr>
        <w:t xml:space="preserve"> </w:t>
      </w:r>
      <w:r>
        <w:rPr>
          <w:rFonts w:hint="eastAsia" w:ascii="宋体" w:hAnsi="宋体" w:cs="宋体"/>
          <w:b w:val="0"/>
          <w:bCs w:val="0"/>
          <w:iCs/>
          <w:color w:val="auto"/>
          <w:kern w:val="2"/>
          <w:sz w:val="24"/>
          <w:szCs w:val="24"/>
          <w:highlight w:val="none"/>
          <w:u w:val="single"/>
          <w:lang w:eastAsia="zh-CN"/>
        </w:rPr>
        <w:t>绍兴市</w:t>
      </w:r>
      <w:r>
        <w:rPr>
          <w:rFonts w:hint="eastAsia" w:ascii="宋体" w:hAnsi="宋体" w:eastAsia="宋体" w:cs="宋体"/>
          <w:b w:val="0"/>
          <w:bCs w:val="0"/>
          <w:iCs/>
          <w:color w:val="auto"/>
          <w:kern w:val="2"/>
          <w:sz w:val="24"/>
          <w:szCs w:val="24"/>
          <w:highlight w:val="none"/>
          <w:u w:val="single"/>
        </w:rPr>
        <w:t xml:space="preserve">  </w:t>
      </w:r>
      <w:r>
        <w:rPr>
          <w:rFonts w:hint="eastAsia" w:ascii="宋体" w:hAnsi="宋体" w:eastAsia="宋体" w:cs="宋体"/>
          <w:b w:val="0"/>
          <w:bCs w:val="0"/>
          <w:iCs/>
          <w:color w:val="auto"/>
          <w:kern w:val="2"/>
          <w:sz w:val="24"/>
          <w:szCs w:val="24"/>
          <w:highlight w:val="none"/>
        </w:rPr>
        <w:t>仲裁委员会申请仲裁，仲裁地点为</w:t>
      </w:r>
      <w:r>
        <w:rPr>
          <w:rFonts w:hint="eastAsia" w:ascii="宋体" w:hAnsi="宋体" w:cs="宋体"/>
          <w:b w:val="0"/>
          <w:bCs w:val="0"/>
          <w:iCs/>
          <w:color w:val="auto"/>
          <w:kern w:val="2"/>
          <w:sz w:val="24"/>
          <w:szCs w:val="24"/>
          <w:highlight w:val="none"/>
          <w:u w:val="single"/>
          <w:lang w:val="en-US" w:eastAsia="zh-CN"/>
        </w:rPr>
        <w:t xml:space="preserve">      </w:t>
      </w:r>
      <w:r>
        <w:rPr>
          <w:rFonts w:hint="eastAsia" w:ascii="宋体" w:hAnsi="宋体" w:eastAsia="宋体" w:cs="Times New Roman"/>
          <w:color w:val="auto"/>
          <w:sz w:val="24"/>
          <w:szCs w:val="24"/>
          <w:highlight w:val="none"/>
          <w:u w:val="single"/>
        </w:rPr>
        <w:t xml:space="preserve"> </w:t>
      </w:r>
      <w:r>
        <w:rPr>
          <w:rFonts w:hint="eastAsia" w:ascii="宋体" w:hAnsi="宋体" w:eastAsia="宋体" w:cs="宋体"/>
          <w:b w:val="0"/>
          <w:bCs w:val="0"/>
          <w:iCs/>
          <w:color w:val="auto"/>
          <w:kern w:val="2"/>
          <w:sz w:val="24"/>
          <w:szCs w:val="24"/>
          <w:highlight w:val="none"/>
        </w:rPr>
        <w:t>；</w:t>
      </w:r>
    </w:p>
    <w:p w14:paraId="35753C85">
      <w:pPr>
        <w:keepNext w:val="0"/>
        <w:keepLines w:val="0"/>
        <w:pageBreakBefore w:val="0"/>
        <w:widowControl w:val="0"/>
        <w:kinsoku/>
        <w:wordWrap/>
        <w:overflowPunct/>
        <w:topLinePunct w:val="0"/>
        <w:bidi w:val="0"/>
        <w:spacing w:line="360" w:lineRule="auto"/>
        <w:ind w:firstLine="480" w:firstLineChars="200"/>
        <w:jc w:val="left"/>
        <w:textAlignment w:val="auto"/>
        <w:rPr>
          <w:rFonts w:ascii="宋体" w:hAnsi="宋体" w:cs="宋体"/>
          <w:color w:val="auto"/>
          <w:kern w:val="0"/>
          <w:sz w:val="24"/>
          <w:szCs w:val="20"/>
          <w:highlight w:val="none"/>
        </w:rPr>
      </w:pPr>
      <w:r>
        <w:rPr>
          <w:rFonts w:hint="eastAsia" w:ascii="宋体" w:hAnsi="宋体" w:eastAsia="宋体" w:cs="宋体"/>
          <w:b w:val="0"/>
          <w:bCs w:val="0"/>
          <w:iCs/>
          <w:color w:val="auto"/>
          <w:kern w:val="2"/>
          <w:sz w:val="24"/>
          <w:szCs w:val="24"/>
          <w:highlight w:val="none"/>
        </w:rPr>
        <w:t>（2）向</w:t>
      </w:r>
      <w:r>
        <w:rPr>
          <w:rFonts w:hint="eastAsia" w:ascii="宋体" w:hAnsi="宋体" w:eastAsia="宋体" w:cs="宋体"/>
          <w:b w:val="0"/>
          <w:bCs w:val="0"/>
          <w:iCs/>
          <w:color w:val="auto"/>
          <w:kern w:val="2"/>
          <w:sz w:val="24"/>
          <w:szCs w:val="24"/>
          <w:highlight w:val="none"/>
          <w:u w:val="single"/>
        </w:rPr>
        <w:t xml:space="preserve">  </w:t>
      </w:r>
      <w:r>
        <w:rPr>
          <w:rFonts w:hint="eastAsia" w:ascii="宋体" w:hAnsi="宋体"/>
          <w:color w:val="auto"/>
          <w:sz w:val="24"/>
          <w:szCs w:val="24"/>
          <w:highlight w:val="none"/>
          <w:u w:val="single"/>
        </w:rPr>
        <w:t>绍兴市上虞区</w:t>
      </w:r>
      <w:r>
        <w:rPr>
          <w:rFonts w:hint="eastAsia" w:ascii="宋体" w:hAnsi="宋体" w:eastAsia="宋体" w:cs="宋体"/>
          <w:b w:val="0"/>
          <w:bCs w:val="0"/>
          <w:iCs/>
          <w:color w:val="auto"/>
          <w:kern w:val="2"/>
          <w:sz w:val="24"/>
          <w:szCs w:val="24"/>
          <w:highlight w:val="none"/>
          <w:u w:val="single"/>
        </w:rPr>
        <w:t xml:space="preserve"> </w:t>
      </w:r>
      <w:r>
        <w:rPr>
          <w:rFonts w:hint="eastAsia" w:ascii="宋体" w:hAnsi="宋体" w:eastAsia="宋体" w:cs="宋体"/>
          <w:b w:val="0"/>
          <w:bCs w:val="0"/>
          <w:iCs/>
          <w:color w:val="auto"/>
          <w:kern w:val="2"/>
          <w:sz w:val="24"/>
          <w:szCs w:val="24"/>
          <w:highlight w:val="none"/>
        </w:rPr>
        <w:t>人民法院起诉。</w:t>
      </w:r>
    </w:p>
    <w:p w14:paraId="06FA90FF">
      <w:pPr>
        <w:pStyle w:val="101"/>
        <w:spacing w:line="360" w:lineRule="auto"/>
        <w:jc w:val="both"/>
        <w:rPr>
          <w:rFonts w:hint="eastAsia" w:ascii="宋体" w:hAnsi="宋体" w:eastAsia="宋体" w:cs="宋体"/>
          <w:b/>
          <w:bCs/>
          <w:sz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 如</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有争议的事项不影响合同其他部分的履行，在争议解决期间，合同其他部分应</w:t>
      </w:r>
      <w:r>
        <w:rPr>
          <w:rFonts w:hint="eastAsia" w:ascii="宋体" w:hAnsi="宋体" w:eastAsia="宋体" w:cs="宋体"/>
          <w:sz w:val="24"/>
          <w:szCs w:val="24"/>
          <w:highlight w:val="none"/>
          <w:lang w:eastAsia="zh-CN"/>
        </w:rPr>
        <w:t>当</w:t>
      </w:r>
      <w:r>
        <w:rPr>
          <w:rFonts w:hint="eastAsia" w:ascii="宋体" w:hAnsi="宋体" w:eastAsia="宋体" w:cs="宋体"/>
          <w:sz w:val="24"/>
          <w:szCs w:val="24"/>
          <w:highlight w:val="none"/>
        </w:rPr>
        <w:t>继续履行。</w:t>
      </w:r>
      <w:r>
        <w:rPr>
          <w:rFonts w:hint="eastAsia" w:ascii="宋体" w:hAnsi="宋体" w:eastAsia="宋体" w:cs="宋体"/>
          <w:b w:val="0"/>
          <w:bCs/>
          <w:sz w:val="24"/>
          <w:highlight w:val="none"/>
        </w:rPr>
        <w:t xml:space="preserve">  </w:t>
      </w:r>
    </w:p>
    <w:p w14:paraId="68CC5481">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sz w:val="24"/>
          <w:highlight w:val="none"/>
        </w:rPr>
      </w:pPr>
      <w:r>
        <w:rPr>
          <w:rFonts w:hint="eastAsia" w:ascii="宋体" w:hAnsi="宋体" w:cs="宋体"/>
          <w:b/>
          <w:sz w:val="24"/>
          <w:highlight w:val="none"/>
          <w:lang w:val="en-US" w:eastAsia="zh-CN"/>
        </w:rPr>
        <w:t>十三</w:t>
      </w:r>
      <w:r>
        <w:rPr>
          <w:rFonts w:hint="eastAsia" w:ascii="宋体" w:hAnsi="宋体" w:eastAsia="宋体" w:cs="宋体"/>
          <w:b/>
          <w:sz w:val="24"/>
          <w:highlight w:val="none"/>
        </w:rPr>
        <w:t>、</w:t>
      </w:r>
      <w:r>
        <w:rPr>
          <w:rFonts w:hint="eastAsia" w:ascii="宋体" w:hAnsi="宋体" w:eastAsia="宋体" w:cs="宋体"/>
          <w:b/>
          <w:bCs/>
          <w:sz w:val="24"/>
          <w:szCs w:val="24"/>
          <w:highlight w:val="none"/>
          <w:lang w:val="en-US" w:eastAsia="zh-CN"/>
        </w:rPr>
        <w:t>合同</w:t>
      </w:r>
      <w:r>
        <w:rPr>
          <w:rFonts w:hint="eastAsia" w:ascii="宋体" w:hAnsi="宋体" w:eastAsia="宋体" w:cs="宋体"/>
          <w:b/>
          <w:sz w:val="24"/>
          <w:highlight w:val="none"/>
        </w:rPr>
        <w:t>生效及其他</w:t>
      </w:r>
    </w:p>
    <w:p w14:paraId="16E13C3F">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1.合同经甲、乙双方签名并加盖单位公章后生效。</w:t>
      </w:r>
    </w:p>
    <w:p w14:paraId="000151B7">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2.采购文件、投标文件与本合同具有同等法律效力。</w:t>
      </w:r>
    </w:p>
    <w:p w14:paraId="2F3B4AE1">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3.本合同未尽事宜，</w:t>
      </w:r>
      <w:r>
        <w:rPr>
          <w:rFonts w:hint="eastAsia" w:ascii="宋体" w:hAnsi="宋体" w:eastAsia="宋体" w:cs="宋体"/>
          <w:bCs/>
          <w:sz w:val="24"/>
          <w:highlight w:val="none"/>
          <w:lang w:val="en-US" w:eastAsia="zh-CN"/>
        </w:rPr>
        <w:t>由双方协商决定</w:t>
      </w:r>
      <w:r>
        <w:rPr>
          <w:rFonts w:hint="eastAsia" w:ascii="宋体" w:hAnsi="宋体" w:eastAsia="宋体" w:cs="宋体"/>
          <w:bCs/>
          <w:sz w:val="24"/>
          <w:highlight w:val="none"/>
        </w:rPr>
        <w:t>。</w:t>
      </w:r>
    </w:p>
    <w:p w14:paraId="3126E45C">
      <w:pPr>
        <w:keepNext w:val="0"/>
        <w:keepLines w:val="0"/>
        <w:pageBreakBefore w:val="0"/>
        <w:widowControl w:val="0"/>
        <w:tabs>
          <w:tab w:val="left" w:pos="840"/>
          <w:tab w:val="left" w:pos="1020"/>
        </w:tabs>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4.本项目货物如涉及柴油动力移动源，柴油动力移动源应当符合低排放要求。</w:t>
      </w:r>
    </w:p>
    <w:p w14:paraId="09516D22">
      <w:pPr>
        <w:keepNext w:val="0"/>
        <w:keepLines w:val="0"/>
        <w:pageBreakBefore w:val="0"/>
        <w:widowControl w:val="0"/>
        <w:kinsoku/>
        <w:wordWrap/>
        <w:overflowPunct/>
        <w:topLinePunct w:val="0"/>
        <w:autoSpaceDE/>
        <w:autoSpaceDN/>
        <w:bidi w:val="0"/>
        <w:snapToGrid/>
        <w:spacing w:line="360" w:lineRule="auto"/>
        <w:ind w:firstLine="482" w:firstLineChars="200"/>
        <w:jc w:val="left"/>
        <w:textAlignment w:val="auto"/>
        <w:rPr>
          <w:rFonts w:hint="eastAsia" w:ascii="宋体" w:hAnsi="宋体" w:eastAsia="宋体" w:cs="宋体"/>
          <w:color w:val="000000"/>
          <w:sz w:val="24"/>
          <w:highlight w:val="none"/>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本合同一式</w:t>
      </w:r>
      <w:r>
        <w:rPr>
          <w:rFonts w:hint="eastAsia" w:ascii="宋体" w:hAnsi="宋体" w:eastAsia="宋体" w:cs="宋体"/>
          <w:b/>
          <w:bCs/>
          <w:sz w:val="24"/>
          <w:szCs w:val="24"/>
          <w:highlight w:val="none"/>
          <w:u w:val="single"/>
        </w:rPr>
        <w:t>　</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份，</w:t>
      </w:r>
      <w:r>
        <w:rPr>
          <w:rFonts w:hint="eastAsia" w:ascii="宋体" w:hAnsi="宋体" w:eastAsia="宋体" w:cs="宋体"/>
          <w:b/>
          <w:bCs/>
          <w:sz w:val="24"/>
          <w:szCs w:val="24"/>
          <w:highlight w:val="none"/>
          <w:lang w:val="en-US" w:eastAsia="zh-CN"/>
        </w:rPr>
        <w:t>甲方</w:t>
      </w:r>
      <w:r>
        <w:rPr>
          <w:rFonts w:hint="eastAsia" w:ascii="宋体" w:hAnsi="宋体" w:eastAsia="宋体" w:cs="宋体"/>
          <w:b/>
          <w:bCs/>
          <w:sz w:val="24"/>
          <w:szCs w:val="24"/>
          <w:highlight w:val="none"/>
        </w:rPr>
        <w:t>和</w:t>
      </w:r>
      <w:r>
        <w:rPr>
          <w:rFonts w:hint="eastAsia" w:ascii="宋体" w:hAnsi="宋体" w:eastAsia="宋体" w:cs="宋体"/>
          <w:b/>
          <w:bCs/>
          <w:sz w:val="24"/>
          <w:szCs w:val="24"/>
          <w:highlight w:val="none"/>
          <w:lang w:val="en-US" w:eastAsia="zh-CN"/>
        </w:rPr>
        <w:t>乙方</w:t>
      </w:r>
      <w:r>
        <w:rPr>
          <w:rFonts w:hint="eastAsia" w:ascii="宋体" w:hAnsi="宋体" w:eastAsia="宋体" w:cs="宋体"/>
          <w:b/>
          <w:bCs/>
          <w:sz w:val="24"/>
          <w:szCs w:val="24"/>
          <w:highlight w:val="none"/>
        </w:rPr>
        <w:t>各执</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份，并由</w:t>
      </w:r>
      <w:r>
        <w:rPr>
          <w:rFonts w:hint="eastAsia" w:ascii="宋体" w:hAnsi="宋体" w:eastAsia="宋体" w:cs="宋体"/>
          <w:b/>
          <w:bCs/>
          <w:sz w:val="24"/>
          <w:szCs w:val="24"/>
          <w:highlight w:val="none"/>
          <w:lang w:eastAsia="zh-CN"/>
        </w:rPr>
        <w:t>甲方</w:t>
      </w:r>
      <w:r>
        <w:rPr>
          <w:rFonts w:hint="eastAsia" w:ascii="宋体" w:hAnsi="宋体" w:eastAsia="宋体" w:cs="宋体"/>
          <w:b/>
          <w:bCs/>
          <w:sz w:val="24"/>
          <w:szCs w:val="24"/>
          <w:highlight w:val="none"/>
        </w:rPr>
        <w:t>在30日内做好政采云平台网上合同创建及备案</w:t>
      </w:r>
      <w:r>
        <w:rPr>
          <w:rFonts w:hint="eastAsia" w:ascii="宋体" w:hAnsi="宋体" w:eastAsia="宋体" w:cs="宋体"/>
          <w:color w:val="000000"/>
          <w:sz w:val="24"/>
          <w:highlight w:val="none"/>
        </w:rPr>
        <w:t>。</w:t>
      </w:r>
    </w:p>
    <w:p w14:paraId="20D8EB16">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000000"/>
          <w:sz w:val="24"/>
          <w:highlight w:val="none"/>
        </w:rPr>
      </w:pPr>
    </w:p>
    <w:tbl>
      <w:tblPr>
        <w:tblStyle w:val="31"/>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2362"/>
        <w:gridCol w:w="1636"/>
        <w:gridCol w:w="2726"/>
      </w:tblGrid>
      <w:tr w14:paraId="78E8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0C6C159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甲方单位</w:t>
            </w:r>
          </w:p>
        </w:tc>
        <w:tc>
          <w:tcPr>
            <w:tcW w:w="2362" w:type="dxa"/>
            <w:noWrap w:val="0"/>
            <w:vAlign w:val="center"/>
          </w:tcPr>
          <w:p w14:paraId="19D10D8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（盖章）</w:t>
            </w:r>
          </w:p>
        </w:tc>
        <w:tc>
          <w:tcPr>
            <w:tcW w:w="1636" w:type="dxa"/>
            <w:noWrap w:val="0"/>
            <w:vAlign w:val="center"/>
          </w:tcPr>
          <w:p w14:paraId="31550BC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乙方单位</w:t>
            </w:r>
          </w:p>
        </w:tc>
        <w:tc>
          <w:tcPr>
            <w:tcW w:w="2726" w:type="dxa"/>
            <w:noWrap w:val="0"/>
            <w:vAlign w:val="center"/>
          </w:tcPr>
          <w:p w14:paraId="1AE5807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（盖章）</w:t>
            </w:r>
          </w:p>
        </w:tc>
      </w:tr>
      <w:tr w14:paraId="0628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2C2C925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代表签名</w:t>
            </w:r>
          </w:p>
        </w:tc>
        <w:tc>
          <w:tcPr>
            <w:tcW w:w="2362" w:type="dxa"/>
            <w:noWrap w:val="0"/>
            <w:vAlign w:val="center"/>
          </w:tcPr>
          <w:p w14:paraId="4FF27F5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c>
          <w:tcPr>
            <w:tcW w:w="1636" w:type="dxa"/>
            <w:noWrap w:val="0"/>
            <w:vAlign w:val="center"/>
          </w:tcPr>
          <w:p w14:paraId="6645B04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代表签名</w:t>
            </w:r>
          </w:p>
        </w:tc>
        <w:tc>
          <w:tcPr>
            <w:tcW w:w="2726" w:type="dxa"/>
            <w:noWrap w:val="0"/>
            <w:vAlign w:val="center"/>
          </w:tcPr>
          <w:p w14:paraId="24AF7EE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r>
      <w:tr w14:paraId="095B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29D703C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地址</w:t>
            </w:r>
          </w:p>
        </w:tc>
        <w:tc>
          <w:tcPr>
            <w:tcW w:w="2362" w:type="dxa"/>
            <w:noWrap w:val="0"/>
            <w:vAlign w:val="center"/>
          </w:tcPr>
          <w:p w14:paraId="4638B1D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c>
          <w:tcPr>
            <w:tcW w:w="1636" w:type="dxa"/>
            <w:noWrap w:val="0"/>
            <w:vAlign w:val="center"/>
          </w:tcPr>
          <w:p w14:paraId="0D094B4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地址</w:t>
            </w:r>
          </w:p>
        </w:tc>
        <w:tc>
          <w:tcPr>
            <w:tcW w:w="2726" w:type="dxa"/>
            <w:noWrap w:val="0"/>
            <w:vAlign w:val="center"/>
          </w:tcPr>
          <w:p w14:paraId="75941E6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r>
      <w:tr w14:paraId="1E1D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2679BDC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电话</w:t>
            </w:r>
          </w:p>
        </w:tc>
        <w:tc>
          <w:tcPr>
            <w:tcW w:w="2362" w:type="dxa"/>
            <w:noWrap w:val="0"/>
            <w:vAlign w:val="center"/>
          </w:tcPr>
          <w:p w14:paraId="535E1AF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c>
          <w:tcPr>
            <w:tcW w:w="1636" w:type="dxa"/>
            <w:noWrap w:val="0"/>
            <w:vAlign w:val="center"/>
          </w:tcPr>
          <w:p w14:paraId="3FB8FD9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电话</w:t>
            </w:r>
          </w:p>
        </w:tc>
        <w:tc>
          <w:tcPr>
            <w:tcW w:w="2726" w:type="dxa"/>
            <w:noWrap w:val="0"/>
            <w:vAlign w:val="center"/>
          </w:tcPr>
          <w:p w14:paraId="3043A8A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r>
      <w:tr w14:paraId="4675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1453" w:type="dxa"/>
            <w:noWrap w:val="0"/>
            <w:vAlign w:val="center"/>
          </w:tcPr>
          <w:p w14:paraId="6DD68ED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开户银行</w:t>
            </w:r>
          </w:p>
        </w:tc>
        <w:tc>
          <w:tcPr>
            <w:tcW w:w="2362" w:type="dxa"/>
            <w:noWrap w:val="0"/>
            <w:vAlign w:val="center"/>
          </w:tcPr>
          <w:p w14:paraId="79891A2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c>
          <w:tcPr>
            <w:tcW w:w="1636" w:type="dxa"/>
            <w:noWrap w:val="0"/>
            <w:vAlign w:val="center"/>
          </w:tcPr>
          <w:p w14:paraId="785A5C3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r>
              <w:rPr>
                <w:rFonts w:hint="eastAsia" w:ascii="宋体" w:hAnsi="宋体" w:eastAsia="宋体" w:cs="宋体"/>
                <w:snapToGrid w:val="0"/>
                <w:kern w:val="0"/>
                <w:sz w:val="24"/>
                <w:highlight w:val="none"/>
              </w:rPr>
              <w:t>开户银行</w:t>
            </w:r>
          </w:p>
        </w:tc>
        <w:tc>
          <w:tcPr>
            <w:tcW w:w="2726" w:type="dxa"/>
            <w:noWrap w:val="0"/>
            <w:vAlign w:val="center"/>
          </w:tcPr>
          <w:p w14:paraId="26BD0F6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r>
      <w:tr w14:paraId="6647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453" w:type="dxa"/>
            <w:noWrap w:val="0"/>
            <w:vAlign w:val="center"/>
          </w:tcPr>
          <w:p w14:paraId="383597B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lang w:eastAsia="zh-CN"/>
              </w:rPr>
            </w:pPr>
            <w:r>
              <w:rPr>
                <w:rFonts w:hint="eastAsia" w:ascii="宋体" w:hAnsi="宋体" w:eastAsia="宋体" w:cs="宋体"/>
                <w:snapToGrid w:val="0"/>
                <w:kern w:val="0"/>
                <w:sz w:val="24"/>
                <w:highlight w:val="none"/>
                <w:lang w:val="en-US" w:eastAsia="zh-CN"/>
              </w:rPr>
              <w:t>账号</w:t>
            </w:r>
          </w:p>
        </w:tc>
        <w:tc>
          <w:tcPr>
            <w:tcW w:w="2362" w:type="dxa"/>
            <w:noWrap w:val="0"/>
            <w:vAlign w:val="center"/>
          </w:tcPr>
          <w:p w14:paraId="6C0F56C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c>
          <w:tcPr>
            <w:tcW w:w="1636" w:type="dxa"/>
            <w:noWrap w:val="0"/>
            <w:vAlign w:val="center"/>
          </w:tcPr>
          <w:p w14:paraId="42627CA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lang w:val="en-US" w:eastAsia="zh-CN"/>
              </w:rPr>
            </w:pPr>
            <w:r>
              <w:rPr>
                <w:rFonts w:hint="eastAsia" w:ascii="宋体" w:hAnsi="宋体" w:eastAsia="宋体" w:cs="宋体"/>
                <w:snapToGrid w:val="0"/>
                <w:kern w:val="0"/>
                <w:sz w:val="24"/>
                <w:highlight w:val="none"/>
                <w:lang w:val="en-US" w:eastAsia="zh-CN"/>
              </w:rPr>
              <w:t>账号</w:t>
            </w:r>
          </w:p>
        </w:tc>
        <w:tc>
          <w:tcPr>
            <w:tcW w:w="2726" w:type="dxa"/>
            <w:noWrap w:val="0"/>
            <w:vAlign w:val="center"/>
          </w:tcPr>
          <w:p w14:paraId="40C7382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textAlignment w:val="auto"/>
              <w:rPr>
                <w:rFonts w:hint="eastAsia" w:ascii="宋体" w:hAnsi="宋体" w:eastAsia="宋体" w:cs="宋体"/>
                <w:snapToGrid w:val="0"/>
                <w:kern w:val="0"/>
                <w:sz w:val="24"/>
                <w:highlight w:val="none"/>
              </w:rPr>
            </w:pPr>
          </w:p>
        </w:tc>
      </w:tr>
    </w:tbl>
    <w:p w14:paraId="6B9781DE">
      <w:pPr>
        <w:spacing w:line="360" w:lineRule="auto"/>
        <w:rPr>
          <w:rFonts w:hint="eastAsia" w:ascii="宋体" w:hAnsi="宋体" w:eastAsia="宋体" w:cs="宋体"/>
          <w:color w:val="auto"/>
          <w:highlight w:val="none"/>
        </w:rPr>
      </w:pPr>
    </w:p>
    <w:p w14:paraId="7FDC1A94">
      <w:pPr>
        <w:spacing w:line="360" w:lineRule="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br w:type="page"/>
      </w:r>
    </w:p>
    <w:p w14:paraId="028F126B">
      <w:pPr>
        <w:spacing w:line="360" w:lineRule="auto"/>
        <w:rPr>
          <w:rFonts w:hint="eastAsia" w:ascii="宋体" w:hAnsi="宋体" w:eastAsia="宋体" w:cs="宋体"/>
          <w:color w:val="auto"/>
          <w:sz w:val="36"/>
          <w:szCs w:val="36"/>
          <w:highlight w:val="none"/>
        </w:rPr>
      </w:pPr>
      <w:bookmarkStart w:id="87" w:name="_Toc4669"/>
      <w:bookmarkStart w:id="88" w:name="_Toc7690"/>
    </w:p>
    <w:p w14:paraId="77134FB0">
      <w:pPr>
        <w:pStyle w:val="4"/>
        <w:spacing w:line="360" w:lineRule="auto"/>
        <w:jc w:val="center"/>
        <w:rPr>
          <w:rFonts w:hint="eastAsia" w:ascii="宋体" w:hAnsi="宋体" w:eastAsia="宋体" w:cs="宋体"/>
          <w:color w:val="auto"/>
          <w:sz w:val="36"/>
          <w:szCs w:val="36"/>
          <w:highlight w:val="none"/>
        </w:rPr>
      </w:pPr>
      <w:bookmarkStart w:id="89" w:name="_Toc29205"/>
      <w:r>
        <w:rPr>
          <w:rFonts w:hint="eastAsia" w:ascii="宋体" w:hAnsi="宋体" w:eastAsia="宋体" w:cs="宋体"/>
          <w:color w:val="auto"/>
          <w:sz w:val="36"/>
          <w:szCs w:val="36"/>
          <w:highlight w:val="none"/>
        </w:rPr>
        <w:t>第六部分 应提交的有关格式范例</w:t>
      </w:r>
      <w:bookmarkEnd w:id="87"/>
      <w:bookmarkEnd w:id="88"/>
      <w:bookmarkEnd w:id="89"/>
    </w:p>
    <w:p w14:paraId="183EE4A0">
      <w:pPr>
        <w:spacing w:line="360" w:lineRule="auto"/>
        <w:rPr>
          <w:rFonts w:hint="eastAsia" w:ascii="宋体" w:hAnsi="宋体" w:eastAsia="宋体" w:cs="宋体"/>
          <w:color w:val="auto"/>
          <w:highlight w:val="none"/>
        </w:rPr>
      </w:pPr>
    </w:p>
    <w:p w14:paraId="3B4839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供应商按照以下格式编制响应文件，</w:t>
      </w:r>
      <w:r>
        <w:rPr>
          <w:rFonts w:hint="eastAsia" w:ascii="宋体" w:hAnsi="宋体" w:eastAsia="宋体" w:cs="宋体"/>
          <w:b/>
          <w:bCs/>
          <w:color w:val="auto"/>
          <w:sz w:val="24"/>
          <w:szCs w:val="24"/>
          <w:highlight w:val="none"/>
        </w:rPr>
        <w:t>“资格文件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商务技术文件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报价文件”须分3个PDF格式分别导入。</w:t>
      </w:r>
    </w:p>
    <w:p w14:paraId="04DC48E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05C964A3">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kern w:val="0"/>
          <w:sz w:val="36"/>
          <w:szCs w:val="36"/>
          <w:highlight w:val="none"/>
        </w:rPr>
        <w:t>资格文件部分</w:t>
      </w:r>
    </w:p>
    <w:p w14:paraId="71D2D7CF">
      <w:pPr>
        <w:spacing w:line="360" w:lineRule="auto"/>
        <w:jc w:val="center"/>
        <w:rPr>
          <w:rFonts w:hint="eastAsia" w:ascii="宋体" w:hAnsi="宋体" w:eastAsia="宋体" w:cs="宋体"/>
          <w:b/>
          <w:bCs/>
          <w:color w:val="auto"/>
          <w:kern w:val="0"/>
          <w:sz w:val="36"/>
          <w:szCs w:val="36"/>
          <w:highlight w:val="none"/>
        </w:rPr>
      </w:pPr>
    </w:p>
    <w:p w14:paraId="28529FCC">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5D19E6D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（1）法定代表人授权书；（格式见附件）</w:t>
      </w:r>
    </w:p>
    <w:p w14:paraId="6D5A0D6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（2）营业执照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或事业法人登记证或其他工商等登记证明材料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复印件、税务登记证</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或其他</w:t>
      </w:r>
      <w:r>
        <w:rPr>
          <w:rFonts w:hint="eastAsia" w:ascii="宋体" w:hAnsi="宋体" w:eastAsia="宋体" w:cs="宋体"/>
          <w:sz w:val="24"/>
          <w:szCs w:val="24"/>
          <w:highlight w:val="none"/>
        </w:rPr>
        <w:t>缴纳证明材料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复印件、社保登记证（</w:t>
      </w:r>
      <w:r>
        <w:rPr>
          <w:rFonts w:hint="eastAsia" w:ascii="宋体" w:hAnsi="宋体" w:cs="宋体"/>
          <w:sz w:val="24"/>
          <w:szCs w:val="24"/>
          <w:highlight w:val="none"/>
          <w:lang w:eastAsia="zh-CN"/>
        </w:rPr>
        <w:t>或其他</w:t>
      </w:r>
      <w:r>
        <w:rPr>
          <w:rFonts w:hint="eastAsia" w:ascii="宋体" w:hAnsi="宋体" w:eastAsia="宋体" w:cs="宋体"/>
          <w:sz w:val="24"/>
          <w:szCs w:val="24"/>
          <w:highlight w:val="none"/>
        </w:rPr>
        <w:t>缴纳证明材料）复印件；实施“五证合一、一照一码”登记制度改革的，只需提供改革后取得的营业执照复印件；事业单位的，则提供有效的《事业单位法人证书》副本复印件并加盖单位公章；</w:t>
      </w:r>
    </w:p>
    <w:p w14:paraId="49CCFF6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60AA6DB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（3）具有履行合同所必需的产品和专业技术能力的承诺函；</w:t>
      </w:r>
    </w:p>
    <w:p w14:paraId="12E4500E">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（4）投标人承诺函（格式见附件）</w:t>
      </w:r>
      <w:r>
        <w:rPr>
          <w:rFonts w:hint="eastAsia" w:ascii="宋体" w:hAnsi="宋体" w:cs="宋体"/>
          <w:sz w:val="24"/>
          <w:szCs w:val="24"/>
          <w:highlight w:val="none"/>
          <w:lang w:eastAsia="zh-CN"/>
        </w:rPr>
        <w:t>；</w:t>
      </w:r>
    </w:p>
    <w:p w14:paraId="3D1FD97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中小企业声明函（格式见附件）；</w:t>
      </w:r>
    </w:p>
    <w:p w14:paraId="1FFF718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残疾人福利性单位声明函（如有）（格式见附件）；</w:t>
      </w:r>
    </w:p>
    <w:p w14:paraId="2965C2F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监狱企业证明文件（如有）（格式见附件）。</w:t>
      </w:r>
    </w:p>
    <w:p w14:paraId="12309278">
      <w:pPr>
        <w:spacing w:line="360" w:lineRule="auto"/>
        <w:ind w:firstLine="480" w:firstLineChars="200"/>
        <w:rPr>
          <w:rFonts w:hint="default" w:ascii="宋体" w:hAnsi="宋体" w:eastAsia="宋体" w:cs="宋体"/>
          <w:sz w:val="24"/>
          <w:szCs w:val="24"/>
          <w:highlight w:val="none"/>
          <w:lang w:val="en-US" w:eastAsia="zh-CN"/>
        </w:rPr>
      </w:pPr>
    </w:p>
    <w:p w14:paraId="6DBDA90A">
      <w:pPr>
        <w:spacing w:line="360" w:lineRule="auto"/>
        <w:ind w:firstLine="480" w:firstLineChars="200"/>
        <w:rPr>
          <w:rFonts w:hint="eastAsia" w:ascii="宋体" w:hAnsi="宋体" w:eastAsia="宋体" w:cs="宋体"/>
          <w:sz w:val="24"/>
          <w:szCs w:val="24"/>
          <w:highlight w:val="none"/>
          <w:lang w:eastAsia="zh-CN"/>
        </w:rPr>
      </w:pPr>
    </w:p>
    <w:p w14:paraId="297AB14E">
      <w:pPr>
        <w:spacing w:line="360" w:lineRule="auto"/>
        <w:ind w:firstLine="480" w:firstLineChars="200"/>
        <w:rPr>
          <w:rFonts w:hint="eastAsia" w:ascii="宋体" w:hAnsi="宋体" w:eastAsia="宋体" w:cs="宋体"/>
          <w:sz w:val="24"/>
          <w:szCs w:val="24"/>
          <w:highlight w:val="none"/>
          <w:lang w:eastAsia="zh-CN"/>
        </w:rPr>
      </w:pPr>
    </w:p>
    <w:p w14:paraId="57AA8C6A">
      <w:pPr>
        <w:pStyle w:val="14"/>
        <w:spacing w:line="360" w:lineRule="auto"/>
        <w:ind w:firstLine="486"/>
        <w:rPr>
          <w:rFonts w:hint="eastAsia" w:ascii="宋体" w:hAnsi="宋体" w:eastAsia="宋体" w:cs="宋体"/>
          <w:color w:val="auto"/>
          <w:highlight w:val="none"/>
        </w:rPr>
      </w:pPr>
    </w:p>
    <w:p w14:paraId="360F7313">
      <w:pPr>
        <w:pStyle w:val="14"/>
        <w:spacing w:line="360" w:lineRule="auto"/>
        <w:ind w:firstLine="486"/>
        <w:rPr>
          <w:rFonts w:hint="eastAsia" w:ascii="宋体" w:hAnsi="宋体" w:eastAsia="宋体" w:cs="宋体"/>
          <w:color w:val="auto"/>
          <w:highlight w:val="none"/>
        </w:rPr>
      </w:pPr>
    </w:p>
    <w:p w14:paraId="6F471AB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90" w:name="_Toc24699"/>
    </w:p>
    <w:p w14:paraId="51B9B849">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附件一：</w:t>
      </w:r>
    </w:p>
    <w:p w14:paraId="033416E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法定代表人授权书</w:t>
      </w:r>
      <w:bookmarkEnd w:id="90"/>
    </w:p>
    <w:p w14:paraId="0E1990A5">
      <w:pPr>
        <w:pStyle w:val="10"/>
        <w:spacing w:line="360" w:lineRule="auto"/>
        <w:rPr>
          <w:rFonts w:hint="eastAsia" w:ascii="宋体" w:hAnsi="宋体" w:eastAsia="宋体" w:cs="宋体"/>
          <w:color w:val="auto"/>
          <w:highlight w:val="none"/>
        </w:rPr>
      </w:pPr>
    </w:p>
    <w:p w14:paraId="73B31D0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中共绍兴市上虞区委宣传部</w:t>
      </w:r>
      <w:r>
        <w:rPr>
          <w:rFonts w:hint="eastAsia" w:ascii="宋体" w:hAnsi="宋体" w:eastAsia="宋体" w:cs="宋体"/>
          <w:color w:val="auto"/>
          <w:sz w:val="24"/>
          <w:szCs w:val="24"/>
          <w:highlight w:val="none"/>
        </w:rPr>
        <w:t>：</w:t>
      </w:r>
    </w:p>
    <w:p w14:paraId="0BB68A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绍兴成言工程咨询管理有限公司：</w:t>
      </w:r>
    </w:p>
    <w:p w14:paraId="536E74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（供应商全称）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（授权代表名称）</w:t>
      </w:r>
      <w:r>
        <w:rPr>
          <w:rFonts w:hint="eastAsia" w:ascii="宋体" w:hAnsi="宋体" w:eastAsia="宋体" w:cs="宋体"/>
          <w:color w:val="auto"/>
          <w:sz w:val="24"/>
          <w:szCs w:val="24"/>
          <w:highlight w:val="none"/>
        </w:rPr>
        <w:t>为授权代表，参加贵处组织的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（括号内填写招标编号）</w:t>
      </w:r>
      <w:r>
        <w:rPr>
          <w:rFonts w:hint="eastAsia" w:ascii="宋体" w:hAnsi="宋体" w:eastAsia="宋体" w:cs="宋体"/>
          <w:color w:val="auto"/>
          <w:sz w:val="24"/>
          <w:szCs w:val="24"/>
          <w:highlight w:val="none"/>
        </w:rPr>
        <w:t>，授权处理招投标活动中的一切事宜。</w:t>
      </w:r>
    </w:p>
    <w:p w14:paraId="2F5BFF93">
      <w:pPr>
        <w:spacing w:line="360" w:lineRule="auto"/>
        <w:ind w:firstLine="480" w:firstLineChars="200"/>
        <w:rPr>
          <w:rFonts w:hint="eastAsia" w:ascii="宋体" w:hAnsi="宋体" w:eastAsia="宋体" w:cs="宋体"/>
          <w:color w:val="auto"/>
          <w:sz w:val="24"/>
          <w:szCs w:val="24"/>
          <w:highlight w:val="none"/>
        </w:rPr>
      </w:pPr>
    </w:p>
    <w:p w14:paraId="19A382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383BAA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w:t>
      </w:r>
    </w:p>
    <w:p w14:paraId="7C4E0D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4F81B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32F6C6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授权代表姓名：</w:t>
      </w:r>
    </w:p>
    <w:p w14:paraId="215478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14:paraId="33318F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详细通讯地址：</w:t>
      </w:r>
    </w:p>
    <w:p w14:paraId="4DD85B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44DFB2A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5E4D24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p w14:paraId="0D385E0E">
      <w:pPr>
        <w:pStyle w:val="17"/>
        <w:snapToGrid w:val="0"/>
        <w:spacing w:line="360" w:lineRule="auto"/>
        <w:rPr>
          <w:rFonts w:hint="eastAsia" w:ascii="宋体" w:hAnsi="宋体" w:eastAsia="宋体" w:cs="宋体"/>
          <w:color w:val="auto"/>
          <w:sz w:val="24"/>
          <w:szCs w:val="24"/>
          <w:highlight w:val="none"/>
        </w:rPr>
      </w:pPr>
    </w:p>
    <w:p w14:paraId="6D2BD4CB">
      <w:pPr>
        <w:pStyle w:val="17"/>
        <w:snapToGrid w:val="0"/>
        <w:spacing w:line="360" w:lineRule="auto"/>
        <w:rPr>
          <w:rFonts w:hint="eastAsia" w:ascii="宋体" w:hAnsi="宋体" w:eastAsia="宋体" w:cs="宋体"/>
          <w:color w:val="auto"/>
          <w:sz w:val="24"/>
          <w:szCs w:val="24"/>
          <w:highlight w:val="none"/>
        </w:rPr>
      </w:pPr>
    </w:p>
    <w:p w14:paraId="0ED248E9">
      <w:pPr>
        <w:pStyle w:val="17"/>
        <w:snapToGrid w:val="0"/>
        <w:spacing w:line="360" w:lineRule="auto"/>
        <w:rPr>
          <w:rFonts w:hint="eastAsia" w:ascii="宋体" w:hAnsi="宋体" w:eastAsia="宋体" w:cs="宋体"/>
          <w:color w:val="auto"/>
          <w:sz w:val="24"/>
          <w:szCs w:val="24"/>
          <w:highlight w:val="none"/>
        </w:rPr>
      </w:pPr>
    </w:p>
    <w:p w14:paraId="321659B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附：授权代表身份证复印件（正反面）</w:t>
      </w:r>
    </w:p>
    <w:p w14:paraId="178258D4">
      <w:pPr>
        <w:spacing w:line="360" w:lineRule="auto"/>
        <w:rPr>
          <w:rFonts w:hint="eastAsia" w:ascii="宋体" w:hAnsi="宋体" w:eastAsia="宋体" w:cs="宋体"/>
          <w:b/>
          <w:bCs/>
          <w:color w:val="auto"/>
          <w:sz w:val="24"/>
          <w:szCs w:val="24"/>
          <w:highlight w:val="none"/>
        </w:rPr>
      </w:pPr>
    </w:p>
    <w:p w14:paraId="56B67EE8">
      <w:pPr>
        <w:pStyle w:val="14"/>
        <w:spacing w:line="360" w:lineRule="auto"/>
        <w:ind w:firstLine="486"/>
        <w:rPr>
          <w:rFonts w:hint="eastAsia" w:ascii="宋体" w:hAnsi="宋体" w:eastAsia="宋体" w:cs="宋体"/>
          <w:color w:val="auto"/>
          <w:highlight w:val="none"/>
        </w:rPr>
      </w:pPr>
    </w:p>
    <w:p w14:paraId="1683A464">
      <w:pPr>
        <w:snapToGrid w:val="0"/>
        <w:spacing w:before="50" w:after="167" w:afterLines="50" w:line="360" w:lineRule="auto"/>
        <w:jc w:val="left"/>
        <w:rPr>
          <w:rFonts w:hint="eastAsia" w:ascii="宋体" w:hAnsi="宋体" w:eastAsia="宋体" w:cs="宋体"/>
          <w:b/>
          <w:bCs/>
          <w:color w:val="000000"/>
          <w:kern w:val="2"/>
          <w:sz w:val="24"/>
          <w:szCs w:val="24"/>
          <w:highlight w:val="none"/>
          <w:lang w:val="zh-CN" w:eastAsia="zh-CN" w:bidi="ar-SA"/>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000000"/>
          <w:kern w:val="2"/>
          <w:sz w:val="24"/>
          <w:szCs w:val="24"/>
          <w:highlight w:val="none"/>
          <w:lang w:val="zh-CN" w:eastAsia="zh-CN" w:bidi="ar-SA"/>
        </w:rPr>
        <w:t>附件二：</w:t>
      </w:r>
    </w:p>
    <w:p w14:paraId="19FBB66F">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投 标 </w:t>
      </w:r>
      <w:r>
        <w:rPr>
          <w:rFonts w:hint="eastAsia" w:ascii="宋体" w:hAnsi="宋体" w:eastAsia="宋体" w:cs="宋体"/>
          <w:b/>
          <w:bCs/>
          <w:sz w:val="32"/>
          <w:szCs w:val="32"/>
          <w:highlight w:val="none"/>
          <w:lang w:eastAsia="zh-CN"/>
        </w:rPr>
        <w:t>人</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承</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诺</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函</w:t>
      </w:r>
    </w:p>
    <w:p w14:paraId="09DF5547">
      <w:pPr>
        <w:pStyle w:val="24"/>
        <w:spacing w:line="360" w:lineRule="auto"/>
        <w:rPr>
          <w:rFonts w:hint="eastAsia" w:ascii="宋体" w:hAnsi="宋体" w:eastAsia="宋体" w:cs="宋体"/>
          <w:highlight w:val="none"/>
        </w:rPr>
      </w:pPr>
    </w:p>
    <w:p w14:paraId="20B05B1A">
      <w:pPr>
        <w:spacing w:line="360" w:lineRule="auto"/>
        <w:rPr>
          <w:rFonts w:hint="eastAsia" w:ascii="宋体" w:hAnsi="宋体" w:eastAsia="宋体" w:cs="宋体"/>
          <w:highlight w:val="none"/>
        </w:rPr>
      </w:pPr>
    </w:p>
    <w:p w14:paraId="273472C9">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u w:val="none"/>
          <w:lang w:val="en-US" w:eastAsia="zh-CN"/>
        </w:rPr>
        <w:t>中共绍兴市上虞区委宣传部</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rPr>
        <w:t>：</w:t>
      </w:r>
    </w:p>
    <w:p w14:paraId="039C49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绍兴成言工程咨询管理有限公司：</w:t>
      </w:r>
    </w:p>
    <w:p w14:paraId="4E5C7F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系中华人民共和国合法企业，经营地址</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p>
    <w:p w14:paraId="7953EF4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的法定代表人，我方愿意参加贵方组织的</w:t>
      </w:r>
      <w:r>
        <w:rPr>
          <w:rFonts w:hint="eastAsia" w:ascii="宋体" w:hAnsi="宋体" w:eastAsia="宋体" w:cs="宋体"/>
          <w:color w:val="auto"/>
          <w:sz w:val="24"/>
          <w:highlight w:val="none"/>
          <w:u w:val="single"/>
        </w:rPr>
        <w:t>（招标项目名称）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（编号为）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的投标，为此，我方就本次投标有关事项郑重</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如下</w:t>
      </w:r>
      <w:r>
        <w:rPr>
          <w:rFonts w:hint="eastAsia" w:ascii="宋体" w:hAnsi="宋体" w:eastAsia="宋体" w:cs="宋体"/>
          <w:sz w:val="24"/>
          <w:highlight w:val="none"/>
        </w:rPr>
        <w:t>：</w:t>
      </w:r>
    </w:p>
    <w:p w14:paraId="1E9DA35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1、我方已详细审查全部招标文件，同意招标文件的各项要求。</w:t>
      </w:r>
    </w:p>
    <w:p w14:paraId="7E4C199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2、我方向贵方提交的所有投标文件、资料都是准确的和真实的。</w:t>
      </w:r>
    </w:p>
    <w:p w14:paraId="1DB16BE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3、若中标，我方将按招标文件规定履行合同责任和义务。</w:t>
      </w:r>
    </w:p>
    <w:p w14:paraId="4310AE7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4、我方不是采购人的附属机构；在获知本项目采购信息后，与采购人聘请的为此项目提供咨询服务的公司及其附属机构没有任何联系。</w:t>
      </w:r>
    </w:p>
    <w:p w14:paraId="55CED96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5、投标文件自开标日起有效期为90天。</w:t>
      </w:r>
    </w:p>
    <w:p w14:paraId="6A1E7A6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6、我方参与本项目前3年内的经营活动中没有重大违法记录；</w:t>
      </w:r>
    </w:p>
    <w:p w14:paraId="22EAA5B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7、我方通过“信用中国”网站（www.creditchina.gov.cn）、中国政府采购网（www.ccgp.gov.cn）查询，未被列入失信被执行人、重大税收违法案件当事人名单、政府采购严重违法失信行为记录名单。</w:t>
      </w:r>
    </w:p>
    <w:p w14:paraId="1BBEB8AB">
      <w:pPr>
        <w:pStyle w:val="65"/>
        <w:numPr>
          <w:ilvl w:val="0"/>
          <w:numId w:val="0"/>
        </w:numPr>
        <w:spacing w:before="0" w:line="360" w:lineRule="auto"/>
        <w:ind w:firstLine="480" w:firstLineChars="200"/>
        <w:jc w:val="left"/>
        <w:rPr>
          <w:rFonts w:hint="eastAsia" w:ascii="宋体" w:hAnsi="宋体" w:eastAsia="宋体" w:cs="宋体"/>
          <w:szCs w:val="24"/>
          <w:highlight w:val="none"/>
          <w:lang w:val="en-US" w:eastAsia="zh-CN"/>
        </w:rPr>
      </w:pPr>
      <w:r>
        <w:rPr>
          <w:rFonts w:hint="eastAsia" w:ascii="宋体" w:hAnsi="宋体" w:eastAsia="宋体" w:cs="宋体"/>
          <w:sz w:val="24"/>
          <w:highlight w:val="none"/>
        </w:rPr>
        <w:t>8、</w:t>
      </w:r>
      <w:r>
        <w:rPr>
          <w:rFonts w:hint="eastAsia" w:ascii="宋体" w:hAnsi="宋体" w:eastAsia="宋体" w:cs="宋体"/>
          <w:szCs w:val="24"/>
          <w:highlight w:val="none"/>
          <w:lang w:val="en-US" w:eastAsia="zh-CN"/>
        </w:rPr>
        <w:t>具有良好的商业信誉和健全的财务会计制度；</w:t>
      </w:r>
    </w:p>
    <w:p w14:paraId="177669A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9、具有依法缴纳税收和社会保障资金的良好记录</w:t>
      </w:r>
      <w:r>
        <w:rPr>
          <w:rFonts w:hint="eastAsia" w:ascii="宋体" w:hAnsi="宋体" w:eastAsia="宋体" w:cs="宋体"/>
          <w:sz w:val="24"/>
          <w:highlight w:val="none"/>
        </w:rPr>
        <w:t>；</w:t>
      </w:r>
    </w:p>
    <w:p w14:paraId="62EC2F3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10、</w:t>
      </w:r>
      <w:r>
        <w:rPr>
          <w:rFonts w:hint="eastAsia" w:ascii="宋体" w:hAnsi="宋体" w:eastAsia="宋体" w:cs="宋体"/>
          <w:sz w:val="24"/>
          <w:highlight w:val="none"/>
        </w:rPr>
        <w:t>以上事项如有虚假或隐瞒，我方愿意承担一切后果，并不再寻求任何旨在减轻或免除法律责任的辩解。</w:t>
      </w:r>
    </w:p>
    <w:p w14:paraId="41FF2F2E">
      <w:pPr>
        <w:spacing w:line="360" w:lineRule="auto"/>
        <w:ind w:firstLine="480" w:firstLineChars="200"/>
        <w:rPr>
          <w:rFonts w:hint="eastAsia" w:ascii="宋体" w:hAnsi="宋体" w:eastAsia="宋体" w:cs="宋体"/>
          <w:sz w:val="24"/>
          <w:highlight w:val="none"/>
        </w:rPr>
      </w:pPr>
    </w:p>
    <w:p w14:paraId="67578639">
      <w:pPr>
        <w:pStyle w:val="14"/>
        <w:spacing w:line="360" w:lineRule="auto"/>
        <w:rPr>
          <w:rFonts w:hint="eastAsia" w:ascii="宋体" w:hAnsi="宋体" w:eastAsia="宋体" w:cs="宋体"/>
          <w:highlight w:val="none"/>
        </w:rPr>
      </w:pPr>
    </w:p>
    <w:p w14:paraId="51D27E08">
      <w:pPr>
        <w:spacing w:line="360" w:lineRule="auto"/>
        <w:ind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法定代表人签名（或签名章）：                       </w:t>
      </w:r>
    </w:p>
    <w:p w14:paraId="70341B0C">
      <w:pPr>
        <w:spacing w:line="360" w:lineRule="auto"/>
        <w:ind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日 期：</w:t>
      </w:r>
    </w:p>
    <w:p w14:paraId="12A7C458">
      <w:pPr>
        <w:spacing w:line="360" w:lineRule="auto"/>
        <w:ind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投标人全称（公章）：</w:t>
      </w:r>
    </w:p>
    <w:p w14:paraId="7FE81A0D">
      <w:pPr>
        <w:snapToGrid w:val="0"/>
        <w:spacing w:before="50" w:after="167" w:afterLines="50" w:line="360" w:lineRule="auto"/>
        <w:jc w:val="left"/>
        <w:rPr>
          <w:rFonts w:hint="eastAsia" w:ascii="宋体" w:hAnsi="宋体" w:eastAsia="宋体" w:cs="宋体"/>
          <w:b/>
          <w:bCs w:val="0"/>
          <w:sz w:val="24"/>
          <w:szCs w:val="24"/>
          <w:highlight w:val="none"/>
          <w:lang w:val="zh-CN"/>
        </w:rPr>
      </w:pPr>
      <w:bookmarkStart w:id="91" w:name="_Toc31936"/>
    </w:p>
    <w:p w14:paraId="27A2CBD6">
      <w:pPr>
        <w:snapToGrid w:val="0"/>
        <w:spacing w:before="50" w:after="167" w:afterLines="50" w:line="360" w:lineRule="auto"/>
        <w:jc w:val="left"/>
        <w:rPr>
          <w:rFonts w:hint="eastAsia" w:ascii="宋体" w:hAnsi="宋体" w:eastAsia="宋体" w:cs="宋体"/>
          <w:b/>
          <w:bCs w:val="0"/>
          <w:sz w:val="24"/>
          <w:szCs w:val="24"/>
          <w:highlight w:val="none"/>
          <w:lang w:val="zh-CN"/>
        </w:rPr>
      </w:pPr>
      <w:r>
        <w:rPr>
          <w:rFonts w:hint="eastAsia" w:ascii="宋体" w:hAnsi="宋体" w:eastAsia="宋体" w:cs="宋体"/>
          <w:b/>
          <w:bCs w:val="0"/>
          <w:sz w:val="24"/>
          <w:szCs w:val="24"/>
          <w:highlight w:val="none"/>
          <w:lang w:val="zh-CN"/>
        </w:rPr>
        <w:t>附件三：</w:t>
      </w:r>
    </w:p>
    <w:p w14:paraId="26EDFFF7">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中小企业声明函</w:t>
      </w:r>
    </w:p>
    <w:p w14:paraId="3E2EF894">
      <w:pPr>
        <w:widowControl/>
        <w:snapToGrid w:val="0"/>
        <w:spacing w:line="360" w:lineRule="auto"/>
        <w:ind w:firstLine="480" w:firstLineChars="20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【不属于中小企业的无需填写、递交】</w:t>
      </w:r>
    </w:p>
    <w:p w14:paraId="61B7C2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本公司（联合体）郑重声明，根据《政府采购促进中小企业发展管理办法》 （财库﹝2020﹞46 号）的规定，本公司（联合体）参加</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lang w:val="en-US" w:eastAsia="zh-CN"/>
        </w:rPr>
        <w:t>采购人</w:t>
      </w:r>
      <w:r>
        <w:rPr>
          <w:rFonts w:hint="eastAsia" w:ascii="宋体" w:hAnsi="宋体" w:eastAsia="宋体" w:cs="宋体"/>
          <w:sz w:val="24"/>
          <w:highlight w:val="none"/>
          <w:u w:val="single"/>
          <w:lang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none"/>
          <w:lang w:eastAsia="zh-CN"/>
        </w:rPr>
        <w:t>的</w:t>
      </w:r>
      <w:r>
        <w:rPr>
          <w:rFonts w:hint="eastAsia" w:ascii="宋体" w:hAnsi="宋体" w:eastAsia="宋体" w:cs="宋体"/>
          <w:sz w:val="24"/>
          <w:highlight w:val="none"/>
          <w:u w:val="single"/>
          <w:lang w:val="en-US" w:eastAsia="zh-CN"/>
        </w:rPr>
        <w:t xml:space="preserve"> （项目名称）   </w:t>
      </w:r>
      <w:r>
        <w:rPr>
          <w:rFonts w:hint="eastAsia" w:ascii="宋体" w:hAnsi="宋体" w:eastAsia="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56BAFF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其他未列明行业</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 xml:space="preserve">           （企业名称） </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single"/>
        </w:rPr>
        <w:t xml:space="preserve">       （中型企业、小型企业、微型企业）</w:t>
      </w:r>
      <w:r>
        <w:rPr>
          <w:rFonts w:hint="eastAsia" w:ascii="宋体" w:hAnsi="宋体" w:eastAsia="宋体" w:cs="宋体"/>
          <w:color w:val="auto"/>
          <w:sz w:val="24"/>
          <w:szCs w:val="24"/>
          <w:highlight w:val="none"/>
        </w:rPr>
        <w:t xml:space="preserve"> ；</w:t>
      </w:r>
    </w:p>
    <w:p w14:paraId="627221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1E4CA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300A8D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1808A341">
      <w:pPr>
        <w:keepNext w:val="0"/>
        <w:keepLines w:val="0"/>
        <w:pageBreakBefore w:val="0"/>
        <w:widowControl w:val="0"/>
        <w:kinsoku/>
        <w:wordWrap/>
        <w:overflowPunct/>
        <w:topLinePunct w:val="0"/>
        <w:autoSpaceDE/>
        <w:autoSpaceDN/>
        <w:bidi w:val="0"/>
        <w:adjustRightInd/>
        <w:snapToGrid/>
        <w:spacing w:line="360" w:lineRule="auto"/>
        <w:ind w:right="420" w:firstLine="5880" w:firstLineChars="2450"/>
        <w:jc w:val="left"/>
        <w:textAlignment w:val="auto"/>
        <w:rPr>
          <w:rFonts w:hint="eastAsia" w:ascii="宋体" w:hAnsi="宋体" w:eastAsia="宋体" w:cs="宋体"/>
          <w:sz w:val="24"/>
          <w:highlight w:val="none"/>
        </w:rPr>
      </w:pPr>
    </w:p>
    <w:p w14:paraId="395E690F">
      <w:pPr>
        <w:keepNext w:val="0"/>
        <w:keepLines w:val="0"/>
        <w:pageBreakBefore w:val="0"/>
        <w:widowControl w:val="0"/>
        <w:kinsoku/>
        <w:wordWrap/>
        <w:overflowPunct/>
        <w:topLinePunct w:val="0"/>
        <w:autoSpaceDE/>
        <w:autoSpaceDN/>
        <w:bidi w:val="0"/>
        <w:adjustRightInd/>
        <w:snapToGrid/>
        <w:spacing w:line="360" w:lineRule="auto"/>
        <w:ind w:right="420" w:firstLine="4560" w:firstLineChars="1900"/>
        <w:textAlignment w:val="auto"/>
        <w:rPr>
          <w:rFonts w:hint="eastAsia" w:ascii="宋体" w:hAnsi="宋体" w:eastAsia="宋体" w:cs="宋体"/>
          <w:sz w:val="24"/>
          <w:highlight w:val="none"/>
        </w:rPr>
      </w:pPr>
    </w:p>
    <w:p w14:paraId="2D52F663">
      <w:pPr>
        <w:keepNext w:val="0"/>
        <w:keepLines w:val="0"/>
        <w:pageBreakBefore w:val="0"/>
        <w:widowControl w:val="0"/>
        <w:kinsoku/>
        <w:wordWrap/>
        <w:overflowPunct/>
        <w:topLinePunct w:val="0"/>
        <w:autoSpaceDE/>
        <w:autoSpaceDN/>
        <w:bidi w:val="0"/>
        <w:adjustRightInd/>
        <w:snapToGrid/>
        <w:spacing w:line="360" w:lineRule="auto"/>
        <w:ind w:right="420" w:firstLine="4560" w:firstLineChars="190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企业名称（盖章）： </w:t>
      </w:r>
    </w:p>
    <w:p w14:paraId="311F9BA0">
      <w:pPr>
        <w:keepNext w:val="0"/>
        <w:keepLines w:val="0"/>
        <w:pageBreakBefore w:val="0"/>
        <w:widowControl w:val="0"/>
        <w:kinsoku/>
        <w:wordWrap/>
        <w:overflowPunct/>
        <w:topLinePunct w:val="0"/>
        <w:autoSpaceDE/>
        <w:autoSpaceDN/>
        <w:bidi w:val="0"/>
        <w:adjustRightInd/>
        <w:snapToGrid/>
        <w:spacing w:line="360" w:lineRule="auto"/>
        <w:ind w:right="420" w:firstLine="4560" w:firstLineChars="1900"/>
        <w:textAlignment w:val="auto"/>
        <w:rPr>
          <w:rFonts w:hint="eastAsia" w:ascii="宋体" w:hAnsi="宋体" w:eastAsia="宋体" w:cs="宋体"/>
          <w:sz w:val="24"/>
          <w:highlight w:val="none"/>
        </w:rPr>
      </w:pPr>
      <w:r>
        <w:rPr>
          <w:rFonts w:hint="eastAsia" w:ascii="宋体" w:hAnsi="宋体" w:eastAsia="宋体" w:cs="宋体"/>
          <w:sz w:val="24"/>
          <w:highlight w:val="none"/>
        </w:rPr>
        <w:t>日期：   年     月     日</w:t>
      </w:r>
    </w:p>
    <w:p w14:paraId="660F9C93">
      <w:pPr>
        <w:snapToGrid w:val="0"/>
        <w:spacing w:line="360" w:lineRule="auto"/>
        <w:ind w:right="480"/>
        <w:rPr>
          <w:rFonts w:hint="eastAsia" w:ascii="宋体" w:hAnsi="宋体" w:eastAsia="宋体" w:cs="宋体"/>
          <w:kern w:val="0"/>
          <w:sz w:val="24"/>
          <w:highlight w:val="none"/>
          <w:lang w:val="zh-CN"/>
        </w:rPr>
      </w:pPr>
    </w:p>
    <w:p w14:paraId="5CE2BD68">
      <w:pPr>
        <w:snapToGrid w:val="0"/>
        <w:spacing w:line="360" w:lineRule="auto"/>
        <w:ind w:right="480"/>
        <w:rPr>
          <w:rFonts w:hint="eastAsia" w:ascii="宋体" w:hAnsi="宋体" w:eastAsia="宋体" w:cs="宋体"/>
          <w:kern w:val="0"/>
          <w:sz w:val="24"/>
          <w:highlight w:val="none"/>
          <w:lang w:val="zh-CN"/>
        </w:rPr>
      </w:pPr>
    </w:p>
    <w:p w14:paraId="7D64A5A1">
      <w:pPr>
        <w:pStyle w:val="10"/>
        <w:spacing w:line="360" w:lineRule="auto"/>
        <w:ind w:firstLine="0"/>
        <w:rPr>
          <w:rFonts w:hint="eastAsia" w:ascii="宋体" w:hAnsi="宋体" w:eastAsia="宋体" w:cs="宋体"/>
          <w:sz w:val="24"/>
          <w:highlight w:val="none"/>
        </w:rPr>
      </w:pPr>
    </w:p>
    <w:p w14:paraId="3C5CD1BF">
      <w:pPr>
        <w:pStyle w:val="10"/>
        <w:spacing w:line="360" w:lineRule="auto"/>
        <w:ind w:left="0" w:leftChars="0" w:firstLine="0" w:firstLineChars="0"/>
        <w:rPr>
          <w:rFonts w:hint="eastAsia" w:ascii="宋体" w:hAnsi="宋体" w:eastAsia="宋体" w:cs="宋体"/>
          <w:sz w:val="24"/>
          <w:highlight w:val="none"/>
        </w:rPr>
      </w:pPr>
    </w:p>
    <w:p w14:paraId="1346F1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注：从业人员、营业收入、资产总额填报上一年度数据，无上一年度数据的新成立企业可不填报。</w:t>
      </w:r>
    </w:p>
    <w:p w14:paraId="15F7CD5B">
      <w:pPr>
        <w:spacing w:line="360" w:lineRule="auto"/>
        <w:rPr>
          <w:rFonts w:hint="eastAsia" w:ascii="宋体" w:hAnsi="宋体" w:eastAsia="宋体" w:cs="宋体"/>
          <w:sz w:val="24"/>
          <w:highlight w:val="none"/>
        </w:rPr>
      </w:pPr>
      <w:r>
        <w:rPr>
          <w:rFonts w:hint="eastAsia" w:ascii="宋体" w:hAnsi="宋体" w:eastAsia="宋体" w:cs="宋体"/>
          <w:spacing w:val="20"/>
          <w:sz w:val="30"/>
          <w:szCs w:val="30"/>
          <w:highlight w:val="none"/>
        </w:rPr>
        <w:br w:type="page"/>
      </w:r>
      <w:r>
        <w:rPr>
          <w:rFonts w:hint="eastAsia" w:ascii="宋体" w:hAnsi="宋体" w:eastAsia="宋体" w:cs="宋体"/>
          <w:b/>
          <w:bCs/>
          <w:sz w:val="24"/>
          <w:highlight w:val="none"/>
          <w:lang w:val="zh-CN"/>
        </w:rPr>
        <w:t>附件</w:t>
      </w:r>
      <w:r>
        <w:rPr>
          <w:rFonts w:hint="eastAsia" w:ascii="宋体" w:hAnsi="宋体" w:cs="宋体"/>
          <w:b/>
          <w:bCs/>
          <w:sz w:val="24"/>
          <w:highlight w:val="none"/>
          <w:lang w:val="en-US" w:eastAsia="zh-CN"/>
        </w:rPr>
        <w:t>四</w:t>
      </w:r>
      <w:r>
        <w:rPr>
          <w:rFonts w:hint="eastAsia" w:ascii="宋体" w:hAnsi="宋体" w:eastAsia="宋体" w:cs="宋体"/>
          <w:b/>
          <w:bCs/>
          <w:sz w:val="24"/>
          <w:highlight w:val="none"/>
          <w:lang w:val="zh-CN"/>
        </w:rPr>
        <w:t>：</w:t>
      </w:r>
    </w:p>
    <w:p w14:paraId="15FD83D1">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残疾人福利性单位声明函</w:t>
      </w:r>
    </w:p>
    <w:p w14:paraId="79B3B5CC">
      <w:pPr>
        <w:widowControl/>
        <w:snapToGrid w:val="0"/>
        <w:spacing w:line="360" w:lineRule="auto"/>
        <w:ind w:firstLine="480" w:firstLineChars="20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【不属于残疾人福利性单位的无需填写、递交】</w:t>
      </w:r>
    </w:p>
    <w:p w14:paraId="0E17ED40">
      <w:pPr>
        <w:spacing w:line="360" w:lineRule="auto"/>
        <w:rPr>
          <w:rFonts w:hint="eastAsia" w:ascii="宋体" w:hAnsi="宋体" w:eastAsia="宋体" w:cs="宋体"/>
          <w:b/>
          <w:spacing w:val="6"/>
          <w:sz w:val="30"/>
          <w:szCs w:val="30"/>
          <w:highlight w:val="none"/>
        </w:rPr>
      </w:pPr>
    </w:p>
    <w:p w14:paraId="3399777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7CBB7748">
      <w:pPr>
        <w:pStyle w:val="96"/>
        <w:spacing w:line="360" w:lineRule="auto"/>
        <w:rPr>
          <w:rFonts w:hint="eastAsia" w:ascii="宋体" w:hAnsi="宋体" w:eastAsia="宋体" w:cs="宋体"/>
          <w:highlight w:val="none"/>
        </w:rPr>
      </w:pPr>
    </w:p>
    <w:p w14:paraId="5926E526">
      <w:pPr>
        <w:pStyle w:val="10"/>
        <w:spacing w:line="360" w:lineRule="auto"/>
        <w:rPr>
          <w:rFonts w:hint="eastAsia" w:ascii="宋体" w:hAnsi="宋体" w:eastAsia="宋体" w:cs="宋体"/>
          <w:highlight w:val="none"/>
        </w:rPr>
      </w:pPr>
    </w:p>
    <w:p w14:paraId="70F1197A">
      <w:pPr>
        <w:spacing w:line="360" w:lineRule="auto"/>
        <w:rPr>
          <w:rFonts w:hint="eastAsia" w:ascii="宋体" w:hAnsi="宋体" w:eastAsia="宋体" w:cs="宋体"/>
          <w:sz w:val="24"/>
          <w:highlight w:val="none"/>
        </w:rPr>
      </w:pPr>
    </w:p>
    <w:p w14:paraId="25ABBCD8">
      <w:pPr>
        <w:spacing w:line="360" w:lineRule="auto"/>
        <w:ind w:left="3780"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法定代表人签名（或签名章）：                       </w:t>
      </w:r>
    </w:p>
    <w:p w14:paraId="3B61FB09">
      <w:pPr>
        <w:spacing w:line="360" w:lineRule="auto"/>
        <w:ind w:left="3780"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日 期：</w:t>
      </w:r>
    </w:p>
    <w:p w14:paraId="5648E492">
      <w:pPr>
        <w:spacing w:line="360" w:lineRule="auto"/>
        <w:ind w:left="3780"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投标人全称（公章）：</w:t>
      </w:r>
    </w:p>
    <w:p w14:paraId="40BA169B">
      <w:pPr>
        <w:spacing w:line="360" w:lineRule="auto"/>
        <w:rPr>
          <w:rFonts w:hint="eastAsia" w:ascii="宋体" w:hAnsi="宋体" w:eastAsia="宋体" w:cs="宋体"/>
          <w:bCs/>
          <w:sz w:val="24"/>
          <w:szCs w:val="24"/>
          <w:highlight w:val="none"/>
          <w:lang w:val="zh-CN"/>
        </w:rPr>
      </w:pPr>
      <w:r>
        <w:rPr>
          <w:rFonts w:hint="eastAsia" w:ascii="宋体" w:hAnsi="宋体" w:eastAsia="宋体" w:cs="宋体"/>
          <w:sz w:val="24"/>
          <w:highlight w:val="none"/>
        </w:rPr>
        <w:br w:type="page"/>
      </w:r>
      <w:bookmarkStart w:id="92" w:name="_Toc12832"/>
      <w:r>
        <w:rPr>
          <w:rFonts w:hint="eastAsia" w:ascii="宋体" w:hAnsi="宋体" w:eastAsia="宋体" w:cs="宋体"/>
          <w:b/>
          <w:bCs/>
          <w:sz w:val="24"/>
          <w:highlight w:val="none"/>
          <w:lang w:val="zh-CN"/>
        </w:rPr>
        <w:t>附件</w:t>
      </w: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w:t>
      </w:r>
      <w:bookmarkEnd w:id="92"/>
    </w:p>
    <w:p w14:paraId="59547D9D">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监狱企业证明文件</w:t>
      </w:r>
    </w:p>
    <w:p w14:paraId="1B4A12FC">
      <w:pPr>
        <w:widowControl/>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【不属于监狱企业的无需填写、递交】</w:t>
      </w:r>
    </w:p>
    <w:p w14:paraId="7D35848A">
      <w:pPr>
        <w:widowControl/>
        <w:snapToGrid w:val="0"/>
        <w:spacing w:line="360" w:lineRule="auto"/>
        <w:jc w:val="center"/>
        <w:rPr>
          <w:rFonts w:hint="eastAsia" w:ascii="宋体" w:hAnsi="宋体" w:eastAsia="宋体" w:cs="宋体"/>
          <w:kern w:val="0"/>
          <w:sz w:val="24"/>
          <w:highlight w:val="none"/>
        </w:rPr>
      </w:pPr>
    </w:p>
    <w:p w14:paraId="13311D1A">
      <w:pPr>
        <w:spacing w:line="360" w:lineRule="auto"/>
        <w:ind w:firstLine="480" w:firstLineChars="200"/>
        <w:rPr>
          <w:rFonts w:hint="eastAsia" w:ascii="宋体" w:hAnsi="宋体" w:eastAsia="宋体" w:cs="宋体"/>
          <w:sz w:val="24"/>
          <w:highlight w:val="none"/>
        </w:rPr>
      </w:pPr>
    </w:p>
    <w:p w14:paraId="45870392">
      <w:pPr>
        <w:adjustRightInd w:val="0"/>
        <w:snapToGrid w:val="0"/>
        <w:spacing w:before="159" w:beforeLines="5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监狱企业需提供省级以上的监狱管理局、戒毒管理局（含新疆生产建设兵团）出具的属于监狱企业的证明文件。  </w:t>
      </w:r>
    </w:p>
    <w:p w14:paraId="2EFC5D63">
      <w:pPr>
        <w:pStyle w:val="5"/>
        <w:spacing w:line="360" w:lineRule="auto"/>
        <w:rPr>
          <w:rFonts w:hint="eastAsia" w:ascii="宋体" w:hAnsi="宋体" w:eastAsia="宋体" w:cs="宋体"/>
          <w:highlight w:val="none"/>
        </w:rPr>
      </w:pPr>
    </w:p>
    <w:p w14:paraId="370A8C84">
      <w:pPr>
        <w:pStyle w:val="10"/>
        <w:spacing w:line="360" w:lineRule="auto"/>
        <w:rPr>
          <w:rFonts w:hint="eastAsia" w:ascii="宋体" w:hAnsi="宋体" w:eastAsia="宋体" w:cs="宋体"/>
          <w:highlight w:val="none"/>
        </w:rPr>
      </w:pPr>
    </w:p>
    <w:p w14:paraId="287AB105">
      <w:pPr>
        <w:spacing w:line="360" w:lineRule="auto"/>
        <w:ind w:left="3780"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法定代表人签名（或签名章）：                       </w:t>
      </w:r>
    </w:p>
    <w:p w14:paraId="157BBA8E">
      <w:pPr>
        <w:spacing w:line="360" w:lineRule="auto"/>
        <w:ind w:left="3780" w:leftChars="1800" w:firstLine="480" w:firstLineChars="200"/>
        <w:rPr>
          <w:rFonts w:hint="eastAsia" w:ascii="宋体" w:hAnsi="宋体" w:eastAsia="宋体" w:cs="宋体"/>
          <w:sz w:val="24"/>
          <w:highlight w:val="none"/>
        </w:rPr>
      </w:pPr>
      <w:r>
        <w:rPr>
          <w:rFonts w:hint="eastAsia" w:ascii="宋体" w:hAnsi="宋体" w:eastAsia="宋体" w:cs="宋体"/>
          <w:sz w:val="24"/>
          <w:highlight w:val="none"/>
        </w:rPr>
        <w:t>日 期：</w:t>
      </w:r>
    </w:p>
    <w:p w14:paraId="0EA2B2CF">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sz w:val="24"/>
          <w:highlight w:val="none"/>
        </w:rPr>
        <w:t>投标人全称（公章）：</w:t>
      </w:r>
    </w:p>
    <w:p w14:paraId="74F16752">
      <w:pPr>
        <w:pStyle w:val="12"/>
        <w:rPr>
          <w:rFonts w:hint="eastAsia"/>
          <w:highlight w:val="none"/>
          <w:lang w:val="zh-CN"/>
        </w:rPr>
      </w:pPr>
    </w:p>
    <w:bookmarkEnd w:id="91"/>
    <w:p w14:paraId="56F460AF">
      <w:pPr>
        <w:spacing w:line="360" w:lineRule="auto"/>
        <w:jc w:val="center"/>
        <w:rPr>
          <w:rFonts w:hint="eastAsia" w:ascii="宋体" w:hAnsi="宋体" w:eastAsia="宋体" w:cs="宋体"/>
          <w:b/>
          <w:bCs/>
          <w:color w:val="auto"/>
          <w:kern w:val="0"/>
          <w:sz w:val="36"/>
          <w:szCs w:val="36"/>
          <w:highlight w:val="none"/>
        </w:rPr>
      </w:pPr>
    </w:p>
    <w:p w14:paraId="04E9161C">
      <w:pPr>
        <w:spacing w:line="360" w:lineRule="auto"/>
        <w:jc w:val="center"/>
        <w:rPr>
          <w:rFonts w:hint="eastAsia" w:ascii="宋体" w:hAnsi="宋体" w:eastAsia="宋体" w:cs="宋体"/>
          <w:b/>
          <w:bCs/>
          <w:color w:val="auto"/>
          <w:kern w:val="0"/>
          <w:sz w:val="36"/>
          <w:szCs w:val="36"/>
          <w:highlight w:val="none"/>
        </w:rPr>
      </w:pPr>
    </w:p>
    <w:p w14:paraId="0FF3D58A">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br w:type="textWrapping"/>
      </w:r>
    </w:p>
    <w:p w14:paraId="35BD2DC4">
      <w:pP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br w:type="page"/>
      </w:r>
    </w:p>
    <w:p w14:paraId="328213F7">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商务技术文件</w:t>
      </w:r>
    </w:p>
    <w:p w14:paraId="4E72749D">
      <w:pPr>
        <w:spacing w:line="360" w:lineRule="auto"/>
        <w:jc w:val="center"/>
        <w:rPr>
          <w:rFonts w:hint="eastAsia" w:ascii="宋体" w:hAnsi="宋体" w:eastAsia="宋体" w:cs="宋体"/>
          <w:b/>
          <w:bCs/>
          <w:color w:val="auto"/>
          <w:kern w:val="0"/>
          <w:sz w:val="36"/>
          <w:szCs w:val="36"/>
          <w:highlight w:val="none"/>
        </w:rPr>
      </w:pPr>
    </w:p>
    <w:p w14:paraId="3D911C7B">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4AD33DF7">
      <w:pPr>
        <w:pStyle w:val="14"/>
        <w:spacing w:line="360" w:lineRule="auto"/>
        <w:ind w:left="426" w:firstLine="486"/>
        <w:rPr>
          <w:rFonts w:hint="eastAsia" w:ascii="宋体" w:hAnsi="宋体" w:eastAsia="宋体" w:cs="宋体"/>
          <w:color w:val="auto"/>
          <w:highlight w:val="none"/>
        </w:rPr>
      </w:pPr>
    </w:p>
    <w:p w14:paraId="726C24C9">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评分对应表（格式见附件，主要用于评委对应评分内容）</w:t>
      </w:r>
      <w:r>
        <w:rPr>
          <w:rFonts w:hint="eastAsia" w:ascii="宋体" w:hAnsi="宋体" w:eastAsia="宋体" w:cs="宋体"/>
          <w:sz w:val="24"/>
          <w:szCs w:val="24"/>
          <w:highlight w:val="none"/>
          <w:lang w:eastAsia="zh-CN"/>
        </w:rPr>
        <w:t>；</w:t>
      </w:r>
    </w:p>
    <w:p w14:paraId="6C66498E">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供应商商务技术文件中资信分自评表（格式见附件）；</w:t>
      </w:r>
    </w:p>
    <w:p w14:paraId="6DECA2B6">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磋商项目明细清单（格式见附件）；</w:t>
      </w:r>
    </w:p>
    <w:p w14:paraId="3ED5778E">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技术响应及建议表（格式见附件）；</w:t>
      </w:r>
    </w:p>
    <w:p w14:paraId="2709E6A0">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商务响应表（格式见附件）；</w:t>
      </w:r>
    </w:p>
    <w:p w14:paraId="32B92461">
      <w:pPr>
        <w:numPr>
          <w:ilvl w:val="0"/>
          <w:numId w:val="20"/>
        </w:numPr>
        <w:spacing w:line="360" w:lineRule="auto"/>
        <w:rPr>
          <w:rFonts w:hint="eastAsia" w:ascii="宋体" w:hAnsi="宋体" w:eastAsia="宋体" w:cs="宋体"/>
          <w:sz w:val="24"/>
          <w:szCs w:val="24"/>
          <w:highlight w:val="none"/>
        </w:rPr>
      </w:pPr>
      <w:bookmarkStart w:id="93" w:name="_Toc10131"/>
      <w:r>
        <w:rPr>
          <w:rFonts w:hint="eastAsia" w:ascii="宋体" w:hAnsi="宋体" w:eastAsia="宋体" w:cs="宋体"/>
          <w:sz w:val="24"/>
          <w:szCs w:val="24"/>
          <w:highlight w:val="none"/>
          <w:lang w:val="en-US" w:eastAsia="zh-CN"/>
        </w:rPr>
        <w:t>重</w:t>
      </w:r>
      <w:bookmarkStart w:id="102" w:name="_GoBack"/>
      <w:r>
        <w:rPr>
          <w:rFonts w:hint="eastAsia" w:ascii="宋体" w:hAnsi="宋体" w:eastAsia="宋体" w:cs="宋体"/>
          <w:sz w:val="24"/>
          <w:szCs w:val="24"/>
          <w:highlight w:val="none"/>
          <w:lang w:val="en-US" w:eastAsia="zh-CN"/>
        </w:rPr>
        <w:t>难点分析；</w:t>
      </w:r>
    </w:p>
    <w:p w14:paraId="080BA37F">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项目方案；</w:t>
      </w:r>
    </w:p>
    <w:p w14:paraId="5F671461">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供应商优势；</w:t>
      </w:r>
    </w:p>
    <w:p w14:paraId="08CFB461">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服务质量；</w:t>
      </w:r>
    </w:p>
    <w:p w14:paraId="7192CB1B">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团队实力；</w:t>
      </w:r>
    </w:p>
    <w:p w14:paraId="704E9AE2">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进度计划；</w:t>
      </w:r>
    </w:p>
    <w:p w14:paraId="03D5231B">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质量保证措施；</w:t>
      </w:r>
    </w:p>
    <w:p w14:paraId="757CAABE">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合理化建议；</w:t>
      </w:r>
    </w:p>
    <w:p w14:paraId="739F5790">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保密措施；</w:t>
      </w:r>
    </w:p>
    <w:p w14:paraId="0D542F27">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验收方案；</w:t>
      </w:r>
    </w:p>
    <w:p w14:paraId="277DB844">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类似业绩；</w:t>
      </w:r>
    </w:p>
    <w:p w14:paraId="30752B2C">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企业荣誉；</w:t>
      </w:r>
    </w:p>
    <w:p w14:paraId="6129B0CF">
      <w:pPr>
        <w:numPr>
          <w:ilvl w:val="0"/>
          <w:numId w:val="2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供应商认为需要的其他文件资料。 </w:t>
      </w:r>
    </w:p>
    <w:bookmarkEnd w:id="102"/>
    <w:p w14:paraId="2A630CCD">
      <w:pPr>
        <w:pStyle w:val="65"/>
        <w:tabs>
          <w:tab w:val="left" w:pos="0"/>
        </w:tabs>
        <w:spacing w:before="0"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注：以上内容应与评标办法中内容具有一致性。</w:t>
      </w:r>
    </w:p>
    <w:p w14:paraId="4D598202">
      <w:pPr>
        <w:snapToGrid w:val="0"/>
        <w:spacing w:before="50" w:after="50" w:line="360" w:lineRule="auto"/>
        <w:jc w:val="left"/>
        <w:rPr>
          <w:rFonts w:hint="eastAsia" w:ascii="宋体" w:hAnsi="宋体" w:eastAsia="宋体" w:cs="宋体"/>
          <w:b/>
          <w:bCs/>
          <w:color w:val="auto"/>
          <w:sz w:val="24"/>
          <w:szCs w:val="24"/>
          <w:highlight w:val="none"/>
          <w:lang w:val="zh-CN"/>
        </w:rPr>
      </w:pPr>
    </w:p>
    <w:p w14:paraId="5A0559F7">
      <w:pPr>
        <w:snapToGrid w:val="0"/>
        <w:spacing w:before="50" w:after="50" w:line="360" w:lineRule="auto"/>
        <w:jc w:val="left"/>
        <w:rPr>
          <w:rFonts w:hint="eastAsia" w:ascii="宋体" w:hAnsi="宋体" w:eastAsia="宋体" w:cs="宋体"/>
          <w:b/>
          <w:bCs/>
          <w:color w:val="auto"/>
          <w:sz w:val="24"/>
          <w:szCs w:val="24"/>
          <w:highlight w:val="none"/>
          <w:lang w:val="zh-CN"/>
        </w:rPr>
      </w:pPr>
    </w:p>
    <w:p w14:paraId="5F3B5C7F">
      <w:pP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br w:type="page"/>
      </w:r>
    </w:p>
    <w:p w14:paraId="3D8F6BD9">
      <w:pPr>
        <w:snapToGrid w:val="0"/>
        <w:spacing w:before="50" w:after="50"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rPr>
        <w:t>：</w:t>
      </w:r>
    </w:p>
    <w:p w14:paraId="6ACF5FD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评分对应表</w:t>
      </w:r>
    </w:p>
    <w:p w14:paraId="02A6CD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32A1A3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31"/>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7EADB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6D81E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4CEE299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4AEC6F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响应文件页码</w:t>
            </w:r>
          </w:p>
        </w:tc>
      </w:tr>
      <w:tr w14:paraId="784E6A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B4791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对应评分办法及评分标准</w:t>
            </w:r>
          </w:p>
          <w:p w14:paraId="40958D9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0AFC2B9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206384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825F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126011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43C29B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44EF96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3834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246698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8254CA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5D704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9FB0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25F8BD7">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2F5D13E">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12CDCE1E">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r>
      <w:tr w14:paraId="057DE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658C4A80">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86CFC57">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37D24B9">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r>
      <w:tr w14:paraId="798D1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4E73AB7D">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95F92B7">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F6AC95A">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r>
      <w:tr w14:paraId="34073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279152C">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0542182B">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2C23759">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r>
      <w:tr w14:paraId="148A5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A3A46B5">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150591E2">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642166ED">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r>
      <w:tr w14:paraId="65A52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D51FEE0">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400F1291">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c>
          <w:tcPr>
            <w:tcW w:w="1977" w:type="dxa"/>
            <w:tcBorders>
              <w:top w:val="single" w:color="auto" w:sz="4" w:space="0"/>
              <w:left w:val="single" w:color="auto" w:sz="4" w:space="0"/>
              <w:bottom w:val="single" w:color="auto" w:sz="4" w:space="0"/>
            </w:tcBorders>
            <w:vAlign w:val="center"/>
          </w:tcPr>
          <w:p w14:paraId="3E4910A7">
            <w:pPr>
              <w:keepNext w:val="0"/>
              <w:keepLines w:val="0"/>
              <w:suppressLineNumbers w:val="0"/>
              <w:spacing w:before="0" w:beforeAutospacing="0" w:after="0" w:afterAutospacing="0" w:line="360" w:lineRule="auto"/>
              <w:ind w:left="0" w:right="0" w:firstLine="480" w:firstLineChars="200"/>
              <w:jc w:val="center"/>
              <w:rPr>
                <w:rFonts w:hint="eastAsia" w:ascii="宋体" w:hAnsi="宋体" w:eastAsia="宋体" w:cs="宋体"/>
                <w:color w:val="auto"/>
                <w:sz w:val="24"/>
                <w:szCs w:val="24"/>
                <w:highlight w:val="none"/>
              </w:rPr>
            </w:pPr>
          </w:p>
        </w:tc>
      </w:tr>
    </w:tbl>
    <w:p w14:paraId="0BC20363">
      <w:pPr>
        <w:spacing w:line="360" w:lineRule="auto"/>
        <w:ind w:firstLine="480" w:firstLineChars="200"/>
        <w:rPr>
          <w:rFonts w:hint="eastAsia" w:ascii="宋体" w:hAnsi="宋体" w:eastAsia="宋体" w:cs="宋体"/>
          <w:color w:val="auto"/>
          <w:sz w:val="24"/>
          <w:szCs w:val="24"/>
          <w:highlight w:val="none"/>
        </w:rPr>
      </w:pPr>
    </w:p>
    <w:p w14:paraId="68DDA76D">
      <w:pPr>
        <w:spacing w:line="360" w:lineRule="auto"/>
        <w:ind w:left="3780" w:leftChars="1800" w:firstLine="480" w:firstLineChars="200"/>
        <w:rPr>
          <w:rFonts w:hint="eastAsia" w:ascii="宋体" w:hAnsi="宋体" w:eastAsia="宋体" w:cs="宋体"/>
          <w:color w:val="auto"/>
          <w:sz w:val="24"/>
          <w:szCs w:val="24"/>
          <w:highlight w:val="none"/>
        </w:rPr>
      </w:pPr>
    </w:p>
    <w:p w14:paraId="4389F0E3">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5217EB0F">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14EF12AF">
      <w:pPr>
        <w:spacing w:line="360" w:lineRule="auto"/>
        <w:ind w:left="3780" w:leftChars="180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供应商全称（公章）：</w:t>
      </w:r>
    </w:p>
    <w:p w14:paraId="1BFF4B7E">
      <w:pP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br w:type="page"/>
      </w:r>
    </w:p>
    <w:p w14:paraId="6520D9EB">
      <w:pPr>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w:t>
      </w:r>
    </w:p>
    <w:p w14:paraId="5CC8250C">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供应商商务技术文件中资信分自评表</w:t>
      </w:r>
      <w:bookmarkEnd w:id="93"/>
    </w:p>
    <w:p w14:paraId="04009100">
      <w:pPr>
        <w:snapToGrid w:val="0"/>
        <w:spacing w:before="50" w:line="360" w:lineRule="auto"/>
        <w:jc w:val="center"/>
        <w:rPr>
          <w:rFonts w:hint="eastAsia" w:ascii="宋体" w:hAnsi="宋体" w:eastAsia="宋体" w:cs="宋体"/>
          <w:b/>
          <w:bCs/>
          <w:color w:val="auto"/>
          <w:sz w:val="32"/>
          <w:szCs w:val="32"/>
          <w:highlight w:val="none"/>
        </w:rPr>
      </w:pPr>
    </w:p>
    <w:p w14:paraId="49E03D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164BB62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31"/>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7BC0B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10E5D9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87" w:type="dxa"/>
            <w:vAlign w:val="center"/>
          </w:tcPr>
          <w:p w14:paraId="46A451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资信分内容</w:t>
            </w:r>
          </w:p>
        </w:tc>
        <w:tc>
          <w:tcPr>
            <w:tcW w:w="1462" w:type="dxa"/>
            <w:vAlign w:val="center"/>
          </w:tcPr>
          <w:p w14:paraId="4EB5DC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自评得分</w:t>
            </w:r>
          </w:p>
        </w:tc>
        <w:tc>
          <w:tcPr>
            <w:tcW w:w="2415" w:type="dxa"/>
            <w:tcBorders>
              <w:right w:val="single" w:color="auto" w:sz="4" w:space="0"/>
            </w:tcBorders>
            <w:vAlign w:val="center"/>
          </w:tcPr>
          <w:p w14:paraId="21D050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响应文件对应资料</w:t>
            </w:r>
          </w:p>
        </w:tc>
        <w:tc>
          <w:tcPr>
            <w:tcW w:w="1746" w:type="dxa"/>
            <w:tcBorders>
              <w:left w:val="single" w:color="auto" w:sz="4" w:space="0"/>
            </w:tcBorders>
            <w:vAlign w:val="center"/>
          </w:tcPr>
          <w:p w14:paraId="5EDD06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响应文件页码</w:t>
            </w:r>
          </w:p>
        </w:tc>
      </w:tr>
      <w:tr w14:paraId="1E5CD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C54F9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87" w:type="dxa"/>
          </w:tcPr>
          <w:p w14:paraId="106B04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2C0E81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5E2521B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1098E3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2B10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316AFC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87" w:type="dxa"/>
          </w:tcPr>
          <w:p w14:paraId="590F2E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5C779E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2CBDB3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273EF89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95ED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97DA08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387" w:type="dxa"/>
          </w:tcPr>
          <w:p w14:paraId="163E58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104D56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011E45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3D9EA1F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AADA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1DCE6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387" w:type="dxa"/>
          </w:tcPr>
          <w:p w14:paraId="44D744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0FF2577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2605E7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263E8C1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1EA0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72F836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387" w:type="dxa"/>
          </w:tcPr>
          <w:p w14:paraId="6E59BA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2B96D3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05B1C5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264980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BF11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C6DA33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387" w:type="dxa"/>
          </w:tcPr>
          <w:p w14:paraId="23A62D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0886209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4581473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7374FB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754A3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F1B69B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387" w:type="dxa"/>
          </w:tcPr>
          <w:p w14:paraId="7D4388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23CEF4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72596F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1927056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2C83F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471D9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87" w:type="dxa"/>
          </w:tcPr>
          <w:p w14:paraId="0BD7B1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4E9BC8F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0F715B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265D179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5900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67D7B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387" w:type="dxa"/>
          </w:tcPr>
          <w:p w14:paraId="40A862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2" w:type="dxa"/>
          </w:tcPr>
          <w:p w14:paraId="6C05ED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415" w:type="dxa"/>
            <w:tcBorders>
              <w:right w:val="single" w:color="auto" w:sz="4" w:space="0"/>
            </w:tcBorders>
          </w:tcPr>
          <w:p w14:paraId="6FDB11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46" w:type="dxa"/>
            <w:tcBorders>
              <w:left w:val="single" w:color="auto" w:sz="4" w:space="0"/>
            </w:tcBorders>
          </w:tcPr>
          <w:p w14:paraId="68D309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2A0923ED">
      <w:pPr>
        <w:spacing w:line="360" w:lineRule="auto"/>
        <w:ind w:firstLine="480" w:firstLineChars="200"/>
        <w:rPr>
          <w:rFonts w:hint="eastAsia" w:ascii="宋体" w:hAnsi="宋体" w:eastAsia="宋体" w:cs="宋体"/>
          <w:color w:val="auto"/>
          <w:sz w:val="24"/>
          <w:szCs w:val="24"/>
          <w:highlight w:val="none"/>
        </w:rPr>
      </w:pPr>
    </w:p>
    <w:p w14:paraId="57EF48C5">
      <w:pPr>
        <w:spacing w:line="360" w:lineRule="auto"/>
        <w:ind w:left="3780" w:leftChars="1800" w:firstLine="480" w:firstLineChars="200"/>
        <w:rPr>
          <w:rFonts w:hint="eastAsia" w:ascii="宋体" w:hAnsi="宋体" w:eastAsia="宋体" w:cs="宋体"/>
          <w:color w:val="auto"/>
          <w:sz w:val="24"/>
          <w:szCs w:val="24"/>
          <w:highlight w:val="none"/>
        </w:rPr>
      </w:pPr>
    </w:p>
    <w:p w14:paraId="3E78FF48">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1EA05C2F">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7C382E96">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29BEAF7B">
      <w:pPr>
        <w:snapToGrid w:val="0"/>
        <w:spacing w:before="50" w:afterLines="50"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lang w:val="zh-CN"/>
        </w:rPr>
        <w:t>：</w:t>
      </w:r>
    </w:p>
    <w:p w14:paraId="7F48F4D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投标项目明细清单</w:t>
      </w:r>
    </w:p>
    <w:p w14:paraId="72BD198A">
      <w:pPr>
        <w:spacing w:line="360" w:lineRule="auto"/>
        <w:ind w:firstLine="480" w:firstLineChars="200"/>
        <w:rPr>
          <w:rFonts w:hint="eastAsia" w:ascii="宋体" w:hAnsi="宋体" w:eastAsia="宋体" w:cs="宋体"/>
          <w:color w:val="auto"/>
          <w:sz w:val="24"/>
          <w:szCs w:val="24"/>
          <w:highlight w:val="none"/>
        </w:rPr>
      </w:pPr>
    </w:p>
    <w:p w14:paraId="0F016E1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021C83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31"/>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0E568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35E0A44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4B3EFC5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22C0501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208B13B2">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工作量</w:t>
            </w:r>
          </w:p>
        </w:tc>
      </w:tr>
      <w:tr w14:paraId="3B9E1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5CDDC19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7E6D2A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52A052C7">
            <w:pPr>
              <w:keepNext w:val="0"/>
              <w:keepLines w:val="0"/>
              <w:suppressLineNumbers w:val="0"/>
              <w:snapToGrid w:val="0"/>
              <w:spacing w:before="50" w:beforeAutospacing="0" w:after="50" w:afterAutospacing="0" w:line="360" w:lineRule="auto"/>
              <w:ind w:left="480" w:right="0" w:hanging="480"/>
              <w:jc w:val="center"/>
              <w:rPr>
                <w:rFonts w:hint="eastAsia"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726C1BF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01227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1FE4279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AA6E3B2">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BA08632">
            <w:pPr>
              <w:keepNext w:val="0"/>
              <w:keepLines w:val="0"/>
              <w:suppressLineNumbers w:val="0"/>
              <w:snapToGrid w:val="0"/>
              <w:spacing w:before="50" w:beforeAutospacing="0" w:after="50" w:afterAutospacing="0" w:line="360" w:lineRule="auto"/>
              <w:ind w:left="480" w:right="0" w:hanging="480"/>
              <w:jc w:val="center"/>
              <w:rPr>
                <w:rFonts w:hint="eastAsia" w:ascii="宋体" w:hAnsi="宋体" w:eastAsia="宋体" w:cs="宋体"/>
                <w:color w:val="auto"/>
                <w:sz w:val="24"/>
                <w:szCs w:val="24"/>
                <w:highlight w:val="none"/>
              </w:rPr>
            </w:pPr>
          </w:p>
        </w:tc>
        <w:tc>
          <w:tcPr>
            <w:tcW w:w="2830" w:type="dxa"/>
            <w:tcBorders>
              <w:top w:val="single" w:color="auto" w:sz="4" w:space="0"/>
              <w:left w:val="single" w:color="auto" w:sz="4" w:space="0"/>
              <w:bottom w:val="single" w:color="auto" w:sz="4" w:space="0"/>
            </w:tcBorders>
            <w:vAlign w:val="center"/>
          </w:tcPr>
          <w:p w14:paraId="5F4B9102">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bl>
    <w:p w14:paraId="1771E985">
      <w:pPr>
        <w:snapToGrid w:val="0"/>
        <w:spacing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注：在填写时，如上表不适合本项目的实际情况，可在确保投标明细内容完整的情况下，根据上表格式自行划表填写。</w:t>
      </w:r>
    </w:p>
    <w:p w14:paraId="3DADF164">
      <w:pPr>
        <w:pStyle w:val="14"/>
        <w:spacing w:line="360" w:lineRule="auto"/>
        <w:rPr>
          <w:rFonts w:hint="eastAsia" w:ascii="宋体" w:hAnsi="宋体" w:eastAsia="宋体" w:cs="宋体"/>
          <w:color w:val="auto"/>
          <w:highlight w:val="none"/>
        </w:rPr>
      </w:pPr>
    </w:p>
    <w:p w14:paraId="12CDFF92">
      <w:pPr>
        <w:pStyle w:val="14"/>
        <w:spacing w:line="360" w:lineRule="auto"/>
        <w:rPr>
          <w:rFonts w:hint="eastAsia" w:ascii="宋体" w:hAnsi="宋体" w:eastAsia="宋体" w:cs="宋体"/>
          <w:color w:val="auto"/>
          <w:highlight w:val="none"/>
        </w:rPr>
      </w:pPr>
    </w:p>
    <w:p w14:paraId="1D03F02A">
      <w:pPr>
        <w:pStyle w:val="14"/>
        <w:spacing w:line="360" w:lineRule="auto"/>
        <w:rPr>
          <w:rFonts w:hint="eastAsia" w:ascii="宋体" w:hAnsi="宋体" w:eastAsia="宋体" w:cs="宋体"/>
          <w:color w:val="auto"/>
          <w:highlight w:val="none"/>
        </w:rPr>
      </w:pPr>
    </w:p>
    <w:p w14:paraId="4827FC5D">
      <w:pPr>
        <w:snapToGrid w:val="0"/>
        <w:spacing w:beforeLines="50" w:line="360" w:lineRule="auto"/>
        <w:rPr>
          <w:rFonts w:hint="eastAsia" w:ascii="宋体" w:hAnsi="宋体" w:eastAsia="宋体" w:cs="宋体"/>
          <w:color w:val="auto"/>
          <w:sz w:val="24"/>
          <w:szCs w:val="24"/>
          <w:highlight w:val="none"/>
        </w:rPr>
      </w:pPr>
    </w:p>
    <w:p w14:paraId="5349F584">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59B1791A">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6A38B83F">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50244CA6">
      <w:pPr>
        <w:snapToGrid w:val="0"/>
        <w:spacing w:before="50" w:after="50" w:line="360" w:lineRule="auto"/>
        <w:rPr>
          <w:rFonts w:hint="eastAsia" w:ascii="宋体" w:hAnsi="宋体" w:eastAsia="宋体" w:cs="宋体"/>
          <w:color w:val="auto"/>
          <w:spacing w:val="20"/>
          <w:sz w:val="24"/>
          <w:szCs w:val="24"/>
          <w:highlight w:val="none"/>
        </w:rPr>
      </w:pPr>
    </w:p>
    <w:p w14:paraId="2D5851DF">
      <w:pPr>
        <w:snapToGrid w:val="0"/>
        <w:spacing w:before="50" w:after="50" w:line="360" w:lineRule="auto"/>
        <w:rPr>
          <w:rFonts w:hint="eastAsia" w:ascii="宋体" w:hAnsi="宋体" w:eastAsia="宋体" w:cs="宋体"/>
          <w:color w:val="auto"/>
          <w:spacing w:val="20"/>
          <w:sz w:val="30"/>
          <w:szCs w:val="30"/>
          <w:highlight w:val="none"/>
        </w:rPr>
      </w:pPr>
    </w:p>
    <w:p w14:paraId="509DEE99">
      <w:pPr>
        <w:pStyle w:val="14"/>
        <w:spacing w:line="360" w:lineRule="auto"/>
        <w:ind w:firstLine="686"/>
        <w:rPr>
          <w:rFonts w:hint="eastAsia" w:ascii="宋体" w:hAnsi="宋体" w:eastAsia="宋体" w:cs="宋体"/>
          <w:color w:val="auto"/>
          <w:spacing w:val="20"/>
          <w:sz w:val="30"/>
          <w:szCs w:val="30"/>
          <w:highlight w:val="none"/>
        </w:rPr>
      </w:pPr>
    </w:p>
    <w:p w14:paraId="13353138">
      <w:pPr>
        <w:pStyle w:val="14"/>
        <w:spacing w:line="360" w:lineRule="auto"/>
        <w:ind w:firstLine="686"/>
        <w:rPr>
          <w:rFonts w:hint="eastAsia" w:ascii="宋体" w:hAnsi="宋体" w:eastAsia="宋体" w:cs="宋体"/>
          <w:color w:val="auto"/>
          <w:spacing w:val="20"/>
          <w:sz w:val="30"/>
          <w:szCs w:val="30"/>
          <w:highlight w:val="none"/>
        </w:rPr>
        <w:sectPr>
          <w:pgSz w:w="11906" w:h="16838"/>
          <w:pgMar w:top="1440" w:right="1800" w:bottom="1440" w:left="1800" w:header="851" w:footer="992" w:gutter="0"/>
          <w:cols w:space="425" w:num="1"/>
          <w:docGrid w:type="lines" w:linePitch="312" w:charSpace="0"/>
        </w:sectPr>
      </w:pPr>
    </w:p>
    <w:p w14:paraId="1BB01472">
      <w:pPr>
        <w:spacing w:line="360" w:lineRule="auto"/>
        <w:rPr>
          <w:rFonts w:hint="eastAsia" w:ascii="宋体" w:hAnsi="宋体" w:eastAsia="宋体" w:cs="宋体"/>
          <w:b/>
          <w:bCs/>
          <w:color w:val="auto"/>
          <w:sz w:val="24"/>
          <w:szCs w:val="24"/>
          <w:highlight w:val="none"/>
        </w:rPr>
      </w:pPr>
      <w:bookmarkStart w:id="94" w:name="_Toc2823"/>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w:t>
      </w:r>
    </w:p>
    <w:p w14:paraId="143FCE5B">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技术响应及建议表</w:t>
      </w:r>
      <w:bookmarkEnd w:id="94"/>
    </w:p>
    <w:p w14:paraId="4E1860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0B200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34680A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3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00F4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AE89F5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40" w:type="dxa"/>
            <w:vAlign w:val="center"/>
          </w:tcPr>
          <w:p w14:paraId="2BE069D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980" w:type="dxa"/>
            <w:vAlign w:val="center"/>
          </w:tcPr>
          <w:p w14:paraId="3CE1348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2520" w:type="dxa"/>
            <w:vAlign w:val="center"/>
          </w:tcPr>
          <w:p w14:paraId="56C1594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w:t>
            </w:r>
          </w:p>
        </w:tc>
        <w:tc>
          <w:tcPr>
            <w:tcW w:w="1953" w:type="dxa"/>
            <w:vAlign w:val="center"/>
          </w:tcPr>
          <w:p w14:paraId="7ED3042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偏离情况</w:t>
            </w:r>
          </w:p>
        </w:tc>
      </w:tr>
      <w:tr w14:paraId="66E4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BC6CE1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440" w:type="dxa"/>
            <w:vAlign w:val="center"/>
          </w:tcPr>
          <w:p w14:paraId="69EF0A0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80" w:type="dxa"/>
            <w:vAlign w:val="center"/>
          </w:tcPr>
          <w:p w14:paraId="0E0EFD6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520" w:type="dxa"/>
            <w:vAlign w:val="center"/>
          </w:tcPr>
          <w:p w14:paraId="29DA615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53" w:type="dxa"/>
            <w:vAlign w:val="center"/>
          </w:tcPr>
          <w:p w14:paraId="765B179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536A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81F1387">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440" w:type="dxa"/>
            <w:vAlign w:val="center"/>
          </w:tcPr>
          <w:p w14:paraId="1DF3D39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80" w:type="dxa"/>
            <w:vAlign w:val="center"/>
          </w:tcPr>
          <w:p w14:paraId="23877B1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520" w:type="dxa"/>
            <w:vAlign w:val="center"/>
          </w:tcPr>
          <w:p w14:paraId="277A350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53" w:type="dxa"/>
            <w:vAlign w:val="center"/>
          </w:tcPr>
          <w:p w14:paraId="5816DC6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747B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9D19B2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440" w:type="dxa"/>
            <w:vAlign w:val="center"/>
          </w:tcPr>
          <w:p w14:paraId="26F900F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80" w:type="dxa"/>
            <w:vAlign w:val="center"/>
          </w:tcPr>
          <w:p w14:paraId="70E4101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520" w:type="dxa"/>
            <w:vAlign w:val="center"/>
          </w:tcPr>
          <w:p w14:paraId="637D8162">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53" w:type="dxa"/>
            <w:vAlign w:val="center"/>
          </w:tcPr>
          <w:p w14:paraId="04315C7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6A2F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6982B6D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440" w:type="dxa"/>
            <w:vAlign w:val="center"/>
          </w:tcPr>
          <w:p w14:paraId="767F9EF4">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80" w:type="dxa"/>
            <w:vAlign w:val="center"/>
          </w:tcPr>
          <w:p w14:paraId="112590C4">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520" w:type="dxa"/>
            <w:vAlign w:val="center"/>
          </w:tcPr>
          <w:p w14:paraId="162300D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53" w:type="dxa"/>
            <w:vAlign w:val="center"/>
          </w:tcPr>
          <w:p w14:paraId="471D4EE6">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02AD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D3CA9C4">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440" w:type="dxa"/>
            <w:vAlign w:val="center"/>
          </w:tcPr>
          <w:p w14:paraId="1C41ADA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80" w:type="dxa"/>
            <w:vAlign w:val="center"/>
          </w:tcPr>
          <w:p w14:paraId="6A901F4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520" w:type="dxa"/>
            <w:vAlign w:val="center"/>
          </w:tcPr>
          <w:p w14:paraId="6BBA5C5F">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953" w:type="dxa"/>
            <w:vAlign w:val="center"/>
          </w:tcPr>
          <w:p w14:paraId="298154F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1573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1FCC867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投标建议</w:t>
            </w:r>
          </w:p>
        </w:tc>
        <w:tc>
          <w:tcPr>
            <w:tcW w:w="6453" w:type="dxa"/>
            <w:gridSpan w:val="3"/>
            <w:vAlign w:val="center"/>
          </w:tcPr>
          <w:p w14:paraId="73EEC8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52CB376A">
      <w:pPr>
        <w:snapToGrid w:val="0"/>
        <w:spacing w:line="360" w:lineRule="auto"/>
        <w:rPr>
          <w:rFonts w:hint="eastAsia" w:ascii="宋体" w:hAnsi="宋体" w:eastAsia="宋体" w:cs="宋体"/>
          <w:color w:val="auto"/>
          <w:sz w:val="24"/>
          <w:szCs w:val="24"/>
          <w:highlight w:val="none"/>
        </w:rPr>
      </w:pPr>
    </w:p>
    <w:p w14:paraId="6BC454E2">
      <w:pPr>
        <w:pStyle w:val="1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注：名称可基于项目清单根据供应商实际情况调整。</w:t>
      </w:r>
    </w:p>
    <w:p w14:paraId="58B02BC0">
      <w:pPr>
        <w:spacing w:line="360" w:lineRule="auto"/>
        <w:rPr>
          <w:rFonts w:hint="eastAsia" w:ascii="宋体" w:hAnsi="宋体" w:eastAsia="宋体" w:cs="宋体"/>
          <w:color w:val="auto"/>
          <w:sz w:val="24"/>
          <w:szCs w:val="24"/>
          <w:highlight w:val="none"/>
        </w:rPr>
      </w:pPr>
    </w:p>
    <w:p w14:paraId="1AD4EFE6">
      <w:pPr>
        <w:pStyle w:val="14"/>
        <w:spacing w:line="360" w:lineRule="auto"/>
        <w:rPr>
          <w:rFonts w:hint="eastAsia" w:ascii="宋体" w:hAnsi="宋体" w:eastAsia="宋体" w:cs="宋体"/>
          <w:color w:val="auto"/>
          <w:highlight w:val="none"/>
        </w:rPr>
      </w:pPr>
    </w:p>
    <w:p w14:paraId="2DCF9F9D">
      <w:pPr>
        <w:snapToGrid w:val="0"/>
        <w:spacing w:line="360" w:lineRule="auto"/>
        <w:rPr>
          <w:rFonts w:hint="eastAsia" w:ascii="宋体" w:hAnsi="宋体" w:eastAsia="宋体" w:cs="宋体"/>
          <w:color w:val="auto"/>
          <w:sz w:val="24"/>
          <w:szCs w:val="24"/>
          <w:highlight w:val="none"/>
        </w:rPr>
      </w:pPr>
    </w:p>
    <w:p w14:paraId="29F833C8">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0066ED0F">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25CE2E8F">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6E429A4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66DF816">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w:t>
      </w:r>
    </w:p>
    <w:p w14:paraId="4A8C630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商务响应表</w:t>
      </w:r>
    </w:p>
    <w:p w14:paraId="383B8B09">
      <w:pPr>
        <w:snapToGrid w:val="0"/>
        <w:spacing w:before="50" w:line="360" w:lineRule="auto"/>
        <w:jc w:val="center"/>
        <w:rPr>
          <w:rFonts w:hint="eastAsia" w:ascii="宋体" w:hAnsi="宋体" w:eastAsia="宋体" w:cs="宋体"/>
          <w:b/>
          <w:bCs/>
          <w:color w:val="auto"/>
          <w:sz w:val="32"/>
          <w:szCs w:val="32"/>
          <w:highlight w:val="none"/>
        </w:rPr>
      </w:pPr>
    </w:p>
    <w:p w14:paraId="461F7B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1724CD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采购编号：</w:t>
      </w:r>
    </w:p>
    <w:tbl>
      <w:tblPr>
        <w:tblStyle w:val="31"/>
        <w:tblW w:w="92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3"/>
        <w:gridCol w:w="2644"/>
        <w:gridCol w:w="1234"/>
        <w:gridCol w:w="2957"/>
      </w:tblGrid>
      <w:tr w14:paraId="2F547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2403" w:type="dxa"/>
            <w:tcBorders>
              <w:top w:val="single" w:color="auto" w:sz="4" w:space="0"/>
              <w:bottom w:val="single" w:color="auto" w:sz="4" w:space="0"/>
              <w:right w:val="single" w:color="auto" w:sz="4" w:space="0"/>
            </w:tcBorders>
            <w:vAlign w:val="center"/>
          </w:tcPr>
          <w:p w14:paraId="33FB6712">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644" w:type="dxa"/>
            <w:tcBorders>
              <w:top w:val="single" w:color="auto" w:sz="4" w:space="0"/>
              <w:left w:val="single" w:color="auto" w:sz="4" w:space="0"/>
              <w:bottom w:val="single" w:color="auto" w:sz="4" w:space="0"/>
              <w:right w:val="single" w:color="auto" w:sz="4" w:space="0"/>
            </w:tcBorders>
            <w:vAlign w:val="center"/>
          </w:tcPr>
          <w:p w14:paraId="46F071D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磋商文件要求</w:t>
            </w:r>
          </w:p>
        </w:tc>
        <w:tc>
          <w:tcPr>
            <w:tcW w:w="1234" w:type="dxa"/>
            <w:tcBorders>
              <w:top w:val="single" w:color="auto" w:sz="4" w:space="0"/>
              <w:left w:val="single" w:color="auto" w:sz="4" w:space="0"/>
              <w:bottom w:val="single" w:color="auto" w:sz="4" w:space="0"/>
              <w:right w:val="single" w:color="auto" w:sz="4" w:space="0"/>
            </w:tcBorders>
            <w:vAlign w:val="center"/>
          </w:tcPr>
          <w:p w14:paraId="59636C6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w:t>
            </w:r>
          </w:p>
          <w:p w14:paraId="3D1EEE46">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w:t>
            </w:r>
          </w:p>
        </w:tc>
        <w:tc>
          <w:tcPr>
            <w:tcW w:w="2957" w:type="dxa"/>
            <w:tcBorders>
              <w:top w:val="single" w:color="auto" w:sz="4" w:space="0"/>
              <w:left w:val="single" w:color="auto" w:sz="4" w:space="0"/>
              <w:bottom w:val="single" w:color="auto" w:sz="4" w:space="0"/>
            </w:tcBorders>
            <w:vAlign w:val="center"/>
          </w:tcPr>
          <w:p w14:paraId="015E0AA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供应商的承诺或说明</w:t>
            </w:r>
          </w:p>
        </w:tc>
      </w:tr>
      <w:tr w14:paraId="5E60E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6FBA1FA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13DDC9B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003D510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32BC3E7">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50F42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3224D14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4D41E8A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723D13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1E3632B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77E2F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2403" w:type="dxa"/>
            <w:tcBorders>
              <w:top w:val="single" w:color="auto" w:sz="4" w:space="0"/>
              <w:bottom w:val="single" w:color="auto" w:sz="4" w:space="0"/>
              <w:right w:val="single" w:color="auto" w:sz="4" w:space="0"/>
            </w:tcBorders>
            <w:vAlign w:val="center"/>
          </w:tcPr>
          <w:p w14:paraId="3F90F804">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737ECE97">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477504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6CDE70E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524CB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805CE28">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774C3DB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F6003DC">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65992287">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5F893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3270097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0A7D341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5A3434AF">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44E05A3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4949A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3879B68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087820B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660237D7">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4C98437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0B290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BD98810">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4F43E24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D523BA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212F88E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3638B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2403" w:type="dxa"/>
            <w:tcBorders>
              <w:top w:val="single" w:color="auto" w:sz="4" w:space="0"/>
              <w:bottom w:val="single" w:color="auto" w:sz="4" w:space="0"/>
              <w:right w:val="single" w:color="auto" w:sz="4" w:space="0"/>
            </w:tcBorders>
            <w:vAlign w:val="center"/>
          </w:tcPr>
          <w:p w14:paraId="2B55113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26FFC903">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0E37616">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71FC70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489B8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314DC802">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5E2DB1E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483F20DE">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4C68385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1AEC8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2403" w:type="dxa"/>
            <w:tcBorders>
              <w:top w:val="single" w:color="auto" w:sz="4" w:space="0"/>
              <w:bottom w:val="single" w:color="auto" w:sz="4" w:space="0"/>
              <w:right w:val="single" w:color="auto" w:sz="4" w:space="0"/>
            </w:tcBorders>
            <w:vAlign w:val="center"/>
          </w:tcPr>
          <w:p w14:paraId="452CEF9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72E12584">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7E03F8A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6D572F0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r w14:paraId="1D66C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2403" w:type="dxa"/>
            <w:tcBorders>
              <w:top w:val="single" w:color="auto" w:sz="4" w:space="0"/>
              <w:bottom w:val="single" w:color="auto" w:sz="4" w:space="0"/>
              <w:right w:val="single" w:color="auto" w:sz="4" w:space="0"/>
            </w:tcBorders>
            <w:vAlign w:val="center"/>
          </w:tcPr>
          <w:p w14:paraId="3DDBD8A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644" w:type="dxa"/>
            <w:tcBorders>
              <w:top w:val="single" w:color="auto" w:sz="4" w:space="0"/>
              <w:left w:val="single" w:color="auto" w:sz="4" w:space="0"/>
              <w:bottom w:val="single" w:color="auto" w:sz="4" w:space="0"/>
              <w:right w:val="single" w:color="auto" w:sz="4" w:space="0"/>
            </w:tcBorders>
            <w:vAlign w:val="center"/>
          </w:tcPr>
          <w:p w14:paraId="2E00EE04">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14:paraId="3BA984A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c>
          <w:tcPr>
            <w:tcW w:w="2957" w:type="dxa"/>
            <w:tcBorders>
              <w:top w:val="single" w:color="auto" w:sz="4" w:space="0"/>
              <w:left w:val="single" w:color="auto" w:sz="4" w:space="0"/>
              <w:bottom w:val="single" w:color="auto" w:sz="4" w:space="0"/>
            </w:tcBorders>
            <w:vAlign w:val="center"/>
          </w:tcPr>
          <w:p w14:paraId="5AF9708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auto"/>
                <w:sz w:val="24"/>
                <w:szCs w:val="24"/>
                <w:highlight w:val="none"/>
              </w:rPr>
            </w:pPr>
          </w:p>
        </w:tc>
      </w:tr>
    </w:tbl>
    <w:p w14:paraId="2ECF96F9">
      <w:pPr>
        <w:spacing w:line="360" w:lineRule="auto"/>
        <w:ind w:left="3780" w:leftChars="1800" w:firstLine="480" w:firstLineChars="200"/>
        <w:rPr>
          <w:rFonts w:hint="eastAsia" w:ascii="宋体" w:hAnsi="宋体" w:eastAsia="宋体" w:cs="宋体"/>
          <w:color w:val="auto"/>
          <w:sz w:val="24"/>
          <w:szCs w:val="24"/>
          <w:highlight w:val="none"/>
        </w:rPr>
      </w:pPr>
    </w:p>
    <w:p w14:paraId="4CD4F4FA">
      <w:pPr>
        <w:spacing w:line="360" w:lineRule="auto"/>
        <w:ind w:left="3780" w:leftChars="1800" w:firstLine="480" w:firstLineChars="200"/>
        <w:rPr>
          <w:rFonts w:hint="eastAsia" w:ascii="宋体" w:hAnsi="宋体" w:eastAsia="宋体" w:cs="宋体"/>
          <w:color w:val="auto"/>
          <w:sz w:val="24"/>
          <w:szCs w:val="24"/>
          <w:highlight w:val="none"/>
        </w:rPr>
      </w:pPr>
    </w:p>
    <w:p w14:paraId="320F4E2B">
      <w:pPr>
        <w:spacing w:line="360" w:lineRule="auto"/>
        <w:ind w:left="3780" w:leftChars="1800" w:firstLine="480" w:firstLineChars="200"/>
        <w:rPr>
          <w:rFonts w:hint="eastAsia" w:ascii="宋体" w:hAnsi="宋体" w:eastAsia="宋体" w:cs="宋体"/>
          <w:color w:val="auto"/>
          <w:sz w:val="24"/>
          <w:szCs w:val="24"/>
          <w:highlight w:val="none"/>
        </w:rPr>
      </w:pPr>
    </w:p>
    <w:p w14:paraId="6172098F">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546AEF2C">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8AAFE75">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5F04A1FF">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kern w:val="0"/>
          <w:sz w:val="36"/>
          <w:szCs w:val="36"/>
          <w:highlight w:val="none"/>
        </w:rPr>
        <w:t>报价文件</w:t>
      </w:r>
    </w:p>
    <w:p w14:paraId="643138A8">
      <w:pPr>
        <w:spacing w:line="360" w:lineRule="auto"/>
        <w:jc w:val="center"/>
        <w:rPr>
          <w:rFonts w:hint="eastAsia" w:ascii="宋体" w:hAnsi="宋体" w:eastAsia="宋体" w:cs="宋体"/>
          <w:b/>
          <w:bCs/>
          <w:color w:val="auto"/>
          <w:kern w:val="0"/>
          <w:sz w:val="36"/>
          <w:szCs w:val="36"/>
          <w:highlight w:val="none"/>
        </w:rPr>
      </w:pPr>
    </w:p>
    <w:p w14:paraId="4DFCA7E3">
      <w:pPr>
        <w:spacing w:line="360" w:lineRule="auto"/>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目录</w:t>
      </w:r>
    </w:p>
    <w:p w14:paraId="1E9E0054">
      <w:pPr>
        <w:pStyle w:val="14"/>
        <w:spacing w:line="360" w:lineRule="auto"/>
        <w:ind w:firstLine="723"/>
        <w:rPr>
          <w:rFonts w:hint="eastAsia" w:ascii="宋体" w:hAnsi="宋体" w:eastAsia="宋体" w:cs="宋体"/>
          <w:b/>
          <w:bCs/>
          <w:color w:val="auto"/>
          <w:kern w:val="0"/>
          <w:sz w:val="36"/>
          <w:szCs w:val="36"/>
          <w:highlight w:val="none"/>
        </w:rPr>
      </w:pPr>
    </w:p>
    <w:p w14:paraId="2BF08C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（1）磋商函（格式见附件）；</w:t>
      </w:r>
    </w:p>
    <w:p w14:paraId="5CF9069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（2）报价一览表（格式见附件）；</w:t>
      </w:r>
    </w:p>
    <w:p w14:paraId="089C66A7">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（3）磋商报价明细表（格式见附件）</w:t>
      </w:r>
      <w:r>
        <w:rPr>
          <w:rFonts w:hint="eastAsia" w:ascii="宋体" w:hAnsi="宋体" w:eastAsia="宋体" w:cs="宋体"/>
          <w:color w:val="auto"/>
          <w:sz w:val="24"/>
          <w:szCs w:val="24"/>
          <w:highlight w:val="none"/>
          <w:lang w:eastAsia="zh-CN"/>
        </w:rPr>
        <w:t>；</w:t>
      </w:r>
    </w:p>
    <w:p w14:paraId="78B916D3">
      <w:pPr>
        <w:spacing w:line="360" w:lineRule="auto"/>
        <w:rPr>
          <w:rFonts w:hint="eastAsia" w:ascii="宋体" w:hAnsi="宋体" w:eastAsia="宋体" w:cs="宋体"/>
          <w:color w:val="auto"/>
          <w:sz w:val="24"/>
          <w:szCs w:val="24"/>
          <w:highlight w:val="none"/>
          <w:lang w:eastAsia="zh-CN"/>
        </w:rPr>
      </w:pPr>
    </w:p>
    <w:p w14:paraId="006749CB">
      <w:pPr>
        <w:spacing w:line="360" w:lineRule="auto"/>
        <w:rPr>
          <w:rFonts w:hint="eastAsia" w:ascii="宋体" w:hAnsi="宋体" w:eastAsia="宋体" w:cs="宋体"/>
          <w:sz w:val="24"/>
          <w:szCs w:val="24"/>
          <w:highlight w:val="none"/>
        </w:rPr>
      </w:pPr>
    </w:p>
    <w:p w14:paraId="00845AEC">
      <w:pPr>
        <w:spacing w:line="360" w:lineRule="auto"/>
        <w:rPr>
          <w:rFonts w:hint="eastAsia" w:ascii="宋体" w:hAnsi="宋体" w:eastAsia="宋体" w:cs="宋体"/>
          <w:color w:val="auto"/>
          <w:highlight w:val="none"/>
        </w:rPr>
      </w:pPr>
    </w:p>
    <w:p w14:paraId="7861EDC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D8CDE78">
      <w:pPr>
        <w:spacing w:line="360" w:lineRule="auto"/>
        <w:rPr>
          <w:rFonts w:hint="eastAsia" w:ascii="宋体" w:hAnsi="宋体" w:eastAsia="宋体" w:cs="宋体"/>
          <w:b/>
          <w:bCs/>
          <w:color w:val="auto"/>
          <w:highlight w:val="none"/>
          <w:lang w:val="zh-CN"/>
        </w:rPr>
      </w:pPr>
      <w:bookmarkStart w:id="95" w:name="_Toc3094"/>
      <w:r>
        <w:rPr>
          <w:rFonts w:hint="eastAsia" w:ascii="宋体" w:hAnsi="宋体" w:eastAsia="宋体" w:cs="宋体"/>
          <w:b/>
          <w:bCs/>
          <w:color w:val="auto"/>
          <w:sz w:val="24"/>
          <w:szCs w:val="24"/>
          <w:highlight w:val="none"/>
          <w:lang w:val="zh-CN"/>
        </w:rPr>
        <w:t>附件</w:t>
      </w:r>
      <w:bookmarkStart w:id="96" w:name="_Toc130094924"/>
      <w:bookmarkStart w:id="97" w:name="_Toc98731770"/>
      <w:r>
        <w:rPr>
          <w:rFonts w:hint="eastAsia" w:ascii="宋体" w:hAnsi="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rPr>
        <w:t>：</w:t>
      </w:r>
    </w:p>
    <w:p w14:paraId="0E52C8FD">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 商 函</w:t>
      </w:r>
      <w:bookmarkEnd w:id="95"/>
      <w:bookmarkEnd w:id="96"/>
      <w:bookmarkEnd w:id="97"/>
    </w:p>
    <w:p w14:paraId="15D29748">
      <w:pPr>
        <w:spacing w:line="360" w:lineRule="auto"/>
        <w:ind w:firstLine="480" w:firstLineChars="200"/>
        <w:rPr>
          <w:rFonts w:hint="eastAsia" w:ascii="宋体" w:hAnsi="宋体" w:eastAsia="宋体" w:cs="宋体"/>
          <w:color w:val="auto"/>
          <w:sz w:val="24"/>
          <w:szCs w:val="24"/>
          <w:highlight w:val="none"/>
          <w:u w:val="single"/>
        </w:rPr>
      </w:pPr>
    </w:p>
    <w:p w14:paraId="3D4852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中共绍兴市上虞区委宣传部</w:t>
      </w:r>
      <w:r>
        <w:rPr>
          <w:rFonts w:hint="eastAsia" w:ascii="宋体" w:hAnsi="宋体" w:eastAsia="宋体" w:cs="宋体"/>
          <w:color w:val="auto"/>
          <w:sz w:val="24"/>
          <w:szCs w:val="24"/>
          <w:highlight w:val="none"/>
        </w:rPr>
        <w:t>：</w:t>
      </w:r>
    </w:p>
    <w:p w14:paraId="306814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绍兴成言工程咨询管理有限公司：</w:t>
      </w:r>
    </w:p>
    <w:p w14:paraId="4067A523">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我单位认真研究了关于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72C0D89F">
      <w:pPr>
        <w:spacing w:line="360" w:lineRule="auto"/>
        <w:ind w:firstLine="504" w:firstLineChars="240"/>
        <w:rPr>
          <w:rFonts w:hint="eastAsia" w:ascii="宋体" w:hAnsi="宋体" w:eastAsia="宋体" w:cs="宋体"/>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495300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9pt;margin-top:39pt;height:0pt;width:0.05pt;z-index:251659264;mso-width-relative:page;mso-height-relative:page;" filled="f" stroked="t"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T0kGtIAAAAHAQAADwAAAAAA&#10;AAABACAAAAAiAAAAZHJzL2Rvd25yZXYueG1sUEsBAhQAFAAAAAgAh07iQJF8yb/gAQAA2QMAAA4A&#10;AAAAAAAAAQAgAAAAIQEAAGRycy9lMm9Eb2MueG1sUEsFBgAAAAAGAAYAWQEAAHM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highlight w:val="none"/>
        </w:rPr>
        <w:t>1、一旦我单位中标，我单位愿意承接报价一览表中所列的技术服务，服务期为：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5AEB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2、我单位同意提供按照采购人的可能要求与其投标有关的一切数据和资料，完全理解采购人不一定要接受最低价者作为成交供应商。</w:t>
      </w:r>
    </w:p>
    <w:p w14:paraId="2B115F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3、一旦我单位中标，我们保证按照磋商文件的要求，完成服务。</w:t>
      </w:r>
    </w:p>
    <w:p w14:paraId="1AA4463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4、如果我单位中标，我方将按照要求严格履行合同义务。</w:t>
      </w:r>
    </w:p>
    <w:p w14:paraId="05D0A1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5、除非另行达成协议并生效，你方的成交通知书和本磋商函将构成约束你我双方的合同。</w:t>
      </w:r>
    </w:p>
    <w:p w14:paraId="7FA20F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6、我单位承诺，一旦发生磋商文件第二部分第11条规定情形之一的，承担该条款约定的责任。</w:t>
      </w:r>
    </w:p>
    <w:p w14:paraId="435EF0B1">
      <w:pPr>
        <w:pStyle w:val="17"/>
        <w:snapToGrid w:val="0"/>
        <w:spacing w:line="360" w:lineRule="auto"/>
        <w:ind w:left="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AA4EF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14:paraId="5AFF4D25">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204E4D3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72CCFB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w:t>
      </w:r>
    </w:p>
    <w:p w14:paraId="7BBA61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（公章）：                   </w:t>
      </w:r>
    </w:p>
    <w:p w14:paraId="62D31EBA">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28C5E5F6">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3407A61F">
      <w:pPr>
        <w:spacing w:line="360" w:lineRule="auto"/>
        <w:ind w:firstLine="5280" w:firstLineChars="2200"/>
        <w:rPr>
          <w:rFonts w:hint="eastAsia" w:ascii="宋体" w:hAnsi="宋体" w:eastAsia="宋体" w:cs="宋体"/>
          <w:color w:val="auto"/>
          <w:sz w:val="24"/>
          <w:szCs w:val="24"/>
          <w:highlight w:val="none"/>
        </w:rPr>
      </w:pPr>
    </w:p>
    <w:p w14:paraId="1554A792">
      <w:pPr>
        <w:spacing w:line="360" w:lineRule="auto"/>
        <w:rPr>
          <w:rFonts w:hint="eastAsia" w:ascii="宋体" w:hAnsi="宋体" w:eastAsia="宋体" w:cs="宋体"/>
          <w:color w:val="auto"/>
          <w:sz w:val="24"/>
          <w:szCs w:val="24"/>
          <w:highlight w:val="none"/>
          <w:lang w:val="zh-CN"/>
        </w:rPr>
      </w:pPr>
      <w:bookmarkStart w:id="98" w:name="_Toc12011"/>
      <w:r>
        <w:rPr>
          <w:rFonts w:hint="eastAsia" w:ascii="宋体" w:hAnsi="宋体" w:eastAsia="宋体" w:cs="宋体"/>
          <w:color w:val="auto"/>
          <w:sz w:val="24"/>
          <w:szCs w:val="24"/>
          <w:highlight w:val="none"/>
          <w:lang w:val="zh-CN"/>
        </w:rPr>
        <w:br w:type="page"/>
      </w:r>
    </w:p>
    <w:p w14:paraId="7B60E377">
      <w:pPr>
        <w:spacing w:line="360" w:lineRule="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附件</w:t>
      </w:r>
      <w:bookmarkStart w:id="99" w:name="_Toc130094925"/>
      <w:bookmarkStart w:id="100" w:name="_Toc98731771"/>
      <w:r>
        <w:rPr>
          <w:rFonts w:hint="eastAsia" w:ascii="宋体" w:hAnsi="宋体" w:cs="宋体"/>
          <w:b/>
          <w:bCs/>
          <w:color w:val="auto"/>
          <w:sz w:val="24"/>
          <w:szCs w:val="24"/>
          <w:highlight w:val="none"/>
          <w:lang w:val="en-US" w:eastAsia="zh-CN"/>
        </w:rPr>
        <w:t>十二</w:t>
      </w:r>
      <w:r>
        <w:rPr>
          <w:rFonts w:hint="eastAsia" w:ascii="宋体" w:hAnsi="宋体" w:eastAsia="宋体" w:cs="宋体"/>
          <w:b/>
          <w:bCs/>
          <w:color w:val="auto"/>
          <w:sz w:val="24"/>
          <w:szCs w:val="24"/>
          <w:highlight w:val="none"/>
        </w:rPr>
        <w:t>：</w:t>
      </w:r>
    </w:p>
    <w:p w14:paraId="3E37C05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报价一览表</w:t>
      </w:r>
      <w:bookmarkEnd w:id="98"/>
      <w:bookmarkEnd w:id="99"/>
      <w:bookmarkEnd w:id="100"/>
    </w:p>
    <w:p w14:paraId="52F890DB">
      <w:pPr>
        <w:pStyle w:val="17"/>
        <w:spacing w:line="360" w:lineRule="auto"/>
        <w:rPr>
          <w:rFonts w:hint="eastAsia" w:ascii="宋体" w:hAnsi="宋体" w:eastAsia="宋体" w:cs="宋体"/>
          <w:color w:val="auto"/>
          <w:sz w:val="24"/>
          <w:szCs w:val="24"/>
          <w:highlight w:val="none"/>
        </w:rPr>
      </w:pPr>
    </w:p>
    <w:p w14:paraId="5B7E31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4B3291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p>
    <w:tbl>
      <w:tblPr>
        <w:tblStyle w:val="31"/>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6862"/>
      </w:tblGrid>
      <w:tr w14:paraId="6A42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5" w:hRule="atLeast"/>
          <w:jc w:val="center"/>
        </w:trPr>
        <w:tc>
          <w:tcPr>
            <w:tcW w:w="2137" w:type="dxa"/>
            <w:noWrap w:val="0"/>
            <w:vAlign w:val="center"/>
          </w:tcPr>
          <w:p w14:paraId="2C5A2A7B">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投标总价</w:t>
            </w:r>
          </w:p>
        </w:tc>
        <w:tc>
          <w:tcPr>
            <w:tcW w:w="6862" w:type="dxa"/>
            <w:noWrap w:val="0"/>
            <w:vAlign w:val="center"/>
          </w:tcPr>
          <w:p w14:paraId="68ED8B84">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大写：</w:t>
            </w:r>
            <w:r>
              <w:rPr>
                <w:rFonts w:hint="eastAsia" w:ascii="宋体" w:hAnsi="宋体" w:eastAsia="宋体" w:cs="宋体"/>
                <w:b/>
                <w:bCs/>
                <w:sz w:val="24"/>
                <w:highlight w:val="none"/>
                <w:u w:val="single"/>
              </w:rPr>
              <w:t xml:space="preserve">　　　　            </w:t>
            </w:r>
            <w:r>
              <w:rPr>
                <w:rFonts w:hint="eastAsia" w:ascii="宋体" w:hAnsi="宋体" w:eastAsia="宋体" w:cs="宋体"/>
                <w:b/>
                <w:bCs/>
                <w:sz w:val="24"/>
                <w:highlight w:val="none"/>
              </w:rPr>
              <w:t>元（小写：</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u w:val="single"/>
              </w:rPr>
              <w:t xml:space="preserve">　　　　 </w:t>
            </w:r>
            <w:r>
              <w:rPr>
                <w:rFonts w:hint="eastAsia" w:ascii="宋体" w:hAnsi="宋体" w:eastAsia="宋体" w:cs="宋体"/>
                <w:b/>
                <w:bCs/>
                <w:sz w:val="24"/>
                <w:highlight w:val="none"/>
              </w:rPr>
              <w:t>）</w:t>
            </w:r>
          </w:p>
        </w:tc>
      </w:tr>
      <w:tr w14:paraId="1787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08" w:hRule="atLeast"/>
          <w:jc w:val="center"/>
        </w:trPr>
        <w:tc>
          <w:tcPr>
            <w:tcW w:w="8999" w:type="dxa"/>
            <w:gridSpan w:val="2"/>
            <w:noWrap w:val="0"/>
            <w:vAlign w:val="center"/>
          </w:tcPr>
          <w:p w14:paraId="4630ECF9">
            <w:pPr>
              <w:pStyle w:val="17"/>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投标报价包含项目所需全部服务，不得缺漏，是履行合同的最终价格，包括人工成本费、保险、调研费、检测分析费、设施设备、工具、编制费、刊登费、差旅费、管理费、利润、税费、招标代理费等项目所需一切费用。凡投标人在报价中未列明但又为本次采购所必备的项目或遗漏项目，采购方将一律视为已包括在合同价中，在合同执行中将不予考虑。</w:t>
            </w:r>
          </w:p>
        </w:tc>
      </w:tr>
    </w:tbl>
    <w:p w14:paraId="419714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6AEEAF0">
      <w:pPr>
        <w:pStyle w:val="17"/>
        <w:spacing w:line="360" w:lineRule="auto"/>
        <w:rPr>
          <w:rFonts w:hint="eastAsia" w:ascii="宋体" w:hAnsi="宋体" w:eastAsia="宋体" w:cs="宋体"/>
          <w:color w:val="auto"/>
          <w:sz w:val="24"/>
          <w:szCs w:val="24"/>
          <w:highlight w:val="none"/>
        </w:rPr>
      </w:pPr>
    </w:p>
    <w:p w14:paraId="5BE200FE">
      <w:pPr>
        <w:pStyle w:val="17"/>
        <w:spacing w:line="360" w:lineRule="auto"/>
        <w:rPr>
          <w:rFonts w:hint="eastAsia" w:ascii="宋体" w:hAnsi="宋体" w:eastAsia="宋体" w:cs="宋体"/>
          <w:color w:val="auto"/>
          <w:sz w:val="24"/>
          <w:szCs w:val="24"/>
          <w:highlight w:val="none"/>
        </w:rPr>
      </w:pPr>
    </w:p>
    <w:p w14:paraId="4226DBAB">
      <w:pPr>
        <w:pStyle w:val="17"/>
        <w:spacing w:line="360" w:lineRule="auto"/>
        <w:rPr>
          <w:rFonts w:hint="eastAsia" w:ascii="宋体" w:hAnsi="宋体" w:eastAsia="宋体" w:cs="宋体"/>
          <w:color w:val="auto"/>
          <w:sz w:val="24"/>
          <w:szCs w:val="24"/>
          <w:highlight w:val="none"/>
        </w:rPr>
      </w:pPr>
    </w:p>
    <w:p w14:paraId="0BC1715E">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75373A26">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5CF1E9A9">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337FD71C">
      <w:pPr>
        <w:snapToGrid w:val="0"/>
        <w:spacing w:line="360" w:lineRule="auto"/>
        <w:ind w:firstLine="435"/>
        <w:rPr>
          <w:rFonts w:hint="eastAsia" w:ascii="宋体" w:hAnsi="宋体" w:eastAsia="宋体" w:cs="宋体"/>
          <w:color w:val="auto"/>
          <w:highlight w:val="none"/>
        </w:rPr>
      </w:pPr>
    </w:p>
    <w:p w14:paraId="7E2F5BC8">
      <w:pPr>
        <w:snapToGrid w:val="0"/>
        <w:spacing w:line="360" w:lineRule="auto"/>
        <w:ind w:firstLine="435"/>
        <w:rPr>
          <w:rFonts w:hint="eastAsia" w:ascii="宋体" w:hAnsi="宋体" w:eastAsia="宋体" w:cs="宋体"/>
          <w:color w:val="auto"/>
          <w:highlight w:val="none"/>
        </w:rPr>
      </w:pPr>
    </w:p>
    <w:p w14:paraId="6096B5AA">
      <w:pPr>
        <w:spacing w:line="360" w:lineRule="auto"/>
        <w:jc w:val="left"/>
        <w:rPr>
          <w:rFonts w:hint="eastAsia" w:ascii="宋体" w:hAnsi="宋体" w:eastAsia="宋体" w:cs="宋体"/>
          <w:b/>
          <w:bCs/>
          <w:color w:val="auto"/>
          <w:sz w:val="24"/>
          <w:szCs w:val="24"/>
          <w:highlight w:val="none"/>
          <w:lang w:val="zh-CN"/>
        </w:rPr>
      </w:pPr>
      <w:r>
        <w:rPr>
          <w:rFonts w:hint="eastAsia" w:ascii="宋体" w:hAnsi="宋体" w:eastAsia="宋体" w:cs="宋体"/>
          <w:color w:val="auto"/>
          <w:highlight w:val="none"/>
        </w:rPr>
        <w:br w:type="page"/>
      </w:r>
      <w:bookmarkStart w:id="101" w:name="_Toc7196"/>
      <w:r>
        <w:rPr>
          <w:rFonts w:hint="eastAsia" w:ascii="宋体" w:hAnsi="宋体" w:eastAsia="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十三</w:t>
      </w:r>
      <w:r>
        <w:rPr>
          <w:rFonts w:hint="eastAsia" w:ascii="宋体" w:hAnsi="宋体" w:eastAsia="宋体" w:cs="宋体"/>
          <w:b/>
          <w:bCs/>
          <w:color w:val="auto"/>
          <w:sz w:val="24"/>
          <w:szCs w:val="24"/>
          <w:highlight w:val="none"/>
          <w:lang w:val="zh-CN"/>
        </w:rPr>
        <w:t>：</w:t>
      </w:r>
    </w:p>
    <w:p w14:paraId="663BCA0A">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磋商报价明细表</w:t>
      </w:r>
    </w:p>
    <w:p w14:paraId="2A73B2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3D5BF8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采购编号：      </w:t>
      </w:r>
    </w:p>
    <w:tbl>
      <w:tblPr>
        <w:tblStyle w:val="31"/>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27"/>
        <w:gridCol w:w="1065"/>
        <w:gridCol w:w="1755"/>
        <w:gridCol w:w="480"/>
        <w:gridCol w:w="1049"/>
        <w:gridCol w:w="1148"/>
        <w:gridCol w:w="1124"/>
      </w:tblGrid>
      <w:tr w14:paraId="3E38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67658415">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w:t>
            </w:r>
          </w:p>
          <w:p w14:paraId="1BA71E55">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w:t>
            </w:r>
          </w:p>
        </w:tc>
        <w:tc>
          <w:tcPr>
            <w:tcW w:w="1927" w:type="dxa"/>
            <w:vMerge w:val="restart"/>
            <w:vAlign w:val="center"/>
          </w:tcPr>
          <w:p w14:paraId="14414F98">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065" w:type="dxa"/>
            <w:vMerge w:val="restart"/>
            <w:vAlign w:val="center"/>
          </w:tcPr>
          <w:p w14:paraId="63BEEF0A">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755" w:type="dxa"/>
            <w:vMerge w:val="restart"/>
            <w:vAlign w:val="center"/>
          </w:tcPr>
          <w:p w14:paraId="25941D05">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480" w:type="dxa"/>
            <w:vMerge w:val="restart"/>
            <w:vAlign w:val="center"/>
          </w:tcPr>
          <w:p w14:paraId="62953EFC">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w:t>
            </w:r>
          </w:p>
          <w:p w14:paraId="01233AE7">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w:t>
            </w:r>
          </w:p>
        </w:tc>
        <w:tc>
          <w:tcPr>
            <w:tcW w:w="1049" w:type="dxa"/>
            <w:vMerge w:val="restart"/>
            <w:vAlign w:val="center"/>
          </w:tcPr>
          <w:p w14:paraId="31C2B8BF">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272" w:type="dxa"/>
            <w:gridSpan w:val="2"/>
            <w:vAlign w:val="center"/>
          </w:tcPr>
          <w:p w14:paraId="3507FF5F">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投标报价（元）</w:t>
            </w:r>
          </w:p>
        </w:tc>
      </w:tr>
      <w:tr w14:paraId="7AA4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4A91DEA3">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927" w:type="dxa"/>
            <w:vMerge w:val="continue"/>
            <w:vAlign w:val="center"/>
          </w:tcPr>
          <w:p w14:paraId="00B2C932">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65" w:type="dxa"/>
            <w:vMerge w:val="continue"/>
            <w:vAlign w:val="center"/>
          </w:tcPr>
          <w:p w14:paraId="44A057D7">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55" w:type="dxa"/>
            <w:vMerge w:val="continue"/>
            <w:vAlign w:val="center"/>
          </w:tcPr>
          <w:p w14:paraId="49A6C1CA">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480" w:type="dxa"/>
            <w:vMerge w:val="continue"/>
            <w:vAlign w:val="center"/>
          </w:tcPr>
          <w:p w14:paraId="16DBBB8C">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49" w:type="dxa"/>
            <w:vMerge w:val="continue"/>
            <w:vAlign w:val="center"/>
          </w:tcPr>
          <w:p w14:paraId="3A213087">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48" w:type="dxa"/>
            <w:vAlign w:val="center"/>
          </w:tcPr>
          <w:p w14:paraId="402D2A54">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124" w:type="dxa"/>
            <w:vAlign w:val="center"/>
          </w:tcPr>
          <w:p w14:paraId="64D5F0E6">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r>
      <w:tr w14:paraId="04D2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3FDD98BC">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27" w:type="dxa"/>
            <w:vAlign w:val="center"/>
          </w:tcPr>
          <w:p w14:paraId="6D413757">
            <w:pPr>
              <w:pStyle w:val="17"/>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65" w:type="dxa"/>
            <w:vAlign w:val="center"/>
          </w:tcPr>
          <w:p w14:paraId="75C11969">
            <w:pPr>
              <w:pStyle w:val="17"/>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1755" w:type="dxa"/>
            <w:vAlign w:val="center"/>
          </w:tcPr>
          <w:p w14:paraId="0B4D3C10">
            <w:pPr>
              <w:pStyle w:val="17"/>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480" w:type="dxa"/>
            <w:vAlign w:val="center"/>
          </w:tcPr>
          <w:p w14:paraId="2D859336">
            <w:pPr>
              <w:pStyle w:val="17"/>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val="en-US" w:eastAsia="zh-CN"/>
              </w:rPr>
            </w:pPr>
          </w:p>
        </w:tc>
        <w:tc>
          <w:tcPr>
            <w:tcW w:w="1049" w:type="dxa"/>
            <w:vAlign w:val="center"/>
          </w:tcPr>
          <w:p w14:paraId="27031B5C">
            <w:pPr>
              <w:pStyle w:val="17"/>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val="en-US" w:eastAsia="zh-CN"/>
              </w:rPr>
            </w:pPr>
          </w:p>
        </w:tc>
        <w:tc>
          <w:tcPr>
            <w:tcW w:w="1148" w:type="dxa"/>
          </w:tcPr>
          <w:p w14:paraId="0F7CF556">
            <w:pPr>
              <w:pStyle w:val="17"/>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124" w:type="dxa"/>
          </w:tcPr>
          <w:p w14:paraId="5DA010BD">
            <w:pPr>
              <w:pStyle w:val="17"/>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764B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2039F44B">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27" w:type="dxa"/>
            <w:vAlign w:val="center"/>
          </w:tcPr>
          <w:p w14:paraId="35FB50A5">
            <w:pPr>
              <w:pStyle w:val="17"/>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65" w:type="dxa"/>
            <w:vAlign w:val="center"/>
          </w:tcPr>
          <w:p w14:paraId="60E10C66">
            <w:pPr>
              <w:pStyle w:val="17"/>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1755" w:type="dxa"/>
            <w:vAlign w:val="center"/>
          </w:tcPr>
          <w:p w14:paraId="15CADDC8">
            <w:pPr>
              <w:pStyle w:val="17"/>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480" w:type="dxa"/>
            <w:vAlign w:val="center"/>
          </w:tcPr>
          <w:p w14:paraId="1FEEA8C8">
            <w:pPr>
              <w:pStyle w:val="17"/>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val="en-US" w:eastAsia="zh-CN"/>
              </w:rPr>
            </w:pPr>
          </w:p>
        </w:tc>
        <w:tc>
          <w:tcPr>
            <w:tcW w:w="1049" w:type="dxa"/>
            <w:vAlign w:val="center"/>
          </w:tcPr>
          <w:p w14:paraId="7C2E12AD">
            <w:pPr>
              <w:pStyle w:val="17"/>
              <w:keepNext w:val="0"/>
              <w:keepLines w:val="0"/>
              <w:suppressLineNumbers w:val="0"/>
              <w:spacing w:before="0" w:beforeAutospacing="0" w:after="0" w:afterAutospacing="0" w:line="360" w:lineRule="auto"/>
              <w:ind w:left="0" w:right="0"/>
              <w:rPr>
                <w:rFonts w:hint="eastAsia" w:ascii="宋体" w:hAnsi="宋体" w:eastAsia="宋体" w:cs="宋体"/>
                <w:b w:val="0"/>
                <w:bCs w:val="0"/>
                <w:color w:val="auto"/>
                <w:sz w:val="24"/>
                <w:szCs w:val="24"/>
                <w:highlight w:val="none"/>
                <w:lang w:val="en-US" w:eastAsia="zh-CN"/>
              </w:rPr>
            </w:pPr>
          </w:p>
        </w:tc>
        <w:tc>
          <w:tcPr>
            <w:tcW w:w="1148" w:type="dxa"/>
          </w:tcPr>
          <w:p w14:paraId="5A95DDDD">
            <w:pPr>
              <w:pStyle w:val="17"/>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124" w:type="dxa"/>
          </w:tcPr>
          <w:p w14:paraId="5CC92C3D">
            <w:pPr>
              <w:pStyle w:val="17"/>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57A5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5494C183">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27" w:type="dxa"/>
            <w:vAlign w:val="center"/>
          </w:tcPr>
          <w:p w14:paraId="4516F64D">
            <w:pPr>
              <w:pStyle w:val="17"/>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65" w:type="dxa"/>
            <w:vAlign w:val="center"/>
          </w:tcPr>
          <w:p w14:paraId="0A25E220">
            <w:pPr>
              <w:pStyle w:val="17"/>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1755" w:type="dxa"/>
            <w:vAlign w:val="center"/>
          </w:tcPr>
          <w:p w14:paraId="2F5397D7">
            <w:pPr>
              <w:pStyle w:val="17"/>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480" w:type="dxa"/>
            <w:vAlign w:val="center"/>
          </w:tcPr>
          <w:p w14:paraId="25790751">
            <w:pPr>
              <w:pStyle w:val="17"/>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1049" w:type="dxa"/>
            <w:vAlign w:val="center"/>
          </w:tcPr>
          <w:p w14:paraId="15313B0A">
            <w:pPr>
              <w:pStyle w:val="17"/>
              <w:keepNext w:val="0"/>
              <w:keepLines w:val="0"/>
              <w:suppressLineNumbers w:val="0"/>
              <w:spacing w:before="0" w:beforeAutospacing="0" w:after="0" w:afterAutospacing="0" w:line="360" w:lineRule="auto"/>
              <w:ind w:left="0" w:right="0"/>
              <w:rPr>
                <w:rFonts w:hint="eastAsia" w:ascii="宋体" w:hAnsi="宋体" w:eastAsia="宋体" w:cs="宋体"/>
                <w:b/>
                <w:bCs/>
                <w:color w:val="auto"/>
                <w:sz w:val="24"/>
                <w:szCs w:val="24"/>
                <w:highlight w:val="none"/>
              </w:rPr>
            </w:pPr>
          </w:p>
        </w:tc>
        <w:tc>
          <w:tcPr>
            <w:tcW w:w="1148" w:type="dxa"/>
          </w:tcPr>
          <w:p w14:paraId="3D438A85">
            <w:pPr>
              <w:pStyle w:val="17"/>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124" w:type="dxa"/>
          </w:tcPr>
          <w:p w14:paraId="753760C2">
            <w:pPr>
              <w:pStyle w:val="17"/>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3878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627FE3FE">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27" w:type="dxa"/>
            <w:vAlign w:val="center"/>
          </w:tcPr>
          <w:p w14:paraId="4A184E04">
            <w:pPr>
              <w:pStyle w:val="17"/>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65" w:type="dxa"/>
            <w:vAlign w:val="center"/>
          </w:tcPr>
          <w:p w14:paraId="333A7203">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55" w:type="dxa"/>
            <w:vAlign w:val="center"/>
          </w:tcPr>
          <w:p w14:paraId="67A023DD">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480" w:type="dxa"/>
            <w:vAlign w:val="center"/>
          </w:tcPr>
          <w:p w14:paraId="18348E53">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49" w:type="dxa"/>
            <w:vAlign w:val="center"/>
          </w:tcPr>
          <w:p w14:paraId="741874B5">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48" w:type="dxa"/>
          </w:tcPr>
          <w:p w14:paraId="518AA5B7">
            <w:pPr>
              <w:pStyle w:val="17"/>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124" w:type="dxa"/>
          </w:tcPr>
          <w:p w14:paraId="73A5BAC6">
            <w:pPr>
              <w:pStyle w:val="17"/>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26AE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746EB1EC">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27" w:type="dxa"/>
            <w:vAlign w:val="center"/>
          </w:tcPr>
          <w:p w14:paraId="32780E43">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65" w:type="dxa"/>
            <w:vAlign w:val="center"/>
          </w:tcPr>
          <w:p w14:paraId="4C6F6F6D">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p>
        </w:tc>
        <w:tc>
          <w:tcPr>
            <w:tcW w:w="1755" w:type="dxa"/>
            <w:vAlign w:val="center"/>
          </w:tcPr>
          <w:p w14:paraId="23CDEB0F">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p>
        </w:tc>
        <w:tc>
          <w:tcPr>
            <w:tcW w:w="480" w:type="dxa"/>
            <w:vAlign w:val="center"/>
          </w:tcPr>
          <w:p w14:paraId="2B095F3C">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p>
        </w:tc>
        <w:tc>
          <w:tcPr>
            <w:tcW w:w="1049" w:type="dxa"/>
            <w:vAlign w:val="center"/>
          </w:tcPr>
          <w:p w14:paraId="6D038AE8">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p>
        </w:tc>
        <w:tc>
          <w:tcPr>
            <w:tcW w:w="1148" w:type="dxa"/>
            <w:vAlign w:val="center"/>
          </w:tcPr>
          <w:p w14:paraId="2216CBA6">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p>
        </w:tc>
        <w:tc>
          <w:tcPr>
            <w:tcW w:w="1124" w:type="dxa"/>
            <w:vAlign w:val="center"/>
          </w:tcPr>
          <w:p w14:paraId="7677223C">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p>
        </w:tc>
      </w:tr>
      <w:tr w14:paraId="196D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64D04B17">
            <w:pPr>
              <w:pStyle w:val="17"/>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27" w:type="dxa"/>
            <w:vAlign w:val="center"/>
          </w:tcPr>
          <w:p w14:paraId="7F1C8394">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65" w:type="dxa"/>
            <w:vAlign w:val="center"/>
          </w:tcPr>
          <w:p w14:paraId="30E1FB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755" w:type="dxa"/>
            <w:vAlign w:val="center"/>
          </w:tcPr>
          <w:p w14:paraId="092B9E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480" w:type="dxa"/>
            <w:vAlign w:val="center"/>
          </w:tcPr>
          <w:p w14:paraId="5A07EF20">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49" w:type="dxa"/>
            <w:vAlign w:val="center"/>
          </w:tcPr>
          <w:p w14:paraId="3A5822A7">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48" w:type="dxa"/>
          </w:tcPr>
          <w:p w14:paraId="0A9E60BE">
            <w:pPr>
              <w:pStyle w:val="17"/>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124" w:type="dxa"/>
          </w:tcPr>
          <w:p w14:paraId="0929174A">
            <w:pPr>
              <w:pStyle w:val="17"/>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0DF4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416" w:type="dxa"/>
            <w:gridSpan w:val="2"/>
            <w:vAlign w:val="center"/>
          </w:tcPr>
          <w:p w14:paraId="76704110">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w:t>
            </w:r>
          </w:p>
        </w:tc>
        <w:tc>
          <w:tcPr>
            <w:tcW w:w="6621" w:type="dxa"/>
            <w:gridSpan w:val="6"/>
            <w:vAlign w:val="center"/>
          </w:tcPr>
          <w:p w14:paraId="682985CB">
            <w:pPr>
              <w:pStyle w:val="17"/>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　　　　                元（小写：　　　　　）</w:t>
            </w:r>
          </w:p>
        </w:tc>
      </w:tr>
      <w:tr w14:paraId="5428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708F9092">
            <w:pPr>
              <w:pStyle w:val="17"/>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报价应包含项目所需全部服务，不得缺漏，是履行合同的最终价格，包括人工成本费、保险、调研费、检测分析费、设施设备、工具、编制费、刊登费、差旅费、管理费、利润、税费、招标代理费等项目所需一切费用。凡投标人在报价中未列明但又为本次采购所必备的项目或遗漏项目，采购方将一律视为已包括在合同价中，在合同执行中将不予考虑。</w:t>
            </w:r>
          </w:p>
        </w:tc>
      </w:tr>
    </w:tbl>
    <w:p w14:paraId="3667C7C1">
      <w:pPr>
        <w:pStyle w:val="1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注：内容可根据供应商实际情况自行调整。</w:t>
      </w:r>
    </w:p>
    <w:p w14:paraId="4182C4BA">
      <w:pPr>
        <w:spacing w:line="360" w:lineRule="auto"/>
        <w:rPr>
          <w:rFonts w:hint="eastAsia" w:ascii="宋体" w:hAnsi="宋体" w:eastAsia="宋体" w:cs="宋体"/>
          <w:color w:val="auto"/>
          <w:sz w:val="24"/>
          <w:szCs w:val="24"/>
          <w:highlight w:val="none"/>
        </w:rPr>
      </w:pPr>
    </w:p>
    <w:p w14:paraId="2698B490">
      <w:pPr>
        <w:pStyle w:val="14"/>
        <w:spacing w:line="360" w:lineRule="auto"/>
        <w:rPr>
          <w:rFonts w:hint="eastAsia" w:ascii="宋体" w:hAnsi="宋体" w:eastAsia="宋体" w:cs="宋体"/>
          <w:highlight w:val="none"/>
        </w:rPr>
      </w:pPr>
    </w:p>
    <w:p w14:paraId="62F39864">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法定代表人签名（或签名章）：                       </w:t>
      </w:r>
    </w:p>
    <w:p w14:paraId="519AF291">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133AC3C8">
      <w:pPr>
        <w:spacing w:line="360" w:lineRule="auto"/>
        <w:ind w:left="3780" w:leftChars="1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供应商全称（公章）：</w:t>
      </w:r>
    </w:p>
    <w:p w14:paraId="0E8E5D1F">
      <w:pPr>
        <w:spacing w:line="360" w:lineRule="auto"/>
        <w:ind w:left="3780" w:leftChars="1800" w:firstLine="480" w:firstLineChars="200"/>
        <w:rPr>
          <w:rFonts w:hint="eastAsia" w:ascii="宋体" w:hAnsi="宋体" w:eastAsia="宋体" w:cs="宋体"/>
          <w:color w:val="auto"/>
          <w:sz w:val="24"/>
          <w:szCs w:val="24"/>
          <w:highlight w:val="none"/>
        </w:rPr>
      </w:pPr>
    </w:p>
    <w:bookmarkEnd w:id="101"/>
    <w:p w14:paraId="65D4BEEF">
      <w:pPr>
        <w:spacing w:line="360" w:lineRule="auto"/>
        <w:ind w:left="3780" w:leftChars="1800" w:firstLine="480" w:firstLineChars="200"/>
        <w:rPr>
          <w:rFonts w:hint="eastAsia" w:ascii="宋体" w:hAnsi="宋体" w:eastAsia="宋体" w:cs="宋体"/>
          <w:color w:val="auto"/>
          <w:sz w:val="24"/>
          <w:szCs w:val="24"/>
          <w:highlight w:val="none"/>
          <w:lang w:val="zh-CN"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3E208">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336FF">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B50788">
                          <w:pPr>
                            <w:pStyle w:val="20"/>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N8kzXAQAAsA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3KuLLswwWRKY+vZSsN+mHjufXtG&#10;mj3uA6MO158S88Gh3Hl1ZiPOxn42jiHqQ4cdL0t1CG+PCXsrLecKIyxSzQ4OspCeli5vyt9+yXr8&#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azfJM1wEAALADAAAOAAAAAAAAAAEAIAAA&#10;AB8BAABkcnMvZTJvRG9jLnhtbFBLBQYAAAAABgAGAFkBAABoBQAAAAA=&#10;">
              <v:fill on="f" focussize="0,0"/>
              <v:stroke on="f" weight="0.5pt"/>
              <v:imagedata o:title=""/>
              <o:lock v:ext="edit" aspectratio="f"/>
              <v:textbox inset="0mm,0mm,0mm,0mm" style="mso-fit-shape-to-text:t;">
                <w:txbxContent>
                  <w:p w14:paraId="64B50788">
                    <w:pPr>
                      <w:pStyle w:val="2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A08A5">
    <w:pPr>
      <w:pStyle w:val="20"/>
      <w:rPr>
        <w:rStyle w:val="35"/>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a:effectLst/>
                    </wps:spPr>
                    <wps:txbx>
                      <w:txbxContent>
                        <w:p w14:paraId="0017B290">
                          <w:pPr>
                            <w:pStyle w:val="20"/>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rpkT20wEAAKU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Dl4RF6A8XXiMfSbrNhv+5Hc1jVH5Nbh&#10;EtTU4s5Tou8tapz2ZTLCZGwnY++D2rXY6Dx3Cf79PmJLudNUYYBFhumC08tcx01L6/H0nrMe/67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ArpkT20wEAAKUDAAAOAAAAAAAAAAEAIAAAACAB&#10;AABkcnMvZTJvRG9jLnhtbFBLBQYAAAAABgAGAFkBAABlBQAAAAA=&#10;">
              <v:fill on="f" focussize="0,0"/>
              <v:stroke on="f"/>
              <v:imagedata o:title=""/>
              <o:lock v:ext="edit" aspectratio="f"/>
              <v:textbox inset="0mm,0mm,0mm,0mm" style="mso-fit-shape-to-text:t;">
                <w:txbxContent>
                  <w:p w14:paraId="0017B290">
                    <w:pPr>
                      <w:pStyle w:val="20"/>
                    </w:pPr>
                    <w:r>
                      <w:fldChar w:fldCharType="begin"/>
                    </w:r>
                    <w:r>
                      <w:instrText xml:space="preserve"> PAGE  \* MERGEFORMAT </w:instrText>
                    </w:r>
                    <w:r>
                      <w:fldChar w:fldCharType="separate"/>
                    </w:r>
                    <w:r>
                      <w:t>59</w:t>
                    </w:r>
                    <w:r>
                      <w:fldChar w:fldCharType="end"/>
                    </w:r>
                  </w:p>
                </w:txbxContent>
              </v:textbox>
            </v:shape>
          </w:pict>
        </mc:Fallback>
      </mc:AlternateContent>
    </w:r>
  </w:p>
  <w:p w14:paraId="52808EA3">
    <w:pPr>
      <w:pStyle w:val="20"/>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B4D36">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46E10"/>
    <w:multiLevelType w:val="singleLevel"/>
    <w:tmpl w:val="83546E10"/>
    <w:lvl w:ilvl="0" w:tentative="0">
      <w:start w:val="1"/>
      <w:numFmt w:val="decimal"/>
      <w:suff w:val="nothing"/>
      <w:lvlText w:val="%1．"/>
      <w:lvlJc w:val="left"/>
      <w:pPr>
        <w:ind w:left="0" w:firstLine="400"/>
      </w:pPr>
      <w:rPr>
        <w:rFonts w:hint="default"/>
      </w:rPr>
    </w:lvl>
  </w:abstractNum>
  <w:abstractNum w:abstractNumId="1">
    <w:nsid w:val="91799C87"/>
    <w:multiLevelType w:val="singleLevel"/>
    <w:tmpl w:val="91799C87"/>
    <w:lvl w:ilvl="0" w:tentative="0">
      <w:start w:val="1"/>
      <w:numFmt w:val="decimal"/>
      <w:suff w:val="nothing"/>
      <w:lvlText w:val="（%1）"/>
      <w:lvlJc w:val="left"/>
    </w:lvl>
  </w:abstractNum>
  <w:abstractNum w:abstractNumId="2">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3">
    <w:nsid w:val="9A136E03"/>
    <w:multiLevelType w:val="singleLevel"/>
    <w:tmpl w:val="9A136E03"/>
    <w:lvl w:ilvl="0" w:tentative="0">
      <w:start w:val="1"/>
      <w:numFmt w:val="chineseCounting"/>
      <w:suff w:val="space"/>
      <w:lvlText w:val="%1．"/>
      <w:lvlJc w:val="left"/>
      <w:rPr>
        <w:rFonts w:hint="eastAsia"/>
      </w:rPr>
    </w:lvl>
  </w:abstractNum>
  <w:abstractNum w:abstractNumId="4">
    <w:nsid w:val="9E7D436F"/>
    <w:multiLevelType w:val="singleLevel"/>
    <w:tmpl w:val="9E7D436F"/>
    <w:lvl w:ilvl="0" w:tentative="0">
      <w:start w:val="1"/>
      <w:numFmt w:val="chineseCounting"/>
      <w:suff w:val="nothing"/>
      <w:lvlText w:val="%1、"/>
      <w:lvlJc w:val="left"/>
      <w:rPr>
        <w:rFonts w:hint="eastAsia"/>
      </w:rPr>
    </w:lvl>
  </w:abstractNum>
  <w:abstractNum w:abstractNumId="5">
    <w:nsid w:val="A217EB4F"/>
    <w:multiLevelType w:val="singleLevel"/>
    <w:tmpl w:val="A217EB4F"/>
    <w:lvl w:ilvl="0" w:tentative="0">
      <w:start w:val="1"/>
      <w:numFmt w:val="decimal"/>
      <w:suff w:val="nothing"/>
      <w:lvlText w:val="%1、"/>
      <w:lvlJc w:val="left"/>
    </w:lvl>
  </w:abstractNum>
  <w:abstractNum w:abstractNumId="6">
    <w:nsid w:val="BD43C2C3"/>
    <w:multiLevelType w:val="singleLevel"/>
    <w:tmpl w:val="BD43C2C3"/>
    <w:lvl w:ilvl="0" w:tentative="0">
      <w:start w:val="1"/>
      <w:numFmt w:val="decimalEnclosedCircleChinese"/>
      <w:suff w:val="nothing"/>
      <w:lvlText w:val="%1　"/>
      <w:lvlJc w:val="left"/>
      <w:pPr>
        <w:ind w:firstLine="1134"/>
      </w:pPr>
      <w:rPr>
        <w:rFonts w:hint="eastAsia"/>
      </w:rPr>
    </w:lvl>
  </w:abstractNum>
  <w:abstractNum w:abstractNumId="7">
    <w:nsid w:val="F4396F3A"/>
    <w:multiLevelType w:val="singleLevel"/>
    <w:tmpl w:val="F4396F3A"/>
    <w:lvl w:ilvl="0" w:tentative="0">
      <w:start w:val="2"/>
      <w:numFmt w:val="chineseCounting"/>
      <w:suff w:val="nothing"/>
      <w:lvlText w:val="%1、"/>
      <w:lvlJc w:val="left"/>
      <w:rPr>
        <w:rFonts w:hint="eastAsia"/>
      </w:rPr>
    </w:lvl>
  </w:abstractNum>
  <w:abstractNum w:abstractNumId="8">
    <w:nsid w:val="12F353C5"/>
    <w:multiLevelType w:val="singleLevel"/>
    <w:tmpl w:val="12F353C5"/>
    <w:lvl w:ilvl="0" w:tentative="0">
      <w:start w:val="1"/>
      <w:numFmt w:val="chineseCounting"/>
      <w:suff w:val="nothing"/>
      <w:lvlText w:val="%1、"/>
      <w:lvlJc w:val="left"/>
      <w:rPr>
        <w:rFonts w:hint="eastAsia"/>
      </w:rPr>
    </w:lvl>
  </w:abstractNum>
  <w:abstractNum w:abstractNumId="9">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10">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1">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12">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3">
    <w:nsid w:val="31213A5A"/>
    <w:multiLevelType w:val="singleLevel"/>
    <w:tmpl w:val="31213A5A"/>
    <w:lvl w:ilvl="0" w:tentative="0">
      <w:start w:val="4"/>
      <w:numFmt w:val="chineseCounting"/>
      <w:suff w:val="nothing"/>
      <w:lvlText w:val="%1、"/>
      <w:lvlJc w:val="left"/>
      <w:rPr>
        <w:rFonts w:hint="eastAsia"/>
      </w:rPr>
    </w:lvl>
  </w:abstractNum>
  <w:abstractNum w:abstractNumId="14">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5">
    <w:nsid w:val="466C6E1F"/>
    <w:multiLevelType w:val="multilevel"/>
    <w:tmpl w:val="466C6E1F"/>
    <w:lvl w:ilvl="0" w:tentative="0">
      <w:start w:val="1"/>
      <w:numFmt w:val="upperLetter"/>
      <w:pStyle w:val="6"/>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6">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17">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18">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19">
    <w:nsid w:val="7B2826C6"/>
    <w:multiLevelType w:val="singleLevel"/>
    <w:tmpl w:val="7B2826C6"/>
    <w:lvl w:ilvl="0" w:tentative="0">
      <w:start w:val="1"/>
      <w:numFmt w:val="decimal"/>
      <w:suff w:val="nothing"/>
      <w:lvlText w:val="%1．"/>
      <w:lvlJc w:val="left"/>
      <w:pPr>
        <w:ind w:left="0" w:firstLine="397"/>
      </w:pPr>
      <w:rPr>
        <w:rFonts w:hint="default"/>
      </w:rPr>
    </w:lvl>
  </w:abstractNum>
  <w:num w:numId="1">
    <w:abstractNumId w:val="15"/>
  </w:num>
  <w:num w:numId="2">
    <w:abstractNumId w:val="3"/>
  </w:num>
  <w:num w:numId="3">
    <w:abstractNumId w:val="0"/>
  </w:num>
  <w:num w:numId="4">
    <w:abstractNumId w:val="17"/>
  </w:num>
  <w:num w:numId="5">
    <w:abstractNumId w:val="10"/>
  </w:num>
  <w:num w:numId="6">
    <w:abstractNumId w:val="19"/>
  </w:num>
  <w:num w:numId="7">
    <w:abstractNumId w:val="11"/>
  </w:num>
  <w:num w:numId="8">
    <w:abstractNumId w:val="18"/>
  </w:num>
  <w:num w:numId="9">
    <w:abstractNumId w:val="8"/>
  </w:num>
  <w:num w:numId="10">
    <w:abstractNumId w:val="9"/>
  </w:num>
  <w:num w:numId="11">
    <w:abstractNumId w:val="16"/>
  </w:num>
  <w:num w:numId="12">
    <w:abstractNumId w:val="14"/>
  </w:num>
  <w:num w:numId="13">
    <w:abstractNumId w:val="6"/>
  </w:num>
  <w:num w:numId="14">
    <w:abstractNumId w:val="2"/>
  </w:num>
  <w:num w:numId="15">
    <w:abstractNumId w:val="12"/>
  </w:num>
  <w:num w:numId="16">
    <w:abstractNumId w:val="4"/>
  </w:num>
  <w:num w:numId="17">
    <w:abstractNumId w:val="13"/>
  </w:num>
  <w:num w:numId="18">
    <w:abstractNumId w:val="7"/>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MGNkYTJhN2NkODc0MzYwZWZhYmI0Y2E4ZDVlOGEifQ=="/>
  </w:docVars>
  <w:rsids>
    <w:rsidRoot w:val="00172A27"/>
    <w:rsid w:val="00003EF7"/>
    <w:rsid w:val="000122B4"/>
    <w:rsid w:val="00027C5B"/>
    <w:rsid w:val="00043EEC"/>
    <w:rsid w:val="00046957"/>
    <w:rsid w:val="0005045A"/>
    <w:rsid w:val="00084F39"/>
    <w:rsid w:val="00085ECB"/>
    <w:rsid w:val="000B3BC7"/>
    <w:rsid w:val="000D0709"/>
    <w:rsid w:val="000D30BB"/>
    <w:rsid w:val="000F06EE"/>
    <w:rsid w:val="001039CA"/>
    <w:rsid w:val="0012684B"/>
    <w:rsid w:val="001339E2"/>
    <w:rsid w:val="00161E6F"/>
    <w:rsid w:val="00221416"/>
    <w:rsid w:val="00223E24"/>
    <w:rsid w:val="00234866"/>
    <w:rsid w:val="00234D57"/>
    <w:rsid w:val="00255FD2"/>
    <w:rsid w:val="00264C08"/>
    <w:rsid w:val="00273F1A"/>
    <w:rsid w:val="0027526D"/>
    <w:rsid w:val="00284949"/>
    <w:rsid w:val="00297FF4"/>
    <w:rsid w:val="002C24EC"/>
    <w:rsid w:val="002C487B"/>
    <w:rsid w:val="002F6EC0"/>
    <w:rsid w:val="0030570F"/>
    <w:rsid w:val="003470DA"/>
    <w:rsid w:val="003914B1"/>
    <w:rsid w:val="00392B4C"/>
    <w:rsid w:val="00393C1C"/>
    <w:rsid w:val="003A0D36"/>
    <w:rsid w:val="003A2883"/>
    <w:rsid w:val="003D07BA"/>
    <w:rsid w:val="0040061B"/>
    <w:rsid w:val="00402FF9"/>
    <w:rsid w:val="004047AC"/>
    <w:rsid w:val="004277E5"/>
    <w:rsid w:val="0043140B"/>
    <w:rsid w:val="00434E53"/>
    <w:rsid w:val="00463C96"/>
    <w:rsid w:val="00476057"/>
    <w:rsid w:val="0048104F"/>
    <w:rsid w:val="00485852"/>
    <w:rsid w:val="00486150"/>
    <w:rsid w:val="00497B50"/>
    <w:rsid w:val="004E63AF"/>
    <w:rsid w:val="004E7DB7"/>
    <w:rsid w:val="00542925"/>
    <w:rsid w:val="005456AD"/>
    <w:rsid w:val="00550AE1"/>
    <w:rsid w:val="005617C4"/>
    <w:rsid w:val="005747A4"/>
    <w:rsid w:val="0057775B"/>
    <w:rsid w:val="005F4C64"/>
    <w:rsid w:val="00603A33"/>
    <w:rsid w:val="0060407F"/>
    <w:rsid w:val="00624CA0"/>
    <w:rsid w:val="006545B6"/>
    <w:rsid w:val="006B56AA"/>
    <w:rsid w:val="006E3901"/>
    <w:rsid w:val="006E4D94"/>
    <w:rsid w:val="006E5F17"/>
    <w:rsid w:val="006E7DD6"/>
    <w:rsid w:val="00726B0B"/>
    <w:rsid w:val="00741B88"/>
    <w:rsid w:val="0074647B"/>
    <w:rsid w:val="00761CC5"/>
    <w:rsid w:val="007675AE"/>
    <w:rsid w:val="007C1988"/>
    <w:rsid w:val="007C36F2"/>
    <w:rsid w:val="007D1674"/>
    <w:rsid w:val="007F23B1"/>
    <w:rsid w:val="00804A32"/>
    <w:rsid w:val="00816086"/>
    <w:rsid w:val="00846EE7"/>
    <w:rsid w:val="008651FF"/>
    <w:rsid w:val="008A2209"/>
    <w:rsid w:val="008B73C2"/>
    <w:rsid w:val="008C2439"/>
    <w:rsid w:val="008E3963"/>
    <w:rsid w:val="00913BA9"/>
    <w:rsid w:val="00913DF5"/>
    <w:rsid w:val="00922646"/>
    <w:rsid w:val="009241BF"/>
    <w:rsid w:val="00945D04"/>
    <w:rsid w:val="00992B51"/>
    <w:rsid w:val="009B5145"/>
    <w:rsid w:val="009B698E"/>
    <w:rsid w:val="009C14AC"/>
    <w:rsid w:val="00A06FE3"/>
    <w:rsid w:val="00A5469A"/>
    <w:rsid w:val="00A60C7C"/>
    <w:rsid w:val="00A832EF"/>
    <w:rsid w:val="00AC415C"/>
    <w:rsid w:val="00AE721D"/>
    <w:rsid w:val="00AF40FC"/>
    <w:rsid w:val="00AF7CF9"/>
    <w:rsid w:val="00B007B7"/>
    <w:rsid w:val="00B043F4"/>
    <w:rsid w:val="00B1386B"/>
    <w:rsid w:val="00B1531C"/>
    <w:rsid w:val="00B26DD6"/>
    <w:rsid w:val="00B34795"/>
    <w:rsid w:val="00B45AAD"/>
    <w:rsid w:val="00B47103"/>
    <w:rsid w:val="00B651EF"/>
    <w:rsid w:val="00B70E65"/>
    <w:rsid w:val="00B7632C"/>
    <w:rsid w:val="00BC25F6"/>
    <w:rsid w:val="00BC554A"/>
    <w:rsid w:val="00C144DF"/>
    <w:rsid w:val="00C15659"/>
    <w:rsid w:val="00C32FC8"/>
    <w:rsid w:val="00C4588E"/>
    <w:rsid w:val="00C70180"/>
    <w:rsid w:val="00C755F3"/>
    <w:rsid w:val="00C93598"/>
    <w:rsid w:val="00C94384"/>
    <w:rsid w:val="00C97640"/>
    <w:rsid w:val="00CA29A3"/>
    <w:rsid w:val="00CA75C3"/>
    <w:rsid w:val="00CB75F1"/>
    <w:rsid w:val="00CC3A61"/>
    <w:rsid w:val="00CD31BD"/>
    <w:rsid w:val="00CE2482"/>
    <w:rsid w:val="00CF226E"/>
    <w:rsid w:val="00D208F6"/>
    <w:rsid w:val="00D33839"/>
    <w:rsid w:val="00D40761"/>
    <w:rsid w:val="00D46536"/>
    <w:rsid w:val="00D5715C"/>
    <w:rsid w:val="00D64C89"/>
    <w:rsid w:val="00D73BB8"/>
    <w:rsid w:val="00D84F46"/>
    <w:rsid w:val="00DB44DD"/>
    <w:rsid w:val="00DB66E9"/>
    <w:rsid w:val="00DD3B00"/>
    <w:rsid w:val="00DE7CF8"/>
    <w:rsid w:val="00E109DA"/>
    <w:rsid w:val="00E30080"/>
    <w:rsid w:val="00E53562"/>
    <w:rsid w:val="00E666D2"/>
    <w:rsid w:val="00F47432"/>
    <w:rsid w:val="00F673E5"/>
    <w:rsid w:val="00FD3C5B"/>
    <w:rsid w:val="00FD77B5"/>
    <w:rsid w:val="01044A81"/>
    <w:rsid w:val="0149271B"/>
    <w:rsid w:val="01505045"/>
    <w:rsid w:val="01870592"/>
    <w:rsid w:val="019A22A6"/>
    <w:rsid w:val="01A77E95"/>
    <w:rsid w:val="025E03EB"/>
    <w:rsid w:val="02656526"/>
    <w:rsid w:val="02710CE9"/>
    <w:rsid w:val="02B85E1F"/>
    <w:rsid w:val="02EE1577"/>
    <w:rsid w:val="02F24335"/>
    <w:rsid w:val="02FB0AA9"/>
    <w:rsid w:val="02FB1EF4"/>
    <w:rsid w:val="03836111"/>
    <w:rsid w:val="03A870EA"/>
    <w:rsid w:val="03E70B83"/>
    <w:rsid w:val="03F97C64"/>
    <w:rsid w:val="044134E4"/>
    <w:rsid w:val="046457A4"/>
    <w:rsid w:val="04933ABB"/>
    <w:rsid w:val="050C4D1E"/>
    <w:rsid w:val="052D21DD"/>
    <w:rsid w:val="056D7096"/>
    <w:rsid w:val="059348DE"/>
    <w:rsid w:val="05AF3115"/>
    <w:rsid w:val="05F535AC"/>
    <w:rsid w:val="06082700"/>
    <w:rsid w:val="06191786"/>
    <w:rsid w:val="061E7F79"/>
    <w:rsid w:val="07010B40"/>
    <w:rsid w:val="072205A1"/>
    <w:rsid w:val="07401E45"/>
    <w:rsid w:val="07693EC4"/>
    <w:rsid w:val="076E4620"/>
    <w:rsid w:val="08287C44"/>
    <w:rsid w:val="08AB1850"/>
    <w:rsid w:val="08E6152E"/>
    <w:rsid w:val="090B4CBB"/>
    <w:rsid w:val="094A291F"/>
    <w:rsid w:val="097E1AE6"/>
    <w:rsid w:val="09A27D61"/>
    <w:rsid w:val="09D53326"/>
    <w:rsid w:val="0A4F6D64"/>
    <w:rsid w:val="0A621193"/>
    <w:rsid w:val="0ABC596C"/>
    <w:rsid w:val="0B065E39"/>
    <w:rsid w:val="0B1A54E5"/>
    <w:rsid w:val="0B6E5916"/>
    <w:rsid w:val="0BC74660"/>
    <w:rsid w:val="0C2C4D9D"/>
    <w:rsid w:val="0C387BBC"/>
    <w:rsid w:val="0C7A6A78"/>
    <w:rsid w:val="0C8401B4"/>
    <w:rsid w:val="0CBE1827"/>
    <w:rsid w:val="0CCC6D98"/>
    <w:rsid w:val="0D094597"/>
    <w:rsid w:val="0D2A42A8"/>
    <w:rsid w:val="0D441DC7"/>
    <w:rsid w:val="0DA615C7"/>
    <w:rsid w:val="0DC43F13"/>
    <w:rsid w:val="0E090AFD"/>
    <w:rsid w:val="0E22642F"/>
    <w:rsid w:val="0E2D1637"/>
    <w:rsid w:val="0E7273EE"/>
    <w:rsid w:val="0EA5368B"/>
    <w:rsid w:val="0EAE1781"/>
    <w:rsid w:val="0EDA11B8"/>
    <w:rsid w:val="0EEA1524"/>
    <w:rsid w:val="0EEC4B14"/>
    <w:rsid w:val="0F2C6194"/>
    <w:rsid w:val="0F7352D7"/>
    <w:rsid w:val="0F9E5390"/>
    <w:rsid w:val="0FAE728D"/>
    <w:rsid w:val="10280789"/>
    <w:rsid w:val="104145F9"/>
    <w:rsid w:val="10B64C1C"/>
    <w:rsid w:val="10BA6CED"/>
    <w:rsid w:val="10C7130C"/>
    <w:rsid w:val="10C9129C"/>
    <w:rsid w:val="113C27FB"/>
    <w:rsid w:val="1173042F"/>
    <w:rsid w:val="11AF1066"/>
    <w:rsid w:val="11CF6577"/>
    <w:rsid w:val="11F0602F"/>
    <w:rsid w:val="121F4D1B"/>
    <w:rsid w:val="12313422"/>
    <w:rsid w:val="124066BD"/>
    <w:rsid w:val="12792BFB"/>
    <w:rsid w:val="12814939"/>
    <w:rsid w:val="129F37E3"/>
    <w:rsid w:val="12C329EB"/>
    <w:rsid w:val="12E30368"/>
    <w:rsid w:val="12FC45DD"/>
    <w:rsid w:val="13495BED"/>
    <w:rsid w:val="14E55858"/>
    <w:rsid w:val="150E1CF2"/>
    <w:rsid w:val="155D552F"/>
    <w:rsid w:val="15703332"/>
    <w:rsid w:val="157D7686"/>
    <w:rsid w:val="15830AE2"/>
    <w:rsid w:val="15A07E8D"/>
    <w:rsid w:val="15BC6282"/>
    <w:rsid w:val="15EF0883"/>
    <w:rsid w:val="162D415D"/>
    <w:rsid w:val="1648774C"/>
    <w:rsid w:val="1670365E"/>
    <w:rsid w:val="168077F8"/>
    <w:rsid w:val="16817FC4"/>
    <w:rsid w:val="16B952CB"/>
    <w:rsid w:val="16EB43B2"/>
    <w:rsid w:val="1729218B"/>
    <w:rsid w:val="174437E2"/>
    <w:rsid w:val="175C51BC"/>
    <w:rsid w:val="176B10DC"/>
    <w:rsid w:val="17BA2D0F"/>
    <w:rsid w:val="17D3547E"/>
    <w:rsid w:val="17E30A9B"/>
    <w:rsid w:val="17F0221E"/>
    <w:rsid w:val="19061AA7"/>
    <w:rsid w:val="190D09AE"/>
    <w:rsid w:val="193E3E78"/>
    <w:rsid w:val="194A559B"/>
    <w:rsid w:val="19AC696E"/>
    <w:rsid w:val="19B03AD9"/>
    <w:rsid w:val="1A00750A"/>
    <w:rsid w:val="1A156465"/>
    <w:rsid w:val="1A686CC5"/>
    <w:rsid w:val="1A9F12B2"/>
    <w:rsid w:val="1AFB0A1E"/>
    <w:rsid w:val="1B155261"/>
    <w:rsid w:val="1B4A7538"/>
    <w:rsid w:val="1B4F1500"/>
    <w:rsid w:val="1B6755DD"/>
    <w:rsid w:val="1B753126"/>
    <w:rsid w:val="1B896711"/>
    <w:rsid w:val="1B9724FE"/>
    <w:rsid w:val="1BC45F57"/>
    <w:rsid w:val="1BDB27A5"/>
    <w:rsid w:val="1C177D71"/>
    <w:rsid w:val="1C817893"/>
    <w:rsid w:val="1CB55FDB"/>
    <w:rsid w:val="1CC715B0"/>
    <w:rsid w:val="1CC874BD"/>
    <w:rsid w:val="1CF077BC"/>
    <w:rsid w:val="1CFF0A9F"/>
    <w:rsid w:val="1DB0453D"/>
    <w:rsid w:val="1DC74A1D"/>
    <w:rsid w:val="1DD106B2"/>
    <w:rsid w:val="1E157011"/>
    <w:rsid w:val="1E3A711F"/>
    <w:rsid w:val="1E615397"/>
    <w:rsid w:val="1E721F4F"/>
    <w:rsid w:val="1E851F97"/>
    <w:rsid w:val="1E8C459E"/>
    <w:rsid w:val="1E934307"/>
    <w:rsid w:val="1EDA1EFB"/>
    <w:rsid w:val="1EFD5565"/>
    <w:rsid w:val="1F2B0346"/>
    <w:rsid w:val="1F3309DE"/>
    <w:rsid w:val="1F431821"/>
    <w:rsid w:val="1F5905CC"/>
    <w:rsid w:val="1F8165DB"/>
    <w:rsid w:val="1F890C4B"/>
    <w:rsid w:val="1FD10B66"/>
    <w:rsid w:val="1FDA3069"/>
    <w:rsid w:val="1FE55402"/>
    <w:rsid w:val="1FF1578B"/>
    <w:rsid w:val="20005C4C"/>
    <w:rsid w:val="20325FB5"/>
    <w:rsid w:val="205015A4"/>
    <w:rsid w:val="205B73C3"/>
    <w:rsid w:val="20626028"/>
    <w:rsid w:val="20813E7D"/>
    <w:rsid w:val="20A1426C"/>
    <w:rsid w:val="20B13D34"/>
    <w:rsid w:val="20B44398"/>
    <w:rsid w:val="20C82F63"/>
    <w:rsid w:val="20D34487"/>
    <w:rsid w:val="20EA1D5F"/>
    <w:rsid w:val="20EB4820"/>
    <w:rsid w:val="215A3622"/>
    <w:rsid w:val="21787EF5"/>
    <w:rsid w:val="219416B8"/>
    <w:rsid w:val="21C106BD"/>
    <w:rsid w:val="21FF3D3B"/>
    <w:rsid w:val="220A1EFE"/>
    <w:rsid w:val="2231339B"/>
    <w:rsid w:val="22502157"/>
    <w:rsid w:val="22514430"/>
    <w:rsid w:val="226704C8"/>
    <w:rsid w:val="22AC06A2"/>
    <w:rsid w:val="22D37531"/>
    <w:rsid w:val="22D459DD"/>
    <w:rsid w:val="22D7095E"/>
    <w:rsid w:val="22DF6260"/>
    <w:rsid w:val="23022EFF"/>
    <w:rsid w:val="23176663"/>
    <w:rsid w:val="234B0952"/>
    <w:rsid w:val="23720885"/>
    <w:rsid w:val="239F10A8"/>
    <w:rsid w:val="23A5368A"/>
    <w:rsid w:val="24054003"/>
    <w:rsid w:val="240C6203"/>
    <w:rsid w:val="24100E4B"/>
    <w:rsid w:val="241C0909"/>
    <w:rsid w:val="248D4C07"/>
    <w:rsid w:val="248E2E3A"/>
    <w:rsid w:val="253F062B"/>
    <w:rsid w:val="257A1FAE"/>
    <w:rsid w:val="257A2208"/>
    <w:rsid w:val="25AA1E78"/>
    <w:rsid w:val="25F62E16"/>
    <w:rsid w:val="26451EEA"/>
    <w:rsid w:val="26704F2E"/>
    <w:rsid w:val="2688148E"/>
    <w:rsid w:val="269A56FB"/>
    <w:rsid w:val="26A3789E"/>
    <w:rsid w:val="270415A3"/>
    <w:rsid w:val="27D86AE1"/>
    <w:rsid w:val="27DC3878"/>
    <w:rsid w:val="28395C86"/>
    <w:rsid w:val="28AF339E"/>
    <w:rsid w:val="28C62F56"/>
    <w:rsid w:val="28DA203A"/>
    <w:rsid w:val="28E84A2F"/>
    <w:rsid w:val="28F0407A"/>
    <w:rsid w:val="29152822"/>
    <w:rsid w:val="291A7D32"/>
    <w:rsid w:val="29320499"/>
    <w:rsid w:val="29655706"/>
    <w:rsid w:val="297D7595"/>
    <w:rsid w:val="29837904"/>
    <w:rsid w:val="29AC284E"/>
    <w:rsid w:val="29EF3C6E"/>
    <w:rsid w:val="29FD22B4"/>
    <w:rsid w:val="2A1F5C2B"/>
    <w:rsid w:val="2A471AAA"/>
    <w:rsid w:val="2A807110"/>
    <w:rsid w:val="2AB06233"/>
    <w:rsid w:val="2B1300D1"/>
    <w:rsid w:val="2B6C01DB"/>
    <w:rsid w:val="2B790454"/>
    <w:rsid w:val="2BED2D96"/>
    <w:rsid w:val="2BF7A349"/>
    <w:rsid w:val="2C070409"/>
    <w:rsid w:val="2C0E641B"/>
    <w:rsid w:val="2C263A29"/>
    <w:rsid w:val="2CAE51CD"/>
    <w:rsid w:val="2CB745C8"/>
    <w:rsid w:val="2CFB251F"/>
    <w:rsid w:val="2D346E5C"/>
    <w:rsid w:val="2DC477F8"/>
    <w:rsid w:val="2DFC2F3E"/>
    <w:rsid w:val="2E223A7F"/>
    <w:rsid w:val="2E664953"/>
    <w:rsid w:val="2E6A7D67"/>
    <w:rsid w:val="2E72221D"/>
    <w:rsid w:val="2EB5699C"/>
    <w:rsid w:val="2EFA79ED"/>
    <w:rsid w:val="2F6E3D48"/>
    <w:rsid w:val="2F8710B8"/>
    <w:rsid w:val="300C0145"/>
    <w:rsid w:val="30474804"/>
    <w:rsid w:val="30584EE1"/>
    <w:rsid w:val="30955632"/>
    <w:rsid w:val="30C91D73"/>
    <w:rsid w:val="30FB7A19"/>
    <w:rsid w:val="310261A7"/>
    <w:rsid w:val="313F24DA"/>
    <w:rsid w:val="318D0B53"/>
    <w:rsid w:val="31D6392D"/>
    <w:rsid w:val="31F773D3"/>
    <w:rsid w:val="32207254"/>
    <w:rsid w:val="328D2446"/>
    <w:rsid w:val="32A75185"/>
    <w:rsid w:val="32D1066D"/>
    <w:rsid w:val="33340B4D"/>
    <w:rsid w:val="334332F3"/>
    <w:rsid w:val="335F41BA"/>
    <w:rsid w:val="338E7B26"/>
    <w:rsid w:val="33BA34B0"/>
    <w:rsid w:val="33EC168B"/>
    <w:rsid w:val="34081C5C"/>
    <w:rsid w:val="342F0F86"/>
    <w:rsid w:val="34367DA9"/>
    <w:rsid w:val="3477488D"/>
    <w:rsid w:val="349413EA"/>
    <w:rsid w:val="34BA37F6"/>
    <w:rsid w:val="34C54BE3"/>
    <w:rsid w:val="34C574CF"/>
    <w:rsid w:val="34CC3529"/>
    <w:rsid w:val="350D6182"/>
    <w:rsid w:val="35AA010F"/>
    <w:rsid w:val="35BC534C"/>
    <w:rsid w:val="35E56A24"/>
    <w:rsid w:val="367C4935"/>
    <w:rsid w:val="367E6096"/>
    <w:rsid w:val="36C600AF"/>
    <w:rsid w:val="36CE34E8"/>
    <w:rsid w:val="37020770"/>
    <w:rsid w:val="370A6314"/>
    <w:rsid w:val="370C2303"/>
    <w:rsid w:val="37B838EA"/>
    <w:rsid w:val="37F1024C"/>
    <w:rsid w:val="38575800"/>
    <w:rsid w:val="38736E39"/>
    <w:rsid w:val="3904514B"/>
    <w:rsid w:val="391C7C77"/>
    <w:rsid w:val="391F4576"/>
    <w:rsid w:val="395B2A24"/>
    <w:rsid w:val="39606472"/>
    <w:rsid w:val="39692A8E"/>
    <w:rsid w:val="39B747A8"/>
    <w:rsid w:val="39BB5E52"/>
    <w:rsid w:val="39CF6ED4"/>
    <w:rsid w:val="39FB6A6E"/>
    <w:rsid w:val="39FC282B"/>
    <w:rsid w:val="3A164E28"/>
    <w:rsid w:val="3A1F3995"/>
    <w:rsid w:val="3A307305"/>
    <w:rsid w:val="3A541FF7"/>
    <w:rsid w:val="3A9C1064"/>
    <w:rsid w:val="3ACF16E5"/>
    <w:rsid w:val="3AFE1F63"/>
    <w:rsid w:val="3B1064BD"/>
    <w:rsid w:val="3B2714BA"/>
    <w:rsid w:val="3B2C33D8"/>
    <w:rsid w:val="3B2C358C"/>
    <w:rsid w:val="3BE04637"/>
    <w:rsid w:val="3BF15362"/>
    <w:rsid w:val="3BF74F1D"/>
    <w:rsid w:val="3CA64660"/>
    <w:rsid w:val="3CC013E3"/>
    <w:rsid w:val="3CD27730"/>
    <w:rsid w:val="3CF301BD"/>
    <w:rsid w:val="3D390470"/>
    <w:rsid w:val="3D4D11D6"/>
    <w:rsid w:val="3D593B6E"/>
    <w:rsid w:val="3DC76F84"/>
    <w:rsid w:val="3DCE50EF"/>
    <w:rsid w:val="3DDF7E2A"/>
    <w:rsid w:val="3DE94058"/>
    <w:rsid w:val="3E1918E3"/>
    <w:rsid w:val="3E2B0588"/>
    <w:rsid w:val="3E374C21"/>
    <w:rsid w:val="3E3759DF"/>
    <w:rsid w:val="3E466B4F"/>
    <w:rsid w:val="3E8E7E39"/>
    <w:rsid w:val="3E96513D"/>
    <w:rsid w:val="3E98229E"/>
    <w:rsid w:val="3EA64B1B"/>
    <w:rsid w:val="3EB412B6"/>
    <w:rsid w:val="3EC040FF"/>
    <w:rsid w:val="3EE902D6"/>
    <w:rsid w:val="3EF826B7"/>
    <w:rsid w:val="3F0F61C5"/>
    <w:rsid w:val="3F2A1578"/>
    <w:rsid w:val="3F440AD0"/>
    <w:rsid w:val="3F894898"/>
    <w:rsid w:val="4009784F"/>
    <w:rsid w:val="404778EF"/>
    <w:rsid w:val="408829FA"/>
    <w:rsid w:val="408A4A83"/>
    <w:rsid w:val="408F7977"/>
    <w:rsid w:val="40A463BD"/>
    <w:rsid w:val="40E80A95"/>
    <w:rsid w:val="40F37347"/>
    <w:rsid w:val="41131941"/>
    <w:rsid w:val="411E7DFD"/>
    <w:rsid w:val="41780B55"/>
    <w:rsid w:val="41C50CBF"/>
    <w:rsid w:val="41CE6D3A"/>
    <w:rsid w:val="42234900"/>
    <w:rsid w:val="42267EFC"/>
    <w:rsid w:val="42310D45"/>
    <w:rsid w:val="42914373"/>
    <w:rsid w:val="4297507F"/>
    <w:rsid w:val="42A44E8B"/>
    <w:rsid w:val="43393B20"/>
    <w:rsid w:val="43495ACF"/>
    <w:rsid w:val="436C497E"/>
    <w:rsid w:val="43F54CF5"/>
    <w:rsid w:val="446B0216"/>
    <w:rsid w:val="44724164"/>
    <w:rsid w:val="448D6A38"/>
    <w:rsid w:val="44CF7EF9"/>
    <w:rsid w:val="44F61417"/>
    <w:rsid w:val="4508700D"/>
    <w:rsid w:val="450C0041"/>
    <w:rsid w:val="454D3269"/>
    <w:rsid w:val="455E1F7C"/>
    <w:rsid w:val="45C85647"/>
    <w:rsid w:val="46165DD1"/>
    <w:rsid w:val="464C4739"/>
    <w:rsid w:val="46562959"/>
    <w:rsid w:val="467F690A"/>
    <w:rsid w:val="46875502"/>
    <w:rsid w:val="46B85F59"/>
    <w:rsid w:val="46C644C3"/>
    <w:rsid w:val="46E961D3"/>
    <w:rsid w:val="474F4272"/>
    <w:rsid w:val="47A3011A"/>
    <w:rsid w:val="47CF6E71"/>
    <w:rsid w:val="47E330FE"/>
    <w:rsid w:val="47E954F6"/>
    <w:rsid w:val="47EF50CB"/>
    <w:rsid w:val="47FA0480"/>
    <w:rsid w:val="481F35BB"/>
    <w:rsid w:val="48621071"/>
    <w:rsid w:val="48803E6A"/>
    <w:rsid w:val="48E409EA"/>
    <w:rsid w:val="48F62286"/>
    <w:rsid w:val="492D7C31"/>
    <w:rsid w:val="49516B58"/>
    <w:rsid w:val="495C25B9"/>
    <w:rsid w:val="498B48F2"/>
    <w:rsid w:val="498F5D60"/>
    <w:rsid w:val="49913D2B"/>
    <w:rsid w:val="499D0869"/>
    <w:rsid w:val="49A50688"/>
    <w:rsid w:val="49A77F99"/>
    <w:rsid w:val="49C134CC"/>
    <w:rsid w:val="4A01737A"/>
    <w:rsid w:val="4A081D84"/>
    <w:rsid w:val="4A1B68CF"/>
    <w:rsid w:val="4A396CAF"/>
    <w:rsid w:val="4A3E14BB"/>
    <w:rsid w:val="4ACC4412"/>
    <w:rsid w:val="4AD245F0"/>
    <w:rsid w:val="4B0C6773"/>
    <w:rsid w:val="4B151CBC"/>
    <w:rsid w:val="4B381977"/>
    <w:rsid w:val="4B5C045F"/>
    <w:rsid w:val="4B5C6F5D"/>
    <w:rsid w:val="4B8E2D0E"/>
    <w:rsid w:val="4BE44EED"/>
    <w:rsid w:val="4BED508C"/>
    <w:rsid w:val="4C2A3BAE"/>
    <w:rsid w:val="4C347AA3"/>
    <w:rsid w:val="4C65693A"/>
    <w:rsid w:val="4C804CD7"/>
    <w:rsid w:val="4CDE51FA"/>
    <w:rsid w:val="4D3B0DF4"/>
    <w:rsid w:val="4D782815"/>
    <w:rsid w:val="4D8D2223"/>
    <w:rsid w:val="4DBE4790"/>
    <w:rsid w:val="4E111F65"/>
    <w:rsid w:val="4E560D49"/>
    <w:rsid w:val="4E616639"/>
    <w:rsid w:val="4EEF6B88"/>
    <w:rsid w:val="4EF0395F"/>
    <w:rsid w:val="4EF549D4"/>
    <w:rsid w:val="4F2B4370"/>
    <w:rsid w:val="4F35165C"/>
    <w:rsid w:val="4FA72F38"/>
    <w:rsid w:val="4FAB12AD"/>
    <w:rsid w:val="4FFC17B4"/>
    <w:rsid w:val="50494395"/>
    <w:rsid w:val="505226DD"/>
    <w:rsid w:val="512A294F"/>
    <w:rsid w:val="51771072"/>
    <w:rsid w:val="517E5EE1"/>
    <w:rsid w:val="51A87F87"/>
    <w:rsid w:val="51BA678C"/>
    <w:rsid w:val="51D07D5D"/>
    <w:rsid w:val="51F03A65"/>
    <w:rsid w:val="52092F63"/>
    <w:rsid w:val="521079D2"/>
    <w:rsid w:val="52285DEB"/>
    <w:rsid w:val="525C5D72"/>
    <w:rsid w:val="526756F4"/>
    <w:rsid w:val="52FE55DB"/>
    <w:rsid w:val="53B13BBE"/>
    <w:rsid w:val="53E87428"/>
    <w:rsid w:val="53F53638"/>
    <w:rsid w:val="53FA1456"/>
    <w:rsid w:val="5447281C"/>
    <w:rsid w:val="5457361E"/>
    <w:rsid w:val="548C054F"/>
    <w:rsid w:val="54A90D98"/>
    <w:rsid w:val="54E44556"/>
    <w:rsid w:val="54F65EBA"/>
    <w:rsid w:val="551D20A9"/>
    <w:rsid w:val="552B244A"/>
    <w:rsid w:val="55AF412E"/>
    <w:rsid w:val="55CA7971"/>
    <w:rsid w:val="55D27624"/>
    <w:rsid w:val="55E02520"/>
    <w:rsid w:val="56324628"/>
    <w:rsid w:val="56336B0D"/>
    <w:rsid w:val="56636E41"/>
    <w:rsid w:val="567A6E51"/>
    <w:rsid w:val="56B177A9"/>
    <w:rsid w:val="56EC3BB2"/>
    <w:rsid w:val="56F203B4"/>
    <w:rsid w:val="570401B7"/>
    <w:rsid w:val="571915F2"/>
    <w:rsid w:val="57472D83"/>
    <w:rsid w:val="5757205A"/>
    <w:rsid w:val="5794304E"/>
    <w:rsid w:val="579A11F6"/>
    <w:rsid w:val="57EC12DD"/>
    <w:rsid w:val="57FC55AA"/>
    <w:rsid w:val="5802472E"/>
    <w:rsid w:val="5808188D"/>
    <w:rsid w:val="580928E7"/>
    <w:rsid w:val="583E1CF5"/>
    <w:rsid w:val="58551F7D"/>
    <w:rsid w:val="588B0E82"/>
    <w:rsid w:val="58D1429B"/>
    <w:rsid w:val="590429E2"/>
    <w:rsid w:val="590F3861"/>
    <w:rsid w:val="594F4645"/>
    <w:rsid w:val="59AC068E"/>
    <w:rsid w:val="5A5C423C"/>
    <w:rsid w:val="5AA412FE"/>
    <w:rsid w:val="5AB3646E"/>
    <w:rsid w:val="5ABA7A19"/>
    <w:rsid w:val="5AC72F10"/>
    <w:rsid w:val="5B136F0D"/>
    <w:rsid w:val="5B56778E"/>
    <w:rsid w:val="5B840C5F"/>
    <w:rsid w:val="5B885B4D"/>
    <w:rsid w:val="5B964D28"/>
    <w:rsid w:val="5B9A39AB"/>
    <w:rsid w:val="5BBF5DC8"/>
    <w:rsid w:val="5BC44F00"/>
    <w:rsid w:val="5C5E56D9"/>
    <w:rsid w:val="5C9C024C"/>
    <w:rsid w:val="5D002209"/>
    <w:rsid w:val="5D217374"/>
    <w:rsid w:val="5DE81AA6"/>
    <w:rsid w:val="5DE943DE"/>
    <w:rsid w:val="5E0C65C1"/>
    <w:rsid w:val="5E2B51A2"/>
    <w:rsid w:val="5EB62375"/>
    <w:rsid w:val="5EE05174"/>
    <w:rsid w:val="5EF724E5"/>
    <w:rsid w:val="5F0B48EE"/>
    <w:rsid w:val="5F1A2955"/>
    <w:rsid w:val="5F436DCC"/>
    <w:rsid w:val="5F5B667A"/>
    <w:rsid w:val="5F6067D6"/>
    <w:rsid w:val="5F7E78A6"/>
    <w:rsid w:val="5F867CFA"/>
    <w:rsid w:val="5F8F74AA"/>
    <w:rsid w:val="5FD125EC"/>
    <w:rsid w:val="5FFE7DDC"/>
    <w:rsid w:val="602D6CC3"/>
    <w:rsid w:val="603D2D4A"/>
    <w:rsid w:val="605B0CF7"/>
    <w:rsid w:val="60A250CE"/>
    <w:rsid w:val="60D51B08"/>
    <w:rsid w:val="610552EA"/>
    <w:rsid w:val="611364CC"/>
    <w:rsid w:val="61162C50"/>
    <w:rsid w:val="61183586"/>
    <w:rsid w:val="61490A69"/>
    <w:rsid w:val="615A7643"/>
    <w:rsid w:val="616A3AE0"/>
    <w:rsid w:val="617203D0"/>
    <w:rsid w:val="61DD1CB1"/>
    <w:rsid w:val="61EC0543"/>
    <w:rsid w:val="622320AD"/>
    <w:rsid w:val="622929F1"/>
    <w:rsid w:val="62460B06"/>
    <w:rsid w:val="6253724B"/>
    <w:rsid w:val="625F7466"/>
    <w:rsid w:val="626C41FD"/>
    <w:rsid w:val="62AA720C"/>
    <w:rsid w:val="62F7205C"/>
    <w:rsid w:val="62F95108"/>
    <w:rsid w:val="62FB5BED"/>
    <w:rsid w:val="6311467A"/>
    <w:rsid w:val="631840FD"/>
    <w:rsid w:val="63474774"/>
    <w:rsid w:val="634B16C2"/>
    <w:rsid w:val="63670A68"/>
    <w:rsid w:val="637E4DAB"/>
    <w:rsid w:val="638717D9"/>
    <w:rsid w:val="63DD630A"/>
    <w:rsid w:val="640B7773"/>
    <w:rsid w:val="64981C38"/>
    <w:rsid w:val="64A14715"/>
    <w:rsid w:val="64AE2EEE"/>
    <w:rsid w:val="64E71BB9"/>
    <w:rsid w:val="64E75692"/>
    <w:rsid w:val="64F70EA9"/>
    <w:rsid w:val="654F1A47"/>
    <w:rsid w:val="6559389C"/>
    <w:rsid w:val="656C33A5"/>
    <w:rsid w:val="659B473A"/>
    <w:rsid w:val="659C25B2"/>
    <w:rsid w:val="65C03700"/>
    <w:rsid w:val="65EC15AB"/>
    <w:rsid w:val="65F45CF7"/>
    <w:rsid w:val="66541C3F"/>
    <w:rsid w:val="666B40A1"/>
    <w:rsid w:val="671B6AB8"/>
    <w:rsid w:val="673F51E4"/>
    <w:rsid w:val="676752DA"/>
    <w:rsid w:val="67996221"/>
    <w:rsid w:val="67EF2488"/>
    <w:rsid w:val="681E7F53"/>
    <w:rsid w:val="686134C7"/>
    <w:rsid w:val="6869363F"/>
    <w:rsid w:val="68790CF7"/>
    <w:rsid w:val="68B80585"/>
    <w:rsid w:val="68C46127"/>
    <w:rsid w:val="69610B03"/>
    <w:rsid w:val="697A4EF6"/>
    <w:rsid w:val="69A04CD4"/>
    <w:rsid w:val="69A14E77"/>
    <w:rsid w:val="69A714AC"/>
    <w:rsid w:val="69A73642"/>
    <w:rsid w:val="69B407F3"/>
    <w:rsid w:val="69BA4804"/>
    <w:rsid w:val="6A045C96"/>
    <w:rsid w:val="6A1671DC"/>
    <w:rsid w:val="6A5C6700"/>
    <w:rsid w:val="6B17479E"/>
    <w:rsid w:val="6B2A6BD8"/>
    <w:rsid w:val="6B584AFC"/>
    <w:rsid w:val="6B590860"/>
    <w:rsid w:val="6B59453E"/>
    <w:rsid w:val="6B62792F"/>
    <w:rsid w:val="6B7B2B89"/>
    <w:rsid w:val="6BE66EA4"/>
    <w:rsid w:val="6C483FC4"/>
    <w:rsid w:val="6C642F64"/>
    <w:rsid w:val="6CD4200C"/>
    <w:rsid w:val="6CD8037E"/>
    <w:rsid w:val="6D137960"/>
    <w:rsid w:val="6D3A63A1"/>
    <w:rsid w:val="6D88336F"/>
    <w:rsid w:val="6DA305C4"/>
    <w:rsid w:val="6DF66DF1"/>
    <w:rsid w:val="6DF80910"/>
    <w:rsid w:val="6E0D6F64"/>
    <w:rsid w:val="6E5E537C"/>
    <w:rsid w:val="6E6061C6"/>
    <w:rsid w:val="6E627A21"/>
    <w:rsid w:val="6E957640"/>
    <w:rsid w:val="6EE33674"/>
    <w:rsid w:val="6EE442D1"/>
    <w:rsid w:val="6F0B1661"/>
    <w:rsid w:val="6F4921D7"/>
    <w:rsid w:val="6F4C3024"/>
    <w:rsid w:val="6FD2299D"/>
    <w:rsid w:val="70A424D4"/>
    <w:rsid w:val="70BA3726"/>
    <w:rsid w:val="71025602"/>
    <w:rsid w:val="71937D7A"/>
    <w:rsid w:val="71A224E9"/>
    <w:rsid w:val="71D074AE"/>
    <w:rsid w:val="71F43A18"/>
    <w:rsid w:val="72310D3B"/>
    <w:rsid w:val="72741EBA"/>
    <w:rsid w:val="72EA0AEA"/>
    <w:rsid w:val="73253CFE"/>
    <w:rsid w:val="734A6100"/>
    <w:rsid w:val="73767D80"/>
    <w:rsid w:val="738854C1"/>
    <w:rsid w:val="73EB3D22"/>
    <w:rsid w:val="74064BED"/>
    <w:rsid w:val="743B32D1"/>
    <w:rsid w:val="744A1799"/>
    <w:rsid w:val="744B5E8D"/>
    <w:rsid w:val="744E41D8"/>
    <w:rsid w:val="74533BD1"/>
    <w:rsid w:val="74546B21"/>
    <w:rsid w:val="7477393B"/>
    <w:rsid w:val="747948CE"/>
    <w:rsid w:val="750D56A3"/>
    <w:rsid w:val="75126D7A"/>
    <w:rsid w:val="755121D1"/>
    <w:rsid w:val="75A65E27"/>
    <w:rsid w:val="75BA5477"/>
    <w:rsid w:val="75E56AED"/>
    <w:rsid w:val="76832F25"/>
    <w:rsid w:val="769918E2"/>
    <w:rsid w:val="76AA1FA3"/>
    <w:rsid w:val="76BFAF13"/>
    <w:rsid w:val="76F27B63"/>
    <w:rsid w:val="7709593C"/>
    <w:rsid w:val="77537603"/>
    <w:rsid w:val="77D07135"/>
    <w:rsid w:val="77D24FF7"/>
    <w:rsid w:val="77EF22C9"/>
    <w:rsid w:val="783C2C9E"/>
    <w:rsid w:val="784A2730"/>
    <w:rsid w:val="785513ED"/>
    <w:rsid w:val="789336DE"/>
    <w:rsid w:val="78937CF7"/>
    <w:rsid w:val="789C7D13"/>
    <w:rsid w:val="78FBF684"/>
    <w:rsid w:val="799B69BD"/>
    <w:rsid w:val="799C2E68"/>
    <w:rsid w:val="79B37595"/>
    <w:rsid w:val="79DE2F9A"/>
    <w:rsid w:val="79ED6971"/>
    <w:rsid w:val="79FE2D83"/>
    <w:rsid w:val="7A057571"/>
    <w:rsid w:val="7A263419"/>
    <w:rsid w:val="7A410003"/>
    <w:rsid w:val="7A7E02F0"/>
    <w:rsid w:val="7A903C7E"/>
    <w:rsid w:val="7AA33536"/>
    <w:rsid w:val="7AE5776E"/>
    <w:rsid w:val="7AE8472F"/>
    <w:rsid w:val="7B337FEA"/>
    <w:rsid w:val="7B484ED1"/>
    <w:rsid w:val="7B4D35F3"/>
    <w:rsid w:val="7B5F7D7E"/>
    <w:rsid w:val="7B7D91F1"/>
    <w:rsid w:val="7B892793"/>
    <w:rsid w:val="7B8C6D70"/>
    <w:rsid w:val="7BCD5242"/>
    <w:rsid w:val="7BED0CD8"/>
    <w:rsid w:val="7BF369A8"/>
    <w:rsid w:val="7BF88BF8"/>
    <w:rsid w:val="7BFE1E83"/>
    <w:rsid w:val="7C0A1EFB"/>
    <w:rsid w:val="7C490793"/>
    <w:rsid w:val="7CB7F70C"/>
    <w:rsid w:val="7CC455AC"/>
    <w:rsid w:val="7CF32A66"/>
    <w:rsid w:val="7CF57DC6"/>
    <w:rsid w:val="7D673C72"/>
    <w:rsid w:val="7D6FFF83"/>
    <w:rsid w:val="7D71438E"/>
    <w:rsid w:val="7D872250"/>
    <w:rsid w:val="7DB67EA0"/>
    <w:rsid w:val="7DBF21A5"/>
    <w:rsid w:val="7DE93C59"/>
    <w:rsid w:val="7DFBF8B8"/>
    <w:rsid w:val="7E4359DB"/>
    <w:rsid w:val="7E6D67B0"/>
    <w:rsid w:val="7E72183B"/>
    <w:rsid w:val="7E81225C"/>
    <w:rsid w:val="7EFF7F74"/>
    <w:rsid w:val="7F051702"/>
    <w:rsid w:val="7F3F6140"/>
    <w:rsid w:val="7F516B1D"/>
    <w:rsid w:val="7F7B7071"/>
    <w:rsid w:val="7FB33084"/>
    <w:rsid w:val="7FF36331"/>
    <w:rsid w:val="B69FF366"/>
    <w:rsid w:val="B7BE0BB5"/>
    <w:rsid w:val="D15D4F91"/>
    <w:rsid w:val="D1D7919C"/>
    <w:rsid w:val="DE7FF3CC"/>
    <w:rsid w:val="F3FBBAEA"/>
    <w:rsid w:val="FEF185FD"/>
    <w:rsid w:val="FF9FEFB3"/>
    <w:rsid w:val="FFAC0321"/>
    <w:rsid w:val="FFBD4E78"/>
    <w:rsid w:val="FFFF4A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9" w:semiHidden="0" w:name="heading 5" w:locked="1"/>
    <w:lsdException w:qFormat="1" w:uiPriority="99"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39" w:semiHidden="0"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9"/>
    <w:autoRedefine/>
    <w:qFormat/>
    <w:uiPriority w:val="99"/>
    <w:pPr>
      <w:keepNext/>
      <w:keepLines/>
      <w:spacing w:line="576" w:lineRule="auto"/>
      <w:outlineLvl w:val="0"/>
    </w:pPr>
    <w:rPr>
      <w:rFonts w:ascii="Calibri" w:hAnsi="Calibri" w:cs="Calibri"/>
      <w:b/>
      <w:bCs/>
      <w:kern w:val="44"/>
      <w:sz w:val="44"/>
      <w:szCs w:val="44"/>
    </w:rPr>
  </w:style>
  <w:style w:type="paragraph" w:styleId="5">
    <w:name w:val="heading 2"/>
    <w:basedOn w:val="1"/>
    <w:next w:val="1"/>
    <w:link w:val="50"/>
    <w:autoRedefine/>
    <w:qFormat/>
    <w:uiPriority w:val="99"/>
    <w:pPr>
      <w:keepNext/>
      <w:spacing w:line="216" w:lineRule="auto"/>
      <w:outlineLvl w:val="1"/>
    </w:pPr>
    <w:rPr>
      <w:rFonts w:ascii="宋体" w:hAnsi="Calibri" w:cs="宋体"/>
      <w:b/>
      <w:bCs/>
      <w:sz w:val="28"/>
      <w:szCs w:val="28"/>
    </w:rPr>
  </w:style>
  <w:style w:type="paragraph" w:styleId="6">
    <w:name w:val="heading 3"/>
    <w:basedOn w:val="1"/>
    <w:next w:val="1"/>
    <w:link w:val="51"/>
    <w:autoRedefine/>
    <w:qFormat/>
    <w:uiPriority w:val="99"/>
    <w:pPr>
      <w:keepNext/>
      <w:numPr>
        <w:ilvl w:val="0"/>
        <w:numId w:val="1"/>
      </w:numPr>
      <w:spacing w:line="216" w:lineRule="auto"/>
      <w:outlineLvl w:val="2"/>
    </w:pPr>
    <w:rPr>
      <w:rFonts w:ascii="宋体" w:hAnsi="Calibri" w:cs="宋体"/>
      <w:b/>
      <w:bCs/>
      <w:sz w:val="28"/>
      <w:szCs w:val="28"/>
    </w:rPr>
  </w:style>
  <w:style w:type="paragraph" w:styleId="7">
    <w:name w:val="heading 4"/>
    <w:basedOn w:val="1"/>
    <w:next w:val="1"/>
    <w:autoRedefine/>
    <w:qFormat/>
    <w:locked/>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paragraph" w:styleId="8">
    <w:name w:val="heading 5"/>
    <w:basedOn w:val="1"/>
    <w:next w:val="1"/>
    <w:autoRedefine/>
    <w:unhideWhenUsed/>
    <w:qFormat/>
    <w:locked/>
    <w:uiPriority w:val="99"/>
    <w:pPr>
      <w:keepNext/>
      <w:keepLines/>
      <w:widowControl w:val="0"/>
      <w:suppressLineNumbers w:val="0"/>
      <w:adjustRightInd w:val="0"/>
      <w:spacing w:before="280" w:beforeAutospacing="0" w:after="290" w:afterAutospacing="0" w:line="374" w:lineRule="auto"/>
      <w:ind w:left="1008" w:hanging="1008"/>
      <w:jc w:val="both"/>
      <w:outlineLvl w:val="4"/>
    </w:pPr>
    <w:rPr>
      <w:rFonts w:hint="default" w:ascii="Times New Roman" w:hAnsi="Times New Roman" w:eastAsia="宋体" w:cs="Times New Roman"/>
      <w:b/>
      <w:bCs/>
      <w:kern w:val="2"/>
      <w:sz w:val="28"/>
      <w:szCs w:val="28"/>
      <w:lang w:val="en-US" w:eastAsia="zh-CN" w:bidi="ar"/>
    </w:rPr>
  </w:style>
  <w:style w:type="paragraph" w:styleId="9">
    <w:name w:val="heading 6"/>
    <w:basedOn w:val="1"/>
    <w:next w:val="1"/>
    <w:autoRedefine/>
    <w:unhideWhenUsed/>
    <w:qFormat/>
    <w:locked/>
    <w:uiPriority w:val="99"/>
    <w:pPr>
      <w:keepNext/>
      <w:keepLines/>
      <w:widowControl w:val="0"/>
      <w:suppressLineNumbers w:val="0"/>
      <w:adjustRightInd w:val="0"/>
      <w:spacing w:before="240" w:beforeAutospacing="0" w:after="64" w:afterAutospacing="0" w:line="319" w:lineRule="auto"/>
      <w:ind w:left="1151" w:hanging="1151"/>
      <w:jc w:val="both"/>
      <w:outlineLvl w:val="5"/>
    </w:pPr>
    <w:rPr>
      <w:rFonts w:hint="default" w:ascii="Arial" w:hAnsi="Arial" w:eastAsia="黑体" w:cs="Times New Roman"/>
      <w:b/>
      <w:bCs/>
      <w:kern w:val="2"/>
      <w:sz w:val="24"/>
      <w:szCs w:val="24"/>
      <w:lang w:val="en-US" w:eastAsia="zh-CN" w:bidi="ar"/>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after="120" w:line="240" w:lineRule="auto"/>
      <w:ind w:left="420" w:leftChars="200" w:firstLine="420" w:firstLineChars="200"/>
    </w:pPr>
    <w:rPr>
      <w:sz w:val="21"/>
    </w:rPr>
  </w:style>
  <w:style w:type="paragraph" w:customStyle="1" w:styleId="3">
    <w:name w:val="Body Text Indent1"/>
    <w:basedOn w:val="1"/>
    <w:autoRedefine/>
    <w:qFormat/>
    <w:uiPriority w:val="0"/>
    <w:pPr>
      <w:spacing w:line="200" w:lineRule="exact"/>
      <w:ind w:firstLine="301"/>
    </w:pPr>
    <w:rPr>
      <w:rFonts w:ascii="宋体" w:hAnsi="Courier New"/>
      <w:spacing w:val="-4"/>
      <w:kern w:val="2"/>
      <w:sz w:val="18"/>
    </w:rPr>
  </w:style>
  <w:style w:type="paragraph" w:styleId="10">
    <w:name w:val="Normal Indent"/>
    <w:basedOn w:val="1"/>
    <w:autoRedefine/>
    <w:qFormat/>
    <w:uiPriority w:val="99"/>
    <w:pPr>
      <w:ind w:firstLine="420"/>
    </w:pPr>
  </w:style>
  <w:style w:type="paragraph" w:styleId="11">
    <w:name w:val="annotation text"/>
    <w:basedOn w:val="1"/>
    <w:autoRedefine/>
    <w:semiHidden/>
    <w:unhideWhenUsed/>
    <w:qFormat/>
    <w:uiPriority w:val="99"/>
    <w:pPr>
      <w:jc w:val="left"/>
    </w:pPr>
  </w:style>
  <w:style w:type="paragraph" w:styleId="12">
    <w:name w:val="Body Text"/>
    <w:basedOn w:val="1"/>
    <w:next w:val="13"/>
    <w:link w:val="52"/>
    <w:autoRedefine/>
    <w:qFormat/>
    <w:uiPriority w:val="99"/>
  </w:style>
  <w:style w:type="paragraph" w:customStyle="1" w:styleId="13">
    <w:name w:val="Body Text First Indent1"/>
    <w:basedOn w:val="12"/>
    <w:autoRedefine/>
    <w:qFormat/>
    <w:uiPriority w:val="0"/>
    <w:pPr>
      <w:tabs>
        <w:tab w:val="left" w:pos="1275"/>
      </w:tabs>
      <w:ind w:firstLine="420" w:firstLineChars="100"/>
    </w:pPr>
  </w:style>
  <w:style w:type="paragraph" w:styleId="14">
    <w:name w:val="Body Text Indent"/>
    <w:basedOn w:val="1"/>
    <w:link w:val="58"/>
    <w:autoRedefine/>
    <w:qFormat/>
    <w:uiPriority w:val="99"/>
    <w:pPr>
      <w:adjustRightInd w:val="0"/>
      <w:spacing w:line="360" w:lineRule="auto"/>
      <w:ind w:firstLine="490"/>
      <w:jc w:val="left"/>
    </w:pPr>
    <w:rPr>
      <w:rFonts w:ascii="宋体" w:hAnsi="宋体" w:cs="宋体"/>
      <w:sz w:val="24"/>
      <w:szCs w:val="24"/>
    </w:rPr>
  </w:style>
  <w:style w:type="paragraph" w:styleId="15">
    <w:name w:val="Block Text"/>
    <w:basedOn w:val="1"/>
    <w:autoRedefine/>
    <w:qFormat/>
    <w:uiPriority w:val="0"/>
    <w:pPr>
      <w:spacing w:before="120" w:line="360" w:lineRule="auto"/>
      <w:ind w:left="824" w:right="202"/>
    </w:pPr>
    <w:rPr>
      <w:rFonts w:ascii="宋体" w:hAnsi="宋体"/>
      <w:sz w:val="24"/>
      <w:szCs w:val="21"/>
    </w:rPr>
  </w:style>
  <w:style w:type="paragraph" w:styleId="16">
    <w:name w:val="toc 3"/>
    <w:basedOn w:val="1"/>
    <w:next w:val="1"/>
    <w:autoRedefine/>
    <w:semiHidden/>
    <w:qFormat/>
    <w:uiPriority w:val="99"/>
    <w:pPr>
      <w:ind w:left="840" w:leftChars="400"/>
    </w:pPr>
  </w:style>
  <w:style w:type="paragraph" w:styleId="17">
    <w:name w:val="Plain Text"/>
    <w:basedOn w:val="1"/>
    <w:next w:val="1"/>
    <w:link w:val="59"/>
    <w:autoRedefine/>
    <w:qFormat/>
    <w:uiPriority w:val="99"/>
    <w:rPr>
      <w:rFonts w:ascii="宋体" w:hAnsi="Courier New" w:cs="宋体"/>
    </w:rPr>
  </w:style>
  <w:style w:type="paragraph" w:styleId="18">
    <w:name w:val="Date"/>
    <w:basedOn w:val="1"/>
    <w:next w:val="1"/>
    <w:link w:val="60"/>
    <w:autoRedefine/>
    <w:qFormat/>
    <w:uiPriority w:val="99"/>
    <w:pPr>
      <w:ind w:left="100" w:leftChars="2500"/>
    </w:pPr>
    <w:rPr>
      <w:rFonts w:ascii="宋体" w:hAnsi="宋体" w:cs="宋体"/>
      <w:color w:val="000000"/>
      <w:sz w:val="24"/>
      <w:szCs w:val="24"/>
    </w:rPr>
  </w:style>
  <w:style w:type="paragraph" w:styleId="19">
    <w:name w:val="Balloon Text"/>
    <w:basedOn w:val="1"/>
    <w:link w:val="61"/>
    <w:autoRedefine/>
    <w:semiHidden/>
    <w:qFormat/>
    <w:uiPriority w:val="99"/>
    <w:rPr>
      <w:sz w:val="18"/>
      <w:szCs w:val="18"/>
    </w:rPr>
  </w:style>
  <w:style w:type="paragraph" w:styleId="20">
    <w:name w:val="footer"/>
    <w:basedOn w:val="1"/>
    <w:link w:val="62"/>
    <w:autoRedefine/>
    <w:qFormat/>
    <w:uiPriority w:val="99"/>
    <w:pPr>
      <w:tabs>
        <w:tab w:val="center" w:pos="4153"/>
        <w:tab w:val="right" w:pos="8306"/>
      </w:tabs>
      <w:snapToGrid w:val="0"/>
      <w:jc w:val="left"/>
    </w:pPr>
    <w:rPr>
      <w:sz w:val="18"/>
      <w:szCs w:val="18"/>
    </w:rPr>
  </w:style>
  <w:style w:type="paragraph" w:styleId="21">
    <w:name w:val="header"/>
    <w:basedOn w:val="1"/>
    <w:link w:val="63"/>
    <w:autoRedefine/>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22">
    <w:name w:val="toc 1"/>
    <w:basedOn w:val="1"/>
    <w:next w:val="1"/>
    <w:autoRedefine/>
    <w:semiHidden/>
    <w:qFormat/>
    <w:uiPriority w:val="99"/>
  </w:style>
  <w:style w:type="paragraph" w:styleId="23">
    <w:name w:val="toc 4"/>
    <w:basedOn w:val="1"/>
    <w:next w:val="1"/>
    <w:autoRedefine/>
    <w:qFormat/>
    <w:uiPriority w:val="39"/>
    <w:pPr>
      <w:ind w:left="1260" w:leftChars="600"/>
    </w:pPr>
    <w:rPr>
      <w:szCs w:val="24"/>
    </w:rPr>
  </w:style>
  <w:style w:type="paragraph" w:styleId="24">
    <w:name w:val="toc 6"/>
    <w:basedOn w:val="1"/>
    <w:next w:val="1"/>
    <w:autoRedefine/>
    <w:qFormat/>
    <w:uiPriority w:val="0"/>
    <w:pPr>
      <w:spacing w:line="360" w:lineRule="auto"/>
      <w:ind w:left="1200" w:firstLine="200" w:firstLineChars="200"/>
      <w:jc w:val="left"/>
    </w:pPr>
    <w:rPr>
      <w:rFonts w:ascii="Calibri" w:hAnsi="Calibri" w:cs="Calibri"/>
      <w:sz w:val="18"/>
      <w:szCs w:val="18"/>
    </w:rPr>
  </w:style>
  <w:style w:type="paragraph" w:styleId="25">
    <w:name w:val="toc 2"/>
    <w:basedOn w:val="1"/>
    <w:next w:val="1"/>
    <w:autoRedefine/>
    <w:semiHidden/>
    <w:qFormat/>
    <w:uiPriority w:val="99"/>
    <w:pPr>
      <w:ind w:left="420" w:leftChars="200"/>
    </w:pPr>
  </w:style>
  <w:style w:type="paragraph" w:styleId="26">
    <w:name w:val="Body Text 2"/>
    <w:basedOn w:val="1"/>
    <w:autoRedefine/>
    <w:qFormat/>
    <w:uiPriority w:val="0"/>
    <w:pPr>
      <w:spacing w:after="120" w:line="480" w:lineRule="auto"/>
    </w:pPr>
    <w:rPr>
      <w:rFonts w:ascii="Times New Roman" w:hAnsi="Times New Roman"/>
      <w:szCs w:val="20"/>
    </w:rPr>
  </w:style>
  <w:style w:type="paragraph" w:styleId="2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cs="宋体"/>
      <w:sz w:val="24"/>
      <w:szCs w:val="24"/>
    </w:rPr>
  </w:style>
  <w:style w:type="paragraph" w:styleId="29">
    <w:name w:val="Body Text First Indent"/>
    <w:basedOn w:val="12"/>
    <w:next w:val="1"/>
    <w:link w:val="64"/>
    <w:autoRedefine/>
    <w:qFormat/>
    <w:uiPriority w:val="99"/>
    <w:pPr>
      <w:ind w:firstLine="420" w:firstLineChars="100"/>
    </w:pPr>
  </w:style>
  <w:style w:type="paragraph" w:styleId="30">
    <w:name w:val="Body Text First Indent 2"/>
    <w:basedOn w:val="14"/>
    <w:autoRedefine/>
    <w:qFormat/>
    <w:uiPriority w:val="0"/>
    <w:pPr>
      <w:ind w:firstLine="420"/>
    </w:pPr>
  </w:style>
  <w:style w:type="table" w:styleId="32">
    <w:name w:val="Table Grid"/>
    <w:basedOn w:val="31"/>
    <w:autoRedefine/>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99"/>
    <w:rPr>
      <w:b/>
      <w:bCs/>
    </w:rPr>
  </w:style>
  <w:style w:type="character" w:styleId="35">
    <w:name w:val="page number"/>
    <w:basedOn w:val="33"/>
    <w:autoRedefine/>
    <w:qFormat/>
    <w:uiPriority w:val="99"/>
  </w:style>
  <w:style w:type="character" w:styleId="36">
    <w:name w:val="Hyperlink"/>
    <w:basedOn w:val="33"/>
    <w:autoRedefine/>
    <w:qFormat/>
    <w:uiPriority w:val="99"/>
    <w:rPr>
      <w:color w:val="0000FF"/>
      <w:u w:val="single"/>
    </w:rPr>
  </w:style>
  <w:style w:type="paragraph" w:customStyle="1" w:styleId="37">
    <w:name w:val="[Normal]"/>
    <w:autoRedefine/>
    <w:qFormat/>
    <w:uiPriority w:val="0"/>
    <w:rPr>
      <w:rFonts w:ascii="宋体" w:hAnsi="宋体" w:eastAsia="宋体" w:cs="Times New Roman"/>
      <w:sz w:val="24"/>
      <w:szCs w:val="22"/>
      <w:lang w:val="zh-CN" w:eastAsia="zh-CN" w:bidi="ar-SA"/>
    </w:rPr>
  </w:style>
  <w:style w:type="paragraph" w:customStyle="1" w:styleId="38">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
    <w:name w:val="首行缩进"/>
    <w:basedOn w:val="1"/>
    <w:autoRedefine/>
    <w:qFormat/>
    <w:uiPriority w:val="0"/>
    <w:pPr>
      <w:spacing w:line="360" w:lineRule="auto"/>
      <w:ind w:firstLine="480" w:firstLineChars="200"/>
    </w:pPr>
    <w:rPr>
      <w:rFonts w:ascii="宋体"/>
      <w:sz w:val="24"/>
      <w:szCs w:val="20"/>
    </w:rPr>
  </w:style>
  <w:style w:type="paragraph" w:customStyle="1" w:styleId="40">
    <w:name w:val="表格文字"/>
    <w:basedOn w:val="17"/>
    <w:next w:val="12"/>
    <w:autoRedefine/>
    <w:qFormat/>
    <w:uiPriority w:val="0"/>
    <w:pPr>
      <w:adjustRightInd w:val="0"/>
      <w:spacing w:line="420" w:lineRule="atLeast"/>
      <w:textAlignment w:val="baseline"/>
    </w:pPr>
  </w:style>
  <w:style w:type="paragraph" w:customStyle="1" w:styleId="41">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42">
    <w:name w:val="列出段落1"/>
    <w:basedOn w:val="1"/>
    <w:next w:val="1"/>
    <w:autoRedefine/>
    <w:qFormat/>
    <w:uiPriority w:val="99"/>
    <w:pPr>
      <w:ind w:firstLine="420"/>
      <w:jc w:val="left"/>
    </w:pPr>
  </w:style>
  <w:style w:type="paragraph" w:customStyle="1" w:styleId="43">
    <w:name w:val="BodyText1I2"/>
    <w:basedOn w:val="44"/>
    <w:autoRedefine/>
    <w:qFormat/>
    <w:uiPriority w:val="0"/>
    <w:pPr>
      <w:ind w:firstLine="420"/>
    </w:pPr>
    <w:rPr>
      <w:sz w:val="21"/>
    </w:rPr>
  </w:style>
  <w:style w:type="paragraph" w:customStyle="1" w:styleId="44">
    <w:name w:val="BodyTextIndent"/>
    <w:basedOn w:val="1"/>
    <w:next w:val="43"/>
    <w:autoRedefine/>
    <w:qFormat/>
    <w:uiPriority w:val="0"/>
    <w:pPr>
      <w:spacing w:line="360" w:lineRule="auto"/>
      <w:ind w:firstLine="490"/>
      <w:jc w:val="left"/>
    </w:pPr>
    <w:rPr>
      <w:rFonts w:ascii="宋体" w:hAnsi="宋体"/>
      <w:sz w:val="24"/>
    </w:rPr>
  </w:style>
  <w:style w:type="paragraph" w:styleId="45">
    <w:name w:val="Quote"/>
    <w:basedOn w:val="1"/>
    <w:next w:val="1"/>
    <w:autoRedefine/>
    <w:qFormat/>
    <w:uiPriority w:val="0"/>
    <w:pPr>
      <w:wordWrap w:val="0"/>
      <w:spacing w:before="200" w:after="160"/>
      <w:ind w:left="864" w:right="864"/>
      <w:jc w:val="center"/>
    </w:pPr>
    <w:rPr>
      <w:i/>
    </w:rPr>
  </w:style>
  <w:style w:type="paragraph" w:customStyle="1" w:styleId="46">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47">
    <w:name w:val="正文缩进1"/>
    <w:basedOn w:val="1"/>
    <w:autoRedefine/>
    <w:qFormat/>
    <w:uiPriority w:val="0"/>
    <w:pPr>
      <w:ind w:firstLine="420" w:firstLineChars="200"/>
    </w:pPr>
  </w:style>
  <w:style w:type="paragraph" w:customStyle="1" w:styleId="48">
    <w:name w:val="正文（首行缩进2字符）"/>
    <w:basedOn w:val="1"/>
    <w:autoRedefine/>
    <w:qFormat/>
    <w:uiPriority w:val="0"/>
    <w:pPr>
      <w:spacing w:line="360" w:lineRule="auto"/>
      <w:ind w:firstLine="480" w:firstLineChars="200"/>
    </w:pPr>
    <w:rPr>
      <w:sz w:val="24"/>
      <w:szCs w:val="20"/>
    </w:rPr>
  </w:style>
  <w:style w:type="character" w:customStyle="1" w:styleId="49">
    <w:name w:val="标题 1 Char"/>
    <w:basedOn w:val="33"/>
    <w:link w:val="4"/>
    <w:autoRedefine/>
    <w:qFormat/>
    <w:locked/>
    <w:uiPriority w:val="99"/>
    <w:rPr>
      <w:b/>
      <w:bCs/>
      <w:kern w:val="44"/>
      <w:sz w:val="44"/>
      <w:szCs w:val="44"/>
    </w:rPr>
  </w:style>
  <w:style w:type="character" w:customStyle="1" w:styleId="50">
    <w:name w:val="标题 2 Char"/>
    <w:basedOn w:val="33"/>
    <w:link w:val="5"/>
    <w:autoRedefine/>
    <w:qFormat/>
    <w:locked/>
    <w:uiPriority w:val="99"/>
    <w:rPr>
      <w:rFonts w:ascii="宋体" w:cs="宋体"/>
      <w:b/>
      <w:bCs/>
      <w:kern w:val="2"/>
      <w:sz w:val="28"/>
      <w:szCs w:val="28"/>
    </w:rPr>
  </w:style>
  <w:style w:type="character" w:customStyle="1" w:styleId="51">
    <w:name w:val="标题 3 Char"/>
    <w:basedOn w:val="33"/>
    <w:link w:val="6"/>
    <w:autoRedefine/>
    <w:qFormat/>
    <w:locked/>
    <w:uiPriority w:val="99"/>
    <w:rPr>
      <w:rFonts w:ascii="宋体" w:cs="宋体"/>
      <w:b/>
      <w:bCs/>
      <w:kern w:val="2"/>
      <w:sz w:val="28"/>
      <w:szCs w:val="28"/>
    </w:rPr>
  </w:style>
  <w:style w:type="character" w:customStyle="1" w:styleId="52">
    <w:name w:val="正文文本 Char"/>
    <w:basedOn w:val="33"/>
    <w:link w:val="12"/>
    <w:autoRedefine/>
    <w:semiHidden/>
    <w:qFormat/>
    <w:uiPriority w:val="99"/>
    <w:rPr>
      <w:rFonts w:ascii="Times New Roman" w:hAnsi="Times New Roman"/>
      <w:szCs w:val="21"/>
    </w:rPr>
  </w:style>
  <w:style w:type="paragraph" w:customStyle="1" w:styleId="53">
    <w:name w:val="样式 表格正文 + 两端对齐"/>
    <w:basedOn w:val="1"/>
    <w:next w:val="54"/>
    <w:autoRedefine/>
    <w:qFormat/>
    <w:uiPriority w:val="99"/>
    <w:pPr>
      <w:spacing w:line="300" w:lineRule="auto"/>
    </w:pPr>
    <w:rPr>
      <w:sz w:val="24"/>
      <w:szCs w:val="24"/>
    </w:rPr>
  </w:style>
  <w:style w:type="paragraph" w:customStyle="1" w:styleId="54">
    <w:name w:val="正文1"/>
    <w:basedOn w:val="1"/>
    <w:next w:val="55"/>
    <w:autoRedefine/>
    <w:qFormat/>
    <w:uiPriority w:val="99"/>
    <w:pPr>
      <w:widowControl/>
      <w:snapToGrid w:val="0"/>
      <w:spacing w:line="500" w:lineRule="exact"/>
      <w:ind w:firstLine="567"/>
    </w:pPr>
    <w:rPr>
      <w:rFonts w:ascii="楷体_GB2312" w:eastAsia="楷体_GB2312" w:cs="楷体_GB2312"/>
      <w:kern w:val="0"/>
      <w:sz w:val="28"/>
      <w:szCs w:val="28"/>
    </w:rPr>
  </w:style>
  <w:style w:type="paragraph" w:customStyle="1" w:styleId="55">
    <w:name w:val="自动更正"/>
    <w:next w:val="56"/>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xl39"/>
    <w:basedOn w:val="1"/>
    <w:next w:val="57"/>
    <w:autoRedefine/>
    <w:qFormat/>
    <w:uiPriority w:val="99"/>
    <w:pPr>
      <w:widowControl/>
      <w:pBdr>
        <w:top w:val="single" w:color="auto" w:sz="4" w:space="0"/>
        <w:bottom w:val="single" w:color="auto" w:sz="4" w:space="0"/>
        <w:right w:val="single" w:color="auto" w:sz="4" w:space="0"/>
      </w:pBdr>
      <w:spacing w:before="100" w:after="100"/>
      <w:jc w:val="left"/>
      <w:textAlignment w:val="center"/>
    </w:pPr>
    <w:rPr>
      <w:kern w:val="0"/>
    </w:rPr>
  </w:style>
  <w:style w:type="paragraph" w:customStyle="1" w:styleId="57">
    <w:name w:val="分手多日，近况如何？"/>
    <w:next w:val="1"/>
    <w:autoRedefine/>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58">
    <w:name w:val="正文文本缩进 Char"/>
    <w:basedOn w:val="33"/>
    <w:link w:val="14"/>
    <w:autoRedefine/>
    <w:semiHidden/>
    <w:qFormat/>
    <w:uiPriority w:val="99"/>
    <w:rPr>
      <w:rFonts w:ascii="Times New Roman" w:hAnsi="Times New Roman"/>
      <w:szCs w:val="21"/>
    </w:rPr>
  </w:style>
  <w:style w:type="character" w:customStyle="1" w:styleId="59">
    <w:name w:val="纯文本 Char"/>
    <w:basedOn w:val="33"/>
    <w:link w:val="17"/>
    <w:autoRedefine/>
    <w:semiHidden/>
    <w:qFormat/>
    <w:uiPriority w:val="99"/>
    <w:rPr>
      <w:rFonts w:ascii="宋体" w:hAnsi="Courier New" w:cs="Courier New"/>
      <w:szCs w:val="21"/>
    </w:rPr>
  </w:style>
  <w:style w:type="character" w:customStyle="1" w:styleId="60">
    <w:name w:val="日期 Char"/>
    <w:basedOn w:val="33"/>
    <w:link w:val="18"/>
    <w:autoRedefine/>
    <w:semiHidden/>
    <w:qFormat/>
    <w:uiPriority w:val="99"/>
    <w:rPr>
      <w:rFonts w:ascii="Times New Roman" w:hAnsi="Times New Roman"/>
      <w:szCs w:val="21"/>
    </w:rPr>
  </w:style>
  <w:style w:type="character" w:customStyle="1" w:styleId="61">
    <w:name w:val="批注框文本 Char"/>
    <w:basedOn w:val="33"/>
    <w:link w:val="19"/>
    <w:autoRedefine/>
    <w:qFormat/>
    <w:locked/>
    <w:uiPriority w:val="99"/>
    <w:rPr>
      <w:kern w:val="2"/>
      <w:sz w:val="18"/>
      <w:szCs w:val="18"/>
    </w:rPr>
  </w:style>
  <w:style w:type="character" w:customStyle="1" w:styleId="62">
    <w:name w:val="页脚 Char"/>
    <w:basedOn w:val="33"/>
    <w:link w:val="20"/>
    <w:autoRedefine/>
    <w:semiHidden/>
    <w:qFormat/>
    <w:uiPriority w:val="99"/>
    <w:rPr>
      <w:rFonts w:ascii="Times New Roman" w:hAnsi="Times New Roman"/>
      <w:sz w:val="18"/>
      <w:szCs w:val="18"/>
    </w:rPr>
  </w:style>
  <w:style w:type="character" w:customStyle="1" w:styleId="63">
    <w:name w:val="页眉 Char"/>
    <w:basedOn w:val="33"/>
    <w:link w:val="21"/>
    <w:autoRedefine/>
    <w:semiHidden/>
    <w:qFormat/>
    <w:uiPriority w:val="99"/>
    <w:rPr>
      <w:rFonts w:ascii="Times New Roman" w:hAnsi="Times New Roman"/>
      <w:sz w:val="18"/>
      <w:szCs w:val="18"/>
    </w:rPr>
  </w:style>
  <w:style w:type="character" w:customStyle="1" w:styleId="64">
    <w:name w:val="正文首行缩进 Char"/>
    <w:basedOn w:val="52"/>
    <w:link w:val="29"/>
    <w:autoRedefine/>
    <w:semiHidden/>
    <w:qFormat/>
    <w:uiPriority w:val="99"/>
    <w:rPr>
      <w:rFonts w:ascii="Times New Roman" w:hAnsi="Times New Roman"/>
      <w:szCs w:val="21"/>
    </w:rPr>
  </w:style>
  <w:style w:type="paragraph" w:customStyle="1" w:styleId="65">
    <w:name w:val="正文2"/>
    <w:basedOn w:val="26"/>
    <w:autoRedefine/>
    <w:qFormat/>
    <w:uiPriority w:val="99"/>
    <w:pPr>
      <w:adjustRightInd w:val="0"/>
      <w:spacing w:before="156" w:line="360" w:lineRule="auto"/>
      <w:ind w:firstLine="510" w:firstLineChars="200"/>
    </w:pPr>
    <w:rPr>
      <w:sz w:val="24"/>
      <w:szCs w:val="24"/>
    </w:rPr>
  </w:style>
  <w:style w:type="paragraph" w:customStyle="1" w:styleId="66">
    <w:name w:val="List Paragraph1"/>
    <w:basedOn w:val="1"/>
    <w:autoRedefine/>
    <w:qFormat/>
    <w:uiPriority w:val="99"/>
    <w:pPr>
      <w:widowControl/>
      <w:ind w:firstLine="420" w:firstLineChars="200"/>
      <w:jc w:val="left"/>
    </w:pPr>
    <w:rPr>
      <w:rFonts w:ascii="Calibri" w:hAnsi="Calibri" w:cs="Calibri"/>
    </w:rPr>
  </w:style>
  <w:style w:type="character" w:customStyle="1" w:styleId="67">
    <w:name w:val="style81"/>
    <w:autoRedefine/>
    <w:qFormat/>
    <w:uiPriority w:val="99"/>
    <w:rPr>
      <w:sz w:val="20"/>
      <w:szCs w:val="20"/>
    </w:rPr>
  </w:style>
  <w:style w:type="paragraph" w:customStyle="1" w:styleId="68">
    <w:name w:val="表格"/>
    <w:basedOn w:val="1"/>
    <w:autoRedefine/>
    <w:qFormat/>
    <w:uiPriority w:val="99"/>
    <w:pPr>
      <w:autoSpaceDE w:val="0"/>
      <w:autoSpaceDN w:val="0"/>
      <w:jc w:val="center"/>
      <w:textAlignment w:val="baseline"/>
    </w:pPr>
    <w:rPr>
      <w:color w:val="000000"/>
      <w:kern w:val="0"/>
    </w:rPr>
  </w:style>
  <w:style w:type="character" w:customStyle="1" w:styleId="69">
    <w:name w:val="02 Char"/>
    <w:link w:val="70"/>
    <w:autoRedefine/>
    <w:qFormat/>
    <w:locked/>
    <w:uiPriority w:val="99"/>
    <w:rPr>
      <w:rFonts w:ascii="宋体" w:cs="宋体"/>
      <w:b/>
      <w:bCs/>
      <w:color w:val="FF0000"/>
      <w:kern w:val="2"/>
      <w:sz w:val="28"/>
      <w:szCs w:val="28"/>
    </w:rPr>
  </w:style>
  <w:style w:type="paragraph" w:customStyle="1" w:styleId="70">
    <w:name w:val="02"/>
    <w:basedOn w:val="5"/>
    <w:link w:val="69"/>
    <w:autoRedefine/>
    <w:qFormat/>
    <w:uiPriority w:val="99"/>
    <w:pPr>
      <w:jc w:val="center"/>
    </w:pPr>
    <w:rPr>
      <w:color w:val="FF0000"/>
    </w:rPr>
  </w:style>
  <w:style w:type="character" w:customStyle="1" w:styleId="71">
    <w:name w:val="03 Char"/>
    <w:link w:val="72"/>
    <w:autoRedefine/>
    <w:qFormat/>
    <w:locked/>
    <w:uiPriority w:val="99"/>
    <w:rPr>
      <w:rFonts w:ascii="宋体" w:cs="宋体"/>
      <w:b/>
      <w:bCs/>
      <w:kern w:val="2"/>
      <w:sz w:val="28"/>
      <w:szCs w:val="28"/>
    </w:rPr>
  </w:style>
  <w:style w:type="paragraph" w:customStyle="1" w:styleId="72">
    <w:name w:val="03"/>
    <w:basedOn w:val="6"/>
    <w:link w:val="71"/>
    <w:autoRedefine/>
    <w:qFormat/>
    <w:uiPriority w:val="99"/>
    <w:pPr>
      <w:numPr>
        <w:ilvl w:val="0"/>
        <w:numId w:val="0"/>
      </w:numPr>
    </w:pPr>
  </w:style>
  <w:style w:type="character" w:customStyle="1" w:styleId="73">
    <w:name w:val="宋体小四 Char"/>
    <w:link w:val="74"/>
    <w:autoRedefine/>
    <w:qFormat/>
    <w:locked/>
    <w:uiPriority w:val="99"/>
    <w:rPr>
      <w:rFonts w:ascii="宋体" w:eastAsia="宋体" w:cs="宋体"/>
      <w:kern w:val="2"/>
      <w:sz w:val="24"/>
      <w:szCs w:val="24"/>
    </w:rPr>
  </w:style>
  <w:style w:type="paragraph" w:customStyle="1" w:styleId="74">
    <w:name w:val="宋体小四"/>
    <w:basedOn w:val="1"/>
    <w:link w:val="73"/>
    <w:autoRedefine/>
    <w:qFormat/>
    <w:uiPriority w:val="99"/>
    <w:pPr>
      <w:spacing w:line="360" w:lineRule="auto"/>
      <w:ind w:firstLine="480" w:firstLineChars="200"/>
    </w:pPr>
    <w:rPr>
      <w:rFonts w:ascii="宋体" w:hAnsi="宋体" w:cs="宋体"/>
      <w:sz w:val="24"/>
      <w:szCs w:val="24"/>
    </w:rPr>
  </w:style>
  <w:style w:type="character" w:customStyle="1" w:styleId="75">
    <w:name w:val="fontstyle01"/>
    <w:basedOn w:val="33"/>
    <w:autoRedefine/>
    <w:qFormat/>
    <w:uiPriority w:val="99"/>
    <w:rPr>
      <w:rFonts w:ascii="宋体" w:eastAsia="宋体" w:cs="宋体"/>
      <w:color w:val="000000"/>
      <w:sz w:val="22"/>
      <w:szCs w:val="22"/>
    </w:rPr>
  </w:style>
  <w:style w:type="paragraph" w:customStyle="1" w:styleId="76">
    <w:name w:val="正文首行缩进2字符"/>
    <w:basedOn w:val="1"/>
    <w:autoRedefine/>
    <w:qFormat/>
    <w:uiPriority w:val="99"/>
    <w:pPr>
      <w:spacing w:line="360" w:lineRule="auto"/>
      <w:ind w:firstLine="200" w:firstLineChars="200"/>
    </w:pPr>
  </w:style>
  <w:style w:type="paragraph" w:customStyle="1" w:styleId="77">
    <w:name w:val="居中表格内容标题"/>
    <w:basedOn w:val="78"/>
    <w:autoRedefine/>
    <w:qFormat/>
    <w:uiPriority w:val="0"/>
    <w:pPr>
      <w:jc w:val="center"/>
    </w:pPr>
    <w:rPr>
      <w:b/>
    </w:rPr>
  </w:style>
  <w:style w:type="paragraph" w:customStyle="1" w:styleId="78">
    <w:name w:val="居中表格内容"/>
    <w:basedOn w:val="1"/>
    <w:next w:val="1"/>
    <w:autoRedefine/>
    <w:qFormat/>
    <w:uiPriority w:val="0"/>
    <w:pPr>
      <w:jc w:val="left"/>
    </w:pPr>
    <w:rPr>
      <w:szCs w:val="28"/>
    </w:rPr>
  </w:style>
  <w:style w:type="paragraph" w:customStyle="1" w:styleId="79">
    <w:name w:val="Body text|1"/>
    <w:basedOn w:val="1"/>
    <w:autoRedefine/>
    <w:qFormat/>
    <w:uiPriority w:val="0"/>
    <w:pPr>
      <w:spacing w:line="374" w:lineRule="auto"/>
      <w:ind w:firstLine="400"/>
    </w:pPr>
    <w:rPr>
      <w:rFonts w:ascii="宋体" w:hAnsi="宋体" w:cs="宋体"/>
      <w:sz w:val="30"/>
      <w:szCs w:val="30"/>
      <w:lang w:val="zh-TW" w:eastAsia="zh-TW" w:bidi="zh-TW"/>
    </w:rPr>
  </w:style>
  <w:style w:type="paragraph" w:customStyle="1" w:styleId="80">
    <w:name w:val="Body text|2"/>
    <w:basedOn w:val="1"/>
    <w:autoRedefine/>
    <w:qFormat/>
    <w:uiPriority w:val="0"/>
    <w:pPr>
      <w:spacing w:line="360" w:lineRule="auto"/>
      <w:ind w:firstLine="660"/>
    </w:pPr>
    <w:rPr>
      <w:sz w:val="32"/>
      <w:szCs w:val="32"/>
      <w:lang w:val="zh-TW" w:eastAsia="zh-TW" w:bidi="zh-TW"/>
    </w:rPr>
  </w:style>
  <w:style w:type="character" w:customStyle="1" w:styleId="81">
    <w:name w:val="NormalCharacter"/>
    <w:autoRedefine/>
    <w:semiHidden/>
    <w:qFormat/>
    <w:uiPriority w:val="0"/>
  </w:style>
  <w:style w:type="paragraph" w:customStyle="1" w:styleId="82">
    <w:name w:val="CM26"/>
    <w:basedOn w:val="1"/>
    <w:next w:val="1"/>
    <w:autoRedefine/>
    <w:qFormat/>
    <w:uiPriority w:val="0"/>
    <w:pPr>
      <w:autoSpaceDE w:val="0"/>
      <w:autoSpaceDN w:val="0"/>
      <w:adjustRightInd w:val="0"/>
      <w:spacing w:line="400" w:lineRule="atLeast"/>
      <w:jc w:val="left"/>
    </w:pPr>
    <w:rPr>
      <w:rFonts w:ascii="宋体" w:hAnsi="宋体"/>
      <w:kern w:val="0"/>
      <w:sz w:val="24"/>
    </w:rPr>
  </w:style>
  <w:style w:type="paragraph" w:customStyle="1" w:styleId="83">
    <w:name w:val="xc正文"/>
    <w:basedOn w:val="1"/>
    <w:autoRedefine/>
    <w:qFormat/>
    <w:uiPriority w:val="0"/>
    <w:pPr>
      <w:ind w:firstLine="200" w:firstLineChars="200"/>
    </w:pPr>
    <w:rPr>
      <w:szCs w:val="24"/>
    </w:rPr>
  </w:style>
  <w:style w:type="paragraph" w:styleId="84">
    <w:name w:val="List Paragraph"/>
    <w:basedOn w:val="1"/>
    <w:autoRedefine/>
    <w:qFormat/>
    <w:uiPriority w:val="1"/>
    <w:pPr>
      <w:ind w:firstLine="420" w:firstLineChars="200"/>
    </w:pPr>
    <w:rPr>
      <w:szCs w:val="24"/>
    </w:rPr>
  </w:style>
  <w:style w:type="character" w:customStyle="1" w:styleId="85">
    <w:name w:val="fontstyle21"/>
    <w:autoRedefine/>
    <w:qFormat/>
    <w:uiPriority w:val="0"/>
    <w:rPr>
      <w:rFonts w:hint="default" w:ascii="TimesNewRomanPSMT" w:hAnsi="TimesNewRomanPSMT"/>
      <w:color w:val="000000"/>
      <w:sz w:val="32"/>
      <w:szCs w:val="32"/>
    </w:rPr>
  </w:style>
  <w:style w:type="paragraph" w:customStyle="1" w:styleId="86">
    <w:name w:val="_Style 16"/>
    <w:next w:val="1"/>
    <w:autoRedefine/>
    <w:qFormat/>
    <w:uiPriority w:val="39"/>
    <w:pPr>
      <w:widowControl w:val="0"/>
      <w:tabs>
        <w:tab w:val="left" w:pos="540"/>
        <w:tab w:val="right" w:leader="dot" w:pos="8890"/>
      </w:tabs>
      <w:spacing w:beforeLines="15" w:afterLines="15" w:line="560" w:lineRule="exact"/>
    </w:pPr>
    <w:rPr>
      <w:rFonts w:ascii="Times New Roman" w:hAnsi="Times New Roman" w:eastAsia="黑体" w:cs="Times New Roman"/>
      <w:b/>
      <w:bCs/>
      <w:caps/>
      <w:kern w:val="2"/>
      <w:sz w:val="28"/>
      <w:szCs w:val="28"/>
      <w:lang w:val="en-US" w:eastAsia="zh-CN" w:bidi="ar-SA"/>
    </w:rPr>
  </w:style>
  <w:style w:type="paragraph" w:customStyle="1" w:styleId="87">
    <w:name w:val="_Style 76"/>
    <w:basedOn w:val="1"/>
    <w:next w:val="84"/>
    <w:autoRedefine/>
    <w:qFormat/>
    <w:uiPriority w:val="34"/>
    <w:pPr>
      <w:ind w:firstLine="420" w:firstLineChars="200"/>
    </w:pPr>
    <w:rPr>
      <w:szCs w:val="24"/>
    </w:rPr>
  </w:style>
  <w:style w:type="paragraph" w:customStyle="1" w:styleId="88">
    <w:name w:val="纯文本1"/>
    <w:basedOn w:val="1"/>
    <w:autoRedefine/>
    <w:qFormat/>
    <w:uiPriority w:val="0"/>
    <w:pPr>
      <w:ind w:firstLine="280" w:firstLineChars="100"/>
    </w:pPr>
    <w:rPr>
      <w:rFonts w:hAnsi="宋体" w:cs="Courier New"/>
    </w:rPr>
  </w:style>
  <w:style w:type="paragraph" w:customStyle="1" w:styleId="89">
    <w:name w:val="居中表名"/>
    <w:basedOn w:val="1"/>
    <w:next w:val="1"/>
    <w:autoRedefine/>
    <w:qFormat/>
    <w:uiPriority w:val="0"/>
    <w:pPr>
      <w:jc w:val="center"/>
    </w:pPr>
    <w:rPr>
      <w:rFonts w:eastAsia="黑体"/>
      <w:b/>
      <w:szCs w:val="28"/>
    </w:rPr>
  </w:style>
  <w:style w:type="paragraph" w:customStyle="1" w:styleId="90">
    <w:name w:val="列表段落1"/>
    <w:basedOn w:val="1"/>
    <w:autoRedefine/>
    <w:qFormat/>
    <w:uiPriority w:val="0"/>
    <w:pPr>
      <w:ind w:firstLine="420"/>
    </w:pPr>
  </w:style>
  <w:style w:type="paragraph" w:customStyle="1" w:styleId="91">
    <w:name w:val="列出段落2"/>
    <w:basedOn w:val="1"/>
    <w:autoRedefine/>
    <w:qFormat/>
    <w:uiPriority w:val="1"/>
    <w:pPr>
      <w:ind w:firstLine="420" w:firstLineChars="200"/>
    </w:pPr>
    <w:rPr>
      <w:szCs w:val="24"/>
    </w:rPr>
  </w:style>
  <w:style w:type="character" w:customStyle="1" w:styleId="92">
    <w:name w:val="font21"/>
    <w:autoRedefine/>
    <w:qFormat/>
    <w:uiPriority w:val="0"/>
    <w:rPr>
      <w:rFonts w:hint="eastAsia" w:ascii="宋体" w:hAnsi="宋体" w:eastAsia="宋体" w:cs="宋体"/>
      <w:b/>
      <w:color w:val="FF0000"/>
      <w:sz w:val="24"/>
      <w:szCs w:val="24"/>
      <w:u w:val="none"/>
    </w:rPr>
  </w:style>
  <w:style w:type="paragraph" w:customStyle="1" w:styleId="93">
    <w:name w:val="样式6"/>
    <w:basedOn w:val="17"/>
    <w:autoRedefine/>
    <w:qFormat/>
    <w:uiPriority w:val="0"/>
    <w:pPr>
      <w:adjustRightInd w:val="0"/>
      <w:spacing w:line="460" w:lineRule="exact"/>
      <w:outlineLvl w:val="2"/>
    </w:pPr>
    <w:rPr>
      <w:rFonts w:ascii="仿宋_GB2312" w:hAnsi="宋体" w:eastAsia="仿宋_GB2312" w:cs="Times New Roman"/>
      <w:b/>
      <w:bCs/>
      <w:sz w:val="24"/>
      <w:szCs w:val="24"/>
    </w:rPr>
  </w:style>
  <w:style w:type="paragraph" w:customStyle="1" w:styleId="94">
    <w:name w:val="Plain Text"/>
    <w:basedOn w:val="1"/>
    <w:autoRedefine/>
    <w:qFormat/>
    <w:uiPriority w:val="0"/>
    <w:rPr>
      <w:rFonts w:hint="eastAsia" w:ascii="宋体" w:hAnsi="Courier New"/>
      <w:szCs w:val="20"/>
    </w:rPr>
  </w:style>
  <w:style w:type="paragraph" w:customStyle="1" w:styleId="95">
    <w:name w:val="p0"/>
    <w:basedOn w:val="1"/>
    <w:autoRedefine/>
    <w:qFormat/>
    <w:uiPriority w:val="99"/>
    <w:pPr>
      <w:widowControl/>
    </w:pPr>
    <w:rPr>
      <w:kern w:val="0"/>
      <w:szCs w:val="21"/>
    </w:rPr>
  </w:style>
  <w:style w:type="paragraph" w:customStyle="1" w:styleId="96">
    <w:name w:val="*正文"/>
    <w:basedOn w:val="1"/>
    <w:autoRedefine/>
    <w:qFormat/>
    <w:uiPriority w:val="0"/>
    <w:pPr>
      <w:spacing w:line="300" w:lineRule="auto"/>
      <w:ind w:firstLine="480"/>
    </w:pPr>
    <w:rPr>
      <w:rFonts w:ascii="宋体" w:hAnsi="宋体"/>
      <w:kern w:val="0"/>
      <w:sz w:val="20"/>
      <w:szCs w:val="21"/>
    </w:rPr>
  </w:style>
  <w:style w:type="table" w:customStyle="1" w:styleId="97">
    <w:name w:val="网格型1"/>
    <w:basedOn w:val="31"/>
    <w:autoRedefine/>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98">
    <w:name w:val="Default"/>
    <w:next w:val="99"/>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99">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100">
    <w:name w:val="样式1"/>
    <w:basedOn w:val="1"/>
    <w:autoRedefine/>
    <w:qFormat/>
    <w:uiPriority w:val="0"/>
    <w:pPr>
      <w:widowControl/>
      <w:ind w:firstLine="0" w:firstLineChars="0"/>
      <w:jc w:val="center"/>
    </w:pPr>
    <w:rPr>
      <w:rFonts w:hint="eastAsia" w:ascii="宋体" w:hAnsi="宋体" w:eastAsia="宋体"/>
      <w:szCs w:val="20"/>
    </w:rPr>
  </w:style>
  <w:style w:type="paragraph" w:customStyle="1" w:styleId="10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51</Pages>
  <Words>16985</Words>
  <Characters>18149</Characters>
  <Lines>1</Lines>
  <Paragraphs>1</Paragraphs>
  <TotalTime>13</TotalTime>
  <ScaleCrop>false</ScaleCrop>
  <LinksUpToDate>false</LinksUpToDate>
  <CharactersWithSpaces>18380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2021-12-06T19:03:00Z</dcterms:created>
  <dc:creator>陈圣楠</dc:creator>
  <cp:lastModifiedBy>Administrator</cp:lastModifiedBy>
  <cp:lastPrinted>2023-05-23T07:11:00Z</cp:lastPrinted>
  <dcterms:modified xsi:type="dcterms:W3CDTF">2025-01-14T05:58:05Z</dcterms:modified>
  <dc:title>上虞区自然资源变更监测项目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D203EF5CB51148C892055BBDF21A281D_13</vt:lpwstr>
  </property>
  <property fmtid="{D5CDD505-2E9C-101B-9397-08002B2CF9AE}" pid="4" name="commondata">
    <vt:lpwstr>eyJoZGlkIjoiNjY1YWU2ZTk2MGU1NDNlZGY5MzE0NzM2ODJlNDA4NTkifQ==</vt:lpwstr>
  </property>
  <property fmtid="{D5CDD505-2E9C-101B-9397-08002B2CF9AE}" pid="5" name="KSOTemplateDocerSaveRecord">
    <vt:lpwstr>eyJoZGlkIjoiNzMzMDVmMzExYmQ1MWZjZjJlMmQwZDcwY2MyOTg4M2UiLCJ1c2VySWQiOiIxMjA2OTAzMDUyIn0=</vt:lpwstr>
  </property>
</Properties>
</file>