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889BD">
      <w:pPr>
        <w:pStyle w:val="6"/>
        <w:jc w:val="center"/>
        <w:rPr>
          <w:rFonts w:hint="eastAsia" w:ascii="宋体" w:hAnsi="宋体" w:cs="宋体"/>
          <w:b/>
          <w:bCs/>
          <w:color w:val="auto"/>
          <w:sz w:val="44"/>
          <w:szCs w:val="44"/>
          <w:highlight w:val="none"/>
          <w:lang w:eastAsia="zh-CN"/>
        </w:rPr>
      </w:pPr>
    </w:p>
    <w:p w14:paraId="1BA05823">
      <w:pPr>
        <w:pStyle w:val="6"/>
        <w:jc w:val="center"/>
        <w:rPr>
          <w:rFonts w:hint="default" w:ascii="宋体" w:hAnsi="宋体" w:eastAsia="宋体" w:cs="宋体"/>
          <w:b/>
          <w:bCs/>
          <w:color w:val="auto"/>
          <w:sz w:val="44"/>
          <w:szCs w:val="44"/>
          <w:highlight w:val="none"/>
          <w:lang w:val="en-US"/>
        </w:rPr>
      </w:pPr>
      <w:r>
        <w:rPr>
          <w:rFonts w:hint="eastAsia" w:ascii="宋体" w:hAnsi="宋体" w:cs="宋体"/>
          <w:b/>
          <w:bCs/>
          <w:color w:val="auto"/>
          <w:sz w:val="44"/>
          <w:szCs w:val="44"/>
          <w:highlight w:val="none"/>
          <w:lang w:eastAsia="zh-CN"/>
        </w:rPr>
        <w:t>2024年上虞区企业信用云平台服务器等设备维保服务</w:t>
      </w:r>
      <w:r>
        <w:rPr>
          <w:rFonts w:hint="eastAsia" w:ascii="宋体" w:hAnsi="宋体" w:cs="宋体"/>
          <w:b/>
          <w:bCs/>
          <w:color w:val="auto"/>
          <w:sz w:val="44"/>
          <w:szCs w:val="44"/>
          <w:highlight w:val="none"/>
          <w:lang w:val="en-US" w:eastAsia="zh-CN"/>
        </w:rPr>
        <w:t>项目</w:t>
      </w:r>
    </w:p>
    <w:p w14:paraId="5A61983D">
      <w:pPr>
        <w:pStyle w:val="6"/>
        <w:rPr>
          <w:rFonts w:hint="eastAsia" w:ascii="宋体" w:hAnsi="宋体" w:eastAsia="宋体" w:cs="宋体"/>
          <w:b/>
          <w:bCs/>
          <w:color w:val="auto"/>
          <w:sz w:val="44"/>
          <w:szCs w:val="44"/>
          <w:highlight w:val="none"/>
        </w:rPr>
      </w:pPr>
    </w:p>
    <w:p w14:paraId="25CBCE42">
      <w:pPr>
        <w:pStyle w:val="6"/>
        <w:rPr>
          <w:rFonts w:hint="eastAsia" w:ascii="宋体" w:hAnsi="宋体" w:eastAsia="宋体" w:cs="宋体"/>
          <w:b/>
          <w:bCs/>
          <w:color w:val="auto"/>
          <w:sz w:val="44"/>
          <w:szCs w:val="44"/>
          <w:highlight w:val="none"/>
        </w:rPr>
      </w:pPr>
    </w:p>
    <w:p w14:paraId="2173B1DE">
      <w:pPr>
        <w:pStyle w:val="6"/>
        <w:rPr>
          <w:rFonts w:hint="eastAsia" w:ascii="宋体" w:hAnsi="宋体" w:eastAsia="宋体" w:cs="宋体"/>
          <w:b/>
          <w:bCs/>
          <w:color w:val="auto"/>
          <w:sz w:val="44"/>
          <w:szCs w:val="44"/>
          <w:highlight w:val="none"/>
        </w:rPr>
      </w:pPr>
    </w:p>
    <w:p w14:paraId="6F6A3611">
      <w:pPr>
        <w:pStyle w:val="6"/>
        <w:rPr>
          <w:rFonts w:hint="eastAsia" w:ascii="宋体" w:hAnsi="宋体" w:eastAsia="宋体" w:cs="宋体"/>
          <w:color w:val="auto"/>
          <w:highlight w:val="none"/>
        </w:rPr>
      </w:pPr>
    </w:p>
    <w:p w14:paraId="00D85806">
      <w:pPr>
        <w:spacing w:line="360" w:lineRule="auto"/>
        <w:jc w:val="center"/>
        <w:rPr>
          <w:rFonts w:hint="eastAsia" w:ascii="宋体" w:hAnsi="宋体" w:eastAsia="宋体" w:cs="宋体"/>
          <w:b/>
          <w:bCs/>
          <w:color w:val="auto"/>
          <w:sz w:val="72"/>
          <w:szCs w:val="72"/>
          <w:highlight w:val="none"/>
        </w:rPr>
      </w:pPr>
    </w:p>
    <w:p w14:paraId="053A1DFC">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72"/>
          <w:szCs w:val="72"/>
          <w:highlight w:val="none"/>
        </w:rPr>
        <w:t>竞争性磋商文件</w:t>
      </w:r>
    </w:p>
    <w:p w14:paraId="55390390">
      <w:pPr>
        <w:spacing w:line="360" w:lineRule="auto"/>
        <w:jc w:val="center"/>
        <w:rPr>
          <w:rFonts w:hint="eastAsia" w:ascii="宋体" w:hAnsi="宋体" w:eastAsia="宋体" w:cs="宋体"/>
          <w:b/>
          <w:bCs/>
          <w:color w:val="auto"/>
          <w:sz w:val="24"/>
          <w:szCs w:val="24"/>
          <w:highlight w:val="none"/>
        </w:rPr>
      </w:pPr>
    </w:p>
    <w:p w14:paraId="6E94CC51">
      <w:pPr>
        <w:snapToGrid w:val="0"/>
        <w:spacing w:line="360" w:lineRule="auto"/>
        <w:jc w:val="center"/>
        <w:rPr>
          <w:rFonts w:hint="default" w:ascii="宋体" w:hAnsi="宋体" w:eastAsia="宋体" w:cs="宋体"/>
          <w:color w:val="auto"/>
          <w:sz w:val="30"/>
          <w:szCs w:val="30"/>
          <w:highlight w:val="none"/>
          <w:u w:val="single"/>
          <w:lang w:val="en-US" w:eastAsia="zh-CN"/>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u w:val="none"/>
          <w:lang w:val="en-US" w:eastAsia="zh-CN"/>
        </w:rPr>
        <w:t>CY2024041</w:t>
      </w:r>
    </w:p>
    <w:p w14:paraId="7BA82292">
      <w:pPr>
        <w:snapToGrid w:val="0"/>
        <w:spacing w:line="360" w:lineRule="auto"/>
        <w:ind w:firstLine="2301" w:firstLineChars="767"/>
        <w:jc w:val="left"/>
        <w:rPr>
          <w:rFonts w:hint="eastAsia" w:ascii="宋体" w:hAnsi="宋体" w:eastAsia="宋体" w:cs="宋体"/>
          <w:color w:val="auto"/>
          <w:sz w:val="30"/>
          <w:szCs w:val="30"/>
          <w:highlight w:val="none"/>
        </w:rPr>
      </w:pPr>
    </w:p>
    <w:p w14:paraId="406F35B6">
      <w:pPr>
        <w:spacing w:line="360" w:lineRule="auto"/>
        <w:rPr>
          <w:rFonts w:hint="eastAsia" w:ascii="宋体" w:hAnsi="宋体" w:eastAsia="宋体" w:cs="宋体"/>
          <w:color w:val="auto"/>
          <w:sz w:val="28"/>
          <w:szCs w:val="28"/>
          <w:highlight w:val="none"/>
        </w:rPr>
      </w:pPr>
    </w:p>
    <w:p w14:paraId="670D8CCF">
      <w:pPr>
        <w:pStyle w:val="14"/>
        <w:rPr>
          <w:rFonts w:hint="eastAsia" w:ascii="宋体" w:hAnsi="宋体" w:eastAsia="宋体" w:cs="宋体"/>
          <w:color w:val="auto"/>
          <w:highlight w:val="none"/>
        </w:rPr>
      </w:pPr>
    </w:p>
    <w:p w14:paraId="10D4DE3E">
      <w:pPr>
        <w:spacing w:line="360" w:lineRule="auto"/>
        <w:jc w:val="center"/>
        <w:rPr>
          <w:rFonts w:hint="eastAsia" w:ascii="宋体" w:hAnsi="宋体" w:eastAsia="宋体" w:cs="宋体"/>
          <w:color w:val="auto"/>
          <w:sz w:val="24"/>
          <w:szCs w:val="24"/>
          <w:highlight w:val="none"/>
        </w:rPr>
      </w:pPr>
    </w:p>
    <w:p w14:paraId="3F0A799F">
      <w:pPr>
        <w:spacing w:line="360" w:lineRule="auto"/>
        <w:jc w:val="center"/>
        <w:rPr>
          <w:rFonts w:hint="eastAsia" w:ascii="宋体" w:hAnsi="宋体" w:eastAsia="宋体" w:cs="宋体"/>
          <w:color w:val="auto"/>
          <w:sz w:val="24"/>
          <w:szCs w:val="24"/>
          <w:highlight w:val="none"/>
        </w:rPr>
      </w:pPr>
    </w:p>
    <w:p w14:paraId="1DB4BC44">
      <w:pPr>
        <w:pStyle w:val="6"/>
        <w:rPr>
          <w:rFonts w:hint="eastAsia" w:ascii="宋体" w:hAnsi="宋体" w:eastAsia="宋体" w:cs="宋体"/>
          <w:color w:val="auto"/>
          <w:sz w:val="24"/>
          <w:szCs w:val="24"/>
          <w:highlight w:val="none"/>
        </w:rPr>
      </w:pPr>
    </w:p>
    <w:p w14:paraId="298973FC">
      <w:pPr>
        <w:pStyle w:val="6"/>
        <w:rPr>
          <w:rFonts w:hint="eastAsia" w:ascii="宋体" w:hAnsi="宋体" w:eastAsia="宋体" w:cs="宋体"/>
          <w:color w:val="auto"/>
          <w:sz w:val="24"/>
          <w:szCs w:val="24"/>
          <w:highlight w:val="none"/>
        </w:rPr>
      </w:pPr>
    </w:p>
    <w:p w14:paraId="08B924FB">
      <w:pPr>
        <w:pStyle w:val="6"/>
        <w:rPr>
          <w:rFonts w:hint="eastAsia" w:ascii="宋体" w:hAnsi="宋体" w:eastAsia="宋体" w:cs="宋体"/>
          <w:color w:val="auto"/>
          <w:sz w:val="24"/>
          <w:szCs w:val="24"/>
          <w:highlight w:val="none"/>
        </w:rPr>
      </w:pPr>
    </w:p>
    <w:p w14:paraId="6B2B3056">
      <w:pPr>
        <w:pStyle w:val="6"/>
        <w:rPr>
          <w:rFonts w:hint="eastAsia" w:ascii="宋体" w:hAnsi="宋体" w:eastAsia="宋体" w:cs="宋体"/>
          <w:color w:val="auto"/>
          <w:sz w:val="24"/>
          <w:szCs w:val="24"/>
          <w:highlight w:val="none"/>
        </w:rPr>
      </w:pPr>
    </w:p>
    <w:p w14:paraId="649FDF8C">
      <w:pPr>
        <w:spacing w:line="360" w:lineRule="auto"/>
        <w:jc w:val="center"/>
        <w:rPr>
          <w:rFonts w:hint="eastAsia" w:ascii="宋体" w:hAnsi="宋体" w:eastAsia="宋体" w:cs="宋体"/>
          <w:color w:val="auto"/>
          <w:sz w:val="24"/>
          <w:szCs w:val="24"/>
          <w:highlight w:val="none"/>
        </w:rPr>
      </w:pPr>
    </w:p>
    <w:p w14:paraId="29E842CE">
      <w:pPr>
        <w:spacing w:line="360" w:lineRule="auto"/>
        <w:jc w:val="center"/>
        <w:rPr>
          <w:rFonts w:hint="eastAsia" w:ascii="宋体" w:hAnsi="宋体" w:eastAsia="宋体" w:cs="宋体"/>
          <w:color w:val="auto"/>
          <w:sz w:val="24"/>
          <w:szCs w:val="24"/>
          <w:highlight w:val="none"/>
        </w:rPr>
      </w:pPr>
    </w:p>
    <w:p w14:paraId="3FA508AB">
      <w:pPr>
        <w:spacing w:line="360" w:lineRule="auto"/>
        <w:jc w:val="center"/>
        <w:rPr>
          <w:rFonts w:hint="eastAsia" w:ascii="宋体" w:hAnsi="宋体" w:eastAsia="宋体" w:cs="宋体"/>
          <w:color w:val="auto"/>
          <w:sz w:val="24"/>
          <w:szCs w:val="24"/>
          <w:highlight w:val="none"/>
        </w:rPr>
      </w:pPr>
    </w:p>
    <w:p w14:paraId="3F7263FF">
      <w:pPr>
        <w:snapToGrid w:val="0"/>
        <w:spacing w:line="360" w:lineRule="auto"/>
        <w:ind w:firstLine="1500" w:firstLineChars="500"/>
        <w:rPr>
          <w:rFonts w:hint="eastAsia" w:ascii="宋体" w:hAnsi="宋体" w:eastAsia="宋体" w:cs="宋体"/>
          <w:color w:val="auto"/>
          <w:highlight w:val="none"/>
          <w:u w:val="single"/>
          <w:lang w:eastAsia="zh-CN"/>
        </w:rPr>
      </w:pPr>
      <w:r>
        <w:rPr>
          <w:rFonts w:hint="eastAsia" w:ascii="宋体" w:hAnsi="宋体" w:eastAsia="宋体" w:cs="宋体"/>
          <w:color w:val="auto"/>
          <w:sz w:val="30"/>
          <w:szCs w:val="30"/>
          <w:highlight w:val="none"/>
        </w:rPr>
        <w:t>采购人：</w:t>
      </w:r>
      <w:r>
        <w:rPr>
          <w:rFonts w:hint="eastAsia" w:ascii="宋体" w:hAnsi="宋体" w:cs="宋体"/>
          <w:color w:val="auto"/>
          <w:sz w:val="30"/>
          <w:szCs w:val="30"/>
          <w:highlight w:val="none"/>
          <w:lang w:eastAsia="zh-CN"/>
        </w:rPr>
        <w:t>绍兴市上虞区市场监督管理局</w:t>
      </w:r>
    </w:p>
    <w:p w14:paraId="41812DA9">
      <w:pPr>
        <w:snapToGrid w:val="0"/>
        <w:spacing w:line="360" w:lineRule="auto"/>
        <w:ind w:firstLine="1500" w:firstLineChars="5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采购代理机构：</w:t>
      </w:r>
      <w:r>
        <w:rPr>
          <w:rFonts w:hint="eastAsia" w:ascii="宋体" w:hAnsi="宋体" w:cs="宋体"/>
          <w:color w:val="auto"/>
          <w:sz w:val="30"/>
          <w:szCs w:val="30"/>
          <w:highlight w:val="none"/>
          <w:lang w:val="en-US" w:eastAsia="zh-CN"/>
        </w:rPr>
        <w:t>绍兴成言工程咨询管理</w:t>
      </w:r>
      <w:r>
        <w:rPr>
          <w:rFonts w:hint="eastAsia" w:ascii="宋体" w:hAnsi="宋体" w:eastAsia="宋体" w:cs="宋体"/>
          <w:color w:val="auto"/>
          <w:sz w:val="30"/>
          <w:szCs w:val="30"/>
          <w:highlight w:val="none"/>
        </w:rPr>
        <w:t>有限公司</w:t>
      </w:r>
    </w:p>
    <w:p w14:paraId="0813E300">
      <w:pPr>
        <w:jc w:val="center"/>
        <w:rPr>
          <w:rFonts w:hint="eastAsia" w:ascii="宋体" w:hAnsi="宋体" w:eastAsia="宋体" w:cs="宋体"/>
          <w:color w:val="auto"/>
          <w:sz w:val="30"/>
          <w:szCs w:val="30"/>
          <w:highlight w:val="none"/>
        </w:rPr>
        <w:sectPr>
          <w:pgSz w:w="11906" w:h="16838"/>
          <w:pgMar w:top="1247" w:right="1474" w:bottom="1247" w:left="1474" w:header="851" w:footer="992" w:gutter="0"/>
          <w:cols w:space="0" w:num="1"/>
          <w:rtlGutter w:val="0"/>
          <w:docGrid w:type="lines" w:linePitch="312" w:charSpace="0"/>
        </w:sectPr>
      </w:pPr>
      <w:r>
        <w:rPr>
          <w:rFonts w:hint="eastAsia" w:ascii="宋体" w:hAnsi="宋体" w:eastAsia="宋体" w:cs="宋体"/>
          <w:color w:val="auto"/>
          <w:sz w:val="30"/>
          <w:szCs w:val="30"/>
          <w:highlight w:val="none"/>
        </w:rPr>
        <w:t>二〇二</w:t>
      </w:r>
      <w:r>
        <w:rPr>
          <w:rFonts w:hint="eastAsia" w:ascii="宋体" w:hAnsi="宋体" w:cs="宋体"/>
          <w:color w:val="auto"/>
          <w:sz w:val="30"/>
          <w:szCs w:val="30"/>
          <w:highlight w:val="none"/>
          <w:lang w:val="en-US" w:eastAsia="zh-CN"/>
        </w:rPr>
        <w:t>四</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eastAsia="zh-CN"/>
        </w:rPr>
        <w:t>十一</w:t>
      </w:r>
      <w:r>
        <w:rPr>
          <w:rFonts w:hint="eastAsia" w:ascii="宋体" w:hAnsi="宋体" w:eastAsia="宋体" w:cs="宋体"/>
          <w:color w:val="auto"/>
          <w:sz w:val="30"/>
          <w:szCs w:val="30"/>
          <w:highlight w:val="none"/>
        </w:rPr>
        <w:t>月</w:t>
      </w:r>
    </w:p>
    <w:p w14:paraId="5BC233C4">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目录</w:t>
      </w:r>
    </w:p>
    <w:p w14:paraId="403B51FB">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"_Toc3205"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第一部分磋商公告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_Toc3205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4F72084">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"_Toc28272"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_Toc28272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55A6842">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"_Toc18864"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 总则</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fldChar w:fldCharType="end"/>
      </w:r>
    </w:p>
    <w:p w14:paraId="1B8532A8">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"_Toc21952"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 竞争性磋商文件</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fldChar w:fldCharType="end"/>
      </w:r>
    </w:p>
    <w:p w14:paraId="748A0FD1">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"_Toc31016"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 竞争性磋商响应文件的编写</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0</w:t>
      </w:r>
    </w:p>
    <w:p w14:paraId="7A0A4204">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"_Toc4883"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 响应文件的递交</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_Toc4883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45A76C3">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"_Toc26652"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 磋商无效的情形</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_Toc26652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CF521FC">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"_Toc13076"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六、 采购中止的情形</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14:paraId="22D78DCC">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"_Toc7332"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七、 确定成交供应商与签订合同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6</w:t>
      </w:r>
    </w:p>
    <w:p w14:paraId="3F8F219D">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"_Toc18043"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采购内容及要求</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8</w:t>
      </w:r>
    </w:p>
    <w:p w14:paraId="68D19CD8">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第一章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采购内容及要求</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18</w:t>
      </w:r>
      <w:r>
        <w:rPr>
          <w:rFonts w:hint="eastAsia" w:ascii="宋体" w:hAnsi="宋体" w:eastAsia="宋体" w:cs="宋体"/>
          <w:color w:val="auto"/>
          <w:sz w:val="28"/>
          <w:szCs w:val="28"/>
          <w:highlight w:val="none"/>
        </w:rPr>
        <w:fldChar w:fldCharType="end"/>
      </w:r>
    </w:p>
    <w:p w14:paraId="7A00AA76">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280" w:firstLineChars="100"/>
        <w:textAlignment w:val="auto"/>
        <w:rPr>
          <w:rFonts w:hint="default" w:ascii="宋体" w:hAnsi="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"_Toc4575"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付款方式及要求</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3</w:t>
      </w:r>
    </w:p>
    <w:p w14:paraId="298FA9F1">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"_Toc30191"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第四部分 磋商原则及磋商方法</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4</w:t>
      </w:r>
    </w:p>
    <w:p w14:paraId="649F0AAF">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"_Toc19277"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3</w:t>
      </w:r>
    </w:p>
    <w:p w14:paraId="60A11F39">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"_Toc24867"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41</w:t>
      </w:r>
    </w:p>
    <w:p w14:paraId="580A5B62">
      <w:pPr>
        <w:pStyle w:val="3"/>
        <w:spacing w:line="360" w:lineRule="auto"/>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p>
    <w:p w14:paraId="250CCB8E">
      <w:pPr>
        <w:rPr>
          <w:rFonts w:hint="eastAsia" w:ascii="宋体" w:hAnsi="宋体" w:eastAsia="宋体" w:cs="宋体"/>
          <w:color w:val="auto"/>
          <w:highlight w:val="none"/>
        </w:rPr>
      </w:pPr>
    </w:p>
    <w:p w14:paraId="7E3A144A">
      <w:pPr>
        <w:rPr>
          <w:rFonts w:hint="eastAsia" w:ascii="宋体" w:hAnsi="宋体" w:eastAsia="宋体" w:cs="宋体"/>
          <w:color w:val="auto"/>
          <w:highlight w:val="none"/>
        </w:rPr>
      </w:pPr>
    </w:p>
    <w:p w14:paraId="08B2CB81">
      <w:pPr>
        <w:rPr>
          <w:rFonts w:hint="eastAsia" w:ascii="宋体" w:hAnsi="宋体" w:eastAsia="宋体" w:cs="宋体"/>
          <w:color w:val="auto"/>
          <w:highlight w:val="none"/>
        </w:rPr>
      </w:pPr>
    </w:p>
    <w:p w14:paraId="7BE707F7">
      <w:pPr>
        <w:rPr>
          <w:rFonts w:hint="eastAsia" w:ascii="宋体" w:hAnsi="宋体" w:eastAsia="宋体" w:cs="宋体"/>
          <w:color w:val="auto"/>
          <w:highlight w:val="none"/>
        </w:rPr>
      </w:pPr>
    </w:p>
    <w:p w14:paraId="64BAC27C">
      <w:pPr>
        <w:tabs>
          <w:tab w:val="left" w:pos="3148"/>
        </w:tabs>
        <w:jc w:val="left"/>
        <w:rPr>
          <w:rFonts w:hint="eastAsia" w:ascii="宋体" w:hAnsi="宋体" w:eastAsia="宋体" w:cs="宋体"/>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highlight w:val="none"/>
        </w:rPr>
        <w:tab/>
      </w:r>
    </w:p>
    <w:p w14:paraId="2E75E916">
      <w:pPr>
        <w:pStyle w:val="2"/>
        <w:bidi w:val="0"/>
        <w:rPr>
          <w:rFonts w:hint="eastAsia"/>
        </w:rPr>
      </w:pPr>
      <w:bookmarkStart w:id="0" w:name="_Toc31034"/>
      <w:bookmarkStart w:id="1" w:name="_Toc32199"/>
      <w:bookmarkStart w:id="2" w:name="_Toc3205"/>
      <w:bookmarkStart w:id="3" w:name="_Toc91899870"/>
      <w:bookmarkStart w:id="4" w:name="第二部分"/>
      <w:r>
        <w:rPr>
          <w:rFonts w:hint="eastAsia"/>
        </w:rPr>
        <w:t>第一部分磋商公告</w:t>
      </w:r>
      <w:bookmarkEnd w:id="0"/>
      <w:bookmarkEnd w:id="1"/>
      <w:bookmarkEnd w:id="2"/>
    </w:p>
    <w:p w14:paraId="645F32E7">
      <w:pPr>
        <w:adjustRightInd w:val="0"/>
        <w:spacing w:line="360" w:lineRule="auto"/>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绍兴成言工程咨询管理有限公司</w:t>
      </w:r>
      <w:r>
        <w:rPr>
          <w:rFonts w:hint="eastAsia" w:ascii="宋体" w:hAnsi="宋体" w:eastAsia="宋体" w:cs="宋体"/>
          <w:color w:val="auto"/>
          <w:sz w:val="28"/>
          <w:szCs w:val="28"/>
          <w:highlight w:val="none"/>
        </w:rPr>
        <w:t>关于</w:t>
      </w:r>
      <w:r>
        <w:rPr>
          <w:rFonts w:hint="eastAsia" w:ascii="宋体" w:hAnsi="宋体" w:cs="宋体"/>
          <w:color w:val="auto"/>
          <w:sz w:val="28"/>
          <w:szCs w:val="28"/>
          <w:highlight w:val="none"/>
          <w:lang w:eastAsia="zh-CN"/>
        </w:rPr>
        <w:t>绍兴市上虞区市场监督管理局2024年上虞区企业信用云平台服务器等设备维保服务</w:t>
      </w:r>
      <w:r>
        <w:rPr>
          <w:rFonts w:hint="eastAsia" w:ascii="宋体" w:hAnsi="宋体" w:eastAsia="宋体" w:cs="宋体"/>
          <w:color w:val="auto"/>
          <w:sz w:val="28"/>
          <w:szCs w:val="28"/>
          <w:highlight w:val="none"/>
        </w:rPr>
        <w:t>的竞争性磋商公告</w:t>
      </w:r>
    </w:p>
    <w:p w14:paraId="2B582DEB">
      <w:pPr>
        <w:adjustRightIn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公告日期：202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 xml:space="preserve"> 11 </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 xml:space="preserve"> 12 </w:t>
      </w:r>
      <w:r>
        <w:rPr>
          <w:rFonts w:hint="eastAsia" w:ascii="宋体" w:hAnsi="宋体" w:eastAsia="宋体" w:cs="宋体"/>
          <w:color w:val="auto"/>
          <w:sz w:val="28"/>
          <w:szCs w:val="28"/>
          <w:highlight w:val="none"/>
        </w:rPr>
        <w:t>日</w:t>
      </w:r>
    </w:p>
    <w:p w14:paraId="026388F8">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根据《中华人民共和国政府采购法》等有关规定，</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绍兴成言工程咨询管理有限公司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绍兴市上虞区市场监督管理局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委托，现就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2024年上虞区企业信用云平台服务器等设备维保服务</w:t>
      </w:r>
      <w:r>
        <w:rPr>
          <w:rFonts w:hint="eastAsia" w:ascii="宋体" w:hAnsi="宋体" w:eastAsia="宋体" w:cs="宋体"/>
          <w:color w:val="auto"/>
          <w:sz w:val="24"/>
          <w:szCs w:val="24"/>
          <w:highlight w:val="none"/>
        </w:rPr>
        <w:t>进行竞争性磋商采购，欢迎国内合格的供应商参加本次采购活动。</w:t>
      </w:r>
    </w:p>
    <w:p w14:paraId="5B1AB268">
      <w:pPr>
        <w:adjustRightIn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一．磋商项目编号：</w:t>
      </w:r>
      <w:r>
        <w:rPr>
          <w:rFonts w:hint="eastAsia" w:ascii="宋体" w:hAnsi="宋体" w:cs="宋体"/>
          <w:color w:val="auto"/>
          <w:sz w:val="24"/>
          <w:szCs w:val="24"/>
          <w:highlight w:val="none"/>
          <w:u w:val="single"/>
          <w:lang w:val="en-US" w:eastAsia="zh-CN"/>
        </w:rPr>
        <w:t>CY2024041</w:t>
      </w:r>
      <w:r>
        <w:rPr>
          <w:rFonts w:hint="eastAsia" w:ascii="宋体" w:hAnsi="宋体" w:eastAsia="宋体" w:cs="宋体"/>
          <w:color w:val="auto"/>
          <w:sz w:val="24"/>
          <w:szCs w:val="24"/>
          <w:highlight w:val="none"/>
          <w:u w:val="single"/>
        </w:rPr>
        <w:t xml:space="preserve"> </w:t>
      </w:r>
    </w:p>
    <w:p w14:paraId="4F493EA9">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二．采购组织类型：</w:t>
      </w:r>
      <w:r>
        <w:rPr>
          <w:rFonts w:hint="eastAsia" w:ascii="宋体" w:hAnsi="宋体" w:eastAsia="宋体" w:cs="宋体"/>
          <w:color w:val="auto"/>
          <w:sz w:val="24"/>
          <w:szCs w:val="24"/>
          <w:highlight w:val="none"/>
          <w:u w:val="single"/>
        </w:rPr>
        <w:t>分散采购（中介代理）</w:t>
      </w:r>
    </w:p>
    <w:p w14:paraId="7A17427C">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三．磋商项目概况:</w:t>
      </w:r>
    </w:p>
    <w:tbl>
      <w:tblPr>
        <w:tblStyle w:val="25"/>
        <w:tblW w:w="9544"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821"/>
        <w:gridCol w:w="1720"/>
        <w:gridCol w:w="552"/>
        <w:gridCol w:w="594"/>
        <w:gridCol w:w="1356"/>
        <w:gridCol w:w="2684"/>
        <w:gridCol w:w="1311"/>
        <w:gridCol w:w="506"/>
      </w:tblGrid>
      <w:tr w14:paraId="5506A511">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92" w:hRule="atLeast"/>
          <w:jc w:val="center"/>
        </w:trPr>
        <w:tc>
          <w:tcPr>
            <w:tcW w:w="821" w:type="dxa"/>
            <w:tcBorders>
              <w:top w:val="single" w:color="000000" w:sz="4" w:space="0"/>
            </w:tcBorders>
            <w:vAlign w:val="center"/>
          </w:tcPr>
          <w:p w14:paraId="26EC7813">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20" w:type="dxa"/>
            <w:tcBorders>
              <w:top w:val="single" w:color="000000" w:sz="4" w:space="0"/>
            </w:tcBorders>
            <w:vAlign w:val="center"/>
          </w:tcPr>
          <w:p w14:paraId="5FB06D5E">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52" w:type="dxa"/>
            <w:tcBorders>
              <w:top w:val="single" w:color="000000" w:sz="4" w:space="0"/>
            </w:tcBorders>
            <w:vAlign w:val="center"/>
          </w:tcPr>
          <w:p w14:paraId="57C94D3B">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94" w:type="dxa"/>
            <w:tcBorders>
              <w:top w:val="single" w:color="000000" w:sz="4" w:space="0"/>
            </w:tcBorders>
            <w:vAlign w:val="center"/>
          </w:tcPr>
          <w:p w14:paraId="602F4D68">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356" w:type="dxa"/>
            <w:tcBorders>
              <w:top w:val="single" w:color="000000" w:sz="4" w:space="0"/>
            </w:tcBorders>
            <w:vAlign w:val="center"/>
          </w:tcPr>
          <w:p w14:paraId="5353C0F1">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预算金额(万元)</w:t>
            </w:r>
          </w:p>
        </w:tc>
        <w:tc>
          <w:tcPr>
            <w:tcW w:w="2684" w:type="dxa"/>
            <w:tcBorders>
              <w:top w:val="single" w:color="000000" w:sz="4" w:space="0"/>
            </w:tcBorders>
            <w:vAlign w:val="center"/>
          </w:tcPr>
          <w:p w14:paraId="214CED63">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简要规格描述或标项基本概况介绍</w:t>
            </w:r>
          </w:p>
        </w:tc>
        <w:tc>
          <w:tcPr>
            <w:tcW w:w="1311" w:type="dxa"/>
            <w:tcBorders>
              <w:top w:val="single" w:color="000000" w:sz="4" w:space="0"/>
            </w:tcBorders>
            <w:vAlign w:val="center"/>
          </w:tcPr>
          <w:p w14:paraId="4FBF5584">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最高限价(万元)</w:t>
            </w:r>
          </w:p>
        </w:tc>
        <w:tc>
          <w:tcPr>
            <w:tcW w:w="506" w:type="dxa"/>
            <w:tcBorders>
              <w:top w:val="single" w:color="000000" w:sz="4" w:space="0"/>
            </w:tcBorders>
            <w:vAlign w:val="center"/>
          </w:tcPr>
          <w:p w14:paraId="367000E5">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7640620">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150" w:hRule="atLeast"/>
          <w:jc w:val="center"/>
        </w:trPr>
        <w:tc>
          <w:tcPr>
            <w:tcW w:w="821" w:type="dxa"/>
            <w:tcBorders>
              <w:bottom w:val="single" w:color="000000" w:sz="4" w:space="0"/>
            </w:tcBorders>
            <w:vAlign w:val="center"/>
          </w:tcPr>
          <w:p w14:paraId="66D30D75">
            <w:pPr>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20" w:type="dxa"/>
            <w:tcBorders>
              <w:bottom w:val="single" w:color="000000" w:sz="4" w:space="0"/>
            </w:tcBorders>
            <w:vAlign w:val="center"/>
          </w:tcPr>
          <w:p w14:paraId="66D0622C">
            <w:pPr>
              <w:adjustRightIn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2024年上虞区企业信用云平台服务器等设备维保服务</w:t>
            </w:r>
          </w:p>
        </w:tc>
        <w:tc>
          <w:tcPr>
            <w:tcW w:w="552" w:type="dxa"/>
            <w:tcBorders>
              <w:bottom w:val="single" w:color="000000" w:sz="4" w:space="0"/>
            </w:tcBorders>
            <w:vAlign w:val="center"/>
          </w:tcPr>
          <w:p w14:paraId="31C9AB70">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94" w:type="dxa"/>
            <w:tcBorders>
              <w:bottom w:val="single" w:color="000000" w:sz="4" w:space="0"/>
            </w:tcBorders>
            <w:vAlign w:val="center"/>
          </w:tcPr>
          <w:p w14:paraId="185022CF">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356" w:type="dxa"/>
            <w:tcBorders>
              <w:bottom w:val="single" w:color="000000" w:sz="4" w:space="0"/>
            </w:tcBorders>
            <w:vAlign w:val="center"/>
          </w:tcPr>
          <w:p w14:paraId="39F2419C">
            <w:pPr>
              <w:widowControl/>
              <w:spacing w:before="100" w:after="100" w:line="312"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40.5</w:t>
            </w:r>
          </w:p>
        </w:tc>
        <w:tc>
          <w:tcPr>
            <w:tcW w:w="2684" w:type="dxa"/>
            <w:tcBorders>
              <w:bottom w:val="single" w:color="000000" w:sz="4" w:space="0"/>
            </w:tcBorders>
            <w:vAlign w:val="center"/>
          </w:tcPr>
          <w:p w14:paraId="55A737CB">
            <w:pPr>
              <w:pStyle w:val="12"/>
              <w:snapToGrid w:val="0"/>
              <w:spacing w:before="120" w:after="120"/>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具体详见“第三部分 采购内容及要求”</w:t>
            </w:r>
          </w:p>
        </w:tc>
        <w:tc>
          <w:tcPr>
            <w:tcW w:w="1311" w:type="dxa"/>
            <w:tcBorders>
              <w:bottom w:val="single" w:color="000000" w:sz="4" w:space="0"/>
            </w:tcBorders>
            <w:vAlign w:val="center"/>
          </w:tcPr>
          <w:p w14:paraId="7F412F4E">
            <w:pP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40.5</w:t>
            </w:r>
          </w:p>
        </w:tc>
        <w:tc>
          <w:tcPr>
            <w:tcW w:w="506" w:type="dxa"/>
            <w:tcBorders>
              <w:bottom w:val="single" w:color="000000" w:sz="4" w:space="0"/>
            </w:tcBorders>
            <w:vAlign w:val="center"/>
          </w:tcPr>
          <w:p w14:paraId="0BDDBCF2">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7A53132A">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四．合格供应商资格要求:</w:t>
      </w:r>
    </w:p>
    <w:p w14:paraId="427D9D11">
      <w:pPr>
        <w:numPr>
          <w:ilvl w:val="0"/>
          <w:numId w:val="1"/>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符合政府采购法第二十二条，且未被“信用中国”（www.creditchina.gov.cn）、中国政府采购网（www.ccgp.gov.cn）列入失信被执行人、重大税收违法案件当事人名单、政府采购严重违法失信行为记录名单。</w:t>
      </w:r>
    </w:p>
    <w:p w14:paraId="3A218A91">
      <w:pPr>
        <w:numPr>
          <w:ilvl w:val="0"/>
          <w:numId w:val="1"/>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落实政府采购政策需满足的资格要求：</w:t>
      </w:r>
      <w:r>
        <w:rPr>
          <w:rFonts w:hint="eastAsia" w:asciiTheme="minorEastAsia" w:hAnsiTheme="minorEastAsia" w:eastAsiaTheme="minorEastAsia" w:cstheme="minorEastAsia"/>
          <w:sz w:val="24"/>
        </w:rPr>
        <w:t>供应商为中小企业/小微企业</w:t>
      </w:r>
      <w:r>
        <w:rPr>
          <w:rFonts w:hint="eastAsia" w:ascii="宋体" w:hAnsi="宋体" w:cs="宋体"/>
          <w:color w:val="auto"/>
          <w:sz w:val="24"/>
          <w:szCs w:val="24"/>
          <w:highlight w:val="none"/>
          <w:lang w:val="en-US" w:eastAsia="zh-CN"/>
        </w:rPr>
        <w:t>。</w:t>
      </w:r>
    </w:p>
    <w:p w14:paraId="250CC51D">
      <w:pPr>
        <w:numPr>
          <w:ilvl w:val="0"/>
          <w:numId w:val="1"/>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不接受</w:t>
      </w:r>
      <w:r>
        <w:rPr>
          <w:rFonts w:hint="eastAsia" w:ascii="宋体" w:hAnsi="宋体" w:eastAsia="宋体" w:cs="宋体"/>
          <w:color w:val="auto"/>
          <w:sz w:val="24"/>
          <w:szCs w:val="24"/>
          <w:highlight w:val="none"/>
        </w:rPr>
        <w:t>联合体参加磋商。</w:t>
      </w:r>
    </w:p>
    <w:p w14:paraId="65C77E9F">
      <w:pPr>
        <w:numPr>
          <w:ilvl w:val="0"/>
          <w:numId w:val="1"/>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本项目采用资格后审的审查方式，由磋商小组负责审查。</w:t>
      </w:r>
    </w:p>
    <w:p w14:paraId="255ED6CC">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五．获取磋商文件</w:t>
      </w:r>
    </w:p>
    <w:p w14:paraId="4801ABB9">
      <w:pPr>
        <w:numPr>
          <w:ilvl w:val="0"/>
          <w:numId w:val="2"/>
        </w:numPr>
        <w:adjustRightInd w:val="0"/>
        <w:spacing w:line="360" w:lineRule="auto"/>
        <w:ind w:firstLine="480" w:firstLineChars="200"/>
        <w:rPr>
          <w:rFonts w:hint="eastAsia" w:ascii="宋体" w:hAnsi="宋体" w:eastAsia="宋体" w:cs="宋体"/>
          <w:color w:val="auto"/>
          <w:sz w:val="24"/>
          <w:szCs w:val="24"/>
          <w:highlight w:val="none"/>
        </w:rPr>
      </w:pPr>
      <w:bookmarkStart w:id="5" w:name="报名开始时间1"/>
      <w:r>
        <w:rPr>
          <w:rFonts w:hint="eastAsia" w:ascii="宋体" w:hAnsi="宋体" w:eastAsia="宋体" w:cs="宋体"/>
          <w:color w:val="auto"/>
          <w:sz w:val="24"/>
          <w:szCs w:val="24"/>
          <w:highlight w:val="none"/>
        </w:rPr>
        <w:t>获取磋商文件时间:</w:t>
      </w:r>
      <w:bookmarkEnd w:id="5"/>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11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25 </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9:30</w:t>
      </w:r>
      <w:r>
        <w:rPr>
          <w:rFonts w:hint="eastAsia" w:ascii="宋体" w:hAnsi="宋体" w:eastAsia="宋体" w:cs="宋体"/>
          <w:color w:val="auto"/>
          <w:sz w:val="24"/>
          <w:szCs w:val="24"/>
          <w:highlight w:val="none"/>
        </w:rPr>
        <w:t>之前获取。</w:t>
      </w:r>
    </w:p>
    <w:p w14:paraId="7C3CFF5C">
      <w:pPr>
        <w:numPr>
          <w:ilvl w:val="0"/>
          <w:numId w:val="2"/>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获取磋商文件方式：供应商登陆政采云平台http://www.zcygov.cn/，在线申请获取磋商文件（进入“项目采购”应用，在获取采购文件菜单中选择项目，申请获取采购文件）。</w:t>
      </w:r>
    </w:p>
    <w:p w14:paraId="1630B6B2">
      <w:pPr>
        <w:numPr>
          <w:ilvl w:val="0"/>
          <w:numId w:val="2"/>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w:t>
      </w:r>
    </w:p>
    <w:p w14:paraId="1D0A9A3A">
      <w:pPr>
        <w:numPr>
          <w:ilvl w:val="0"/>
          <w:numId w:val="3"/>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将拒绝接受未获取磋商文件供应商的响应文件。</w:t>
      </w:r>
    </w:p>
    <w:p w14:paraId="3E1E6ED2">
      <w:pPr>
        <w:numPr>
          <w:ilvl w:val="0"/>
          <w:numId w:val="3"/>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磋商文件及更正补充公告请自行登录浙江政府采购网或绍兴市上虞区公共资源交易中心网站，在采购公告页面中下载。</w:t>
      </w:r>
    </w:p>
    <w:p w14:paraId="196F06E8">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六．投标与开标注意事项：</w:t>
      </w:r>
    </w:p>
    <w:p w14:paraId="4BA61A2E">
      <w:pPr>
        <w:numPr>
          <w:ilvl w:val="0"/>
          <w:numId w:val="4"/>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w:t>
      </w:r>
      <w:r>
        <w:rPr>
          <w:rFonts w:hint="eastAsia" w:ascii="宋体" w:hAnsi="宋体" w:eastAsia="宋体" w:cs="宋体"/>
          <w:b/>
          <w:bCs/>
          <w:color w:val="auto"/>
          <w:sz w:val="24"/>
          <w:szCs w:val="24"/>
          <w:highlight w:val="none"/>
        </w:rPr>
        <w:t>网上投标</w:t>
      </w:r>
      <w:r>
        <w:rPr>
          <w:rFonts w:hint="eastAsia" w:ascii="宋体" w:hAnsi="宋体" w:eastAsia="宋体" w:cs="宋体"/>
          <w:color w:val="auto"/>
          <w:sz w:val="24"/>
          <w:szCs w:val="24"/>
          <w:highlight w:val="none"/>
        </w:rPr>
        <w:t>，采用电子投标文件，若供应商参与投标，自行承担投标一切费用。</w:t>
      </w:r>
    </w:p>
    <w:p w14:paraId="4EA143BE">
      <w:pPr>
        <w:numPr>
          <w:ilvl w:val="0"/>
          <w:numId w:val="4"/>
        </w:numPr>
        <w:wordWrap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794770EF">
      <w:pPr>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2A0767C3">
      <w:pPr>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66680498">
      <w:pP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《CA管理学习专题》：</w:t>
      </w:r>
    </w:p>
    <w:p w14:paraId="58F7247D">
      <w:pP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https://edu.zcygov.cn/luban/ca?utm=web-government-front.380aac0a.0.0.fc2b6aa0b6e211ebbdb0dd007730dd44</w:t>
      </w:r>
    </w:p>
    <w:p w14:paraId="57B38FB0">
      <w:pP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《CA驱动和申领流程》:</w:t>
      </w:r>
    </w:p>
    <w:p w14:paraId="6A592613">
      <w:pPr>
        <w:adjustRightIn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"http://zfcg.czt.zj.gov.cn/bidClientTemplate/2019-05-27/12945.html"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http://zfcg.czt.zj.gov.cn/bidClientTemplate/2019-05-27/12945.html</w:t>
      </w:r>
      <w:r>
        <w:rPr>
          <w:rFonts w:hint="eastAsia" w:ascii="宋体" w:hAnsi="宋体" w:eastAsia="宋体" w:cs="宋体"/>
          <w:color w:val="auto"/>
          <w:sz w:val="24"/>
          <w:highlight w:val="none"/>
        </w:rPr>
        <w:fldChar w:fldCharType="end"/>
      </w:r>
    </w:p>
    <w:p w14:paraId="53CC0054">
      <w:pPr>
        <w:numPr>
          <w:ilvl w:val="0"/>
          <w:numId w:val="4"/>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投标文件制作：</w:t>
      </w:r>
    </w:p>
    <w:p w14:paraId="532B10EB">
      <w:pPr>
        <w:keepNext w:val="0"/>
        <w:keepLines w:val="0"/>
        <w:pageBreakBefore w:val="0"/>
        <w:widowControl w:val="0"/>
        <w:numPr>
          <w:ilvl w:val="0"/>
          <w:numId w:val="5"/>
        </w:numPr>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Theme="minorEastAsia" w:hAnsiTheme="minorEastAsia" w:eastAsiaTheme="minorEastAsia" w:cstheme="minorEastAsia"/>
          <w:sz w:val="24"/>
          <w:szCs w:val="24"/>
          <w:lang w:val="en-US" w:eastAsia="zh-CN"/>
        </w:rPr>
        <w:t>95763</w:t>
      </w:r>
      <w:r>
        <w:rPr>
          <w:rFonts w:hint="eastAsia" w:ascii="宋体" w:hAnsi="宋体" w:eastAsia="宋体" w:cs="宋体"/>
          <w:color w:val="auto"/>
          <w:sz w:val="24"/>
          <w:szCs w:val="24"/>
          <w:highlight w:val="none"/>
        </w:rPr>
        <w:t>。</w:t>
      </w:r>
    </w:p>
    <w:p w14:paraId="69A13DB9">
      <w:pPr>
        <w:keepNext w:val="0"/>
        <w:keepLines w:val="0"/>
        <w:pageBreakBefore w:val="0"/>
        <w:widowControl w:val="0"/>
        <w:numPr>
          <w:ilvl w:val="0"/>
          <w:numId w:val="5"/>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投标人通过“政采云”平台电子投标工具制作投标文件。</w:t>
      </w:r>
    </w:p>
    <w:p w14:paraId="246078A1">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《电子投标工具》：</w:t>
      </w:r>
    </w:p>
    <w:p w14:paraId="3DB4A0D5">
      <w:pPr>
        <w:keepNext w:val="0"/>
        <w:keepLines w:val="0"/>
        <w:pageBreakBefore w:val="0"/>
        <w:widowControl w:val="0"/>
        <w:kinsoku/>
        <w:overflowPunct/>
        <w:topLinePunct w:val="0"/>
        <w:autoSpaceDE/>
        <w:autoSpaceDN/>
        <w:bidi w:val="0"/>
        <w:adjustRightInd w:val="0"/>
        <w:snapToGrid/>
        <w:spacing w:line="360" w:lineRule="auto"/>
        <w:ind w:left="0" w:leftChars="0" w:firstLine="42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"http://zfcg.czt.zj.gov.cn/bidClientTemplate/2019-09-24/12975.html"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http://zfcg.czt.zj.gov.cn/bidClientTemplate/2019-09-24/12975.html</w:t>
      </w:r>
      <w:r>
        <w:rPr>
          <w:rFonts w:hint="eastAsia" w:ascii="宋体" w:hAnsi="宋体" w:eastAsia="宋体" w:cs="宋体"/>
          <w:color w:val="auto"/>
          <w:sz w:val="24"/>
          <w:szCs w:val="24"/>
          <w:highlight w:val="none"/>
        </w:rPr>
        <w:fldChar w:fldCharType="end"/>
      </w:r>
    </w:p>
    <w:p w14:paraId="041D303C">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《供应商-政府采购项目电子交易操作指南》：(需登录账号后查看)</w:t>
      </w:r>
    </w:p>
    <w:p w14:paraId="52C69BA5">
      <w:pPr>
        <w:keepNext w:val="0"/>
        <w:keepLines w:val="0"/>
        <w:pageBreakBefore w:val="0"/>
        <w:widowControl w:val="0"/>
        <w:kinsoku/>
        <w:overflowPunct/>
        <w:topLinePunct w:val="0"/>
        <w:autoSpaceDE/>
        <w:autoSpaceDN/>
        <w:bidi w:val="0"/>
        <w:adjustRightInd w:val="0"/>
        <w:snapToGrid/>
        <w:spacing w:line="360" w:lineRule="auto"/>
        <w:ind w:left="0" w:leftChars="0" w:firstLine="42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"https://service.zcygov.cn/" \l "/knowledges/tree?tag=AG1DtGwBFdiHxlNdhY0r"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https://service.zcygov.cn/#/knowledges/tree?tag=AG1DtGwBFdiHxlNdhY0r</w:t>
      </w:r>
      <w:r>
        <w:rPr>
          <w:rFonts w:hint="eastAsia" w:ascii="宋体" w:hAnsi="宋体" w:eastAsia="宋体" w:cs="宋体"/>
          <w:color w:val="auto"/>
          <w:sz w:val="24"/>
          <w:szCs w:val="24"/>
          <w:highlight w:val="none"/>
        </w:rPr>
        <w:fldChar w:fldCharType="end"/>
      </w:r>
    </w:p>
    <w:p w14:paraId="40C4DE5D">
      <w:pPr>
        <w:keepNext w:val="0"/>
        <w:keepLines w:val="0"/>
        <w:pageBreakBefore w:val="0"/>
        <w:widowControl w:val="0"/>
        <w:numPr>
          <w:ilvl w:val="0"/>
          <w:numId w:val="4"/>
        </w:numPr>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供应商在法定质疑期内应一次性提出针对同一采购程序环节的质疑。</w:t>
      </w:r>
    </w:p>
    <w:p w14:paraId="21D1E8F4">
      <w:pPr>
        <w:keepNext w:val="0"/>
        <w:keepLines w:val="0"/>
        <w:pageBreakBefore w:val="0"/>
        <w:widowControl w:val="0"/>
        <w:numPr>
          <w:ilvl w:val="0"/>
          <w:numId w:val="0"/>
        </w:numPr>
        <w:kinsoku/>
        <w:overflowPunct/>
        <w:topLinePunct w:val="0"/>
        <w:autoSpaceDE/>
        <w:autoSpaceDN/>
        <w:bidi w:val="0"/>
        <w:adjustRightInd w:val="0"/>
        <w:snapToGrid/>
        <w:spacing w:line="360" w:lineRule="auto"/>
        <w:ind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5.投标人可指派授权代表递交备份文件，授权代表递交备份文件需携带法定代表人授权书原件，于投标截止时间前到达开标地点递交。</w:t>
      </w:r>
    </w:p>
    <w:p w14:paraId="091DC9A5">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6.特别提醒</w:t>
      </w:r>
    </w:p>
    <w:p w14:paraId="60CEAD20">
      <w:pPr>
        <w:keepNext w:val="0"/>
        <w:keepLines w:val="0"/>
        <w:pageBreakBefore w:val="0"/>
        <w:widowControl w:val="0"/>
        <w:numPr>
          <w:ilvl w:val="0"/>
          <w:numId w:val="6"/>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14:paraId="39686A4F">
      <w:pPr>
        <w:keepNext w:val="0"/>
        <w:keepLines w:val="0"/>
        <w:pageBreakBefore w:val="0"/>
        <w:widowControl w:val="0"/>
        <w:numPr>
          <w:ilvl w:val="0"/>
          <w:numId w:val="6"/>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除单一来源采购项目外，为采购项目提供整体设计、规范编制或者项目管理</w:t>
      </w:r>
      <w:r>
        <w:rPr>
          <w:rFonts w:hint="eastAsia" w:ascii="宋体" w:hAnsi="宋体" w:eastAsia="宋体" w:cs="宋体"/>
          <w:b w:val="0"/>
          <w:bCs w:val="0"/>
          <w:color w:val="auto"/>
          <w:sz w:val="24"/>
          <w:szCs w:val="24"/>
          <w:highlight w:val="none"/>
        </w:rPr>
        <w:t>、监理、检测等服务的供应商，不得再参加该采购项目的其他采购活动。</w:t>
      </w:r>
    </w:p>
    <w:p w14:paraId="5E229B1D">
      <w:pPr>
        <w:adjustRightInd w:val="0"/>
        <w:spacing w:line="360" w:lineRule="auto"/>
        <w:ind w:firstLine="482"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七．磋商响应截止时间及要求：</w:t>
      </w:r>
      <w:r>
        <w:rPr>
          <w:rFonts w:hint="eastAsia" w:ascii="宋体" w:hAnsi="宋体" w:eastAsia="宋体" w:cs="宋体"/>
          <w:b w:val="0"/>
          <w:bCs w:val="0"/>
          <w:color w:val="auto"/>
          <w:sz w:val="24"/>
          <w:szCs w:val="24"/>
          <w:highlight w:val="none"/>
          <w:u w:val="single"/>
        </w:rPr>
        <w:t xml:space="preserve"> 202</w:t>
      </w:r>
      <w:r>
        <w:rPr>
          <w:rFonts w:hint="eastAsia" w:ascii="宋体" w:hAnsi="宋体" w:cs="宋体"/>
          <w:b w:val="0"/>
          <w:bCs w:val="0"/>
          <w:color w:val="auto"/>
          <w:sz w:val="24"/>
          <w:szCs w:val="24"/>
          <w:highlight w:val="none"/>
          <w:u w:val="singl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11</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25</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u w:val="single"/>
          <w:lang w:val="en-US" w:eastAsia="zh-CN"/>
        </w:rPr>
        <w:t>9</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u w:val="single"/>
          <w:lang w:val="en-US" w:eastAsia="zh-CN"/>
        </w:rPr>
        <w:t>30</w:t>
      </w:r>
      <w:r>
        <w:rPr>
          <w:rFonts w:hint="eastAsia" w:ascii="宋体" w:hAnsi="宋体" w:eastAsia="宋体" w:cs="宋体"/>
          <w:b w:val="0"/>
          <w:bCs w:val="0"/>
          <w:color w:val="auto"/>
          <w:sz w:val="24"/>
          <w:szCs w:val="24"/>
          <w:highlight w:val="none"/>
        </w:rPr>
        <w:t>分整</w:t>
      </w:r>
      <w:r>
        <w:rPr>
          <w:rFonts w:hint="eastAsia" w:ascii="宋体" w:hAnsi="宋体" w:eastAsia="宋体" w:cs="宋体"/>
          <w:b w:val="0"/>
          <w:bCs w:val="0"/>
          <w:color w:val="auto"/>
          <w:kern w:val="0"/>
          <w:sz w:val="24"/>
          <w:szCs w:val="24"/>
          <w:highlight w:val="none"/>
        </w:rPr>
        <w:t>之前将电子磋商响应文件上传到“政采云”平台。</w:t>
      </w:r>
    </w:p>
    <w:p w14:paraId="360E8AEF">
      <w:pPr>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八．递交首次响应文件时间及地点：</w:t>
      </w:r>
      <w:bookmarkStart w:id="6" w:name="B30_开标地点"/>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11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25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分整在</w:t>
      </w:r>
      <w:r>
        <w:rPr>
          <w:rFonts w:hint="eastAsia" w:ascii="宋体" w:hAnsi="宋体" w:cs="宋体"/>
          <w:color w:val="auto"/>
          <w:sz w:val="24"/>
          <w:szCs w:val="24"/>
          <w:highlight w:val="none"/>
          <w:lang w:eastAsia="zh-CN"/>
        </w:rPr>
        <w:t>绍兴成言工程咨询管理有限公司（绍兴市上虞区</w:t>
      </w:r>
      <w:r>
        <w:rPr>
          <w:rFonts w:hint="eastAsia" w:ascii="宋体" w:hAnsi="宋体" w:cs="宋体"/>
          <w:color w:val="auto"/>
          <w:sz w:val="24"/>
          <w:szCs w:val="24"/>
          <w:highlight w:val="none"/>
          <w:lang w:val="en-US" w:eastAsia="zh-CN"/>
        </w:rPr>
        <w:t>万金</w:t>
      </w:r>
      <w:r>
        <w:rPr>
          <w:rFonts w:hint="eastAsia" w:ascii="宋体" w:hAnsi="宋体" w:cs="宋体"/>
          <w:color w:val="auto"/>
          <w:sz w:val="24"/>
          <w:szCs w:val="24"/>
          <w:highlight w:val="none"/>
          <w:lang w:eastAsia="zh-CN"/>
        </w:rPr>
        <w:t>大厦</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lang w:eastAsia="zh-CN"/>
        </w:rPr>
        <w:t>楼）开标室</w:t>
      </w:r>
      <w:r>
        <w:rPr>
          <w:rFonts w:hint="eastAsia" w:ascii="宋体" w:hAnsi="宋体" w:eastAsia="宋体" w:cs="宋体"/>
          <w:color w:val="auto"/>
          <w:sz w:val="24"/>
          <w:szCs w:val="24"/>
          <w:highlight w:val="none"/>
        </w:rPr>
        <w:t>开标。</w:t>
      </w:r>
      <w:bookmarkEnd w:id="6"/>
    </w:p>
    <w:p w14:paraId="72ED6521">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开标时间后30分钟内（当日</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 xml:space="preserve"> 前）供应商可以登录“政采云”平台，用“项目采购-开标评标”功能进行解密响应文件。若供应商在规定时间内（当日</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 xml:space="preserve"> 前）解密失败，则由采购代理机构工作人员上传供应商提供的备份文件。备份文件（后缀名为.bfbs）须存储在U盘中，与上传的电子磋商响应文件一致，用信封进行密封并盖章</w:t>
      </w:r>
      <w:r>
        <w:rPr>
          <w:rFonts w:hint="eastAsia" w:ascii="宋体" w:hAnsi="宋体" w:eastAsia="宋体" w:cs="宋体"/>
          <w:b w:val="0"/>
          <w:bCs w:val="0"/>
          <w:color w:val="auto"/>
          <w:sz w:val="24"/>
          <w:szCs w:val="24"/>
          <w:highlight w:val="none"/>
        </w:rPr>
        <w:t>（</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，由授权代表在磋商响应截止时间前递交至开标地点。若电子磋商响应文件正常解锁，则U盘退还给供应商；若解锁失败，则由采购代理机构将U盘中的备份文件上传，该U盘将由采购代理机构保存。</w:t>
      </w:r>
    </w:p>
    <w:p w14:paraId="453B02DC">
      <w:pPr>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本次开标不提供现场视频。</w:t>
      </w:r>
    </w:p>
    <w:p w14:paraId="03894E8E">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九．磋商保证金：无</w:t>
      </w:r>
    </w:p>
    <w:p w14:paraId="5A0C85A5">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十．公告期限：3个工作日</w:t>
      </w:r>
    </w:p>
    <w:p w14:paraId="182B84E0">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十一．联系方式：</w:t>
      </w:r>
    </w:p>
    <w:p w14:paraId="65823718">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1．采购代理机构名称：</w:t>
      </w:r>
      <w:r>
        <w:rPr>
          <w:rFonts w:hint="eastAsia" w:ascii="宋体" w:hAnsi="宋体" w:cs="宋体"/>
          <w:color w:val="auto"/>
          <w:sz w:val="24"/>
          <w:szCs w:val="24"/>
          <w:highlight w:val="none"/>
          <w:lang w:eastAsia="zh-CN"/>
        </w:rPr>
        <w:t>绍兴成言工程咨询管理有限公司</w:t>
      </w:r>
    </w:p>
    <w:p w14:paraId="477F7A1E">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val="en-US" w:eastAsia="zh-CN"/>
        </w:rPr>
        <w:t>周吉</w:t>
      </w:r>
      <w:r>
        <w:rPr>
          <w:rFonts w:hint="eastAsia" w:ascii="宋体" w:hAnsi="宋体" w:eastAsia="宋体" w:cs="宋体"/>
          <w:color w:val="auto"/>
          <w:sz w:val="24"/>
          <w:szCs w:val="24"/>
          <w:highlight w:val="none"/>
        </w:rPr>
        <w:t xml:space="preserve">             </w:t>
      </w:r>
    </w:p>
    <w:p w14:paraId="7F57EB77">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cs="宋体"/>
          <w:color w:val="auto"/>
          <w:sz w:val="24"/>
          <w:szCs w:val="24"/>
          <w:highlight w:val="none"/>
          <w:lang w:val="en-US" w:eastAsia="zh-CN"/>
        </w:rPr>
        <w:t>18757549398</w:t>
      </w:r>
      <w:r>
        <w:rPr>
          <w:rFonts w:hint="eastAsia" w:ascii="宋体" w:hAnsi="宋体" w:eastAsia="宋体" w:cs="宋体"/>
          <w:color w:val="auto"/>
          <w:sz w:val="24"/>
          <w:szCs w:val="24"/>
          <w:highlight w:val="none"/>
        </w:rPr>
        <w:t xml:space="preserve">           </w:t>
      </w:r>
    </w:p>
    <w:p w14:paraId="1EC84720">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val="en-US" w:eastAsia="zh-CN"/>
        </w:rPr>
        <w:t>章女士</w:t>
      </w:r>
    </w:p>
    <w:p w14:paraId="20F7BEB4">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质疑联系方式：</w:t>
      </w:r>
      <w:r>
        <w:rPr>
          <w:rFonts w:hint="eastAsia" w:ascii="宋体" w:hAnsi="宋体" w:cs="宋体"/>
          <w:color w:val="auto"/>
          <w:sz w:val="24"/>
          <w:szCs w:val="24"/>
          <w:highlight w:val="none"/>
          <w:lang w:val="en-US" w:eastAsia="zh-CN"/>
        </w:rPr>
        <w:t>15925899100</w:t>
      </w:r>
    </w:p>
    <w:p w14:paraId="3CE6340E">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绍兴市上虞区梁祝大道2385号万金大厦24楼</w:t>
      </w:r>
      <w:r>
        <w:rPr>
          <w:rFonts w:hint="eastAsia" w:ascii="宋体" w:hAnsi="宋体" w:eastAsia="宋体" w:cs="宋体"/>
          <w:color w:val="auto"/>
          <w:sz w:val="24"/>
          <w:szCs w:val="24"/>
          <w:highlight w:val="none"/>
        </w:rPr>
        <w:t xml:space="preserve"> </w:t>
      </w:r>
    </w:p>
    <w:p w14:paraId="2C26F941">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2．采购人名称：</w:t>
      </w:r>
      <w:r>
        <w:rPr>
          <w:rFonts w:hint="eastAsia" w:ascii="宋体" w:hAnsi="宋体" w:cs="宋体"/>
          <w:color w:val="auto"/>
          <w:sz w:val="24"/>
          <w:szCs w:val="24"/>
          <w:highlight w:val="none"/>
          <w:lang w:eastAsia="zh-CN"/>
        </w:rPr>
        <w:t>绍兴市上虞区市场监督管理局</w:t>
      </w:r>
    </w:p>
    <w:p w14:paraId="6CA523DC">
      <w:pPr>
        <w:adjustRightIn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王先生</w:t>
      </w:r>
    </w:p>
    <w:p w14:paraId="3518C0C4">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项目联系方式（询问）：13857595992</w:t>
      </w:r>
    </w:p>
    <w:p w14:paraId="056CDDA8">
      <w:pPr>
        <w:adjustRightIn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:许女士</w:t>
      </w:r>
    </w:p>
    <w:p w14:paraId="0D835267">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质疑联系方式：0575-89280852</w:t>
      </w:r>
    </w:p>
    <w:p w14:paraId="470C9696">
      <w:pPr>
        <w:adjustRightInd w:val="0"/>
        <w:spacing w:line="360" w:lineRule="auto"/>
        <w:ind w:firstLine="480" w:firstLineChars="200"/>
        <w:rPr>
          <w:rFonts w:hint="eastAsia" w:eastAsia="宋体"/>
          <w:lang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上虞区曹娥街道人民大道中段418号</w:t>
      </w:r>
    </w:p>
    <w:p w14:paraId="65D5DD34">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3．同级政府采购监督管理部门名称：上虞区财政局政府采购监管科</w:t>
      </w:r>
    </w:p>
    <w:p w14:paraId="5053002A">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联系人：谷先生</w:t>
      </w:r>
    </w:p>
    <w:p w14:paraId="69AAEDF1">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监督投诉电话：0575-82130212</w:t>
      </w:r>
    </w:p>
    <w:p w14:paraId="6B033F74">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传真：0575-82130212</w:t>
      </w:r>
    </w:p>
    <w:p w14:paraId="77DA7962">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地址：绍兴市上虞区体育场路18号</w:t>
      </w:r>
    </w:p>
    <w:p w14:paraId="5AFD7F65">
      <w:pPr>
        <w:pStyle w:val="2"/>
        <w:bidi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bookmarkStart w:id="7" w:name="_Toc29834"/>
      <w:bookmarkStart w:id="8" w:name="_Toc28272"/>
      <w:bookmarkStart w:id="9" w:name="_Toc546"/>
      <w:r>
        <w:rPr>
          <w:rStyle w:val="33"/>
          <w:rFonts w:hint="eastAsia" w:ascii="宋体" w:hAnsi="宋体" w:eastAsia="宋体" w:cs="宋体"/>
          <w:b/>
          <w:bCs/>
          <w:color w:val="auto"/>
          <w:sz w:val="36"/>
          <w:szCs w:val="36"/>
          <w:highlight w:val="none"/>
        </w:rPr>
        <w:t>第二部分</w:t>
      </w:r>
      <w:bookmarkEnd w:id="3"/>
      <w:bookmarkEnd w:id="4"/>
      <w:r>
        <w:rPr>
          <w:rStyle w:val="33"/>
          <w:rFonts w:hint="eastAsia" w:ascii="宋体" w:hAnsi="宋体" w:eastAsia="宋体" w:cs="宋体"/>
          <w:b/>
          <w:bCs/>
          <w:color w:val="auto"/>
          <w:sz w:val="36"/>
          <w:szCs w:val="36"/>
          <w:highlight w:val="none"/>
        </w:rPr>
        <w:t>供应商须知</w:t>
      </w:r>
      <w:bookmarkEnd w:id="7"/>
      <w:bookmarkEnd w:id="8"/>
      <w:bookmarkEnd w:id="9"/>
    </w:p>
    <w:p w14:paraId="478D77E5">
      <w:pPr>
        <w:widowControl/>
        <w:adjustRightInd w:val="0"/>
        <w:snapToGrid w:val="0"/>
        <w:spacing w:line="360" w:lineRule="auto"/>
        <w:jc w:val="center"/>
        <w:rPr>
          <w:rFonts w:hint="eastAsia" w:ascii="宋体" w:hAnsi="宋体" w:eastAsia="宋体" w:cs="宋体"/>
          <w:b/>
          <w:bCs/>
          <w:snapToGrid w:val="0"/>
          <w:color w:val="auto"/>
          <w:kern w:val="0"/>
          <w:sz w:val="32"/>
          <w:szCs w:val="32"/>
          <w:highlight w:val="none"/>
        </w:rPr>
      </w:pPr>
      <w:r>
        <w:rPr>
          <w:rFonts w:hint="eastAsia" w:ascii="宋体" w:hAnsi="宋体" w:eastAsia="宋体" w:cs="宋体"/>
          <w:b/>
          <w:bCs/>
          <w:snapToGrid w:val="0"/>
          <w:color w:val="auto"/>
          <w:kern w:val="0"/>
          <w:sz w:val="30"/>
          <w:szCs w:val="30"/>
          <w:highlight w:val="none"/>
        </w:rPr>
        <w:t>供应商须知前附表</w:t>
      </w:r>
    </w:p>
    <w:tbl>
      <w:tblPr>
        <w:tblStyle w:val="25"/>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01CCA0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30A26895">
            <w:pP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序号</w:t>
            </w:r>
          </w:p>
        </w:tc>
        <w:tc>
          <w:tcPr>
            <w:tcW w:w="1800" w:type="dxa"/>
            <w:tcBorders>
              <w:top w:val="double" w:color="auto" w:sz="4" w:space="0"/>
            </w:tcBorders>
            <w:vAlign w:val="center"/>
          </w:tcPr>
          <w:p w14:paraId="67B247A2">
            <w:pP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项目</w:t>
            </w:r>
          </w:p>
        </w:tc>
        <w:tc>
          <w:tcPr>
            <w:tcW w:w="6682" w:type="dxa"/>
            <w:tcBorders>
              <w:top w:val="double" w:color="auto" w:sz="4" w:space="0"/>
            </w:tcBorders>
            <w:vAlign w:val="center"/>
          </w:tcPr>
          <w:p w14:paraId="543BB841">
            <w:pP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内容</w:t>
            </w:r>
          </w:p>
        </w:tc>
      </w:tr>
      <w:tr w14:paraId="44CCF9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25DFBA09">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w:t>
            </w:r>
          </w:p>
        </w:tc>
        <w:tc>
          <w:tcPr>
            <w:tcW w:w="1800" w:type="dxa"/>
            <w:vAlign w:val="center"/>
          </w:tcPr>
          <w:p w14:paraId="5FB0E936">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项目名称</w:t>
            </w:r>
          </w:p>
        </w:tc>
        <w:tc>
          <w:tcPr>
            <w:tcW w:w="6682" w:type="dxa"/>
            <w:vAlign w:val="center"/>
          </w:tcPr>
          <w:p w14:paraId="0CCC9A8E">
            <w:pPr>
              <w:snapToGrid w:val="0"/>
              <w:ind w:firstLine="420" w:firstLineChars="200"/>
              <w:rPr>
                <w:rFonts w:hint="eastAsia" w:ascii="宋体" w:hAnsi="宋体" w:eastAsia="宋体" w:cs="宋体"/>
                <w:snapToGrid w:val="0"/>
                <w:color w:val="auto"/>
                <w:kern w:val="0"/>
                <w:highlight w:val="none"/>
                <w:lang w:eastAsia="zh-CN"/>
              </w:rPr>
            </w:pPr>
            <w:r>
              <w:rPr>
                <w:rFonts w:hint="eastAsia" w:ascii="宋体" w:hAnsi="宋体" w:cs="宋体"/>
                <w:snapToGrid w:val="0"/>
                <w:color w:val="auto"/>
                <w:kern w:val="0"/>
                <w:highlight w:val="none"/>
                <w:lang w:eastAsia="zh-CN"/>
              </w:rPr>
              <w:t>2024年上虞区企业信用云平台服务器等设备维保服务</w:t>
            </w:r>
          </w:p>
        </w:tc>
      </w:tr>
      <w:tr w14:paraId="1550DD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20CF6564">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w:t>
            </w:r>
          </w:p>
        </w:tc>
        <w:tc>
          <w:tcPr>
            <w:tcW w:w="1800" w:type="dxa"/>
            <w:vAlign w:val="center"/>
          </w:tcPr>
          <w:p w14:paraId="6FC7987C">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服务周期</w:t>
            </w:r>
          </w:p>
        </w:tc>
        <w:tc>
          <w:tcPr>
            <w:tcW w:w="6682" w:type="dxa"/>
            <w:vAlign w:val="center"/>
          </w:tcPr>
          <w:p w14:paraId="3E56EAFE">
            <w:pPr>
              <w:ind w:firstLine="422" w:firstLineChars="200"/>
              <w:rPr>
                <w:rFonts w:hint="eastAsia" w:ascii="宋体" w:hAnsi="宋体" w:eastAsia="宋体" w:cs="宋体"/>
                <w:color w:val="auto"/>
                <w:highlight w:val="none"/>
              </w:rPr>
            </w:pPr>
            <w:r>
              <w:rPr>
                <w:rFonts w:hint="eastAsia" w:ascii="宋体" w:hAnsi="宋体" w:eastAsia="宋体" w:cs="宋体"/>
                <w:b/>
                <w:bCs/>
                <w:snapToGrid w:val="0"/>
                <w:color w:val="auto"/>
                <w:kern w:val="0"/>
                <w:highlight w:val="none"/>
              </w:rPr>
              <w:t>自合同签订之日起至合同履行完毕</w:t>
            </w:r>
          </w:p>
        </w:tc>
      </w:tr>
      <w:tr w14:paraId="7541E7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302F89E8">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w:t>
            </w:r>
          </w:p>
        </w:tc>
        <w:tc>
          <w:tcPr>
            <w:tcW w:w="1800" w:type="dxa"/>
            <w:vAlign w:val="center"/>
          </w:tcPr>
          <w:p w14:paraId="2A4B628D">
            <w:pP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最高限价</w:t>
            </w:r>
          </w:p>
        </w:tc>
        <w:tc>
          <w:tcPr>
            <w:tcW w:w="6682" w:type="dxa"/>
            <w:vAlign w:val="center"/>
          </w:tcPr>
          <w:p w14:paraId="06A186B9">
            <w:pPr>
              <w:snapToGrid w:val="0"/>
              <w:ind w:firstLine="420" w:firstLineChars="200"/>
              <w:rPr>
                <w:rFonts w:hint="eastAsia" w:ascii="宋体" w:hAnsi="宋体" w:eastAsia="宋体" w:cs="宋体"/>
                <w:b/>
                <w:bCs/>
                <w:snapToGrid w:val="0"/>
                <w:color w:val="auto"/>
                <w:kern w:val="0"/>
                <w:highlight w:val="none"/>
              </w:rPr>
            </w:pPr>
            <w:r>
              <w:rPr>
                <w:rFonts w:hint="eastAsia" w:ascii="宋体" w:hAnsi="宋体" w:eastAsia="宋体" w:cs="宋体"/>
                <w:b w:val="0"/>
                <w:bCs w:val="0"/>
                <w:color w:val="auto"/>
                <w:highlight w:val="none"/>
              </w:rPr>
              <w:t>本项目最高限价人民币</w:t>
            </w:r>
            <w:r>
              <w:rPr>
                <w:rFonts w:hint="eastAsia" w:ascii="宋体" w:hAnsi="宋体" w:eastAsia="宋体" w:cs="宋体"/>
                <w:b w:val="0"/>
                <w:bCs w:val="0"/>
                <w:color w:val="auto"/>
                <w:highlight w:val="none"/>
                <w:u w:val="single"/>
                <w:lang w:val="en-US" w:eastAsia="zh-CN"/>
              </w:rPr>
              <w:t xml:space="preserve"> </w:t>
            </w:r>
            <w:r>
              <w:rPr>
                <w:rFonts w:hint="eastAsia" w:ascii="宋体" w:hAnsi="宋体" w:cs="宋体"/>
                <w:b w:val="0"/>
                <w:bCs w:val="0"/>
                <w:color w:val="auto"/>
                <w:highlight w:val="none"/>
                <w:u w:val="single"/>
                <w:lang w:val="en-US" w:eastAsia="zh-CN"/>
              </w:rPr>
              <w:t>40.5</w:t>
            </w:r>
            <w:r>
              <w:rPr>
                <w:rFonts w:hint="eastAsia" w:ascii="宋体" w:hAnsi="宋体" w:eastAsia="宋体" w:cs="宋体"/>
                <w:b w:val="0"/>
                <w:bCs w:val="0"/>
                <w:color w:val="auto"/>
                <w:highlight w:val="none"/>
              </w:rPr>
              <w:t>万元。</w:t>
            </w:r>
          </w:p>
        </w:tc>
      </w:tr>
      <w:tr w14:paraId="569F29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648" w:type="dxa"/>
            <w:vAlign w:val="center"/>
          </w:tcPr>
          <w:p w14:paraId="1743615F">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4</w:t>
            </w:r>
          </w:p>
        </w:tc>
        <w:tc>
          <w:tcPr>
            <w:tcW w:w="1800" w:type="dxa"/>
            <w:vAlign w:val="center"/>
          </w:tcPr>
          <w:p w14:paraId="0367349D">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资格审查方式</w:t>
            </w:r>
          </w:p>
        </w:tc>
        <w:tc>
          <w:tcPr>
            <w:tcW w:w="6682" w:type="dxa"/>
            <w:vAlign w:val="center"/>
          </w:tcPr>
          <w:p w14:paraId="68B771F1">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资格审查是指开标后，磋商小组将依据法律法规和磋商文件的规定对供应商的资格进行审查。</w:t>
            </w:r>
          </w:p>
        </w:tc>
      </w:tr>
      <w:tr w14:paraId="69CD0A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vAlign w:val="center"/>
          </w:tcPr>
          <w:p w14:paraId="73D76495">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w:t>
            </w:r>
          </w:p>
        </w:tc>
        <w:tc>
          <w:tcPr>
            <w:tcW w:w="1800" w:type="dxa"/>
            <w:vAlign w:val="center"/>
          </w:tcPr>
          <w:p w14:paraId="5FB7DCB3">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踏勘现场</w:t>
            </w:r>
          </w:p>
        </w:tc>
        <w:tc>
          <w:tcPr>
            <w:tcW w:w="6682" w:type="dxa"/>
            <w:vAlign w:val="center"/>
          </w:tcPr>
          <w:p w14:paraId="09D0DE46">
            <w:pPr>
              <w:snapToGrid w:val="0"/>
              <w:ind w:firstLine="42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本项目不组织现场踏勘</w:t>
            </w:r>
          </w:p>
        </w:tc>
      </w:tr>
      <w:tr w14:paraId="4D61CD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648" w:type="dxa"/>
            <w:vAlign w:val="center"/>
          </w:tcPr>
          <w:p w14:paraId="0E8D9A2D">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w:t>
            </w:r>
          </w:p>
        </w:tc>
        <w:tc>
          <w:tcPr>
            <w:tcW w:w="1800" w:type="dxa"/>
            <w:vAlign w:val="center"/>
          </w:tcPr>
          <w:p w14:paraId="15C73BB6">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询问</w:t>
            </w:r>
          </w:p>
        </w:tc>
        <w:tc>
          <w:tcPr>
            <w:tcW w:w="6682" w:type="dxa"/>
            <w:vAlign w:val="center"/>
          </w:tcPr>
          <w:p w14:paraId="4A13719C">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szCs w:val="21"/>
                <w:highlight w:val="none"/>
              </w:rPr>
              <w:t>供应商对政府采购活动事项有疑问的，可以向采购机构提出询问，采购人或者招标代理机构应当在3个工作日内对供应商依法提出的询问作出答复，但答复的内容不得涉及商业秘密。</w:t>
            </w:r>
          </w:p>
        </w:tc>
      </w:tr>
      <w:tr w14:paraId="01D865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39" w:hRule="atLeast"/>
          <w:jc w:val="center"/>
        </w:trPr>
        <w:tc>
          <w:tcPr>
            <w:tcW w:w="648" w:type="dxa"/>
            <w:vAlign w:val="center"/>
          </w:tcPr>
          <w:p w14:paraId="30B9FC39">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w:t>
            </w:r>
          </w:p>
        </w:tc>
        <w:tc>
          <w:tcPr>
            <w:tcW w:w="1800" w:type="dxa"/>
            <w:vAlign w:val="center"/>
          </w:tcPr>
          <w:p w14:paraId="77E1ACEE">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磋商文件的澄清与修改</w:t>
            </w:r>
          </w:p>
        </w:tc>
        <w:tc>
          <w:tcPr>
            <w:tcW w:w="6682" w:type="dxa"/>
            <w:vAlign w:val="center"/>
          </w:tcPr>
          <w:p w14:paraId="7215C8B9">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szCs w:val="21"/>
                <w:highlight w:val="none"/>
              </w:rPr>
              <w:t>招标采购单位可以对已发出的</w:t>
            </w:r>
            <w:r>
              <w:rPr>
                <w:rFonts w:hint="eastAsia" w:ascii="宋体" w:hAnsi="宋体" w:eastAsia="宋体" w:cs="宋体"/>
                <w:snapToGrid w:val="0"/>
                <w:color w:val="auto"/>
                <w:kern w:val="0"/>
                <w:szCs w:val="21"/>
                <w:highlight w:val="none"/>
                <w:lang w:eastAsia="zh-CN"/>
              </w:rPr>
              <w:t>磋商文件</w:t>
            </w:r>
            <w:r>
              <w:rPr>
                <w:rFonts w:hint="eastAsia" w:ascii="宋体" w:hAnsi="宋体" w:eastAsia="宋体" w:cs="宋体"/>
                <w:snapToGrid w:val="0"/>
                <w:color w:val="auto"/>
                <w:kern w:val="0"/>
                <w:szCs w:val="21"/>
                <w:highlight w:val="none"/>
              </w:rPr>
              <w:t>进行必要澄清或者修改，澄清或者修改的内容可能影响</w:t>
            </w:r>
            <w:r>
              <w:rPr>
                <w:rFonts w:hint="eastAsia" w:ascii="宋体" w:hAnsi="宋体" w:eastAsia="宋体" w:cs="宋体"/>
                <w:snapToGrid w:val="0"/>
                <w:color w:val="auto"/>
                <w:kern w:val="0"/>
                <w:szCs w:val="21"/>
                <w:highlight w:val="none"/>
                <w:lang w:eastAsia="zh-CN"/>
              </w:rPr>
              <w:t>磋商响应文件</w:t>
            </w:r>
            <w:r>
              <w:rPr>
                <w:rFonts w:hint="eastAsia" w:ascii="宋体" w:hAnsi="宋体" w:eastAsia="宋体" w:cs="宋体"/>
                <w:snapToGrid w:val="0"/>
                <w:color w:val="auto"/>
                <w:kern w:val="0"/>
                <w:szCs w:val="21"/>
                <w:highlight w:val="none"/>
              </w:rPr>
              <w:t>编制的，应当在</w:t>
            </w:r>
            <w:r>
              <w:rPr>
                <w:rFonts w:hint="eastAsia" w:ascii="宋体" w:hAnsi="宋体" w:eastAsia="宋体" w:cs="宋体"/>
                <w:snapToGrid w:val="0"/>
                <w:color w:val="auto"/>
                <w:kern w:val="0"/>
                <w:szCs w:val="21"/>
                <w:highlight w:val="none"/>
                <w:lang w:eastAsia="zh-CN"/>
              </w:rPr>
              <w:t>磋商文件</w:t>
            </w:r>
            <w:r>
              <w:rPr>
                <w:rFonts w:hint="eastAsia" w:ascii="宋体" w:hAnsi="宋体" w:eastAsia="宋体" w:cs="宋体"/>
                <w:snapToGrid w:val="0"/>
                <w:color w:val="auto"/>
                <w:kern w:val="0"/>
                <w:szCs w:val="21"/>
                <w:highlight w:val="none"/>
              </w:rPr>
              <w:t>要求提交</w:t>
            </w:r>
            <w:r>
              <w:rPr>
                <w:rFonts w:hint="eastAsia" w:ascii="宋体" w:hAnsi="宋体" w:eastAsia="宋体" w:cs="宋体"/>
                <w:snapToGrid w:val="0"/>
                <w:color w:val="auto"/>
                <w:kern w:val="0"/>
                <w:szCs w:val="21"/>
                <w:highlight w:val="none"/>
                <w:lang w:eastAsia="zh-CN"/>
              </w:rPr>
              <w:t>磋商响应文件</w:t>
            </w:r>
            <w:r>
              <w:rPr>
                <w:rFonts w:hint="eastAsia" w:ascii="宋体" w:hAnsi="宋体" w:eastAsia="宋体" w:cs="宋体"/>
                <w:snapToGrid w:val="0"/>
                <w:color w:val="auto"/>
                <w:kern w:val="0"/>
                <w:szCs w:val="21"/>
                <w:highlight w:val="none"/>
              </w:rPr>
              <w:t>截止时间五日前，在招标公告发布的媒体上发布更正公告，该澄清或者修改的内容为</w:t>
            </w:r>
            <w:r>
              <w:rPr>
                <w:rFonts w:hint="eastAsia" w:ascii="宋体" w:hAnsi="宋体" w:eastAsia="宋体" w:cs="宋体"/>
                <w:snapToGrid w:val="0"/>
                <w:color w:val="auto"/>
                <w:kern w:val="0"/>
                <w:szCs w:val="21"/>
                <w:highlight w:val="none"/>
                <w:lang w:eastAsia="zh-CN"/>
              </w:rPr>
              <w:t>磋商文件</w:t>
            </w:r>
            <w:r>
              <w:rPr>
                <w:rFonts w:hint="eastAsia" w:ascii="宋体" w:hAnsi="宋体" w:eastAsia="宋体" w:cs="宋体"/>
                <w:snapToGrid w:val="0"/>
                <w:color w:val="auto"/>
                <w:kern w:val="0"/>
                <w:szCs w:val="21"/>
                <w:highlight w:val="none"/>
              </w:rPr>
              <w:t>的组成部分。本项目</w:t>
            </w:r>
            <w:r>
              <w:rPr>
                <w:rFonts w:hint="eastAsia" w:ascii="宋体" w:hAnsi="宋体" w:eastAsia="宋体" w:cs="宋体"/>
                <w:snapToGrid w:val="0"/>
                <w:color w:val="auto"/>
                <w:kern w:val="0"/>
                <w:szCs w:val="21"/>
                <w:highlight w:val="none"/>
                <w:lang w:eastAsia="zh-CN"/>
              </w:rPr>
              <w:t>磋商文件</w:t>
            </w:r>
            <w:r>
              <w:rPr>
                <w:rFonts w:hint="eastAsia" w:ascii="宋体" w:hAnsi="宋体" w:eastAsia="宋体" w:cs="宋体"/>
                <w:snapToGrid w:val="0"/>
                <w:color w:val="auto"/>
                <w:kern w:val="0"/>
                <w:szCs w:val="21"/>
                <w:highlight w:val="none"/>
              </w:rPr>
              <w:t>和补充（答疑、澄清）、修改文件等请自行登录浙江政府采购网或绍兴市上虞区公共资源交易中心网站查看。</w:t>
            </w:r>
          </w:p>
        </w:tc>
      </w:tr>
      <w:tr w14:paraId="030D7B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648" w:type="dxa"/>
            <w:vAlign w:val="center"/>
          </w:tcPr>
          <w:p w14:paraId="75A1F47D">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8</w:t>
            </w:r>
          </w:p>
        </w:tc>
        <w:tc>
          <w:tcPr>
            <w:tcW w:w="1800" w:type="dxa"/>
            <w:vAlign w:val="center"/>
          </w:tcPr>
          <w:p w14:paraId="39401219">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磋商响应文件组成</w:t>
            </w:r>
          </w:p>
        </w:tc>
        <w:tc>
          <w:tcPr>
            <w:tcW w:w="6682" w:type="dxa"/>
            <w:vAlign w:val="center"/>
          </w:tcPr>
          <w:p w14:paraId="6BC16991">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供应商向采购人递交的响应文件由资格文件、商务技术文件、报价文件三部分组成。</w:t>
            </w:r>
          </w:p>
        </w:tc>
      </w:tr>
      <w:tr w14:paraId="43DF11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48" w:type="dxa"/>
            <w:vAlign w:val="center"/>
          </w:tcPr>
          <w:p w14:paraId="447CCE6E">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w:t>
            </w:r>
          </w:p>
        </w:tc>
        <w:tc>
          <w:tcPr>
            <w:tcW w:w="1800" w:type="dxa"/>
            <w:vAlign w:val="center"/>
          </w:tcPr>
          <w:p w14:paraId="10A6F508">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评标办法</w:t>
            </w:r>
          </w:p>
        </w:tc>
        <w:tc>
          <w:tcPr>
            <w:tcW w:w="6682" w:type="dxa"/>
            <w:vAlign w:val="center"/>
          </w:tcPr>
          <w:p w14:paraId="31D70445">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综合评分法</w:t>
            </w:r>
          </w:p>
        </w:tc>
      </w:tr>
      <w:tr w14:paraId="050B65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AA13402">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w:t>
            </w:r>
          </w:p>
        </w:tc>
        <w:tc>
          <w:tcPr>
            <w:tcW w:w="1800" w:type="dxa"/>
            <w:vAlign w:val="center"/>
          </w:tcPr>
          <w:p w14:paraId="3237E6EF">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磋商响应文件递交地址及截止时间</w:t>
            </w:r>
          </w:p>
        </w:tc>
        <w:tc>
          <w:tcPr>
            <w:tcW w:w="6682" w:type="dxa"/>
            <w:vAlign w:val="center"/>
          </w:tcPr>
          <w:p w14:paraId="6E03D953">
            <w:pPr>
              <w:snapToGrid w:val="0"/>
              <w:ind w:firstLine="420" w:firstLineChars="200"/>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详见磋商公告</w:t>
            </w:r>
          </w:p>
        </w:tc>
      </w:tr>
      <w:tr w14:paraId="50C8D8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8F1BDB2">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w:t>
            </w:r>
          </w:p>
        </w:tc>
        <w:tc>
          <w:tcPr>
            <w:tcW w:w="1800" w:type="dxa"/>
            <w:vAlign w:val="center"/>
          </w:tcPr>
          <w:p w14:paraId="7817AD3B">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开标时间、地点</w:t>
            </w:r>
          </w:p>
        </w:tc>
        <w:tc>
          <w:tcPr>
            <w:tcW w:w="6682" w:type="dxa"/>
            <w:vAlign w:val="center"/>
          </w:tcPr>
          <w:p w14:paraId="0A8F4B2F">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开标时间：</w:t>
            </w:r>
            <w:r>
              <w:rPr>
                <w:rFonts w:hint="eastAsia" w:ascii="宋体" w:hAnsi="宋体" w:eastAsia="宋体" w:cs="宋体"/>
                <w:color w:val="auto"/>
                <w:kern w:val="0"/>
                <w:highlight w:val="none"/>
              </w:rPr>
              <w:t>详见磋商公告</w:t>
            </w:r>
          </w:p>
          <w:p w14:paraId="66190173">
            <w:pPr>
              <w:snapToGrid w:val="0"/>
              <w:ind w:firstLine="420" w:firstLineChars="200"/>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开标地点：</w:t>
            </w:r>
            <w:r>
              <w:rPr>
                <w:rFonts w:hint="eastAsia" w:ascii="宋体" w:hAnsi="宋体" w:eastAsia="宋体" w:cs="宋体"/>
                <w:color w:val="auto"/>
                <w:kern w:val="0"/>
                <w:highlight w:val="none"/>
              </w:rPr>
              <w:t>详见磋商公告</w:t>
            </w:r>
          </w:p>
        </w:tc>
      </w:tr>
      <w:tr w14:paraId="6FB236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C7E989B">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12</w:t>
            </w:r>
          </w:p>
        </w:tc>
        <w:tc>
          <w:tcPr>
            <w:tcW w:w="1800" w:type="dxa"/>
            <w:vAlign w:val="center"/>
          </w:tcPr>
          <w:p w14:paraId="645EB721">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磋商响应文件有效期</w:t>
            </w:r>
          </w:p>
        </w:tc>
        <w:tc>
          <w:tcPr>
            <w:tcW w:w="6682" w:type="dxa"/>
            <w:vAlign w:val="center"/>
          </w:tcPr>
          <w:p w14:paraId="2147CCA2">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响应文件有效期为从提交响应文件的截止之日起90天。供应商的响应文件中承诺的响应文件有效期少于磋商文件中载明的响应文件有效期的，磋商无效。</w:t>
            </w:r>
          </w:p>
        </w:tc>
      </w:tr>
      <w:tr w14:paraId="6A6F00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D6A96E7">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w:t>
            </w:r>
            <w:r>
              <w:rPr>
                <w:rFonts w:hint="eastAsia" w:ascii="宋体" w:hAnsi="宋体" w:cs="宋体"/>
                <w:snapToGrid w:val="0"/>
                <w:color w:val="auto"/>
                <w:kern w:val="0"/>
                <w:highlight w:val="none"/>
                <w:lang w:val="en-US" w:eastAsia="zh-CN"/>
              </w:rPr>
              <w:t>3</w:t>
            </w:r>
          </w:p>
        </w:tc>
        <w:tc>
          <w:tcPr>
            <w:tcW w:w="1800" w:type="dxa"/>
            <w:vAlign w:val="center"/>
          </w:tcPr>
          <w:p w14:paraId="1C053A88">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磋商公告及成交结果公告发布媒体</w:t>
            </w:r>
          </w:p>
        </w:tc>
        <w:tc>
          <w:tcPr>
            <w:tcW w:w="6682" w:type="dxa"/>
            <w:vAlign w:val="center"/>
          </w:tcPr>
          <w:p w14:paraId="310DF432">
            <w:pPr>
              <w:pStyle w:val="12"/>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浙江省政府采购网、绍兴市上虞区公共资源交易中心网站</w:t>
            </w:r>
          </w:p>
        </w:tc>
      </w:tr>
      <w:tr w14:paraId="1D262B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3DB1C48">
            <w:pPr>
              <w:snapToGrid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p>
        </w:tc>
        <w:tc>
          <w:tcPr>
            <w:tcW w:w="1800" w:type="dxa"/>
            <w:vAlign w:val="center"/>
          </w:tcPr>
          <w:p w14:paraId="761BEFFF">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质疑</w:t>
            </w:r>
          </w:p>
        </w:tc>
        <w:tc>
          <w:tcPr>
            <w:tcW w:w="6682" w:type="dxa"/>
            <w:vAlign w:val="center"/>
          </w:tcPr>
          <w:p w14:paraId="4E921834">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根据《中华人民共和国政府采购法》第五十二条、《中华人民共和国政府采购法实施条例》第五十三条、《浙江省政府采购供应商质疑处理办法》的规定：</w:t>
            </w:r>
          </w:p>
          <w:p w14:paraId="38DD6FA6">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文件使自己的权益受到损害的，可以在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w:t>
            </w:r>
          </w:p>
          <w:p w14:paraId="4C13576C">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投标人如认为采购过程使自身的合法权益受到损害的，应于各采购程序环节结束之日起七个工作日内以书面形式向采购机构提出质疑；</w:t>
            </w:r>
          </w:p>
          <w:p w14:paraId="4B371571">
            <w:pPr>
              <w:snapToGrid w:val="0"/>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color w:val="auto"/>
                <w:szCs w:val="21"/>
                <w:highlight w:val="none"/>
              </w:rPr>
              <w:t>投标人如认为中标结果使自身的合法权益受到损害的，应于中标或者成交结果公告期限届满之日起七个工作日内以书面形式向采购机构提出质疑</w:t>
            </w:r>
            <w:r>
              <w:rPr>
                <w:rFonts w:hint="eastAsia" w:ascii="宋体" w:hAnsi="宋体" w:eastAsia="宋体" w:cs="宋体"/>
                <w:snapToGrid w:val="0"/>
                <w:color w:val="auto"/>
                <w:kern w:val="0"/>
                <w:szCs w:val="21"/>
                <w:highlight w:val="none"/>
              </w:rPr>
              <w:t>。</w:t>
            </w:r>
          </w:p>
        </w:tc>
      </w:tr>
      <w:tr w14:paraId="645316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9" w:hRule="atLeast"/>
          <w:jc w:val="center"/>
        </w:trPr>
        <w:tc>
          <w:tcPr>
            <w:tcW w:w="648" w:type="dxa"/>
            <w:vAlign w:val="center"/>
          </w:tcPr>
          <w:p w14:paraId="330D381A">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1</w:t>
            </w:r>
            <w:r>
              <w:rPr>
                <w:rFonts w:hint="eastAsia" w:ascii="宋体" w:hAnsi="宋体" w:cs="宋体"/>
                <w:snapToGrid w:val="0"/>
                <w:color w:val="auto"/>
                <w:kern w:val="0"/>
                <w:highlight w:val="none"/>
                <w:lang w:val="en-US" w:eastAsia="zh-CN"/>
              </w:rPr>
              <w:t>5</w:t>
            </w:r>
          </w:p>
        </w:tc>
        <w:tc>
          <w:tcPr>
            <w:tcW w:w="1800" w:type="dxa"/>
            <w:vAlign w:val="center"/>
          </w:tcPr>
          <w:p w14:paraId="3DFFF932">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投诉</w:t>
            </w:r>
          </w:p>
        </w:tc>
        <w:tc>
          <w:tcPr>
            <w:tcW w:w="6682" w:type="dxa"/>
            <w:vAlign w:val="center"/>
          </w:tcPr>
          <w:p w14:paraId="47396D20">
            <w:pPr>
              <w:snapToGrid w:val="0"/>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szCs w:val="21"/>
                <w:highlight w:val="none"/>
              </w:rPr>
              <w:t>根据《</w:t>
            </w:r>
            <w:r>
              <w:rPr>
                <w:rFonts w:hint="eastAsia" w:ascii="宋体" w:hAnsi="宋体" w:eastAsia="宋体" w:cs="宋体"/>
                <w:color w:val="auto"/>
                <w:szCs w:val="21"/>
                <w:highlight w:val="none"/>
              </w:rPr>
              <w:t>中华人民共和国政府采购法</w:t>
            </w:r>
            <w:r>
              <w:rPr>
                <w:rFonts w:hint="eastAsia" w:ascii="宋体" w:hAnsi="宋体" w:eastAsia="宋体" w:cs="宋体"/>
                <w:snapToGrid w:val="0"/>
                <w:color w:val="auto"/>
                <w:kern w:val="0"/>
                <w:szCs w:val="21"/>
                <w:highlight w:val="none"/>
              </w:rPr>
              <w:t>》第五十五条的规定，质疑供应商对采购人、招标代理机构的答复不满意或者采购人、招标代理机构未在规定的时间内作出答复的，可以在答复期满后十五个工作日内向同级政府采购监督管理部门投诉。</w:t>
            </w:r>
          </w:p>
        </w:tc>
      </w:tr>
      <w:tr w14:paraId="183465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3DBA688">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1</w:t>
            </w:r>
            <w:r>
              <w:rPr>
                <w:rFonts w:hint="eastAsia" w:ascii="宋体" w:hAnsi="宋体" w:cs="宋体"/>
                <w:snapToGrid w:val="0"/>
                <w:color w:val="auto"/>
                <w:kern w:val="0"/>
                <w:highlight w:val="none"/>
                <w:lang w:val="en-US" w:eastAsia="zh-CN"/>
              </w:rPr>
              <w:t>6</w:t>
            </w:r>
          </w:p>
        </w:tc>
        <w:tc>
          <w:tcPr>
            <w:tcW w:w="1800" w:type="dxa"/>
            <w:vAlign w:val="center"/>
          </w:tcPr>
          <w:p w14:paraId="01930BD2">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特别说明</w:t>
            </w:r>
          </w:p>
        </w:tc>
        <w:tc>
          <w:tcPr>
            <w:tcW w:w="6682" w:type="dxa"/>
            <w:vAlign w:val="center"/>
          </w:tcPr>
          <w:p w14:paraId="4C866671">
            <w:pPr>
              <w:pStyle w:val="12"/>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投标人应无条件的、认真仔细的阅读本</w:t>
            </w:r>
            <w:r>
              <w:rPr>
                <w:rFonts w:hint="eastAsia" w:ascii="宋体" w:hAnsi="宋体" w:eastAsia="宋体" w:cs="宋体"/>
                <w:color w:val="auto"/>
                <w:kern w:val="0"/>
                <w:highlight w:val="none"/>
                <w:lang w:eastAsia="zh-CN"/>
              </w:rPr>
              <w:t>磋商文件</w:t>
            </w:r>
            <w:r>
              <w:rPr>
                <w:rFonts w:hint="eastAsia" w:ascii="宋体" w:hAnsi="宋体" w:eastAsia="宋体" w:cs="宋体"/>
                <w:color w:val="auto"/>
                <w:kern w:val="0"/>
                <w:highlight w:val="none"/>
              </w:rPr>
              <w:t>及其澄清答疑、修改答复的补充文件，严格按照</w:t>
            </w:r>
            <w:r>
              <w:rPr>
                <w:rFonts w:hint="eastAsia" w:ascii="宋体" w:hAnsi="宋体" w:eastAsia="宋体" w:cs="宋体"/>
                <w:color w:val="auto"/>
                <w:kern w:val="0"/>
                <w:highlight w:val="none"/>
                <w:lang w:eastAsia="zh-CN"/>
              </w:rPr>
              <w:t>磋商文件</w:t>
            </w:r>
            <w:r>
              <w:rPr>
                <w:rFonts w:hint="eastAsia" w:ascii="宋体" w:hAnsi="宋体" w:eastAsia="宋体" w:cs="宋体"/>
                <w:color w:val="auto"/>
                <w:kern w:val="0"/>
                <w:highlight w:val="none"/>
              </w:rPr>
              <w:t>及补充文件的规定和要求编制</w:t>
            </w:r>
            <w:r>
              <w:rPr>
                <w:rFonts w:hint="eastAsia" w:ascii="宋体" w:hAnsi="宋体" w:eastAsia="宋体" w:cs="宋体"/>
                <w:color w:val="auto"/>
                <w:kern w:val="0"/>
                <w:highlight w:val="none"/>
                <w:lang w:eastAsia="zh-CN"/>
              </w:rPr>
              <w:t>磋商响应文件</w:t>
            </w:r>
            <w:r>
              <w:rPr>
                <w:rFonts w:hint="eastAsia" w:ascii="宋体" w:hAnsi="宋体" w:eastAsia="宋体" w:cs="宋体"/>
                <w:color w:val="auto"/>
                <w:kern w:val="0"/>
                <w:highlight w:val="none"/>
              </w:rPr>
              <w:t>。在编制</w:t>
            </w:r>
            <w:r>
              <w:rPr>
                <w:rFonts w:hint="eastAsia" w:ascii="宋体" w:hAnsi="宋体" w:eastAsia="宋体" w:cs="宋体"/>
                <w:color w:val="auto"/>
                <w:kern w:val="0"/>
                <w:highlight w:val="none"/>
                <w:lang w:eastAsia="zh-CN"/>
              </w:rPr>
              <w:t>磋商响应文件</w:t>
            </w:r>
            <w:r>
              <w:rPr>
                <w:rFonts w:hint="eastAsia" w:ascii="宋体" w:hAnsi="宋体" w:eastAsia="宋体" w:cs="宋体"/>
                <w:color w:val="auto"/>
                <w:kern w:val="0"/>
                <w:highlight w:val="none"/>
              </w:rPr>
              <w:t>过程中，应严格遵循实事求是、诚信投标的原则，针对</w:t>
            </w:r>
            <w:r>
              <w:rPr>
                <w:rFonts w:hint="eastAsia" w:ascii="宋体" w:hAnsi="宋体" w:eastAsia="宋体" w:cs="宋体"/>
                <w:color w:val="auto"/>
                <w:kern w:val="0"/>
                <w:highlight w:val="none"/>
                <w:lang w:eastAsia="zh-CN"/>
              </w:rPr>
              <w:t>磋商文件</w:t>
            </w:r>
            <w:r>
              <w:rPr>
                <w:rFonts w:hint="eastAsia" w:ascii="宋体" w:hAnsi="宋体" w:eastAsia="宋体" w:cs="宋体"/>
                <w:color w:val="auto"/>
                <w:kern w:val="0"/>
                <w:highlight w:val="none"/>
              </w:rPr>
              <w:t>中的采购需求、合同条款等各项内容进行确认，如有偏离，应如实填写响应偏离表。</w:t>
            </w:r>
          </w:p>
          <w:p w14:paraId="0A629BAA">
            <w:pPr>
              <w:pStyle w:val="12"/>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251F28E8">
            <w:pPr>
              <w:pStyle w:val="12"/>
              <w:snapToGrid w:val="0"/>
              <w:ind w:firstLine="420" w:firstLineChars="200"/>
              <w:jc w:val="left"/>
              <w:rPr>
                <w:rFonts w:hint="eastAsia" w:ascii="宋体" w:hAnsi="宋体" w:eastAsia="宋体" w:cs="宋体"/>
                <w:b/>
                <w:bCs/>
                <w:color w:val="auto"/>
                <w:kern w:val="0"/>
                <w:highlight w:val="none"/>
              </w:rPr>
            </w:pPr>
            <w:r>
              <w:rPr>
                <w:rFonts w:hint="eastAsia" w:ascii="宋体" w:hAnsi="宋体" w:eastAsia="宋体" w:cs="宋体"/>
                <w:color w:val="auto"/>
                <w:kern w:val="0"/>
                <w:highlight w:val="none"/>
                <w:lang w:eastAsia="zh-CN"/>
              </w:rPr>
              <w:t>磋商文件</w:t>
            </w:r>
            <w:r>
              <w:rPr>
                <w:rFonts w:hint="eastAsia" w:ascii="宋体" w:hAnsi="宋体" w:eastAsia="宋体" w:cs="宋体"/>
                <w:color w:val="auto"/>
                <w:kern w:val="0"/>
                <w:highlight w:val="none"/>
              </w:rPr>
              <w:t>中凡标注“</w:t>
            </w:r>
            <w:r>
              <w:rPr>
                <w:rFonts w:hint="eastAsia" w:ascii="宋体" w:hAnsi="宋体" w:eastAsia="宋体" w:cs="宋体"/>
                <w:color w:val="auto"/>
                <w:highlight w:val="none"/>
              </w:rPr>
              <w:t>★</w:t>
            </w:r>
            <w:r>
              <w:rPr>
                <w:rFonts w:hint="eastAsia" w:ascii="宋体" w:hAnsi="宋体" w:eastAsia="宋体" w:cs="宋体"/>
                <w:color w:val="auto"/>
                <w:kern w:val="0"/>
                <w:highlight w:val="none"/>
              </w:rPr>
              <w:t>”的条款均为实质性要求，不响应的</w:t>
            </w:r>
            <w:r>
              <w:rPr>
                <w:rFonts w:hint="eastAsia" w:ascii="宋体" w:hAnsi="宋体" w:eastAsia="宋体" w:cs="宋体"/>
                <w:color w:val="auto"/>
                <w:kern w:val="0"/>
                <w:highlight w:val="none"/>
                <w:lang w:eastAsia="zh-CN"/>
              </w:rPr>
              <w:t>磋商响应文件</w:t>
            </w:r>
            <w:r>
              <w:rPr>
                <w:rFonts w:hint="eastAsia" w:ascii="宋体" w:hAnsi="宋体" w:eastAsia="宋体" w:cs="宋体"/>
                <w:color w:val="auto"/>
                <w:kern w:val="0"/>
                <w:highlight w:val="none"/>
              </w:rPr>
              <w:t>将作无效标处理。</w:t>
            </w:r>
          </w:p>
        </w:tc>
      </w:tr>
      <w:tr w14:paraId="0AC0B5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38" w:hRule="atLeast"/>
          <w:jc w:val="center"/>
        </w:trPr>
        <w:tc>
          <w:tcPr>
            <w:tcW w:w="648" w:type="dxa"/>
            <w:vAlign w:val="center"/>
          </w:tcPr>
          <w:p w14:paraId="64CAD7E3">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1</w:t>
            </w:r>
            <w:r>
              <w:rPr>
                <w:rFonts w:hint="eastAsia" w:ascii="宋体" w:hAnsi="宋体" w:cs="宋体"/>
                <w:snapToGrid w:val="0"/>
                <w:color w:val="auto"/>
                <w:kern w:val="0"/>
                <w:highlight w:val="none"/>
                <w:lang w:val="en-US" w:eastAsia="zh-CN"/>
              </w:rPr>
              <w:t>7</w:t>
            </w:r>
          </w:p>
        </w:tc>
        <w:tc>
          <w:tcPr>
            <w:tcW w:w="1800" w:type="dxa"/>
            <w:vAlign w:val="center"/>
          </w:tcPr>
          <w:p w14:paraId="57742A92">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支</w:t>
            </w:r>
          </w:p>
          <w:p w14:paraId="2237BE90">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持</w:t>
            </w:r>
          </w:p>
          <w:p w14:paraId="6556FA0D">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中</w:t>
            </w:r>
          </w:p>
          <w:p w14:paraId="2DD0791C">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小</w:t>
            </w:r>
          </w:p>
          <w:p w14:paraId="6E43704E">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企</w:t>
            </w:r>
          </w:p>
          <w:p w14:paraId="63A1047C">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业</w:t>
            </w:r>
          </w:p>
          <w:p w14:paraId="28FAE36B">
            <w:pPr>
              <w:snapToGrid w:val="0"/>
              <w:jc w:val="center"/>
              <w:rPr>
                <w:rFonts w:hint="eastAsia" w:ascii="宋体" w:hAnsi="宋体" w:eastAsia="宋体" w:cs="宋体"/>
                <w:color w:val="auto"/>
                <w:highlight w:val="none"/>
              </w:rPr>
            </w:pPr>
          </w:p>
        </w:tc>
        <w:tc>
          <w:tcPr>
            <w:tcW w:w="6682" w:type="dxa"/>
            <w:vAlign w:val="center"/>
          </w:tcPr>
          <w:p w14:paraId="5E9B865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402048D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14:paraId="105AA22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2DF5815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在服务采购项目中，服务由小微企业承接，即提供服务的人员为小微企业依照《中华人民共和国劳动合同法》订立劳动合同的从业人员。</w:t>
            </w:r>
          </w:p>
          <w:p w14:paraId="6DEEDCA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联合体各方均为小型、微型企业的，联合体视同为小型、微型企业。</w:t>
            </w:r>
          </w:p>
          <w:p w14:paraId="7503F8A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815B73">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31699CC7">
            <w:pPr>
              <w:ind w:firstLine="420" w:firstLineChars="200"/>
              <w:rPr>
                <w:rFonts w:hint="eastAsia" w:ascii="宋体" w:hAnsi="宋体" w:eastAsia="宋体" w:cs="宋体"/>
                <w:color w:val="auto"/>
                <w:highlight w:val="yellow"/>
              </w:rPr>
            </w:pPr>
            <w:r>
              <w:rPr>
                <w:rFonts w:hint="eastAsia" w:ascii="宋体" w:hAnsi="宋体" w:eastAsia="宋体" w:cs="宋体"/>
                <w:color w:val="auto"/>
                <w:highlight w:val="none"/>
              </w:rPr>
              <w:t>组成联合体或者接受分包的小微企业与联合体内其他企业、分包企业之间存在直接控股、管理关系的，不享受价格扣除优惠政策。</w:t>
            </w:r>
          </w:p>
        </w:tc>
      </w:tr>
      <w:tr w14:paraId="698DB0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737512FE">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1</w:t>
            </w:r>
            <w:r>
              <w:rPr>
                <w:rFonts w:hint="eastAsia" w:ascii="宋体" w:hAnsi="宋体" w:cs="宋体"/>
                <w:snapToGrid w:val="0"/>
                <w:color w:val="auto"/>
                <w:kern w:val="0"/>
                <w:highlight w:val="none"/>
                <w:lang w:val="en-US" w:eastAsia="zh-CN"/>
              </w:rPr>
              <w:t>8</w:t>
            </w:r>
          </w:p>
        </w:tc>
        <w:tc>
          <w:tcPr>
            <w:tcW w:w="1800" w:type="dxa"/>
            <w:vAlign w:val="center"/>
          </w:tcPr>
          <w:p w14:paraId="0428C86E">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招标代理服务费</w:t>
            </w:r>
          </w:p>
        </w:tc>
        <w:tc>
          <w:tcPr>
            <w:tcW w:w="6682" w:type="dxa"/>
            <w:vAlign w:val="center"/>
          </w:tcPr>
          <w:p w14:paraId="1FB28E62">
            <w:pPr>
              <w:autoSpaceDN w:val="0"/>
              <w:spacing w:line="340" w:lineRule="exac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招标代理服务费由成交供应商支付，按下列服务招标计算方式计取。</w:t>
            </w:r>
          </w:p>
          <w:tbl>
            <w:tblPr>
              <w:tblStyle w:val="25"/>
              <w:tblW w:w="4986"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70"/>
              <w:gridCol w:w="1060"/>
              <w:gridCol w:w="1060"/>
              <w:gridCol w:w="1028"/>
            </w:tblGrid>
            <w:tr w14:paraId="16CB74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14:paraId="0DAAD7D4">
                  <w:pPr>
                    <w:jc w:val="center"/>
                    <w:rPr>
                      <w:rFonts w:hint="eastAsia" w:ascii="宋体" w:hAnsi="宋体" w:eastAsia="宋体" w:cs="宋体"/>
                      <w:color w:val="auto"/>
                      <w:highlight w:val="none"/>
                    </w:rPr>
                  </w:pPr>
                  <w:r>
                    <w:rPr>
                      <w:rFonts w:hint="eastAsia" w:ascii="宋体" w:hAnsi="宋体" w:eastAsia="宋体" w:cs="宋体"/>
                      <w:color w:val="auto"/>
                      <w:highlight w:val="none"/>
                    </w:rPr>
                    <w:t>服务类型 中标金额（万元）</w:t>
                  </w:r>
                </w:p>
              </w:tc>
              <w:tc>
                <w:tcPr>
                  <w:tcW w:w="825" w:type="pct"/>
                  <w:tcBorders>
                    <w:top w:val="outset" w:color="auto" w:sz="6" w:space="0"/>
                    <w:left w:val="outset" w:color="auto" w:sz="6" w:space="0"/>
                    <w:bottom w:val="outset" w:color="auto" w:sz="6" w:space="0"/>
                    <w:right w:val="outset" w:color="auto" w:sz="6" w:space="0"/>
                  </w:tcBorders>
                  <w:noWrap/>
                  <w:vAlign w:val="center"/>
                </w:tcPr>
                <w:p w14:paraId="06C05A57">
                  <w:pPr>
                    <w:widowControl/>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825" w:type="pct"/>
                  <w:tcBorders>
                    <w:top w:val="outset" w:color="auto" w:sz="6" w:space="0"/>
                    <w:left w:val="outset" w:color="auto" w:sz="6" w:space="0"/>
                    <w:bottom w:val="outset" w:color="auto" w:sz="6" w:space="0"/>
                    <w:right w:val="outset" w:color="auto" w:sz="6" w:space="0"/>
                  </w:tcBorders>
                  <w:noWrap/>
                  <w:vAlign w:val="center"/>
                </w:tcPr>
                <w:p w14:paraId="127FDAE1">
                  <w:pPr>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800" w:type="pct"/>
                  <w:tcBorders>
                    <w:top w:val="outset" w:color="auto" w:sz="6" w:space="0"/>
                    <w:left w:val="outset" w:color="auto" w:sz="6" w:space="0"/>
                    <w:bottom w:val="outset" w:color="auto" w:sz="6" w:space="0"/>
                    <w:right w:val="outset" w:color="auto" w:sz="6" w:space="0"/>
                  </w:tcBorders>
                  <w:noWrap/>
                  <w:vAlign w:val="center"/>
                </w:tcPr>
                <w:p w14:paraId="39C1DAB0">
                  <w:pPr>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24EE59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14:paraId="0B1D933C">
                  <w:pPr>
                    <w:jc w:val="center"/>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825" w:type="pct"/>
                  <w:tcBorders>
                    <w:top w:val="outset" w:color="auto" w:sz="6" w:space="0"/>
                    <w:left w:val="outset" w:color="auto" w:sz="6" w:space="0"/>
                    <w:bottom w:val="outset" w:color="auto" w:sz="6" w:space="0"/>
                    <w:right w:val="outset" w:color="auto" w:sz="6" w:space="0"/>
                  </w:tcBorders>
                  <w:noWrap/>
                  <w:vAlign w:val="center"/>
                </w:tcPr>
                <w:p w14:paraId="26402056">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825" w:type="pct"/>
                  <w:tcBorders>
                    <w:top w:val="outset" w:color="auto" w:sz="6" w:space="0"/>
                    <w:left w:val="outset" w:color="auto" w:sz="6" w:space="0"/>
                    <w:bottom w:val="outset" w:color="auto" w:sz="6" w:space="0"/>
                    <w:right w:val="outset" w:color="auto" w:sz="6" w:space="0"/>
                  </w:tcBorders>
                  <w:noWrap/>
                  <w:vAlign w:val="center"/>
                </w:tcPr>
                <w:p w14:paraId="765211CD">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800" w:type="pct"/>
                  <w:tcBorders>
                    <w:top w:val="outset" w:color="auto" w:sz="6" w:space="0"/>
                    <w:left w:val="outset" w:color="auto" w:sz="6" w:space="0"/>
                    <w:bottom w:val="outset" w:color="auto" w:sz="6" w:space="0"/>
                    <w:right w:val="outset" w:color="auto" w:sz="6" w:space="0"/>
                  </w:tcBorders>
                  <w:noWrap/>
                  <w:vAlign w:val="center"/>
                </w:tcPr>
                <w:p w14:paraId="71C35D0E">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bl>
          <w:p w14:paraId="082569DE">
            <w:pPr>
              <w:spacing w:line="340" w:lineRule="exact"/>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结算方式及时间为：在领取中标通知书前由成交供应商一次性向采购代理机构付清。</w:t>
            </w:r>
          </w:p>
        </w:tc>
      </w:tr>
      <w:tr w14:paraId="63570D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3FCCF31B">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19</w:t>
            </w:r>
          </w:p>
        </w:tc>
        <w:tc>
          <w:tcPr>
            <w:tcW w:w="1800" w:type="dxa"/>
            <w:vAlign w:val="center"/>
          </w:tcPr>
          <w:p w14:paraId="30209211">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是否允许分包</w:t>
            </w:r>
          </w:p>
        </w:tc>
        <w:tc>
          <w:tcPr>
            <w:tcW w:w="6682" w:type="dxa"/>
            <w:vAlign w:val="center"/>
          </w:tcPr>
          <w:p w14:paraId="4FD6A2D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u w:val="single"/>
              </w:rPr>
              <w:t>不允许</w:t>
            </w:r>
            <w:r>
              <w:rPr>
                <w:rFonts w:hint="eastAsia" w:ascii="宋体" w:hAnsi="宋体" w:eastAsia="宋体" w:cs="宋体"/>
                <w:color w:val="auto"/>
                <w:highlight w:val="none"/>
              </w:rPr>
              <w:t>分包</w:t>
            </w:r>
          </w:p>
        </w:tc>
      </w:tr>
      <w:tr w14:paraId="39F548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648" w:type="dxa"/>
            <w:vAlign w:val="center"/>
          </w:tcPr>
          <w:p w14:paraId="31225490">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cs="宋体"/>
                <w:snapToGrid w:val="0"/>
                <w:color w:val="auto"/>
                <w:kern w:val="0"/>
                <w:highlight w:val="none"/>
                <w:lang w:val="en-US" w:eastAsia="zh-CN"/>
              </w:rPr>
              <w:t>0</w:t>
            </w:r>
          </w:p>
        </w:tc>
        <w:tc>
          <w:tcPr>
            <w:tcW w:w="1800" w:type="dxa"/>
            <w:tcBorders>
              <w:top w:val="single" w:color="auto" w:sz="4" w:space="0"/>
            </w:tcBorders>
            <w:vAlign w:val="center"/>
          </w:tcPr>
          <w:p w14:paraId="00984E1E">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是否提供演示</w:t>
            </w:r>
          </w:p>
        </w:tc>
        <w:tc>
          <w:tcPr>
            <w:tcW w:w="6682" w:type="dxa"/>
            <w:tcBorders>
              <w:top w:val="single" w:color="auto" w:sz="4" w:space="0"/>
            </w:tcBorders>
            <w:vAlign w:val="center"/>
          </w:tcPr>
          <w:p w14:paraId="1CC2382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u w:val="single"/>
              </w:rPr>
              <w:t>不需要</w:t>
            </w:r>
            <w:r>
              <w:rPr>
                <w:rFonts w:hint="eastAsia" w:ascii="宋体" w:hAnsi="宋体" w:eastAsia="宋体" w:cs="宋体"/>
                <w:color w:val="auto"/>
                <w:highlight w:val="none"/>
              </w:rPr>
              <w:t>提供演示。</w:t>
            </w:r>
          </w:p>
        </w:tc>
      </w:tr>
      <w:tr w14:paraId="626591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9" w:hRule="atLeast"/>
          <w:jc w:val="center"/>
        </w:trPr>
        <w:tc>
          <w:tcPr>
            <w:tcW w:w="648" w:type="dxa"/>
            <w:vAlign w:val="center"/>
          </w:tcPr>
          <w:p w14:paraId="505C9DC3">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cs="宋体"/>
                <w:snapToGrid w:val="0"/>
                <w:color w:val="auto"/>
                <w:kern w:val="0"/>
                <w:highlight w:val="none"/>
                <w:lang w:val="en-US" w:eastAsia="zh-CN"/>
              </w:rPr>
              <w:t>1</w:t>
            </w:r>
          </w:p>
        </w:tc>
        <w:tc>
          <w:tcPr>
            <w:tcW w:w="1800" w:type="dxa"/>
            <w:vAlign w:val="center"/>
          </w:tcPr>
          <w:p w14:paraId="779D314F">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供应商信用信息查询渠道及截止时点、信用信息查询记录和证据留存的具体方式、信用信息的使用规则</w:t>
            </w:r>
          </w:p>
        </w:tc>
        <w:tc>
          <w:tcPr>
            <w:tcW w:w="6682" w:type="dxa"/>
            <w:vAlign w:val="center"/>
          </w:tcPr>
          <w:p w14:paraId="0C69CF5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1、查询渠道：信用中国（网址：http://www.creditchina.gov.cn）、中国政府采购网(网址：http://www.ccgp.gov.cn）。</w:t>
            </w:r>
          </w:p>
          <w:p w14:paraId="0462C0B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2、截止时点：开标后评标前。</w:t>
            </w:r>
          </w:p>
          <w:p w14:paraId="43E4494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3、信用信息查询记录和证据留存的具体方式：由采购组织机构在规定查询时间内打印信用信息查询记录并归入项目档案。</w:t>
            </w:r>
          </w:p>
          <w:p w14:paraId="60577223">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335C4B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48" w:type="dxa"/>
            <w:vMerge w:val="restart"/>
            <w:vAlign w:val="center"/>
          </w:tcPr>
          <w:p w14:paraId="5EB5C0DF">
            <w:pPr>
              <w:snapToGrid w:val="0"/>
              <w:spacing w:line="360" w:lineRule="exact"/>
              <w:jc w:val="center"/>
              <w:rPr>
                <w:rFonts w:hint="default" w:ascii="宋体" w:hAnsi="宋体" w:eastAsia="宋体" w:cs="宋体"/>
                <w:snapToGrid w:val="0"/>
                <w:color w:val="auto"/>
                <w:kern w:val="0"/>
                <w:highlight w:val="none"/>
                <w:lang w:val="en-US"/>
              </w:rPr>
            </w:pPr>
            <w:r>
              <w:rPr>
                <w:rFonts w:hint="eastAsia" w:ascii="宋体" w:hAnsi="宋体" w:eastAsia="宋体" w:cs="宋体"/>
                <w:snapToGrid w:val="0"/>
                <w:color w:val="auto"/>
                <w:kern w:val="0"/>
                <w:szCs w:val="21"/>
                <w:lang w:val="en-US" w:eastAsia="zh-CN"/>
              </w:rPr>
              <w:t>22</w:t>
            </w:r>
          </w:p>
        </w:tc>
        <w:tc>
          <w:tcPr>
            <w:tcW w:w="1800" w:type="dxa"/>
            <w:vMerge w:val="restart"/>
            <w:vAlign w:val="center"/>
          </w:tcPr>
          <w:p w14:paraId="0B373865">
            <w:pPr>
              <w:snapToGrid w:val="0"/>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预付款</w:t>
            </w:r>
          </w:p>
        </w:tc>
        <w:tc>
          <w:tcPr>
            <w:tcW w:w="6682" w:type="dxa"/>
            <w:vAlign w:val="center"/>
          </w:tcPr>
          <w:p w14:paraId="60A01B8E">
            <w:pPr>
              <w:ind w:firstLine="480" w:firstLineChars="200"/>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本项目涉及预付款，预付款比例为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50</w:t>
            </w:r>
            <w:r>
              <w:rPr>
                <w:rFonts w:hint="eastAsia" w:ascii="宋体" w:hAnsi="宋体" w:eastAsia="宋体" w:cs="宋体"/>
                <w:color w:val="auto"/>
                <w:sz w:val="24"/>
                <w:szCs w:val="24"/>
                <w:highlight w:val="none"/>
                <w:u w:val="single"/>
                <w:lang w:val="en-US" w:eastAsia="zh-CN"/>
              </w:rPr>
              <w:t xml:space="preserve"> %</w:t>
            </w:r>
          </w:p>
        </w:tc>
      </w:tr>
      <w:tr w14:paraId="7A7FDF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48" w:type="dxa"/>
            <w:vMerge w:val="continue"/>
            <w:vAlign w:val="center"/>
          </w:tcPr>
          <w:p w14:paraId="00798F80">
            <w:pPr>
              <w:snapToGrid w:val="0"/>
              <w:spacing w:line="360" w:lineRule="exact"/>
              <w:jc w:val="center"/>
            </w:pPr>
          </w:p>
        </w:tc>
        <w:tc>
          <w:tcPr>
            <w:tcW w:w="1800" w:type="dxa"/>
            <w:vMerge w:val="continue"/>
            <w:vAlign w:val="center"/>
          </w:tcPr>
          <w:p w14:paraId="42652D8E">
            <w:pPr>
              <w:snapToGrid w:val="0"/>
              <w:jc w:val="center"/>
            </w:pPr>
          </w:p>
        </w:tc>
        <w:tc>
          <w:tcPr>
            <w:tcW w:w="6682" w:type="dxa"/>
            <w:vAlign w:val="top"/>
          </w:tcPr>
          <w:p w14:paraId="6C93923C">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根据《浙江省财政厅关于进一步发挥政府采购政策功能全力推动经济稳进提质的通知》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浙财采监〔2022）3号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二条第</w:t>
            </w: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点</w:t>
            </w:r>
            <w:r>
              <w:rPr>
                <w:rFonts w:hint="eastAsia" w:ascii="宋体" w:hAnsi="宋体" w:eastAsia="宋体" w:cs="宋体"/>
                <w:color w:val="auto"/>
                <w:sz w:val="21"/>
                <w:szCs w:val="21"/>
                <w:highlight w:val="none"/>
              </w:rPr>
              <w:t>关于“进一步提高政府采购预付款比例”的规定</w:t>
            </w:r>
            <w:r>
              <w:rPr>
                <w:rFonts w:hint="eastAsia" w:ascii="宋体" w:hAnsi="宋体" w:eastAsia="宋体" w:cs="宋体"/>
                <w:color w:val="auto"/>
                <w:sz w:val="21"/>
                <w:szCs w:val="21"/>
                <w:highlight w:val="none"/>
                <w:lang w:eastAsia="zh-CN"/>
              </w:rPr>
              <w:t>：</w:t>
            </w:r>
          </w:p>
          <w:p w14:paraId="1084E2BE">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1、采购单位</w:t>
            </w:r>
            <w:r>
              <w:rPr>
                <w:rFonts w:hint="eastAsia" w:ascii="宋体" w:hAnsi="宋体" w:eastAsia="宋体" w:cs="宋体"/>
                <w:color w:val="auto"/>
                <w:sz w:val="21"/>
                <w:szCs w:val="21"/>
                <w:highlight w:val="none"/>
                <w:lang w:eastAsia="zh-CN"/>
              </w:rPr>
              <w:t>应当在政府采购合同中约定预付款。</w:t>
            </w:r>
          </w:p>
          <w:p w14:paraId="3744257F">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项目涉及中小企业合同预付款的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合同签订后，采购人可以</w:t>
            </w:r>
            <w:r>
              <w:rPr>
                <w:rFonts w:hint="eastAsia" w:ascii="宋体" w:hAnsi="宋体" w:eastAsia="宋体" w:cs="宋体"/>
                <w:color w:val="auto"/>
                <w:sz w:val="21"/>
                <w:szCs w:val="21"/>
                <w:highlight w:val="none"/>
                <w:lang w:eastAsia="zh-CN"/>
              </w:rPr>
              <w:t>根据项目特点、供应商诚信等因素</w:t>
            </w:r>
            <w:r>
              <w:rPr>
                <w:rFonts w:hint="eastAsia" w:ascii="宋体" w:hAnsi="宋体" w:eastAsia="宋体" w:cs="宋体"/>
                <w:color w:val="auto"/>
                <w:sz w:val="21"/>
                <w:szCs w:val="21"/>
                <w:highlight w:val="none"/>
              </w:rPr>
              <w:t>要求中标人</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银行、保险公司等金融机构出具的预付款保函或其他担保措施，采购人</w:t>
            </w:r>
            <w:r>
              <w:rPr>
                <w:rFonts w:hint="eastAsia" w:ascii="宋体" w:hAnsi="宋体" w:eastAsia="宋体" w:cs="宋体"/>
                <w:color w:val="auto"/>
                <w:sz w:val="21"/>
                <w:szCs w:val="21"/>
                <w:highlight w:val="none"/>
                <w:lang w:eastAsia="zh-CN"/>
              </w:rPr>
              <w:t>在合同生效以及具备实施条件后</w:t>
            </w:r>
            <w:r>
              <w:rPr>
                <w:rFonts w:hint="eastAsia" w:ascii="宋体" w:hAnsi="宋体" w:eastAsia="宋体" w:cs="宋体"/>
                <w:color w:val="auto"/>
                <w:sz w:val="21"/>
                <w:szCs w:val="21"/>
                <w:highlight w:val="none"/>
                <w:lang w:val="en-US" w:eastAsia="zh-CN"/>
              </w:rPr>
              <w:t>7个工作日内</w:t>
            </w:r>
            <w:r>
              <w:rPr>
                <w:rFonts w:hint="eastAsia" w:ascii="宋体" w:hAnsi="宋体" w:eastAsia="宋体" w:cs="宋体"/>
                <w:color w:val="auto"/>
                <w:sz w:val="21"/>
                <w:szCs w:val="21"/>
                <w:highlight w:val="none"/>
              </w:rPr>
              <w:t>向中标人支付</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0%-70%的合同款作为预付款（项目为分年安排预算的，预付款按年度计划支付资金额的上述比例执行）；项目如以人工投入为主，采购人</w:t>
            </w:r>
            <w:r>
              <w:rPr>
                <w:rFonts w:hint="eastAsia" w:ascii="宋体" w:hAnsi="宋体" w:eastAsia="宋体" w:cs="宋体"/>
                <w:color w:val="auto"/>
                <w:sz w:val="21"/>
                <w:szCs w:val="21"/>
                <w:highlight w:val="none"/>
                <w:lang w:eastAsia="zh-CN"/>
              </w:rPr>
              <w:t>在合同生效以及具备实施条件后</w:t>
            </w:r>
            <w:r>
              <w:rPr>
                <w:rFonts w:hint="eastAsia" w:ascii="宋体" w:hAnsi="宋体" w:eastAsia="宋体" w:cs="宋体"/>
                <w:color w:val="auto"/>
                <w:sz w:val="21"/>
                <w:szCs w:val="21"/>
                <w:highlight w:val="none"/>
                <w:lang w:val="en-US" w:eastAsia="zh-CN"/>
              </w:rPr>
              <w:t>7个工作日内</w:t>
            </w:r>
            <w:r>
              <w:rPr>
                <w:rFonts w:hint="eastAsia" w:ascii="宋体" w:hAnsi="宋体" w:eastAsia="宋体" w:cs="宋体"/>
                <w:color w:val="auto"/>
                <w:sz w:val="21"/>
                <w:szCs w:val="21"/>
                <w:highlight w:val="none"/>
              </w:rPr>
              <w:t>向中标人支付20%-70%的合同款作为预付款。</w:t>
            </w:r>
          </w:p>
          <w:p w14:paraId="51238634">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本项目涉及投标人为大型企业，或者以人工投入为主且实行按月定期结算支付款项的，预付款可低于上述比例或者不约定预付款</w:t>
            </w:r>
            <w:r>
              <w:rPr>
                <w:rFonts w:hint="eastAsia" w:ascii="宋体" w:hAnsi="宋体" w:eastAsia="宋体" w:cs="宋体"/>
                <w:color w:val="auto"/>
                <w:sz w:val="21"/>
                <w:szCs w:val="21"/>
                <w:highlight w:val="none"/>
                <w:lang w:eastAsia="zh-CN"/>
              </w:rPr>
              <w:t>（相应字样应在合同中体现）</w:t>
            </w:r>
            <w:r>
              <w:rPr>
                <w:rFonts w:hint="eastAsia" w:ascii="宋体" w:hAnsi="宋体" w:eastAsia="宋体" w:cs="宋体"/>
                <w:color w:val="auto"/>
                <w:sz w:val="21"/>
                <w:szCs w:val="21"/>
                <w:highlight w:val="none"/>
              </w:rPr>
              <w:t>。</w:t>
            </w:r>
          </w:p>
          <w:p w14:paraId="2776A138">
            <w:pPr>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在签订合同时，中标人明确表示无需预付款或者主动要求降低预付款比例的，</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提交相应申请函经采购人确认后，可不适用前述规定。</w:t>
            </w:r>
          </w:p>
        </w:tc>
      </w:tr>
      <w:tr w14:paraId="380FD3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16D5D4F">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cs="宋体"/>
                <w:snapToGrid w:val="0"/>
                <w:color w:val="auto"/>
                <w:kern w:val="0"/>
                <w:highlight w:val="none"/>
                <w:lang w:val="en-US" w:eastAsia="zh-CN"/>
              </w:rPr>
              <w:t>3</w:t>
            </w:r>
          </w:p>
        </w:tc>
        <w:tc>
          <w:tcPr>
            <w:tcW w:w="1800" w:type="dxa"/>
            <w:vAlign w:val="center"/>
          </w:tcPr>
          <w:p w14:paraId="21839741">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金融支持</w:t>
            </w:r>
          </w:p>
        </w:tc>
        <w:tc>
          <w:tcPr>
            <w:tcW w:w="6682" w:type="dxa"/>
            <w:vAlign w:val="center"/>
          </w:tcPr>
          <w:p w14:paraId="2814455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为支持和促进中小企业发展，进一步发挥政府采购政策功能，企业若有融资意向，</w:t>
            </w:r>
            <w:r>
              <w:rPr>
                <w:rFonts w:hint="eastAsia" w:ascii="宋体" w:hAnsi="宋体" w:cs="宋体"/>
                <w:color w:val="auto"/>
                <w:highlight w:val="none"/>
                <w:lang w:eastAsia="zh-CN"/>
              </w:rPr>
              <w:t>可登录</w:t>
            </w:r>
            <w:r>
              <w:rPr>
                <w:rFonts w:hint="eastAsia" w:ascii="宋体" w:hAnsi="宋体" w:eastAsia="宋体" w:cs="宋体"/>
                <w:color w:val="auto"/>
                <w:highlight w:val="none"/>
              </w:rPr>
              <w:t>政采云平台融资服务（https://jinrong.zcygov.cn/），查看相应融资政策文件及各相关银行服务方案。</w:t>
            </w:r>
          </w:p>
        </w:tc>
      </w:tr>
      <w:tr w14:paraId="22F499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4E9E19D6">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24</w:t>
            </w:r>
          </w:p>
        </w:tc>
        <w:tc>
          <w:tcPr>
            <w:tcW w:w="1800" w:type="dxa"/>
            <w:tcBorders>
              <w:bottom w:val="double" w:color="auto" w:sz="4" w:space="0"/>
            </w:tcBorders>
            <w:vAlign w:val="center"/>
          </w:tcPr>
          <w:p w14:paraId="3E544EEB">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6682" w:type="dxa"/>
            <w:tcBorders>
              <w:bottom w:val="double" w:color="auto" w:sz="4" w:space="0"/>
            </w:tcBorders>
            <w:vAlign w:val="center"/>
          </w:tcPr>
          <w:p w14:paraId="0C05B4BE">
            <w:pPr>
              <w:numPr>
                <w:ilvl w:val="0"/>
                <w:numId w:val="7"/>
              </w:num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本磋商文件要求提供的身份证复印件皆需提供正反面，否则按不提供处理。</w:t>
            </w:r>
          </w:p>
          <w:p w14:paraId="2B2C9749">
            <w:pPr>
              <w:numPr>
                <w:ilvl w:val="0"/>
                <w:numId w:val="7"/>
              </w:numPr>
              <w:ind w:firstLine="420" w:firstLineChars="200"/>
              <w:rPr>
                <w:rFonts w:hint="eastAsia" w:ascii="宋体" w:hAnsi="宋体" w:cs="宋体"/>
                <w:b w:val="0"/>
                <w:bCs w:val="0"/>
                <w:color w:val="auto"/>
                <w:highlight w:val="none"/>
              </w:rPr>
            </w:pPr>
            <w:r>
              <w:rPr>
                <w:rFonts w:hint="eastAsia" w:ascii="宋体" w:hAnsi="宋体" w:eastAsia="宋体" w:cs="宋体"/>
                <w:color w:val="auto"/>
                <w:highlight w:val="none"/>
                <w:lang w:val="en-US" w:eastAsia="zh-CN"/>
              </w:rPr>
              <w:t>本项目货物如涉及柴油动力移动源，柴油动力移动源应当符合低排放要求。</w:t>
            </w:r>
          </w:p>
        </w:tc>
      </w:tr>
    </w:tbl>
    <w:p w14:paraId="1695F7C8">
      <w:pPr>
        <w:pStyle w:val="6"/>
        <w:spacing w:line="360" w:lineRule="auto"/>
        <w:rPr>
          <w:rFonts w:hint="eastAsia" w:ascii="宋体" w:hAnsi="宋体" w:eastAsia="宋体" w:cs="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sz w:val="24"/>
          <w:szCs w:val="24"/>
          <w:highlight w:val="none"/>
        </w:rPr>
        <w:t>注：以上内容如有变化将另行通知。如通知其中某一内容发生变化，其余未提及的将不作变动。</w:t>
      </w:r>
    </w:p>
    <w:p w14:paraId="7DF21BA5">
      <w:pPr>
        <w:pStyle w:val="3"/>
        <w:numPr>
          <w:ilvl w:val="0"/>
          <w:numId w:val="8"/>
        </w:numPr>
        <w:bidi w:val="0"/>
        <w:rPr>
          <w:rFonts w:hint="eastAsia"/>
        </w:rPr>
      </w:pPr>
      <w:bookmarkStart w:id="10" w:name="_Toc18864"/>
      <w:bookmarkStart w:id="11" w:name="_Toc25187"/>
      <w:r>
        <w:rPr>
          <w:rFonts w:hint="eastAsia"/>
        </w:rPr>
        <w:t>总则</w:t>
      </w:r>
      <w:bookmarkEnd w:id="10"/>
      <w:bookmarkEnd w:id="11"/>
    </w:p>
    <w:p w14:paraId="497E71B3">
      <w:pPr>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198E2A53">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1、适用范围</w:t>
      </w:r>
    </w:p>
    <w:p w14:paraId="4F776CB3">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1.1本次磋商工作仅适用于</w:t>
      </w:r>
      <w:r>
        <w:rPr>
          <w:rFonts w:hint="eastAsia" w:ascii="宋体" w:hAnsi="宋体" w:cs="宋体"/>
          <w:color w:val="auto"/>
          <w:sz w:val="24"/>
          <w:szCs w:val="24"/>
          <w:highlight w:val="none"/>
          <w:u w:val="single"/>
          <w:lang w:eastAsia="zh-CN"/>
        </w:rPr>
        <w:t>2024年上虞区企业信用云平台服务器等设备维保服务</w:t>
      </w:r>
      <w:r>
        <w:rPr>
          <w:rFonts w:hint="eastAsia" w:ascii="宋体" w:hAnsi="宋体" w:eastAsia="宋体" w:cs="宋体"/>
          <w:color w:val="auto"/>
          <w:sz w:val="24"/>
          <w:szCs w:val="24"/>
          <w:highlight w:val="none"/>
        </w:rPr>
        <w:t>。</w:t>
      </w:r>
    </w:p>
    <w:p w14:paraId="7E6DBA5A">
      <w:pPr>
        <w:pStyle w:val="22"/>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1.2本项目采购方式采用竞争性磋商方式。</w:t>
      </w:r>
    </w:p>
    <w:p w14:paraId="1860F40F">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2、定义</w:t>
      </w:r>
    </w:p>
    <w:p w14:paraId="1855DCDF">
      <w:pPr>
        <w:spacing w:line="33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zh-CN"/>
        </w:rPr>
        <w:t>采购人”系指</w:t>
      </w:r>
      <w:r>
        <w:rPr>
          <w:rFonts w:hint="eastAsia" w:ascii="宋体" w:hAnsi="宋体" w:cs="宋体"/>
          <w:color w:val="auto"/>
          <w:sz w:val="24"/>
          <w:szCs w:val="24"/>
          <w:highlight w:val="none"/>
          <w:u w:val="single"/>
          <w:lang w:eastAsia="zh-CN"/>
        </w:rPr>
        <w:t>绍兴市上虞区市场监督管理局</w:t>
      </w:r>
      <w:r>
        <w:rPr>
          <w:rFonts w:hint="eastAsia" w:ascii="宋体" w:hAnsi="宋体" w:eastAsia="宋体" w:cs="宋体"/>
          <w:color w:val="auto"/>
          <w:sz w:val="24"/>
          <w:szCs w:val="24"/>
          <w:highlight w:val="none"/>
        </w:rPr>
        <w:t>。采购人委托</w:t>
      </w:r>
      <w:r>
        <w:rPr>
          <w:rFonts w:hint="eastAsia" w:ascii="宋体" w:hAnsi="宋体" w:cs="宋体"/>
          <w:color w:val="auto"/>
          <w:sz w:val="24"/>
          <w:szCs w:val="24"/>
          <w:highlight w:val="none"/>
          <w:u w:val="single"/>
          <w:lang w:eastAsia="zh-CN"/>
        </w:rPr>
        <w:t>绍兴成言工程咨询管理有限公司</w:t>
      </w:r>
      <w:r>
        <w:rPr>
          <w:rFonts w:hint="eastAsia" w:ascii="宋体" w:hAnsi="宋体" w:eastAsia="宋体" w:cs="宋体"/>
          <w:color w:val="auto"/>
          <w:sz w:val="24"/>
          <w:szCs w:val="24"/>
          <w:highlight w:val="none"/>
        </w:rPr>
        <w:t>为本项目采购代理机构。</w:t>
      </w:r>
    </w:p>
    <w:p w14:paraId="3DB80F40">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2.2“磋商供应商”系指响应本次采购，参加本次竞争性磋商的供应商。</w:t>
      </w:r>
    </w:p>
    <w:p w14:paraId="4E50E4CC">
      <w:pPr>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zh-CN"/>
        </w:rPr>
        <w:t>“服务”系指</w:t>
      </w:r>
      <w:r>
        <w:rPr>
          <w:rFonts w:hint="eastAsia" w:ascii="宋体" w:hAnsi="宋体" w:eastAsia="宋体" w:cs="宋体"/>
          <w:color w:val="auto"/>
          <w:sz w:val="24"/>
          <w:szCs w:val="24"/>
          <w:highlight w:val="none"/>
        </w:rPr>
        <w:t>磋商供应商按合同规定，须承担的服务的义务</w:t>
      </w:r>
      <w:r>
        <w:rPr>
          <w:rFonts w:hint="eastAsia" w:ascii="宋体" w:hAnsi="宋体" w:eastAsia="宋体" w:cs="宋体"/>
          <w:color w:val="auto"/>
          <w:sz w:val="24"/>
          <w:szCs w:val="24"/>
          <w:highlight w:val="none"/>
          <w:lang w:val="zh-CN"/>
        </w:rPr>
        <w:t>。</w:t>
      </w:r>
    </w:p>
    <w:p w14:paraId="08D84543">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3、采购项目概况</w:t>
      </w:r>
      <w:r>
        <w:rPr>
          <w:rFonts w:hint="eastAsia" w:ascii="宋体" w:hAnsi="宋体" w:eastAsia="宋体" w:cs="宋体"/>
          <w:b w:val="0"/>
          <w:bCs w:val="0"/>
          <w:color w:val="auto"/>
          <w:sz w:val="24"/>
          <w:szCs w:val="24"/>
          <w:highlight w:val="none"/>
        </w:rPr>
        <w:tab/>
      </w:r>
      <w:r>
        <w:rPr>
          <w:rFonts w:hint="eastAsia" w:ascii="宋体" w:hAnsi="宋体" w:eastAsia="宋体" w:cs="宋体"/>
          <w:b/>
          <w:bCs/>
          <w:color w:val="auto"/>
          <w:sz w:val="24"/>
          <w:szCs w:val="24"/>
          <w:highlight w:val="none"/>
        </w:rPr>
        <w:tab/>
      </w:r>
    </w:p>
    <w:p w14:paraId="111361D2">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详见竞争性磋商公告相关内容，主要要求参见本文件第</w:t>
      </w:r>
      <w:r>
        <w:rPr>
          <w:rFonts w:hint="eastAsia" w:ascii="宋体" w:hAnsi="宋体" w:eastAsia="宋体" w:cs="宋体"/>
          <w:color w:val="auto"/>
          <w:sz w:val="24"/>
          <w:szCs w:val="24"/>
          <w:highlight w:val="none"/>
          <w:u w:val="single"/>
        </w:rPr>
        <w:t>三</w:t>
      </w:r>
      <w:r>
        <w:rPr>
          <w:rFonts w:hint="eastAsia" w:ascii="宋体" w:hAnsi="宋体" w:eastAsia="宋体" w:cs="宋体"/>
          <w:color w:val="auto"/>
          <w:sz w:val="24"/>
          <w:szCs w:val="24"/>
          <w:highlight w:val="none"/>
        </w:rPr>
        <w:t>部分。</w:t>
      </w:r>
    </w:p>
    <w:p w14:paraId="49FDCA6D">
      <w:pPr>
        <w:adjustRightIn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4、合格的磋商供应商</w:t>
      </w:r>
    </w:p>
    <w:p w14:paraId="116F09B5">
      <w:pPr>
        <w:spacing w:line="336" w:lineRule="auto"/>
        <w:ind w:firstLine="480" w:firstLineChars="200"/>
        <w:rPr>
          <w:rFonts w:hint="eastAsia" w:ascii="宋体" w:hAnsi="宋体" w:eastAsia="宋体" w:cs="宋体"/>
          <w:color w:val="auto"/>
          <w:sz w:val="24"/>
          <w:szCs w:val="24"/>
          <w:highlight w:val="none"/>
        </w:rPr>
      </w:pPr>
      <w:bookmarkStart w:id="12" w:name="_Toc197156227"/>
      <w:bookmarkStart w:id="13" w:name="_Toc208913145"/>
      <w:bookmarkStart w:id="14" w:name="_Toc193523219"/>
      <w:bookmarkStart w:id="15" w:name="_Toc207946571"/>
      <w:bookmarkStart w:id="16" w:name="_Toc197053926"/>
      <w:bookmarkStart w:id="17" w:name="_Toc204683265"/>
      <w:bookmarkStart w:id="18" w:name="_Toc209504018"/>
      <w:bookmarkStart w:id="19" w:name="_Toc197657950"/>
      <w:bookmarkStart w:id="20" w:name="_Toc209520993"/>
      <w:bookmarkStart w:id="21" w:name="_Toc197163261"/>
      <w:bookmarkStart w:id="22" w:name="_Toc211412066"/>
      <w:bookmarkStart w:id="23" w:name="_Toc209435242"/>
      <w:bookmarkStart w:id="24" w:name="_Toc208287611"/>
      <w:bookmarkStart w:id="25" w:name="_Toc193538208"/>
      <w:r>
        <w:rPr>
          <w:rFonts w:hint="eastAsia" w:ascii="宋体" w:hAnsi="宋体" w:eastAsia="宋体" w:cs="宋体"/>
          <w:color w:val="auto"/>
          <w:sz w:val="24"/>
          <w:szCs w:val="24"/>
          <w:highlight w:val="none"/>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D096384">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5、磋商费用</w:t>
      </w:r>
    </w:p>
    <w:p w14:paraId="7E7620DF">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磋商供应商应承担其参加磋商所涉及的一切费用，不管结果如何，采购人对上述费用不负任何责任。</w:t>
      </w:r>
    </w:p>
    <w:p w14:paraId="12590649">
      <w:pPr>
        <w:pStyle w:val="3"/>
        <w:numPr>
          <w:ilvl w:val="0"/>
          <w:numId w:val="8"/>
        </w:numPr>
        <w:bidi w:val="0"/>
        <w:rPr>
          <w:rFonts w:hint="eastAsia"/>
        </w:rPr>
      </w:pPr>
      <w:bookmarkStart w:id="26" w:name="_Toc11814"/>
      <w:bookmarkStart w:id="27" w:name="_Toc25923"/>
      <w:bookmarkStart w:id="28" w:name="_Toc416992151"/>
      <w:bookmarkStart w:id="29" w:name="_Toc32689"/>
      <w:bookmarkStart w:id="30" w:name="_Toc21952"/>
      <w:r>
        <w:rPr>
          <w:rFonts w:hint="eastAsia"/>
        </w:rPr>
        <w:t>竞争性磋商文件</w:t>
      </w:r>
      <w:bookmarkEnd w:id="26"/>
      <w:bookmarkEnd w:id="27"/>
      <w:bookmarkEnd w:id="28"/>
      <w:bookmarkEnd w:id="29"/>
      <w:bookmarkEnd w:id="30"/>
    </w:p>
    <w:p w14:paraId="0ADE13E7">
      <w:pPr>
        <w:adjustRightIn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6、磋商文件的组成</w:t>
      </w:r>
    </w:p>
    <w:p w14:paraId="187E9AE5">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6.1本磋商文件包括目录所示内容及所有按本须知发出的补充资料（如果有）。</w:t>
      </w:r>
    </w:p>
    <w:p w14:paraId="03889A38">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6.2除上述所列内容外，采购人及采购代理机构的任何工作人员对磋商供应商所作的任何口头解释、介绍、答复，只能供磋商供应商参考，对采购人和磋商供应商无任何约束力。</w:t>
      </w:r>
    </w:p>
    <w:p w14:paraId="0F4754E7">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6.3磋商供应商应仔细阅读磋商文件的所有内容，按照文件要求提交响应文件，并保证所提交的全部资料的真实性。不按磋商文件的要求提供的响应文件和资料，可能导致磋商被拒绝。</w:t>
      </w:r>
    </w:p>
    <w:p w14:paraId="54B9B320">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5EE8816C">
      <w:pPr>
        <w:adjustRightInd w:val="0"/>
        <w:spacing w:line="336"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7、磋商文件的澄清与修改</w:t>
      </w:r>
    </w:p>
    <w:p w14:paraId="61E3722D">
      <w:pPr>
        <w:pStyle w:val="11"/>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1396BD07">
      <w:pPr>
        <w:pStyle w:val="11"/>
        <w:spacing w:line="336" w:lineRule="auto"/>
        <w:ind w:right="-252" w:rightChars="-12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7.2磋商供应商要求解释或澄清的问题应以书面形式，并加盖公章、写明日期。</w:t>
      </w:r>
    </w:p>
    <w:p w14:paraId="12C0B5EE">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7.3提交响应文件截止之日前，采购人、采购代理机构或者磋商小组可以对已发出的磋商文件进行必要的澄清或者修改，澄清或者修改的内容作为磋商文件的组成部分。</w:t>
      </w:r>
    </w:p>
    <w:p w14:paraId="52FD0CFF">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7.4竞争性磋商文件的澄清修改文件及更正补充公告，请自行登录浙江政府采购网或绍兴市上虞区公共资源交易中心网站，在采购公告页面中下载。</w:t>
      </w:r>
    </w:p>
    <w:p w14:paraId="31B2DE76">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14:paraId="6DBEE8F5">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7.6竞争性磋商文件澄清、答复、修改、补充的内容为竞争性磋商文件的组成部分。</w:t>
      </w:r>
    </w:p>
    <w:p w14:paraId="1C9EB785">
      <w:pPr>
        <w:pStyle w:val="6"/>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7.7磋商文件发售截止日后，经采购人同意后购买磋商文件的磋商供应商不得对磋商文件和补充文件提出答疑或质疑。</w:t>
      </w:r>
    </w:p>
    <w:p w14:paraId="6E589E52">
      <w:pPr>
        <w:pStyle w:val="3"/>
        <w:numPr>
          <w:ilvl w:val="0"/>
          <w:numId w:val="8"/>
        </w:numPr>
        <w:bidi w:val="0"/>
        <w:rPr>
          <w:rFonts w:hint="eastAsia"/>
        </w:rPr>
      </w:pPr>
      <w:bookmarkStart w:id="31" w:name="_Toc10669"/>
      <w:bookmarkStart w:id="32" w:name="_Toc1729"/>
      <w:bookmarkStart w:id="33" w:name="_Toc11093"/>
      <w:bookmarkStart w:id="34" w:name="_Toc11515"/>
      <w:bookmarkStart w:id="35" w:name="_Toc11669"/>
      <w:bookmarkStart w:id="36" w:name="_Toc391298957"/>
      <w:bookmarkStart w:id="37" w:name="_Toc8860"/>
      <w:bookmarkStart w:id="38" w:name="_Toc1828"/>
      <w:bookmarkStart w:id="39" w:name="_Toc23135"/>
      <w:bookmarkStart w:id="40" w:name="_Toc14650"/>
      <w:bookmarkStart w:id="41" w:name="_Toc26027"/>
      <w:bookmarkStart w:id="42" w:name="_Toc6273"/>
      <w:bookmarkStart w:id="43" w:name="_Toc31016"/>
      <w:bookmarkStart w:id="44" w:name="_Toc1202"/>
      <w:bookmarkStart w:id="45" w:name="_Toc7126"/>
      <w:bookmarkStart w:id="46" w:name="_Toc18702"/>
      <w:bookmarkStart w:id="47" w:name="_Toc24622"/>
      <w:bookmarkStart w:id="48" w:name="_Toc10810"/>
      <w:bookmarkStart w:id="49" w:name="_Toc26603"/>
      <w:bookmarkStart w:id="50" w:name="_Toc23975"/>
      <w:bookmarkStart w:id="51" w:name="_Toc31748"/>
      <w:bookmarkStart w:id="52" w:name="_Toc6079"/>
      <w:bookmarkStart w:id="53" w:name="_Toc11692"/>
      <w:bookmarkStart w:id="54" w:name="_Toc6457"/>
      <w:r>
        <w:rPr>
          <w:rFonts w:hint="eastAsia"/>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EBA4ED8">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8、要求</w:t>
      </w:r>
    </w:p>
    <w:p w14:paraId="6E2379E1">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3E48EFC7">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8.2报价</w:t>
      </w:r>
    </w:p>
    <w:p w14:paraId="4643B5BA">
      <w:pPr>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b/>
          <w:bCs/>
          <w:color w:val="auto"/>
          <w:sz w:val="24"/>
          <w:szCs w:val="24"/>
          <w:highlight w:val="none"/>
          <w:shd w:val="clear" w:color="FFFFFF" w:fill="D9D9D9"/>
        </w:rPr>
      </w:pPr>
      <w:r>
        <w:rPr>
          <w:rFonts w:hint="eastAsia" w:ascii="宋体" w:hAnsi="宋体" w:eastAsia="宋体" w:cs="宋体"/>
          <w:color w:val="auto"/>
          <w:sz w:val="24"/>
          <w:szCs w:val="24"/>
          <w:highlight w:val="none"/>
        </w:rPr>
        <w:t>8.2.1本次报价非一次性报价，报价币种为人民币。在磋商后根据磋商情况（包括细化采购方案和要求，增补部分采购内容等），供应商须二次报价（最终报价），</w:t>
      </w:r>
      <w:r>
        <w:rPr>
          <w:rFonts w:hint="eastAsia" w:ascii="宋体" w:hAnsi="宋体" w:eastAsia="宋体" w:cs="宋体"/>
          <w:b w:val="0"/>
          <w:bCs w:val="0"/>
          <w:color w:val="auto"/>
          <w:sz w:val="24"/>
          <w:szCs w:val="24"/>
          <w:highlight w:val="none"/>
        </w:rPr>
        <w:t>如果供应商在规定时间30分钟内未提交第二次报价，视该供应商放弃本次投标，作无效标处理。</w:t>
      </w:r>
    </w:p>
    <w:p w14:paraId="7F094783">
      <w:pPr>
        <w:pStyle w:val="34"/>
        <w:keepNext w:val="0"/>
        <w:keepLines w:val="0"/>
        <w:pageBreakBefore w:val="0"/>
        <w:widowControl w:val="0"/>
        <w:tabs>
          <w:tab w:val="left" w:pos="0"/>
        </w:tabs>
        <w:kinsoku/>
        <w:wordWrap/>
        <w:overflowPunct/>
        <w:topLinePunct w:val="0"/>
        <w:autoSpaceDE/>
        <w:autoSpaceDN/>
        <w:bidi w:val="0"/>
        <w:adjustRightInd w:val="0"/>
        <w:snapToGrid/>
        <w:spacing w:before="0" w:line="336" w:lineRule="auto"/>
        <w:ind w:firstLine="48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none"/>
        </w:rPr>
        <w:t>8.2.2</w:t>
      </w:r>
      <w:r>
        <w:rPr>
          <w:rFonts w:hint="eastAsia" w:ascii="宋体" w:hAnsi="宋体" w:eastAsia="宋体" w:cs="宋体"/>
          <w:color w:val="auto"/>
          <w:highlight w:val="none"/>
          <w:u w:val="single"/>
        </w:rPr>
        <w:t>投标报价应包含项目所需全部服务，不得缺漏，</w:t>
      </w:r>
      <w:r>
        <w:rPr>
          <w:rFonts w:hint="eastAsia" w:ascii="宋体" w:hAnsi="宋体" w:cs="宋体"/>
          <w:u w:val="single"/>
        </w:rPr>
        <w:t>是履行合同的最终价格（服务费、交通费、检测费、报告费、人工费、税金、招标代理费以及成交供应商认为有必要计入</w:t>
      </w:r>
      <w:r>
        <w:rPr>
          <w:rFonts w:hint="eastAsia" w:ascii="宋体" w:hAnsi="宋体" w:cs="宋体"/>
          <w:u w:val="single"/>
          <w:lang w:eastAsia="zh-CN"/>
        </w:rPr>
        <w:t>的其他费用</w:t>
      </w:r>
      <w:r>
        <w:rPr>
          <w:rFonts w:hint="eastAsia" w:ascii="宋体" w:hAnsi="宋体" w:cs="宋体"/>
          <w:u w:val="single"/>
        </w:rPr>
        <w:t>等一切费用）</w:t>
      </w:r>
      <w:r>
        <w:rPr>
          <w:rFonts w:hint="eastAsia" w:ascii="宋体" w:hAnsi="宋体" w:cs="宋体"/>
          <w:u w:val="none"/>
        </w:rPr>
        <w:t>。</w:t>
      </w:r>
      <w:r>
        <w:rPr>
          <w:rFonts w:hint="eastAsia" w:ascii="宋体" w:hAnsi="宋体" w:eastAsia="宋体" w:cs="宋体"/>
          <w:color w:val="auto"/>
          <w:highlight w:val="none"/>
        </w:rPr>
        <w:t>投标报价为供应商所能承受的最低、最终报价，供应商不得再要求追加任何费用。</w:t>
      </w:r>
    </w:p>
    <w:p w14:paraId="1EAE7251">
      <w:pPr>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7039DEEE">
      <w:pPr>
        <w:spacing w:line="336" w:lineRule="auto"/>
        <w:ind w:firstLine="480" w:firstLineChars="200"/>
        <w:rPr>
          <w:rFonts w:hint="eastAsia" w:ascii="宋体" w:hAnsi="宋体" w:eastAsia="宋体" w:cs="宋体"/>
          <w:b w:val="0"/>
          <w:bCs w:val="0"/>
          <w:color w:val="auto"/>
          <w:highlight w:val="none"/>
        </w:rPr>
      </w:pPr>
      <w:r>
        <w:rPr>
          <w:rFonts w:hint="eastAsia" w:ascii="宋体" w:hAnsi="宋体" w:eastAsia="宋体" w:cs="宋体"/>
          <w:color w:val="auto"/>
          <w:sz w:val="24"/>
          <w:szCs w:val="24"/>
          <w:highlight w:val="none"/>
        </w:rPr>
        <w:t>8.2.3供应商的报价作为供应商计算单价或总价的依据，</w:t>
      </w:r>
      <w:r>
        <w:rPr>
          <w:rFonts w:hint="eastAsia" w:ascii="宋体" w:hAnsi="宋体" w:cs="宋体"/>
          <w:color w:val="auto"/>
          <w:sz w:val="24"/>
          <w:szCs w:val="24"/>
          <w:highlight w:val="none"/>
          <w:lang w:eastAsia="zh-CN"/>
        </w:rPr>
        <w:t>应</w:t>
      </w:r>
      <w:r>
        <w:rPr>
          <w:rFonts w:hint="eastAsia" w:ascii="宋体" w:hAnsi="宋体" w:eastAsia="宋体" w:cs="宋体"/>
          <w:color w:val="auto"/>
          <w:sz w:val="24"/>
          <w:szCs w:val="24"/>
          <w:highlight w:val="none"/>
        </w:rPr>
        <w:t>完成技术文件中的所有要求，不得以任何理由予以重复，供应商对报价若有说明应在报价一</w:t>
      </w:r>
      <w:r>
        <w:rPr>
          <w:rFonts w:hint="eastAsia" w:ascii="宋体" w:hAnsi="宋体" w:eastAsia="宋体" w:cs="宋体"/>
          <w:b w:val="0"/>
          <w:bCs w:val="0"/>
          <w:color w:val="auto"/>
          <w:sz w:val="24"/>
          <w:szCs w:val="24"/>
          <w:highlight w:val="none"/>
        </w:rPr>
        <w:t>览表备注处注明。任何有选择的报价方案及价格将不予接受。</w:t>
      </w:r>
    </w:p>
    <w:p w14:paraId="4B930245">
      <w:pPr>
        <w:pStyle w:val="12"/>
        <w:spacing w:line="336"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9、响应文件的组成</w:t>
      </w:r>
      <w:r>
        <w:rPr>
          <w:rFonts w:hint="eastAsia" w:ascii="宋体" w:hAnsi="宋体" w:eastAsia="宋体" w:cs="宋体"/>
          <w:b/>
          <w:bCs/>
          <w:color w:val="auto"/>
          <w:sz w:val="24"/>
          <w:szCs w:val="24"/>
          <w:highlight w:val="none"/>
          <w:u w:val="none"/>
        </w:rPr>
        <w:t>（</w:t>
      </w:r>
      <w:r>
        <w:rPr>
          <w:rFonts w:hint="eastAsia" w:ascii="宋体" w:hAnsi="宋体" w:eastAsia="宋体" w:cs="宋体"/>
          <w:b/>
          <w:bCs/>
          <w:color w:val="auto"/>
          <w:sz w:val="24"/>
          <w:szCs w:val="24"/>
          <w:highlight w:val="none"/>
          <w:u w:val="single"/>
        </w:rPr>
        <w:t>供应商应根据采购文件的要求提供相应的内容且设置关联定位，供应商可查看《供应商-政府采购项目电子交易操作指南》进行操作：https://help.zcygov.cn/web/site_2/2018/12-28/2573.html</w:t>
      </w:r>
      <w:r>
        <w:rPr>
          <w:rFonts w:hint="eastAsia" w:ascii="宋体" w:hAnsi="宋体" w:eastAsia="宋体" w:cs="宋体"/>
          <w:b/>
          <w:bCs/>
          <w:color w:val="auto"/>
          <w:sz w:val="24"/>
          <w:szCs w:val="24"/>
          <w:highlight w:val="none"/>
          <w:u w:val="none"/>
        </w:rPr>
        <w:t>）</w:t>
      </w:r>
    </w:p>
    <w:p w14:paraId="722F6C42">
      <w:pPr>
        <w:pStyle w:val="34"/>
        <w:tabs>
          <w:tab w:val="left" w:pos="0"/>
        </w:tabs>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响应文件应当包括以下主要内容：资格文件、商务技术文件、报价文件。</w:t>
      </w:r>
    </w:p>
    <w:p w14:paraId="1723F468">
      <w:pPr>
        <w:pStyle w:val="34"/>
        <w:numPr>
          <w:ilvl w:val="0"/>
          <w:numId w:val="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资格文件包括以下内容：</w:t>
      </w:r>
    </w:p>
    <w:p w14:paraId="54B5D853">
      <w:pPr>
        <w:pStyle w:val="34"/>
        <w:numPr>
          <w:ilvl w:val="0"/>
          <w:numId w:val="10"/>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00160B4C">
      <w:pPr>
        <w:pStyle w:val="34"/>
        <w:numPr>
          <w:ilvl w:val="0"/>
          <w:numId w:val="10"/>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营业执照(或事业法人登记证或其他工商等登记证明材料)复印件、税务登记证(</w:t>
      </w:r>
      <w:r>
        <w:rPr>
          <w:rFonts w:hint="eastAsia" w:ascii="宋体" w:hAnsi="宋体" w:cs="宋体"/>
          <w:color w:val="auto"/>
          <w:highlight w:val="none"/>
          <w:lang w:eastAsia="zh-CN"/>
        </w:rPr>
        <w:t>或其他</w:t>
      </w:r>
      <w:r>
        <w:rPr>
          <w:rFonts w:hint="eastAsia" w:ascii="宋体" w:hAnsi="宋体" w:eastAsia="宋体" w:cs="宋体"/>
          <w:color w:val="auto"/>
          <w:highlight w:val="none"/>
        </w:rPr>
        <w:t>缴纳证明材料)复印件、社保登记证（</w:t>
      </w:r>
      <w:r>
        <w:rPr>
          <w:rFonts w:hint="eastAsia" w:ascii="宋体" w:hAnsi="宋体" w:cs="宋体"/>
          <w:color w:val="auto"/>
          <w:highlight w:val="none"/>
          <w:lang w:eastAsia="zh-CN"/>
        </w:rPr>
        <w:t>或其他</w:t>
      </w:r>
      <w:r>
        <w:rPr>
          <w:rFonts w:hint="eastAsia" w:ascii="宋体" w:hAnsi="宋体" w:eastAsia="宋体" w:cs="宋体"/>
          <w:color w:val="auto"/>
          <w:highlight w:val="none"/>
        </w:rPr>
        <w:t>缴纳证明材料）复印件；实施“五证合一、一照一码”登记制度改革的，只需提供改革后取得的营业执照复印件；事业单位的，则提供有效的《事业单位法人证书》副本复印件并加盖单位公章；</w:t>
      </w:r>
    </w:p>
    <w:p w14:paraId="11FD1399">
      <w:pPr>
        <w:pStyle w:val="34"/>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76822D9F">
      <w:pPr>
        <w:pStyle w:val="34"/>
        <w:numPr>
          <w:ilvl w:val="0"/>
          <w:numId w:val="10"/>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具有履行合同所必需的产品和专业技术能力的承诺函；</w:t>
      </w:r>
    </w:p>
    <w:p w14:paraId="02BE05CE">
      <w:pPr>
        <w:pStyle w:val="34"/>
        <w:numPr>
          <w:ilvl w:val="0"/>
          <w:numId w:val="10"/>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投标人承诺函</w:t>
      </w:r>
      <w:r>
        <w:rPr>
          <w:rFonts w:hint="eastAsia" w:ascii="宋体" w:hAnsi="宋体" w:cs="宋体"/>
          <w:color w:val="auto"/>
          <w:highlight w:val="none"/>
          <w:lang w:eastAsia="zh-CN"/>
        </w:rPr>
        <w:t>；</w:t>
      </w:r>
    </w:p>
    <w:p w14:paraId="5924B91F">
      <w:pPr>
        <w:pStyle w:val="34"/>
        <w:numPr>
          <w:ilvl w:val="0"/>
          <w:numId w:val="10"/>
        </w:numPr>
        <w:spacing w:before="0"/>
        <w:ind w:firstLine="480"/>
        <w:rPr>
          <w:rFonts w:ascii="宋体" w:hAnsi="宋体" w:cs="宋体"/>
          <w:color w:val="auto"/>
          <w:highlight w:val="none"/>
        </w:rPr>
      </w:pPr>
      <w:r>
        <w:rPr>
          <w:rFonts w:hint="eastAsia" w:ascii="宋体" w:hAnsi="宋体" w:cs="宋体"/>
          <w:color w:val="auto"/>
          <w:highlight w:val="none"/>
        </w:rPr>
        <w:t>中小企业声明函（格式见附件）；</w:t>
      </w:r>
    </w:p>
    <w:p w14:paraId="673E0727">
      <w:pPr>
        <w:pStyle w:val="34"/>
        <w:numPr>
          <w:ilvl w:val="0"/>
          <w:numId w:val="10"/>
        </w:numPr>
        <w:spacing w:before="0"/>
        <w:ind w:firstLine="480"/>
        <w:rPr>
          <w:rFonts w:ascii="宋体" w:hAnsi="宋体" w:cs="宋体"/>
          <w:color w:val="auto"/>
          <w:highlight w:val="none"/>
        </w:rPr>
      </w:pPr>
      <w:r>
        <w:rPr>
          <w:rFonts w:hint="eastAsia" w:ascii="宋体" w:hAnsi="宋体" w:cs="宋体"/>
          <w:color w:val="auto"/>
          <w:highlight w:val="none"/>
        </w:rPr>
        <w:t>残疾人福利性单位声明函(如有)（格式见附件）；</w:t>
      </w:r>
    </w:p>
    <w:p w14:paraId="349A73D3">
      <w:pPr>
        <w:pStyle w:val="34"/>
        <w:numPr>
          <w:ilvl w:val="0"/>
          <w:numId w:val="10"/>
        </w:numPr>
        <w:spacing w:before="0" w:line="336" w:lineRule="auto"/>
        <w:ind w:firstLine="480"/>
        <w:rPr>
          <w:rFonts w:hint="eastAsia" w:ascii="宋体" w:hAnsi="宋体" w:eastAsia="宋体" w:cs="宋体"/>
          <w:color w:val="auto"/>
          <w:highlight w:val="none"/>
        </w:rPr>
      </w:pPr>
      <w:r>
        <w:rPr>
          <w:rFonts w:hint="eastAsia" w:ascii="宋体" w:hAnsi="宋体" w:cs="宋体"/>
          <w:color w:val="auto"/>
          <w:highlight w:val="none"/>
        </w:rPr>
        <w:t>监狱企业证明文件(如有)（格式见附件）</w:t>
      </w:r>
      <w:r>
        <w:rPr>
          <w:rFonts w:hint="eastAsia" w:ascii="宋体" w:hAnsi="宋体" w:cs="宋体"/>
          <w:color w:val="auto"/>
          <w:highlight w:val="none"/>
          <w:lang w:eastAsia="zh-CN"/>
        </w:rPr>
        <w:t>。</w:t>
      </w:r>
    </w:p>
    <w:p w14:paraId="5EEC30E4">
      <w:pPr>
        <w:pStyle w:val="34"/>
        <w:numPr>
          <w:ilvl w:val="0"/>
          <w:numId w:val="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商务技术文件，本次磋商需要供应商提供以下项所列的技术文件：</w:t>
      </w:r>
    </w:p>
    <w:p w14:paraId="62BDDC1D">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评分对应表（格式见附件，主要用于评委对应评分内容）</w:t>
      </w:r>
    </w:p>
    <w:p w14:paraId="6D8907F8">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供应商商务技术文件中资信分自评表（格式见附件）；</w:t>
      </w:r>
    </w:p>
    <w:p w14:paraId="2F07E670">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磋商项目明细清单（格式见附件）；</w:t>
      </w:r>
    </w:p>
    <w:p w14:paraId="63F01823">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技术响应及建议表（格式见附件）；</w:t>
      </w:r>
    </w:p>
    <w:p w14:paraId="28E6DD9B">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商务响应表（格式见附件）；</w:t>
      </w:r>
    </w:p>
    <w:p w14:paraId="5D36D8EE">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项目理解</w:t>
      </w:r>
      <w:r>
        <w:rPr>
          <w:rFonts w:hint="eastAsia" w:ascii="宋体" w:hAnsi="宋体" w:cs="宋体"/>
          <w:color w:val="auto"/>
          <w:sz w:val="24"/>
          <w:szCs w:val="24"/>
          <w:highlight w:val="none"/>
          <w:lang w:eastAsia="zh-CN"/>
        </w:rPr>
        <w:t>；</w:t>
      </w:r>
    </w:p>
    <w:p w14:paraId="4BBAC7CF">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技术措施</w:t>
      </w:r>
      <w:r>
        <w:rPr>
          <w:rFonts w:hint="eastAsia" w:ascii="宋体" w:hAnsi="宋体" w:eastAsia="宋体" w:cs="宋体"/>
          <w:color w:val="auto"/>
          <w:sz w:val="24"/>
          <w:szCs w:val="24"/>
          <w:highlight w:val="none"/>
          <w:lang w:eastAsia="zh-CN"/>
        </w:rPr>
        <w:t>；</w:t>
      </w:r>
    </w:p>
    <w:p w14:paraId="278737EF">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维保方案</w:t>
      </w:r>
      <w:r>
        <w:rPr>
          <w:rFonts w:hint="eastAsia" w:ascii="宋体" w:hAnsi="宋体" w:eastAsia="宋体" w:cs="宋体"/>
          <w:color w:val="auto"/>
          <w:sz w:val="24"/>
          <w:szCs w:val="24"/>
          <w:highlight w:val="none"/>
          <w:lang w:eastAsia="zh-CN"/>
        </w:rPr>
        <w:t>；</w:t>
      </w:r>
    </w:p>
    <w:p w14:paraId="332896AD">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default"/>
          <w:lang w:val="en-US" w:eastAsia="zh-CN"/>
        </w:rPr>
      </w:pPr>
      <w:r>
        <w:rPr>
          <w:rFonts w:hint="eastAsia" w:ascii="宋体" w:hAnsi="宋体" w:cs="宋体"/>
          <w:color w:val="auto"/>
          <w:sz w:val="24"/>
          <w:szCs w:val="24"/>
          <w:highlight w:val="none"/>
          <w:lang w:val="en-US" w:eastAsia="zh-CN"/>
        </w:rPr>
        <w:t>巡检方案</w:t>
      </w:r>
      <w:r>
        <w:rPr>
          <w:rFonts w:hint="eastAsia" w:ascii="宋体" w:hAnsi="宋体" w:eastAsia="宋体" w:cs="宋体"/>
          <w:color w:val="auto"/>
          <w:sz w:val="24"/>
          <w:szCs w:val="24"/>
          <w:highlight w:val="none"/>
          <w:lang w:eastAsia="zh-CN"/>
        </w:rPr>
        <w:t>；</w:t>
      </w:r>
    </w:p>
    <w:p w14:paraId="4B8C8F79">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default"/>
          <w:lang w:val="en-US" w:eastAsia="zh-CN"/>
        </w:rPr>
      </w:pPr>
      <w:r>
        <w:rPr>
          <w:rFonts w:hint="eastAsia" w:ascii="宋体" w:hAnsi="宋体" w:cs="宋体"/>
          <w:color w:val="auto"/>
          <w:sz w:val="24"/>
          <w:szCs w:val="24"/>
          <w:highlight w:val="none"/>
          <w:lang w:val="en-US" w:eastAsia="zh-CN"/>
        </w:rPr>
        <w:t>安全服务方案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p w14:paraId="7121AAD6">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lang w:eastAsia="zh-CN"/>
        </w:rPr>
      </w:pPr>
      <w:r>
        <w:rPr>
          <w:rFonts w:hint="eastAsia" w:ascii="宋体" w:hAnsi="宋体" w:cs="宋体"/>
          <w:color w:val="auto"/>
          <w:sz w:val="24"/>
          <w:szCs w:val="24"/>
          <w:highlight w:val="none"/>
          <w:lang w:val="en-US" w:eastAsia="zh-CN"/>
        </w:rPr>
        <w:t>培训计划</w:t>
      </w:r>
      <w:r>
        <w:rPr>
          <w:rFonts w:hint="eastAsia" w:ascii="宋体" w:hAnsi="宋体" w:eastAsia="宋体" w:cs="宋体"/>
          <w:color w:val="auto"/>
          <w:sz w:val="24"/>
          <w:szCs w:val="24"/>
          <w:highlight w:val="none"/>
          <w:lang w:eastAsia="zh-CN"/>
        </w:rPr>
        <w:t>；</w:t>
      </w:r>
    </w:p>
    <w:p w14:paraId="14118C19">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lang w:eastAsia="zh-CN"/>
        </w:rPr>
      </w:pPr>
      <w:r>
        <w:rPr>
          <w:rFonts w:hint="eastAsia" w:ascii="宋体" w:hAnsi="宋体" w:cs="宋体"/>
          <w:color w:val="auto"/>
          <w:sz w:val="24"/>
          <w:szCs w:val="24"/>
          <w:highlight w:val="none"/>
          <w:lang w:val="en-US" w:eastAsia="zh-CN"/>
        </w:rPr>
        <w:t>拟投入成员；</w:t>
      </w:r>
    </w:p>
    <w:p w14:paraId="0B873459">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lang w:eastAsia="zh-CN"/>
        </w:rPr>
      </w:pPr>
      <w:r>
        <w:rPr>
          <w:rFonts w:hint="eastAsia" w:ascii="宋体" w:hAnsi="宋体" w:cs="宋体"/>
          <w:color w:val="auto"/>
          <w:sz w:val="24"/>
          <w:szCs w:val="24"/>
          <w:highlight w:val="none"/>
          <w:lang w:val="en-US" w:eastAsia="zh-CN"/>
        </w:rPr>
        <w:t>组织实施方案和保障措施；</w:t>
      </w:r>
    </w:p>
    <w:p w14:paraId="582F4C60">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服务响应</w:t>
      </w:r>
      <w:r>
        <w:rPr>
          <w:rFonts w:hint="eastAsia" w:ascii="宋体" w:hAnsi="宋体" w:eastAsia="宋体" w:cs="宋体"/>
          <w:color w:val="auto"/>
          <w:sz w:val="24"/>
          <w:szCs w:val="24"/>
          <w:highlight w:val="none"/>
          <w:lang w:eastAsia="zh-CN"/>
        </w:rPr>
        <w:t>；</w:t>
      </w:r>
    </w:p>
    <w:p w14:paraId="67D2E61F">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类似业绩</w:t>
      </w:r>
      <w:r>
        <w:rPr>
          <w:rFonts w:hint="eastAsia" w:ascii="宋体" w:hAnsi="宋体" w:eastAsia="宋体" w:cs="宋体"/>
          <w:color w:val="auto"/>
          <w:sz w:val="24"/>
          <w:szCs w:val="24"/>
          <w:highlight w:val="none"/>
          <w:lang w:eastAsia="zh-CN"/>
        </w:rPr>
        <w:t>；</w:t>
      </w:r>
    </w:p>
    <w:p w14:paraId="5B31F252">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企业证书</w:t>
      </w:r>
    </w:p>
    <w:p w14:paraId="3E47507D">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人员证书</w:t>
      </w:r>
    </w:p>
    <w:p w14:paraId="423549BB">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供应商认为需要的其他文件资料。</w:t>
      </w:r>
    </w:p>
    <w:p w14:paraId="4D472507">
      <w:pPr>
        <w:pStyle w:val="34"/>
        <w:tabs>
          <w:tab w:val="left" w:pos="0"/>
        </w:tabs>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注：以上内容应与评标办法中内容具有一致性。</w:t>
      </w:r>
    </w:p>
    <w:p w14:paraId="0AD14098">
      <w:pPr>
        <w:pStyle w:val="34"/>
        <w:tabs>
          <w:tab w:val="left" w:pos="0"/>
        </w:tabs>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3BAF18B7">
      <w:pPr>
        <w:pStyle w:val="34"/>
        <w:tabs>
          <w:tab w:val="left" w:pos="0"/>
        </w:tabs>
        <w:spacing w:before="0" w:line="336" w:lineRule="auto"/>
        <w:ind w:firstLine="480"/>
        <w:rPr>
          <w:rFonts w:hint="eastAsia" w:ascii="宋体" w:hAnsi="宋体" w:eastAsia="宋体" w:cs="宋体"/>
          <w:b w:val="0"/>
          <w:bCs w:val="0"/>
          <w:color w:val="auto"/>
          <w:highlight w:val="none"/>
        </w:rPr>
      </w:pPr>
      <w:r>
        <w:rPr>
          <w:rFonts w:hint="eastAsia" w:ascii="宋体" w:hAnsi="宋体" w:eastAsia="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eastAsia="宋体" w:cs="宋体"/>
          <w:b w:val="0"/>
          <w:bCs w:val="0"/>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38A5A1D5">
      <w:pPr>
        <w:pStyle w:val="34"/>
        <w:numPr>
          <w:ilvl w:val="0"/>
          <w:numId w:val="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报价文件包括以下内容：</w:t>
      </w:r>
    </w:p>
    <w:p w14:paraId="435DB87E">
      <w:pPr>
        <w:pStyle w:val="34"/>
        <w:numPr>
          <w:ilvl w:val="0"/>
          <w:numId w:val="12"/>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磋商函（格式见附件）；</w:t>
      </w:r>
    </w:p>
    <w:p w14:paraId="1006E12E">
      <w:pPr>
        <w:pStyle w:val="34"/>
        <w:numPr>
          <w:ilvl w:val="0"/>
          <w:numId w:val="12"/>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报价一览表（格式见附件）；</w:t>
      </w:r>
    </w:p>
    <w:p w14:paraId="3E855C71">
      <w:pPr>
        <w:pStyle w:val="34"/>
        <w:numPr>
          <w:ilvl w:val="0"/>
          <w:numId w:val="12"/>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磋商报价明细表（格式见附件）</w:t>
      </w:r>
      <w:r>
        <w:rPr>
          <w:rFonts w:hint="eastAsia" w:ascii="宋体" w:hAnsi="宋体" w:eastAsia="宋体" w:cs="宋体"/>
          <w:color w:val="auto"/>
          <w:highlight w:val="none"/>
          <w:lang w:eastAsia="zh-CN"/>
        </w:rPr>
        <w:t>。</w:t>
      </w:r>
    </w:p>
    <w:p w14:paraId="22DA0B63">
      <w:pPr>
        <w:pStyle w:val="34"/>
        <w:spacing w:before="0" w:line="336" w:lineRule="auto"/>
        <w:ind w:firstLine="241" w:firstLineChars="1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注：“资格文件”、“商务技术文件”、“报价文件”须分3个PDF格式分别导入。</w:t>
      </w:r>
    </w:p>
    <w:p w14:paraId="452EDC12">
      <w:pPr>
        <w:pStyle w:val="34"/>
        <w:spacing w:before="0" w:line="336" w:lineRule="auto"/>
        <w:ind w:left="420" w:leftChars="20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10、响应文件有效期</w:t>
      </w:r>
    </w:p>
    <w:p w14:paraId="3BAB8BD6">
      <w:pPr>
        <w:pStyle w:val="34"/>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10.1 响应文件未在磋商响应截止时间前完成传输的或者未按时解密的，视为放弃磋商；响应文件解密失败后未提供备份文件或者备份文件也出现异常情况无法进行评审的，亦视为放弃磋商。</w:t>
      </w:r>
    </w:p>
    <w:p w14:paraId="07BCC7B1">
      <w:pPr>
        <w:pStyle w:val="34"/>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10.2 响应文件上传后，自磋商响应截止日期起，在前附表所列的磋商响应文件有效期内有效。</w:t>
      </w:r>
    </w:p>
    <w:p w14:paraId="5BDD52BF">
      <w:pPr>
        <w:pStyle w:val="34"/>
        <w:keepLines w:val="0"/>
        <w:pageBreakBefore w:val="0"/>
        <w:widowControl w:val="0"/>
        <w:kinsoku/>
        <w:wordWrap/>
        <w:overflowPunct/>
        <w:topLinePunct w:val="0"/>
        <w:autoSpaceDE/>
        <w:autoSpaceDN/>
        <w:bidi w:val="0"/>
        <w:spacing w:before="0" w:after="0" w:line="336"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10.3 在原定有效期满之前，如果出现特殊情况，采购代理机构可以以书面形式向磋商供应商提出延长磋商有效期的要求，磋商供应商对此须以书面形式予以答复。</w:t>
      </w:r>
    </w:p>
    <w:p w14:paraId="4D2AB74E">
      <w:pPr>
        <w:pStyle w:val="34"/>
        <w:keepLines w:val="0"/>
        <w:pageBreakBefore w:val="0"/>
        <w:widowControl w:val="0"/>
        <w:kinsoku/>
        <w:wordWrap/>
        <w:overflowPunct/>
        <w:topLinePunct w:val="0"/>
        <w:autoSpaceDE/>
        <w:autoSpaceDN/>
        <w:bidi w:val="0"/>
        <w:spacing w:before="0" w:after="0" w:line="336" w:lineRule="auto"/>
        <w:ind w:left="0" w:leftChars="0" w:firstLine="0" w:firstLineChars="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11、供应商如有下列情况之一者列入不良行为记录：</w:t>
      </w:r>
    </w:p>
    <w:p w14:paraId="3E6C7C85">
      <w:pPr>
        <w:pStyle w:val="34"/>
        <w:keepLines w:val="0"/>
        <w:pageBreakBefore w:val="0"/>
        <w:widowControl w:val="0"/>
        <w:kinsoku/>
        <w:wordWrap/>
        <w:overflowPunct/>
        <w:topLinePunct w:val="0"/>
        <w:autoSpaceDE/>
        <w:autoSpaceDN/>
        <w:bidi w:val="0"/>
        <w:spacing w:before="0" w:after="0" w:line="336"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11.1 供应商在磋商响应文件有效期内撤回投标的；</w:t>
      </w:r>
    </w:p>
    <w:p w14:paraId="74AFFD26">
      <w:pPr>
        <w:pStyle w:val="34"/>
        <w:keepLines w:val="0"/>
        <w:pageBreakBefore w:val="0"/>
        <w:widowControl w:val="0"/>
        <w:kinsoku/>
        <w:wordWrap/>
        <w:overflowPunct/>
        <w:topLinePunct w:val="0"/>
        <w:autoSpaceDE/>
        <w:autoSpaceDN/>
        <w:bidi w:val="0"/>
        <w:spacing w:before="0" w:after="0" w:line="336"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11.2 供应商或中标候选人放弃中标或中标候选人资格的；</w:t>
      </w:r>
    </w:p>
    <w:p w14:paraId="2F7AB200">
      <w:pPr>
        <w:pStyle w:val="34"/>
        <w:keepLines w:val="0"/>
        <w:pageBreakBefore w:val="0"/>
        <w:widowControl w:val="0"/>
        <w:kinsoku/>
        <w:wordWrap/>
        <w:overflowPunct/>
        <w:topLinePunct w:val="0"/>
        <w:autoSpaceDE/>
        <w:autoSpaceDN/>
        <w:bidi w:val="0"/>
        <w:spacing w:before="0" w:after="0" w:line="336"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11.3 擅自修改或拒绝接受已经确认的条款；</w:t>
      </w:r>
    </w:p>
    <w:p w14:paraId="729A3897">
      <w:pPr>
        <w:pStyle w:val="34"/>
        <w:keepLines w:val="0"/>
        <w:pageBreakBefore w:val="0"/>
        <w:widowControl w:val="0"/>
        <w:kinsoku/>
        <w:wordWrap/>
        <w:overflowPunct/>
        <w:topLinePunct w:val="0"/>
        <w:autoSpaceDE/>
        <w:autoSpaceDN/>
        <w:bidi w:val="0"/>
        <w:spacing w:before="0" w:after="0" w:line="336"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11.4 成交供应商未按规定与采购人签订合同；</w:t>
      </w:r>
    </w:p>
    <w:p w14:paraId="329E4547">
      <w:pPr>
        <w:pStyle w:val="34"/>
        <w:keepLines w:val="0"/>
        <w:pageBreakBefore w:val="0"/>
        <w:widowControl w:val="0"/>
        <w:kinsoku/>
        <w:wordWrap/>
        <w:overflowPunct/>
        <w:topLinePunct w:val="0"/>
        <w:autoSpaceDE/>
        <w:autoSpaceDN/>
        <w:bidi w:val="0"/>
        <w:spacing w:before="0" w:after="0" w:line="336"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11.5供应商采取提供虚假资料等不正当手段的；</w:t>
      </w:r>
    </w:p>
    <w:p w14:paraId="26290CDD">
      <w:pPr>
        <w:pStyle w:val="34"/>
        <w:keepLines w:val="0"/>
        <w:pageBreakBefore w:val="0"/>
        <w:widowControl w:val="0"/>
        <w:kinsoku/>
        <w:wordWrap/>
        <w:overflowPunct/>
        <w:topLinePunct w:val="0"/>
        <w:autoSpaceDE/>
        <w:autoSpaceDN/>
        <w:bidi w:val="0"/>
        <w:spacing w:before="0" w:after="0" w:line="336"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11.6供应商在投标过程中串通投标的。</w:t>
      </w:r>
    </w:p>
    <w:p w14:paraId="5591D2CD">
      <w:pPr>
        <w:pStyle w:val="34"/>
        <w:keepLines w:val="0"/>
        <w:pageBreakBefore w:val="0"/>
        <w:widowControl w:val="0"/>
        <w:kinsoku/>
        <w:wordWrap/>
        <w:overflowPunct/>
        <w:topLinePunct w:val="0"/>
        <w:autoSpaceDE/>
        <w:autoSpaceDN/>
        <w:bidi w:val="0"/>
        <w:spacing w:before="0" w:after="0" w:line="336" w:lineRule="auto"/>
        <w:ind w:left="0" w:leftChars="0" w:firstLine="482"/>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12、响应文件的编制和签署</w:t>
      </w:r>
    </w:p>
    <w:p w14:paraId="37BFEC64">
      <w:pPr>
        <w:pStyle w:val="34"/>
        <w:keepLines w:val="0"/>
        <w:pageBreakBefore w:val="0"/>
        <w:widowControl w:val="0"/>
        <w:kinsoku/>
        <w:wordWrap/>
        <w:overflowPunct/>
        <w:topLinePunct w:val="0"/>
        <w:autoSpaceDE/>
        <w:autoSpaceDN/>
        <w:bidi w:val="0"/>
        <w:spacing w:before="0" w:after="0" w:line="336"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12.1 按磋商文件9.1条、9.2条、9.3条要求提供的各种文件，响应文件分为资格文件、商务技术文件和报价文件三部分。</w:t>
      </w:r>
    </w:p>
    <w:p w14:paraId="78B712D7">
      <w:pPr>
        <w:pStyle w:val="34"/>
        <w:keepLines w:val="0"/>
        <w:pageBreakBefore w:val="0"/>
        <w:widowControl w:val="0"/>
        <w:kinsoku/>
        <w:wordWrap/>
        <w:overflowPunct/>
        <w:topLinePunct w:val="0"/>
        <w:autoSpaceDE/>
        <w:autoSpaceDN/>
        <w:bidi w:val="0"/>
        <w:spacing w:before="0" w:after="0" w:line="336"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12.2 响应文件须按附件格式要求进行电子签章，供应商应写全称。（电子磋商响应文件中所</w:t>
      </w:r>
      <w:r>
        <w:rPr>
          <w:rFonts w:hint="eastAsia" w:ascii="宋体" w:hAnsi="宋体" w:cs="宋体"/>
          <w:color w:val="auto"/>
          <w:highlight w:val="none"/>
          <w:lang w:eastAsia="zh-CN"/>
        </w:rPr>
        <w:t>需</w:t>
      </w:r>
      <w:r>
        <w:rPr>
          <w:rFonts w:hint="eastAsia" w:ascii="宋体" w:hAnsi="宋体" w:eastAsia="宋体" w:cs="宋体"/>
          <w:color w:val="auto"/>
          <w:highlight w:val="none"/>
        </w:rPr>
        <w:t>加盖公章部分均应采用电子签章）</w:t>
      </w:r>
    </w:p>
    <w:p w14:paraId="1A5707EA">
      <w:pPr>
        <w:pStyle w:val="34"/>
        <w:keepLines w:val="0"/>
        <w:pageBreakBefore w:val="0"/>
        <w:widowControl w:val="0"/>
        <w:kinsoku/>
        <w:wordWrap/>
        <w:overflowPunct/>
        <w:topLinePunct w:val="0"/>
        <w:autoSpaceDE/>
        <w:autoSpaceDN/>
        <w:bidi w:val="0"/>
        <w:spacing w:before="0" w:after="0" w:line="336"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12.3 全套响应文件应无涂改和行间插字，除非这些删改是根据采购代理机构要求进行，或者是供应商造成的必须修改的错误。所修改处应由法定代表人或其授权代表签字盖章予以确认。</w:t>
      </w:r>
    </w:p>
    <w:p w14:paraId="1448567A">
      <w:pPr>
        <w:pStyle w:val="34"/>
        <w:keepLines w:val="0"/>
        <w:pageBreakBefore w:val="0"/>
        <w:widowControl w:val="0"/>
        <w:kinsoku/>
        <w:wordWrap/>
        <w:overflowPunct/>
        <w:topLinePunct w:val="0"/>
        <w:autoSpaceDE/>
        <w:autoSpaceDN/>
        <w:bidi w:val="0"/>
        <w:spacing w:before="0" w:after="0" w:line="336"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12.4 由于字迹模糊或表达不清引起的后果由供应商负责。</w:t>
      </w:r>
    </w:p>
    <w:p w14:paraId="667CFA7C">
      <w:pPr>
        <w:pStyle w:val="34"/>
        <w:keepLines w:val="0"/>
        <w:pageBreakBefore w:val="0"/>
        <w:widowControl w:val="0"/>
        <w:kinsoku/>
        <w:wordWrap/>
        <w:overflowPunct/>
        <w:topLinePunct w:val="0"/>
        <w:autoSpaceDE/>
        <w:autoSpaceDN/>
        <w:bidi w:val="0"/>
        <w:spacing w:before="0" w:after="0" w:line="336" w:lineRule="auto"/>
        <w:ind w:left="0" w:leftChars="0" w:firstLine="482"/>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13、响应文件的形式</w:t>
      </w:r>
    </w:p>
    <w:p w14:paraId="5B9EBD51">
      <w:pPr>
        <w:pStyle w:val="34"/>
        <w:keepLines w:val="0"/>
        <w:pageBreakBefore w:val="0"/>
        <w:widowControl w:val="0"/>
        <w:kinsoku/>
        <w:wordWrap/>
        <w:overflowPunct/>
        <w:topLinePunct w:val="0"/>
        <w:autoSpaceDE/>
        <w:autoSpaceDN/>
        <w:bidi w:val="0"/>
        <w:spacing w:before="0" w:after="0" w:line="336"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响应文件为电子磋商响应文件，电子磋商响应文件按“政采云供应商项目采购-电子招投标操作指南”及本磋商文件要求制作、加密传输。</w:t>
      </w:r>
    </w:p>
    <w:p w14:paraId="4B296B6E">
      <w:pPr>
        <w:pStyle w:val="3"/>
        <w:keepLines w:val="0"/>
        <w:pageBreakBefore w:val="0"/>
        <w:widowControl w:val="0"/>
        <w:numPr>
          <w:ilvl w:val="0"/>
          <w:numId w:val="8"/>
        </w:numPr>
        <w:kinsoku/>
        <w:wordWrap/>
        <w:overflowPunct/>
        <w:topLinePunct w:val="0"/>
        <w:autoSpaceDE/>
        <w:autoSpaceDN/>
        <w:bidi w:val="0"/>
        <w:spacing w:line="336" w:lineRule="auto"/>
        <w:ind w:left="0" w:leftChars="0"/>
        <w:textAlignment w:val="auto"/>
        <w:rPr>
          <w:rFonts w:hint="eastAsia"/>
        </w:rPr>
      </w:pPr>
      <w:bookmarkStart w:id="55" w:name="_Toc21266"/>
      <w:bookmarkStart w:id="56" w:name="_Toc4883"/>
      <w:bookmarkStart w:id="57" w:name="_Toc1420"/>
      <w:r>
        <w:rPr>
          <w:rFonts w:hint="eastAsia"/>
        </w:rPr>
        <w:t>响应文件的递交</w:t>
      </w:r>
      <w:bookmarkEnd w:id="55"/>
      <w:bookmarkEnd w:id="56"/>
      <w:bookmarkEnd w:id="57"/>
    </w:p>
    <w:p w14:paraId="41EAF7DA">
      <w:pPr>
        <w:pStyle w:val="12"/>
        <w:keepLines w:val="0"/>
        <w:pageBreakBefore w:val="0"/>
        <w:widowControl w:val="0"/>
        <w:kinsoku/>
        <w:wordWrap/>
        <w:overflowPunct/>
        <w:topLinePunct w:val="0"/>
        <w:autoSpaceDE/>
        <w:autoSpaceDN/>
        <w:bidi w:val="0"/>
        <w:spacing w:line="336" w:lineRule="auto"/>
        <w:ind w:left="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14、磋商响应截止期</w:t>
      </w:r>
    </w:p>
    <w:p w14:paraId="78756F2A">
      <w:pPr>
        <w:pStyle w:val="34"/>
        <w:keepLines w:val="0"/>
        <w:pageBreakBefore w:val="0"/>
        <w:widowControl w:val="0"/>
        <w:numPr>
          <w:ilvl w:val="0"/>
          <w:numId w:val="13"/>
        </w:numPr>
        <w:kinsoku/>
        <w:wordWrap/>
        <w:overflowPunct/>
        <w:topLinePunct w:val="0"/>
        <w:autoSpaceDE/>
        <w:autoSpaceDN/>
        <w:bidi w:val="0"/>
        <w:spacing w:before="0" w:after="0" w:line="336"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103887EB">
      <w:pPr>
        <w:pStyle w:val="34"/>
        <w:keepLines w:val="0"/>
        <w:pageBreakBefore w:val="0"/>
        <w:widowControl w:val="0"/>
        <w:numPr>
          <w:ilvl w:val="0"/>
          <w:numId w:val="13"/>
        </w:numPr>
        <w:kinsoku/>
        <w:wordWrap/>
        <w:overflowPunct/>
        <w:topLinePunct w:val="0"/>
        <w:autoSpaceDE/>
        <w:autoSpaceDN/>
        <w:bidi w:val="0"/>
        <w:spacing w:before="0" w:after="0" w:line="336"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采购人因故推迟磋商响应截止时间，将以公告形式通知。在这种情况下，采购人和供应商的权利和义务将受到新的截止时间的约束。</w:t>
      </w:r>
    </w:p>
    <w:p w14:paraId="5AE81A95">
      <w:pPr>
        <w:pStyle w:val="12"/>
        <w:keepLines w:val="0"/>
        <w:pageBreakBefore w:val="0"/>
        <w:widowControl w:val="0"/>
        <w:kinsoku/>
        <w:wordWrap/>
        <w:overflowPunct/>
        <w:topLinePunct w:val="0"/>
        <w:autoSpaceDE/>
        <w:autoSpaceDN/>
        <w:bidi w:val="0"/>
        <w:spacing w:line="336" w:lineRule="auto"/>
        <w:ind w:left="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15、响应文件的修改、撤销</w:t>
      </w:r>
    </w:p>
    <w:p w14:paraId="5C5AF6B4">
      <w:pPr>
        <w:pStyle w:val="12"/>
        <w:keepLines w:val="0"/>
        <w:pageBreakBefore w:val="0"/>
        <w:widowControl w:val="0"/>
        <w:kinsoku/>
        <w:wordWrap/>
        <w:overflowPunct/>
        <w:topLinePunct w:val="0"/>
        <w:autoSpaceDE/>
        <w:autoSpaceDN/>
        <w:bidi w:val="0"/>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1716FA69">
      <w:pPr>
        <w:pStyle w:val="3"/>
        <w:keepLines w:val="0"/>
        <w:pageBreakBefore w:val="0"/>
        <w:widowControl w:val="0"/>
        <w:numPr>
          <w:ilvl w:val="0"/>
          <w:numId w:val="8"/>
        </w:numPr>
        <w:kinsoku/>
        <w:wordWrap/>
        <w:overflowPunct/>
        <w:topLinePunct w:val="0"/>
        <w:autoSpaceDE/>
        <w:autoSpaceDN/>
        <w:bidi w:val="0"/>
        <w:spacing w:line="336" w:lineRule="auto"/>
        <w:ind w:left="0" w:leftChars="0"/>
        <w:textAlignment w:val="auto"/>
        <w:rPr>
          <w:rFonts w:hint="eastAsia"/>
        </w:rPr>
      </w:pPr>
      <w:bookmarkStart w:id="58" w:name="_Toc26652"/>
      <w:bookmarkStart w:id="59" w:name="_Toc24120"/>
      <w:r>
        <w:rPr>
          <w:rFonts w:hint="eastAsia"/>
        </w:rPr>
        <w:t>磋商无效的情形</w:t>
      </w:r>
      <w:bookmarkEnd w:id="58"/>
      <w:bookmarkEnd w:id="59"/>
    </w:p>
    <w:p w14:paraId="7225E4C2">
      <w:pPr>
        <w:pStyle w:val="12"/>
        <w:keepLines w:val="0"/>
        <w:pageBreakBefore w:val="0"/>
        <w:widowControl w:val="0"/>
        <w:kinsoku/>
        <w:wordWrap/>
        <w:overflowPunct/>
        <w:topLinePunct w:val="0"/>
        <w:autoSpaceDE/>
        <w:autoSpaceDN/>
        <w:bidi w:val="0"/>
        <w:snapToGrid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16、无效响应</w:t>
      </w:r>
    </w:p>
    <w:p w14:paraId="196ECF81">
      <w:pPr>
        <w:pStyle w:val="12"/>
        <w:keepLines w:val="0"/>
        <w:pageBreakBefore w:val="0"/>
        <w:widowControl w:val="0"/>
        <w:kinsoku/>
        <w:wordWrap/>
        <w:overflowPunct/>
        <w:topLinePunct w:val="0"/>
        <w:autoSpaceDE/>
        <w:autoSpaceDN/>
        <w:bidi w:val="0"/>
        <w:snapToGrid w:val="0"/>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15E8E740">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16.1未按照磋商文件规定要求签署、盖章的；</w:t>
      </w:r>
    </w:p>
    <w:p w14:paraId="572A185B">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16.2《法定代表人授权书》填写不全、错误、未加盖供应商公章（公章和签字或盖章缺一不可）；</w:t>
      </w:r>
    </w:p>
    <w:p w14:paraId="4E69118F">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16.3个体工商户的身份证明与营业执照不一致的；</w:t>
      </w:r>
    </w:p>
    <w:p w14:paraId="119E7119">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16.4响应文件中的磋商函未加盖供应商的企业公章或填写不全的；</w:t>
      </w:r>
    </w:p>
    <w:p w14:paraId="5EDB6046">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16.5报价一经涂改，未在涂改处加盖投标单位公章或者未经法定代表人或其授权代表签字或盖章的；</w:t>
      </w:r>
    </w:p>
    <w:p w14:paraId="6A33A7FF">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16.6因未按规定的格式填写，内容不全或主要实质性内容字迹模糊辨认不清,经评标委员会认定为无法评审的；</w:t>
      </w:r>
    </w:p>
    <w:p w14:paraId="34C10E6D">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16.7出现同一标的物或本次采购产品(服务)内的主要产品(重要组成部分)出现技术、商务描述不一致或前后描述不一致，经评标委员会认定后为无法评审的；</w:t>
      </w:r>
    </w:p>
    <w:p w14:paraId="6D637F85">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16.8响应详细配置清单响应表不真实填写或弄虚作假的；改变磋商文件提供的清单中的计量单位、工程数量；</w:t>
      </w:r>
    </w:p>
    <w:p w14:paraId="1313BDCD">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16.9对采购产品技术规格未详细应答，致使其技术文件无法评审的；</w:t>
      </w:r>
    </w:p>
    <w:p w14:paraId="6453F039">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16.10响应文件有采购方不能接受的条件；</w:t>
      </w:r>
    </w:p>
    <w:p w14:paraId="3EA428AD">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680DEA64">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16.12磋商报价超过预算金额或最高限价的；</w:t>
      </w:r>
    </w:p>
    <w:p w14:paraId="7ED19C17">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16.13响应文件“商务技术文件资料”部分中出现《报价一览表》或《磋商报价明细表》相关内容的；</w:t>
      </w:r>
    </w:p>
    <w:p w14:paraId="0D8CB1D6">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16.14评标委员会认定有重大偏差或实质性不响应磋商文件要求的，即“★”的关键性指标及技术参数要求负偏离或缺漏；</w:t>
      </w:r>
    </w:p>
    <w:p w14:paraId="2B6551A2">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16.15供应商拒绝按磋商文件规定的修正原则对响应文件进行修改的；</w:t>
      </w:r>
    </w:p>
    <w:p w14:paraId="5546DD00">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16.16有下列情形之一的，视为供应商串通投标，其投标无效：</w:t>
      </w:r>
    </w:p>
    <w:p w14:paraId="4308336D">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16.16.1不同供应商的响应文件由同一单位或者个人编制；</w:t>
      </w:r>
    </w:p>
    <w:p w14:paraId="4D9AAB02">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16.16.2不同供应商委托同一单位或者个人办理投标事宜；</w:t>
      </w:r>
    </w:p>
    <w:p w14:paraId="6454056F">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16.16.3不同供应商的响应文件载明的项目管理成员或者联系人员为同一人；</w:t>
      </w:r>
    </w:p>
    <w:p w14:paraId="0689ECFE">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16.16.4不同供应商的响应文件异常一致或者投标报价呈规律性差异；</w:t>
      </w:r>
    </w:p>
    <w:p w14:paraId="1D8A4BAC">
      <w:pPr>
        <w:keepLines w:val="0"/>
        <w:pageBreakBefore w:val="0"/>
        <w:widowControl w:val="0"/>
        <w:kinsoku/>
        <w:wordWrap/>
        <w:overflowPunct/>
        <w:topLinePunct w:val="0"/>
        <w:autoSpaceDE/>
        <w:autoSpaceDN/>
        <w:bidi w:val="0"/>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16.16.5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14:paraId="39F3D482">
      <w:pPr>
        <w:keepLines w:val="0"/>
        <w:pageBreakBefore w:val="0"/>
        <w:widowControl w:val="0"/>
        <w:tabs>
          <w:tab w:val="left" w:pos="3870"/>
          <w:tab w:val="left" w:pos="4085"/>
        </w:tabs>
        <w:kinsoku/>
        <w:wordWrap/>
        <w:overflowPunct/>
        <w:topLinePunct w:val="0"/>
        <w:autoSpaceDE/>
        <w:autoSpaceDN/>
        <w:bidi w:val="0"/>
        <w:snapToGrid w:val="0"/>
        <w:spacing w:line="336" w:lineRule="auto"/>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其他违反</w:t>
      </w:r>
      <w:r>
        <w:rPr>
          <w:rFonts w:hint="eastAsia" w:ascii="宋体" w:hAnsi="宋体" w:cs="宋体"/>
          <w:b/>
          <w:bCs/>
          <w:color w:val="auto"/>
          <w:sz w:val="24"/>
          <w:szCs w:val="24"/>
          <w:highlight w:val="none"/>
          <w:lang w:eastAsia="zh-CN"/>
        </w:rPr>
        <w:t>法律法规</w:t>
      </w:r>
      <w:r>
        <w:rPr>
          <w:rFonts w:hint="eastAsia" w:ascii="宋体" w:hAnsi="宋体" w:eastAsia="宋体" w:cs="宋体"/>
          <w:b/>
          <w:bCs/>
          <w:color w:val="auto"/>
          <w:sz w:val="24"/>
          <w:szCs w:val="24"/>
          <w:highlight w:val="none"/>
        </w:rPr>
        <w:t>的情形。</w:t>
      </w:r>
    </w:p>
    <w:p w14:paraId="3AD91D6A">
      <w:pPr>
        <w:pStyle w:val="3"/>
        <w:keepLines w:val="0"/>
        <w:pageBreakBefore w:val="0"/>
        <w:widowControl w:val="0"/>
        <w:numPr>
          <w:ilvl w:val="0"/>
          <w:numId w:val="8"/>
        </w:numPr>
        <w:kinsoku/>
        <w:wordWrap/>
        <w:overflowPunct/>
        <w:topLinePunct w:val="0"/>
        <w:autoSpaceDE/>
        <w:autoSpaceDN/>
        <w:bidi w:val="0"/>
        <w:spacing w:line="336" w:lineRule="auto"/>
        <w:ind w:left="0" w:leftChars="0"/>
        <w:textAlignment w:val="auto"/>
        <w:rPr>
          <w:rFonts w:hint="eastAsia"/>
        </w:rPr>
      </w:pPr>
      <w:bookmarkStart w:id="60" w:name="_Toc21752"/>
      <w:bookmarkStart w:id="61" w:name="_Toc13076"/>
      <w:r>
        <w:rPr>
          <w:rFonts w:hint="eastAsia"/>
        </w:rPr>
        <w:t>采购中止的情形</w:t>
      </w:r>
      <w:bookmarkEnd w:id="60"/>
      <w:bookmarkEnd w:id="61"/>
    </w:p>
    <w:p w14:paraId="2B472AD2">
      <w:pPr>
        <w:pStyle w:val="12"/>
        <w:keepLines w:val="0"/>
        <w:pageBreakBefore w:val="0"/>
        <w:widowControl w:val="0"/>
        <w:kinsoku/>
        <w:wordWrap/>
        <w:overflowPunct/>
        <w:topLinePunct w:val="0"/>
        <w:autoSpaceDE/>
        <w:autoSpaceDN/>
        <w:bidi w:val="0"/>
        <w:spacing w:line="336" w:lineRule="auto"/>
        <w:ind w:left="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w:t>
      </w:r>
      <w:r>
        <w:rPr>
          <w:rFonts w:hint="eastAsia" w:ascii="宋体" w:hAnsi="宋体" w:eastAsia="宋体" w:cs="宋体"/>
          <w:b/>
          <w:bCs/>
          <w:color w:val="auto"/>
          <w:sz w:val="24"/>
          <w:szCs w:val="24"/>
          <w:highlight w:val="none"/>
          <w:lang w:val="zh-CN"/>
        </w:rPr>
        <w:t>中止电子交易活动和</w:t>
      </w:r>
      <w:r>
        <w:rPr>
          <w:rFonts w:hint="eastAsia" w:ascii="宋体" w:hAnsi="宋体" w:eastAsia="宋体" w:cs="宋体"/>
          <w:b/>
          <w:bCs/>
          <w:color w:val="auto"/>
          <w:sz w:val="24"/>
          <w:szCs w:val="24"/>
          <w:highlight w:val="none"/>
        </w:rPr>
        <w:t>重新组织采购</w:t>
      </w:r>
    </w:p>
    <w:p w14:paraId="522F0662">
      <w:pPr>
        <w:pStyle w:val="34"/>
        <w:keepNext w:val="0"/>
        <w:keepLines w:val="0"/>
        <w:pageBreakBefore w:val="0"/>
        <w:widowControl w:val="0"/>
        <w:tabs>
          <w:tab w:val="left" w:pos="0"/>
        </w:tabs>
        <w:kinsoku/>
        <w:wordWrap/>
        <w:overflowPunct/>
        <w:topLinePunct w:val="0"/>
        <w:autoSpaceDE/>
        <w:autoSpaceDN/>
        <w:bidi w:val="0"/>
        <w:adjustRightInd w:val="0"/>
        <w:snapToGrid/>
        <w:spacing w:before="0" w:after="0" w:line="336" w:lineRule="auto"/>
        <w:ind w:left="0" w:leftChars="0"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17.1</w:t>
      </w:r>
      <w:r>
        <w:rPr>
          <w:rFonts w:hint="eastAsia" w:ascii="宋体" w:hAnsi="宋体" w:eastAsia="宋体" w:cs="宋体"/>
          <w:color w:val="auto"/>
          <w:highlight w:val="none"/>
          <w:lang w:val="zh-CN"/>
        </w:rPr>
        <w:t>采购过程中出现以下情形，导致电子交易平台无法正常运行，或者无法保证电子交易的公平、公正和安全时，采购组织机构可中止电子交易活动：</w:t>
      </w:r>
    </w:p>
    <w:p w14:paraId="20479995">
      <w:pPr>
        <w:keepLines w:val="0"/>
        <w:pageBreakBefore w:val="0"/>
        <w:widowControl w:val="0"/>
        <w:numPr>
          <w:ilvl w:val="0"/>
          <w:numId w:val="14"/>
        </w:numPr>
        <w:tabs>
          <w:tab w:val="left" w:pos="0"/>
        </w:tabs>
        <w:kinsoku/>
        <w:wordWrap/>
        <w:overflowPunct/>
        <w:topLinePunct w:val="0"/>
        <w:autoSpaceDE/>
        <w:autoSpaceDN/>
        <w:bidi w:val="0"/>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电子交易平台发生故障而无法登录访问的；</w:t>
      </w:r>
    </w:p>
    <w:p w14:paraId="53F60DFD">
      <w:pPr>
        <w:keepLines w:val="0"/>
        <w:pageBreakBefore w:val="0"/>
        <w:widowControl w:val="0"/>
        <w:numPr>
          <w:ilvl w:val="0"/>
          <w:numId w:val="14"/>
        </w:numPr>
        <w:tabs>
          <w:tab w:val="left" w:pos="0"/>
        </w:tabs>
        <w:kinsoku/>
        <w:wordWrap/>
        <w:overflowPunct/>
        <w:topLinePunct w:val="0"/>
        <w:autoSpaceDE/>
        <w:autoSpaceDN/>
        <w:bidi w:val="0"/>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电子交易平台应用或数据库出现错误，不能进行正常操作的；</w:t>
      </w:r>
    </w:p>
    <w:p w14:paraId="3AC6E52E">
      <w:pPr>
        <w:keepLines w:val="0"/>
        <w:pageBreakBefore w:val="0"/>
        <w:widowControl w:val="0"/>
        <w:numPr>
          <w:ilvl w:val="0"/>
          <w:numId w:val="14"/>
        </w:numPr>
        <w:tabs>
          <w:tab w:val="left" w:pos="0"/>
        </w:tabs>
        <w:kinsoku/>
        <w:wordWrap/>
        <w:overflowPunct/>
        <w:topLinePunct w:val="0"/>
        <w:autoSpaceDE/>
        <w:autoSpaceDN/>
        <w:bidi w:val="0"/>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电子交易平台发现严重安全漏洞，有潜在泄密危险的；</w:t>
      </w:r>
    </w:p>
    <w:p w14:paraId="61D7FEC7">
      <w:pPr>
        <w:keepLines w:val="0"/>
        <w:pageBreakBefore w:val="0"/>
        <w:widowControl w:val="0"/>
        <w:numPr>
          <w:ilvl w:val="0"/>
          <w:numId w:val="14"/>
        </w:numPr>
        <w:tabs>
          <w:tab w:val="left" w:pos="0"/>
        </w:tabs>
        <w:kinsoku/>
        <w:wordWrap/>
        <w:overflowPunct/>
        <w:topLinePunct w:val="0"/>
        <w:autoSpaceDE/>
        <w:autoSpaceDN/>
        <w:bidi w:val="0"/>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病毒发作导致不能进行正常操作的；</w:t>
      </w:r>
    </w:p>
    <w:p w14:paraId="17EB879F">
      <w:pPr>
        <w:keepLines w:val="0"/>
        <w:pageBreakBefore w:val="0"/>
        <w:widowControl w:val="0"/>
        <w:numPr>
          <w:ilvl w:val="0"/>
          <w:numId w:val="14"/>
        </w:numPr>
        <w:tabs>
          <w:tab w:val="left" w:pos="0"/>
        </w:tabs>
        <w:kinsoku/>
        <w:wordWrap/>
        <w:overflowPunct/>
        <w:topLinePunct w:val="0"/>
        <w:autoSpaceDE/>
        <w:autoSpaceDN/>
        <w:bidi w:val="0"/>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其他无法保证电子交易的公平、公正和安全的情况。</w:t>
      </w:r>
    </w:p>
    <w:p w14:paraId="71497D47">
      <w:pPr>
        <w:pStyle w:val="34"/>
        <w:keepLines w:val="0"/>
        <w:pageBreakBefore w:val="0"/>
        <w:widowControl w:val="0"/>
        <w:tabs>
          <w:tab w:val="left" w:pos="0"/>
        </w:tabs>
        <w:kinsoku/>
        <w:wordWrap/>
        <w:overflowPunct/>
        <w:topLinePunct w:val="0"/>
        <w:autoSpaceDE/>
        <w:autoSpaceDN/>
        <w:bidi w:val="0"/>
        <w:spacing w:before="0" w:after="0"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5481FC51">
      <w:pPr>
        <w:pStyle w:val="3"/>
        <w:keepLines w:val="0"/>
        <w:pageBreakBefore w:val="0"/>
        <w:widowControl w:val="0"/>
        <w:numPr>
          <w:ilvl w:val="0"/>
          <w:numId w:val="8"/>
        </w:numPr>
        <w:kinsoku/>
        <w:wordWrap/>
        <w:overflowPunct/>
        <w:topLinePunct w:val="0"/>
        <w:autoSpaceDE/>
        <w:autoSpaceDN/>
        <w:bidi w:val="0"/>
        <w:spacing w:line="336" w:lineRule="auto"/>
        <w:textAlignment w:val="auto"/>
        <w:rPr>
          <w:rFonts w:hint="eastAsia"/>
        </w:rPr>
      </w:pPr>
      <w:bookmarkStart w:id="62" w:name="_Toc7332"/>
      <w:bookmarkStart w:id="63" w:name="_Toc14029"/>
      <w:r>
        <w:rPr>
          <w:rFonts w:hint="eastAsia"/>
        </w:rPr>
        <w:t>确定成交供应商与签订合同</w:t>
      </w:r>
      <w:bookmarkEnd w:id="62"/>
      <w:bookmarkEnd w:id="63"/>
    </w:p>
    <w:p w14:paraId="5FA4B9AE">
      <w:pPr>
        <w:keepLines w:val="0"/>
        <w:pageBreakBefore w:val="0"/>
        <w:widowControl w:val="0"/>
        <w:kinsoku/>
        <w:wordWrap/>
        <w:overflowPunct/>
        <w:topLinePunct w:val="0"/>
        <w:autoSpaceDE/>
        <w:autoSpaceDN/>
        <w:bidi w:val="0"/>
        <w:snapToGrid w:val="0"/>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18、推荐成交候选供应商</w:t>
      </w:r>
    </w:p>
    <w:p w14:paraId="695ED98B">
      <w:pPr>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14:paraId="0A3CE7B3">
      <w:pPr>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采购代理机构应当在评审结束后2个工作日内将评审报告送采购人确认。</w:t>
      </w:r>
    </w:p>
    <w:p w14:paraId="767136B3">
      <w:pPr>
        <w:keepLines w:val="0"/>
        <w:pageBreakBefore w:val="0"/>
        <w:widowControl w:val="0"/>
        <w:kinsoku/>
        <w:wordWrap/>
        <w:overflowPunct/>
        <w:topLinePunct w:val="0"/>
        <w:autoSpaceDE/>
        <w:autoSpaceDN/>
        <w:bidi w:val="0"/>
        <w:snapToGrid w:val="0"/>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19、确定成交供应商</w:t>
      </w:r>
    </w:p>
    <w:p w14:paraId="11638181">
      <w:pPr>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85BBEBA">
      <w:pPr>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19.2采购人或者采购代理机构应当在成交供应商确定后2个工作日内，在省级以上财政部门指定的政府采购信息发布媒体上公告成交结果，同时向成交供应商发出成交通知书。</w:t>
      </w:r>
    </w:p>
    <w:p w14:paraId="5267162C">
      <w:pPr>
        <w:keepLines w:val="0"/>
        <w:pageBreakBefore w:val="0"/>
        <w:widowControl w:val="0"/>
        <w:kinsoku/>
        <w:wordWrap/>
        <w:overflowPunct/>
        <w:topLinePunct w:val="0"/>
        <w:autoSpaceDE/>
        <w:autoSpaceDN/>
        <w:bidi w:val="0"/>
        <w:adjustRightInd w:val="0"/>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20、签订合同</w:t>
      </w:r>
    </w:p>
    <w:p w14:paraId="7BB29EF3">
      <w:pPr>
        <w:pStyle w:val="34"/>
        <w:keepNext w:val="0"/>
        <w:keepLines w:val="0"/>
        <w:pageBreakBefore w:val="0"/>
        <w:widowControl w:val="0"/>
        <w:kinsoku/>
        <w:wordWrap/>
        <w:overflowPunct/>
        <w:topLinePunct w:val="0"/>
        <w:autoSpaceDE/>
        <w:autoSpaceDN/>
        <w:bidi w:val="0"/>
        <w:adjustRightInd w:val="0"/>
        <w:snapToGrid w:val="0"/>
        <w:spacing w:before="0" w:after="0"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20.1. 采购人与成交供应商应当在成交通知书发出之日起30日内，按照磋商文件确定的合同文本以及采购标的、规格型号、采购金额、采购数量、技术和服务要求等事项签订政府采购合同。</w:t>
      </w:r>
    </w:p>
    <w:p w14:paraId="01FC5664">
      <w:pPr>
        <w:pStyle w:val="34"/>
        <w:keepNext w:val="0"/>
        <w:keepLines w:val="0"/>
        <w:pageBreakBefore w:val="0"/>
        <w:widowControl w:val="0"/>
        <w:kinsoku/>
        <w:wordWrap/>
        <w:overflowPunct/>
        <w:topLinePunct w:val="0"/>
        <w:autoSpaceDE/>
        <w:autoSpaceDN/>
        <w:bidi w:val="0"/>
        <w:adjustRightInd w:val="0"/>
        <w:snapToGrid w:val="0"/>
        <w:spacing w:before="0" w:after="0"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6BB84786">
      <w:pPr>
        <w:adjustRightInd w:val="0"/>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21、解释权</w:t>
      </w:r>
    </w:p>
    <w:p w14:paraId="19ED0690">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绍兴市上虞区市场监督管理局</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u w:val="single"/>
          <w:lang w:eastAsia="zh-CN"/>
        </w:rPr>
        <w:t>绍兴成言工程咨询管理有限公司</w:t>
      </w:r>
      <w:r>
        <w:rPr>
          <w:rFonts w:hint="eastAsia" w:ascii="宋体" w:hAnsi="宋体" w:eastAsia="宋体" w:cs="宋体"/>
          <w:color w:val="auto"/>
          <w:sz w:val="24"/>
          <w:szCs w:val="24"/>
          <w:highlight w:val="none"/>
        </w:rPr>
        <w:t>。</w:t>
      </w:r>
    </w:p>
    <w:p w14:paraId="32810D66">
      <w:pPr>
        <w:pStyle w:val="11"/>
        <w:rPr>
          <w:rFonts w:hint="eastAsia" w:ascii="宋体" w:hAnsi="宋体" w:eastAsia="宋体" w:cs="宋体"/>
          <w:color w:val="auto"/>
          <w:highlight w:val="none"/>
        </w:rPr>
      </w:pPr>
    </w:p>
    <w:p w14:paraId="7D40CAEB">
      <w:pPr>
        <w:pStyle w:val="2"/>
        <w:bidi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64" w:name="_Toc18043"/>
      <w:bookmarkStart w:id="65" w:name="_Toc21248"/>
      <w:r>
        <w:rPr>
          <w:rFonts w:hint="eastAsia" w:ascii="宋体" w:hAnsi="宋体" w:eastAsia="宋体" w:cs="宋体"/>
          <w:color w:val="auto"/>
          <w:sz w:val="36"/>
          <w:szCs w:val="36"/>
          <w:highlight w:val="none"/>
        </w:rPr>
        <w:t>第三部分 采购内容及要求</w:t>
      </w:r>
      <w:bookmarkEnd w:id="64"/>
      <w:bookmarkEnd w:id="65"/>
    </w:p>
    <w:p w14:paraId="7A482D02">
      <w:pPr>
        <w:pStyle w:val="3"/>
        <w:jc w:val="center"/>
        <w:rPr>
          <w:rFonts w:hint="eastAsia" w:ascii="宋体" w:hAnsi="宋体" w:eastAsia="宋体" w:cs="宋体"/>
          <w:color w:val="auto"/>
          <w:highlight w:val="none"/>
        </w:rPr>
      </w:pPr>
      <w:bookmarkStart w:id="66" w:name="_Toc915"/>
      <w:bookmarkStart w:id="67" w:name="_Toc25073"/>
      <w:bookmarkStart w:id="68" w:name="_Toc15284"/>
      <w:r>
        <w:rPr>
          <w:rFonts w:hint="eastAsia" w:ascii="宋体" w:hAnsi="宋体" w:eastAsia="宋体" w:cs="宋体"/>
          <w:color w:val="auto"/>
          <w:highlight w:val="none"/>
        </w:rPr>
        <w:t xml:space="preserve">第一章 </w:t>
      </w:r>
      <w:bookmarkStart w:id="69" w:name="_Toc506107120"/>
      <w:r>
        <w:rPr>
          <w:rFonts w:hint="eastAsia" w:ascii="宋体" w:hAnsi="宋体" w:eastAsia="宋体" w:cs="宋体"/>
          <w:color w:val="auto"/>
          <w:highlight w:val="none"/>
        </w:rPr>
        <w:t>采购内容及要求</w:t>
      </w:r>
      <w:bookmarkEnd w:id="66"/>
      <w:bookmarkEnd w:id="67"/>
      <w:bookmarkEnd w:id="69"/>
    </w:p>
    <w:p w14:paraId="7AC0609C">
      <w:pPr>
        <w:keepNext w:val="0"/>
        <w:keepLines w:val="0"/>
        <w:pageBreakBefore w:val="0"/>
        <w:widowControl w:val="0"/>
        <w:kinsoku/>
        <w:wordWrap/>
        <w:overflowPunct/>
        <w:topLinePunct w:val="0"/>
        <w:autoSpaceDE w:val="0"/>
        <w:autoSpaceDN w:val="0"/>
        <w:bidi w:val="0"/>
        <w:adjustRightInd w:val="0"/>
        <w:snapToGrid/>
        <w:spacing w:line="336" w:lineRule="auto"/>
        <w:ind w:firstLine="713" w:firstLineChars="296"/>
        <w:jc w:val="left"/>
        <w:textAlignment w:val="auto"/>
        <w:rPr>
          <w:rFonts w:hint="eastAsia" w:ascii="宋体" w:hAnsi="宋体" w:eastAsia="宋体" w:cs="宋体"/>
          <w:b/>
          <w:bCs/>
          <w:color w:val="auto"/>
          <w:sz w:val="24"/>
          <w:szCs w:val="24"/>
          <w:highlight w:val="none"/>
          <w:lang w:val="en-US" w:eastAsia="zh-CN"/>
        </w:rPr>
      </w:pPr>
      <w:bookmarkStart w:id="70" w:name="_Toc383594466"/>
      <w:bookmarkStart w:id="71" w:name="_Toc370912322"/>
      <w:bookmarkStart w:id="72" w:name="_Toc20154"/>
      <w:bookmarkStart w:id="73" w:name="_Toc339877854"/>
      <w:bookmarkStart w:id="74" w:name="_Toc388866625"/>
      <w:bookmarkStart w:id="75" w:name="_Toc370460889"/>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项目概况</w:t>
      </w:r>
    </w:p>
    <w:p w14:paraId="17533A9A">
      <w:pPr>
        <w:pStyle w:val="3"/>
        <w:keepNext/>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val="0"/>
          <w:bCs w:val="0"/>
          <w:lang w:val="en-US" w:eastAsia="zh-CN"/>
        </w:rPr>
      </w:pPr>
      <w:r>
        <w:rPr>
          <w:rFonts w:hint="eastAsia" w:hAnsi="宋体" w:cs="宋体"/>
          <w:b/>
          <w:bCs/>
          <w:color w:val="auto"/>
          <w:sz w:val="24"/>
          <w:szCs w:val="24"/>
          <w:highlight w:val="none"/>
          <w:lang w:val="en-US" w:eastAsia="zh-CN"/>
        </w:rPr>
        <w:t xml:space="preserve"> </w:t>
      </w:r>
      <w:r>
        <w:rPr>
          <w:rFonts w:hint="eastAsia" w:hAnsi="宋体" w:cs="宋体"/>
          <w:b w:val="0"/>
          <w:bCs w:val="0"/>
          <w:color w:val="auto"/>
          <w:sz w:val="24"/>
          <w:szCs w:val="24"/>
          <w:highlight w:val="none"/>
          <w:lang w:val="en-US" w:eastAsia="zh-CN"/>
        </w:rPr>
        <w:t>自绍兴市上虞区市场监督管理局企业信用平台系统建议以来，已经运行多年，部分设备运行达到一定年限，且故障率激增，影响稳定性和可用性，考虑到设备将逐渐脱保，为保证其设备正常运行，日常维护服务采购需要提上日程，鉴于整体机房维护复杂，维护费用较高，需进行整体需要专业维保服务商提供全方位维保服务。</w:t>
      </w:r>
    </w:p>
    <w:p w14:paraId="753A5B0B">
      <w:pPr>
        <w:keepNext w:val="0"/>
        <w:keepLines w:val="0"/>
        <w:pageBreakBefore w:val="0"/>
        <w:widowControl w:val="0"/>
        <w:numPr>
          <w:ilvl w:val="0"/>
          <w:numId w:val="15"/>
        </w:numPr>
        <w:kinsoku/>
        <w:wordWrap/>
        <w:overflowPunct/>
        <w:topLinePunct w:val="0"/>
        <w:autoSpaceDE w:val="0"/>
        <w:autoSpaceDN w:val="0"/>
        <w:bidi w:val="0"/>
        <w:adjustRightInd w:val="0"/>
        <w:snapToGrid/>
        <w:spacing w:line="336" w:lineRule="auto"/>
        <w:ind w:firstLine="713" w:firstLineChars="29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维保服务清单</w:t>
      </w:r>
    </w:p>
    <w:tbl>
      <w:tblPr>
        <w:tblStyle w:val="25"/>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3581"/>
        <w:gridCol w:w="1276"/>
        <w:gridCol w:w="708"/>
        <w:gridCol w:w="1497"/>
      </w:tblGrid>
      <w:tr w14:paraId="79B9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117F12C5">
            <w:pPr>
              <w:jc w:val="center"/>
              <w:rPr>
                <w:rFonts w:hint="eastAsia" w:ascii="仿宋" w:hAnsi="仿宋" w:eastAsia="仿宋" w:cs="仿宋"/>
                <w:b/>
                <w:bCs/>
                <w:szCs w:val="21"/>
              </w:rPr>
            </w:pPr>
            <w:r>
              <w:rPr>
                <w:rFonts w:hint="eastAsia" w:ascii="仿宋" w:hAnsi="仿宋" w:eastAsia="仿宋" w:cs="仿宋"/>
                <w:b/>
                <w:bCs/>
                <w:szCs w:val="21"/>
              </w:rPr>
              <w:t>设备名称</w:t>
            </w:r>
          </w:p>
        </w:tc>
        <w:tc>
          <w:tcPr>
            <w:tcW w:w="3581" w:type="dxa"/>
            <w:shd w:val="clear" w:color="000000" w:fill="FFFFFF"/>
            <w:noWrap w:val="0"/>
            <w:vAlign w:val="center"/>
          </w:tcPr>
          <w:p w14:paraId="303FFB95">
            <w:pPr>
              <w:jc w:val="left"/>
              <w:rPr>
                <w:rFonts w:hint="eastAsia" w:ascii="仿宋" w:hAnsi="仿宋" w:eastAsia="仿宋" w:cs="仿宋"/>
                <w:b/>
                <w:bCs/>
                <w:szCs w:val="21"/>
              </w:rPr>
            </w:pPr>
            <w:r>
              <w:rPr>
                <w:rFonts w:hint="eastAsia" w:ascii="仿宋" w:hAnsi="仿宋" w:eastAsia="仿宋" w:cs="仿宋"/>
                <w:b/>
                <w:bCs/>
                <w:szCs w:val="21"/>
              </w:rPr>
              <w:t>品牌型号</w:t>
            </w:r>
          </w:p>
        </w:tc>
        <w:tc>
          <w:tcPr>
            <w:tcW w:w="1276" w:type="dxa"/>
            <w:shd w:val="clear" w:color="000000" w:fill="FFFFFF"/>
            <w:noWrap w:val="0"/>
            <w:vAlign w:val="center"/>
          </w:tcPr>
          <w:p w14:paraId="049D04B4">
            <w:pPr>
              <w:jc w:val="center"/>
              <w:rPr>
                <w:rFonts w:hint="eastAsia" w:ascii="仿宋" w:hAnsi="仿宋" w:eastAsia="仿宋" w:cs="仿宋"/>
                <w:b/>
                <w:bCs/>
                <w:szCs w:val="21"/>
              </w:rPr>
            </w:pPr>
            <w:r>
              <w:rPr>
                <w:rFonts w:hint="eastAsia" w:ascii="仿宋" w:hAnsi="仿宋" w:eastAsia="仿宋" w:cs="仿宋"/>
                <w:b/>
                <w:bCs/>
                <w:szCs w:val="21"/>
              </w:rPr>
              <w:t>服务级别</w:t>
            </w:r>
          </w:p>
        </w:tc>
        <w:tc>
          <w:tcPr>
            <w:tcW w:w="708" w:type="dxa"/>
            <w:shd w:val="clear" w:color="000000" w:fill="FFFFFF"/>
            <w:noWrap w:val="0"/>
            <w:vAlign w:val="center"/>
          </w:tcPr>
          <w:p w14:paraId="58879E69">
            <w:pPr>
              <w:jc w:val="center"/>
              <w:rPr>
                <w:rFonts w:hint="eastAsia" w:ascii="仿宋" w:hAnsi="仿宋" w:eastAsia="仿宋" w:cs="仿宋"/>
                <w:b/>
                <w:bCs/>
                <w:szCs w:val="21"/>
              </w:rPr>
            </w:pPr>
            <w:r>
              <w:rPr>
                <w:rFonts w:hint="eastAsia" w:ascii="仿宋" w:hAnsi="仿宋" w:eastAsia="仿宋" w:cs="仿宋"/>
                <w:b/>
                <w:bCs/>
                <w:szCs w:val="21"/>
              </w:rPr>
              <w:t>数量</w:t>
            </w:r>
          </w:p>
        </w:tc>
        <w:tc>
          <w:tcPr>
            <w:tcW w:w="1497" w:type="dxa"/>
            <w:shd w:val="clear" w:color="000000" w:fill="FFFFFF"/>
            <w:noWrap w:val="0"/>
            <w:vAlign w:val="center"/>
          </w:tcPr>
          <w:p w14:paraId="6EC890C7">
            <w:pPr>
              <w:jc w:val="center"/>
              <w:rPr>
                <w:rFonts w:hint="eastAsia" w:ascii="仿宋" w:hAnsi="仿宋" w:eastAsia="仿宋" w:cs="仿宋"/>
                <w:b/>
                <w:bCs/>
                <w:szCs w:val="21"/>
              </w:rPr>
            </w:pPr>
            <w:r>
              <w:rPr>
                <w:rFonts w:hint="eastAsia" w:ascii="仿宋" w:hAnsi="仿宋" w:eastAsia="仿宋" w:cs="仿宋"/>
                <w:b/>
                <w:bCs/>
                <w:szCs w:val="21"/>
              </w:rPr>
              <w:t>服务期(月)</w:t>
            </w:r>
          </w:p>
        </w:tc>
      </w:tr>
      <w:tr w14:paraId="29E0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51" w:type="dxa"/>
            <w:shd w:val="clear" w:color="000000" w:fill="FFFFFF"/>
            <w:noWrap w:val="0"/>
            <w:vAlign w:val="center"/>
          </w:tcPr>
          <w:p w14:paraId="146B658B">
            <w:pPr>
              <w:rPr>
                <w:rFonts w:hint="eastAsia" w:ascii="仿宋" w:hAnsi="仿宋" w:eastAsia="仿宋" w:cs="仿宋"/>
                <w:szCs w:val="21"/>
              </w:rPr>
            </w:pPr>
            <w:r>
              <w:rPr>
                <w:rFonts w:hint="eastAsia" w:ascii="仿宋" w:hAnsi="仿宋" w:eastAsia="仿宋" w:cs="仿宋"/>
                <w:szCs w:val="21"/>
              </w:rPr>
              <w:t>链路负载均衡</w:t>
            </w:r>
          </w:p>
        </w:tc>
        <w:tc>
          <w:tcPr>
            <w:tcW w:w="3581" w:type="dxa"/>
            <w:shd w:val="clear" w:color="000000" w:fill="FFFFFF"/>
            <w:noWrap w:val="0"/>
            <w:vAlign w:val="center"/>
          </w:tcPr>
          <w:p w14:paraId="2FC9C190">
            <w:pPr>
              <w:jc w:val="left"/>
              <w:rPr>
                <w:rFonts w:hint="eastAsia" w:ascii="仿宋" w:hAnsi="仿宋" w:eastAsia="仿宋" w:cs="仿宋"/>
                <w:szCs w:val="21"/>
              </w:rPr>
            </w:pPr>
            <w:r>
              <w:rPr>
                <w:rFonts w:hint="eastAsia" w:ascii="仿宋" w:hAnsi="仿宋" w:eastAsia="仿宋" w:cs="仿宋"/>
                <w:szCs w:val="21"/>
              </w:rPr>
              <w:t>深信服AD-4000</w:t>
            </w:r>
          </w:p>
        </w:tc>
        <w:tc>
          <w:tcPr>
            <w:tcW w:w="1276" w:type="dxa"/>
            <w:shd w:val="clear" w:color="000000" w:fill="FFFFFF"/>
            <w:noWrap w:val="0"/>
            <w:vAlign w:val="center"/>
          </w:tcPr>
          <w:p w14:paraId="6475481D">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19C94D45">
            <w:pPr>
              <w:jc w:val="center"/>
              <w:rPr>
                <w:rFonts w:hint="eastAsia" w:ascii="仿宋" w:hAnsi="仿宋" w:eastAsia="仿宋" w:cs="仿宋"/>
                <w:szCs w:val="21"/>
              </w:rPr>
            </w:pPr>
            <w:r>
              <w:rPr>
                <w:rFonts w:hint="eastAsia" w:ascii="仿宋" w:hAnsi="仿宋" w:eastAsia="仿宋" w:cs="仿宋"/>
                <w:szCs w:val="21"/>
              </w:rPr>
              <w:t>2</w:t>
            </w:r>
          </w:p>
        </w:tc>
        <w:tc>
          <w:tcPr>
            <w:tcW w:w="1497" w:type="dxa"/>
            <w:shd w:val="clear" w:color="000000" w:fill="FFFFFF"/>
            <w:noWrap w:val="0"/>
            <w:vAlign w:val="center"/>
          </w:tcPr>
          <w:p w14:paraId="680B5A81">
            <w:pPr>
              <w:jc w:val="center"/>
              <w:rPr>
                <w:rFonts w:hint="eastAsia" w:ascii="仿宋" w:hAnsi="仿宋" w:eastAsia="仿宋" w:cs="仿宋"/>
                <w:szCs w:val="21"/>
              </w:rPr>
            </w:pPr>
            <w:r>
              <w:rPr>
                <w:rFonts w:hint="eastAsia" w:ascii="仿宋" w:hAnsi="仿宋" w:eastAsia="仿宋" w:cs="仿宋"/>
                <w:szCs w:val="21"/>
              </w:rPr>
              <w:t>12</w:t>
            </w:r>
          </w:p>
        </w:tc>
      </w:tr>
      <w:tr w14:paraId="54AA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51" w:type="dxa"/>
            <w:shd w:val="clear" w:color="000000" w:fill="FFFFFF"/>
            <w:noWrap w:val="0"/>
            <w:vAlign w:val="center"/>
          </w:tcPr>
          <w:p w14:paraId="7A7DB67F">
            <w:pPr>
              <w:rPr>
                <w:rFonts w:hint="eastAsia" w:ascii="仿宋" w:hAnsi="仿宋" w:eastAsia="仿宋" w:cs="仿宋"/>
                <w:szCs w:val="21"/>
              </w:rPr>
            </w:pPr>
            <w:r>
              <w:rPr>
                <w:rFonts w:hint="eastAsia" w:ascii="仿宋" w:hAnsi="仿宋" w:eastAsia="仿宋" w:cs="仿宋"/>
                <w:szCs w:val="21"/>
              </w:rPr>
              <w:t>防火墙</w:t>
            </w:r>
          </w:p>
        </w:tc>
        <w:tc>
          <w:tcPr>
            <w:tcW w:w="3581" w:type="dxa"/>
            <w:shd w:val="clear" w:color="000000" w:fill="FFFFFF"/>
            <w:noWrap w:val="0"/>
            <w:vAlign w:val="center"/>
          </w:tcPr>
          <w:p w14:paraId="6694D8DA">
            <w:pPr>
              <w:jc w:val="left"/>
              <w:rPr>
                <w:rFonts w:hint="eastAsia" w:ascii="仿宋" w:hAnsi="仿宋" w:eastAsia="仿宋" w:cs="仿宋"/>
                <w:szCs w:val="21"/>
              </w:rPr>
            </w:pPr>
            <w:r>
              <w:rPr>
                <w:rFonts w:hint="eastAsia" w:ascii="仿宋" w:hAnsi="仿宋" w:eastAsia="仿宋" w:cs="仿宋"/>
                <w:szCs w:val="21"/>
              </w:rPr>
              <w:t xml:space="preserve">深信服AF-1820 </w:t>
            </w:r>
          </w:p>
        </w:tc>
        <w:tc>
          <w:tcPr>
            <w:tcW w:w="1276" w:type="dxa"/>
            <w:shd w:val="clear" w:color="000000" w:fill="FFFFFF"/>
            <w:noWrap w:val="0"/>
            <w:vAlign w:val="center"/>
          </w:tcPr>
          <w:p w14:paraId="3DDE9D0D">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408AC12C">
            <w:pPr>
              <w:jc w:val="center"/>
              <w:rPr>
                <w:rFonts w:hint="eastAsia" w:ascii="仿宋" w:hAnsi="仿宋" w:eastAsia="仿宋" w:cs="仿宋"/>
                <w:szCs w:val="21"/>
              </w:rPr>
            </w:pPr>
            <w:r>
              <w:rPr>
                <w:rFonts w:hint="eastAsia" w:ascii="仿宋" w:hAnsi="仿宋" w:eastAsia="仿宋" w:cs="仿宋"/>
                <w:szCs w:val="21"/>
              </w:rPr>
              <w:t>5</w:t>
            </w:r>
          </w:p>
        </w:tc>
        <w:tc>
          <w:tcPr>
            <w:tcW w:w="1497" w:type="dxa"/>
            <w:shd w:val="clear" w:color="000000" w:fill="FFFFFF"/>
            <w:noWrap w:val="0"/>
            <w:vAlign w:val="center"/>
          </w:tcPr>
          <w:p w14:paraId="176D7F40">
            <w:pPr>
              <w:jc w:val="center"/>
              <w:rPr>
                <w:rFonts w:hint="eastAsia" w:ascii="仿宋" w:hAnsi="仿宋" w:eastAsia="仿宋" w:cs="仿宋"/>
                <w:szCs w:val="21"/>
              </w:rPr>
            </w:pPr>
            <w:r>
              <w:rPr>
                <w:rFonts w:hint="eastAsia" w:ascii="仿宋" w:hAnsi="仿宋" w:eastAsia="仿宋" w:cs="仿宋"/>
                <w:szCs w:val="21"/>
              </w:rPr>
              <w:t>12</w:t>
            </w:r>
          </w:p>
        </w:tc>
      </w:tr>
      <w:tr w14:paraId="0680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1" w:type="dxa"/>
            <w:shd w:val="clear" w:color="000000" w:fill="FFFFFF"/>
            <w:noWrap w:val="0"/>
            <w:vAlign w:val="center"/>
          </w:tcPr>
          <w:p w14:paraId="15F6DC9D">
            <w:pPr>
              <w:rPr>
                <w:rFonts w:hint="eastAsia" w:ascii="仿宋" w:hAnsi="仿宋" w:eastAsia="仿宋" w:cs="仿宋"/>
                <w:szCs w:val="21"/>
              </w:rPr>
            </w:pPr>
            <w:r>
              <w:rPr>
                <w:rFonts w:hint="eastAsia" w:ascii="仿宋" w:hAnsi="仿宋" w:eastAsia="仿宋" w:cs="仿宋"/>
                <w:szCs w:val="21"/>
              </w:rPr>
              <w:t>入侵防御系统</w:t>
            </w:r>
          </w:p>
        </w:tc>
        <w:tc>
          <w:tcPr>
            <w:tcW w:w="3581" w:type="dxa"/>
            <w:shd w:val="clear" w:color="000000" w:fill="FFFFFF"/>
            <w:noWrap w:val="0"/>
            <w:vAlign w:val="center"/>
          </w:tcPr>
          <w:p w14:paraId="5D4CC8A8">
            <w:pPr>
              <w:jc w:val="left"/>
              <w:rPr>
                <w:rFonts w:hint="eastAsia" w:ascii="仿宋" w:hAnsi="仿宋" w:eastAsia="仿宋" w:cs="仿宋"/>
                <w:szCs w:val="21"/>
              </w:rPr>
            </w:pPr>
            <w:r>
              <w:rPr>
                <w:rFonts w:hint="eastAsia" w:ascii="仿宋" w:hAnsi="仿宋" w:eastAsia="仿宋" w:cs="仿宋"/>
                <w:szCs w:val="21"/>
              </w:rPr>
              <w:t xml:space="preserve">深信服AF-1850-IPS </w:t>
            </w:r>
          </w:p>
        </w:tc>
        <w:tc>
          <w:tcPr>
            <w:tcW w:w="1276" w:type="dxa"/>
            <w:shd w:val="clear" w:color="000000" w:fill="FFFFFF"/>
            <w:noWrap w:val="0"/>
            <w:vAlign w:val="center"/>
          </w:tcPr>
          <w:p w14:paraId="38A52841">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0EB33A84">
            <w:pPr>
              <w:jc w:val="center"/>
              <w:rPr>
                <w:rFonts w:hint="eastAsia" w:ascii="仿宋" w:hAnsi="仿宋" w:eastAsia="仿宋" w:cs="仿宋"/>
                <w:szCs w:val="21"/>
              </w:rPr>
            </w:pPr>
            <w:r>
              <w:rPr>
                <w:rFonts w:hint="eastAsia" w:ascii="仿宋" w:hAnsi="仿宋" w:eastAsia="仿宋" w:cs="仿宋"/>
                <w:szCs w:val="21"/>
              </w:rPr>
              <w:t>2</w:t>
            </w:r>
          </w:p>
        </w:tc>
        <w:tc>
          <w:tcPr>
            <w:tcW w:w="1497" w:type="dxa"/>
            <w:shd w:val="clear" w:color="000000" w:fill="FFFFFF"/>
            <w:noWrap w:val="0"/>
            <w:vAlign w:val="center"/>
          </w:tcPr>
          <w:p w14:paraId="0748E3CE">
            <w:pPr>
              <w:jc w:val="center"/>
              <w:rPr>
                <w:rFonts w:hint="eastAsia" w:ascii="仿宋" w:hAnsi="仿宋" w:eastAsia="仿宋" w:cs="仿宋"/>
                <w:szCs w:val="21"/>
              </w:rPr>
            </w:pPr>
            <w:r>
              <w:rPr>
                <w:rFonts w:hint="eastAsia" w:ascii="仿宋" w:hAnsi="仿宋" w:eastAsia="仿宋" w:cs="仿宋"/>
                <w:szCs w:val="21"/>
              </w:rPr>
              <w:t>12</w:t>
            </w:r>
          </w:p>
        </w:tc>
      </w:tr>
      <w:tr w14:paraId="01ED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1" w:type="dxa"/>
            <w:shd w:val="clear" w:color="000000" w:fill="FFFFFF"/>
            <w:noWrap w:val="0"/>
            <w:vAlign w:val="center"/>
          </w:tcPr>
          <w:p w14:paraId="055EA403">
            <w:pPr>
              <w:rPr>
                <w:rFonts w:hint="eastAsia" w:ascii="仿宋" w:hAnsi="仿宋" w:eastAsia="仿宋" w:cs="仿宋"/>
                <w:szCs w:val="21"/>
              </w:rPr>
            </w:pPr>
            <w:r>
              <w:rPr>
                <w:rFonts w:hint="eastAsia" w:ascii="仿宋" w:hAnsi="仿宋" w:eastAsia="仿宋" w:cs="仿宋"/>
                <w:szCs w:val="21"/>
              </w:rPr>
              <w:t>VPN</w:t>
            </w:r>
          </w:p>
        </w:tc>
        <w:tc>
          <w:tcPr>
            <w:tcW w:w="3581" w:type="dxa"/>
            <w:shd w:val="clear" w:color="000000" w:fill="FFFFFF"/>
            <w:noWrap w:val="0"/>
            <w:vAlign w:val="center"/>
          </w:tcPr>
          <w:p w14:paraId="44CD2892">
            <w:pPr>
              <w:jc w:val="left"/>
              <w:rPr>
                <w:rFonts w:hint="eastAsia" w:ascii="仿宋" w:hAnsi="仿宋" w:eastAsia="仿宋" w:cs="仿宋"/>
                <w:szCs w:val="21"/>
              </w:rPr>
            </w:pPr>
            <w:r>
              <w:rPr>
                <w:rFonts w:hint="eastAsia" w:ascii="仿宋" w:hAnsi="仿宋" w:eastAsia="仿宋" w:cs="仿宋"/>
                <w:szCs w:val="21"/>
              </w:rPr>
              <w:t xml:space="preserve">深信服VPN-3050 </w:t>
            </w:r>
          </w:p>
        </w:tc>
        <w:tc>
          <w:tcPr>
            <w:tcW w:w="1276" w:type="dxa"/>
            <w:shd w:val="clear" w:color="000000" w:fill="FFFFFF"/>
            <w:noWrap w:val="0"/>
            <w:vAlign w:val="center"/>
          </w:tcPr>
          <w:p w14:paraId="36F95E77">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3F9ECB86">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7247F268">
            <w:pPr>
              <w:jc w:val="center"/>
              <w:rPr>
                <w:rFonts w:hint="eastAsia" w:ascii="仿宋" w:hAnsi="仿宋" w:eastAsia="仿宋" w:cs="仿宋"/>
                <w:szCs w:val="21"/>
              </w:rPr>
            </w:pPr>
            <w:r>
              <w:rPr>
                <w:rFonts w:hint="eastAsia" w:ascii="仿宋" w:hAnsi="仿宋" w:eastAsia="仿宋" w:cs="仿宋"/>
                <w:szCs w:val="21"/>
              </w:rPr>
              <w:t>12</w:t>
            </w:r>
          </w:p>
        </w:tc>
      </w:tr>
      <w:tr w14:paraId="1E46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51" w:type="dxa"/>
            <w:shd w:val="clear" w:color="000000" w:fill="FFFFFF"/>
            <w:noWrap w:val="0"/>
            <w:vAlign w:val="center"/>
          </w:tcPr>
          <w:p w14:paraId="035E22EA">
            <w:pPr>
              <w:rPr>
                <w:rFonts w:hint="eastAsia" w:ascii="仿宋" w:hAnsi="仿宋" w:eastAsia="仿宋" w:cs="仿宋"/>
                <w:szCs w:val="21"/>
              </w:rPr>
            </w:pPr>
            <w:r>
              <w:rPr>
                <w:rFonts w:hint="eastAsia" w:ascii="仿宋" w:hAnsi="仿宋" w:eastAsia="仿宋" w:cs="仿宋"/>
                <w:szCs w:val="21"/>
              </w:rPr>
              <w:t>日志虚拟化存储平台</w:t>
            </w:r>
          </w:p>
        </w:tc>
        <w:tc>
          <w:tcPr>
            <w:tcW w:w="3581" w:type="dxa"/>
            <w:shd w:val="clear" w:color="000000" w:fill="FFFFFF"/>
            <w:noWrap w:val="0"/>
            <w:vAlign w:val="center"/>
          </w:tcPr>
          <w:p w14:paraId="4DBAB9D6">
            <w:pPr>
              <w:jc w:val="left"/>
              <w:rPr>
                <w:rFonts w:hint="eastAsia" w:ascii="仿宋" w:hAnsi="仿宋" w:eastAsia="仿宋" w:cs="仿宋"/>
                <w:szCs w:val="21"/>
              </w:rPr>
            </w:pPr>
            <w:r>
              <w:rPr>
                <w:rFonts w:hint="eastAsia" w:ascii="仿宋" w:hAnsi="仿宋" w:eastAsia="仿宋" w:cs="仿宋"/>
                <w:szCs w:val="21"/>
              </w:rPr>
              <w:t>深信服VDS-1300</w:t>
            </w:r>
          </w:p>
        </w:tc>
        <w:tc>
          <w:tcPr>
            <w:tcW w:w="1276" w:type="dxa"/>
            <w:shd w:val="clear" w:color="000000" w:fill="FFFFFF"/>
            <w:noWrap w:val="0"/>
            <w:vAlign w:val="center"/>
          </w:tcPr>
          <w:p w14:paraId="58101F58">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03773D07">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3DFD0A4C">
            <w:pPr>
              <w:jc w:val="center"/>
              <w:rPr>
                <w:rFonts w:hint="eastAsia" w:ascii="仿宋" w:hAnsi="仿宋" w:eastAsia="仿宋" w:cs="仿宋"/>
                <w:szCs w:val="21"/>
              </w:rPr>
            </w:pPr>
            <w:r>
              <w:rPr>
                <w:rFonts w:hint="eastAsia" w:ascii="仿宋" w:hAnsi="仿宋" w:eastAsia="仿宋" w:cs="仿宋"/>
                <w:szCs w:val="21"/>
              </w:rPr>
              <w:t>12</w:t>
            </w:r>
          </w:p>
        </w:tc>
      </w:tr>
      <w:tr w14:paraId="6B65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5495B43E">
            <w:pPr>
              <w:rPr>
                <w:rFonts w:hint="eastAsia" w:ascii="仿宋" w:hAnsi="仿宋" w:eastAsia="仿宋" w:cs="仿宋"/>
                <w:szCs w:val="21"/>
              </w:rPr>
            </w:pPr>
            <w:r>
              <w:rPr>
                <w:rFonts w:hint="eastAsia" w:ascii="仿宋" w:hAnsi="仿宋" w:eastAsia="仿宋" w:cs="仿宋"/>
                <w:szCs w:val="21"/>
              </w:rPr>
              <w:t>核心交换机</w:t>
            </w:r>
          </w:p>
        </w:tc>
        <w:tc>
          <w:tcPr>
            <w:tcW w:w="3581" w:type="dxa"/>
            <w:shd w:val="clear" w:color="000000" w:fill="FFFFFF"/>
            <w:noWrap w:val="0"/>
            <w:vAlign w:val="center"/>
          </w:tcPr>
          <w:p w14:paraId="00ED956F">
            <w:pPr>
              <w:jc w:val="left"/>
              <w:rPr>
                <w:rFonts w:hint="eastAsia" w:ascii="仿宋" w:hAnsi="仿宋" w:eastAsia="仿宋" w:cs="仿宋"/>
                <w:szCs w:val="21"/>
              </w:rPr>
            </w:pPr>
            <w:r>
              <w:rPr>
                <w:rFonts w:hint="eastAsia" w:ascii="仿宋" w:hAnsi="仿宋" w:eastAsia="仿宋" w:cs="仿宋"/>
                <w:szCs w:val="21"/>
              </w:rPr>
              <w:t>华为S7706</w:t>
            </w:r>
          </w:p>
        </w:tc>
        <w:tc>
          <w:tcPr>
            <w:tcW w:w="1276" w:type="dxa"/>
            <w:shd w:val="clear" w:color="000000" w:fill="FFFFFF"/>
            <w:noWrap w:val="0"/>
            <w:vAlign w:val="center"/>
          </w:tcPr>
          <w:p w14:paraId="30AF47B0">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0204E3D9">
            <w:pPr>
              <w:jc w:val="center"/>
              <w:rPr>
                <w:rFonts w:hint="eastAsia" w:ascii="仿宋" w:hAnsi="仿宋" w:eastAsia="仿宋" w:cs="仿宋"/>
                <w:szCs w:val="21"/>
              </w:rPr>
            </w:pPr>
            <w:r>
              <w:rPr>
                <w:rFonts w:hint="eastAsia" w:ascii="仿宋" w:hAnsi="仿宋" w:eastAsia="仿宋" w:cs="仿宋"/>
                <w:szCs w:val="21"/>
              </w:rPr>
              <w:t>2</w:t>
            </w:r>
          </w:p>
        </w:tc>
        <w:tc>
          <w:tcPr>
            <w:tcW w:w="1497" w:type="dxa"/>
            <w:shd w:val="clear" w:color="000000" w:fill="FFFFFF"/>
            <w:noWrap w:val="0"/>
            <w:vAlign w:val="center"/>
          </w:tcPr>
          <w:p w14:paraId="6767C765">
            <w:pPr>
              <w:jc w:val="center"/>
              <w:rPr>
                <w:rFonts w:hint="eastAsia" w:ascii="仿宋" w:hAnsi="仿宋" w:eastAsia="仿宋" w:cs="仿宋"/>
                <w:szCs w:val="21"/>
              </w:rPr>
            </w:pPr>
            <w:r>
              <w:rPr>
                <w:rFonts w:hint="eastAsia" w:ascii="仿宋" w:hAnsi="仿宋" w:eastAsia="仿宋" w:cs="仿宋"/>
                <w:szCs w:val="21"/>
              </w:rPr>
              <w:t>12</w:t>
            </w:r>
          </w:p>
        </w:tc>
      </w:tr>
      <w:tr w14:paraId="45C4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51" w:type="dxa"/>
            <w:shd w:val="clear" w:color="000000" w:fill="FFFFFF"/>
            <w:noWrap w:val="0"/>
            <w:vAlign w:val="center"/>
          </w:tcPr>
          <w:p w14:paraId="4E4F1751">
            <w:pPr>
              <w:rPr>
                <w:rFonts w:hint="eastAsia" w:ascii="仿宋" w:hAnsi="仿宋" w:eastAsia="仿宋" w:cs="仿宋"/>
                <w:szCs w:val="21"/>
              </w:rPr>
            </w:pPr>
            <w:r>
              <w:rPr>
                <w:rFonts w:hint="eastAsia" w:ascii="仿宋" w:hAnsi="仿宋" w:eastAsia="仿宋" w:cs="仿宋"/>
                <w:szCs w:val="21"/>
              </w:rPr>
              <w:t>出口交换机1</w:t>
            </w:r>
          </w:p>
        </w:tc>
        <w:tc>
          <w:tcPr>
            <w:tcW w:w="3581" w:type="dxa"/>
            <w:shd w:val="clear" w:color="000000" w:fill="FFFFFF"/>
            <w:noWrap w:val="0"/>
            <w:vAlign w:val="center"/>
          </w:tcPr>
          <w:p w14:paraId="27921AE9">
            <w:pPr>
              <w:jc w:val="left"/>
              <w:rPr>
                <w:rFonts w:hint="eastAsia" w:ascii="仿宋" w:hAnsi="仿宋" w:eastAsia="仿宋" w:cs="仿宋"/>
                <w:szCs w:val="21"/>
              </w:rPr>
            </w:pPr>
            <w:r>
              <w:rPr>
                <w:rFonts w:hint="eastAsia" w:ascii="仿宋" w:hAnsi="仿宋" w:eastAsia="仿宋" w:cs="仿宋"/>
                <w:szCs w:val="21"/>
              </w:rPr>
              <w:t>华为S5720-28X-SI</w:t>
            </w:r>
          </w:p>
        </w:tc>
        <w:tc>
          <w:tcPr>
            <w:tcW w:w="1276" w:type="dxa"/>
            <w:shd w:val="clear" w:color="000000" w:fill="FFFFFF"/>
            <w:noWrap w:val="0"/>
            <w:vAlign w:val="center"/>
          </w:tcPr>
          <w:p w14:paraId="78860541">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2DBE9984">
            <w:pPr>
              <w:jc w:val="center"/>
              <w:rPr>
                <w:rFonts w:hint="eastAsia" w:ascii="仿宋" w:hAnsi="仿宋" w:eastAsia="仿宋" w:cs="仿宋"/>
                <w:szCs w:val="21"/>
              </w:rPr>
            </w:pPr>
            <w:r>
              <w:rPr>
                <w:rFonts w:hint="eastAsia" w:ascii="仿宋" w:hAnsi="仿宋" w:eastAsia="仿宋" w:cs="仿宋"/>
                <w:szCs w:val="21"/>
              </w:rPr>
              <w:t>2</w:t>
            </w:r>
          </w:p>
        </w:tc>
        <w:tc>
          <w:tcPr>
            <w:tcW w:w="1497" w:type="dxa"/>
            <w:shd w:val="clear" w:color="000000" w:fill="FFFFFF"/>
            <w:noWrap w:val="0"/>
            <w:vAlign w:val="center"/>
          </w:tcPr>
          <w:p w14:paraId="2EED597F">
            <w:pPr>
              <w:jc w:val="center"/>
              <w:rPr>
                <w:rFonts w:hint="eastAsia" w:ascii="仿宋" w:hAnsi="仿宋" w:eastAsia="仿宋" w:cs="仿宋"/>
                <w:szCs w:val="21"/>
              </w:rPr>
            </w:pPr>
            <w:r>
              <w:rPr>
                <w:rFonts w:hint="eastAsia" w:ascii="仿宋" w:hAnsi="仿宋" w:eastAsia="仿宋" w:cs="仿宋"/>
                <w:szCs w:val="21"/>
              </w:rPr>
              <w:t>12</w:t>
            </w:r>
          </w:p>
        </w:tc>
      </w:tr>
      <w:tr w14:paraId="3271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51" w:type="dxa"/>
            <w:shd w:val="clear" w:color="000000" w:fill="FFFFFF"/>
            <w:noWrap w:val="0"/>
            <w:vAlign w:val="center"/>
          </w:tcPr>
          <w:p w14:paraId="6A3C0592">
            <w:pPr>
              <w:rPr>
                <w:rFonts w:hint="eastAsia" w:ascii="仿宋" w:hAnsi="仿宋" w:eastAsia="仿宋" w:cs="仿宋"/>
                <w:szCs w:val="21"/>
              </w:rPr>
            </w:pPr>
            <w:r>
              <w:rPr>
                <w:rFonts w:hint="eastAsia" w:ascii="仿宋" w:hAnsi="仿宋" w:eastAsia="仿宋" w:cs="仿宋"/>
                <w:szCs w:val="21"/>
              </w:rPr>
              <w:t>出口交换机2</w:t>
            </w:r>
          </w:p>
        </w:tc>
        <w:tc>
          <w:tcPr>
            <w:tcW w:w="3581" w:type="dxa"/>
            <w:shd w:val="clear" w:color="000000" w:fill="FFFFFF"/>
            <w:noWrap w:val="0"/>
            <w:vAlign w:val="center"/>
          </w:tcPr>
          <w:p w14:paraId="71A101E4">
            <w:pPr>
              <w:jc w:val="left"/>
              <w:rPr>
                <w:rFonts w:hint="eastAsia" w:ascii="仿宋" w:hAnsi="仿宋" w:eastAsia="仿宋" w:cs="仿宋"/>
                <w:szCs w:val="21"/>
              </w:rPr>
            </w:pPr>
            <w:r>
              <w:rPr>
                <w:rFonts w:hint="eastAsia" w:ascii="仿宋" w:hAnsi="仿宋" w:eastAsia="仿宋" w:cs="仿宋"/>
                <w:szCs w:val="21"/>
              </w:rPr>
              <w:t>华为S5720-28X-SI</w:t>
            </w:r>
          </w:p>
        </w:tc>
        <w:tc>
          <w:tcPr>
            <w:tcW w:w="1276" w:type="dxa"/>
            <w:shd w:val="clear" w:color="000000" w:fill="FFFFFF"/>
            <w:noWrap w:val="0"/>
            <w:vAlign w:val="center"/>
          </w:tcPr>
          <w:p w14:paraId="42CE6795">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1172CDFD">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74307416">
            <w:pPr>
              <w:jc w:val="center"/>
              <w:rPr>
                <w:rFonts w:hint="eastAsia" w:ascii="仿宋" w:hAnsi="仿宋" w:eastAsia="仿宋" w:cs="仿宋"/>
                <w:szCs w:val="21"/>
              </w:rPr>
            </w:pPr>
            <w:r>
              <w:rPr>
                <w:rFonts w:hint="eastAsia" w:ascii="仿宋" w:hAnsi="仿宋" w:eastAsia="仿宋" w:cs="仿宋"/>
                <w:szCs w:val="21"/>
              </w:rPr>
              <w:t>12</w:t>
            </w:r>
          </w:p>
        </w:tc>
      </w:tr>
      <w:tr w14:paraId="093B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3F31CE74">
            <w:pPr>
              <w:rPr>
                <w:rFonts w:hint="eastAsia" w:ascii="仿宋" w:hAnsi="仿宋" w:eastAsia="仿宋" w:cs="仿宋"/>
                <w:szCs w:val="21"/>
              </w:rPr>
            </w:pPr>
            <w:r>
              <w:rPr>
                <w:rFonts w:hint="eastAsia" w:ascii="仿宋" w:hAnsi="仿宋" w:eastAsia="仿宋" w:cs="仿宋"/>
                <w:szCs w:val="21"/>
              </w:rPr>
              <w:t>服务器交换机</w:t>
            </w:r>
          </w:p>
        </w:tc>
        <w:tc>
          <w:tcPr>
            <w:tcW w:w="3581" w:type="dxa"/>
            <w:shd w:val="clear" w:color="000000" w:fill="FFFFFF"/>
            <w:noWrap w:val="0"/>
            <w:vAlign w:val="center"/>
          </w:tcPr>
          <w:p w14:paraId="027E6F96">
            <w:pPr>
              <w:jc w:val="left"/>
              <w:rPr>
                <w:rFonts w:hint="eastAsia" w:ascii="仿宋" w:hAnsi="仿宋" w:eastAsia="仿宋" w:cs="仿宋"/>
                <w:szCs w:val="21"/>
              </w:rPr>
            </w:pPr>
            <w:r>
              <w:rPr>
                <w:rFonts w:hint="eastAsia" w:ascii="仿宋" w:hAnsi="仿宋" w:eastAsia="仿宋" w:cs="仿宋"/>
                <w:szCs w:val="21"/>
              </w:rPr>
              <w:t>华为S5720-36C-EI</w:t>
            </w:r>
          </w:p>
        </w:tc>
        <w:tc>
          <w:tcPr>
            <w:tcW w:w="1276" w:type="dxa"/>
            <w:shd w:val="clear" w:color="000000" w:fill="FFFFFF"/>
            <w:noWrap w:val="0"/>
            <w:vAlign w:val="center"/>
          </w:tcPr>
          <w:p w14:paraId="7AB8567D">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2D5AC888">
            <w:pPr>
              <w:jc w:val="center"/>
              <w:rPr>
                <w:rFonts w:hint="eastAsia" w:ascii="仿宋" w:hAnsi="仿宋" w:eastAsia="仿宋" w:cs="仿宋"/>
                <w:szCs w:val="21"/>
              </w:rPr>
            </w:pPr>
            <w:r>
              <w:rPr>
                <w:rFonts w:hint="eastAsia" w:ascii="仿宋" w:hAnsi="仿宋" w:eastAsia="仿宋" w:cs="仿宋"/>
                <w:szCs w:val="21"/>
              </w:rPr>
              <w:t>2</w:t>
            </w:r>
          </w:p>
        </w:tc>
        <w:tc>
          <w:tcPr>
            <w:tcW w:w="1497" w:type="dxa"/>
            <w:shd w:val="clear" w:color="000000" w:fill="FFFFFF"/>
            <w:noWrap w:val="0"/>
            <w:vAlign w:val="center"/>
          </w:tcPr>
          <w:p w14:paraId="0AEA64FD">
            <w:pPr>
              <w:jc w:val="center"/>
              <w:rPr>
                <w:rFonts w:hint="eastAsia" w:ascii="仿宋" w:hAnsi="仿宋" w:eastAsia="仿宋" w:cs="仿宋"/>
                <w:szCs w:val="21"/>
              </w:rPr>
            </w:pPr>
            <w:r>
              <w:rPr>
                <w:rFonts w:hint="eastAsia" w:ascii="仿宋" w:hAnsi="仿宋" w:eastAsia="仿宋" w:cs="仿宋"/>
                <w:szCs w:val="21"/>
              </w:rPr>
              <w:t>12</w:t>
            </w:r>
          </w:p>
        </w:tc>
      </w:tr>
      <w:tr w14:paraId="6D5C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6F0EA9DC">
            <w:pPr>
              <w:rPr>
                <w:rFonts w:hint="eastAsia" w:ascii="仿宋" w:hAnsi="仿宋" w:eastAsia="仿宋" w:cs="仿宋"/>
                <w:szCs w:val="21"/>
              </w:rPr>
            </w:pPr>
            <w:r>
              <w:rPr>
                <w:rFonts w:hint="eastAsia" w:ascii="仿宋" w:hAnsi="仿宋" w:eastAsia="仿宋" w:cs="仿宋"/>
                <w:szCs w:val="21"/>
              </w:rPr>
              <w:t>路由器</w:t>
            </w:r>
          </w:p>
        </w:tc>
        <w:tc>
          <w:tcPr>
            <w:tcW w:w="3581" w:type="dxa"/>
            <w:shd w:val="clear" w:color="000000" w:fill="FFFFFF"/>
            <w:noWrap w:val="0"/>
            <w:vAlign w:val="center"/>
          </w:tcPr>
          <w:p w14:paraId="6F21E6F5">
            <w:pPr>
              <w:jc w:val="left"/>
              <w:rPr>
                <w:rFonts w:hint="eastAsia" w:ascii="仿宋" w:hAnsi="仿宋" w:eastAsia="仿宋" w:cs="仿宋"/>
                <w:szCs w:val="21"/>
              </w:rPr>
            </w:pPr>
            <w:r>
              <w:rPr>
                <w:rFonts w:hint="eastAsia" w:ascii="仿宋" w:hAnsi="仿宋" w:eastAsia="仿宋" w:cs="仿宋"/>
                <w:szCs w:val="21"/>
              </w:rPr>
              <w:t>华为AR2240C</w:t>
            </w:r>
          </w:p>
        </w:tc>
        <w:tc>
          <w:tcPr>
            <w:tcW w:w="1276" w:type="dxa"/>
            <w:shd w:val="clear" w:color="000000" w:fill="FFFFFF"/>
            <w:noWrap w:val="0"/>
            <w:vAlign w:val="center"/>
          </w:tcPr>
          <w:p w14:paraId="4FA50FB9">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6482F39E">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053F0BDD">
            <w:pPr>
              <w:jc w:val="center"/>
              <w:rPr>
                <w:rFonts w:hint="eastAsia" w:ascii="仿宋" w:hAnsi="仿宋" w:eastAsia="仿宋" w:cs="仿宋"/>
                <w:szCs w:val="21"/>
              </w:rPr>
            </w:pPr>
            <w:r>
              <w:rPr>
                <w:rFonts w:hint="eastAsia" w:ascii="仿宋" w:hAnsi="仿宋" w:eastAsia="仿宋" w:cs="仿宋"/>
                <w:szCs w:val="21"/>
              </w:rPr>
              <w:t>12</w:t>
            </w:r>
          </w:p>
        </w:tc>
      </w:tr>
      <w:tr w14:paraId="165D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51" w:type="dxa"/>
            <w:shd w:val="clear" w:color="000000" w:fill="FFFFFF"/>
            <w:noWrap w:val="0"/>
            <w:vAlign w:val="center"/>
          </w:tcPr>
          <w:p w14:paraId="041215AB">
            <w:pPr>
              <w:rPr>
                <w:rFonts w:hint="eastAsia" w:ascii="仿宋" w:hAnsi="仿宋" w:eastAsia="仿宋" w:cs="仿宋"/>
                <w:szCs w:val="21"/>
              </w:rPr>
            </w:pPr>
            <w:r>
              <w:rPr>
                <w:rFonts w:hint="eastAsia" w:ascii="仿宋" w:hAnsi="仿宋" w:eastAsia="仿宋" w:cs="仿宋"/>
                <w:szCs w:val="21"/>
              </w:rPr>
              <w:t>政府前置服务器</w:t>
            </w:r>
          </w:p>
        </w:tc>
        <w:tc>
          <w:tcPr>
            <w:tcW w:w="3581" w:type="dxa"/>
            <w:shd w:val="clear" w:color="000000" w:fill="FFFFFF"/>
            <w:noWrap w:val="0"/>
            <w:vAlign w:val="center"/>
          </w:tcPr>
          <w:p w14:paraId="54B0D1E9">
            <w:pPr>
              <w:jc w:val="left"/>
              <w:rPr>
                <w:rFonts w:hint="eastAsia" w:ascii="仿宋" w:hAnsi="仿宋" w:eastAsia="仿宋" w:cs="仿宋"/>
                <w:szCs w:val="21"/>
              </w:rPr>
            </w:pPr>
            <w:r>
              <w:rPr>
                <w:rFonts w:hint="eastAsia" w:ascii="仿宋" w:hAnsi="仿宋" w:eastAsia="仿宋" w:cs="仿宋"/>
                <w:szCs w:val="21"/>
              </w:rPr>
              <w:t>华为RH1288A V2</w:t>
            </w:r>
          </w:p>
        </w:tc>
        <w:tc>
          <w:tcPr>
            <w:tcW w:w="1276" w:type="dxa"/>
            <w:shd w:val="clear" w:color="000000" w:fill="FFFFFF"/>
            <w:noWrap w:val="0"/>
            <w:vAlign w:val="center"/>
          </w:tcPr>
          <w:p w14:paraId="165D71B3">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2264C471">
            <w:pPr>
              <w:jc w:val="center"/>
              <w:rPr>
                <w:rFonts w:hint="eastAsia" w:ascii="仿宋" w:hAnsi="仿宋" w:eastAsia="仿宋" w:cs="仿宋"/>
                <w:szCs w:val="21"/>
              </w:rPr>
            </w:pPr>
            <w:r>
              <w:rPr>
                <w:rFonts w:hint="eastAsia" w:ascii="仿宋" w:hAnsi="仿宋" w:eastAsia="仿宋" w:cs="仿宋"/>
                <w:szCs w:val="21"/>
              </w:rPr>
              <w:t>9</w:t>
            </w:r>
          </w:p>
        </w:tc>
        <w:tc>
          <w:tcPr>
            <w:tcW w:w="1497" w:type="dxa"/>
            <w:shd w:val="clear" w:color="000000" w:fill="FFFFFF"/>
            <w:noWrap w:val="0"/>
            <w:vAlign w:val="center"/>
          </w:tcPr>
          <w:p w14:paraId="68A40D5F">
            <w:pPr>
              <w:jc w:val="center"/>
              <w:rPr>
                <w:rFonts w:hint="eastAsia" w:ascii="仿宋" w:hAnsi="仿宋" w:eastAsia="仿宋" w:cs="仿宋"/>
                <w:szCs w:val="21"/>
              </w:rPr>
            </w:pPr>
            <w:r>
              <w:rPr>
                <w:rFonts w:hint="eastAsia" w:ascii="仿宋" w:hAnsi="仿宋" w:eastAsia="仿宋" w:cs="仿宋"/>
                <w:szCs w:val="21"/>
              </w:rPr>
              <w:t>12</w:t>
            </w:r>
          </w:p>
        </w:tc>
      </w:tr>
      <w:tr w14:paraId="520E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51" w:type="dxa"/>
            <w:shd w:val="clear" w:color="000000" w:fill="FFFFFF"/>
            <w:noWrap w:val="0"/>
            <w:vAlign w:val="center"/>
          </w:tcPr>
          <w:p w14:paraId="39A7FAC9">
            <w:pPr>
              <w:rPr>
                <w:rFonts w:hint="eastAsia" w:ascii="仿宋" w:hAnsi="仿宋" w:eastAsia="仿宋" w:cs="仿宋"/>
                <w:szCs w:val="21"/>
              </w:rPr>
            </w:pPr>
            <w:r>
              <w:rPr>
                <w:rFonts w:hint="eastAsia" w:ascii="仿宋" w:hAnsi="仿宋" w:eastAsia="仿宋" w:cs="仿宋"/>
                <w:szCs w:val="21"/>
              </w:rPr>
              <w:t>数据交换服务器</w:t>
            </w:r>
          </w:p>
        </w:tc>
        <w:tc>
          <w:tcPr>
            <w:tcW w:w="3581" w:type="dxa"/>
            <w:shd w:val="clear" w:color="000000" w:fill="FFFFFF"/>
            <w:noWrap w:val="0"/>
            <w:vAlign w:val="center"/>
          </w:tcPr>
          <w:p w14:paraId="26CBD7EE">
            <w:pPr>
              <w:jc w:val="left"/>
              <w:rPr>
                <w:rFonts w:hint="eastAsia" w:ascii="仿宋" w:hAnsi="仿宋" w:eastAsia="仿宋" w:cs="仿宋"/>
                <w:szCs w:val="21"/>
              </w:rPr>
            </w:pPr>
            <w:r>
              <w:rPr>
                <w:rFonts w:hint="eastAsia" w:ascii="仿宋" w:hAnsi="仿宋" w:eastAsia="仿宋" w:cs="仿宋"/>
                <w:szCs w:val="21"/>
              </w:rPr>
              <w:t>华为RH2288HV2</w:t>
            </w:r>
          </w:p>
        </w:tc>
        <w:tc>
          <w:tcPr>
            <w:tcW w:w="1276" w:type="dxa"/>
            <w:shd w:val="clear" w:color="000000" w:fill="FFFFFF"/>
            <w:noWrap w:val="0"/>
            <w:vAlign w:val="center"/>
          </w:tcPr>
          <w:p w14:paraId="00FE2CC4">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4CCF6339">
            <w:pPr>
              <w:jc w:val="center"/>
              <w:rPr>
                <w:rFonts w:hint="eastAsia" w:ascii="仿宋" w:hAnsi="仿宋" w:eastAsia="仿宋" w:cs="仿宋"/>
                <w:szCs w:val="21"/>
              </w:rPr>
            </w:pPr>
            <w:r>
              <w:rPr>
                <w:rFonts w:hint="eastAsia" w:ascii="仿宋" w:hAnsi="仿宋" w:eastAsia="仿宋" w:cs="仿宋"/>
                <w:szCs w:val="21"/>
              </w:rPr>
              <w:t>4</w:t>
            </w:r>
          </w:p>
        </w:tc>
        <w:tc>
          <w:tcPr>
            <w:tcW w:w="1497" w:type="dxa"/>
            <w:shd w:val="clear" w:color="000000" w:fill="FFFFFF"/>
            <w:noWrap w:val="0"/>
            <w:vAlign w:val="center"/>
          </w:tcPr>
          <w:p w14:paraId="3DEF37C0">
            <w:pPr>
              <w:jc w:val="center"/>
              <w:rPr>
                <w:rFonts w:hint="eastAsia" w:ascii="仿宋" w:hAnsi="仿宋" w:eastAsia="仿宋" w:cs="仿宋"/>
                <w:szCs w:val="21"/>
              </w:rPr>
            </w:pPr>
            <w:r>
              <w:rPr>
                <w:rFonts w:hint="eastAsia" w:ascii="仿宋" w:hAnsi="仿宋" w:eastAsia="仿宋" w:cs="仿宋"/>
                <w:szCs w:val="21"/>
              </w:rPr>
              <w:t>12</w:t>
            </w:r>
          </w:p>
        </w:tc>
      </w:tr>
      <w:tr w14:paraId="13FD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2B2FE221">
            <w:pPr>
              <w:rPr>
                <w:rFonts w:hint="eastAsia" w:ascii="仿宋" w:hAnsi="仿宋" w:eastAsia="仿宋" w:cs="仿宋"/>
                <w:szCs w:val="21"/>
              </w:rPr>
            </w:pPr>
            <w:r>
              <w:rPr>
                <w:rFonts w:hint="eastAsia" w:ascii="仿宋" w:hAnsi="仿宋" w:eastAsia="仿宋" w:cs="仿宋"/>
                <w:szCs w:val="21"/>
              </w:rPr>
              <w:t>大数据分析服务器</w:t>
            </w:r>
          </w:p>
        </w:tc>
        <w:tc>
          <w:tcPr>
            <w:tcW w:w="3581" w:type="dxa"/>
            <w:shd w:val="clear" w:color="000000" w:fill="FFFFFF"/>
            <w:noWrap w:val="0"/>
            <w:vAlign w:val="center"/>
          </w:tcPr>
          <w:p w14:paraId="7BDE9DB8">
            <w:pPr>
              <w:jc w:val="left"/>
              <w:rPr>
                <w:rFonts w:hint="eastAsia" w:ascii="仿宋" w:hAnsi="仿宋" w:eastAsia="仿宋" w:cs="仿宋"/>
                <w:szCs w:val="21"/>
              </w:rPr>
            </w:pPr>
            <w:r>
              <w:rPr>
                <w:rFonts w:hint="eastAsia" w:ascii="仿宋" w:hAnsi="仿宋" w:eastAsia="仿宋" w:cs="仿宋"/>
                <w:szCs w:val="21"/>
              </w:rPr>
              <w:t>华为RH2288H V2</w:t>
            </w:r>
          </w:p>
        </w:tc>
        <w:tc>
          <w:tcPr>
            <w:tcW w:w="1276" w:type="dxa"/>
            <w:shd w:val="clear" w:color="000000" w:fill="FFFFFF"/>
            <w:noWrap w:val="0"/>
            <w:vAlign w:val="center"/>
          </w:tcPr>
          <w:p w14:paraId="710C6D6E">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550ACB23">
            <w:pPr>
              <w:jc w:val="center"/>
              <w:rPr>
                <w:rFonts w:hint="eastAsia" w:ascii="仿宋" w:hAnsi="仿宋" w:eastAsia="仿宋" w:cs="仿宋"/>
                <w:szCs w:val="21"/>
              </w:rPr>
            </w:pPr>
            <w:r>
              <w:rPr>
                <w:rFonts w:hint="eastAsia" w:ascii="仿宋" w:hAnsi="仿宋" w:eastAsia="仿宋" w:cs="仿宋"/>
                <w:szCs w:val="21"/>
              </w:rPr>
              <w:t>4</w:t>
            </w:r>
          </w:p>
        </w:tc>
        <w:tc>
          <w:tcPr>
            <w:tcW w:w="1497" w:type="dxa"/>
            <w:shd w:val="clear" w:color="000000" w:fill="FFFFFF"/>
            <w:noWrap w:val="0"/>
            <w:vAlign w:val="center"/>
          </w:tcPr>
          <w:p w14:paraId="6651FA9C">
            <w:pPr>
              <w:jc w:val="center"/>
              <w:rPr>
                <w:rFonts w:hint="eastAsia" w:ascii="仿宋" w:hAnsi="仿宋" w:eastAsia="仿宋" w:cs="仿宋"/>
                <w:szCs w:val="21"/>
              </w:rPr>
            </w:pPr>
            <w:r>
              <w:rPr>
                <w:rFonts w:hint="eastAsia" w:ascii="仿宋" w:hAnsi="仿宋" w:eastAsia="仿宋" w:cs="仿宋"/>
                <w:szCs w:val="21"/>
              </w:rPr>
              <w:t>12</w:t>
            </w:r>
          </w:p>
        </w:tc>
      </w:tr>
      <w:tr w14:paraId="3B99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4D21C2D1">
            <w:pPr>
              <w:rPr>
                <w:rFonts w:hint="eastAsia" w:ascii="仿宋" w:hAnsi="仿宋" w:eastAsia="仿宋" w:cs="仿宋"/>
                <w:szCs w:val="21"/>
              </w:rPr>
            </w:pPr>
            <w:r>
              <w:rPr>
                <w:rFonts w:hint="eastAsia" w:ascii="仿宋" w:hAnsi="仿宋" w:eastAsia="仿宋" w:cs="仿宋"/>
                <w:szCs w:val="21"/>
              </w:rPr>
              <w:t>大数据管理服务器</w:t>
            </w:r>
          </w:p>
        </w:tc>
        <w:tc>
          <w:tcPr>
            <w:tcW w:w="3581" w:type="dxa"/>
            <w:shd w:val="clear" w:color="000000" w:fill="FFFFFF"/>
            <w:noWrap w:val="0"/>
            <w:vAlign w:val="center"/>
          </w:tcPr>
          <w:p w14:paraId="581CFD93">
            <w:pPr>
              <w:jc w:val="left"/>
              <w:rPr>
                <w:rFonts w:hint="eastAsia" w:ascii="仿宋" w:hAnsi="仿宋" w:eastAsia="仿宋" w:cs="仿宋"/>
                <w:szCs w:val="21"/>
              </w:rPr>
            </w:pPr>
            <w:r>
              <w:rPr>
                <w:rFonts w:hint="eastAsia" w:ascii="仿宋" w:hAnsi="仿宋" w:eastAsia="仿宋" w:cs="仿宋"/>
                <w:szCs w:val="21"/>
              </w:rPr>
              <w:t>华为RH2288H V2</w:t>
            </w:r>
          </w:p>
        </w:tc>
        <w:tc>
          <w:tcPr>
            <w:tcW w:w="1276" w:type="dxa"/>
            <w:shd w:val="clear" w:color="000000" w:fill="FFFFFF"/>
            <w:noWrap w:val="0"/>
            <w:vAlign w:val="center"/>
          </w:tcPr>
          <w:p w14:paraId="0A8B49CB">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69979E0B">
            <w:pPr>
              <w:jc w:val="center"/>
              <w:rPr>
                <w:rFonts w:hint="eastAsia" w:ascii="仿宋" w:hAnsi="仿宋" w:eastAsia="仿宋" w:cs="仿宋"/>
                <w:szCs w:val="21"/>
              </w:rPr>
            </w:pPr>
            <w:r>
              <w:rPr>
                <w:rFonts w:hint="eastAsia" w:ascii="仿宋" w:hAnsi="仿宋" w:eastAsia="仿宋" w:cs="仿宋"/>
                <w:szCs w:val="21"/>
              </w:rPr>
              <w:t>2</w:t>
            </w:r>
          </w:p>
        </w:tc>
        <w:tc>
          <w:tcPr>
            <w:tcW w:w="1497" w:type="dxa"/>
            <w:shd w:val="clear" w:color="000000" w:fill="FFFFFF"/>
            <w:noWrap w:val="0"/>
            <w:vAlign w:val="center"/>
          </w:tcPr>
          <w:p w14:paraId="225EDE05">
            <w:pPr>
              <w:jc w:val="center"/>
              <w:rPr>
                <w:rFonts w:hint="eastAsia" w:ascii="仿宋" w:hAnsi="仿宋" w:eastAsia="仿宋" w:cs="仿宋"/>
                <w:szCs w:val="21"/>
              </w:rPr>
            </w:pPr>
            <w:r>
              <w:rPr>
                <w:rFonts w:hint="eastAsia" w:ascii="仿宋" w:hAnsi="仿宋" w:eastAsia="仿宋" w:cs="仿宋"/>
                <w:szCs w:val="21"/>
              </w:rPr>
              <w:t>12</w:t>
            </w:r>
          </w:p>
        </w:tc>
      </w:tr>
      <w:tr w14:paraId="0730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03F90CA8">
            <w:pPr>
              <w:rPr>
                <w:rFonts w:hint="eastAsia" w:ascii="仿宋" w:hAnsi="仿宋" w:eastAsia="仿宋" w:cs="仿宋"/>
                <w:szCs w:val="21"/>
              </w:rPr>
            </w:pPr>
            <w:r>
              <w:rPr>
                <w:rFonts w:hint="eastAsia" w:ascii="仿宋" w:hAnsi="仿宋" w:eastAsia="仿宋" w:cs="仿宋"/>
                <w:szCs w:val="21"/>
              </w:rPr>
              <w:t>数据库服务器</w:t>
            </w:r>
          </w:p>
        </w:tc>
        <w:tc>
          <w:tcPr>
            <w:tcW w:w="3581" w:type="dxa"/>
            <w:shd w:val="clear" w:color="000000" w:fill="FFFFFF"/>
            <w:noWrap w:val="0"/>
            <w:vAlign w:val="center"/>
          </w:tcPr>
          <w:p w14:paraId="53F226AA">
            <w:pPr>
              <w:jc w:val="left"/>
              <w:rPr>
                <w:rFonts w:hint="eastAsia" w:ascii="仿宋" w:hAnsi="仿宋" w:eastAsia="仿宋" w:cs="仿宋"/>
                <w:szCs w:val="21"/>
              </w:rPr>
            </w:pPr>
            <w:r>
              <w:rPr>
                <w:rFonts w:hint="eastAsia" w:ascii="仿宋" w:hAnsi="仿宋" w:eastAsia="仿宋" w:cs="仿宋"/>
                <w:szCs w:val="21"/>
              </w:rPr>
              <w:t>华为RH5885 V3</w:t>
            </w:r>
          </w:p>
        </w:tc>
        <w:tc>
          <w:tcPr>
            <w:tcW w:w="1276" w:type="dxa"/>
            <w:shd w:val="clear" w:color="000000" w:fill="FFFFFF"/>
            <w:noWrap w:val="0"/>
            <w:vAlign w:val="center"/>
          </w:tcPr>
          <w:p w14:paraId="25F7F3C5">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1530CDAE">
            <w:pPr>
              <w:jc w:val="center"/>
              <w:rPr>
                <w:rFonts w:hint="eastAsia" w:ascii="仿宋" w:hAnsi="仿宋" w:eastAsia="仿宋" w:cs="仿宋"/>
                <w:szCs w:val="21"/>
              </w:rPr>
            </w:pPr>
            <w:r>
              <w:rPr>
                <w:rFonts w:hint="eastAsia" w:ascii="仿宋" w:hAnsi="仿宋" w:eastAsia="仿宋" w:cs="仿宋"/>
                <w:szCs w:val="21"/>
              </w:rPr>
              <w:t>3</w:t>
            </w:r>
          </w:p>
        </w:tc>
        <w:tc>
          <w:tcPr>
            <w:tcW w:w="1497" w:type="dxa"/>
            <w:shd w:val="clear" w:color="000000" w:fill="FFFFFF"/>
            <w:noWrap w:val="0"/>
            <w:vAlign w:val="center"/>
          </w:tcPr>
          <w:p w14:paraId="5C6CFB58">
            <w:pPr>
              <w:jc w:val="center"/>
              <w:rPr>
                <w:rFonts w:hint="eastAsia" w:ascii="仿宋" w:hAnsi="仿宋" w:eastAsia="仿宋" w:cs="仿宋"/>
                <w:szCs w:val="21"/>
              </w:rPr>
            </w:pPr>
            <w:r>
              <w:rPr>
                <w:rFonts w:hint="eastAsia" w:ascii="仿宋" w:hAnsi="仿宋" w:eastAsia="仿宋" w:cs="仿宋"/>
                <w:szCs w:val="21"/>
              </w:rPr>
              <w:t>12</w:t>
            </w:r>
          </w:p>
        </w:tc>
      </w:tr>
      <w:tr w14:paraId="37F2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auto" w:fill="auto"/>
            <w:noWrap w:val="0"/>
            <w:vAlign w:val="center"/>
          </w:tcPr>
          <w:p w14:paraId="322E9EF2">
            <w:pPr>
              <w:jc w:val="left"/>
              <w:rPr>
                <w:rFonts w:hint="eastAsia" w:ascii="仿宋" w:hAnsi="仿宋" w:eastAsia="仿宋" w:cs="仿宋"/>
                <w:szCs w:val="21"/>
              </w:rPr>
            </w:pPr>
            <w:r>
              <w:rPr>
                <w:rFonts w:hint="eastAsia" w:ascii="仿宋" w:hAnsi="仿宋" w:eastAsia="仿宋" w:cs="仿宋"/>
                <w:szCs w:val="21"/>
              </w:rPr>
              <w:t>虚拟化服务器</w:t>
            </w:r>
          </w:p>
        </w:tc>
        <w:tc>
          <w:tcPr>
            <w:tcW w:w="3581" w:type="dxa"/>
            <w:shd w:val="clear" w:color="auto" w:fill="auto"/>
            <w:noWrap w:val="0"/>
            <w:vAlign w:val="center"/>
          </w:tcPr>
          <w:p w14:paraId="2103323B">
            <w:pPr>
              <w:jc w:val="left"/>
              <w:rPr>
                <w:rFonts w:hint="eastAsia" w:ascii="仿宋" w:hAnsi="仿宋" w:eastAsia="仿宋" w:cs="仿宋"/>
                <w:szCs w:val="21"/>
              </w:rPr>
            </w:pPr>
            <w:r>
              <w:rPr>
                <w:rFonts w:hint="eastAsia" w:ascii="仿宋" w:hAnsi="仿宋" w:eastAsia="仿宋" w:cs="仿宋"/>
                <w:szCs w:val="21"/>
              </w:rPr>
              <w:t>华为RH5885 V3</w:t>
            </w:r>
          </w:p>
        </w:tc>
        <w:tc>
          <w:tcPr>
            <w:tcW w:w="1276" w:type="dxa"/>
            <w:shd w:val="clear" w:color="000000" w:fill="FFFFFF"/>
            <w:noWrap w:val="0"/>
            <w:vAlign w:val="center"/>
          </w:tcPr>
          <w:p w14:paraId="5F3DB14E">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23E0ED98">
            <w:pPr>
              <w:jc w:val="center"/>
              <w:rPr>
                <w:rFonts w:hint="eastAsia" w:ascii="仿宋" w:hAnsi="仿宋" w:eastAsia="仿宋" w:cs="仿宋"/>
                <w:szCs w:val="21"/>
              </w:rPr>
            </w:pPr>
            <w:r>
              <w:rPr>
                <w:rFonts w:hint="eastAsia" w:ascii="仿宋" w:hAnsi="仿宋" w:eastAsia="仿宋" w:cs="仿宋"/>
                <w:szCs w:val="21"/>
              </w:rPr>
              <w:t>3</w:t>
            </w:r>
          </w:p>
        </w:tc>
        <w:tc>
          <w:tcPr>
            <w:tcW w:w="1497" w:type="dxa"/>
            <w:shd w:val="clear" w:color="000000" w:fill="FFFFFF"/>
            <w:noWrap w:val="0"/>
            <w:vAlign w:val="center"/>
          </w:tcPr>
          <w:p w14:paraId="1E35A12C">
            <w:pPr>
              <w:jc w:val="center"/>
              <w:rPr>
                <w:rFonts w:hint="eastAsia" w:ascii="仿宋" w:hAnsi="仿宋" w:eastAsia="仿宋" w:cs="仿宋"/>
                <w:szCs w:val="21"/>
              </w:rPr>
            </w:pPr>
            <w:r>
              <w:rPr>
                <w:rFonts w:hint="eastAsia" w:ascii="仿宋" w:hAnsi="仿宋" w:eastAsia="仿宋" w:cs="仿宋"/>
                <w:szCs w:val="21"/>
              </w:rPr>
              <w:t>12</w:t>
            </w:r>
          </w:p>
        </w:tc>
      </w:tr>
      <w:tr w14:paraId="1055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auto" w:fill="auto"/>
            <w:noWrap w:val="0"/>
            <w:vAlign w:val="center"/>
          </w:tcPr>
          <w:p w14:paraId="0D17F2AB">
            <w:pPr>
              <w:rPr>
                <w:rFonts w:hint="eastAsia" w:ascii="仿宋" w:hAnsi="仿宋" w:eastAsia="仿宋" w:cs="仿宋"/>
                <w:szCs w:val="21"/>
              </w:rPr>
            </w:pPr>
            <w:r>
              <w:rPr>
                <w:rFonts w:hint="eastAsia" w:ascii="仿宋" w:hAnsi="仿宋" w:eastAsia="仿宋" w:cs="仿宋"/>
                <w:szCs w:val="21"/>
              </w:rPr>
              <w:t>存储阵列</w:t>
            </w:r>
          </w:p>
        </w:tc>
        <w:tc>
          <w:tcPr>
            <w:tcW w:w="3581" w:type="dxa"/>
            <w:shd w:val="clear" w:color="auto" w:fill="auto"/>
            <w:noWrap w:val="0"/>
            <w:vAlign w:val="center"/>
          </w:tcPr>
          <w:p w14:paraId="2AD167E1">
            <w:pPr>
              <w:jc w:val="left"/>
              <w:rPr>
                <w:rFonts w:hint="eastAsia" w:ascii="仿宋" w:hAnsi="仿宋" w:eastAsia="仿宋" w:cs="仿宋"/>
                <w:szCs w:val="21"/>
              </w:rPr>
            </w:pPr>
            <w:r>
              <w:rPr>
                <w:rFonts w:hint="eastAsia" w:ascii="仿宋" w:hAnsi="仿宋" w:eastAsia="仿宋" w:cs="仿宋"/>
                <w:szCs w:val="21"/>
              </w:rPr>
              <w:t>OceanStor 5300v3</w:t>
            </w:r>
          </w:p>
        </w:tc>
        <w:tc>
          <w:tcPr>
            <w:tcW w:w="1276" w:type="dxa"/>
            <w:shd w:val="clear" w:color="000000" w:fill="FFFFFF"/>
            <w:noWrap w:val="0"/>
            <w:vAlign w:val="center"/>
          </w:tcPr>
          <w:p w14:paraId="513057DE">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05FE70F1">
            <w:pPr>
              <w:jc w:val="center"/>
              <w:rPr>
                <w:rFonts w:hint="eastAsia" w:ascii="仿宋" w:hAnsi="仿宋" w:eastAsia="仿宋" w:cs="仿宋"/>
                <w:szCs w:val="21"/>
              </w:rPr>
            </w:pPr>
            <w:r>
              <w:rPr>
                <w:rFonts w:hint="eastAsia" w:ascii="仿宋" w:hAnsi="仿宋" w:eastAsia="仿宋" w:cs="仿宋"/>
                <w:szCs w:val="21"/>
              </w:rPr>
              <w:t>2</w:t>
            </w:r>
          </w:p>
        </w:tc>
        <w:tc>
          <w:tcPr>
            <w:tcW w:w="1497" w:type="dxa"/>
            <w:shd w:val="clear" w:color="000000" w:fill="FFFFFF"/>
            <w:noWrap w:val="0"/>
            <w:vAlign w:val="center"/>
          </w:tcPr>
          <w:p w14:paraId="069AEC3A">
            <w:pPr>
              <w:jc w:val="center"/>
              <w:rPr>
                <w:rFonts w:hint="eastAsia" w:ascii="仿宋" w:hAnsi="仿宋" w:eastAsia="仿宋" w:cs="仿宋"/>
                <w:szCs w:val="21"/>
              </w:rPr>
            </w:pPr>
            <w:r>
              <w:rPr>
                <w:rFonts w:hint="eastAsia" w:ascii="仿宋" w:hAnsi="仿宋" w:eastAsia="仿宋" w:cs="仿宋"/>
                <w:szCs w:val="21"/>
              </w:rPr>
              <w:t>12</w:t>
            </w:r>
          </w:p>
        </w:tc>
      </w:tr>
      <w:tr w14:paraId="645F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38FA6333">
            <w:pPr>
              <w:rPr>
                <w:rFonts w:hint="eastAsia" w:ascii="仿宋" w:hAnsi="仿宋" w:eastAsia="仿宋" w:cs="仿宋"/>
                <w:szCs w:val="21"/>
              </w:rPr>
            </w:pPr>
            <w:r>
              <w:rPr>
                <w:rFonts w:hint="eastAsia" w:ascii="仿宋" w:hAnsi="仿宋" w:eastAsia="仿宋" w:cs="仿宋"/>
                <w:szCs w:val="21"/>
              </w:rPr>
              <w:t>光纤交换机</w:t>
            </w:r>
          </w:p>
        </w:tc>
        <w:tc>
          <w:tcPr>
            <w:tcW w:w="3581" w:type="dxa"/>
            <w:shd w:val="clear" w:color="000000" w:fill="FFFFFF"/>
            <w:noWrap w:val="0"/>
            <w:vAlign w:val="center"/>
          </w:tcPr>
          <w:p w14:paraId="5CAD6F2E">
            <w:pPr>
              <w:jc w:val="left"/>
              <w:rPr>
                <w:rFonts w:hint="eastAsia" w:ascii="仿宋" w:hAnsi="仿宋" w:eastAsia="仿宋" w:cs="仿宋"/>
                <w:szCs w:val="21"/>
              </w:rPr>
            </w:pPr>
            <w:r>
              <w:rPr>
                <w:rFonts w:hint="eastAsia" w:ascii="仿宋" w:hAnsi="仿宋" w:eastAsia="仿宋" w:cs="仿宋"/>
                <w:szCs w:val="21"/>
              </w:rPr>
              <w:t>OceanStorSNS2124</w:t>
            </w:r>
          </w:p>
        </w:tc>
        <w:tc>
          <w:tcPr>
            <w:tcW w:w="1276" w:type="dxa"/>
            <w:shd w:val="clear" w:color="000000" w:fill="FFFFFF"/>
            <w:noWrap w:val="0"/>
            <w:vAlign w:val="center"/>
          </w:tcPr>
          <w:p w14:paraId="123B7BC7">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2CC0A934">
            <w:pPr>
              <w:jc w:val="center"/>
              <w:rPr>
                <w:rFonts w:hint="eastAsia" w:ascii="仿宋" w:hAnsi="仿宋" w:eastAsia="仿宋" w:cs="仿宋"/>
                <w:szCs w:val="21"/>
              </w:rPr>
            </w:pPr>
            <w:r>
              <w:rPr>
                <w:rFonts w:hint="eastAsia" w:ascii="仿宋" w:hAnsi="仿宋" w:eastAsia="仿宋" w:cs="仿宋"/>
                <w:szCs w:val="21"/>
              </w:rPr>
              <w:t>2</w:t>
            </w:r>
          </w:p>
        </w:tc>
        <w:tc>
          <w:tcPr>
            <w:tcW w:w="1497" w:type="dxa"/>
            <w:shd w:val="clear" w:color="000000" w:fill="FFFFFF"/>
            <w:noWrap w:val="0"/>
            <w:vAlign w:val="center"/>
          </w:tcPr>
          <w:p w14:paraId="4A90A597">
            <w:pPr>
              <w:jc w:val="center"/>
              <w:rPr>
                <w:rFonts w:hint="eastAsia" w:ascii="仿宋" w:hAnsi="仿宋" w:eastAsia="仿宋" w:cs="仿宋"/>
                <w:szCs w:val="21"/>
              </w:rPr>
            </w:pPr>
            <w:r>
              <w:rPr>
                <w:rFonts w:hint="eastAsia" w:ascii="仿宋" w:hAnsi="仿宋" w:eastAsia="仿宋" w:cs="仿宋"/>
                <w:szCs w:val="21"/>
              </w:rPr>
              <w:t>12</w:t>
            </w:r>
          </w:p>
        </w:tc>
      </w:tr>
      <w:tr w14:paraId="6BD7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24777933">
            <w:pPr>
              <w:rPr>
                <w:rFonts w:hint="eastAsia" w:ascii="仿宋" w:hAnsi="仿宋" w:eastAsia="仿宋" w:cs="仿宋"/>
                <w:szCs w:val="21"/>
              </w:rPr>
            </w:pPr>
            <w:r>
              <w:rPr>
                <w:rFonts w:hint="eastAsia" w:ascii="仿宋" w:hAnsi="仿宋" w:eastAsia="仿宋" w:cs="仿宋"/>
                <w:szCs w:val="21"/>
              </w:rPr>
              <w:t>堡垒机</w:t>
            </w:r>
          </w:p>
        </w:tc>
        <w:tc>
          <w:tcPr>
            <w:tcW w:w="3581" w:type="dxa"/>
            <w:shd w:val="clear" w:color="000000" w:fill="FFFFFF"/>
            <w:noWrap w:val="0"/>
            <w:vAlign w:val="center"/>
          </w:tcPr>
          <w:p w14:paraId="60CDD425">
            <w:pPr>
              <w:jc w:val="left"/>
              <w:rPr>
                <w:rFonts w:hint="eastAsia" w:ascii="仿宋" w:hAnsi="仿宋" w:eastAsia="仿宋" w:cs="仿宋"/>
                <w:szCs w:val="21"/>
              </w:rPr>
            </w:pPr>
            <w:r>
              <w:rPr>
                <w:rFonts w:hint="eastAsia" w:ascii="仿宋" w:hAnsi="仿宋" w:eastAsia="仿宋" w:cs="仿宋"/>
                <w:szCs w:val="21"/>
              </w:rPr>
              <w:t>SecFox C3000-U050P</w:t>
            </w:r>
          </w:p>
        </w:tc>
        <w:tc>
          <w:tcPr>
            <w:tcW w:w="1276" w:type="dxa"/>
            <w:shd w:val="clear" w:color="000000" w:fill="FFFFFF"/>
            <w:noWrap w:val="0"/>
            <w:vAlign w:val="center"/>
          </w:tcPr>
          <w:p w14:paraId="5B9B3EAB">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748B6EA2">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365DDB85">
            <w:pPr>
              <w:jc w:val="center"/>
              <w:rPr>
                <w:rFonts w:hint="eastAsia" w:ascii="仿宋" w:hAnsi="仿宋" w:eastAsia="仿宋" w:cs="仿宋"/>
                <w:szCs w:val="21"/>
              </w:rPr>
            </w:pPr>
            <w:r>
              <w:rPr>
                <w:rFonts w:hint="eastAsia" w:ascii="仿宋" w:hAnsi="仿宋" w:eastAsia="仿宋" w:cs="仿宋"/>
                <w:szCs w:val="21"/>
              </w:rPr>
              <w:t>12</w:t>
            </w:r>
          </w:p>
        </w:tc>
      </w:tr>
      <w:tr w14:paraId="7722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6F5A2DC3">
            <w:pPr>
              <w:rPr>
                <w:rFonts w:hint="eastAsia" w:ascii="仿宋" w:hAnsi="仿宋" w:eastAsia="仿宋" w:cs="仿宋"/>
                <w:szCs w:val="21"/>
              </w:rPr>
            </w:pPr>
            <w:r>
              <w:rPr>
                <w:rFonts w:hint="eastAsia" w:ascii="仿宋" w:hAnsi="仿宋" w:eastAsia="仿宋" w:cs="仿宋"/>
                <w:szCs w:val="21"/>
              </w:rPr>
              <w:t>备份软件</w:t>
            </w:r>
          </w:p>
        </w:tc>
        <w:tc>
          <w:tcPr>
            <w:tcW w:w="3581" w:type="dxa"/>
            <w:shd w:val="clear" w:color="000000" w:fill="FFFFFF"/>
            <w:noWrap w:val="0"/>
            <w:vAlign w:val="center"/>
          </w:tcPr>
          <w:p w14:paraId="270E9265">
            <w:pPr>
              <w:jc w:val="left"/>
              <w:rPr>
                <w:rFonts w:hint="eastAsia" w:ascii="仿宋" w:hAnsi="仿宋" w:eastAsia="仿宋" w:cs="仿宋"/>
                <w:szCs w:val="21"/>
              </w:rPr>
            </w:pPr>
            <w:r>
              <w:rPr>
                <w:rFonts w:hint="eastAsia" w:ascii="仿宋" w:hAnsi="仿宋" w:eastAsia="仿宋" w:cs="仿宋"/>
                <w:szCs w:val="21"/>
              </w:rPr>
              <w:t>Backup Exec</w:t>
            </w:r>
          </w:p>
        </w:tc>
        <w:tc>
          <w:tcPr>
            <w:tcW w:w="1276" w:type="dxa"/>
            <w:shd w:val="clear" w:color="000000" w:fill="FFFFFF"/>
            <w:noWrap w:val="0"/>
            <w:vAlign w:val="center"/>
          </w:tcPr>
          <w:p w14:paraId="25C1F5B8">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38AE17A6">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696BCC38">
            <w:pPr>
              <w:jc w:val="center"/>
              <w:rPr>
                <w:rFonts w:hint="eastAsia" w:ascii="仿宋" w:hAnsi="仿宋" w:eastAsia="仿宋" w:cs="仿宋"/>
                <w:szCs w:val="21"/>
              </w:rPr>
            </w:pPr>
            <w:r>
              <w:rPr>
                <w:rFonts w:hint="eastAsia" w:ascii="仿宋" w:hAnsi="仿宋" w:eastAsia="仿宋" w:cs="仿宋"/>
                <w:szCs w:val="21"/>
              </w:rPr>
              <w:t>12</w:t>
            </w:r>
          </w:p>
        </w:tc>
      </w:tr>
      <w:tr w14:paraId="03BA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343A1FFD">
            <w:pPr>
              <w:rPr>
                <w:rFonts w:hint="eastAsia" w:ascii="仿宋" w:hAnsi="仿宋" w:eastAsia="仿宋" w:cs="仿宋"/>
                <w:szCs w:val="21"/>
              </w:rPr>
            </w:pPr>
            <w:r>
              <w:rPr>
                <w:rFonts w:hint="eastAsia" w:ascii="仿宋" w:hAnsi="仿宋" w:eastAsia="仿宋" w:cs="仿宋"/>
                <w:szCs w:val="21"/>
              </w:rPr>
              <w:t>备份存储</w:t>
            </w:r>
          </w:p>
        </w:tc>
        <w:tc>
          <w:tcPr>
            <w:tcW w:w="3581" w:type="dxa"/>
            <w:shd w:val="clear" w:color="000000" w:fill="FFFFFF"/>
            <w:noWrap w:val="0"/>
            <w:vAlign w:val="center"/>
          </w:tcPr>
          <w:p w14:paraId="5F03FDF8">
            <w:pPr>
              <w:jc w:val="left"/>
              <w:rPr>
                <w:rFonts w:hint="eastAsia" w:ascii="仿宋" w:hAnsi="仿宋" w:eastAsia="仿宋" w:cs="仿宋"/>
                <w:szCs w:val="21"/>
              </w:rPr>
            </w:pPr>
            <w:r>
              <w:rPr>
                <w:rFonts w:hint="eastAsia" w:ascii="仿宋" w:hAnsi="仿宋" w:eastAsia="仿宋" w:cs="仿宋"/>
                <w:szCs w:val="21"/>
              </w:rPr>
              <w:t>OceanStor S2600T V2</w:t>
            </w:r>
          </w:p>
        </w:tc>
        <w:tc>
          <w:tcPr>
            <w:tcW w:w="1276" w:type="dxa"/>
            <w:shd w:val="clear" w:color="000000" w:fill="FFFFFF"/>
            <w:noWrap w:val="0"/>
            <w:vAlign w:val="center"/>
          </w:tcPr>
          <w:p w14:paraId="05A7E5FC">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5DE28D52">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0C8FE67E">
            <w:pPr>
              <w:jc w:val="center"/>
              <w:rPr>
                <w:rFonts w:hint="eastAsia" w:ascii="仿宋" w:hAnsi="仿宋" w:eastAsia="仿宋" w:cs="仿宋"/>
                <w:szCs w:val="21"/>
              </w:rPr>
            </w:pPr>
            <w:r>
              <w:rPr>
                <w:rFonts w:hint="eastAsia" w:ascii="仿宋" w:hAnsi="仿宋" w:eastAsia="仿宋" w:cs="仿宋"/>
                <w:szCs w:val="21"/>
              </w:rPr>
              <w:t>12</w:t>
            </w:r>
          </w:p>
        </w:tc>
      </w:tr>
      <w:tr w14:paraId="53E0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756E07B1">
            <w:pPr>
              <w:rPr>
                <w:rFonts w:hint="eastAsia" w:ascii="仿宋" w:hAnsi="仿宋" w:eastAsia="仿宋" w:cs="仿宋"/>
                <w:szCs w:val="21"/>
              </w:rPr>
            </w:pPr>
            <w:r>
              <w:rPr>
                <w:rFonts w:hint="eastAsia" w:ascii="仿宋" w:hAnsi="仿宋" w:eastAsia="仿宋" w:cs="仿宋"/>
                <w:szCs w:val="21"/>
              </w:rPr>
              <w:t>虚拟化软件</w:t>
            </w:r>
          </w:p>
        </w:tc>
        <w:tc>
          <w:tcPr>
            <w:tcW w:w="3581" w:type="dxa"/>
            <w:shd w:val="clear" w:color="000000" w:fill="FFFFFF"/>
            <w:noWrap w:val="0"/>
            <w:vAlign w:val="center"/>
          </w:tcPr>
          <w:p w14:paraId="2BCA2984">
            <w:pPr>
              <w:jc w:val="left"/>
              <w:rPr>
                <w:rFonts w:hint="eastAsia" w:ascii="仿宋" w:hAnsi="仿宋" w:eastAsia="仿宋" w:cs="仿宋"/>
                <w:szCs w:val="21"/>
              </w:rPr>
            </w:pPr>
            <w:r>
              <w:rPr>
                <w:rFonts w:hint="eastAsia" w:ascii="仿宋" w:hAnsi="仿宋" w:eastAsia="仿宋" w:cs="仿宋"/>
                <w:szCs w:val="21"/>
              </w:rPr>
              <w:t>VMware vsphere5</w:t>
            </w:r>
          </w:p>
        </w:tc>
        <w:tc>
          <w:tcPr>
            <w:tcW w:w="1276" w:type="dxa"/>
            <w:shd w:val="clear" w:color="000000" w:fill="FFFFFF"/>
            <w:noWrap w:val="0"/>
            <w:vAlign w:val="center"/>
          </w:tcPr>
          <w:p w14:paraId="086B46DA">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46DC1E29">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198126B6">
            <w:pPr>
              <w:jc w:val="center"/>
              <w:rPr>
                <w:rFonts w:hint="eastAsia" w:ascii="仿宋" w:hAnsi="仿宋" w:eastAsia="仿宋" w:cs="仿宋"/>
                <w:szCs w:val="21"/>
              </w:rPr>
            </w:pPr>
            <w:r>
              <w:rPr>
                <w:rFonts w:hint="eastAsia" w:ascii="仿宋" w:hAnsi="仿宋" w:eastAsia="仿宋" w:cs="仿宋"/>
                <w:szCs w:val="21"/>
              </w:rPr>
              <w:t>12</w:t>
            </w:r>
          </w:p>
        </w:tc>
      </w:tr>
      <w:tr w14:paraId="366E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766A9A34">
            <w:pPr>
              <w:rPr>
                <w:rFonts w:hint="eastAsia" w:ascii="仿宋" w:hAnsi="仿宋" w:eastAsia="仿宋" w:cs="仿宋"/>
                <w:szCs w:val="21"/>
              </w:rPr>
            </w:pPr>
            <w:r>
              <w:rPr>
                <w:rFonts w:hint="eastAsia" w:ascii="仿宋" w:hAnsi="仿宋" w:eastAsia="仿宋" w:cs="仿宋"/>
                <w:szCs w:val="21"/>
              </w:rPr>
              <w:t>UPS电源系统</w:t>
            </w:r>
          </w:p>
        </w:tc>
        <w:tc>
          <w:tcPr>
            <w:tcW w:w="3581" w:type="dxa"/>
            <w:shd w:val="clear" w:color="000000" w:fill="FFFFFF"/>
            <w:noWrap w:val="0"/>
            <w:vAlign w:val="center"/>
          </w:tcPr>
          <w:p w14:paraId="2D67C488">
            <w:pPr>
              <w:jc w:val="left"/>
              <w:rPr>
                <w:rFonts w:hint="eastAsia" w:ascii="仿宋" w:hAnsi="仿宋" w:eastAsia="仿宋" w:cs="仿宋"/>
                <w:szCs w:val="21"/>
              </w:rPr>
            </w:pPr>
            <w:r>
              <w:rPr>
                <w:rFonts w:hint="eastAsia" w:ascii="仿宋" w:hAnsi="仿宋" w:eastAsia="仿宋" w:cs="仿宋"/>
                <w:szCs w:val="21"/>
              </w:rPr>
              <w:t>易事特100KV，型号：EA66100</w:t>
            </w:r>
          </w:p>
        </w:tc>
        <w:tc>
          <w:tcPr>
            <w:tcW w:w="1276" w:type="dxa"/>
            <w:shd w:val="clear" w:color="000000" w:fill="FFFFFF"/>
            <w:noWrap w:val="0"/>
            <w:vAlign w:val="center"/>
          </w:tcPr>
          <w:p w14:paraId="16AF0ED7">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2445E968">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14F8015B">
            <w:pPr>
              <w:jc w:val="center"/>
              <w:rPr>
                <w:rFonts w:hint="eastAsia" w:ascii="仿宋" w:hAnsi="仿宋" w:eastAsia="仿宋" w:cs="仿宋"/>
                <w:szCs w:val="21"/>
              </w:rPr>
            </w:pPr>
            <w:r>
              <w:rPr>
                <w:rFonts w:hint="eastAsia" w:ascii="仿宋" w:hAnsi="仿宋" w:eastAsia="仿宋" w:cs="仿宋"/>
                <w:szCs w:val="21"/>
              </w:rPr>
              <w:t>12</w:t>
            </w:r>
          </w:p>
        </w:tc>
      </w:tr>
      <w:tr w14:paraId="0A42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522DD147">
            <w:pPr>
              <w:rPr>
                <w:rFonts w:hint="eastAsia" w:ascii="仿宋" w:hAnsi="仿宋" w:eastAsia="仿宋" w:cs="仿宋"/>
                <w:szCs w:val="21"/>
              </w:rPr>
            </w:pPr>
            <w:r>
              <w:rPr>
                <w:rFonts w:hint="eastAsia" w:ascii="仿宋" w:hAnsi="仿宋" w:eastAsia="仿宋" w:cs="仿宋"/>
                <w:szCs w:val="21"/>
              </w:rPr>
              <w:t>精密空调系统</w:t>
            </w:r>
          </w:p>
        </w:tc>
        <w:tc>
          <w:tcPr>
            <w:tcW w:w="3581" w:type="dxa"/>
            <w:shd w:val="clear" w:color="000000" w:fill="FFFFFF"/>
            <w:noWrap w:val="0"/>
            <w:vAlign w:val="center"/>
          </w:tcPr>
          <w:p w14:paraId="3D2DEBCA">
            <w:pPr>
              <w:jc w:val="left"/>
              <w:rPr>
                <w:rFonts w:hint="eastAsia" w:ascii="仿宋" w:hAnsi="仿宋" w:eastAsia="仿宋" w:cs="仿宋"/>
                <w:szCs w:val="21"/>
              </w:rPr>
            </w:pPr>
            <w:r>
              <w:rPr>
                <w:rFonts w:hint="eastAsia" w:ascii="仿宋" w:hAnsi="仿宋" w:eastAsia="仿宋" w:cs="仿宋"/>
                <w:szCs w:val="21"/>
              </w:rPr>
              <w:t>艾默生DME12MHP1，序列号：210130P1062149050007</w:t>
            </w:r>
          </w:p>
        </w:tc>
        <w:tc>
          <w:tcPr>
            <w:tcW w:w="1276" w:type="dxa"/>
            <w:shd w:val="clear" w:color="000000" w:fill="FFFFFF"/>
            <w:noWrap w:val="0"/>
            <w:vAlign w:val="center"/>
          </w:tcPr>
          <w:p w14:paraId="68FDE1A8">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2D09D439">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0976FAEE">
            <w:pPr>
              <w:jc w:val="center"/>
              <w:rPr>
                <w:rFonts w:hint="eastAsia" w:ascii="仿宋" w:hAnsi="仿宋" w:eastAsia="仿宋" w:cs="仿宋"/>
                <w:szCs w:val="21"/>
              </w:rPr>
            </w:pPr>
            <w:r>
              <w:rPr>
                <w:rFonts w:hint="eastAsia" w:ascii="仿宋" w:hAnsi="仿宋" w:eastAsia="仿宋" w:cs="仿宋"/>
                <w:szCs w:val="21"/>
              </w:rPr>
              <w:t>12</w:t>
            </w:r>
          </w:p>
        </w:tc>
      </w:tr>
      <w:tr w14:paraId="5AB2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59C4AB57">
            <w:pPr>
              <w:rPr>
                <w:rFonts w:hint="eastAsia" w:ascii="仿宋" w:hAnsi="仿宋" w:eastAsia="仿宋" w:cs="仿宋"/>
                <w:szCs w:val="21"/>
              </w:rPr>
            </w:pPr>
            <w:r>
              <w:rPr>
                <w:rFonts w:hint="eastAsia" w:ascii="仿宋" w:hAnsi="仿宋" w:eastAsia="仿宋" w:cs="仿宋"/>
                <w:szCs w:val="21"/>
              </w:rPr>
              <w:t>机房动环监控系统</w:t>
            </w:r>
          </w:p>
        </w:tc>
        <w:tc>
          <w:tcPr>
            <w:tcW w:w="3581" w:type="dxa"/>
            <w:shd w:val="clear" w:color="000000" w:fill="FFFFFF"/>
            <w:noWrap w:val="0"/>
            <w:vAlign w:val="center"/>
          </w:tcPr>
          <w:p w14:paraId="0B97D243">
            <w:pPr>
              <w:jc w:val="left"/>
              <w:rPr>
                <w:rFonts w:hint="eastAsia" w:ascii="仿宋" w:hAnsi="仿宋" w:eastAsia="仿宋" w:cs="仿宋"/>
                <w:szCs w:val="21"/>
              </w:rPr>
            </w:pPr>
            <w:r>
              <w:rPr>
                <w:rFonts w:hint="eastAsia" w:ascii="仿宋" w:hAnsi="仿宋" w:eastAsia="仿宋" w:cs="仿宋"/>
                <w:szCs w:val="21"/>
              </w:rPr>
              <w:t>久泰科技</w:t>
            </w:r>
          </w:p>
        </w:tc>
        <w:tc>
          <w:tcPr>
            <w:tcW w:w="1276" w:type="dxa"/>
            <w:shd w:val="clear" w:color="000000" w:fill="FFFFFF"/>
            <w:noWrap w:val="0"/>
            <w:vAlign w:val="center"/>
          </w:tcPr>
          <w:p w14:paraId="0CEBA92D">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14B17C16">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4D14528F">
            <w:pPr>
              <w:jc w:val="center"/>
              <w:rPr>
                <w:rFonts w:hint="eastAsia" w:ascii="仿宋" w:hAnsi="仿宋" w:eastAsia="仿宋" w:cs="仿宋"/>
                <w:szCs w:val="21"/>
              </w:rPr>
            </w:pPr>
            <w:r>
              <w:rPr>
                <w:rFonts w:hint="eastAsia" w:ascii="仿宋" w:hAnsi="仿宋" w:eastAsia="仿宋" w:cs="仿宋"/>
                <w:szCs w:val="21"/>
              </w:rPr>
              <w:t>12</w:t>
            </w:r>
          </w:p>
        </w:tc>
      </w:tr>
      <w:tr w14:paraId="6329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63A94C9C">
            <w:pPr>
              <w:rPr>
                <w:rFonts w:hint="eastAsia" w:ascii="仿宋" w:hAnsi="仿宋" w:eastAsia="仿宋" w:cs="仿宋"/>
                <w:szCs w:val="21"/>
              </w:rPr>
            </w:pPr>
            <w:r>
              <w:rPr>
                <w:rFonts w:hint="eastAsia" w:ascii="仿宋" w:hAnsi="仿宋" w:eastAsia="仿宋" w:cs="仿宋"/>
                <w:szCs w:val="21"/>
              </w:rPr>
              <w:t>门禁系统</w:t>
            </w:r>
          </w:p>
        </w:tc>
        <w:tc>
          <w:tcPr>
            <w:tcW w:w="3581" w:type="dxa"/>
            <w:shd w:val="clear" w:color="000000" w:fill="FFFFFF"/>
            <w:noWrap w:val="0"/>
            <w:vAlign w:val="center"/>
          </w:tcPr>
          <w:p w14:paraId="72A900B8">
            <w:pPr>
              <w:jc w:val="left"/>
              <w:rPr>
                <w:rFonts w:hint="eastAsia" w:ascii="仿宋" w:hAnsi="仿宋" w:eastAsia="仿宋" w:cs="仿宋"/>
                <w:szCs w:val="21"/>
              </w:rPr>
            </w:pPr>
          </w:p>
        </w:tc>
        <w:tc>
          <w:tcPr>
            <w:tcW w:w="1276" w:type="dxa"/>
            <w:shd w:val="clear" w:color="000000" w:fill="FFFFFF"/>
            <w:noWrap w:val="0"/>
            <w:vAlign w:val="center"/>
          </w:tcPr>
          <w:p w14:paraId="03ABC98C">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09F55EC2">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2E5C98DE">
            <w:pPr>
              <w:jc w:val="center"/>
              <w:rPr>
                <w:rFonts w:hint="eastAsia" w:ascii="仿宋" w:hAnsi="仿宋" w:eastAsia="仿宋" w:cs="仿宋"/>
                <w:szCs w:val="21"/>
              </w:rPr>
            </w:pPr>
            <w:r>
              <w:rPr>
                <w:rFonts w:hint="eastAsia" w:ascii="仿宋" w:hAnsi="仿宋" w:eastAsia="仿宋" w:cs="仿宋"/>
                <w:szCs w:val="21"/>
              </w:rPr>
              <w:t>12</w:t>
            </w:r>
          </w:p>
        </w:tc>
      </w:tr>
      <w:tr w14:paraId="26E4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4E333D16">
            <w:pPr>
              <w:jc w:val="center"/>
              <w:rPr>
                <w:rFonts w:hint="eastAsia" w:ascii="仿宋" w:hAnsi="仿宋" w:eastAsia="仿宋" w:cs="仿宋"/>
                <w:szCs w:val="21"/>
              </w:rPr>
            </w:pPr>
            <w:r>
              <w:rPr>
                <w:rFonts w:hint="eastAsia" w:ascii="仿宋" w:hAnsi="仿宋" w:eastAsia="仿宋" w:cs="仿宋"/>
                <w:color w:val="000000"/>
                <w:kern w:val="0"/>
                <w:szCs w:val="21"/>
              </w:rPr>
              <w:t>防火墙</w:t>
            </w:r>
          </w:p>
        </w:tc>
        <w:tc>
          <w:tcPr>
            <w:tcW w:w="3581" w:type="dxa"/>
            <w:shd w:val="clear" w:color="000000" w:fill="FFFFFF"/>
            <w:noWrap w:val="0"/>
            <w:vAlign w:val="center"/>
          </w:tcPr>
          <w:p w14:paraId="60C201FF">
            <w:pPr>
              <w:jc w:val="left"/>
              <w:rPr>
                <w:rFonts w:hint="eastAsia" w:ascii="仿宋" w:hAnsi="仿宋" w:eastAsia="仿宋" w:cs="仿宋"/>
                <w:szCs w:val="21"/>
              </w:rPr>
            </w:pPr>
            <w:r>
              <w:rPr>
                <w:rFonts w:hint="eastAsia" w:ascii="仿宋" w:hAnsi="仿宋" w:eastAsia="仿宋" w:cs="仿宋"/>
                <w:szCs w:val="21"/>
              </w:rPr>
              <w:t>深信服 AF-1000-E420</w:t>
            </w:r>
          </w:p>
        </w:tc>
        <w:tc>
          <w:tcPr>
            <w:tcW w:w="1276" w:type="dxa"/>
            <w:shd w:val="clear" w:color="000000" w:fill="FFFFFF"/>
            <w:noWrap w:val="0"/>
            <w:vAlign w:val="center"/>
          </w:tcPr>
          <w:p w14:paraId="39F74248">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77236A85">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4361D5B8">
            <w:pPr>
              <w:jc w:val="center"/>
              <w:rPr>
                <w:rFonts w:hint="eastAsia" w:ascii="仿宋" w:hAnsi="仿宋" w:eastAsia="仿宋" w:cs="仿宋"/>
                <w:szCs w:val="21"/>
              </w:rPr>
            </w:pPr>
            <w:r>
              <w:rPr>
                <w:rFonts w:hint="eastAsia" w:ascii="仿宋" w:hAnsi="仿宋" w:eastAsia="仿宋" w:cs="仿宋"/>
                <w:szCs w:val="21"/>
              </w:rPr>
              <w:t>12</w:t>
            </w:r>
          </w:p>
        </w:tc>
      </w:tr>
      <w:tr w14:paraId="495C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59B9E578">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IPS</w:t>
            </w:r>
          </w:p>
        </w:tc>
        <w:tc>
          <w:tcPr>
            <w:tcW w:w="3581" w:type="dxa"/>
            <w:shd w:val="clear" w:color="000000" w:fill="FFFFFF"/>
            <w:noWrap w:val="0"/>
            <w:vAlign w:val="center"/>
          </w:tcPr>
          <w:p w14:paraId="38F684AB">
            <w:pPr>
              <w:jc w:val="left"/>
              <w:rPr>
                <w:rFonts w:hint="eastAsia" w:ascii="仿宋" w:hAnsi="仿宋" w:eastAsia="仿宋" w:cs="仿宋"/>
                <w:szCs w:val="21"/>
              </w:rPr>
            </w:pPr>
            <w:r>
              <w:rPr>
                <w:rFonts w:hint="eastAsia" w:ascii="仿宋" w:hAnsi="仿宋" w:eastAsia="仿宋" w:cs="仿宋"/>
                <w:szCs w:val="21"/>
              </w:rPr>
              <w:t xml:space="preserve">深信服AF-1000-E420-IPS </w:t>
            </w:r>
          </w:p>
        </w:tc>
        <w:tc>
          <w:tcPr>
            <w:tcW w:w="1276" w:type="dxa"/>
            <w:shd w:val="clear" w:color="000000" w:fill="FFFFFF"/>
            <w:noWrap w:val="0"/>
            <w:vAlign w:val="center"/>
          </w:tcPr>
          <w:p w14:paraId="078BB49C">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1AC0DFFE">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05C24714">
            <w:pPr>
              <w:jc w:val="center"/>
              <w:rPr>
                <w:rFonts w:hint="eastAsia" w:ascii="仿宋" w:hAnsi="仿宋" w:eastAsia="仿宋" w:cs="仿宋"/>
                <w:szCs w:val="21"/>
              </w:rPr>
            </w:pPr>
            <w:r>
              <w:rPr>
                <w:rFonts w:hint="eastAsia" w:ascii="仿宋" w:hAnsi="仿宋" w:eastAsia="仿宋" w:cs="仿宋"/>
                <w:szCs w:val="21"/>
              </w:rPr>
              <w:t>12</w:t>
            </w:r>
          </w:p>
        </w:tc>
      </w:tr>
      <w:tr w14:paraId="6CE2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136B6B47">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综合日志审计</w:t>
            </w:r>
          </w:p>
        </w:tc>
        <w:tc>
          <w:tcPr>
            <w:tcW w:w="3581" w:type="dxa"/>
            <w:shd w:val="clear" w:color="000000" w:fill="FFFFFF"/>
            <w:noWrap w:val="0"/>
            <w:vAlign w:val="center"/>
          </w:tcPr>
          <w:p w14:paraId="4FF038B5">
            <w:pPr>
              <w:jc w:val="left"/>
              <w:rPr>
                <w:rFonts w:hint="eastAsia" w:ascii="仿宋" w:hAnsi="仿宋" w:eastAsia="仿宋" w:cs="仿宋"/>
                <w:szCs w:val="21"/>
              </w:rPr>
            </w:pPr>
            <w:r>
              <w:rPr>
                <w:rFonts w:hint="eastAsia" w:ascii="仿宋" w:hAnsi="仿宋" w:eastAsia="仿宋" w:cs="仿宋"/>
                <w:color w:val="000000"/>
                <w:kern w:val="0"/>
                <w:szCs w:val="21"/>
              </w:rPr>
              <w:t>安恒 DAS-LOG-460</w:t>
            </w:r>
          </w:p>
        </w:tc>
        <w:tc>
          <w:tcPr>
            <w:tcW w:w="1276" w:type="dxa"/>
            <w:shd w:val="clear" w:color="000000" w:fill="FFFFFF"/>
            <w:noWrap w:val="0"/>
            <w:vAlign w:val="center"/>
          </w:tcPr>
          <w:p w14:paraId="056A5988">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1EF583B1">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309E79B7">
            <w:pPr>
              <w:jc w:val="center"/>
              <w:rPr>
                <w:rFonts w:hint="eastAsia" w:ascii="仿宋" w:hAnsi="仿宋" w:eastAsia="仿宋" w:cs="仿宋"/>
                <w:szCs w:val="21"/>
              </w:rPr>
            </w:pPr>
            <w:r>
              <w:rPr>
                <w:rFonts w:hint="eastAsia" w:ascii="仿宋" w:hAnsi="仿宋" w:eastAsia="仿宋" w:cs="仿宋"/>
                <w:szCs w:val="21"/>
              </w:rPr>
              <w:t>12</w:t>
            </w:r>
          </w:p>
        </w:tc>
      </w:tr>
      <w:tr w14:paraId="683D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4B0379AB">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安全态势感知平台</w:t>
            </w:r>
          </w:p>
        </w:tc>
        <w:tc>
          <w:tcPr>
            <w:tcW w:w="3581" w:type="dxa"/>
            <w:shd w:val="clear" w:color="000000" w:fill="FFFFFF"/>
            <w:noWrap w:val="0"/>
            <w:vAlign w:val="center"/>
          </w:tcPr>
          <w:p w14:paraId="4AA2C933">
            <w:pPr>
              <w:jc w:val="left"/>
              <w:rPr>
                <w:rFonts w:hint="eastAsia" w:ascii="仿宋" w:hAnsi="仿宋" w:eastAsia="仿宋" w:cs="仿宋"/>
                <w:szCs w:val="21"/>
              </w:rPr>
            </w:pPr>
            <w:r>
              <w:rPr>
                <w:rFonts w:hint="eastAsia" w:ascii="仿宋" w:hAnsi="仿宋" w:eastAsia="仿宋" w:cs="仿宋"/>
                <w:color w:val="000000"/>
                <w:kern w:val="0"/>
                <w:szCs w:val="21"/>
              </w:rPr>
              <w:t>深信服 SIP-1000-A600</w:t>
            </w:r>
          </w:p>
        </w:tc>
        <w:tc>
          <w:tcPr>
            <w:tcW w:w="1276" w:type="dxa"/>
            <w:shd w:val="clear" w:color="000000" w:fill="FFFFFF"/>
            <w:noWrap w:val="0"/>
            <w:vAlign w:val="center"/>
          </w:tcPr>
          <w:p w14:paraId="727673CA">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60FB483C">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62B5B6E5">
            <w:pPr>
              <w:jc w:val="center"/>
              <w:rPr>
                <w:rFonts w:hint="eastAsia" w:ascii="仿宋" w:hAnsi="仿宋" w:eastAsia="仿宋" w:cs="仿宋"/>
                <w:szCs w:val="21"/>
              </w:rPr>
            </w:pPr>
            <w:r>
              <w:rPr>
                <w:rFonts w:hint="eastAsia" w:ascii="仿宋" w:hAnsi="仿宋" w:eastAsia="仿宋" w:cs="仿宋"/>
                <w:szCs w:val="21"/>
              </w:rPr>
              <w:t>12</w:t>
            </w:r>
          </w:p>
        </w:tc>
      </w:tr>
      <w:tr w14:paraId="056F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73DD227F">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威胁采集系统</w:t>
            </w:r>
          </w:p>
        </w:tc>
        <w:tc>
          <w:tcPr>
            <w:tcW w:w="3581" w:type="dxa"/>
            <w:shd w:val="clear" w:color="000000" w:fill="FFFFFF"/>
            <w:noWrap w:val="0"/>
            <w:vAlign w:val="center"/>
          </w:tcPr>
          <w:p w14:paraId="4FBAF973">
            <w:pPr>
              <w:jc w:val="left"/>
              <w:rPr>
                <w:rFonts w:hint="eastAsia" w:ascii="仿宋" w:hAnsi="仿宋" w:eastAsia="仿宋" w:cs="仿宋"/>
                <w:szCs w:val="21"/>
              </w:rPr>
            </w:pPr>
            <w:r>
              <w:rPr>
                <w:rFonts w:hint="eastAsia" w:ascii="仿宋" w:hAnsi="仿宋" w:eastAsia="仿宋" w:cs="仿宋"/>
                <w:color w:val="000000"/>
                <w:kern w:val="0"/>
                <w:szCs w:val="21"/>
              </w:rPr>
              <w:t>深信服 STA-100-B420</w:t>
            </w:r>
          </w:p>
        </w:tc>
        <w:tc>
          <w:tcPr>
            <w:tcW w:w="1276" w:type="dxa"/>
            <w:shd w:val="clear" w:color="000000" w:fill="FFFFFF"/>
            <w:noWrap w:val="0"/>
            <w:vAlign w:val="center"/>
          </w:tcPr>
          <w:p w14:paraId="1680ADF2">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22D76B39">
            <w:pPr>
              <w:jc w:val="center"/>
              <w:rPr>
                <w:rFonts w:hint="eastAsia" w:ascii="仿宋" w:hAnsi="仿宋" w:eastAsia="仿宋" w:cs="仿宋"/>
                <w:szCs w:val="21"/>
              </w:rPr>
            </w:pPr>
            <w:r>
              <w:rPr>
                <w:rFonts w:hint="eastAsia" w:ascii="仿宋" w:hAnsi="仿宋" w:eastAsia="仿宋" w:cs="仿宋"/>
                <w:szCs w:val="21"/>
              </w:rPr>
              <w:t>2</w:t>
            </w:r>
          </w:p>
        </w:tc>
        <w:tc>
          <w:tcPr>
            <w:tcW w:w="1497" w:type="dxa"/>
            <w:shd w:val="clear" w:color="000000" w:fill="FFFFFF"/>
            <w:noWrap w:val="0"/>
            <w:vAlign w:val="center"/>
          </w:tcPr>
          <w:p w14:paraId="2E6CCCD3">
            <w:pPr>
              <w:jc w:val="center"/>
              <w:rPr>
                <w:rFonts w:hint="eastAsia" w:ascii="仿宋" w:hAnsi="仿宋" w:eastAsia="仿宋" w:cs="仿宋"/>
                <w:szCs w:val="21"/>
              </w:rPr>
            </w:pPr>
            <w:r>
              <w:rPr>
                <w:rFonts w:hint="eastAsia" w:ascii="仿宋" w:hAnsi="仿宋" w:eastAsia="仿宋" w:cs="仿宋"/>
                <w:szCs w:val="21"/>
              </w:rPr>
              <w:t>12</w:t>
            </w:r>
          </w:p>
        </w:tc>
      </w:tr>
      <w:tr w14:paraId="0282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00A05F67">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基线核查系统</w:t>
            </w:r>
          </w:p>
        </w:tc>
        <w:tc>
          <w:tcPr>
            <w:tcW w:w="3581" w:type="dxa"/>
            <w:shd w:val="clear" w:color="000000" w:fill="FFFFFF"/>
            <w:noWrap w:val="0"/>
            <w:vAlign w:val="center"/>
          </w:tcPr>
          <w:p w14:paraId="39276280">
            <w:pPr>
              <w:jc w:val="left"/>
              <w:rPr>
                <w:rFonts w:hint="eastAsia" w:ascii="仿宋" w:hAnsi="仿宋" w:eastAsia="仿宋" w:cs="仿宋"/>
                <w:szCs w:val="21"/>
              </w:rPr>
            </w:pPr>
            <w:r>
              <w:rPr>
                <w:rFonts w:hint="eastAsia" w:ascii="仿宋" w:hAnsi="仿宋" w:eastAsia="仿宋" w:cs="仿宋"/>
                <w:color w:val="000000"/>
                <w:kern w:val="0"/>
                <w:szCs w:val="21"/>
              </w:rPr>
              <w:t>深信服 VT-1000-A620</w:t>
            </w:r>
          </w:p>
        </w:tc>
        <w:tc>
          <w:tcPr>
            <w:tcW w:w="1276" w:type="dxa"/>
            <w:shd w:val="clear" w:color="000000" w:fill="FFFFFF"/>
            <w:noWrap w:val="0"/>
            <w:vAlign w:val="center"/>
          </w:tcPr>
          <w:p w14:paraId="2A5E7D5A">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2B23B403">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68D3ACFA">
            <w:pPr>
              <w:jc w:val="center"/>
              <w:rPr>
                <w:rFonts w:hint="eastAsia" w:ascii="仿宋" w:hAnsi="仿宋" w:eastAsia="仿宋" w:cs="仿宋"/>
                <w:szCs w:val="21"/>
              </w:rPr>
            </w:pPr>
            <w:r>
              <w:rPr>
                <w:rFonts w:hint="eastAsia" w:ascii="仿宋" w:hAnsi="仿宋" w:eastAsia="仿宋" w:cs="仿宋"/>
                <w:szCs w:val="21"/>
              </w:rPr>
              <w:t>12</w:t>
            </w:r>
          </w:p>
        </w:tc>
      </w:tr>
      <w:tr w14:paraId="7A59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02849A3B">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数据库防水坝</w:t>
            </w:r>
          </w:p>
        </w:tc>
        <w:tc>
          <w:tcPr>
            <w:tcW w:w="3581" w:type="dxa"/>
            <w:shd w:val="clear" w:color="000000" w:fill="FFFFFF"/>
            <w:noWrap w:val="0"/>
            <w:vAlign w:val="center"/>
          </w:tcPr>
          <w:p w14:paraId="1F3ED756">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美创 DW100</w:t>
            </w:r>
          </w:p>
        </w:tc>
        <w:tc>
          <w:tcPr>
            <w:tcW w:w="1276" w:type="dxa"/>
            <w:shd w:val="clear" w:color="000000" w:fill="FFFFFF"/>
            <w:noWrap w:val="0"/>
            <w:vAlign w:val="center"/>
          </w:tcPr>
          <w:p w14:paraId="22CC9607">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7156E6F0">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131426C6">
            <w:pPr>
              <w:jc w:val="center"/>
              <w:rPr>
                <w:rFonts w:hint="eastAsia" w:ascii="仿宋" w:hAnsi="仿宋" w:eastAsia="仿宋" w:cs="仿宋"/>
                <w:szCs w:val="21"/>
              </w:rPr>
            </w:pPr>
            <w:r>
              <w:rPr>
                <w:rFonts w:hint="eastAsia" w:ascii="仿宋" w:hAnsi="仿宋" w:eastAsia="仿宋" w:cs="仿宋"/>
                <w:szCs w:val="21"/>
              </w:rPr>
              <w:t>12</w:t>
            </w:r>
          </w:p>
        </w:tc>
      </w:tr>
      <w:tr w14:paraId="6012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62D88E93">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运维管理软件</w:t>
            </w:r>
          </w:p>
        </w:tc>
        <w:tc>
          <w:tcPr>
            <w:tcW w:w="3581" w:type="dxa"/>
            <w:shd w:val="clear" w:color="000000" w:fill="FFFFFF"/>
            <w:noWrap w:val="0"/>
            <w:vAlign w:val="center"/>
          </w:tcPr>
          <w:p w14:paraId="3BA516F2">
            <w:pPr>
              <w:jc w:val="left"/>
              <w:rPr>
                <w:rFonts w:hint="eastAsia" w:ascii="仿宋" w:hAnsi="仿宋" w:eastAsia="仿宋" w:cs="仿宋"/>
                <w:szCs w:val="21"/>
              </w:rPr>
            </w:pPr>
            <w:r>
              <w:rPr>
                <w:rFonts w:hint="eastAsia" w:ascii="仿宋" w:hAnsi="仿宋" w:eastAsia="仿宋" w:cs="仿宋"/>
                <w:color w:val="000000"/>
                <w:kern w:val="0"/>
                <w:szCs w:val="21"/>
              </w:rPr>
              <w:t>网强  Emaster 6.0</w:t>
            </w:r>
          </w:p>
        </w:tc>
        <w:tc>
          <w:tcPr>
            <w:tcW w:w="1276" w:type="dxa"/>
            <w:shd w:val="clear" w:color="000000" w:fill="FFFFFF"/>
            <w:noWrap w:val="0"/>
            <w:vAlign w:val="center"/>
          </w:tcPr>
          <w:p w14:paraId="59E89287">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26CBD930">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41E59419">
            <w:pPr>
              <w:jc w:val="center"/>
              <w:rPr>
                <w:rFonts w:hint="eastAsia" w:ascii="仿宋" w:hAnsi="仿宋" w:eastAsia="仿宋" w:cs="仿宋"/>
                <w:szCs w:val="21"/>
              </w:rPr>
            </w:pPr>
            <w:r>
              <w:rPr>
                <w:rFonts w:hint="eastAsia" w:ascii="仿宋" w:hAnsi="仿宋" w:eastAsia="仿宋" w:cs="仿宋"/>
                <w:szCs w:val="21"/>
              </w:rPr>
              <w:t>12</w:t>
            </w:r>
          </w:p>
        </w:tc>
      </w:tr>
      <w:tr w14:paraId="26E7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6CA9FECD">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杀毒软件</w:t>
            </w:r>
          </w:p>
        </w:tc>
        <w:tc>
          <w:tcPr>
            <w:tcW w:w="3581" w:type="dxa"/>
            <w:shd w:val="clear" w:color="000000" w:fill="FFFFFF"/>
            <w:noWrap w:val="0"/>
            <w:vAlign w:val="center"/>
          </w:tcPr>
          <w:p w14:paraId="304CCC0A">
            <w:pPr>
              <w:jc w:val="left"/>
              <w:rPr>
                <w:rFonts w:hint="eastAsia" w:ascii="仿宋" w:hAnsi="仿宋" w:eastAsia="仿宋" w:cs="仿宋"/>
                <w:szCs w:val="21"/>
              </w:rPr>
            </w:pPr>
            <w:r>
              <w:rPr>
                <w:rFonts w:hint="eastAsia" w:ascii="仿宋" w:hAnsi="仿宋" w:eastAsia="仿宋" w:cs="仿宋"/>
                <w:color w:val="000000"/>
                <w:kern w:val="0"/>
                <w:szCs w:val="21"/>
              </w:rPr>
              <w:t>深信服 端点安全软件V3.0</w:t>
            </w:r>
          </w:p>
        </w:tc>
        <w:tc>
          <w:tcPr>
            <w:tcW w:w="1276" w:type="dxa"/>
            <w:shd w:val="clear" w:color="000000" w:fill="FFFFFF"/>
            <w:noWrap w:val="0"/>
            <w:vAlign w:val="center"/>
          </w:tcPr>
          <w:p w14:paraId="788F657A">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1F2B94EA">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42EF93EA">
            <w:pPr>
              <w:jc w:val="center"/>
              <w:rPr>
                <w:rFonts w:hint="eastAsia" w:ascii="仿宋" w:hAnsi="仿宋" w:eastAsia="仿宋" w:cs="仿宋"/>
                <w:szCs w:val="21"/>
              </w:rPr>
            </w:pPr>
            <w:r>
              <w:rPr>
                <w:rFonts w:hint="eastAsia" w:ascii="仿宋" w:hAnsi="仿宋" w:eastAsia="仿宋" w:cs="仿宋"/>
                <w:szCs w:val="21"/>
              </w:rPr>
              <w:t>12</w:t>
            </w:r>
          </w:p>
        </w:tc>
      </w:tr>
      <w:tr w14:paraId="576F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6FEA261B">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CDP数据连续保护</w:t>
            </w:r>
          </w:p>
        </w:tc>
        <w:tc>
          <w:tcPr>
            <w:tcW w:w="3581" w:type="dxa"/>
            <w:shd w:val="clear" w:color="000000" w:fill="FFFFFF"/>
            <w:noWrap w:val="0"/>
            <w:vAlign w:val="center"/>
          </w:tcPr>
          <w:p w14:paraId="2DE01E21">
            <w:pPr>
              <w:jc w:val="left"/>
              <w:rPr>
                <w:rFonts w:hint="eastAsia" w:ascii="仿宋" w:hAnsi="仿宋" w:eastAsia="仿宋" w:cs="仿宋"/>
                <w:szCs w:val="21"/>
              </w:rPr>
            </w:pPr>
            <w:r>
              <w:rPr>
                <w:rFonts w:hint="eastAsia" w:ascii="仿宋" w:hAnsi="仿宋" w:eastAsia="仿宋" w:cs="仿宋"/>
                <w:color w:val="000000"/>
                <w:kern w:val="0"/>
                <w:szCs w:val="21"/>
              </w:rPr>
              <w:t>柏科数据BCM-100G2</w:t>
            </w:r>
          </w:p>
        </w:tc>
        <w:tc>
          <w:tcPr>
            <w:tcW w:w="1276" w:type="dxa"/>
            <w:shd w:val="clear" w:color="000000" w:fill="FFFFFF"/>
            <w:noWrap w:val="0"/>
            <w:vAlign w:val="center"/>
          </w:tcPr>
          <w:p w14:paraId="4105B45B">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5A73B48A">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1FEC5606">
            <w:pPr>
              <w:jc w:val="center"/>
              <w:rPr>
                <w:rFonts w:hint="eastAsia" w:ascii="仿宋" w:hAnsi="仿宋" w:eastAsia="仿宋" w:cs="仿宋"/>
                <w:szCs w:val="21"/>
              </w:rPr>
            </w:pPr>
            <w:r>
              <w:rPr>
                <w:rFonts w:hint="eastAsia" w:ascii="仿宋" w:hAnsi="仿宋" w:eastAsia="仿宋" w:cs="仿宋"/>
                <w:szCs w:val="21"/>
              </w:rPr>
              <w:t>12</w:t>
            </w:r>
          </w:p>
        </w:tc>
      </w:tr>
      <w:tr w14:paraId="7D2D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5E3D9E63">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路由器</w:t>
            </w:r>
          </w:p>
        </w:tc>
        <w:tc>
          <w:tcPr>
            <w:tcW w:w="3581" w:type="dxa"/>
            <w:shd w:val="clear" w:color="000000" w:fill="FFFFFF"/>
            <w:noWrap w:val="0"/>
            <w:vAlign w:val="center"/>
          </w:tcPr>
          <w:p w14:paraId="0DB9101B">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华为 AR2240C</w:t>
            </w:r>
          </w:p>
        </w:tc>
        <w:tc>
          <w:tcPr>
            <w:tcW w:w="1276" w:type="dxa"/>
            <w:shd w:val="clear" w:color="000000" w:fill="FFFFFF"/>
            <w:noWrap w:val="0"/>
            <w:vAlign w:val="center"/>
          </w:tcPr>
          <w:p w14:paraId="255BD5BB">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7498E8A7">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76BB43B2">
            <w:pPr>
              <w:jc w:val="center"/>
              <w:rPr>
                <w:rFonts w:hint="eastAsia" w:ascii="仿宋" w:hAnsi="仿宋" w:eastAsia="仿宋" w:cs="仿宋"/>
                <w:szCs w:val="21"/>
              </w:rPr>
            </w:pPr>
            <w:r>
              <w:rPr>
                <w:rFonts w:hint="eastAsia" w:ascii="仿宋" w:hAnsi="仿宋" w:eastAsia="仿宋" w:cs="仿宋"/>
                <w:szCs w:val="21"/>
              </w:rPr>
              <w:t>12</w:t>
            </w:r>
          </w:p>
        </w:tc>
      </w:tr>
      <w:tr w14:paraId="6054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top"/>
          </w:tcPr>
          <w:p w14:paraId="69F62B1B">
            <w:pPr>
              <w:rPr>
                <w:rFonts w:hint="eastAsia" w:ascii="仿宋" w:hAnsi="仿宋" w:eastAsia="仿宋" w:cs="仿宋"/>
                <w:szCs w:val="21"/>
              </w:rPr>
            </w:pPr>
            <w:r>
              <w:rPr>
                <w:rFonts w:hint="eastAsia" w:ascii="仿宋" w:hAnsi="仿宋" w:eastAsia="仿宋" w:cs="仿宋"/>
                <w:szCs w:val="21"/>
              </w:rPr>
              <w:t>精密空调</w:t>
            </w:r>
          </w:p>
        </w:tc>
        <w:tc>
          <w:tcPr>
            <w:tcW w:w="3581" w:type="dxa"/>
            <w:shd w:val="clear" w:color="000000" w:fill="FFFFFF"/>
            <w:noWrap w:val="0"/>
            <w:vAlign w:val="top"/>
          </w:tcPr>
          <w:p w14:paraId="60B48000">
            <w:pPr>
              <w:jc w:val="left"/>
              <w:rPr>
                <w:rFonts w:hint="eastAsia" w:ascii="仿宋" w:hAnsi="仿宋" w:eastAsia="仿宋" w:cs="仿宋"/>
                <w:szCs w:val="21"/>
              </w:rPr>
            </w:pPr>
            <w:r>
              <w:rPr>
                <w:rFonts w:hint="eastAsia" w:ascii="仿宋" w:hAnsi="仿宋" w:eastAsia="仿宋" w:cs="仿宋"/>
                <w:szCs w:val="21"/>
              </w:rPr>
              <w:t>20kw</w:t>
            </w:r>
          </w:p>
        </w:tc>
        <w:tc>
          <w:tcPr>
            <w:tcW w:w="1276" w:type="dxa"/>
            <w:shd w:val="clear" w:color="000000" w:fill="FFFFFF"/>
            <w:noWrap w:val="0"/>
            <w:vAlign w:val="center"/>
          </w:tcPr>
          <w:p w14:paraId="6FB1245A">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765E93E1">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2ABA92CA">
            <w:pPr>
              <w:jc w:val="center"/>
              <w:rPr>
                <w:rFonts w:hint="eastAsia" w:ascii="仿宋" w:hAnsi="仿宋" w:eastAsia="仿宋" w:cs="仿宋"/>
                <w:szCs w:val="21"/>
              </w:rPr>
            </w:pPr>
            <w:r>
              <w:rPr>
                <w:rFonts w:hint="eastAsia" w:ascii="仿宋" w:hAnsi="仿宋" w:eastAsia="仿宋" w:cs="仿宋"/>
                <w:szCs w:val="21"/>
              </w:rPr>
              <w:t>12</w:t>
            </w:r>
          </w:p>
        </w:tc>
      </w:tr>
      <w:tr w14:paraId="1DB1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top"/>
          </w:tcPr>
          <w:p w14:paraId="41BF8140">
            <w:pPr>
              <w:rPr>
                <w:rFonts w:hint="eastAsia" w:ascii="仿宋" w:hAnsi="仿宋" w:eastAsia="仿宋" w:cs="仿宋"/>
                <w:szCs w:val="21"/>
              </w:rPr>
            </w:pPr>
            <w:r>
              <w:rPr>
                <w:rFonts w:hint="eastAsia" w:ascii="仿宋" w:hAnsi="仿宋" w:eastAsia="仿宋" w:cs="仿宋"/>
                <w:szCs w:val="21"/>
              </w:rPr>
              <w:t>UPS系统</w:t>
            </w:r>
          </w:p>
        </w:tc>
        <w:tc>
          <w:tcPr>
            <w:tcW w:w="3581" w:type="dxa"/>
            <w:shd w:val="clear" w:color="000000" w:fill="FFFFFF"/>
            <w:noWrap w:val="0"/>
            <w:vAlign w:val="top"/>
          </w:tcPr>
          <w:p w14:paraId="69D60ADC">
            <w:pPr>
              <w:jc w:val="left"/>
              <w:rPr>
                <w:rFonts w:hint="eastAsia" w:ascii="仿宋" w:hAnsi="仿宋" w:eastAsia="仿宋" w:cs="仿宋"/>
                <w:szCs w:val="21"/>
              </w:rPr>
            </w:pPr>
          </w:p>
        </w:tc>
        <w:tc>
          <w:tcPr>
            <w:tcW w:w="1276" w:type="dxa"/>
            <w:shd w:val="clear" w:color="000000" w:fill="FFFFFF"/>
            <w:noWrap w:val="0"/>
            <w:vAlign w:val="center"/>
          </w:tcPr>
          <w:p w14:paraId="12AEB78B">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05772EC2">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621CBDA5">
            <w:pPr>
              <w:jc w:val="center"/>
              <w:rPr>
                <w:rFonts w:hint="eastAsia" w:ascii="仿宋" w:hAnsi="仿宋" w:eastAsia="仿宋" w:cs="仿宋"/>
                <w:szCs w:val="21"/>
              </w:rPr>
            </w:pPr>
            <w:r>
              <w:rPr>
                <w:rFonts w:hint="eastAsia" w:ascii="仿宋" w:hAnsi="仿宋" w:eastAsia="仿宋" w:cs="仿宋"/>
                <w:szCs w:val="21"/>
              </w:rPr>
              <w:t>12</w:t>
            </w:r>
          </w:p>
        </w:tc>
      </w:tr>
      <w:tr w14:paraId="6828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05E5BC17">
            <w:pPr>
              <w:rPr>
                <w:rFonts w:hint="eastAsia" w:ascii="仿宋" w:hAnsi="仿宋" w:eastAsia="仿宋" w:cs="仿宋"/>
                <w:szCs w:val="21"/>
              </w:rPr>
            </w:pPr>
            <w:r>
              <w:rPr>
                <w:rFonts w:hint="eastAsia" w:ascii="仿宋" w:hAnsi="仿宋" w:eastAsia="仿宋" w:cs="仿宋"/>
                <w:color w:val="000000"/>
                <w:kern w:val="0"/>
              </w:rPr>
              <w:t>渗透测试</w:t>
            </w:r>
          </w:p>
        </w:tc>
        <w:tc>
          <w:tcPr>
            <w:tcW w:w="3581" w:type="dxa"/>
            <w:shd w:val="clear" w:color="000000" w:fill="FFFFFF"/>
            <w:noWrap w:val="0"/>
            <w:vAlign w:val="center"/>
          </w:tcPr>
          <w:p w14:paraId="4CA68683">
            <w:pPr>
              <w:jc w:val="left"/>
              <w:rPr>
                <w:rFonts w:hint="eastAsia" w:ascii="仿宋" w:hAnsi="仿宋" w:eastAsia="仿宋" w:cs="仿宋"/>
                <w:szCs w:val="21"/>
              </w:rPr>
            </w:pPr>
            <w:r>
              <w:rPr>
                <w:rFonts w:hint="eastAsia" w:ascii="仿宋" w:hAnsi="仿宋" w:eastAsia="仿宋" w:cs="仿宋"/>
                <w:color w:val="000000"/>
                <w:kern w:val="0"/>
              </w:rPr>
              <w:t>模拟黑客对业务系统进行渗透攻击，发现存在的安全风险</w:t>
            </w:r>
          </w:p>
        </w:tc>
        <w:tc>
          <w:tcPr>
            <w:tcW w:w="1276" w:type="dxa"/>
            <w:shd w:val="clear" w:color="000000" w:fill="FFFFFF"/>
            <w:noWrap w:val="0"/>
            <w:vAlign w:val="center"/>
          </w:tcPr>
          <w:p w14:paraId="7BAD809A">
            <w:pPr>
              <w:jc w:val="center"/>
              <w:rPr>
                <w:rFonts w:hint="eastAsia" w:ascii="仿宋" w:hAnsi="仿宋" w:eastAsia="仿宋" w:cs="仿宋"/>
                <w:szCs w:val="21"/>
              </w:rPr>
            </w:pPr>
            <w:r>
              <w:rPr>
                <w:rFonts w:hint="eastAsia" w:ascii="仿宋" w:hAnsi="仿宋" w:eastAsia="仿宋" w:cs="仿宋"/>
                <w:color w:val="000000"/>
                <w:kern w:val="0"/>
                <w:szCs w:val="21"/>
              </w:rPr>
              <w:t>1年1次</w:t>
            </w:r>
          </w:p>
        </w:tc>
        <w:tc>
          <w:tcPr>
            <w:tcW w:w="708" w:type="dxa"/>
            <w:shd w:val="clear" w:color="000000" w:fill="FFFFFF"/>
            <w:noWrap w:val="0"/>
            <w:vAlign w:val="center"/>
          </w:tcPr>
          <w:p w14:paraId="3744AAE1">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top"/>
          </w:tcPr>
          <w:p w14:paraId="35B4A580">
            <w:pPr>
              <w:jc w:val="center"/>
              <w:rPr>
                <w:rFonts w:hint="eastAsia" w:ascii="仿宋" w:hAnsi="仿宋" w:eastAsia="仿宋" w:cs="仿宋"/>
                <w:szCs w:val="21"/>
              </w:rPr>
            </w:pPr>
            <w:r>
              <w:rPr>
                <w:rFonts w:hint="eastAsia" w:ascii="仿宋" w:hAnsi="仿宋" w:eastAsia="仿宋" w:cs="仿宋"/>
                <w:szCs w:val="21"/>
              </w:rPr>
              <w:t>12</w:t>
            </w:r>
          </w:p>
        </w:tc>
      </w:tr>
      <w:tr w14:paraId="7BA9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52ADFFC2">
            <w:pPr>
              <w:rPr>
                <w:rFonts w:hint="eastAsia" w:ascii="仿宋" w:hAnsi="仿宋" w:eastAsia="仿宋" w:cs="仿宋"/>
                <w:szCs w:val="21"/>
              </w:rPr>
            </w:pPr>
            <w:r>
              <w:rPr>
                <w:rFonts w:hint="eastAsia" w:ascii="仿宋" w:hAnsi="仿宋" w:eastAsia="仿宋" w:cs="仿宋"/>
                <w:color w:val="000000"/>
                <w:kern w:val="0"/>
              </w:rPr>
              <w:t>安全漏洞扫描服务</w:t>
            </w:r>
          </w:p>
        </w:tc>
        <w:tc>
          <w:tcPr>
            <w:tcW w:w="3581" w:type="dxa"/>
            <w:shd w:val="clear" w:color="000000" w:fill="FFFFFF"/>
            <w:noWrap w:val="0"/>
            <w:vAlign w:val="center"/>
          </w:tcPr>
          <w:p w14:paraId="65E8C33A">
            <w:pPr>
              <w:jc w:val="left"/>
              <w:rPr>
                <w:rFonts w:hint="eastAsia" w:ascii="仿宋" w:hAnsi="仿宋" w:eastAsia="仿宋" w:cs="仿宋"/>
                <w:szCs w:val="21"/>
              </w:rPr>
            </w:pPr>
            <w:r>
              <w:rPr>
                <w:rFonts w:hint="eastAsia" w:ascii="仿宋" w:hAnsi="仿宋" w:eastAsia="仿宋" w:cs="仿宋"/>
                <w:color w:val="000000"/>
                <w:kern w:val="0"/>
              </w:rPr>
              <w:t>安全漏洞扫描服务，包括主机、web应用系统、数据库等</w:t>
            </w:r>
          </w:p>
        </w:tc>
        <w:tc>
          <w:tcPr>
            <w:tcW w:w="1276" w:type="dxa"/>
            <w:shd w:val="clear" w:color="000000" w:fill="FFFFFF"/>
            <w:noWrap w:val="0"/>
            <w:vAlign w:val="center"/>
          </w:tcPr>
          <w:p w14:paraId="2E008EB6">
            <w:pPr>
              <w:jc w:val="center"/>
              <w:rPr>
                <w:rFonts w:hint="eastAsia" w:ascii="仿宋" w:hAnsi="仿宋" w:eastAsia="仿宋" w:cs="仿宋"/>
                <w:szCs w:val="21"/>
              </w:rPr>
            </w:pPr>
            <w:r>
              <w:rPr>
                <w:rFonts w:hint="eastAsia" w:ascii="仿宋" w:hAnsi="仿宋" w:eastAsia="仿宋" w:cs="仿宋"/>
                <w:color w:val="000000"/>
                <w:kern w:val="0"/>
                <w:szCs w:val="21"/>
              </w:rPr>
              <w:t>1年4次</w:t>
            </w:r>
          </w:p>
        </w:tc>
        <w:tc>
          <w:tcPr>
            <w:tcW w:w="708" w:type="dxa"/>
            <w:shd w:val="clear" w:color="000000" w:fill="FFFFFF"/>
            <w:noWrap w:val="0"/>
            <w:vAlign w:val="center"/>
          </w:tcPr>
          <w:p w14:paraId="478C843F">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top"/>
          </w:tcPr>
          <w:p w14:paraId="0AA98AE4">
            <w:pPr>
              <w:jc w:val="center"/>
              <w:rPr>
                <w:rFonts w:hint="eastAsia" w:ascii="仿宋" w:hAnsi="仿宋" w:eastAsia="仿宋" w:cs="仿宋"/>
                <w:szCs w:val="21"/>
              </w:rPr>
            </w:pPr>
            <w:r>
              <w:rPr>
                <w:rFonts w:hint="eastAsia" w:ascii="仿宋" w:hAnsi="仿宋" w:eastAsia="仿宋" w:cs="仿宋"/>
                <w:szCs w:val="21"/>
              </w:rPr>
              <w:t>12</w:t>
            </w:r>
          </w:p>
        </w:tc>
      </w:tr>
      <w:tr w14:paraId="4843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3CBFB32B">
            <w:pPr>
              <w:rPr>
                <w:rFonts w:hint="eastAsia" w:ascii="仿宋" w:hAnsi="仿宋" w:eastAsia="仿宋" w:cs="仿宋"/>
                <w:szCs w:val="21"/>
              </w:rPr>
            </w:pPr>
            <w:r>
              <w:rPr>
                <w:rFonts w:hint="eastAsia" w:ascii="仿宋" w:hAnsi="仿宋" w:eastAsia="仿宋" w:cs="仿宋"/>
                <w:color w:val="000000"/>
                <w:kern w:val="0"/>
              </w:rPr>
              <w:t>应急响应服务</w:t>
            </w:r>
          </w:p>
        </w:tc>
        <w:tc>
          <w:tcPr>
            <w:tcW w:w="3581" w:type="dxa"/>
            <w:shd w:val="clear" w:color="000000" w:fill="FFFFFF"/>
            <w:noWrap w:val="0"/>
            <w:vAlign w:val="center"/>
          </w:tcPr>
          <w:p w14:paraId="52D5292B">
            <w:pPr>
              <w:ind w:firstLine="420" w:firstLineChars="200"/>
              <w:jc w:val="left"/>
              <w:rPr>
                <w:rFonts w:hint="eastAsia" w:ascii="仿宋" w:hAnsi="仿宋" w:eastAsia="仿宋" w:cs="仿宋"/>
              </w:rPr>
            </w:pPr>
            <w:r>
              <w:rPr>
                <w:rFonts w:hint="eastAsia" w:ascii="仿宋" w:hAnsi="仿宋" w:eastAsia="仿宋" w:cs="仿宋"/>
              </w:rPr>
              <w:t>针对客户方信息系统出现信息安全风险、恶意攻击、入侵等威胁时，能在规定时间内快速到达现场及时提供信息安全应急响应服务，协助客户查找风险来源及事件追溯，确定威胁过程，提供系统恢复方案，并协助进行修复加固。</w:t>
            </w:r>
          </w:p>
          <w:p w14:paraId="3DAD9240">
            <w:pPr>
              <w:tabs>
                <w:tab w:val="left" w:pos="8280"/>
              </w:tabs>
              <w:autoSpaceDE w:val="0"/>
              <w:autoSpaceDN w:val="0"/>
              <w:adjustRightInd w:val="0"/>
              <w:ind w:right="23" w:firstLine="420" w:firstLineChars="200"/>
              <w:jc w:val="left"/>
              <w:rPr>
                <w:rFonts w:hint="eastAsia" w:ascii="仿宋" w:hAnsi="仿宋" w:eastAsia="仿宋" w:cs="仿宋"/>
              </w:rPr>
            </w:pPr>
            <w:r>
              <w:rPr>
                <w:rFonts w:hint="eastAsia" w:ascii="仿宋" w:hAnsi="仿宋" w:eastAsia="仿宋" w:cs="仿宋"/>
                <w:lang w:eastAsia="zh-CN"/>
              </w:rPr>
              <w:t>磋商供应商</w:t>
            </w:r>
            <w:r>
              <w:rPr>
                <w:rFonts w:hint="eastAsia" w:ascii="仿宋" w:hAnsi="仿宋" w:eastAsia="仿宋" w:cs="仿宋"/>
              </w:rPr>
              <w:t>针对用户方在重大节假日、重大会议期间、护网行动时期，提供技术人员现场驻场保障服务，保障用户方信息系统安全。</w:t>
            </w:r>
          </w:p>
        </w:tc>
        <w:tc>
          <w:tcPr>
            <w:tcW w:w="1276" w:type="dxa"/>
            <w:shd w:val="clear" w:color="000000" w:fill="FFFFFF"/>
            <w:noWrap w:val="0"/>
            <w:vAlign w:val="center"/>
          </w:tcPr>
          <w:p w14:paraId="6E71059B">
            <w:pPr>
              <w:jc w:val="center"/>
              <w:rPr>
                <w:rFonts w:hint="eastAsia" w:ascii="仿宋" w:hAnsi="仿宋" w:eastAsia="仿宋" w:cs="仿宋"/>
                <w:szCs w:val="21"/>
              </w:rPr>
            </w:pPr>
            <w:r>
              <w:rPr>
                <w:rFonts w:hint="eastAsia" w:ascii="仿宋" w:hAnsi="仿宋" w:eastAsia="仿宋" w:cs="仿宋"/>
                <w:color w:val="000000"/>
                <w:kern w:val="0"/>
                <w:szCs w:val="21"/>
              </w:rPr>
              <w:t>按需</w:t>
            </w:r>
          </w:p>
        </w:tc>
        <w:tc>
          <w:tcPr>
            <w:tcW w:w="708" w:type="dxa"/>
            <w:shd w:val="clear" w:color="000000" w:fill="FFFFFF"/>
            <w:noWrap w:val="0"/>
            <w:vAlign w:val="center"/>
          </w:tcPr>
          <w:p w14:paraId="55BAD330">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top"/>
          </w:tcPr>
          <w:p w14:paraId="5422730A">
            <w:pPr>
              <w:jc w:val="center"/>
              <w:rPr>
                <w:rFonts w:hint="eastAsia" w:ascii="仿宋" w:hAnsi="仿宋" w:eastAsia="仿宋" w:cs="仿宋"/>
                <w:szCs w:val="21"/>
              </w:rPr>
            </w:pPr>
            <w:r>
              <w:rPr>
                <w:rFonts w:hint="eastAsia" w:ascii="仿宋" w:hAnsi="仿宋" w:eastAsia="仿宋" w:cs="仿宋"/>
                <w:szCs w:val="21"/>
              </w:rPr>
              <w:t>12</w:t>
            </w:r>
          </w:p>
        </w:tc>
      </w:tr>
      <w:tr w14:paraId="785D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7E03F2AA">
            <w:pPr>
              <w:rPr>
                <w:rFonts w:hint="eastAsia" w:ascii="仿宋" w:hAnsi="仿宋" w:eastAsia="仿宋" w:cs="仿宋"/>
                <w:szCs w:val="21"/>
              </w:rPr>
            </w:pPr>
            <w:r>
              <w:rPr>
                <w:rFonts w:hint="eastAsia" w:ascii="仿宋" w:hAnsi="仿宋" w:eastAsia="仿宋" w:cs="仿宋"/>
                <w:color w:val="000000"/>
                <w:kern w:val="0"/>
              </w:rPr>
              <w:t>升级服务</w:t>
            </w:r>
          </w:p>
        </w:tc>
        <w:tc>
          <w:tcPr>
            <w:tcW w:w="3581" w:type="dxa"/>
            <w:shd w:val="clear" w:color="000000" w:fill="FFFFFF"/>
            <w:noWrap w:val="0"/>
            <w:vAlign w:val="center"/>
          </w:tcPr>
          <w:p w14:paraId="43CEE12F">
            <w:pPr>
              <w:jc w:val="left"/>
              <w:rPr>
                <w:rFonts w:hint="eastAsia" w:ascii="仿宋" w:hAnsi="仿宋" w:eastAsia="仿宋" w:cs="仿宋"/>
                <w:color w:val="000000"/>
                <w:kern w:val="0"/>
              </w:rPr>
            </w:pPr>
            <w:r>
              <w:rPr>
                <w:rFonts w:hint="eastAsia" w:ascii="仿宋" w:hAnsi="仿宋" w:eastAsia="仿宋" w:cs="仿宋"/>
              </w:rPr>
              <w:t>针对现有安全设备包括（深信服AF-1820、深信服AF-1850-IPS、深信服AF-1000-E420、深信服AF-1000-E420-IS、深信服 SIP-1000-A600、深信服 STA-100-B420、深信服 VT-1000-A620、深信服 端点安全软件V3.0），</w:t>
            </w:r>
            <w:r>
              <w:rPr>
                <w:rFonts w:hint="eastAsia" w:ascii="仿宋" w:hAnsi="仿宋" w:eastAsia="仿宋" w:cs="仿宋"/>
                <w:lang w:eastAsia="zh-CN"/>
              </w:rPr>
              <w:t>供应商</w:t>
            </w:r>
            <w:r>
              <w:rPr>
                <w:rFonts w:hint="eastAsia" w:ascii="仿宋" w:hAnsi="仿宋" w:eastAsia="仿宋" w:cs="仿宋"/>
              </w:rPr>
              <w:t>承诺提供升级服务，在服务期内提供特征库、病毒库等原厂授权的升级服务。</w:t>
            </w:r>
          </w:p>
        </w:tc>
        <w:tc>
          <w:tcPr>
            <w:tcW w:w="1276" w:type="dxa"/>
            <w:shd w:val="clear" w:color="000000" w:fill="FFFFFF"/>
            <w:noWrap w:val="0"/>
            <w:vAlign w:val="center"/>
          </w:tcPr>
          <w:p w14:paraId="100538CA">
            <w:pPr>
              <w:jc w:val="center"/>
              <w:rPr>
                <w:rFonts w:hint="eastAsia" w:ascii="仿宋" w:hAnsi="仿宋" w:eastAsia="仿宋" w:cs="仿宋"/>
                <w:szCs w:val="21"/>
              </w:rPr>
            </w:pPr>
            <w:r>
              <w:rPr>
                <w:rFonts w:hint="eastAsia" w:ascii="仿宋" w:hAnsi="仿宋" w:eastAsia="仿宋" w:cs="仿宋"/>
                <w:color w:val="000000"/>
                <w:kern w:val="0"/>
                <w:szCs w:val="21"/>
              </w:rPr>
              <w:t>全年按需</w:t>
            </w:r>
          </w:p>
        </w:tc>
        <w:tc>
          <w:tcPr>
            <w:tcW w:w="708" w:type="dxa"/>
            <w:shd w:val="clear" w:color="000000" w:fill="FFFFFF"/>
            <w:noWrap w:val="0"/>
            <w:vAlign w:val="center"/>
          </w:tcPr>
          <w:p w14:paraId="67F21F71">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top"/>
          </w:tcPr>
          <w:p w14:paraId="7B248075">
            <w:pPr>
              <w:jc w:val="center"/>
              <w:rPr>
                <w:rFonts w:hint="eastAsia" w:ascii="仿宋" w:hAnsi="仿宋" w:eastAsia="仿宋" w:cs="仿宋"/>
                <w:szCs w:val="21"/>
              </w:rPr>
            </w:pPr>
            <w:r>
              <w:rPr>
                <w:rFonts w:hint="eastAsia" w:ascii="仿宋" w:hAnsi="仿宋" w:eastAsia="仿宋" w:cs="仿宋"/>
                <w:szCs w:val="21"/>
              </w:rPr>
              <w:t>12</w:t>
            </w:r>
          </w:p>
        </w:tc>
      </w:tr>
      <w:tr w14:paraId="02AD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1" w:type="dxa"/>
            <w:shd w:val="clear" w:color="000000" w:fill="FFFFFF"/>
            <w:noWrap w:val="0"/>
            <w:vAlign w:val="center"/>
          </w:tcPr>
          <w:p w14:paraId="02CDD5B3">
            <w:pPr>
              <w:rPr>
                <w:rFonts w:hint="eastAsia" w:ascii="仿宋" w:hAnsi="仿宋" w:eastAsia="仿宋" w:cs="仿宋"/>
                <w:color w:val="000000"/>
                <w:kern w:val="0"/>
              </w:rPr>
            </w:pPr>
            <w:r>
              <w:rPr>
                <w:rFonts w:hint="eastAsia" w:ascii="仿宋" w:hAnsi="仿宋" w:eastAsia="仿宋" w:cs="仿宋"/>
                <w:color w:val="000000"/>
                <w:kern w:val="0"/>
              </w:rPr>
              <w:t>安全应急演练服务</w:t>
            </w:r>
          </w:p>
        </w:tc>
        <w:tc>
          <w:tcPr>
            <w:tcW w:w="3581" w:type="dxa"/>
            <w:shd w:val="clear" w:color="000000" w:fill="FFFFFF"/>
            <w:noWrap w:val="0"/>
            <w:vAlign w:val="center"/>
          </w:tcPr>
          <w:p w14:paraId="37A16A91">
            <w:pPr>
              <w:widowControl/>
              <w:jc w:val="left"/>
              <w:rPr>
                <w:rFonts w:hint="eastAsia" w:ascii="仿宋" w:hAnsi="仿宋" w:eastAsia="仿宋" w:cs="仿宋"/>
                <w:color w:val="000000"/>
                <w:kern w:val="0"/>
              </w:rPr>
            </w:pPr>
            <w:r>
              <w:rPr>
                <w:rFonts w:hint="eastAsia" w:ascii="仿宋" w:hAnsi="仿宋" w:eastAsia="仿宋" w:cs="仿宋"/>
                <w:color w:val="000000"/>
              </w:rPr>
              <w:t>在服务期内，根据单位应急演练预案，协助单位开展预案演练，提高应对安全事件的处置能力，预防和减少安全事件造成的危害和损失。</w:t>
            </w:r>
          </w:p>
        </w:tc>
        <w:tc>
          <w:tcPr>
            <w:tcW w:w="1276" w:type="dxa"/>
            <w:shd w:val="clear" w:color="000000" w:fill="FFFFFF"/>
            <w:noWrap w:val="0"/>
            <w:vAlign w:val="center"/>
          </w:tcPr>
          <w:p w14:paraId="37B00E0F">
            <w:pPr>
              <w:jc w:val="center"/>
              <w:rPr>
                <w:rFonts w:hint="eastAsia" w:ascii="仿宋" w:hAnsi="仿宋" w:eastAsia="仿宋" w:cs="仿宋"/>
                <w:szCs w:val="21"/>
              </w:rPr>
            </w:pPr>
            <w:r>
              <w:rPr>
                <w:rFonts w:hint="eastAsia" w:ascii="仿宋" w:hAnsi="仿宋" w:eastAsia="仿宋" w:cs="仿宋"/>
                <w:color w:val="000000"/>
                <w:kern w:val="0"/>
                <w:szCs w:val="21"/>
              </w:rPr>
              <w:t>1年1次</w:t>
            </w:r>
          </w:p>
        </w:tc>
        <w:tc>
          <w:tcPr>
            <w:tcW w:w="708" w:type="dxa"/>
            <w:shd w:val="clear" w:color="000000" w:fill="FFFFFF"/>
            <w:noWrap w:val="0"/>
            <w:vAlign w:val="center"/>
          </w:tcPr>
          <w:p w14:paraId="69ABFAC0">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top"/>
          </w:tcPr>
          <w:p w14:paraId="4BE7306F">
            <w:pPr>
              <w:jc w:val="center"/>
              <w:rPr>
                <w:rFonts w:hint="eastAsia" w:ascii="仿宋" w:hAnsi="仿宋" w:eastAsia="仿宋" w:cs="仿宋"/>
                <w:szCs w:val="21"/>
              </w:rPr>
            </w:pPr>
            <w:r>
              <w:rPr>
                <w:rFonts w:hint="eastAsia" w:ascii="仿宋" w:hAnsi="仿宋" w:eastAsia="仿宋" w:cs="仿宋"/>
                <w:szCs w:val="21"/>
              </w:rPr>
              <w:t>12</w:t>
            </w:r>
          </w:p>
        </w:tc>
      </w:tr>
    </w:tbl>
    <w:p w14:paraId="698CDCBC">
      <w:pPr>
        <w:keepNext w:val="0"/>
        <w:keepLines w:val="0"/>
        <w:pageBreakBefore w:val="0"/>
        <w:widowControl w:val="0"/>
        <w:numPr>
          <w:ilvl w:val="0"/>
          <w:numId w:val="0"/>
        </w:numPr>
        <w:kinsoku/>
        <w:wordWrap/>
        <w:overflowPunct/>
        <w:topLinePunct w:val="0"/>
        <w:autoSpaceDE w:val="0"/>
        <w:autoSpaceDN w:val="0"/>
        <w:bidi w:val="0"/>
        <w:adjustRightInd w:val="0"/>
        <w:snapToGrid/>
        <w:spacing w:line="336" w:lineRule="auto"/>
        <w:jc w:val="left"/>
        <w:textAlignment w:val="auto"/>
        <w:rPr>
          <w:rFonts w:hint="eastAsia" w:ascii="宋体" w:hAnsi="宋体" w:eastAsia="宋体" w:cs="宋体"/>
          <w:b/>
          <w:bCs/>
          <w:color w:val="auto"/>
          <w:sz w:val="24"/>
          <w:szCs w:val="24"/>
          <w:highlight w:val="none"/>
        </w:rPr>
      </w:pPr>
    </w:p>
    <w:p w14:paraId="07EFF6F9">
      <w:pPr>
        <w:keepNext w:val="0"/>
        <w:keepLines w:val="0"/>
        <w:pageBreakBefore w:val="0"/>
        <w:widowControl w:val="0"/>
        <w:numPr>
          <w:ilvl w:val="0"/>
          <w:numId w:val="15"/>
        </w:numPr>
        <w:kinsoku/>
        <w:wordWrap/>
        <w:overflowPunct/>
        <w:topLinePunct w:val="0"/>
        <w:autoSpaceDE w:val="0"/>
        <w:autoSpaceDN w:val="0"/>
        <w:bidi w:val="0"/>
        <w:adjustRightInd w:val="0"/>
        <w:snapToGrid/>
        <w:spacing w:line="336" w:lineRule="auto"/>
        <w:ind w:firstLine="713" w:firstLineChars="29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维保服务主要内容</w:t>
      </w:r>
    </w:p>
    <w:bookmarkEnd w:id="70"/>
    <w:bookmarkEnd w:id="71"/>
    <w:bookmarkEnd w:id="72"/>
    <w:bookmarkEnd w:id="73"/>
    <w:bookmarkEnd w:id="74"/>
    <w:bookmarkEnd w:id="75"/>
    <w:p w14:paraId="75086A0C">
      <w:pPr>
        <w:ind w:firstLine="480" w:firstLineChars="200"/>
        <w:rPr>
          <w:rFonts w:hint="eastAsia" w:ascii="仿宋" w:hAnsi="仿宋" w:eastAsia="仿宋" w:cs="仿宋"/>
          <w:sz w:val="24"/>
        </w:rPr>
      </w:pPr>
      <w:bookmarkStart w:id="76" w:name="_Toc4575"/>
      <w:bookmarkStart w:id="77" w:name="_Toc83283744"/>
      <w:r>
        <w:rPr>
          <w:rFonts w:hint="eastAsia" w:ascii="仿宋" w:hAnsi="仿宋" w:eastAsia="仿宋" w:cs="仿宋"/>
          <w:sz w:val="24"/>
        </w:rPr>
        <w:t>提供现有设备的整机（包括所有相关部件）在服务期内硬件质保服务和软件的维护、配置，所提供的更换配件必须为原厂商认可的产品。在合同期内提供免费保修服务，包括非人为损坏造成的设备故障的免费维修、免费技术咨询、设备软件版本免费升级等服务。具体内容如下：</w:t>
      </w:r>
    </w:p>
    <w:p w14:paraId="391311E9">
      <w:pPr>
        <w:ind w:firstLine="480" w:firstLineChars="200"/>
        <w:rPr>
          <w:rFonts w:hint="eastAsia" w:ascii="仿宋" w:hAnsi="仿宋" w:eastAsia="仿宋" w:cs="仿宋"/>
          <w:sz w:val="24"/>
        </w:rPr>
      </w:pPr>
      <w:r>
        <w:rPr>
          <w:rFonts w:hint="eastAsia" w:ascii="仿宋" w:hAnsi="仿宋" w:eastAsia="仿宋" w:cs="仿宋"/>
          <w:sz w:val="24"/>
        </w:rPr>
        <w:t>提供包括电话和远程技术支持服务、现场技术支持服务两种。</w:t>
      </w:r>
    </w:p>
    <w:p w14:paraId="52C5ED58">
      <w:pPr>
        <w:rPr>
          <w:rFonts w:hint="eastAsia" w:ascii="仿宋" w:hAnsi="仿宋" w:eastAsia="仿宋" w:cs="仿宋"/>
          <w:sz w:val="24"/>
        </w:rPr>
      </w:pPr>
      <w:r>
        <w:rPr>
          <w:rFonts w:hint="eastAsia" w:ascii="仿宋" w:hAnsi="仿宋" w:eastAsia="仿宋" w:cs="仿宋"/>
          <w:sz w:val="24"/>
        </w:rPr>
        <w:t>1）电话支持响应</w:t>
      </w:r>
    </w:p>
    <w:p w14:paraId="1296872B">
      <w:pPr>
        <w:ind w:firstLine="420"/>
        <w:rPr>
          <w:rFonts w:hint="eastAsia" w:ascii="仿宋" w:hAnsi="仿宋" w:eastAsia="仿宋" w:cs="仿宋"/>
          <w:sz w:val="24"/>
        </w:rPr>
      </w:pPr>
      <w:r>
        <w:rPr>
          <w:rFonts w:hint="eastAsia" w:ascii="仿宋" w:hAnsi="仿宋" w:eastAsia="仿宋" w:cs="仿宋"/>
          <w:sz w:val="24"/>
        </w:rPr>
        <w:t>要求提供 7X24 不间断的电话服务支持，不限次。用户方工作人员在使用维保范围内的软硬件设备如遇到问题,无论是软件或硬件,都随时可以从</w:t>
      </w:r>
      <w:r>
        <w:rPr>
          <w:rFonts w:hint="eastAsia" w:ascii="仿宋" w:hAnsi="仿宋" w:eastAsia="仿宋" w:cs="仿宋"/>
          <w:sz w:val="24"/>
          <w:lang w:eastAsia="zh-CN"/>
        </w:rPr>
        <w:t>供应商</w:t>
      </w:r>
      <w:r>
        <w:rPr>
          <w:rFonts w:hint="eastAsia" w:ascii="仿宋" w:hAnsi="仿宋" w:eastAsia="仿宋" w:cs="仿宋"/>
          <w:sz w:val="24"/>
        </w:rPr>
        <w:t>得到电话支持与帮助。</w:t>
      </w:r>
      <w:r>
        <w:rPr>
          <w:rFonts w:hint="eastAsia" w:ascii="仿宋" w:hAnsi="仿宋" w:eastAsia="仿宋" w:cs="仿宋"/>
          <w:sz w:val="24"/>
          <w:lang w:eastAsia="zh-CN"/>
        </w:rPr>
        <w:t>供应商</w:t>
      </w:r>
      <w:r>
        <w:rPr>
          <w:rFonts w:hint="eastAsia" w:ascii="仿宋" w:hAnsi="仿宋" w:eastAsia="仿宋" w:cs="仿宋"/>
          <w:sz w:val="24"/>
        </w:rPr>
        <w:t xml:space="preserve">需指定一名主要联系人及一名替补联系人与用户方联系。一旦接到用户方请求电话, </w:t>
      </w:r>
      <w:r>
        <w:rPr>
          <w:rFonts w:hint="eastAsia" w:ascii="仿宋" w:hAnsi="仿宋" w:eastAsia="仿宋" w:cs="仿宋"/>
          <w:sz w:val="24"/>
          <w:lang w:eastAsia="zh-CN"/>
        </w:rPr>
        <w:t>供应商</w:t>
      </w:r>
      <w:r>
        <w:rPr>
          <w:rFonts w:hint="eastAsia" w:ascii="仿宋" w:hAnsi="仿宋" w:eastAsia="仿宋" w:cs="仿宋"/>
          <w:sz w:val="24"/>
        </w:rPr>
        <w:t>的技术人员将在规定时间内通过电话解决 或回答用户所提出的问题。若</w:t>
      </w:r>
      <w:r>
        <w:rPr>
          <w:rFonts w:hint="eastAsia" w:ascii="仿宋" w:hAnsi="仿宋" w:eastAsia="仿宋" w:cs="仿宋"/>
          <w:sz w:val="24"/>
          <w:lang w:eastAsia="zh-CN"/>
        </w:rPr>
        <w:t>供应商</w:t>
      </w:r>
      <w:r>
        <w:rPr>
          <w:rFonts w:hint="eastAsia" w:ascii="仿宋" w:hAnsi="仿宋" w:eastAsia="仿宋" w:cs="仿宋"/>
          <w:sz w:val="24"/>
        </w:rPr>
        <w:t>指定工程师如果因特殊原因离职或更换电话，及时通知用户方，并指定合格的接替人员。</w:t>
      </w:r>
    </w:p>
    <w:p w14:paraId="418F063A">
      <w:pPr>
        <w:rPr>
          <w:rFonts w:hint="eastAsia" w:ascii="仿宋" w:hAnsi="仿宋" w:eastAsia="仿宋" w:cs="仿宋"/>
          <w:sz w:val="24"/>
        </w:rPr>
      </w:pPr>
      <w:r>
        <w:rPr>
          <w:rFonts w:hint="eastAsia" w:ascii="仿宋" w:hAnsi="仿宋" w:eastAsia="仿宋" w:cs="仿宋"/>
          <w:sz w:val="24"/>
        </w:rPr>
        <w:t xml:space="preserve">2)现场维护响应 </w:t>
      </w:r>
    </w:p>
    <w:p w14:paraId="1C5983A6">
      <w:pPr>
        <w:ind w:firstLine="420"/>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接到用户方故障呼叫后，要及时派相关认证工程师做现场服务，现场服务次数和时间不限。</w:t>
      </w:r>
    </w:p>
    <w:p w14:paraId="32435E3E">
      <w:pPr>
        <w:ind w:firstLine="420"/>
        <w:rPr>
          <w:rFonts w:hint="eastAsia" w:ascii="仿宋" w:hAnsi="仿宋" w:eastAsia="仿宋" w:cs="仿宋"/>
          <w:sz w:val="24"/>
        </w:rPr>
      </w:pPr>
      <w:r>
        <w:rPr>
          <w:rFonts w:hint="eastAsia" w:ascii="仿宋" w:hAnsi="仿宋" w:eastAsia="仿宋" w:cs="仿宋"/>
          <w:sz w:val="24"/>
        </w:rPr>
        <w:t xml:space="preserve">对于严重故障(影响用户方业务正常运作的故障)，应派遣工程师到现场做技术支持。 </w:t>
      </w:r>
    </w:p>
    <w:p w14:paraId="762C79D5">
      <w:pPr>
        <w:ind w:firstLine="420"/>
        <w:rPr>
          <w:rFonts w:hint="eastAsia" w:ascii="仿宋" w:hAnsi="仿宋" w:eastAsia="仿宋" w:cs="仿宋"/>
          <w:sz w:val="24"/>
        </w:rPr>
      </w:pPr>
      <w:r>
        <w:rPr>
          <w:rFonts w:hint="eastAsia" w:ascii="仿宋" w:hAnsi="仿宋" w:eastAsia="仿宋" w:cs="仿宋"/>
          <w:sz w:val="24"/>
        </w:rPr>
        <w:t>响应时间:15分钟以内;</w:t>
      </w:r>
    </w:p>
    <w:p w14:paraId="422F3C6E">
      <w:pPr>
        <w:ind w:firstLine="420"/>
        <w:rPr>
          <w:rFonts w:hint="eastAsia" w:ascii="仿宋" w:hAnsi="仿宋" w:eastAsia="仿宋" w:cs="仿宋"/>
          <w:sz w:val="24"/>
        </w:rPr>
      </w:pPr>
      <w:r>
        <w:rPr>
          <w:rFonts w:hint="eastAsia" w:ascii="仿宋" w:hAnsi="仿宋" w:eastAsia="仿宋" w:cs="仿宋"/>
          <w:sz w:val="24"/>
        </w:rPr>
        <w:t>到场时间:接到故障通知后，2小时内到达现场;</w:t>
      </w:r>
    </w:p>
    <w:p w14:paraId="388DC68A">
      <w:pPr>
        <w:ind w:firstLine="420"/>
        <w:rPr>
          <w:rFonts w:hint="eastAsia" w:ascii="仿宋" w:hAnsi="仿宋" w:eastAsia="仿宋" w:cs="仿宋"/>
          <w:sz w:val="24"/>
        </w:rPr>
      </w:pPr>
      <w:r>
        <w:rPr>
          <w:rFonts w:hint="eastAsia" w:ascii="仿宋" w:hAnsi="仿宋" w:eastAsia="仿宋" w:cs="仿宋"/>
          <w:sz w:val="24"/>
        </w:rPr>
        <w:t xml:space="preserve">修复时间:到达用户现场后，6小时内恢复。 </w:t>
      </w:r>
    </w:p>
    <w:p w14:paraId="38177763">
      <w:pPr>
        <w:ind w:firstLine="420"/>
        <w:rPr>
          <w:rFonts w:hint="eastAsia" w:ascii="仿宋" w:hAnsi="仿宋" w:eastAsia="仿宋" w:cs="仿宋"/>
          <w:sz w:val="24"/>
        </w:rPr>
      </w:pPr>
      <w:r>
        <w:rPr>
          <w:rFonts w:hint="eastAsia" w:ascii="仿宋" w:hAnsi="仿宋" w:eastAsia="仿宋" w:cs="仿宋"/>
          <w:sz w:val="24"/>
        </w:rPr>
        <w:t>对于一般性故障(不影响用户方业务正常运作的故障)，应派遣工程师到现场做技术支持。</w:t>
      </w:r>
    </w:p>
    <w:p w14:paraId="2C8B7B80">
      <w:pPr>
        <w:ind w:firstLine="420"/>
        <w:rPr>
          <w:rFonts w:hint="eastAsia" w:ascii="仿宋" w:hAnsi="仿宋" w:eastAsia="仿宋" w:cs="仿宋"/>
          <w:sz w:val="24"/>
        </w:rPr>
      </w:pPr>
      <w:r>
        <w:rPr>
          <w:rFonts w:hint="eastAsia" w:ascii="仿宋" w:hAnsi="仿宋" w:eastAsia="仿宋" w:cs="仿宋"/>
          <w:sz w:val="24"/>
        </w:rPr>
        <w:t>响应时间:15分钟以内; </w:t>
      </w:r>
    </w:p>
    <w:p w14:paraId="67E2DDBB">
      <w:pPr>
        <w:ind w:firstLine="420"/>
        <w:rPr>
          <w:rFonts w:hint="eastAsia" w:ascii="仿宋" w:hAnsi="仿宋" w:eastAsia="仿宋" w:cs="仿宋"/>
          <w:sz w:val="24"/>
        </w:rPr>
      </w:pPr>
      <w:r>
        <w:rPr>
          <w:rFonts w:hint="eastAsia" w:ascii="仿宋" w:hAnsi="仿宋" w:eastAsia="仿宋" w:cs="仿宋"/>
          <w:sz w:val="24"/>
        </w:rPr>
        <w:t xml:space="preserve">到场时间:接到故障通知后，12小时内到达现场。 </w:t>
      </w:r>
    </w:p>
    <w:p w14:paraId="648A52AF">
      <w:pPr>
        <w:ind w:firstLine="420"/>
        <w:rPr>
          <w:rFonts w:hint="eastAsia" w:ascii="仿宋" w:hAnsi="仿宋" w:eastAsia="仿宋" w:cs="仿宋"/>
          <w:sz w:val="24"/>
        </w:rPr>
      </w:pPr>
      <w:r>
        <w:rPr>
          <w:rFonts w:hint="eastAsia" w:ascii="仿宋" w:hAnsi="仿宋" w:eastAsia="仿宋" w:cs="仿宋"/>
          <w:sz w:val="24"/>
        </w:rPr>
        <w:t>修复时间:到达用户现场后，12小时内恢复。</w:t>
      </w:r>
    </w:p>
    <w:p w14:paraId="4C6EE727">
      <w:pPr>
        <w:numPr>
          <w:ilvl w:val="0"/>
          <w:numId w:val="15"/>
        </w:numPr>
        <w:spacing w:line="360" w:lineRule="auto"/>
        <w:rPr>
          <w:rFonts w:hint="eastAsia" w:ascii="仿宋" w:hAnsi="仿宋" w:eastAsia="仿宋" w:cs="仿宋"/>
          <w:b/>
          <w:sz w:val="24"/>
        </w:rPr>
      </w:pPr>
      <w:r>
        <w:rPr>
          <w:rFonts w:hint="eastAsia" w:ascii="仿宋" w:hAnsi="仿宋" w:eastAsia="仿宋" w:cs="仿宋"/>
          <w:b/>
          <w:sz w:val="24"/>
        </w:rPr>
        <w:t>巡检服务</w:t>
      </w:r>
    </w:p>
    <w:p w14:paraId="49ECBF03">
      <w:pPr>
        <w:ind w:firstLine="480" w:firstLineChars="200"/>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每季度安排技术工程师到上虞市场监督管理局机房现场进行软硬件系统的全面巡检服务，提供详细巡检报告，并给出优化调整建议。 </w:t>
      </w:r>
    </w:p>
    <w:p w14:paraId="5F3584B1">
      <w:pPr>
        <w:ind w:firstLine="480" w:firstLineChars="200"/>
        <w:rPr>
          <w:rFonts w:hint="eastAsia" w:ascii="仿宋" w:hAnsi="仿宋" w:eastAsia="仿宋" w:cs="仿宋"/>
          <w:sz w:val="24"/>
        </w:rPr>
      </w:pPr>
      <w:r>
        <w:rPr>
          <w:rFonts w:hint="eastAsia" w:ascii="仿宋" w:hAnsi="仿宋" w:eastAsia="仿宋" w:cs="仿宋"/>
          <w:sz w:val="24"/>
        </w:rPr>
        <w:t xml:space="preserve">巡检内容主要包括: </w:t>
      </w:r>
    </w:p>
    <w:p w14:paraId="5577E295">
      <w:pPr>
        <w:ind w:firstLine="28"/>
        <w:rPr>
          <w:rFonts w:hint="eastAsia" w:ascii="仿宋" w:hAnsi="仿宋" w:eastAsia="仿宋" w:cs="仿宋"/>
          <w:sz w:val="24"/>
        </w:rPr>
      </w:pPr>
      <w:r>
        <w:rPr>
          <w:rFonts w:hint="eastAsia" w:ascii="仿宋" w:hAnsi="仿宋" w:eastAsia="仿宋" w:cs="仿宋"/>
          <w:sz w:val="24"/>
        </w:rPr>
        <w:t>1) PC服务器、存储、网络设备及其他软硬件的运行状况，及时发现各种隐患，并做出相应处理。</w:t>
      </w:r>
    </w:p>
    <w:p w14:paraId="69FEF932">
      <w:pPr>
        <w:ind w:firstLine="28"/>
        <w:rPr>
          <w:rFonts w:hint="eastAsia" w:ascii="仿宋" w:hAnsi="仿宋" w:eastAsia="仿宋" w:cs="仿宋"/>
          <w:sz w:val="24"/>
        </w:rPr>
      </w:pPr>
      <w:r>
        <w:rPr>
          <w:rFonts w:hint="eastAsia" w:ascii="仿宋" w:hAnsi="仿宋" w:eastAsia="仿宋" w:cs="仿宋"/>
          <w:sz w:val="24"/>
        </w:rPr>
        <w:t>2)提供软硬件系统存在的问题报告及其解决方案，提出系统整体架构及技术改进建议。</w:t>
      </w:r>
    </w:p>
    <w:p w14:paraId="34485C38">
      <w:pPr>
        <w:ind w:firstLine="28"/>
        <w:rPr>
          <w:rFonts w:hint="eastAsia" w:ascii="仿宋" w:hAnsi="仿宋" w:eastAsia="仿宋" w:cs="仿宋"/>
          <w:sz w:val="24"/>
        </w:rPr>
      </w:pPr>
      <w:r>
        <w:rPr>
          <w:rFonts w:hint="eastAsia" w:ascii="仿宋" w:hAnsi="仿宋" w:eastAsia="仿宋" w:cs="仿宋"/>
          <w:sz w:val="24"/>
        </w:rPr>
        <w:t>3)检查网络及安全设备运行状况，监测网络流量和可用性，及时发现系统的各种报警信息及网络不安全因素，提出相应的解决方案。</w:t>
      </w:r>
    </w:p>
    <w:p w14:paraId="3C027CEF">
      <w:pPr>
        <w:ind w:firstLine="28"/>
        <w:rPr>
          <w:rFonts w:hint="eastAsia" w:ascii="仿宋" w:hAnsi="仿宋" w:eastAsia="仿宋" w:cs="仿宋"/>
          <w:sz w:val="24"/>
        </w:rPr>
      </w:pPr>
      <w:r>
        <w:rPr>
          <w:rFonts w:hint="eastAsia" w:ascii="仿宋" w:hAnsi="仿宋" w:eastAsia="仿宋" w:cs="仿宋"/>
          <w:sz w:val="24"/>
        </w:rPr>
        <w:t>4)对机房环境、温度、湿度等各方面进行检查，排除隐患。</w:t>
      </w:r>
    </w:p>
    <w:p w14:paraId="66BA240E">
      <w:pPr>
        <w:numPr>
          <w:ilvl w:val="0"/>
          <w:numId w:val="15"/>
        </w:numPr>
        <w:spacing w:line="360" w:lineRule="auto"/>
        <w:rPr>
          <w:rFonts w:hint="eastAsia" w:ascii="仿宋" w:hAnsi="仿宋" w:eastAsia="仿宋" w:cs="仿宋"/>
          <w:b/>
          <w:sz w:val="24"/>
        </w:rPr>
      </w:pPr>
      <w:r>
        <w:rPr>
          <w:rFonts w:hint="eastAsia" w:ascii="仿宋" w:hAnsi="仿宋" w:eastAsia="仿宋" w:cs="仿宋"/>
          <w:b/>
          <w:sz w:val="24"/>
        </w:rPr>
        <w:t>虚拟化服务</w:t>
      </w:r>
    </w:p>
    <w:p w14:paraId="266AF876">
      <w:pPr>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提供：</w:t>
      </w:r>
    </w:p>
    <w:p w14:paraId="78773CDA">
      <w:pPr>
        <w:ind w:firstLine="26" w:firstLineChars="11"/>
        <w:rPr>
          <w:rFonts w:hint="eastAsia" w:ascii="仿宋" w:hAnsi="仿宋" w:eastAsia="仿宋" w:cs="仿宋"/>
          <w:sz w:val="24"/>
        </w:rPr>
      </w:pPr>
      <w:r>
        <w:rPr>
          <w:rFonts w:hint="eastAsia" w:ascii="仿宋" w:hAnsi="仿宋" w:eastAsia="仿宋" w:cs="仿宋"/>
          <w:sz w:val="24"/>
        </w:rPr>
        <w:t>1）常规健康巡检服务：提供维护的设备定期（1年4次）常规健康巡检服务，包括虚拟化系统运行状态和日志分析，处理巡检中发现的问题，提供系统健康检查报告和运维维护建议。</w:t>
      </w:r>
    </w:p>
    <w:p w14:paraId="3BF1D2E9">
      <w:pPr>
        <w:ind w:firstLine="26" w:firstLineChars="11"/>
        <w:rPr>
          <w:rFonts w:hint="eastAsia" w:ascii="仿宋" w:hAnsi="仿宋" w:eastAsia="仿宋" w:cs="仿宋"/>
          <w:sz w:val="24"/>
        </w:rPr>
      </w:pPr>
      <w:r>
        <w:rPr>
          <w:rFonts w:hint="eastAsia" w:ascii="仿宋" w:hAnsi="仿宋" w:eastAsia="仿宋" w:cs="仿宋"/>
          <w:sz w:val="24"/>
        </w:rPr>
        <w:t>2）虚拟化系统现场服务：包括集群和基础功能模块中系统中日常的故障、配置、调试、调整、保障、配合变更架构、临时迁移等现场或远程技术支持工作。</w:t>
      </w:r>
    </w:p>
    <w:p w14:paraId="410F96EA">
      <w:pPr>
        <w:rPr>
          <w:rFonts w:hint="eastAsia" w:ascii="仿宋" w:hAnsi="仿宋" w:eastAsia="仿宋" w:cs="仿宋"/>
          <w:sz w:val="24"/>
        </w:rPr>
      </w:pPr>
      <w:r>
        <w:rPr>
          <w:rFonts w:hint="eastAsia" w:ascii="仿宋" w:hAnsi="仿宋" w:eastAsia="仿宋" w:cs="仿宋"/>
          <w:sz w:val="24"/>
        </w:rPr>
        <w:t>3）虚拟化系统建档服务：包括虚拟化系统基本信息建档。</w:t>
      </w:r>
    </w:p>
    <w:p w14:paraId="536E8FBF">
      <w:pPr>
        <w:numPr>
          <w:ilvl w:val="0"/>
          <w:numId w:val="15"/>
        </w:numPr>
        <w:spacing w:line="360" w:lineRule="auto"/>
        <w:rPr>
          <w:rFonts w:hint="eastAsia" w:ascii="仿宋" w:hAnsi="仿宋" w:eastAsia="仿宋" w:cs="仿宋"/>
          <w:b/>
          <w:sz w:val="24"/>
        </w:rPr>
      </w:pPr>
      <w:r>
        <w:rPr>
          <w:rFonts w:hint="eastAsia" w:ascii="仿宋" w:hAnsi="仿宋" w:eastAsia="仿宋" w:cs="仿宋"/>
          <w:b/>
          <w:sz w:val="24"/>
        </w:rPr>
        <w:t>备份服务</w:t>
      </w:r>
    </w:p>
    <w:p w14:paraId="50BDF43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备份系统健康评估:在首次巡检完毕后，对备份系统的备份任务调度，备份任务完成情况，备份时间窗设置，备份设备等进行整体评估，并给出优化建议。 </w:t>
      </w:r>
    </w:p>
    <w:p w14:paraId="19C5DA2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rPr>
      </w:pPr>
      <w:r>
        <w:rPr>
          <w:rFonts w:hint="eastAsia" w:ascii="仿宋" w:hAnsi="仿宋" w:eastAsia="仿宋" w:cs="仿宋"/>
          <w:sz w:val="24"/>
        </w:rPr>
        <w:t>备份系统常规检查:每季度一次对备份系统进行审核，若发生备份异常则在第一时间进行处理，保证备份任务恢复正常。 备份有效性审核:在每年定期进行备份的恢复测试，时间间隔暂定一年一次。确保备份数据可以有效地恢复应用，保证连续性。</w:t>
      </w:r>
    </w:p>
    <w:p w14:paraId="34B045C9">
      <w:pPr>
        <w:numPr>
          <w:ilvl w:val="0"/>
          <w:numId w:val="15"/>
        </w:numPr>
        <w:spacing w:line="360" w:lineRule="auto"/>
        <w:rPr>
          <w:rFonts w:hint="eastAsia" w:ascii="仿宋" w:hAnsi="仿宋" w:eastAsia="仿宋" w:cs="仿宋"/>
          <w:b/>
          <w:sz w:val="24"/>
        </w:rPr>
      </w:pPr>
      <w:r>
        <w:rPr>
          <w:rFonts w:hint="eastAsia" w:ascii="仿宋" w:hAnsi="仿宋" w:eastAsia="仿宋" w:cs="仿宋"/>
          <w:b/>
          <w:sz w:val="24"/>
        </w:rPr>
        <w:t>数据库服务</w:t>
      </w:r>
    </w:p>
    <w:p w14:paraId="58B37683">
      <w:pPr>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供应商</w:t>
      </w:r>
      <w:r>
        <w:rPr>
          <w:rFonts w:hint="eastAsia" w:ascii="仿宋" w:hAnsi="仿宋" w:eastAsia="仿宋" w:cs="仿宋"/>
          <w:sz w:val="24"/>
        </w:rPr>
        <w:t xml:space="preserve">须指定具有OCM证书的技术人员,针对Oracle数据库提供数据库健康巡检服务、数据库性能分析和优化服务、恢复和灾难挽救服务、数据库咨询服务。 </w:t>
      </w:r>
    </w:p>
    <w:p w14:paraId="1486631B">
      <w:pPr>
        <w:rPr>
          <w:rFonts w:hint="eastAsia" w:ascii="仿宋" w:hAnsi="仿宋" w:eastAsia="仿宋" w:cs="仿宋"/>
          <w:sz w:val="24"/>
        </w:rPr>
      </w:pPr>
      <w:r>
        <w:rPr>
          <w:rFonts w:hint="eastAsia" w:ascii="仿宋" w:hAnsi="仿宋" w:eastAsia="仿宋" w:cs="仿宋"/>
          <w:sz w:val="24"/>
        </w:rPr>
        <w:t>日常检查至少包括以下内容：</w:t>
      </w:r>
    </w:p>
    <w:p w14:paraId="27789BCA">
      <w:pPr>
        <w:numPr>
          <w:ilvl w:val="0"/>
          <w:numId w:val="16"/>
        </w:numPr>
        <w:spacing w:line="360" w:lineRule="auto"/>
        <w:ind w:left="150" w:leftChars="66" w:hanging="11"/>
        <w:rPr>
          <w:rFonts w:hint="eastAsia" w:ascii="仿宋" w:hAnsi="仿宋" w:eastAsia="仿宋" w:cs="仿宋"/>
          <w:sz w:val="24"/>
        </w:rPr>
      </w:pPr>
      <w:r>
        <w:rPr>
          <w:rFonts w:hint="eastAsia" w:ascii="仿宋" w:hAnsi="仿宋" w:eastAsia="仿宋" w:cs="仿宋"/>
          <w:sz w:val="24"/>
        </w:rPr>
        <w:t>检查相关软硬件、数据库配置和SGA、PGA的配置情况；</w:t>
      </w:r>
    </w:p>
    <w:p w14:paraId="0D800C2C">
      <w:pPr>
        <w:keepNext w:val="0"/>
        <w:keepLines w:val="0"/>
        <w:pageBreakBefore w:val="0"/>
        <w:widowControl w:val="0"/>
        <w:numPr>
          <w:ilvl w:val="0"/>
          <w:numId w:val="16"/>
        </w:numPr>
        <w:kinsoku/>
        <w:wordWrap/>
        <w:overflowPunct/>
        <w:topLinePunct w:val="0"/>
        <w:bidi w:val="0"/>
        <w:snapToGrid/>
        <w:spacing w:line="312" w:lineRule="auto"/>
        <w:ind w:left="150" w:leftChars="66" w:hanging="11"/>
        <w:textAlignment w:val="auto"/>
        <w:rPr>
          <w:rFonts w:hint="eastAsia" w:ascii="仿宋" w:hAnsi="仿宋" w:eastAsia="仿宋" w:cs="仿宋"/>
          <w:sz w:val="24"/>
        </w:rPr>
      </w:pPr>
      <w:r>
        <w:rPr>
          <w:rFonts w:hint="eastAsia" w:ascii="仿宋" w:hAnsi="仿宋" w:eastAsia="仿宋" w:cs="仿宋"/>
          <w:sz w:val="24"/>
        </w:rPr>
        <w:t>检查数据库、备份结果集、各表空间的变化情况等，并对数据变化情况作评估；</w:t>
      </w:r>
    </w:p>
    <w:p w14:paraId="20FDDF1D">
      <w:pPr>
        <w:keepNext w:val="0"/>
        <w:keepLines w:val="0"/>
        <w:pageBreakBefore w:val="0"/>
        <w:widowControl w:val="0"/>
        <w:numPr>
          <w:ilvl w:val="0"/>
          <w:numId w:val="16"/>
        </w:numPr>
        <w:kinsoku/>
        <w:wordWrap/>
        <w:overflowPunct/>
        <w:topLinePunct w:val="0"/>
        <w:bidi w:val="0"/>
        <w:snapToGrid/>
        <w:spacing w:line="312" w:lineRule="auto"/>
        <w:ind w:left="150" w:leftChars="66" w:hanging="11"/>
        <w:textAlignment w:val="auto"/>
        <w:rPr>
          <w:rFonts w:hint="eastAsia" w:ascii="仿宋" w:hAnsi="仿宋" w:eastAsia="仿宋" w:cs="仿宋"/>
          <w:sz w:val="24"/>
        </w:rPr>
      </w:pPr>
      <w:r>
        <w:rPr>
          <w:rFonts w:hint="eastAsia" w:ascii="仿宋" w:hAnsi="仿宋" w:eastAsia="仿宋" w:cs="仿宋"/>
          <w:sz w:val="24"/>
        </w:rPr>
        <w:t>统计当前表空间、文件系统和数据文件的使用情况；</w:t>
      </w:r>
    </w:p>
    <w:p w14:paraId="47EA57D4">
      <w:pPr>
        <w:keepNext w:val="0"/>
        <w:keepLines w:val="0"/>
        <w:pageBreakBefore w:val="0"/>
        <w:widowControl w:val="0"/>
        <w:numPr>
          <w:ilvl w:val="0"/>
          <w:numId w:val="16"/>
        </w:numPr>
        <w:kinsoku/>
        <w:wordWrap/>
        <w:overflowPunct/>
        <w:topLinePunct w:val="0"/>
        <w:bidi w:val="0"/>
        <w:snapToGrid/>
        <w:spacing w:line="312" w:lineRule="auto"/>
        <w:ind w:left="150" w:leftChars="66" w:hanging="11"/>
        <w:textAlignment w:val="auto"/>
        <w:rPr>
          <w:rFonts w:hint="eastAsia" w:ascii="仿宋" w:hAnsi="仿宋" w:eastAsia="仿宋" w:cs="仿宋"/>
          <w:sz w:val="24"/>
        </w:rPr>
      </w:pPr>
      <w:r>
        <w:rPr>
          <w:rFonts w:hint="eastAsia" w:ascii="仿宋" w:hAnsi="仿宋" w:eastAsia="仿宋" w:cs="仿宋"/>
          <w:sz w:val="24"/>
        </w:rPr>
        <w:t>检查数据库alert.log日志文件和相关trace文件；</w:t>
      </w:r>
    </w:p>
    <w:p w14:paraId="29E23A57">
      <w:pPr>
        <w:keepNext w:val="0"/>
        <w:keepLines w:val="0"/>
        <w:pageBreakBefore w:val="0"/>
        <w:widowControl w:val="0"/>
        <w:numPr>
          <w:ilvl w:val="0"/>
          <w:numId w:val="16"/>
        </w:numPr>
        <w:kinsoku/>
        <w:wordWrap/>
        <w:overflowPunct/>
        <w:topLinePunct w:val="0"/>
        <w:bidi w:val="0"/>
        <w:snapToGrid/>
        <w:spacing w:line="312" w:lineRule="auto"/>
        <w:ind w:left="150" w:leftChars="66" w:hanging="11"/>
        <w:textAlignment w:val="auto"/>
        <w:rPr>
          <w:rFonts w:hint="eastAsia" w:ascii="仿宋" w:hAnsi="仿宋" w:eastAsia="仿宋" w:cs="仿宋"/>
          <w:sz w:val="24"/>
        </w:rPr>
      </w:pPr>
      <w:r>
        <w:rPr>
          <w:rFonts w:hint="eastAsia" w:ascii="仿宋" w:hAnsi="仿宋" w:eastAsia="仿宋" w:cs="仿宋"/>
          <w:sz w:val="24"/>
        </w:rPr>
        <w:t>检查操作系统用户、数据库用户、系统本身的安全性；</w:t>
      </w:r>
    </w:p>
    <w:p w14:paraId="7FF4DF37">
      <w:pPr>
        <w:keepNext w:val="0"/>
        <w:keepLines w:val="0"/>
        <w:pageBreakBefore w:val="0"/>
        <w:widowControl w:val="0"/>
        <w:numPr>
          <w:ilvl w:val="0"/>
          <w:numId w:val="16"/>
        </w:numPr>
        <w:kinsoku/>
        <w:wordWrap/>
        <w:overflowPunct/>
        <w:topLinePunct w:val="0"/>
        <w:bidi w:val="0"/>
        <w:snapToGrid/>
        <w:spacing w:line="312" w:lineRule="auto"/>
        <w:ind w:left="150" w:leftChars="66" w:hanging="11"/>
        <w:textAlignment w:val="auto"/>
        <w:rPr>
          <w:rFonts w:hint="eastAsia" w:ascii="仿宋" w:hAnsi="仿宋" w:eastAsia="仿宋" w:cs="仿宋"/>
          <w:sz w:val="24"/>
        </w:rPr>
      </w:pPr>
      <w:r>
        <w:rPr>
          <w:rFonts w:hint="eastAsia" w:ascii="仿宋" w:hAnsi="仿宋" w:eastAsia="仿宋" w:cs="仿宋"/>
          <w:sz w:val="24"/>
        </w:rPr>
        <w:t>收集数据库运行期间的负载情况和Instance各性能指标；</w:t>
      </w:r>
    </w:p>
    <w:p w14:paraId="203BE9DA">
      <w:pPr>
        <w:keepNext w:val="0"/>
        <w:keepLines w:val="0"/>
        <w:pageBreakBefore w:val="0"/>
        <w:widowControl w:val="0"/>
        <w:numPr>
          <w:ilvl w:val="0"/>
          <w:numId w:val="16"/>
        </w:numPr>
        <w:kinsoku/>
        <w:wordWrap/>
        <w:overflowPunct/>
        <w:topLinePunct w:val="0"/>
        <w:bidi w:val="0"/>
        <w:snapToGrid/>
        <w:spacing w:line="312" w:lineRule="auto"/>
        <w:ind w:left="150" w:leftChars="66" w:hanging="11"/>
        <w:textAlignment w:val="auto"/>
        <w:rPr>
          <w:rFonts w:hint="eastAsia" w:ascii="仿宋" w:hAnsi="仿宋" w:eastAsia="仿宋" w:cs="仿宋"/>
          <w:sz w:val="24"/>
        </w:rPr>
      </w:pPr>
      <w:r>
        <w:rPr>
          <w:rFonts w:hint="eastAsia" w:ascii="仿宋" w:hAnsi="仿宋" w:eastAsia="仿宋" w:cs="仿宋"/>
          <w:sz w:val="24"/>
        </w:rPr>
        <w:t>检查数据库备份是否正常；</w:t>
      </w:r>
    </w:p>
    <w:p w14:paraId="6C1C57BB">
      <w:pPr>
        <w:keepNext w:val="0"/>
        <w:keepLines w:val="0"/>
        <w:pageBreakBefore w:val="0"/>
        <w:widowControl w:val="0"/>
        <w:kinsoku/>
        <w:wordWrap/>
        <w:overflowPunct/>
        <w:topLinePunct w:val="0"/>
        <w:bidi w:val="0"/>
        <w:snapToGrid/>
        <w:spacing w:line="312" w:lineRule="auto"/>
        <w:textAlignment w:val="auto"/>
        <w:rPr>
          <w:rFonts w:hint="eastAsia" w:ascii="仿宋" w:hAnsi="仿宋" w:eastAsia="仿宋" w:cs="仿宋"/>
          <w:sz w:val="24"/>
        </w:rPr>
      </w:pPr>
      <w:r>
        <w:rPr>
          <w:rFonts w:hint="eastAsia" w:ascii="仿宋" w:hAnsi="仿宋" w:eastAsia="仿宋" w:cs="仿宋"/>
          <w:sz w:val="24"/>
        </w:rPr>
        <w:t>OCM人员必须是中标单位正式人员，签订合同工钱提供至少三个月社保证明。</w:t>
      </w:r>
    </w:p>
    <w:p w14:paraId="714C3645">
      <w:pPr>
        <w:keepNext w:val="0"/>
        <w:keepLines w:val="0"/>
        <w:pageBreakBefore w:val="0"/>
        <w:widowControl w:val="0"/>
        <w:numPr>
          <w:ilvl w:val="0"/>
          <w:numId w:val="15"/>
        </w:numPr>
        <w:kinsoku/>
        <w:wordWrap/>
        <w:overflowPunct/>
        <w:topLinePunct w:val="0"/>
        <w:bidi w:val="0"/>
        <w:snapToGrid/>
        <w:spacing w:line="312" w:lineRule="auto"/>
        <w:textAlignment w:val="auto"/>
        <w:rPr>
          <w:rFonts w:hint="eastAsia" w:ascii="仿宋" w:hAnsi="仿宋" w:eastAsia="仿宋" w:cs="仿宋"/>
          <w:b/>
          <w:sz w:val="24"/>
        </w:rPr>
      </w:pPr>
      <w:r>
        <w:rPr>
          <w:rFonts w:hint="eastAsia" w:ascii="仿宋" w:hAnsi="仿宋" w:eastAsia="仿宋" w:cs="仿宋"/>
          <w:b/>
          <w:sz w:val="24"/>
        </w:rPr>
        <w:t>安全服务</w:t>
      </w:r>
    </w:p>
    <w:p w14:paraId="080190E6">
      <w:pPr>
        <w:keepNext w:val="0"/>
        <w:keepLines w:val="0"/>
        <w:pageBreakBefore w:val="0"/>
        <w:widowControl w:val="0"/>
        <w:kinsoku/>
        <w:wordWrap/>
        <w:overflowPunct/>
        <w:topLinePunct w:val="0"/>
        <w:bidi w:val="0"/>
        <w:snapToGrid/>
        <w:spacing w:line="312" w:lineRule="auto"/>
        <w:textAlignment w:val="auto"/>
        <w:rPr>
          <w:rFonts w:hint="eastAsia" w:ascii="仿宋" w:hAnsi="仿宋" w:eastAsia="仿宋" w:cs="仿宋"/>
          <w:b/>
          <w:sz w:val="24"/>
        </w:rPr>
      </w:pPr>
      <w:r>
        <w:rPr>
          <w:rFonts w:hint="eastAsia" w:ascii="仿宋" w:hAnsi="仿宋" w:eastAsia="仿宋" w:cs="仿宋"/>
          <w:b/>
          <w:sz w:val="24"/>
        </w:rPr>
        <w:t>1、渗透测试服务</w:t>
      </w:r>
    </w:p>
    <w:p w14:paraId="35561C22">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仿宋" w:hAnsi="仿宋" w:eastAsia="仿宋" w:cs="仿宋"/>
          <w:sz w:val="24"/>
        </w:rPr>
      </w:pPr>
      <w:r>
        <w:rPr>
          <w:rFonts w:hint="eastAsia" w:ascii="仿宋" w:hAnsi="仿宋" w:eastAsia="仿宋" w:cs="仿宋"/>
          <w:sz w:val="24"/>
        </w:rPr>
        <w:t>通过模拟黑客使用的工具、分析方法对站点进行模拟攻击测试。由高级工程师进行深入的人工测试和分析，识别工具弱点扫描无法发现的问题。主要分析内容包括逻辑缺陷、上传绕过、输入输出校验绕过、数据篡改、功能绕过、异常错误等以及其他专项内容测试与分析，并输出渗透测试报告及修复建议。</w:t>
      </w:r>
    </w:p>
    <w:p w14:paraId="21C0A725">
      <w:pPr>
        <w:keepNext w:val="0"/>
        <w:keepLines w:val="0"/>
        <w:pageBreakBefore w:val="0"/>
        <w:widowControl w:val="0"/>
        <w:kinsoku/>
        <w:wordWrap/>
        <w:overflowPunct/>
        <w:topLinePunct w:val="0"/>
        <w:bidi w:val="0"/>
        <w:snapToGrid/>
        <w:spacing w:line="312" w:lineRule="auto"/>
        <w:textAlignment w:val="auto"/>
        <w:rPr>
          <w:rFonts w:hint="eastAsia" w:ascii="仿宋" w:hAnsi="仿宋" w:eastAsia="仿宋" w:cs="仿宋"/>
          <w:sz w:val="24"/>
        </w:rPr>
      </w:pPr>
      <w:r>
        <w:rPr>
          <w:rFonts w:hint="eastAsia" w:ascii="仿宋" w:hAnsi="仿宋" w:eastAsia="仿宋" w:cs="仿宋"/>
          <w:sz w:val="24"/>
        </w:rPr>
        <w:t>服务频率：1年1次</w:t>
      </w:r>
    </w:p>
    <w:p w14:paraId="0BEC41B7">
      <w:pPr>
        <w:keepNext w:val="0"/>
        <w:keepLines w:val="0"/>
        <w:pageBreakBefore w:val="0"/>
        <w:widowControl w:val="0"/>
        <w:kinsoku/>
        <w:wordWrap/>
        <w:overflowPunct/>
        <w:topLinePunct w:val="0"/>
        <w:bidi w:val="0"/>
        <w:snapToGrid/>
        <w:spacing w:line="312" w:lineRule="auto"/>
        <w:textAlignment w:val="auto"/>
        <w:rPr>
          <w:rFonts w:hint="eastAsia" w:ascii="仿宋" w:hAnsi="仿宋" w:eastAsia="仿宋" w:cs="仿宋"/>
          <w:b/>
          <w:sz w:val="24"/>
        </w:rPr>
      </w:pPr>
      <w:r>
        <w:rPr>
          <w:rFonts w:hint="eastAsia" w:ascii="仿宋" w:hAnsi="仿宋" w:eastAsia="仿宋" w:cs="仿宋"/>
          <w:b/>
          <w:sz w:val="24"/>
        </w:rPr>
        <w:t>2、漏洞扫描服务</w:t>
      </w:r>
    </w:p>
    <w:p w14:paraId="0FD24B29">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仿宋" w:hAnsi="仿宋" w:eastAsia="仿宋" w:cs="仿宋"/>
          <w:sz w:val="24"/>
        </w:rPr>
      </w:pPr>
      <w:r>
        <w:rPr>
          <w:rFonts w:hint="eastAsia" w:ascii="仿宋" w:hAnsi="仿宋" w:eastAsia="仿宋" w:cs="仿宋"/>
          <w:sz w:val="24"/>
        </w:rPr>
        <w:t>利用专业漏洞扫描工具，对网络设备、安全设备、操作系统、应用中间件、web应用系统、数据库等进行系统脆弱性扫描分析，对扫描结果进行分析整理，协助开发人员进行整改。同时提供系统补丁修复服务，</w:t>
      </w:r>
    </w:p>
    <w:p w14:paraId="3D85ADEB">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仿宋" w:hAnsi="仿宋" w:eastAsia="仿宋" w:cs="仿宋"/>
          <w:sz w:val="24"/>
        </w:rPr>
      </w:pPr>
      <w:r>
        <w:rPr>
          <w:rFonts w:hint="eastAsia" w:ascii="仿宋" w:hAnsi="仿宋" w:eastAsia="仿宋" w:cs="仿宋"/>
          <w:sz w:val="24"/>
        </w:rPr>
        <w:t>漏洞扫描频率：1年4次。</w:t>
      </w:r>
    </w:p>
    <w:p w14:paraId="7C4B5780">
      <w:pPr>
        <w:keepNext w:val="0"/>
        <w:keepLines w:val="0"/>
        <w:pageBreakBefore w:val="0"/>
        <w:widowControl w:val="0"/>
        <w:kinsoku/>
        <w:wordWrap/>
        <w:overflowPunct/>
        <w:topLinePunct w:val="0"/>
        <w:bidi w:val="0"/>
        <w:snapToGrid/>
        <w:spacing w:line="312" w:lineRule="auto"/>
        <w:textAlignment w:val="auto"/>
        <w:rPr>
          <w:rFonts w:hint="eastAsia" w:ascii="仿宋" w:hAnsi="仿宋" w:eastAsia="仿宋" w:cs="仿宋"/>
          <w:b/>
          <w:sz w:val="24"/>
        </w:rPr>
      </w:pPr>
      <w:r>
        <w:rPr>
          <w:rFonts w:hint="eastAsia" w:ascii="仿宋" w:hAnsi="仿宋" w:eastAsia="仿宋" w:cs="仿宋"/>
          <w:b/>
          <w:sz w:val="24"/>
        </w:rPr>
        <w:t>3、应急响应服务</w:t>
      </w:r>
    </w:p>
    <w:p w14:paraId="0FB8D0C1">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仿宋" w:hAnsi="仿宋" w:eastAsia="仿宋" w:cs="仿宋"/>
          <w:sz w:val="24"/>
        </w:rPr>
      </w:pPr>
      <w:r>
        <w:rPr>
          <w:rFonts w:hint="eastAsia" w:ascii="仿宋" w:hAnsi="仿宋" w:eastAsia="仿宋" w:cs="仿宋"/>
          <w:sz w:val="24"/>
        </w:rPr>
        <w:t>针对客户方信息系统出现信息安全风险、恶意攻击、入侵等威胁时，能在规定时间内快速到达现场及时提供信息安全应急响应服务，协助客户查找风险来源及事件追溯，确定威胁过程，提供系统恢复方案，并协助进行修复加固。</w:t>
      </w:r>
    </w:p>
    <w:p w14:paraId="36F6B40A">
      <w:pPr>
        <w:keepNext w:val="0"/>
        <w:keepLines w:val="0"/>
        <w:pageBreakBefore w:val="0"/>
        <w:widowControl w:val="0"/>
        <w:tabs>
          <w:tab w:val="left" w:pos="8280"/>
        </w:tabs>
        <w:kinsoku/>
        <w:wordWrap/>
        <w:overflowPunct/>
        <w:topLinePunct w:val="0"/>
        <w:autoSpaceDE w:val="0"/>
        <w:autoSpaceDN w:val="0"/>
        <w:bidi w:val="0"/>
        <w:adjustRightInd w:val="0"/>
        <w:snapToGrid/>
        <w:spacing w:line="312" w:lineRule="auto"/>
        <w:ind w:right="23" w:firstLine="480" w:firstLineChars="200"/>
        <w:textAlignment w:val="auto"/>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针对用户方在重大节假日、重大会议期间、护网行动时期，提供技术人员现场驻场保障服务，保障用户方信息系统安全。</w:t>
      </w:r>
    </w:p>
    <w:p w14:paraId="480379ED">
      <w:pPr>
        <w:keepNext w:val="0"/>
        <w:keepLines w:val="0"/>
        <w:pageBreakBefore w:val="0"/>
        <w:widowControl w:val="0"/>
        <w:kinsoku/>
        <w:wordWrap/>
        <w:overflowPunct/>
        <w:topLinePunct w:val="0"/>
        <w:bidi w:val="0"/>
        <w:snapToGrid/>
        <w:spacing w:line="312" w:lineRule="auto"/>
        <w:textAlignment w:val="auto"/>
        <w:rPr>
          <w:rFonts w:hint="eastAsia" w:ascii="仿宋" w:hAnsi="仿宋" w:eastAsia="仿宋" w:cs="仿宋"/>
          <w:b/>
          <w:sz w:val="24"/>
        </w:rPr>
      </w:pPr>
      <w:r>
        <w:rPr>
          <w:rFonts w:hint="eastAsia" w:ascii="仿宋" w:hAnsi="仿宋" w:eastAsia="仿宋" w:cs="仿宋"/>
          <w:b/>
          <w:sz w:val="24"/>
        </w:rPr>
        <w:t>4、安全应急演练服务</w:t>
      </w:r>
    </w:p>
    <w:p w14:paraId="33723BED">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仿宋" w:hAnsi="仿宋" w:eastAsia="仿宋" w:cs="仿宋"/>
          <w:sz w:val="24"/>
        </w:rPr>
      </w:pPr>
      <w:r>
        <w:rPr>
          <w:rFonts w:hint="eastAsia" w:ascii="仿宋" w:hAnsi="仿宋" w:eastAsia="仿宋" w:cs="仿宋"/>
          <w:sz w:val="24"/>
        </w:rPr>
        <w:t>在服务期内，根据单位应急演练预案，协助单位开展预案演练，提高应对安全事件的处置能力，预防和减少安全事件造成的危害和损失。应急演练是应急响应事件发生的场景模拟，通过对事件频发、危害性高、影响范围大的特定信息安全事件进行演练，以期在遇到此类信息安全事件应急响应处置过程中，发现问题，及时响应，快速处置的目的。</w:t>
      </w:r>
    </w:p>
    <w:p w14:paraId="5089F223">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仿宋" w:hAnsi="仿宋" w:eastAsia="仿宋" w:cs="仿宋"/>
          <w:sz w:val="24"/>
        </w:rPr>
      </w:pPr>
      <w:r>
        <w:rPr>
          <w:rFonts w:hint="eastAsia" w:ascii="仿宋" w:hAnsi="仿宋" w:eastAsia="仿宋" w:cs="仿宋"/>
          <w:sz w:val="24"/>
        </w:rPr>
        <w:t>应急演练频率：1年1次</w:t>
      </w:r>
    </w:p>
    <w:p w14:paraId="621756C2">
      <w:pPr>
        <w:numPr>
          <w:ilvl w:val="0"/>
          <w:numId w:val="15"/>
        </w:numPr>
        <w:spacing w:line="360" w:lineRule="auto"/>
        <w:rPr>
          <w:rFonts w:hint="eastAsia" w:ascii="仿宋" w:hAnsi="仿宋" w:eastAsia="仿宋" w:cs="仿宋"/>
          <w:b/>
          <w:sz w:val="24"/>
        </w:rPr>
      </w:pPr>
      <w:r>
        <w:rPr>
          <w:rFonts w:hint="eastAsia" w:ascii="仿宋" w:hAnsi="仿宋" w:eastAsia="仿宋" w:cs="仿宋"/>
          <w:b/>
          <w:sz w:val="24"/>
        </w:rPr>
        <w:t>原厂升级服务</w:t>
      </w:r>
    </w:p>
    <w:p w14:paraId="668E4A0F">
      <w:pPr>
        <w:keepNext w:val="0"/>
        <w:keepLines w:val="0"/>
        <w:pageBreakBefore w:val="0"/>
        <w:widowControl w:val="0"/>
        <w:tabs>
          <w:tab w:val="left" w:pos="8280"/>
        </w:tabs>
        <w:kinsoku/>
        <w:wordWrap/>
        <w:overflowPunct/>
        <w:topLinePunct w:val="0"/>
        <w:autoSpaceDE w:val="0"/>
        <w:autoSpaceDN w:val="0"/>
        <w:bidi w:val="0"/>
        <w:adjustRightInd w:val="0"/>
        <w:snapToGrid/>
        <w:spacing w:line="336" w:lineRule="auto"/>
        <w:ind w:right="23" w:firstLine="480" w:firstLineChars="200"/>
        <w:textAlignment w:val="auto"/>
        <w:rPr>
          <w:rFonts w:hint="eastAsia" w:ascii="仿宋" w:hAnsi="仿宋" w:eastAsia="仿宋" w:cs="仿宋"/>
          <w:sz w:val="24"/>
        </w:rPr>
      </w:pPr>
      <w:r>
        <w:rPr>
          <w:rFonts w:hint="eastAsia" w:ascii="仿宋" w:hAnsi="仿宋" w:eastAsia="仿宋" w:cs="仿宋"/>
          <w:sz w:val="24"/>
        </w:rPr>
        <w:t>针对现有安全设备包括（深信服AF-1820、深信服AF-1850-IPS、深信服AF-1000-E420、深信服AF-1000-E420-IS、深信服 SIP-1000-A600、深信服 STA-100-B420、深信服 VT-1000-A620、深信服 端点安全软件V3.0），</w:t>
      </w:r>
      <w:r>
        <w:rPr>
          <w:rFonts w:hint="eastAsia" w:ascii="仿宋" w:hAnsi="仿宋" w:eastAsia="仿宋" w:cs="仿宋"/>
          <w:sz w:val="24"/>
          <w:lang w:eastAsia="zh-CN"/>
        </w:rPr>
        <w:t>供应商</w:t>
      </w:r>
      <w:r>
        <w:rPr>
          <w:rFonts w:hint="eastAsia" w:ascii="仿宋" w:hAnsi="仿宋" w:eastAsia="仿宋" w:cs="仿宋"/>
          <w:sz w:val="24"/>
        </w:rPr>
        <w:t>承诺提供升级服务，在服务期内提供特征库、病毒库等原厂授权的升级服务。</w:t>
      </w:r>
    </w:p>
    <w:p w14:paraId="69654A99">
      <w:pPr>
        <w:keepNext w:val="0"/>
        <w:keepLines w:val="0"/>
        <w:pageBreakBefore w:val="0"/>
        <w:widowControl w:val="0"/>
        <w:numPr>
          <w:ilvl w:val="0"/>
          <w:numId w:val="15"/>
        </w:numPr>
        <w:kinsoku/>
        <w:wordWrap/>
        <w:overflowPunct/>
        <w:topLinePunct w:val="0"/>
        <w:bidi w:val="0"/>
        <w:snapToGrid/>
        <w:spacing w:line="336" w:lineRule="auto"/>
        <w:textAlignment w:val="auto"/>
        <w:rPr>
          <w:rFonts w:hint="eastAsia" w:ascii="仿宋" w:hAnsi="仿宋" w:eastAsia="仿宋" w:cs="仿宋"/>
          <w:b/>
          <w:sz w:val="24"/>
        </w:rPr>
      </w:pPr>
      <w:r>
        <w:rPr>
          <w:rFonts w:hint="eastAsia" w:ascii="仿宋" w:hAnsi="仿宋" w:eastAsia="仿宋" w:cs="仿宋"/>
          <w:b/>
          <w:sz w:val="24"/>
        </w:rPr>
        <w:t>网络优化和机房线路整理</w:t>
      </w:r>
    </w:p>
    <w:p w14:paraId="06A92EC6">
      <w:pPr>
        <w:keepNext w:val="0"/>
        <w:keepLines w:val="0"/>
        <w:pageBreakBefore w:val="0"/>
        <w:widowControl w:val="0"/>
        <w:tabs>
          <w:tab w:val="left" w:pos="8280"/>
        </w:tabs>
        <w:kinsoku/>
        <w:wordWrap/>
        <w:overflowPunct/>
        <w:topLinePunct w:val="0"/>
        <w:autoSpaceDE w:val="0"/>
        <w:autoSpaceDN w:val="0"/>
        <w:bidi w:val="0"/>
        <w:adjustRightInd w:val="0"/>
        <w:snapToGrid/>
        <w:spacing w:line="336" w:lineRule="auto"/>
        <w:ind w:right="23" w:firstLine="480" w:firstLineChars="200"/>
        <w:textAlignment w:val="auto"/>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需对用户方现有网络、设备配置进行梳理，并提供调整服务。同时对局内机房现有线路进行梳理和清洁整理。</w:t>
      </w:r>
    </w:p>
    <w:p w14:paraId="63B79027">
      <w:pPr>
        <w:keepNext w:val="0"/>
        <w:keepLines w:val="0"/>
        <w:pageBreakBefore w:val="0"/>
        <w:widowControl w:val="0"/>
        <w:numPr>
          <w:ilvl w:val="0"/>
          <w:numId w:val="15"/>
        </w:numPr>
        <w:kinsoku/>
        <w:wordWrap/>
        <w:overflowPunct/>
        <w:topLinePunct w:val="0"/>
        <w:bidi w:val="0"/>
        <w:snapToGrid/>
        <w:spacing w:line="336" w:lineRule="auto"/>
        <w:textAlignment w:val="auto"/>
        <w:rPr>
          <w:rFonts w:hint="eastAsia" w:ascii="仿宋" w:hAnsi="仿宋" w:eastAsia="仿宋" w:cs="仿宋"/>
          <w:b/>
          <w:sz w:val="24"/>
        </w:rPr>
      </w:pPr>
      <w:r>
        <w:rPr>
          <w:rFonts w:hint="eastAsia" w:ascii="仿宋" w:hAnsi="仿宋" w:eastAsia="仿宋" w:cs="仿宋"/>
          <w:b/>
          <w:sz w:val="24"/>
        </w:rPr>
        <w:t>备品备件服务</w:t>
      </w:r>
    </w:p>
    <w:p w14:paraId="03DC03B8">
      <w:pPr>
        <w:keepNext w:val="0"/>
        <w:keepLines w:val="0"/>
        <w:pageBreakBefore w:val="0"/>
        <w:widowControl w:val="0"/>
        <w:tabs>
          <w:tab w:val="left" w:pos="8280"/>
        </w:tabs>
        <w:kinsoku/>
        <w:wordWrap/>
        <w:overflowPunct/>
        <w:topLinePunct w:val="0"/>
        <w:autoSpaceDE w:val="0"/>
        <w:autoSpaceDN w:val="0"/>
        <w:bidi w:val="0"/>
        <w:adjustRightInd w:val="0"/>
        <w:snapToGrid/>
        <w:spacing w:line="336" w:lineRule="auto"/>
        <w:ind w:right="23" w:firstLine="480" w:firstLineChars="200"/>
        <w:textAlignment w:val="auto"/>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在省内拥有自主的备件库，并提供备件库地址。当发生严重故障时，备件送达上虞</w:t>
      </w:r>
      <w:r>
        <w:rPr>
          <w:rFonts w:hint="eastAsia" w:ascii="仿宋" w:hAnsi="仿宋" w:eastAsia="仿宋" w:cs="仿宋"/>
          <w:sz w:val="24"/>
          <w:lang w:eastAsia="zh-CN"/>
        </w:rPr>
        <w:t>市场监督管理</w:t>
      </w:r>
      <w:r>
        <w:rPr>
          <w:rFonts w:hint="eastAsia" w:ascii="仿宋" w:hAnsi="仿宋" w:eastAsia="仿宋" w:cs="仿宋"/>
          <w:sz w:val="24"/>
        </w:rPr>
        <w:t xml:space="preserve">局机房现场时间不能超过4小时。根据所有可能发生的硬件故障，提供完整备件库，第一时间提供备件更换，并及时补充备件库。 </w:t>
      </w:r>
    </w:p>
    <w:p w14:paraId="2EA5A4B8">
      <w:pPr>
        <w:keepNext w:val="0"/>
        <w:keepLines w:val="0"/>
        <w:pageBreakBefore w:val="0"/>
        <w:widowControl w:val="0"/>
        <w:tabs>
          <w:tab w:val="left" w:pos="8280"/>
        </w:tabs>
        <w:kinsoku/>
        <w:wordWrap/>
        <w:overflowPunct/>
        <w:topLinePunct w:val="0"/>
        <w:autoSpaceDE w:val="0"/>
        <w:autoSpaceDN w:val="0"/>
        <w:bidi w:val="0"/>
        <w:adjustRightInd w:val="0"/>
        <w:snapToGrid/>
        <w:spacing w:line="336" w:lineRule="auto"/>
        <w:ind w:right="23" w:firstLine="480" w:firstLineChars="200"/>
        <w:textAlignment w:val="auto"/>
        <w:rPr>
          <w:rFonts w:hint="eastAsia" w:ascii="仿宋" w:hAnsi="仿宋" w:eastAsia="仿宋" w:cs="仿宋"/>
          <w:sz w:val="24"/>
        </w:rPr>
      </w:pPr>
      <w:r>
        <w:rPr>
          <w:rFonts w:hint="eastAsia" w:ascii="仿宋" w:hAnsi="仿宋" w:eastAsia="仿宋" w:cs="仿宋"/>
          <w:sz w:val="24"/>
        </w:rPr>
        <w:t>在中标后7个工作日内，采购人有权核实备件库情况，如拒绝或故意拖延采购人核实的，或发现与承诺内容不符合的，将依据提供虚假材料谋取中标、成交的行为进行处理。</w:t>
      </w:r>
    </w:p>
    <w:p w14:paraId="3A61BC44">
      <w:pPr>
        <w:keepNext w:val="0"/>
        <w:keepLines w:val="0"/>
        <w:pageBreakBefore w:val="0"/>
        <w:widowControl w:val="0"/>
        <w:numPr>
          <w:ilvl w:val="0"/>
          <w:numId w:val="15"/>
        </w:numPr>
        <w:kinsoku/>
        <w:wordWrap/>
        <w:overflowPunct/>
        <w:topLinePunct w:val="0"/>
        <w:bidi w:val="0"/>
        <w:snapToGrid/>
        <w:spacing w:line="336" w:lineRule="auto"/>
        <w:textAlignment w:val="auto"/>
        <w:rPr>
          <w:rFonts w:hint="eastAsia" w:ascii="仿宋" w:hAnsi="仿宋" w:eastAsia="仿宋" w:cs="仿宋"/>
          <w:b/>
          <w:sz w:val="24"/>
        </w:rPr>
      </w:pPr>
      <w:r>
        <w:rPr>
          <w:rFonts w:hint="eastAsia" w:ascii="仿宋" w:hAnsi="仿宋" w:eastAsia="仿宋" w:cs="仿宋"/>
          <w:b/>
          <w:sz w:val="24"/>
        </w:rPr>
        <w:t>项目人员要求</w:t>
      </w:r>
    </w:p>
    <w:p w14:paraId="3203F075">
      <w:pPr>
        <w:keepNext w:val="0"/>
        <w:keepLines w:val="0"/>
        <w:pageBreakBefore w:val="0"/>
        <w:widowControl w:val="0"/>
        <w:tabs>
          <w:tab w:val="left" w:pos="8280"/>
        </w:tabs>
        <w:kinsoku/>
        <w:wordWrap/>
        <w:overflowPunct/>
        <w:topLinePunct w:val="0"/>
        <w:autoSpaceDE w:val="0"/>
        <w:autoSpaceDN w:val="0"/>
        <w:bidi w:val="0"/>
        <w:adjustRightInd w:val="0"/>
        <w:snapToGrid/>
        <w:spacing w:line="336" w:lineRule="auto"/>
        <w:ind w:right="23" w:firstLine="480" w:firstLineChars="200"/>
        <w:textAlignment w:val="auto"/>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需要为用户方提供本地化服务和技术支持，并至少为本次招标项目专门指派1名项目经理、1名主机存储工程师、1名网络工程师、1名数据库备份工程师组织协调并有效、快速的解决本次招标维护保修范围的各类故障，同时要尽量保证人员的稳定。如在维保期间，用户方认为</w:t>
      </w:r>
      <w:r>
        <w:rPr>
          <w:rFonts w:hint="eastAsia" w:ascii="仿宋" w:hAnsi="仿宋" w:eastAsia="仿宋" w:cs="仿宋"/>
          <w:sz w:val="24"/>
          <w:lang w:eastAsia="zh-CN"/>
        </w:rPr>
        <w:t>供应商</w:t>
      </w:r>
      <w:r>
        <w:rPr>
          <w:rFonts w:hint="eastAsia" w:ascii="仿宋" w:hAnsi="仿宋" w:eastAsia="仿宋" w:cs="仿宋"/>
          <w:sz w:val="24"/>
        </w:rPr>
        <w:t>工程师能力有限，可要求投标方更换工程师，</w:t>
      </w:r>
      <w:r>
        <w:rPr>
          <w:rFonts w:hint="eastAsia" w:ascii="仿宋" w:hAnsi="仿宋" w:eastAsia="仿宋" w:cs="仿宋"/>
          <w:sz w:val="24"/>
          <w:lang w:eastAsia="zh-CN"/>
        </w:rPr>
        <w:t>供应商</w:t>
      </w:r>
      <w:r>
        <w:rPr>
          <w:rFonts w:hint="eastAsia" w:ascii="仿宋" w:hAnsi="仿宋" w:eastAsia="仿宋" w:cs="仿宋"/>
          <w:sz w:val="24"/>
        </w:rPr>
        <w:t>需按用户方要求执行。</w:t>
      </w:r>
    </w:p>
    <w:p w14:paraId="6DE76B97">
      <w:pPr>
        <w:keepNext w:val="0"/>
        <w:keepLines w:val="0"/>
        <w:pageBreakBefore w:val="0"/>
        <w:widowControl w:val="0"/>
        <w:numPr>
          <w:ilvl w:val="0"/>
          <w:numId w:val="15"/>
        </w:numPr>
        <w:kinsoku/>
        <w:wordWrap/>
        <w:overflowPunct/>
        <w:topLinePunct w:val="0"/>
        <w:bidi w:val="0"/>
        <w:snapToGrid/>
        <w:spacing w:line="336" w:lineRule="auto"/>
        <w:textAlignment w:val="auto"/>
        <w:rPr>
          <w:rFonts w:hint="eastAsia" w:ascii="仿宋" w:hAnsi="仿宋" w:eastAsia="仿宋" w:cs="仿宋"/>
          <w:b/>
          <w:sz w:val="24"/>
        </w:rPr>
      </w:pPr>
      <w:r>
        <w:rPr>
          <w:rFonts w:hint="eastAsia" w:ascii="仿宋" w:hAnsi="仿宋" w:eastAsia="仿宋" w:cs="仿宋"/>
          <w:b/>
          <w:sz w:val="24"/>
        </w:rPr>
        <w:t>技术支持：</w:t>
      </w:r>
    </w:p>
    <w:p w14:paraId="6E0EEB50">
      <w:pPr>
        <w:keepNext w:val="0"/>
        <w:keepLines w:val="0"/>
        <w:pageBreakBefore w:val="0"/>
        <w:widowControl w:val="0"/>
        <w:tabs>
          <w:tab w:val="left" w:pos="8280"/>
        </w:tabs>
        <w:kinsoku/>
        <w:wordWrap/>
        <w:overflowPunct/>
        <w:topLinePunct w:val="0"/>
        <w:autoSpaceDE w:val="0"/>
        <w:autoSpaceDN w:val="0"/>
        <w:bidi w:val="0"/>
        <w:adjustRightInd w:val="0"/>
        <w:snapToGrid/>
        <w:spacing w:line="336" w:lineRule="auto"/>
        <w:ind w:right="23" w:firstLine="480" w:firstLineChars="200"/>
        <w:textAlignment w:val="auto"/>
        <w:rPr>
          <w:rFonts w:hint="default" w:ascii="仿宋" w:hAnsi="仿宋" w:eastAsia="仿宋" w:cs="仿宋"/>
          <w:sz w:val="24"/>
          <w:highlight w:val="yellow"/>
          <w:lang w:val="en-US" w:eastAsia="zh-CN"/>
        </w:rPr>
      </w:pPr>
      <w:r>
        <w:rPr>
          <w:rFonts w:hint="eastAsia" w:ascii="仿宋" w:hAnsi="仿宋" w:eastAsia="仿宋" w:cs="仿宋"/>
          <w:sz w:val="24"/>
          <w:highlight w:val="yellow"/>
        </w:rPr>
        <w:t>供应商应及时免费提供合同货物软件的升级，免费提供合同货物新功能和应用的资料。</w:t>
      </w:r>
      <w:r>
        <w:rPr>
          <w:rFonts w:hint="eastAsia" w:ascii="仿宋" w:hAnsi="仿宋" w:eastAsia="仿宋" w:cs="仿宋"/>
          <w:sz w:val="24"/>
          <w:highlight w:val="yellow"/>
          <w:lang w:val="en-US" w:eastAsia="zh-CN"/>
        </w:rPr>
        <w:t>平台完成信息安全二级等保测评80分。</w:t>
      </w:r>
    </w:p>
    <w:p w14:paraId="269DE3CE">
      <w:pPr>
        <w:keepNext w:val="0"/>
        <w:keepLines w:val="0"/>
        <w:pageBreakBefore w:val="0"/>
        <w:widowControl w:val="0"/>
        <w:numPr>
          <w:ilvl w:val="0"/>
          <w:numId w:val="15"/>
        </w:numPr>
        <w:kinsoku/>
        <w:wordWrap/>
        <w:overflowPunct/>
        <w:topLinePunct w:val="0"/>
        <w:bidi w:val="0"/>
        <w:snapToGrid/>
        <w:spacing w:line="336" w:lineRule="auto"/>
        <w:textAlignment w:val="auto"/>
        <w:rPr>
          <w:rFonts w:hint="eastAsia" w:ascii="仿宋" w:hAnsi="仿宋" w:eastAsia="仿宋" w:cs="仿宋"/>
          <w:b/>
          <w:sz w:val="24"/>
          <w:lang w:val="en-US"/>
        </w:rPr>
      </w:pPr>
      <w:r>
        <w:rPr>
          <w:rFonts w:hint="eastAsia" w:ascii="仿宋" w:hAnsi="仿宋" w:eastAsia="仿宋" w:cs="仿宋"/>
          <w:b/>
          <w:sz w:val="24"/>
          <w:lang w:val="en-US"/>
        </w:rPr>
        <w:t>保密要求</w:t>
      </w:r>
    </w:p>
    <w:p w14:paraId="75FA1F6B">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36" w:lineRule="auto"/>
        <w:ind w:right="23" w:righ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应当建立完整的电子档案资料，在合同正常终止后向甲方提供有关技术资料</w:t>
      </w:r>
      <w:r>
        <w:rPr>
          <w:rFonts w:hint="eastAsia" w:ascii="仿宋" w:hAnsi="仿宋" w:eastAsia="仿宋" w:cs="仿宋"/>
          <w:sz w:val="24"/>
          <w:lang w:eastAsia="zh-CN"/>
        </w:rPr>
        <w:t>；</w:t>
      </w:r>
      <w:r>
        <w:rPr>
          <w:rFonts w:hint="eastAsia" w:ascii="仿宋" w:hAnsi="仿宋" w:eastAsia="仿宋" w:cs="仿宋"/>
          <w:sz w:val="24"/>
        </w:rPr>
        <w:t>与本项目有关的资料及数据中涉及国家保密的内容，均要求按照《中华人民共和国保守国家秘密法》及相关法律法规执行</w:t>
      </w:r>
      <w:r>
        <w:rPr>
          <w:rFonts w:hint="eastAsia" w:ascii="仿宋" w:hAnsi="仿宋" w:eastAsia="仿宋" w:cs="仿宋"/>
          <w:sz w:val="24"/>
          <w:lang w:eastAsia="zh-CN"/>
        </w:rPr>
        <w:t>；供应商</w:t>
      </w:r>
      <w:r>
        <w:rPr>
          <w:rFonts w:hint="eastAsia" w:ascii="仿宋" w:hAnsi="仿宋" w:eastAsia="仿宋" w:cs="仿宋"/>
          <w:sz w:val="24"/>
        </w:rPr>
        <w:t>应遵守相关保密</w:t>
      </w:r>
      <w:r>
        <w:rPr>
          <w:rFonts w:hint="eastAsia" w:ascii="仿宋" w:hAnsi="仿宋" w:eastAsia="仿宋" w:cs="仿宋"/>
          <w:sz w:val="24"/>
          <w:lang w:eastAsia="zh-CN"/>
        </w:rPr>
        <w:t>法律法规</w:t>
      </w:r>
      <w:r>
        <w:rPr>
          <w:rFonts w:hint="eastAsia" w:ascii="仿宋" w:hAnsi="仿宋" w:eastAsia="仿宋" w:cs="仿宋"/>
          <w:sz w:val="24"/>
        </w:rPr>
        <w:t>，确保项目的信息安全</w:t>
      </w:r>
      <w:r>
        <w:rPr>
          <w:rFonts w:hint="eastAsia" w:ascii="仿宋" w:hAnsi="仿宋" w:eastAsia="仿宋" w:cs="仿宋"/>
          <w:sz w:val="24"/>
          <w:lang w:eastAsia="zh-CN"/>
        </w:rPr>
        <w:t>。</w:t>
      </w:r>
    </w:p>
    <w:p w14:paraId="0BA6F451">
      <w:pPr>
        <w:pStyle w:val="3"/>
        <w:jc w:val="center"/>
        <w:rPr>
          <w:rFonts w:hint="eastAsia" w:ascii="宋体" w:hAnsi="宋体" w:eastAsia="宋体" w:cs="宋体"/>
          <w:color w:val="auto"/>
          <w:highlight w:val="none"/>
        </w:rPr>
      </w:pPr>
      <w:r>
        <w:rPr>
          <w:rFonts w:hint="eastAsia" w:hAnsi="宋体" w:cs="宋体"/>
          <w:color w:val="auto"/>
          <w:highlight w:val="none"/>
          <w:lang w:val="en-US" w:eastAsia="zh-CN"/>
        </w:rPr>
        <w:t xml:space="preserve">     </w:t>
      </w:r>
      <w:r>
        <w:rPr>
          <w:rFonts w:hint="eastAsia" w:ascii="宋体" w:hAnsi="宋体" w:eastAsia="宋体" w:cs="宋体"/>
          <w:color w:val="auto"/>
          <w:highlight w:val="none"/>
        </w:rPr>
        <w:t>第二章  付款方式及要求</w:t>
      </w:r>
      <w:bookmarkEnd w:id="76"/>
      <w:bookmarkEnd w:id="77"/>
    </w:p>
    <w:p w14:paraId="3796D661">
      <w:pPr>
        <w:pStyle w:val="3"/>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一、付款方式：</w:t>
      </w:r>
    </w:p>
    <w:p w14:paraId="5CB093DD">
      <w:pPr>
        <w:autoSpaceDE w:val="0"/>
        <w:autoSpaceDN w:val="0"/>
        <w:adjustRightInd w:val="0"/>
        <w:spacing w:line="360" w:lineRule="auto"/>
        <w:ind w:firstLine="480" w:firstLineChars="200"/>
        <w:rPr>
          <w:rFonts w:hint="default"/>
          <w:color w:val="000000"/>
          <w:sz w:val="24"/>
          <w:szCs w:val="24"/>
          <w:highlight w:val="none"/>
          <w:lang w:val="en-US" w:eastAsia="zh-CN"/>
        </w:rPr>
      </w:pPr>
      <w:r>
        <w:rPr>
          <w:rFonts w:hint="eastAsia"/>
          <w:color w:val="000000"/>
          <w:sz w:val="24"/>
          <w:szCs w:val="24"/>
          <w:highlight w:val="none"/>
        </w:rPr>
        <w:t>在合同生效以及具备实施条件后7个工作日内向乙方支付合同</w:t>
      </w:r>
      <w:r>
        <w:rPr>
          <w:rFonts w:hint="eastAsia"/>
          <w:color w:val="000000"/>
          <w:sz w:val="24"/>
          <w:szCs w:val="24"/>
          <w:highlight w:val="none"/>
          <w:lang w:eastAsia="zh-CN"/>
        </w:rPr>
        <w:t>价款</w:t>
      </w:r>
      <w:r>
        <w:rPr>
          <w:rFonts w:hint="eastAsia"/>
          <w:color w:val="000000"/>
          <w:sz w:val="24"/>
          <w:szCs w:val="24"/>
          <w:highlight w:val="none"/>
        </w:rPr>
        <w:t>的</w:t>
      </w:r>
      <w:r>
        <w:rPr>
          <w:rFonts w:hint="eastAsia"/>
          <w:color w:val="000000"/>
          <w:sz w:val="24"/>
          <w:szCs w:val="24"/>
          <w:highlight w:val="none"/>
          <w:lang w:val="en-US" w:eastAsia="zh-CN"/>
        </w:rPr>
        <w:t>50</w:t>
      </w:r>
      <w:r>
        <w:rPr>
          <w:rFonts w:hint="eastAsia"/>
          <w:color w:val="000000"/>
          <w:sz w:val="24"/>
          <w:szCs w:val="24"/>
          <w:highlight w:val="none"/>
        </w:rPr>
        <w:t>%；</w:t>
      </w:r>
      <w:r>
        <w:rPr>
          <w:rFonts w:hint="eastAsia"/>
          <w:color w:val="000000"/>
          <w:sz w:val="24"/>
          <w:szCs w:val="24"/>
          <w:highlight w:val="none"/>
          <w:lang w:eastAsia="zh-CN"/>
        </w:rPr>
        <w:t>项目经验收合格后</w:t>
      </w:r>
      <w:r>
        <w:rPr>
          <w:rFonts w:hint="eastAsia"/>
          <w:color w:val="000000"/>
          <w:sz w:val="24"/>
          <w:szCs w:val="24"/>
          <w:highlight w:val="none"/>
          <w:lang w:val="en-US" w:eastAsia="zh-CN"/>
        </w:rPr>
        <w:t>7个工作日内支付合同价款的40%；服务期满后7个工作日内根据考核结果支付剩余合同价款。</w:t>
      </w:r>
    </w:p>
    <w:p w14:paraId="3988DB93">
      <w:pPr>
        <w:keepNext w:val="0"/>
        <w:keepLines w:val="0"/>
        <w:pageBreakBefore w:val="0"/>
        <w:widowControl w:val="0"/>
        <w:kinsoku/>
        <w:wordWrap/>
        <w:overflowPunct/>
        <w:topLinePunct w:val="0"/>
        <w:autoSpaceDE w:val="0"/>
        <w:autoSpaceDN w:val="0"/>
        <w:bidi w:val="0"/>
        <w:adjustRightInd w:val="0"/>
        <w:snapToGrid/>
        <w:spacing w:line="336"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付款要求：</w:t>
      </w:r>
    </w:p>
    <w:p w14:paraId="41BCFF21">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在收款之前，应向采购人提供等额、合法、有效的增值税发票，采购人凭发票付款。如中标人未按约定提供增值税发票的，采购人有权拒绝付款，直至收到中标人提交的相应增值税发票为止，在此情况下，采购人不承担逾期付款违约责任。</w:t>
      </w:r>
    </w:p>
    <w:p w14:paraId="19F1A7B7">
      <w:pPr>
        <w:keepLines w:val="0"/>
        <w:pageBreakBefore w:val="0"/>
        <w:numPr>
          <w:ilvl w:val="0"/>
          <w:numId w:val="17"/>
        </w:numPr>
        <w:kinsoku/>
        <w:overflowPunct/>
        <w:topLinePunct w:val="0"/>
        <w:bidi w:val="0"/>
        <w:spacing w:line="360" w:lineRule="auto"/>
        <w:ind w:firstLine="600" w:firstLineChars="250"/>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kern w:val="2"/>
          <w:sz w:val="28"/>
          <w:szCs w:val="28"/>
          <w:highlight w:val="none"/>
          <w:lang w:val="en-US" w:eastAsia="zh-CN" w:bidi="ar-SA"/>
        </w:rPr>
        <w:t>2024年上虞区企业信用云平台服务器等设备维保服务考核办法</w:t>
      </w:r>
    </w:p>
    <w:p w14:paraId="5AF3519D">
      <w:pPr>
        <w:keepLines w:val="0"/>
        <w:pageBreakBefore w:val="0"/>
        <w:numPr>
          <w:ilvl w:val="0"/>
          <w:numId w:val="0"/>
        </w:numPr>
        <w:kinsoku/>
        <w:overflowPunct/>
        <w:topLinePunct w:val="0"/>
        <w:bidi w:val="0"/>
        <w:spacing w:line="360" w:lineRule="auto"/>
        <w:ind w:firstLine="480" w:firstLineChars="200"/>
        <w:rPr>
          <w:rFonts w:ascii="宋体"/>
          <w:kern w:val="0"/>
          <w:sz w:val="24"/>
        </w:rPr>
      </w:pPr>
      <w:r>
        <w:rPr>
          <w:rFonts w:hint="eastAsia" w:ascii="宋体"/>
          <w:kern w:val="0"/>
          <w:sz w:val="24"/>
        </w:rPr>
        <w:t>为加强</w:t>
      </w:r>
      <w:r>
        <w:rPr>
          <w:rFonts w:hint="eastAsia" w:ascii="宋体"/>
          <w:kern w:val="0"/>
          <w:sz w:val="24"/>
          <w:lang w:eastAsia="zh-CN"/>
        </w:rPr>
        <w:t>上虞区企业信用云平台设备维保服务</w:t>
      </w:r>
      <w:r>
        <w:rPr>
          <w:rFonts w:hint="eastAsia" w:ascii="宋体"/>
          <w:kern w:val="0"/>
          <w:sz w:val="24"/>
        </w:rPr>
        <w:t>管理，提升</w:t>
      </w:r>
      <w:r>
        <w:rPr>
          <w:rFonts w:hint="eastAsia" w:ascii="宋体"/>
          <w:kern w:val="0"/>
          <w:sz w:val="24"/>
          <w:lang w:eastAsia="zh-CN"/>
        </w:rPr>
        <w:t>维保</w:t>
      </w:r>
      <w:r>
        <w:rPr>
          <w:rFonts w:hint="eastAsia" w:ascii="宋体"/>
          <w:kern w:val="0"/>
          <w:sz w:val="24"/>
        </w:rPr>
        <w:t>质量，结合工作实际，特制订本考核暂行办法。</w:t>
      </w:r>
    </w:p>
    <w:p w14:paraId="24C13003">
      <w:pPr>
        <w:keepLines w:val="0"/>
        <w:pageBreakBefore w:val="0"/>
        <w:kinsoku/>
        <w:overflowPunct/>
        <w:topLinePunct w:val="0"/>
        <w:bidi w:val="0"/>
        <w:spacing w:line="360" w:lineRule="auto"/>
        <w:ind w:firstLine="602" w:firstLineChars="250"/>
        <w:rPr>
          <w:rFonts w:ascii="宋体"/>
          <w:b/>
          <w:bCs/>
          <w:kern w:val="0"/>
          <w:sz w:val="24"/>
        </w:rPr>
      </w:pPr>
      <w:r>
        <w:rPr>
          <w:rFonts w:hint="eastAsia" w:ascii="宋体"/>
          <w:b/>
          <w:bCs/>
          <w:kern w:val="0"/>
          <w:sz w:val="24"/>
        </w:rPr>
        <w:t>一、分数设置：</w:t>
      </w:r>
    </w:p>
    <w:p w14:paraId="48AE8034">
      <w:pPr>
        <w:keepLines w:val="0"/>
        <w:pageBreakBefore w:val="0"/>
        <w:kinsoku/>
        <w:overflowPunct/>
        <w:topLinePunct w:val="0"/>
        <w:bidi w:val="0"/>
        <w:spacing w:line="360" w:lineRule="auto"/>
        <w:ind w:firstLine="600" w:firstLineChars="250"/>
        <w:rPr>
          <w:rFonts w:ascii="宋体"/>
          <w:kern w:val="0"/>
          <w:sz w:val="24"/>
        </w:rPr>
      </w:pPr>
      <w:r>
        <w:rPr>
          <w:rFonts w:hint="eastAsia" w:ascii="宋体"/>
          <w:kern w:val="0"/>
          <w:sz w:val="24"/>
        </w:rPr>
        <w:t>该评分共计100分。</w:t>
      </w:r>
    </w:p>
    <w:p w14:paraId="2E7226E3">
      <w:pPr>
        <w:keepLines w:val="0"/>
        <w:pageBreakBefore w:val="0"/>
        <w:kinsoku/>
        <w:overflowPunct/>
        <w:topLinePunct w:val="0"/>
        <w:bidi w:val="0"/>
        <w:spacing w:line="360" w:lineRule="auto"/>
        <w:ind w:firstLine="602" w:firstLineChars="250"/>
        <w:rPr>
          <w:rFonts w:ascii="宋体"/>
          <w:b/>
          <w:bCs/>
          <w:kern w:val="0"/>
          <w:sz w:val="24"/>
        </w:rPr>
      </w:pPr>
      <w:r>
        <w:rPr>
          <w:rFonts w:hint="eastAsia" w:ascii="宋体"/>
          <w:b/>
          <w:bCs/>
          <w:kern w:val="0"/>
          <w:sz w:val="24"/>
        </w:rPr>
        <w:t>二、考核小组：</w:t>
      </w:r>
    </w:p>
    <w:p w14:paraId="467A32D2">
      <w:pPr>
        <w:keepLines w:val="0"/>
        <w:pageBreakBefore w:val="0"/>
        <w:kinsoku/>
        <w:overflowPunct/>
        <w:topLinePunct w:val="0"/>
        <w:bidi w:val="0"/>
        <w:spacing w:line="360" w:lineRule="auto"/>
        <w:ind w:firstLine="600" w:firstLineChars="250"/>
        <w:rPr>
          <w:rFonts w:ascii="宋体"/>
          <w:kern w:val="0"/>
          <w:sz w:val="24"/>
        </w:rPr>
      </w:pPr>
      <w:r>
        <w:rPr>
          <w:rFonts w:hint="eastAsia" w:ascii="宋体"/>
          <w:kern w:val="0"/>
          <w:sz w:val="24"/>
        </w:rPr>
        <w:t>采购人负责对中标单位进行考核。</w:t>
      </w:r>
    </w:p>
    <w:p w14:paraId="4BE84C7F">
      <w:pPr>
        <w:keepLines w:val="0"/>
        <w:pageBreakBefore w:val="0"/>
        <w:kinsoku/>
        <w:overflowPunct/>
        <w:topLinePunct w:val="0"/>
        <w:bidi w:val="0"/>
        <w:spacing w:line="360" w:lineRule="auto"/>
        <w:ind w:firstLine="602" w:firstLineChars="250"/>
        <w:rPr>
          <w:rFonts w:ascii="宋体"/>
          <w:b/>
          <w:bCs/>
          <w:kern w:val="0"/>
          <w:sz w:val="24"/>
        </w:rPr>
      </w:pPr>
      <w:r>
        <w:rPr>
          <w:rFonts w:hint="eastAsia" w:ascii="宋体"/>
          <w:b/>
          <w:bCs/>
          <w:kern w:val="0"/>
          <w:sz w:val="24"/>
        </w:rPr>
        <w:t>三、考核方式：</w:t>
      </w:r>
    </w:p>
    <w:p w14:paraId="7D4C4708">
      <w:pPr>
        <w:keepLines w:val="0"/>
        <w:pageBreakBefore w:val="0"/>
        <w:kinsoku/>
        <w:overflowPunct/>
        <w:topLinePunct w:val="0"/>
        <w:bidi w:val="0"/>
        <w:spacing w:line="360" w:lineRule="auto"/>
        <w:ind w:firstLine="600" w:firstLineChars="250"/>
        <w:rPr>
          <w:rFonts w:ascii="宋体"/>
          <w:kern w:val="0"/>
          <w:sz w:val="24"/>
        </w:rPr>
      </w:pPr>
      <w:r>
        <w:rPr>
          <w:rFonts w:hint="eastAsia" w:ascii="宋体"/>
          <w:kern w:val="0"/>
          <w:sz w:val="24"/>
        </w:rPr>
        <w:t>采购人对中标单位进行管理、</w:t>
      </w:r>
      <w:r>
        <w:rPr>
          <w:rFonts w:hint="eastAsia" w:ascii="宋体"/>
          <w:kern w:val="0"/>
          <w:sz w:val="24"/>
          <w:lang w:eastAsia="zh-CN"/>
        </w:rPr>
        <w:t>月度和季度</w:t>
      </w:r>
      <w:r>
        <w:rPr>
          <w:rFonts w:hint="eastAsia" w:ascii="宋体"/>
          <w:kern w:val="0"/>
          <w:sz w:val="24"/>
        </w:rPr>
        <w:t>考核，不定期</w:t>
      </w:r>
      <w:r>
        <w:rPr>
          <w:rFonts w:hint="eastAsia" w:ascii="宋体"/>
          <w:kern w:val="0"/>
          <w:sz w:val="24"/>
          <w:lang w:eastAsia="zh-CN"/>
        </w:rPr>
        <w:t>对</w:t>
      </w:r>
      <w:r>
        <w:rPr>
          <w:rFonts w:hint="eastAsia" w:ascii="宋体"/>
          <w:kern w:val="0"/>
          <w:sz w:val="24"/>
        </w:rPr>
        <w:t>服务工作开展情况进行检查，并对考核结果进行记录。</w:t>
      </w:r>
    </w:p>
    <w:p w14:paraId="371C0C79">
      <w:pPr>
        <w:keepLines w:val="0"/>
        <w:pageBreakBefore w:val="0"/>
        <w:kinsoku/>
        <w:overflowPunct/>
        <w:topLinePunct w:val="0"/>
        <w:bidi w:val="0"/>
        <w:spacing w:line="360" w:lineRule="auto"/>
        <w:ind w:firstLine="482" w:firstLineChars="200"/>
        <w:rPr>
          <w:rFonts w:ascii="宋体"/>
          <w:b/>
          <w:bCs/>
          <w:kern w:val="0"/>
          <w:sz w:val="24"/>
        </w:rPr>
      </w:pPr>
      <w:r>
        <w:rPr>
          <w:rFonts w:hint="eastAsia" w:ascii="宋体"/>
          <w:b/>
          <w:bCs/>
          <w:kern w:val="0"/>
          <w:sz w:val="24"/>
        </w:rPr>
        <w:t>四、考核结果：</w:t>
      </w:r>
    </w:p>
    <w:p w14:paraId="7D3562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eastAsia="宋体"/>
          <w:kern w:val="0"/>
          <w:sz w:val="24"/>
          <w:lang w:val="en-US" w:eastAsia="zh-CN"/>
        </w:rPr>
        <w:t xml:space="preserve"> </w:t>
      </w:r>
      <w:r>
        <w:rPr>
          <w:rFonts w:hint="eastAsia" w:ascii="宋体" w:eastAsia="宋体"/>
          <w:kern w:val="0"/>
          <w:sz w:val="24"/>
        </w:rPr>
        <w:t>采取百分制，</w:t>
      </w:r>
      <w:r>
        <w:rPr>
          <w:rFonts w:hint="eastAsia" w:ascii="宋体" w:eastAsia="宋体"/>
          <w:kern w:val="0"/>
          <w:sz w:val="24"/>
          <w:lang w:val="zh-CN"/>
        </w:rPr>
        <w:t>在服务期内，采购人将对</w:t>
      </w:r>
      <w:r>
        <w:rPr>
          <w:rFonts w:hint="eastAsia" w:ascii="宋体" w:eastAsia="宋体"/>
          <w:kern w:val="0"/>
          <w:sz w:val="24"/>
          <w:lang w:eastAsia="zh-CN"/>
        </w:rPr>
        <w:t>中标单位</w:t>
      </w:r>
      <w:r>
        <w:rPr>
          <w:rFonts w:hint="eastAsia" w:ascii="宋体" w:eastAsia="宋体"/>
          <w:kern w:val="0"/>
          <w:sz w:val="24"/>
          <w:lang w:val="zh-CN"/>
        </w:rPr>
        <w:t>进行月度考核，采取100分制计分方式，每扣1分扣违约金200元。如果</w:t>
      </w:r>
      <w:r>
        <w:rPr>
          <w:rFonts w:hint="eastAsia" w:ascii="宋体" w:eastAsia="宋体"/>
          <w:kern w:val="0"/>
          <w:sz w:val="24"/>
          <w:lang w:eastAsia="zh-CN"/>
        </w:rPr>
        <w:t>中标单位</w:t>
      </w:r>
      <w:r>
        <w:rPr>
          <w:rFonts w:hint="eastAsia" w:ascii="宋体" w:eastAsia="宋体"/>
          <w:kern w:val="0"/>
          <w:sz w:val="24"/>
          <w:lang w:val="zh-CN"/>
        </w:rPr>
        <w:t>当季考核结果低于80分的，应递交书面整改报告。如</w:t>
      </w:r>
      <w:r>
        <w:rPr>
          <w:rFonts w:hint="eastAsia" w:ascii="宋体" w:eastAsia="宋体"/>
          <w:kern w:val="0"/>
          <w:sz w:val="24"/>
          <w:lang w:eastAsia="zh-CN"/>
        </w:rPr>
        <w:t>中标单位</w:t>
      </w:r>
      <w:r>
        <w:rPr>
          <w:rFonts w:hint="eastAsia" w:ascii="宋体" w:eastAsia="宋体"/>
          <w:kern w:val="0"/>
          <w:sz w:val="24"/>
          <w:lang w:val="zh-CN"/>
        </w:rPr>
        <w:t>当季考核结果低于60分或连续两个季考核结果低于70分或连续三个季考核结果低于80分，采购人有权通知</w:t>
      </w:r>
      <w:r>
        <w:rPr>
          <w:rFonts w:hint="eastAsia" w:ascii="宋体" w:eastAsia="宋体"/>
          <w:kern w:val="0"/>
          <w:sz w:val="24"/>
          <w:lang w:eastAsia="zh-CN"/>
        </w:rPr>
        <w:t>中标单位</w:t>
      </w:r>
      <w:r>
        <w:rPr>
          <w:rFonts w:hint="eastAsia" w:ascii="宋体" w:eastAsia="宋体"/>
          <w:kern w:val="0"/>
          <w:sz w:val="24"/>
          <w:lang w:val="zh-CN"/>
        </w:rPr>
        <w:t>解除合同，如给我局造成损失的有权向</w:t>
      </w:r>
      <w:r>
        <w:rPr>
          <w:rFonts w:hint="eastAsia" w:ascii="宋体" w:eastAsia="宋体"/>
          <w:kern w:val="0"/>
          <w:sz w:val="24"/>
          <w:lang w:eastAsia="zh-CN"/>
        </w:rPr>
        <w:t>中标单位</w:t>
      </w:r>
      <w:r>
        <w:rPr>
          <w:rFonts w:hint="eastAsia" w:ascii="宋体" w:eastAsia="宋体"/>
          <w:kern w:val="0"/>
          <w:sz w:val="24"/>
          <w:lang w:val="zh-CN"/>
        </w:rPr>
        <w:t>提出索赔。</w:t>
      </w:r>
    </w:p>
    <w:p w14:paraId="5558DD3E">
      <w:pPr>
        <w:keepLines w:val="0"/>
        <w:pageBreakBefore w:val="0"/>
        <w:kinsoku/>
        <w:overflowPunct/>
        <w:topLinePunct w:val="0"/>
        <w:bidi w:val="0"/>
        <w:spacing w:line="360" w:lineRule="auto"/>
        <w:ind w:firstLine="723" w:firstLineChars="300"/>
        <w:rPr>
          <w:rFonts w:ascii="宋体"/>
          <w:b/>
          <w:bCs/>
          <w:kern w:val="0"/>
          <w:sz w:val="24"/>
        </w:rPr>
      </w:pPr>
      <w:r>
        <w:rPr>
          <w:rFonts w:hint="eastAsia" w:ascii="宋体"/>
          <w:b/>
          <w:bCs/>
          <w:kern w:val="0"/>
          <w:sz w:val="24"/>
        </w:rPr>
        <w:t>五、其他：</w:t>
      </w:r>
    </w:p>
    <w:p w14:paraId="672C1A6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kern w:val="0"/>
          <w:sz w:val="24"/>
        </w:rPr>
        <w:t>本办法由绍兴市上虞区市场监督管理局制定，并负责具体解释。</w:t>
      </w:r>
    </w:p>
    <w:p w14:paraId="1663357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D5D3635">
      <w:pPr>
        <w:rPr>
          <w:rFonts w:hint="eastAsia"/>
        </w:rPr>
      </w:pPr>
      <w:r>
        <w:rPr>
          <w:rFonts w:hint="eastAsia"/>
          <w:b/>
          <w:bCs/>
          <w:sz w:val="28"/>
          <w:szCs w:val="28"/>
          <w:lang w:val="en-US" w:eastAsia="zh-CN"/>
        </w:rPr>
        <w:t>2</w:t>
      </w:r>
      <w:r>
        <w:rPr>
          <w:rFonts w:hint="eastAsia"/>
          <w:b/>
          <w:bCs/>
          <w:sz w:val="28"/>
          <w:szCs w:val="28"/>
          <w:lang w:eastAsia="zh-CN"/>
        </w:rPr>
        <w:t>024年上虞区企业信用云平台服务器等设备维保服务</w:t>
      </w:r>
      <w:r>
        <w:rPr>
          <w:rFonts w:hint="eastAsia"/>
          <w:b/>
          <w:bCs/>
          <w:sz w:val="28"/>
          <w:szCs w:val="28"/>
        </w:rPr>
        <w:t>项目考核情况表</w:t>
      </w:r>
    </w:p>
    <w:tbl>
      <w:tblPr>
        <w:tblStyle w:val="25"/>
        <w:tblpPr w:leftFromText="180" w:rightFromText="180" w:vertAnchor="text" w:horzAnchor="page" w:tblpX="1458" w:tblpY="50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5"/>
        <w:gridCol w:w="2132"/>
        <w:gridCol w:w="2507"/>
        <w:gridCol w:w="243"/>
        <w:gridCol w:w="1032"/>
        <w:gridCol w:w="1276"/>
      </w:tblGrid>
      <w:tr w14:paraId="3C0E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2" w:type="dxa"/>
            <w:gridSpan w:val="2"/>
            <w:noWrap w:val="0"/>
            <w:vAlign w:val="center"/>
          </w:tcPr>
          <w:p w14:paraId="788FBBDE">
            <w:pPr>
              <w:autoSpaceDE w:val="0"/>
              <w:autoSpaceDN w:val="0"/>
              <w:snapToGrid w:val="0"/>
              <w:jc w:val="center"/>
              <w:rPr>
                <w:rFonts w:hint="eastAsia" w:ascii="仿宋" w:hAnsi="仿宋" w:eastAsia="仿宋" w:cs="仿宋"/>
                <w:b/>
                <w:sz w:val="24"/>
              </w:rPr>
            </w:pPr>
            <w:bookmarkStart w:id="78" w:name="_Toc30191"/>
            <w:r>
              <w:rPr>
                <w:rFonts w:hint="eastAsia" w:ascii="仿宋" w:hAnsi="仿宋" w:eastAsia="仿宋" w:cs="仿宋"/>
                <w:b/>
                <w:sz w:val="24"/>
              </w:rPr>
              <w:t>维护地点：</w:t>
            </w:r>
          </w:p>
        </w:tc>
        <w:tc>
          <w:tcPr>
            <w:tcW w:w="2132" w:type="dxa"/>
            <w:noWrap w:val="0"/>
            <w:vAlign w:val="center"/>
          </w:tcPr>
          <w:p w14:paraId="74E93109">
            <w:pPr>
              <w:autoSpaceDE w:val="0"/>
              <w:autoSpaceDN w:val="0"/>
              <w:snapToGrid w:val="0"/>
              <w:jc w:val="center"/>
              <w:rPr>
                <w:rFonts w:hint="eastAsia" w:ascii="仿宋" w:hAnsi="仿宋" w:eastAsia="仿宋" w:cs="仿宋"/>
                <w:sz w:val="24"/>
              </w:rPr>
            </w:pPr>
          </w:p>
        </w:tc>
        <w:tc>
          <w:tcPr>
            <w:tcW w:w="2750" w:type="dxa"/>
            <w:gridSpan w:val="2"/>
            <w:noWrap w:val="0"/>
            <w:vAlign w:val="center"/>
          </w:tcPr>
          <w:p w14:paraId="4328B660">
            <w:pPr>
              <w:autoSpaceDE w:val="0"/>
              <w:autoSpaceDN w:val="0"/>
              <w:snapToGrid w:val="0"/>
              <w:jc w:val="center"/>
              <w:rPr>
                <w:rFonts w:hint="eastAsia" w:ascii="仿宋" w:hAnsi="仿宋" w:eastAsia="仿宋" w:cs="仿宋"/>
                <w:b/>
                <w:sz w:val="24"/>
              </w:rPr>
            </w:pPr>
            <w:r>
              <w:rPr>
                <w:rFonts w:hint="eastAsia" w:ascii="仿宋" w:hAnsi="仿宋" w:eastAsia="仿宋" w:cs="仿宋"/>
                <w:b/>
                <w:sz w:val="24"/>
              </w:rPr>
              <w:t>考核月份：</w:t>
            </w:r>
          </w:p>
        </w:tc>
        <w:tc>
          <w:tcPr>
            <w:tcW w:w="2308" w:type="dxa"/>
            <w:gridSpan w:val="2"/>
            <w:noWrap w:val="0"/>
            <w:vAlign w:val="center"/>
          </w:tcPr>
          <w:p w14:paraId="1D00F588">
            <w:pPr>
              <w:autoSpaceDE w:val="0"/>
              <w:autoSpaceDN w:val="0"/>
              <w:snapToGrid w:val="0"/>
              <w:jc w:val="center"/>
              <w:rPr>
                <w:rFonts w:hint="eastAsia" w:ascii="仿宋" w:hAnsi="仿宋" w:eastAsia="仿宋" w:cs="仿宋"/>
                <w:sz w:val="24"/>
              </w:rPr>
            </w:pPr>
          </w:p>
        </w:tc>
      </w:tr>
      <w:tr w14:paraId="7EE7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132" w:type="dxa"/>
            <w:gridSpan w:val="2"/>
            <w:noWrap w:val="0"/>
            <w:vAlign w:val="center"/>
          </w:tcPr>
          <w:p w14:paraId="58179B54">
            <w:pPr>
              <w:autoSpaceDE w:val="0"/>
              <w:autoSpaceDN w:val="0"/>
              <w:snapToGrid w:val="0"/>
              <w:jc w:val="center"/>
              <w:rPr>
                <w:rFonts w:hint="eastAsia" w:ascii="仿宋" w:hAnsi="仿宋" w:eastAsia="仿宋" w:cs="仿宋"/>
                <w:b/>
                <w:sz w:val="24"/>
              </w:rPr>
            </w:pPr>
            <w:r>
              <w:rPr>
                <w:rFonts w:hint="eastAsia" w:ascii="仿宋" w:hAnsi="仿宋" w:eastAsia="仿宋" w:cs="仿宋"/>
                <w:sz w:val="24"/>
              </w:rPr>
              <w:t>投标人</w:t>
            </w:r>
            <w:r>
              <w:rPr>
                <w:rFonts w:hint="eastAsia" w:ascii="仿宋" w:hAnsi="仿宋" w:eastAsia="仿宋" w:cs="仿宋"/>
                <w:b/>
                <w:sz w:val="24"/>
              </w:rPr>
              <w:t>：</w:t>
            </w:r>
          </w:p>
        </w:tc>
        <w:tc>
          <w:tcPr>
            <w:tcW w:w="7190" w:type="dxa"/>
            <w:gridSpan w:val="5"/>
            <w:noWrap w:val="0"/>
            <w:vAlign w:val="center"/>
          </w:tcPr>
          <w:p w14:paraId="6FE608B1">
            <w:pPr>
              <w:autoSpaceDE w:val="0"/>
              <w:autoSpaceDN w:val="0"/>
              <w:snapToGrid w:val="0"/>
              <w:jc w:val="center"/>
              <w:rPr>
                <w:rFonts w:hint="eastAsia" w:ascii="仿宋" w:hAnsi="仿宋" w:eastAsia="仿宋" w:cs="仿宋"/>
                <w:sz w:val="24"/>
              </w:rPr>
            </w:pPr>
          </w:p>
        </w:tc>
      </w:tr>
      <w:tr w14:paraId="7014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7F0C912">
            <w:pPr>
              <w:autoSpaceDE w:val="0"/>
              <w:autoSpaceDN w:val="0"/>
              <w:snapToGrid w:val="0"/>
              <w:jc w:val="center"/>
              <w:rPr>
                <w:rFonts w:hint="eastAsia" w:ascii="仿宋" w:hAnsi="仿宋" w:eastAsia="仿宋" w:cs="仿宋"/>
                <w:b/>
                <w:sz w:val="24"/>
              </w:rPr>
            </w:pPr>
            <w:r>
              <w:rPr>
                <w:rFonts w:hint="eastAsia" w:ascii="仿宋" w:hAnsi="仿宋" w:eastAsia="仿宋" w:cs="仿宋"/>
                <w:b/>
                <w:sz w:val="24"/>
              </w:rPr>
              <w:t>序号</w:t>
            </w:r>
          </w:p>
        </w:tc>
        <w:tc>
          <w:tcPr>
            <w:tcW w:w="5954" w:type="dxa"/>
            <w:gridSpan w:val="3"/>
            <w:noWrap w:val="0"/>
            <w:vAlign w:val="center"/>
          </w:tcPr>
          <w:p w14:paraId="13D4CFFF">
            <w:pPr>
              <w:autoSpaceDE w:val="0"/>
              <w:autoSpaceDN w:val="0"/>
              <w:snapToGrid w:val="0"/>
              <w:jc w:val="center"/>
              <w:rPr>
                <w:rFonts w:hint="eastAsia" w:ascii="仿宋" w:hAnsi="仿宋" w:eastAsia="仿宋" w:cs="仿宋"/>
                <w:b/>
                <w:sz w:val="24"/>
              </w:rPr>
            </w:pPr>
            <w:r>
              <w:rPr>
                <w:rFonts w:hint="eastAsia" w:ascii="仿宋" w:hAnsi="仿宋" w:eastAsia="仿宋" w:cs="仿宋"/>
                <w:b/>
                <w:sz w:val="24"/>
              </w:rPr>
              <w:t>考核内容</w:t>
            </w:r>
          </w:p>
        </w:tc>
        <w:tc>
          <w:tcPr>
            <w:tcW w:w="1275" w:type="dxa"/>
            <w:gridSpan w:val="2"/>
            <w:noWrap w:val="0"/>
            <w:vAlign w:val="center"/>
          </w:tcPr>
          <w:p w14:paraId="0BD6CAE7">
            <w:pPr>
              <w:autoSpaceDE w:val="0"/>
              <w:autoSpaceDN w:val="0"/>
              <w:snapToGrid w:val="0"/>
              <w:jc w:val="center"/>
              <w:rPr>
                <w:rFonts w:hint="eastAsia" w:ascii="仿宋" w:hAnsi="仿宋" w:eastAsia="仿宋" w:cs="仿宋"/>
                <w:b/>
                <w:sz w:val="24"/>
              </w:rPr>
            </w:pPr>
            <w:r>
              <w:rPr>
                <w:rFonts w:hint="eastAsia" w:ascii="仿宋" w:hAnsi="仿宋" w:eastAsia="仿宋" w:cs="仿宋"/>
                <w:b/>
                <w:sz w:val="24"/>
              </w:rPr>
              <w:t>考核得分</w:t>
            </w:r>
          </w:p>
        </w:tc>
        <w:tc>
          <w:tcPr>
            <w:tcW w:w="1276" w:type="dxa"/>
            <w:noWrap w:val="0"/>
            <w:vAlign w:val="center"/>
          </w:tcPr>
          <w:p w14:paraId="22126236">
            <w:pPr>
              <w:autoSpaceDE w:val="0"/>
              <w:autoSpaceDN w:val="0"/>
              <w:snapToGrid w:val="0"/>
              <w:jc w:val="center"/>
              <w:rPr>
                <w:rFonts w:hint="eastAsia" w:ascii="仿宋" w:hAnsi="仿宋" w:eastAsia="仿宋" w:cs="仿宋"/>
                <w:b/>
                <w:sz w:val="24"/>
              </w:rPr>
            </w:pPr>
            <w:r>
              <w:rPr>
                <w:rFonts w:hint="eastAsia" w:ascii="仿宋" w:hAnsi="仿宋" w:eastAsia="仿宋" w:cs="仿宋"/>
                <w:b/>
                <w:sz w:val="24"/>
              </w:rPr>
              <w:t>备注</w:t>
            </w:r>
          </w:p>
        </w:tc>
      </w:tr>
      <w:tr w14:paraId="696C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771" w:type="dxa"/>
            <w:gridSpan w:val="4"/>
            <w:noWrap w:val="0"/>
            <w:vAlign w:val="center"/>
          </w:tcPr>
          <w:p w14:paraId="7CF85A15">
            <w:pPr>
              <w:autoSpaceDE w:val="0"/>
              <w:autoSpaceDN w:val="0"/>
              <w:snapToGrid w:val="0"/>
              <w:jc w:val="center"/>
              <w:rPr>
                <w:rFonts w:hint="eastAsia" w:ascii="仿宋" w:hAnsi="仿宋" w:eastAsia="仿宋" w:cs="仿宋"/>
                <w:b/>
                <w:sz w:val="24"/>
              </w:rPr>
            </w:pPr>
            <w:r>
              <w:rPr>
                <w:rFonts w:hint="eastAsia" w:ascii="仿宋" w:hAnsi="仿宋" w:eastAsia="仿宋" w:cs="仿宋"/>
                <w:b/>
                <w:sz w:val="24"/>
              </w:rPr>
              <w:t>（一）考核扣分项</w:t>
            </w:r>
          </w:p>
        </w:tc>
        <w:tc>
          <w:tcPr>
            <w:tcW w:w="1275" w:type="dxa"/>
            <w:gridSpan w:val="2"/>
            <w:noWrap w:val="0"/>
            <w:vAlign w:val="center"/>
          </w:tcPr>
          <w:p w14:paraId="0570EE0C">
            <w:pPr>
              <w:autoSpaceDE w:val="0"/>
              <w:autoSpaceDN w:val="0"/>
              <w:snapToGrid w:val="0"/>
              <w:jc w:val="center"/>
              <w:rPr>
                <w:rFonts w:hint="eastAsia" w:ascii="仿宋" w:hAnsi="仿宋" w:eastAsia="仿宋" w:cs="仿宋"/>
                <w:b/>
                <w:sz w:val="24"/>
              </w:rPr>
            </w:pPr>
          </w:p>
        </w:tc>
        <w:tc>
          <w:tcPr>
            <w:tcW w:w="1276" w:type="dxa"/>
            <w:noWrap w:val="0"/>
            <w:vAlign w:val="center"/>
          </w:tcPr>
          <w:p w14:paraId="76E46801">
            <w:pPr>
              <w:autoSpaceDE w:val="0"/>
              <w:autoSpaceDN w:val="0"/>
              <w:snapToGrid w:val="0"/>
              <w:jc w:val="center"/>
              <w:rPr>
                <w:rFonts w:hint="eastAsia" w:ascii="仿宋" w:hAnsi="仿宋" w:eastAsia="仿宋" w:cs="仿宋"/>
                <w:b/>
                <w:sz w:val="24"/>
              </w:rPr>
            </w:pPr>
          </w:p>
        </w:tc>
      </w:tr>
      <w:tr w14:paraId="658A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9DB1DB7">
            <w:pPr>
              <w:autoSpaceDE w:val="0"/>
              <w:autoSpaceDN w:val="0"/>
              <w:snapToGrid w:val="0"/>
              <w:jc w:val="center"/>
              <w:rPr>
                <w:rFonts w:hint="eastAsia" w:ascii="仿宋" w:hAnsi="仿宋" w:eastAsia="仿宋" w:cs="仿宋"/>
                <w:sz w:val="24"/>
              </w:rPr>
            </w:pPr>
            <w:r>
              <w:rPr>
                <w:rFonts w:hint="eastAsia" w:ascii="仿宋" w:hAnsi="仿宋" w:eastAsia="仿宋" w:cs="仿宋"/>
                <w:sz w:val="24"/>
              </w:rPr>
              <w:t>1</w:t>
            </w:r>
          </w:p>
        </w:tc>
        <w:tc>
          <w:tcPr>
            <w:tcW w:w="5954" w:type="dxa"/>
            <w:gridSpan w:val="3"/>
            <w:noWrap w:val="0"/>
            <w:vAlign w:val="center"/>
          </w:tcPr>
          <w:p w14:paraId="3559FA97">
            <w:pPr>
              <w:snapToGrid w:val="0"/>
              <w:rPr>
                <w:rFonts w:hint="eastAsia" w:ascii="仿宋" w:hAnsi="仿宋" w:eastAsia="仿宋" w:cs="仿宋"/>
                <w:sz w:val="24"/>
              </w:rPr>
            </w:pPr>
            <w:r>
              <w:rPr>
                <w:rFonts w:hint="eastAsia" w:ascii="仿宋" w:hAnsi="仿宋" w:eastAsia="仿宋" w:cs="仿宋"/>
                <w:sz w:val="24"/>
              </w:rPr>
              <w:t>投标人未按照要求对服务器、存储、网络交换机、设备等进行维保的，每发生一次扣1分。</w:t>
            </w:r>
          </w:p>
        </w:tc>
        <w:tc>
          <w:tcPr>
            <w:tcW w:w="1275" w:type="dxa"/>
            <w:gridSpan w:val="2"/>
            <w:noWrap w:val="0"/>
            <w:vAlign w:val="center"/>
          </w:tcPr>
          <w:p w14:paraId="2BFE9FB0">
            <w:pPr>
              <w:autoSpaceDE w:val="0"/>
              <w:autoSpaceDN w:val="0"/>
              <w:snapToGrid w:val="0"/>
              <w:rPr>
                <w:rFonts w:hint="eastAsia" w:ascii="仿宋" w:hAnsi="仿宋" w:eastAsia="仿宋" w:cs="仿宋"/>
                <w:sz w:val="24"/>
              </w:rPr>
            </w:pPr>
          </w:p>
        </w:tc>
        <w:tc>
          <w:tcPr>
            <w:tcW w:w="1276" w:type="dxa"/>
            <w:noWrap w:val="0"/>
            <w:vAlign w:val="center"/>
          </w:tcPr>
          <w:p w14:paraId="56F43956">
            <w:pPr>
              <w:autoSpaceDE w:val="0"/>
              <w:autoSpaceDN w:val="0"/>
              <w:snapToGrid w:val="0"/>
              <w:rPr>
                <w:rFonts w:hint="eastAsia" w:ascii="仿宋" w:hAnsi="仿宋" w:eastAsia="仿宋" w:cs="仿宋"/>
                <w:sz w:val="24"/>
              </w:rPr>
            </w:pPr>
          </w:p>
        </w:tc>
      </w:tr>
      <w:tr w14:paraId="230E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7" w:type="dxa"/>
            <w:noWrap w:val="0"/>
            <w:vAlign w:val="center"/>
          </w:tcPr>
          <w:p w14:paraId="688F8CE5">
            <w:pPr>
              <w:autoSpaceDE w:val="0"/>
              <w:autoSpaceDN w:val="0"/>
              <w:snapToGrid w:val="0"/>
              <w:jc w:val="center"/>
              <w:rPr>
                <w:rFonts w:hint="eastAsia" w:ascii="仿宋" w:hAnsi="仿宋" w:eastAsia="仿宋" w:cs="仿宋"/>
                <w:sz w:val="24"/>
              </w:rPr>
            </w:pPr>
            <w:r>
              <w:rPr>
                <w:rFonts w:hint="eastAsia" w:ascii="仿宋" w:hAnsi="仿宋" w:eastAsia="仿宋" w:cs="仿宋"/>
                <w:sz w:val="24"/>
              </w:rPr>
              <w:t>2</w:t>
            </w:r>
          </w:p>
        </w:tc>
        <w:tc>
          <w:tcPr>
            <w:tcW w:w="5954" w:type="dxa"/>
            <w:gridSpan w:val="3"/>
            <w:noWrap w:val="0"/>
            <w:vAlign w:val="center"/>
          </w:tcPr>
          <w:p w14:paraId="1BB86917">
            <w:pPr>
              <w:autoSpaceDE w:val="0"/>
              <w:autoSpaceDN w:val="0"/>
              <w:snapToGrid w:val="0"/>
              <w:rPr>
                <w:rFonts w:hint="eastAsia" w:ascii="仿宋" w:hAnsi="仿宋" w:eastAsia="仿宋" w:cs="仿宋"/>
                <w:sz w:val="24"/>
              </w:rPr>
            </w:pPr>
            <w:r>
              <w:rPr>
                <w:rFonts w:hint="eastAsia" w:ascii="仿宋" w:hAnsi="仿宋" w:eastAsia="仿宋" w:cs="仿宋"/>
                <w:sz w:val="24"/>
              </w:rPr>
              <w:t>投标人未按要求做到季度巡检的，每发生一次扣5分。</w:t>
            </w:r>
          </w:p>
        </w:tc>
        <w:tc>
          <w:tcPr>
            <w:tcW w:w="1275" w:type="dxa"/>
            <w:gridSpan w:val="2"/>
            <w:noWrap w:val="0"/>
            <w:vAlign w:val="center"/>
          </w:tcPr>
          <w:p w14:paraId="71E7C0E2">
            <w:pPr>
              <w:autoSpaceDE w:val="0"/>
              <w:autoSpaceDN w:val="0"/>
              <w:snapToGrid w:val="0"/>
              <w:rPr>
                <w:rFonts w:hint="eastAsia" w:ascii="仿宋" w:hAnsi="仿宋" w:eastAsia="仿宋" w:cs="仿宋"/>
                <w:sz w:val="24"/>
              </w:rPr>
            </w:pPr>
          </w:p>
        </w:tc>
        <w:tc>
          <w:tcPr>
            <w:tcW w:w="1276" w:type="dxa"/>
            <w:noWrap w:val="0"/>
            <w:vAlign w:val="center"/>
          </w:tcPr>
          <w:p w14:paraId="20E732A6">
            <w:pPr>
              <w:autoSpaceDE w:val="0"/>
              <w:autoSpaceDN w:val="0"/>
              <w:snapToGrid w:val="0"/>
              <w:rPr>
                <w:rFonts w:hint="eastAsia" w:ascii="仿宋" w:hAnsi="仿宋" w:eastAsia="仿宋" w:cs="仿宋"/>
                <w:sz w:val="24"/>
              </w:rPr>
            </w:pPr>
          </w:p>
        </w:tc>
      </w:tr>
      <w:tr w14:paraId="2BFA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13F513A">
            <w:pPr>
              <w:autoSpaceDE w:val="0"/>
              <w:autoSpaceDN w:val="0"/>
              <w:snapToGrid w:val="0"/>
              <w:jc w:val="center"/>
              <w:rPr>
                <w:rFonts w:hint="eastAsia" w:ascii="仿宋" w:hAnsi="仿宋" w:eastAsia="仿宋" w:cs="仿宋"/>
                <w:sz w:val="24"/>
              </w:rPr>
            </w:pPr>
            <w:r>
              <w:rPr>
                <w:rFonts w:hint="eastAsia" w:ascii="仿宋" w:hAnsi="仿宋" w:eastAsia="仿宋" w:cs="仿宋"/>
                <w:sz w:val="24"/>
              </w:rPr>
              <w:t>3</w:t>
            </w:r>
          </w:p>
        </w:tc>
        <w:tc>
          <w:tcPr>
            <w:tcW w:w="5954" w:type="dxa"/>
            <w:gridSpan w:val="3"/>
            <w:noWrap w:val="0"/>
            <w:vAlign w:val="center"/>
          </w:tcPr>
          <w:p w14:paraId="2ADF7C7A">
            <w:pPr>
              <w:autoSpaceDE w:val="0"/>
              <w:autoSpaceDN w:val="0"/>
              <w:snapToGrid w:val="0"/>
              <w:rPr>
                <w:rFonts w:hint="eastAsia" w:ascii="仿宋" w:hAnsi="仿宋" w:eastAsia="仿宋" w:cs="仿宋"/>
                <w:sz w:val="24"/>
              </w:rPr>
            </w:pPr>
            <w:r>
              <w:rPr>
                <w:rFonts w:hint="eastAsia" w:ascii="仿宋" w:hAnsi="仿宋" w:eastAsia="仿宋" w:cs="仿宋"/>
                <w:sz w:val="24"/>
              </w:rPr>
              <w:t>投标人未对设备系统软件提供安装、配置、升级、打补丁、备份、空间清理、故障处理、性能优化、存在隐患问题分析等日常管理服务的，每发生一次扣3分。</w:t>
            </w:r>
          </w:p>
        </w:tc>
        <w:tc>
          <w:tcPr>
            <w:tcW w:w="1275" w:type="dxa"/>
            <w:gridSpan w:val="2"/>
            <w:noWrap w:val="0"/>
            <w:vAlign w:val="center"/>
          </w:tcPr>
          <w:p w14:paraId="004EFC53">
            <w:pPr>
              <w:autoSpaceDE w:val="0"/>
              <w:autoSpaceDN w:val="0"/>
              <w:snapToGrid w:val="0"/>
              <w:rPr>
                <w:rFonts w:hint="eastAsia" w:ascii="仿宋" w:hAnsi="仿宋" w:eastAsia="仿宋" w:cs="仿宋"/>
                <w:sz w:val="24"/>
              </w:rPr>
            </w:pPr>
          </w:p>
        </w:tc>
        <w:tc>
          <w:tcPr>
            <w:tcW w:w="1276" w:type="dxa"/>
            <w:noWrap w:val="0"/>
            <w:vAlign w:val="center"/>
          </w:tcPr>
          <w:p w14:paraId="250DE432">
            <w:pPr>
              <w:autoSpaceDE w:val="0"/>
              <w:autoSpaceDN w:val="0"/>
              <w:snapToGrid w:val="0"/>
              <w:rPr>
                <w:rFonts w:hint="eastAsia" w:ascii="仿宋" w:hAnsi="仿宋" w:eastAsia="仿宋" w:cs="仿宋"/>
                <w:sz w:val="24"/>
              </w:rPr>
            </w:pPr>
          </w:p>
        </w:tc>
      </w:tr>
      <w:tr w14:paraId="01C1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17" w:type="dxa"/>
            <w:noWrap w:val="0"/>
            <w:vAlign w:val="center"/>
          </w:tcPr>
          <w:p w14:paraId="325483F7">
            <w:pPr>
              <w:autoSpaceDE w:val="0"/>
              <w:autoSpaceDN w:val="0"/>
              <w:snapToGrid w:val="0"/>
              <w:jc w:val="center"/>
              <w:rPr>
                <w:rFonts w:hint="eastAsia" w:ascii="仿宋" w:hAnsi="仿宋" w:eastAsia="仿宋" w:cs="仿宋"/>
                <w:sz w:val="24"/>
              </w:rPr>
            </w:pPr>
            <w:r>
              <w:rPr>
                <w:rFonts w:hint="eastAsia" w:ascii="仿宋" w:hAnsi="仿宋" w:eastAsia="仿宋" w:cs="仿宋"/>
                <w:sz w:val="24"/>
              </w:rPr>
              <w:t>4</w:t>
            </w:r>
          </w:p>
        </w:tc>
        <w:tc>
          <w:tcPr>
            <w:tcW w:w="5954" w:type="dxa"/>
            <w:gridSpan w:val="3"/>
            <w:noWrap w:val="0"/>
            <w:vAlign w:val="center"/>
          </w:tcPr>
          <w:p w14:paraId="54A9C646">
            <w:pPr>
              <w:autoSpaceDE w:val="0"/>
              <w:autoSpaceDN w:val="0"/>
              <w:snapToGrid w:val="0"/>
              <w:rPr>
                <w:rFonts w:hint="eastAsia" w:ascii="仿宋" w:hAnsi="仿宋" w:eastAsia="仿宋" w:cs="仿宋"/>
                <w:sz w:val="24"/>
              </w:rPr>
            </w:pPr>
            <w:r>
              <w:rPr>
                <w:rFonts w:hint="eastAsia" w:ascii="仿宋" w:hAnsi="仿宋" w:eastAsia="仿宋" w:cs="仿宋"/>
                <w:sz w:val="24"/>
              </w:rPr>
              <w:t>投标人未按要求对服务器、存储、交换机进行调整使用时，进行软硬件的安装、配置、优化的，每发生一次扣1分。</w:t>
            </w:r>
          </w:p>
        </w:tc>
        <w:tc>
          <w:tcPr>
            <w:tcW w:w="1275" w:type="dxa"/>
            <w:gridSpan w:val="2"/>
            <w:noWrap w:val="0"/>
            <w:vAlign w:val="center"/>
          </w:tcPr>
          <w:p w14:paraId="029FC369">
            <w:pPr>
              <w:autoSpaceDE w:val="0"/>
              <w:autoSpaceDN w:val="0"/>
              <w:snapToGrid w:val="0"/>
              <w:rPr>
                <w:rFonts w:hint="eastAsia" w:ascii="仿宋" w:hAnsi="仿宋" w:eastAsia="仿宋" w:cs="仿宋"/>
                <w:sz w:val="24"/>
              </w:rPr>
            </w:pPr>
          </w:p>
        </w:tc>
        <w:tc>
          <w:tcPr>
            <w:tcW w:w="1276" w:type="dxa"/>
            <w:noWrap w:val="0"/>
            <w:vAlign w:val="center"/>
          </w:tcPr>
          <w:p w14:paraId="0445F19C">
            <w:pPr>
              <w:autoSpaceDE w:val="0"/>
              <w:autoSpaceDN w:val="0"/>
              <w:snapToGrid w:val="0"/>
              <w:rPr>
                <w:rFonts w:hint="eastAsia" w:ascii="仿宋" w:hAnsi="仿宋" w:eastAsia="仿宋" w:cs="仿宋"/>
                <w:sz w:val="24"/>
              </w:rPr>
            </w:pPr>
          </w:p>
        </w:tc>
      </w:tr>
      <w:tr w14:paraId="13FB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86BAA53">
            <w:pPr>
              <w:autoSpaceDE w:val="0"/>
              <w:autoSpaceDN w:val="0"/>
              <w:snapToGrid w:val="0"/>
              <w:jc w:val="center"/>
              <w:rPr>
                <w:rFonts w:hint="eastAsia" w:ascii="仿宋" w:hAnsi="仿宋" w:eastAsia="仿宋" w:cs="仿宋"/>
                <w:sz w:val="24"/>
              </w:rPr>
            </w:pPr>
            <w:r>
              <w:rPr>
                <w:rFonts w:hint="eastAsia" w:ascii="仿宋" w:hAnsi="仿宋" w:eastAsia="仿宋" w:cs="仿宋"/>
                <w:sz w:val="24"/>
              </w:rPr>
              <w:t>5</w:t>
            </w:r>
          </w:p>
        </w:tc>
        <w:tc>
          <w:tcPr>
            <w:tcW w:w="5954" w:type="dxa"/>
            <w:gridSpan w:val="3"/>
            <w:noWrap w:val="0"/>
            <w:vAlign w:val="center"/>
          </w:tcPr>
          <w:p w14:paraId="31B3BA0C">
            <w:pPr>
              <w:snapToGrid w:val="0"/>
              <w:rPr>
                <w:rFonts w:hint="eastAsia" w:ascii="仿宋" w:hAnsi="仿宋" w:eastAsia="仿宋" w:cs="仿宋"/>
                <w:sz w:val="24"/>
              </w:rPr>
            </w:pPr>
            <w:r>
              <w:rPr>
                <w:rFonts w:hint="eastAsia" w:ascii="仿宋" w:hAnsi="仿宋" w:eastAsia="仿宋" w:cs="仿宋"/>
                <w:sz w:val="24"/>
              </w:rPr>
              <w:t>投标人未按要求对虚拟化平台、数据备份、数据库维护、等进行服务的，每发生一次扣3分；</w:t>
            </w:r>
          </w:p>
        </w:tc>
        <w:tc>
          <w:tcPr>
            <w:tcW w:w="1275" w:type="dxa"/>
            <w:gridSpan w:val="2"/>
            <w:noWrap w:val="0"/>
            <w:vAlign w:val="center"/>
          </w:tcPr>
          <w:p w14:paraId="0CFF1945">
            <w:pPr>
              <w:autoSpaceDE w:val="0"/>
              <w:autoSpaceDN w:val="0"/>
              <w:snapToGrid w:val="0"/>
              <w:rPr>
                <w:rFonts w:hint="eastAsia" w:ascii="仿宋" w:hAnsi="仿宋" w:eastAsia="仿宋" w:cs="仿宋"/>
                <w:sz w:val="24"/>
              </w:rPr>
            </w:pPr>
          </w:p>
        </w:tc>
        <w:tc>
          <w:tcPr>
            <w:tcW w:w="1276" w:type="dxa"/>
            <w:noWrap w:val="0"/>
            <w:vAlign w:val="center"/>
          </w:tcPr>
          <w:p w14:paraId="4BA454C2">
            <w:pPr>
              <w:autoSpaceDE w:val="0"/>
              <w:autoSpaceDN w:val="0"/>
              <w:snapToGrid w:val="0"/>
              <w:rPr>
                <w:rFonts w:hint="eastAsia" w:ascii="仿宋" w:hAnsi="仿宋" w:eastAsia="仿宋" w:cs="仿宋"/>
                <w:sz w:val="24"/>
              </w:rPr>
            </w:pPr>
          </w:p>
        </w:tc>
      </w:tr>
      <w:tr w14:paraId="16B3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EF259A7">
            <w:pPr>
              <w:autoSpaceDE w:val="0"/>
              <w:autoSpaceDN w:val="0"/>
              <w:snapToGrid w:val="0"/>
              <w:jc w:val="center"/>
              <w:rPr>
                <w:rFonts w:hint="eastAsia" w:ascii="仿宋" w:hAnsi="仿宋" w:eastAsia="仿宋" w:cs="仿宋"/>
                <w:sz w:val="24"/>
              </w:rPr>
            </w:pPr>
            <w:r>
              <w:rPr>
                <w:rFonts w:hint="eastAsia" w:ascii="仿宋" w:hAnsi="仿宋" w:eastAsia="仿宋" w:cs="仿宋"/>
                <w:sz w:val="24"/>
              </w:rPr>
              <w:t>6</w:t>
            </w:r>
          </w:p>
        </w:tc>
        <w:tc>
          <w:tcPr>
            <w:tcW w:w="5954" w:type="dxa"/>
            <w:gridSpan w:val="3"/>
            <w:noWrap w:val="0"/>
            <w:vAlign w:val="center"/>
          </w:tcPr>
          <w:p w14:paraId="5E240333">
            <w:pPr>
              <w:snapToGrid w:val="0"/>
              <w:rPr>
                <w:rFonts w:hint="eastAsia" w:ascii="仿宋" w:hAnsi="仿宋" w:eastAsia="仿宋" w:cs="仿宋"/>
                <w:sz w:val="24"/>
              </w:rPr>
            </w:pPr>
            <w:r>
              <w:rPr>
                <w:rFonts w:hint="eastAsia" w:ascii="仿宋" w:hAnsi="仿宋" w:eastAsia="仿宋" w:cs="仿宋"/>
                <w:sz w:val="24"/>
              </w:rPr>
              <w:t>投标人未按要求对渗透测试、漏洞扫描、应急响应、应急演练等进行维护，每发生一次扣3分</w:t>
            </w:r>
          </w:p>
        </w:tc>
        <w:tc>
          <w:tcPr>
            <w:tcW w:w="1275" w:type="dxa"/>
            <w:gridSpan w:val="2"/>
            <w:noWrap w:val="0"/>
            <w:vAlign w:val="center"/>
          </w:tcPr>
          <w:p w14:paraId="6117BA9D">
            <w:pPr>
              <w:autoSpaceDE w:val="0"/>
              <w:autoSpaceDN w:val="0"/>
              <w:snapToGrid w:val="0"/>
              <w:rPr>
                <w:rFonts w:hint="eastAsia" w:ascii="仿宋" w:hAnsi="仿宋" w:eastAsia="仿宋" w:cs="仿宋"/>
                <w:sz w:val="24"/>
              </w:rPr>
            </w:pPr>
          </w:p>
        </w:tc>
        <w:tc>
          <w:tcPr>
            <w:tcW w:w="1276" w:type="dxa"/>
            <w:noWrap w:val="0"/>
            <w:vAlign w:val="center"/>
          </w:tcPr>
          <w:p w14:paraId="52D90165">
            <w:pPr>
              <w:autoSpaceDE w:val="0"/>
              <w:autoSpaceDN w:val="0"/>
              <w:snapToGrid w:val="0"/>
              <w:rPr>
                <w:rFonts w:hint="eastAsia" w:ascii="仿宋" w:hAnsi="仿宋" w:eastAsia="仿宋" w:cs="仿宋"/>
                <w:sz w:val="24"/>
              </w:rPr>
            </w:pPr>
          </w:p>
        </w:tc>
      </w:tr>
      <w:tr w14:paraId="251A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9F06E98">
            <w:pPr>
              <w:autoSpaceDE w:val="0"/>
              <w:autoSpaceDN w:val="0"/>
              <w:snapToGrid w:val="0"/>
              <w:jc w:val="center"/>
              <w:rPr>
                <w:rFonts w:hint="eastAsia" w:ascii="仿宋" w:hAnsi="仿宋" w:eastAsia="仿宋" w:cs="仿宋"/>
                <w:sz w:val="24"/>
              </w:rPr>
            </w:pPr>
            <w:r>
              <w:rPr>
                <w:rFonts w:hint="eastAsia" w:ascii="仿宋" w:hAnsi="仿宋" w:eastAsia="仿宋" w:cs="仿宋"/>
                <w:sz w:val="24"/>
              </w:rPr>
              <w:t>7</w:t>
            </w:r>
          </w:p>
        </w:tc>
        <w:tc>
          <w:tcPr>
            <w:tcW w:w="5954" w:type="dxa"/>
            <w:gridSpan w:val="3"/>
            <w:noWrap w:val="0"/>
            <w:vAlign w:val="center"/>
          </w:tcPr>
          <w:p w14:paraId="0D4A5DE2">
            <w:pPr>
              <w:snapToGrid w:val="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kern w:val="0"/>
                <w:sz w:val="24"/>
                <w:lang w:bidi="ar"/>
              </w:rPr>
              <w:t>人员配备要求达不到合同条款要求的，每发生一次扣5</w:t>
            </w:r>
            <w:r>
              <w:rPr>
                <w:rFonts w:hint="eastAsia" w:ascii="仿宋" w:hAnsi="仿宋" w:eastAsia="仿宋" w:cs="仿宋"/>
                <w:kern w:val="0"/>
                <w:sz w:val="24"/>
                <w:lang w:eastAsia="zh-Hans" w:bidi="ar"/>
              </w:rPr>
              <w:t>分。</w:t>
            </w:r>
          </w:p>
        </w:tc>
        <w:tc>
          <w:tcPr>
            <w:tcW w:w="1275" w:type="dxa"/>
            <w:gridSpan w:val="2"/>
            <w:noWrap w:val="0"/>
            <w:vAlign w:val="center"/>
          </w:tcPr>
          <w:p w14:paraId="45DDDBAC">
            <w:pPr>
              <w:autoSpaceDE w:val="0"/>
              <w:autoSpaceDN w:val="0"/>
              <w:snapToGrid w:val="0"/>
              <w:rPr>
                <w:rFonts w:hint="eastAsia" w:ascii="仿宋" w:hAnsi="仿宋" w:eastAsia="仿宋" w:cs="仿宋"/>
                <w:sz w:val="24"/>
              </w:rPr>
            </w:pPr>
          </w:p>
        </w:tc>
        <w:tc>
          <w:tcPr>
            <w:tcW w:w="1276" w:type="dxa"/>
            <w:noWrap w:val="0"/>
            <w:vAlign w:val="center"/>
          </w:tcPr>
          <w:p w14:paraId="614E2F65">
            <w:pPr>
              <w:autoSpaceDE w:val="0"/>
              <w:autoSpaceDN w:val="0"/>
              <w:snapToGrid w:val="0"/>
              <w:rPr>
                <w:rFonts w:hint="eastAsia" w:ascii="仿宋" w:hAnsi="仿宋" w:eastAsia="仿宋" w:cs="仿宋"/>
                <w:sz w:val="24"/>
              </w:rPr>
            </w:pPr>
          </w:p>
        </w:tc>
      </w:tr>
      <w:tr w14:paraId="75B5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1022F3D">
            <w:pPr>
              <w:autoSpaceDE w:val="0"/>
              <w:autoSpaceDN w:val="0"/>
              <w:snapToGrid w:val="0"/>
              <w:jc w:val="center"/>
              <w:rPr>
                <w:rFonts w:hint="eastAsia" w:ascii="仿宋" w:hAnsi="仿宋" w:eastAsia="仿宋" w:cs="仿宋"/>
                <w:sz w:val="24"/>
              </w:rPr>
            </w:pPr>
            <w:r>
              <w:rPr>
                <w:rFonts w:hint="eastAsia" w:ascii="仿宋" w:hAnsi="仿宋" w:eastAsia="仿宋" w:cs="仿宋"/>
                <w:sz w:val="24"/>
              </w:rPr>
              <w:t>8</w:t>
            </w:r>
          </w:p>
        </w:tc>
        <w:tc>
          <w:tcPr>
            <w:tcW w:w="5954" w:type="dxa"/>
            <w:gridSpan w:val="3"/>
            <w:noWrap w:val="0"/>
            <w:vAlign w:val="center"/>
          </w:tcPr>
          <w:p w14:paraId="35C6A2EF">
            <w:pPr>
              <w:autoSpaceDE w:val="0"/>
              <w:autoSpaceDN w:val="0"/>
              <w:snapToGrid w:val="0"/>
              <w:rPr>
                <w:rFonts w:hint="eastAsia" w:ascii="仿宋" w:hAnsi="仿宋" w:eastAsia="仿宋" w:cs="仿宋"/>
                <w:sz w:val="24"/>
              </w:rPr>
            </w:pPr>
            <w:r>
              <w:rPr>
                <w:rFonts w:hint="eastAsia" w:ascii="仿宋" w:hAnsi="仿宋" w:eastAsia="仿宋" w:cs="仿宋"/>
                <w:sz w:val="24"/>
              </w:rPr>
              <w:t>投标人未按照需求内容建立备品备件库，或未在规定时间内提供备品备件的，每发生一次扣5分。</w:t>
            </w:r>
          </w:p>
        </w:tc>
        <w:tc>
          <w:tcPr>
            <w:tcW w:w="1275" w:type="dxa"/>
            <w:gridSpan w:val="2"/>
            <w:noWrap w:val="0"/>
            <w:vAlign w:val="center"/>
          </w:tcPr>
          <w:p w14:paraId="4F62AFC6">
            <w:pPr>
              <w:autoSpaceDE w:val="0"/>
              <w:autoSpaceDN w:val="0"/>
              <w:snapToGrid w:val="0"/>
              <w:rPr>
                <w:rFonts w:hint="eastAsia" w:ascii="仿宋" w:hAnsi="仿宋" w:eastAsia="仿宋" w:cs="仿宋"/>
                <w:sz w:val="24"/>
              </w:rPr>
            </w:pPr>
          </w:p>
        </w:tc>
        <w:tc>
          <w:tcPr>
            <w:tcW w:w="1276" w:type="dxa"/>
            <w:noWrap w:val="0"/>
            <w:vAlign w:val="center"/>
          </w:tcPr>
          <w:p w14:paraId="3B8FADD9">
            <w:pPr>
              <w:autoSpaceDE w:val="0"/>
              <w:autoSpaceDN w:val="0"/>
              <w:snapToGrid w:val="0"/>
              <w:rPr>
                <w:rFonts w:hint="eastAsia" w:ascii="仿宋" w:hAnsi="仿宋" w:eastAsia="仿宋" w:cs="仿宋"/>
                <w:sz w:val="24"/>
              </w:rPr>
            </w:pPr>
          </w:p>
        </w:tc>
      </w:tr>
      <w:tr w14:paraId="351C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71F76D7">
            <w:pPr>
              <w:autoSpaceDE w:val="0"/>
              <w:autoSpaceDN w:val="0"/>
              <w:snapToGrid w:val="0"/>
              <w:jc w:val="center"/>
              <w:rPr>
                <w:rFonts w:hint="eastAsia" w:ascii="仿宋" w:hAnsi="仿宋" w:eastAsia="仿宋" w:cs="仿宋"/>
                <w:sz w:val="24"/>
              </w:rPr>
            </w:pPr>
            <w:r>
              <w:rPr>
                <w:rFonts w:hint="eastAsia" w:ascii="仿宋" w:hAnsi="仿宋" w:eastAsia="仿宋" w:cs="仿宋"/>
                <w:sz w:val="24"/>
              </w:rPr>
              <w:t>9</w:t>
            </w:r>
          </w:p>
        </w:tc>
        <w:tc>
          <w:tcPr>
            <w:tcW w:w="5954" w:type="dxa"/>
            <w:gridSpan w:val="3"/>
            <w:noWrap w:val="0"/>
            <w:vAlign w:val="center"/>
          </w:tcPr>
          <w:p w14:paraId="2135E022">
            <w:pPr>
              <w:snapToGrid w:val="0"/>
              <w:rPr>
                <w:rFonts w:hint="eastAsia" w:ascii="仿宋" w:hAnsi="仿宋" w:eastAsia="仿宋" w:cs="仿宋"/>
                <w:sz w:val="24"/>
              </w:rPr>
            </w:pPr>
            <w:r>
              <w:rPr>
                <w:rFonts w:hint="eastAsia" w:ascii="仿宋" w:hAnsi="仿宋" w:eastAsia="仿宋" w:cs="仿宋"/>
                <w:sz w:val="24"/>
              </w:rPr>
              <w:t>投标人未按照要求提供文档的，每发生一次扣5分。</w:t>
            </w:r>
          </w:p>
        </w:tc>
        <w:tc>
          <w:tcPr>
            <w:tcW w:w="1275" w:type="dxa"/>
            <w:gridSpan w:val="2"/>
            <w:noWrap w:val="0"/>
            <w:vAlign w:val="center"/>
          </w:tcPr>
          <w:p w14:paraId="3912E169">
            <w:pPr>
              <w:autoSpaceDE w:val="0"/>
              <w:autoSpaceDN w:val="0"/>
              <w:snapToGrid w:val="0"/>
              <w:rPr>
                <w:rFonts w:hint="eastAsia" w:ascii="仿宋" w:hAnsi="仿宋" w:eastAsia="仿宋" w:cs="仿宋"/>
                <w:sz w:val="24"/>
              </w:rPr>
            </w:pPr>
          </w:p>
        </w:tc>
        <w:tc>
          <w:tcPr>
            <w:tcW w:w="1276" w:type="dxa"/>
            <w:noWrap w:val="0"/>
            <w:vAlign w:val="center"/>
          </w:tcPr>
          <w:p w14:paraId="24811DED">
            <w:pPr>
              <w:autoSpaceDE w:val="0"/>
              <w:autoSpaceDN w:val="0"/>
              <w:snapToGrid w:val="0"/>
              <w:rPr>
                <w:rFonts w:hint="eastAsia" w:ascii="仿宋" w:hAnsi="仿宋" w:eastAsia="仿宋" w:cs="仿宋"/>
                <w:sz w:val="24"/>
              </w:rPr>
            </w:pPr>
          </w:p>
        </w:tc>
      </w:tr>
      <w:tr w14:paraId="7CE1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D43EAB4">
            <w:pPr>
              <w:autoSpaceDE w:val="0"/>
              <w:autoSpaceDN w:val="0"/>
              <w:snapToGrid w:val="0"/>
              <w:jc w:val="center"/>
              <w:rPr>
                <w:rFonts w:hint="eastAsia" w:ascii="仿宋" w:hAnsi="仿宋" w:eastAsia="仿宋" w:cs="仿宋"/>
                <w:sz w:val="24"/>
              </w:rPr>
            </w:pPr>
            <w:r>
              <w:rPr>
                <w:rFonts w:hint="eastAsia" w:ascii="仿宋" w:hAnsi="仿宋" w:eastAsia="仿宋" w:cs="仿宋"/>
                <w:sz w:val="24"/>
              </w:rPr>
              <w:t>10</w:t>
            </w:r>
          </w:p>
        </w:tc>
        <w:tc>
          <w:tcPr>
            <w:tcW w:w="5954" w:type="dxa"/>
            <w:gridSpan w:val="3"/>
            <w:noWrap w:val="0"/>
            <w:vAlign w:val="center"/>
          </w:tcPr>
          <w:p w14:paraId="71B3EE73">
            <w:pPr>
              <w:widowControl/>
              <w:jc w:val="left"/>
              <w:rPr>
                <w:rFonts w:hint="eastAsia" w:ascii="仿宋" w:hAnsi="仿宋" w:eastAsia="仿宋" w:cs="仿宋"/>
                <w:sz w:val="24"/>
                <w:lang w:eastAsia="zh-Hans"/>
              </w:rPr>
            </w:pPr>
            <w:r>
              <w:rPr>
                <w:rFonts w:hint="eastAsia" w:ascii="仿宋" w:hAnsi="仿宋" w:eastAsia="仿宋" w:cs="仿宋"/>
                <w:sz w:val="24"/>
              </w:rPr>
              <w:t>投标人未遵守采购人的各项规章制度的，每发生一次扣5分。</w:t>
            </w:r>
          </w:p>
        </w:tc>
        <w:tc>
          <w:tcPr>
            <w:tcW w:w="1275" w:type="dxa"/>
            <w:gridSpan w:val="2"/>
            <w:noWrap w:val="0"/>
            <w:vAlign w:val="center"/>
          </w:tcPr>
          <w:p w14:paraId="76BBC929">
            <w:pPr>
              <w:autoSpaceDE w:val="0"/>
              <w:autoSpaceDN w:val="0"/>
              <w:snapToGrid w:val="0"/>
              <w:rPr>
                <w:rFonts w:hint="eastAsia" w:ascii="仿宋" w:hAnsi="仿宋" w:eastAsia="仿宋" w:cs="仿宋"/>
                <w:sz w:val="24"/>
              </w:rPr>
            </w:pPr>
          </w:p>
        </w:tc>
        <w:tc>
          <w:tcPr>
            <w:tcW w:w="1276" w:type="dxa"/>
            <w:noWrap w:val="0"/>
            <w:vAlign w:val="center"/>
          </w:tcPr>
          <w:p w14:paraId="3E3D80A2">
            <w:pPr>
              <w:autoSpaceDE w:val="0"/>
              <w:autoSpaceDN w:val="0"/>
              <w:snapToGrid w:val="0"/>
              <w:rPr>
                <w:rFonts w:hint="eastAsia" w:ascii="仿宋" w:hAnsi="仿宋" w:eastAsia="仿宋" w:cs="仿宋"/>
                <w:sz w:val="24"/>
              </w:rPr>
            </w:pPr>
          </w:p>
        </w:tc>
      </w:tr>
      <w:tr w14:paraId="043F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7602D60">
            <w:pPr>
              <w:autoSpaceDE w:val="0"/>
              <w:autoSpaceDN w:val="0"/>
              <w:snapToGrid w:val="0"/>
              <w:jc w:val="center"/>
              <w:rPr>
                <w:rFonts w:hint="eastAsia" w:ascii="仿宋" w:hAnsi="仿宋" w:eastAsia="仿宋" w:cs="仿宋"/>
                <w:sz w:val="24"/>
              </w:rPr>
            </w:pPr>
            <w:r>
              <w:rPr>
                <w:rFonts w:hint="eastAsia" w:ascii="仿宋" w:hAnsi="仿宋" w:eastAsia="仿宋" w:cs="仿宋"/>
                <w:sz w:val="24"/>
              </w:rPr>
              <w:t>11</w:t>
            </w:r>
          </w:p>
        </w:tc>
        <w:tc>
          <w:tcPr>
            <w:tcW w:w="5954" w:type="dxa"/>
            <w:gridSpan w:val="3"/>
            <w:noWrap w:val="0"/>
            <w:vAlign w:val="center"/>
          </w:tcPr>
          <w:p w14:paraId="42826D3D">
            <w:pPr>
              <w:snapToGrid w:val="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kern w:val="0"/>
                <w:sz w:val="24"/>
                <w:lang w:bidi="ar"/>
              </w:rPr>
              <w:t>发生违反相关保密规定、未按网络安全履行责任和义务的,每发生一次扣除违约金10000元/次外，采购人将追究投标人一切法律责任。</w:t>
            </w:r>
          </w:p>
        </w:tc>
        <w:tc>
          <w:tcPr>
            <w:tcW w:w="1275" w:type="dxa"/>
            <w:gridSpan w:val="2"/>
            <w:noWrap w:val="0"/>
            <w:vAlign w:val="center"/>
          </w:tcPr>
          <w:p w14:paraId="7E0C1A3E">
            <w:pPr>
              <w:autoSpaceDE w:val="0"/>
              <w:autoSpaceDN w:val="0"/>
              <w:snapToGrid w:val="0"/>
              <w:rPr>
                <w:rFonts w:hint="eastAsia" w:ascii="仿宋" w:hAnsi="仿宋" w:eastAsia="仿宋" w:cs="仿宋"/>
                <w:sz w:val="24"/>
              </w:rPr>
            </w:pPr>
          </w:p>
        </w:tc>
        <w:tc>
          <w:tcPr>
            <w:tcW w:w="1276" w:type="dxa"/>
            <w:noWrap w:val="0"/>
            <w:vAlign w:val="center"/>
          </w:tcPr>
          <w:p w14:paraId="261FA099">
            <w:pPr>
              <w:autoSpaceDE w:val="0"/>
              <w:autoSpaceDN w:val="0"/>
              <w:snapToGrid w:val="0"/>
              <w:rPr>
                <w:rFonts w:hint="eastAsia" w:ascii="仿宋" w:hAnsi="仿宋" w:eastAsia="仿宋" w:cs="仿宋"/>
                <w:sz w:val="24"/>
              </w:rPr>
            </w:pPr>
          </w:p>
        </w:tc>
      </w:tr>
      <w:tr w14:paraId="0919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gridSpan w:val="4"/>
            <w:noWrap w:val="0"/>
            <w:vAlign w:val="center"/>
          </w:tcPr>
          <w:p w14:paraId="0886471C">
            <w:pPr>
              <w:snapToGrid w:val="0"/>
              <w:jc w:val="center"/>
              <w:rPr>
                <w:rFonts w:hint="eastAsia" w:ascii="仿宋" w:hAnsi="仿宋" w:eastAsia="仿宋" w:cs="仿宋"/>
                <w:sz w:val="24"/>
              </w:rPr>
            </w:pPr>
            <w:r>
              <w:rPr>
                <w:rFonts w:hint="eastAsia" w:ascii="仿宋" w:hAnsi="仿宋" w:eastAsia="仿宋" w:cs="仿宋"/>
                <w:sz w:val="24"/>
                <w:lang w:eastAsia="zh-CN"/>
              </w:rPr>
              <w:t>总计</w:t>
            </w:r>
          </w:p>
        </w:tc>
        <w:tc>
          <w:tcPr>
            <w:tcW w:w="1275" w:type="dxa"/>
            <w:gridSpan w:val="2"/>
            <w:noWrap w:val="0"/>
            <w:vAlign w:val="center"/>
          </w:tcPr>
          <w:p w14:paraId="73986A81">
            <w:pPr>
              <w:autoSpaceDE w:val="0"/>
              <w:autoSpaceDN w:val="0"/>
              <w:snapToGrid w:val="0"/>
              <w:rPr>
                <w:rFonts w:hint="eastAsia" w:ascii="仿宋" w:hAnsi="仿宋" w:eastAsia="仿宋" w:cs="仿宋"/>
                <w:sz w:val="24"/>
              </w:rPr>
            </w:pPr>
          </w:p>
        </w:tc>
        <w:tc>
          <w:tcPr>
            <w:tcW w:w="1276" w:type="dxa"/>
            <w:noWrap w:val="0"/>
            <w:vAlign w:val="center"/>
          </w:tcPr>
          <w:p w14:paraId="6ADE15F4">
            <w:pPr>
              <w:autoSpaceDE w:val="0"/>
              <w:autoSpaceDN w:val="0"/>
              <w:snapToGrid w:val="0"/>
              <w:rPr>
                <w:rFonts w:hint="eastAsia" w:ascii="仿宋" w:hAnsi="仿宋" w:eastAsia="仿宋" w:cs="仿宋"/>
                <w:sz w:val="24"/>
              </w:rPr>
            </w:pPr>
          </w:p>
        </w:tc>
      </w:tr>
    </w:tbl>
    <w:p w14:paraId="07584F62">
      <w:pPr>
        <w:rPr>
          <w:rFonts w:hint="eastAsia"/>
        </w:rPr>
      </w:pPr>
      <w:r>
        <w:rPr>
          <w:rFonts w:hint="eastAsia"/>
        </w:rPr>
        <w:br w:type="page"/>
      </w:r>
    </w:p>
    <w:p w14:paraId="3A4DDA24">
      <w:pPr>
        <w:pStyle w:val="2"/>
        <w:bidi w:val="0"/>
        <w:rPr>
          <w:rFonts w:hint="eastAsia"/>
        </w:rPr>
      </w:pPr>
      <w:r>
        <w:rPr>
          <w:rFonts w:hint="eastAsia"/>
        </w:rPr>
        <w:t>第四部分 磋商原则及磋商方法</w:t>
      </w:r>
      <w:bookmarkEnd w:id="68"/>
      <w:bookmarkEnd w:id="78"/>
    </w:p>
    <w:p w14:paraId="2A0EA15C">
      <w:pPr>
        <w:pStyle w:val="3"/>
        <w:numPr>
          <w:ilvl w:val="0"/>
          <w:numId w:val="18"/>
        </w:numPr>
        <w:jc w:val="center"/>
        <w:rPr>
          <w:rFonts w:hint="eastAsia" w:ascii="宋体" w:hAnsi="宋体" w:eastAsia="宋体" w:cs="宋体"/>
          <w:color w:val="auto"/>
          <w:highlight w:val="none"/>
        </w:rPr>
      </w:pPr>
      <w:bookmarkStart w:id="79" w:name="_Toc1265"/>
      <w:bookmarkStart w:id="80" w:name="_Toc15829"/>
      <w:r>
        <w:rPr>
          <w:rFonts w:hint="eastAsia" w:ascii="宋体" w:hAnsi="宋体" w:eastAsia="宋体" w:cs="宋体"/>
          <w:color w:val="auto"/>
          <w:highlight w:val="none"/>
        </w:rPr>
        <w:t>磋商原则</w:t>
      </w:r>
      <w:bookmarkEnd w:id="79"/>
      <w:bookmarkEnd w:id="80"/>
    </w:p>
    <w:p w14:paraId="17DCFC46">
      <w:pPr>
        <w:pStyle w:val="6"/>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1、本次竞争性磋商本着公平、公正、科学、择优的原则，邀请各磋商方参加报价。</w:t>
      </w:r>
    </w:p>
    <w:p w14:paraId="580EFC35">
      <w:pPr>
        <w:pStyle w:val="6"/>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2、磋商小组将严格按照竞争性磋商文件的要求，对供应商的响应性文件进行认真评审；磋商小组对响应性文件的评审仅依据响应性文件本身，而不依据响应性文件以外的任何因素。</w:t>
      </w:r>
    </w:p>
    <w:p w14:paraId="49D20942">
      <w:pPr>
        <w:pStyle w:val="6"/>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3、磋商小组按照统一的磋商原则和磋商方法，用同一标准对所有响应性文件进行评审。</w:t>
      </w:r>
    </w:p>
    <w:p w14:paraId="1FCD3E5D">
      <w:pPr>
        <w:pStyle w:val="12"/>
        <w:keepNext w:val="0"/>
        <w:keepLines w:val="0"/>
        <w:pageBreakBefore w:val="0"/>
        <w:widowControl w:val="0"/>
        <w:kinsoku/>
        <w:wordWrap/>
        <w:overflowPunct/>
        <w:topLinePunct w:val="0"/>
        <w:autoSpaceDE/>
        <w:autoSpaceDN/>
        <w:bidi w:val="0"/>
        <w:snapToGrid/>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4、评审</w:t>
      </w:r>
    </w:p>
    <w:p w14:paraId="4ABBDEAF">
      <w:pPr>
        <w:pStyle w:val="12"/>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4.1在磋商响应截止时间前按规定提交响应文件的供应商在三家（含）以上的，由采购人或采购代理机构组织进行开标。</w:t>
      </w:r>
    </w:p>
    <w:p w14:paraId="63CEF735">
      <w:pPr>
        <w:pStyle w:val="12"/>
        <w:keepNext w:val="0"/>
        <w:keepLines w:val="0"/>
        <w:pageBreakBefore w:val="0"/>
        <w:widowControl w:val="0"/>
        <w:kinsoku/>
        <w:wordWrap/>
        <w:overflowPunct/>
        <w:topLinePunct w:val="0"/>
        <w:autoSpaceDE/>
        <w:autoSpaceDN/>
        <w:bidi w:val="0"/>
        <w:snapToGrid/>
        <w:spacing w:line="336"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供应商登录政采云平台，用“项目采购-开标评标”功能对电子磋商响应文件进行在线解密。在线解密电子磋商响应文件时间为开标时间起30分钟内。若电子磋商响应文件解密失败，则由采购代理机构工作人员上传供应商提供的备份文件</w:t>
      </w:r>
      <w:r>
        <w:rPr>
          <w:rFonts w:hint="eastAsia" w:ascii="宋体" w:hAnsi="宋体" w:eastAsia="宋体" w:cs="宋体"/>
          <w:b w:val="0"/>
          <w:bCs w:val="0"/>
          <w:color w:val="auto"/>
          <w:sz w:val="24"/>
          <w:szCs w:val="24"/>
          <w:highlight w:val="none"/>
        </w:rPr>
        <w:t>。备份文件（后缀名为.bfbs）须存储在U盘中，与上传的电子磋商响应文件一致，用信封进行密封并盖章（</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由授权代表在磋商响应截止时间前递交至开标地点。</w:t>
      </w:r>
    </w:p>
    <w:p w14:paraId="1BDB28E8">
      <w:pPr>
        <w:pStyle w:val="12"/>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4.3采购人按磋商文件规定的时间、地点公开开标。开标仪式由采购人或采购代理机构主持及有关人员参加。</w:t>
      </w:r>
    </w:p>
    <w:p w14:paraId="4308FB95">
      <w:pPr>
        <w:pStyle w:val="34"/>
        <w:keepNext w:val="0"/>
        <w:keepLines w:val="0"/>
        <w:pageBreakBefore w:val="0"/>
        <w:widowControl w:val="0"/>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4.4本项目为电子投标项目，供应商一般不需要参加现场投标和开标，若供应商需要指派授权代表递交备份文件，则授权代表应随身携带法定代表人授权书原件于磋商响应截止时间前到达开标地点递交备份文件。若电子磋商响应文件正常解锁，则U盘退还给供应商；若解锁失败，则由采购代理机构将U盘中的备份文件上传，该U盘将由采购代理机构保存。</w:t>
      </w:r>
    </w:p>
    <w:p w14:paraId="39804C0D">
      <w:pPr>
        <w:pStyle w:val="34"/>
        <w:keepNext w:val="0"/>
        <w:keepLines w:val="0"/>
        <w:pageBreakBefore w:val="0"/>
        <w:widowControl w:val="0"/>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E31C476">
      <w:pPr>
        <w:keepNext w:val="0"/>
        <w:keepLines w:val="0"/>
        <w:pageBreakBefore w:val="0"/>
        <w:widowControl w:val="0"/>
        <w:kinsoku/>
        <w:wordWrap/>
        <w:overflowPunct/>
        <w:topLinePunct w:val="0"/>
        <w:autoSpaceDE/>
        <w:autoSpaceDN/>
        <w:bidi w:val="0"/>
        <w:snapToGrid/>
        <w:spacing w:line="336" w:lineRule="auto"/>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5、组建磋商小组</w:t>
      </w:r>
    </w:p>
    <w:p w14:paraId="60175300">
      <w:pPr>
        <w:pStyle w:val="34"/>
        <w:keepNext w:val="0"/>
        <w:keepLines w:val="0"/>
        <w:pageBreakBefore w:val="0"/>
        <w:widowControl w:val="0"/>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5.1磋商小组由采购人代表和评审专家共3人或以上单数组成，其中评审专家人数不少于磋商小组成员总数的2/3。</w:t>
      </w:r>
    </w:p>
    <w:p w14:paraId="30873BF4">
      <w:pPr>
        <w:pStyle w:val="34"/>
        <w:keepNext w:val="0"/>
        <w:keepLines w:val="0"/>
        <w:pageBreakBefore w:val="0"/>
        <w:widowControl w:val="0"/>
        <w:tabs>
          <w:tab w:val="left" w:pos="0"/>
        </w:tabs>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5.2</w:t>
      </w:r>
      <w:r>
        <w:rPr>
          <w:rFonts w:hint="eastAsia" w:ascii="宋体" w:hAnsi="宋体" w:eastAsia="宋体" w:cs="宋体"/>
          <w:color w:val="auto"/>
          <w:highlight w:val="none"/>
          <w:lang w:val="zh-CN"/>
        </w:rPr>
        <w:t>评标工作由评标委员会负责，并推选产生的组长主持；</w:t>
      </w:r>
    </w:p>
    <w:p w14:paraId="516695C2">
      <w:pPr>
        <w:pStyle w:val="6"/>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val="zh-CN"/>
        </w:rPr>
        <w:t>本次评标为在线评标。</w:t>
      </w:r>
    </w:p>
    <w:p w14:paraId="4008C2EB">
      <w:pPr>
        <w:pStyle w:val="3"/>
        <w:keepLines w:val="0"/>
        <w:pageBreakBefore w:val="0"/>
        <w:numPr>
          <w:ilvl w:val="0"/>
          <w:numId w:val="18"/>
        </w:numPr>
        <w:kinsoku/>
        <w:wordWrap/>
        <w:overflowPunct/>
        <w:topLinePunct w:val="0"/>
        <w:autoSpaceDE/>
        <w:autoSpaceDN/>
        <w:bidi w:val="0"/>
        <w:spacing w:line="336" w:lineRule="auto"/>
        <w:jc w:val="center"/>
        <w:textAlignment w:val="auto"/>
        <w:rPr>
          <w:rFonts w:hint="eastAsia" w:ascii="宋体" w:hAnsi="宋体" w:eastAsia="宋体" w:cs="宋体"/>
          <w:color w:val="auto"/>
          <w:highlight w:val="none"/>
        </w:rPr>
      </w:pPr>
      <w:bookmarkStart w:id="81" w:name="_Toc10093"/>
      <w:bookmarkStart w:id="82" w:name="_Toc26388"/>
      <w:r>
        <w:rPr>
          <w:rFonts w:hint="eastAsia" w:ascii="宋体" w:hAnsi="宋体" w:eastAsia="宋体" w:cs="宋体"/>
          <w:color w:val="auto"/>
          <w:highlight w:val="none"/>
        </w:rPr>
        <w:t>磋商程序</w:t>
      </w:r>
      <w:bookmarkEnd w:id="81"/>
      <w:bookmarkEnd w:id="82"/>
    </w:p>
    <w:p w14:paraId="050ED5EC">
      <w:pPr>
        <w:keepLines w:val="0"/>
        <w:pageBreakBefore w:val="0"/>
        <w:kinsoku/>
        <w:wordWrap/>
        <w:overflowPunct/>
        <w:topLinePunct w:val="0"/>
        <w:autoSpaceDE/>
        <w:autoSpaceDN/>
        <w:bidi w:val="0"/>
        <w:snapToGrid w:val="0"/>
        <w:spacing w:line="336" w:lineRule="auto"/>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1、对所有响应文件的初审</w:t>
      </w:r>
    </w:p>
    <w:p w14:paraId="51D04C32">
      <w:pPr>
        <w:keepLines w:val="0"/>
        <w:pageBreakBefore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1.1资格审查</w:t>
      </w:r>
    </w:p>
    <w:p w14:paraId="6ECF5B2A">
      <w:pPr>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（1）开标后，磋商小组将依法对供应商的资格进行审查。</w:t>
      </w:r>
    </w:p>
    <w:p w14:paraId="261B0089">
      <w:pPr>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（2）磋商小组依据法律法规和磋商文件的规定，对供应商的基本资格条件、特定资格条件进行审查。</w:t>
      </w:r>
    </w:p>
    <w:p w14:paraId="2F1541E2">
      <w:pPr>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（3）供应商未按照磋商文件要求提供与基本资格条件、特定资格条件相应的有效资格证明材料的，视为供应商不具备磋商文件中规定的资格要求，其磋商无效。并将无效原由告知相关供应商.</w:t>
      </w:r>
    </w:p>
    <w:p w14:paraId="2768EB5F">
      <w:pPr>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14:paraId="339D90C9">
      <w:pPr>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14:paraId="4970C9FD">
      <w:pPr>
        <w:keepLines w:val="0"/>
        <w:pageBreakBefore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262CD47A">
      <w:pPr>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（1）响应文件无法定代表人或其委托授权代表签名或盖章。</w:t>
      </w:r>
    </w:p>
    <w:p w14:paraId="7FD9BF45">
      <w:pPr>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（2）响应文件内容虚假的。</w:t>
      </w:r>
    </w:p>
    <w:p w14:paraId="61E696A7">
      <w:pPr>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（3）响应文件有采购人不能接受的附加条件的。</w:t>
      </w:r>
    </w:p>
    <w:p w14:paraId="65811020">
      <w:pPr>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（4）磋商有效期、服务期等商务条款不能满足磋商文件要求的。</w:t>
      </w:r>
    </w:p>
    <w:p w14:paraId="39244834">
      <w:pPr>
        <w:keepLines w:val="0"/>
        <w:pageBreakBefore w:val="0"/>
        <w:widowControl/>
        <w:kinsoku/>
        <w:wordWrap/>
        <w:overflowPunct/>
        <w:topLinePunct w:val="0"/>
        <w:autoSpaceDE/>
        <w:autoSpaceDN/>
        <w:bidi w:val="0"/>
        <w:spacing w:line="336"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（5）投标价格超出预算或最高限价，导致采购单位无法支付的。</w:t>
      </w:r>
    </w:p>
    <w:p w14:paraId="1BA7E8FE">
      <w:pPr>
        <w:keepLines w:val="0"/>
        <w:pageBreakBefore w:val="0"/>
        <w:widowControl/>
        <w:kinsoku/>
        <w:wordWrap/>
        <w:overflowPunct/>
        <w:topLinePunct w:val="0"/>
        <w:autoSpaceDE/>
        <w:autoSpaceDN/>
        <w:bidi w:val="0"/>
        <w:spacing w:line="336"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（6）磋商文件明确规定的其他无效条款的。</w:t>
      </w:r>
    </w:p>
    <w:p w14:paraId="77FFC25A">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761366">
      <w:pPr>
        <w:pStyle w:val="34"/>
        <w:keepNext w:val="0"/>
        <w:keepLines w:val="0"/>
        <w:pageBreakBefore w:val="0"/>
        <w:widowControl w:val="0"/>
        <w:tabs>
          <w:tab w:val="left" w:pos="0"/>
        </w:tabs>
        <w:kinsoku/>
        <w:wordWrap/>
        <w:overflowPunct/>
        <w:topLinePunct w:val="0"/>
        <w:autoSpaceDE/>
        <w:autoSpaceDN/>
        <w:bidi w:val="0"/>
        <w:spacing w:before="0"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0A4B34A1">
      <w:pPr>
        <w:keepNext w:val="0"/>
        <w:keepLines w:val="0"/>
        <w:pageBreakBefore w:val="0"/>
        <w:widowControl w:val="0"/>
        <w:kinsoku/>
        <w:wordWrap/>
        <w:overflowPunct/>
        <w:topLinePunct w:val="0"/>
        <w:autoSpaceDE/>
        <w:autoSpaceDN/>
        <w:bidi w:val="0"/>
        <w:snapToGrid w:val="0"/>
        <w:spacing w:line="336" w:lineRule="auto"/>
        <w:ind w:firstLine="48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、磋商</w:t>
      </w:r>
    </w:p>
    <w:p w14:paraId="3548B0FE">
      <w:pPr>
        <w:keepNext w:val="0"/>
        <w:keepLines w:val="0"/>
        <w:pageBreakBefore w:val="0"/>
        <w:widowControl w:val="0"/>
        <w:kinsoku/>
        <w:wordWrap/>
        <w:overflowPunct/>
        <w:topLinePunct w:val="0"/>
        <w:autoSpaceDE/>
        <w:autoSpaceDN/>
        <w:bidi w:val="0"/>
        <w:snapToGrid w:val="0"/>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初审合格的供应商进入下一步的磋商活动。</w:t>
      </w:r>
    </w:p>
    <w:p w14:paraId="6A9B47DA">
      <w:pPr>
        <w:keepNext w:val="0"/>
        <w:keepLines w:val="0"/>
        <w:pageBreakBefore w:val="0"/>
        <w:widowControl w:val="0"/>
        <w:kinsoku/>
        <w:wordWrap/>
        <w:overflowPunct/>
        <w:topLinePunct w:val="0"/>
        <w:autoSpaceDE/>
        <w:autoSpaceDN/>
        <w:bidi w:val="0"/>
        <w:snapToGrid w:val="0"/>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磋商小组所有成员应当集中与单一供应商分别进行磋商，并给予所有参加磋商的供应商平等的磋商机会。</w:t>
      </w:r>
    </w:p>
    <w:p w14:paraId="28A0620A">
      <w:pPr>
        <w:keepNext w:val="0"/>
        <w:keepLines w:val="0"/>
        <w:pageBreakBefore w:val="0"/>
        <w:widowControl w:val="0"/>
        <w:kinsoku/>
        <w:wordWrap/>
        <w:overflowPunct/>
        <w:topLinePunct w:val="0"/>
        <w:autoSpaceDE/>
        <w:autoSpaceDN/>
        <w:bidi w:val="0"/>
        <w:snapToGrid w:val="0"/>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以递交响应文件的时间先后决定磋商顺序。磋商时先听取由供应商拟派的项目负责人就项目采购的重点内容进行磋商，磋商过程中由磋商小组成员提出相关问题，并由供应商拟派项目负责人进行回复与承诺。</w:t>
      </w:r>
    </w:p>
    <w:p w14:paraId="50872801">
      <w:pPr>
        <w:keepNext w:val="0"/>
        <w:keepLines w:val="0"/>
        <w:pageBreakBefore w:val="0"/>
        <w:widowControl w:val="0"/>
        <w:kinsoku/>
        <w:wordWrap/>
        <w:overflowPunct/>
        <w:topLinePunct w:val="0"/>
        <w:autoSpaceDE/>
        <w:autoSpaceDN/>
        <w:bidi w:val="0"/>
        <w:snapToGrid w:val="0"/>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在磋商过程中，磋商小组可以根据磋商文件和磋商情况实质性变动采购需求中的技术、服务要求以及合同草案条款。实质性变动的内容，须经采购人代表确认。</w:t>
      </w:r>
    </w:p>
    <w:p w14:paraId="0FD0507A">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磋商文件作出的实质性变动是磋商文件的有效组成部分，磋商小组应当及时以书面形式同时通知所有参加磋商的供应商。</w:t>
      </w:r>
    </w:p>
    <w:p w14:paraId="7511AD69">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FF109EC">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14:paraId="5DE7F47E">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7DFDAB5">
      <w:pPr>
        <w:keepNext w:val="0"/>
        <w:keepLines w:val="0"/>
        <w:pageBreakBefore w:val="0"/>
        <w:widowControl w:val="0"/>
        <w:kinsoku/>
        <w:wordWrap/>
        <w:overflowPunct/>
        <w:topLinePunct w:val="0"/>
        <w:autoSpaceDE/>
        <w:autoSpaceDN/>
        <w:bidi w:val="0"/>
        <w:snapToGrid w:val="0"/>
        <w:spacing w:line="336" w:lineRule="auto"/>
        <w:ind w:firstLine="48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、最后报价</w:t>
      </w:r>
    </w:p>
    <w:p w14:paraId="0C091E94">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3.1商务技术汇总后，供应商开启报价文件，磋商小组应当要求所有实质性响应的供应商在规定时间内提交最后报价。</w:t>
      </w:r>
    </w:p>
    <w:p w14:paraId="2C3F8C6F">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3.2最后报价是供应商响应文件的有效组成部分，若最后报价高于响应</w:t>
      </w:r>
      <w:r>
        <w:rPr>
          <w:rFonts w:hint="eastAsia" w:ascii="宋体" w:hAnsi="宋体" w:cs="宋体"/>
          <w:color w:val="auto"/>
          <w:sz w:val="24"/>
          <w:szCs w:val="24"/>
          <w:highlight w:val="none"/>
          <w:lang w:eastAsia="zh-CN"/>
        </w:rPr>
        <w:t>文件报价</w:t>
      </w:r>
      <w:r>
        <w:rPr>
          <w:rFonts w:hint="eastAsia" w:ascii="宋体" w:hAnsi="宋体" w:eastAsia="宋体" w:cs="宋体"/>
          <w:color w:val="auto"/>
          <w:sz w:val="24"/>
          <w:szCs w:val="24"/>
          <w:highlight w:val="none"/>
        </w:rPr>
        <w:t>，则以第一次报价计入评分。</w:t>
      </w:r>
    </w:p>
    <w:p w14:paraId="46878A57">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3.3已提交响应文件的供应商，在提交最后报价之前，若因磋商文件实质性变动导致供应商无法满足采购需求的，允许供应商退出磋商。</w:t>
      </w:r>
    </w:p>
    <w:p w14:paraId="06C27E08">
      <w:pPr>
        <w:pStyle w:val="6"/>
        <w:keepNext w:val="0"/>
        <w:keepLines w:val="0"/>
        <w:pageBreakBefore w:val="0"/>
        <w:widowControl w:val="0"/>
        <w:kinsoku/>
        <w:wordWrap/>
        <w:overflowPunct/>
        <w:topLinePunct w:val="0"/>
        <w:autoSpaceDE/>
        <w:autoSpaceDN/>
        <w:bidi w:val="0"/>
        <w:adjustRightInd/>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4、电子评标</w:t>
      </w:r>
    </w:p>
    <w:p w14:paraId="7BBEAD96">
      <w:pPr>
        <w:pStyle w:val="6"/>
        <w:keepNext w:val="0"/>
        <w:keepLines w:val="0"/>
        <w:pageBreakBefore w:val="0"/>
        <w:widowControl w:val="0"/>
        <w:kinsoku/>
        <w:wordWrap/>
        <w:overflowPunct/>
        <w:topLinePunct w:val="0"/>
        <w:autoSpaceDE/>
        <w:autoSpaceDN/>
        <w:bidi w:val="0"/>
        <w:adjustRightInd/>
        <w:spacing w:line="336"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4.1磋商活动由采购代理机构主持,磋商响应截止时间后,供应商登录政采云平台对电子响应文件进行在线解密；</w:t>
      </w:r>
    </w:p>
    <w:p w14:paraId="2BDF0FF8">
      <w:pPr>
        <w:pStyle w:val="6"/>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4.2响应文件解密结束,开启响应文件,磋商小组对资格和商务技术响应文件进行资格审查和符合性审查；</w:t>
      </w:r>
    </w:p>
    <w:p w14:paraId="55AD10C0">
      <w:pPr>
        <w:pStyle w:val="6"/>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4.3供应商按递交磋商响应文件的前后顺序决定磋商的顺序,就价格、服务等认为需要磋商的内容进行磋商,供应商逐家回答磋商小组的提问,供应商作出最终承诺；</w:t>
      </w:r>
    </w:p>
    <w:p w14:paraId="432189BD">
      <w:pPr>
        <w:pStyle w:val="6"/>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4.4磋商小组对商务技术响应文件进行评审；</w:t>
      </w:r>
    </w:p>
    <w:p w14:paraId="4A289BDC">
      <w:pPr>
        <w:pStyle w:val="6"/>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4.5商务技术汇总后，供应商开启报价文件，进行磋商二次报价（最终报价），</w:t>
      </w:r>
      <w:r>
        <w:rPr>
          <w:rFonts w:hint="eastAsia" w:ascii="宋体" w:hAnsi="宋体" w:eastAsia="宋体" w:cs="宋体"/>
          <w:b/>
          <w:bCs/>
          <w:color w:val="auto"/>
          <w:sz w:val="24"/>
          <w:szCs w:val="24"/>
          <w:highlight w:val="none"/>
        </w:rPr>
        <w:t>如果供应商在规定时间30分钟内未提交第二次报价，视该供应商放弃本次投标，作无效标处理；</w:t>
      </w:r>
    </w:p>
    <w:p w14:paraId="3170B99C">
      <w:pPr>
        <w:pStyle w:val="6"/>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4.6在系统上开启最终报价情况；</w:t>
      </w:r>
    </w:p>
    <w:p w14:paraId="59B5A229">
      <w:pPr>
        <w:pStyle w:val="6"/>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4.7磋商小组对报价情况进行评审；</w:t>
      </w:r>
    </w:p>
    <w:p w14:paraId="31EB17BA">
      <w:pPr>
        <w:pStyle w:val="6"/>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4.8在系统上公开资格和商务技术评审结果；</w:t>
      </w:r>
    </w:p>
    <w:p w14:paraId="3A0E6B81">
      <w:pPr>
        <w:pStyle w:val="6"/>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4.9在系统上公布评审结果。</w:t>
      </w:r>
    </w:p>
    <w:p w14:paraId="3158AE02">
      <w:pPr>
        <w:pStyle w:val="6"/>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4.10开标会结束。</w:t>
      </w:r>
    </w:p>
    <w:p w14:paraId="6F575194">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特别说明:政采云如对电子化开标及评审程序有调整的,按调整后的程序操作。</w:t>
      </w:r>
    </w:p>
    <w:p w14:paraId="1901B39F">
      <w:pPr>
        <w:keepNext w:val="0"/>
        <w:keepLines w:val="0"/>
        <w:pageBreakBefore w:val="0"/>
        <w:widowControl w:val="0"/>
        <w:kinsoku/>
        <w:wordWrap/>
        <w:overflowPunct/>
        <w:topLinePunct w:val="0"/>
        <w:autoSpaceDE/>
        <w:autoSpaceDN/>
        <w:bidi w:val="0"/>
        <w:adjustRightInd/>
        <w:snapToGrid w:val="0"/>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5.综合评分</w:t>
      </w:r>
    </w:p>
    <w:p w14:paraId="055356AE">
      <w:pPr>
        <w:keepNext w:val="0"/>
        <w:keepLines w:val="0"/>
        <w:pageBreakBefore w:val="0"/>
        <w:widowControl w:val="0"/>
        <w:tabs>
          <w:tab w:val="left" w:pos="-1080"/>
          <w:tab w:val="left" w:pos="180"/>
          <w:tab w:val="left" w:pos="1080"/>
        </w:tabs>
        <w:kinsoku/>
        <w:wordWrap/>
        <w:overflowPunct/>
        <w:topLinePunct w:val="0"/>
        <w:autoSpaceDE/>
        <w:autoSpaceDN/>
        <w:bidi w:val="0"/>
        <w:adjustRightInd/>
        <w:snapToGrid w:val="0"/>
        <w:spacing w:line="336"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5.1本评标办法采用综合评标法，由商务技术分和报价分合计组成，其中商务技术分</w:t>
      </w:r>
      <w:r>
        <w:rPr>
          <w:rFonts w:hint="eastAsia" w:ascii="宋体" w:hAnsi="宋体" w:cs="宋体"/>
          <w:color w:val="auto"/>
          <w:sz w:val="24"/>
          <w:szCs w:val="24"/>
          <w:highlight w:val="none"/>
          <w:u w:val="single"/>
          <w:lang w:val="en-US" w:eastAsia="zh-CN"/>
        </w:rPr>
        <w:t>80</w:t>
      </w:r>
      <w:r>
        <w:rPr>
          <w:rFonts w:hint="eastAsia" w:ascii="宋体" w:hAnsi="宋体" w:eastAsia="宋体" w:cs="宋体"/>
          <w:color w:val="auto"/>
          <w:sz w:val="24"/>
          <w:szCs w:val="24"/>
          <w:highlight w:val="none"/>
        </w:rPr>
        <w:t>分、报价分</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分；满分为100分。</w:t>
      </w:r>
    </w:p>
    <w:p w14:paraId="2EAEF824">
      <w:pPr>
        <w:keepNext w:val="0"/>
        <w:keepLines w:val="0"/>
        <w:pageBreakBefore w:val="0"/>
        <w:widowControl w:val="0"/>
        <w:kinsoku/>
        <w:wordWrap/>
        <w:overflowPunct/>
        <w:topLinePunct w:val="0"/>
        <w:autoSpaceDE/>
        <w:autoSpaceDN/>
        <w:bidi w:val="0"/>
        <w:adjustRightInd/>
        <w:spacing w:line="336"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5.2经初步评审合格的响应文件，磋商小组根据竞争性磋商文件确定的评审标准和方法，对其商务技术部分作进一步评审、比较、打分。</w:t>
      </w:r>
    </w:p>
    <w:p w14:paraId="561EB670">
      <w:pPr>
        <w:pStyle w:val="12"/>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23F43B90">
      <w:pPr>
        <w:pStyle w:val="12"/>
        <w:keepLines w:val="0"/>
        <w:pageBreakBefore w:val="0"/>
        <w:widowControl w:val="0"/>
        <w:kinsoku/>
        <w:wordWrap/>
        <w:overflowPunct/>
        <w:topLinePunct w:val="0"/>
        <w:autoSpaceDE/>
        <w:autoSpaceDN/>
        <w:bidi w:val="0"/>
        <w:snapToGrid/>
        <w:spacing w:line="336" w:lineRule="auto"/>
        <w:ind w:left="420" w:left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6、修正原则</w:t>
      </w:r>
    </w:p>
    <w:p w14:paraId="570DA795">
      <w:pPr>
        <w:pStyle w:val="34"/>
        <w:keepLines w:val="0"/>
        <w:pageBreakBefore w:val="0"/>
        <w:widowControl w:val="0"/>
        <w:kinsoku/>
        <w:wordWrap/>
        <w:overflowPunct/>
        <w:topLinePunct w:val="0"/>
        <w:autoSpaceDE/>
        <w:autoSpaceDN/>
        <w:bidi w:val="0"/>
        <w:snapToGrid/>
        <w:spacing w:before="0" w:line="336" w:lineRule="auto"/>
        <w:ind w:left="420" w:leftChars="200"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文件报价出现前后不一致的，按照下列规定修正：</w:t>
      </w:r>
    </w:p>
    <w:p w14:paraId="443AC373">
      <w:pPr>
        <w:pStyle w:val="34"/>
        <w:keepLines w:val="0"/>
        <w:pageBreakBefore w:val="0"/>
        <w:widowControl w:val="0"/>
        <w:tabs>
          <w:tab w:val="left" w:pos="0"/>
        </w:tabs>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6.1响应</w:t>
      </w:r>
      <w:r>
        <w:rPr>
          <w:rFonts w:hint="eastAsia" w:ascii="宋体" w:hAnsi="宋体" w:eastAsia="宋体" w:cs="宋体"/>
          <w:color w:val="auto"/>
          <w:highlight w:val="none"/>
          <w:lang w:val="zh-CN"/>
        </w:rPr>
        <w:t>文件中</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一览表内容与</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文件中相应内容不一致的，以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一览表为准；</w:t>
      </w:r>
    </w:p>
    <w:p w14:paraId="47BA7F7E">
      <w:pPr>
        <w:pStyle w:val="34"/>
        <w:keepLines w:val="0"/>
        <w:pageBreakBefore w:val="0"/>
        <w:widowControl w:val="0"/>
        <w:tabs>
          <w:tab w:val="left" w:pos="0"/>
        </w:tabs>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6.2</w:t>
      </w:r>
      <w:r>
        <w:rPr>
          <w:rFonts w:hint="eastAsia" w:ascii="宋体" w:hAnsi="宋体" w:eastAsia="宋体" w:cs="宋体"/>
          <w:color w:val="auto"/>
          <w:highlight w:val="none"/>
          <w:lang w:val="zh-CN"/>
        </w:rPr>
        <w:t>大写金额和小写金额不一致的，以大写金额为准；</w:t>
      </w:r>
    </w:p>
    <w:p w14:paraId="7BE0097B">
      <w:pPr>
        <w:pStyle w:val="34"/>
        <w:keepLines w:val="0"/>
        <w:pageBreakBefore w:val="0"/>
        <w:widowControl w:val="0"/>
        <w:tabs>
          <w:tab w:val="left" w:pos="0"/>
        </w:tabs>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6.3</w:t>
      </w:r>
      <w:r>
        <w:rPr>
          <w:rFonts w:hint="eastAsia" w:ascii="宋体" w:hAnsi="宋体" w:eastAsia="宋体" w:cs="宋体"/>
          <w:color w:val="auto"/>
          <w:highlight w:val="none"/>
          <w:lang w:val="zh-CN"/>
        </w:rPr>
        <w:t>单价金额小数点或者百分比有明显错位的，以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一览表的总价为准，并修改单价；</w:t>
      </w:r>
    </w:p>
    <w:p w14:paraId="74BE8691">
      <w:pPr>
        <w:pStyle w:val="34"/>
        <w:keepLines w:val="0"/>
        <w:pageBreakBefore w:val="0"/>
        <w:widowControl w:val="0"/>
        <w:tabs>
          <w:tab w:val="left" w:pos="0"/>
        </w:tabs>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6.4</w:t>
      </w:r>
      <w:r>
        <w:rPr>
          <w:rFonts w:hint="eastAsia" w:ascii="宋体" w:hAnsi="宋体" w:eastAsia="宋体" w:cs="宋体"/>
          <w:color w:val="auto"/>
          <w:highlight w:val="none"/>
          <w:lang w:val="zh-CN"/>
        </w:rPr>
        <w:t>总价金额与按单价汇总金额不一致的，以单价金额计算结果为准。</w:t>
      </w:r>
    </w:p>
    <w:p w14:paraId="3650E562">
      <w:pPr>
        <w:pStyle w:val="34"/>
        <w:keepLines w:val="0"/>
        <w:pageBreakBefore w:val="0"/>
        <w:widowControl w:val="0"/>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同时出现两种以上不一致的，按照前款规定的顺序修正。修正后的报价按照财政部公布第87号令《政府采购产品和服务招标投标管理办法》第五十一条第二款的规定经</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确认后产生约束力，</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不确认的，其</w:t>
      </w:r>
      <w:r>
        <w:rPr>
          <w:rFonts w:hint="eastAsia" w:ascii="宋体" w:hAnsi="宋体" w:eastAsia="宋体" w:cs="宋体"/>
          <w:color w:val="auto"/>
          <w:highlight w:val="none"/>
        </w:rPr>
        <w:t>磋商</w:t>
      </w:r>
      <w:r>
        <w:rPr>
          <w:rFonts w:hint="eastAsia" w:ascii="宋体" w:hAnsi="宋体" w:eastAsia="宋体" w:cs="宋体"/>
          <w:color w:val="auto"/>
          <w:highlight w:val="none"/>
          <w:lang w:val="zh-CN"/>
        </w:rPr>
        <w:t>无效。</w:t>
      </w:r>
    </w:p>
    <w:p w14:paraId="2CA17476">
      <w:pPr>
        <w:pStyle w:val="12"/>
        <w:keepLines w:val="0"/>
        <w:pageBreakBefore w:val="0"/>
        <w:widowControl w:val="0"/>
        <w:kinsoku/>
        <w:wordWrap/>
        <w:overflowPunct/>
        <w:topLinePunct w:val="0"/>
        <w:autoSpaceDE/>
        <w:autoSpaceDN/>
        <w:bidi w:val="0"/>
        <w:snapToGrid/>
        <w:spacing w:line="336" w:lineRule="auto"/>
        <w:ind w:left="420" w:left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7、响应文件的澄清</w:t>
      </w:r>
    </w:p>
    <w:p w14:paraId="2CA0B049">
      <w:pPr>
        <w:pStyle w:val="34"/>
        <w:keepLines w:val="0"/>
        <w:pageBreakBefore w:val="0"/>
        <w:widowControl w:val="0"/>
        <w:tabs>
          <w:tab w:val="left" w:pos="0"/>
        </w:tabs>
        <w:kinsoku/>
        <w:wordWrap/>
        <w:overflowPunct/>
        <w:topLinePunct w:val="0"/>
        <w:autoSpaceDE/>
        <w:autoSpaceDN/>
        <w:bidi w:val="0"/>
        <w:snapToGrid/>
        <w:spacing w:before="0" w:line="336" w:lineRule="auto"/>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7.1</w:t>
      </w:r>
      <w:r>
        <w:rPr>
          <w:rFonts w:hint="eastAsia" w:ascii="宋体" w:hAnsi="宋体" w:eastAsia="宋体" w:cs="宋体"/>
          <w:color w:val="auto"/>
          <w:highlight w:val="none"/>
          <w:lang w:val="zh-CN"/>
        </w:rPr>
        <w:t>评审中因</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文件含义不明、表述不一致或有明显计算错误等内容需要供应商作出澄清、说明或者补正的，</w:t>
      </w:r>
      <w:r>
        <w:rPr>
          <w:rFonts w:hint="eastAsia" w:ascii="宋体" w:hAnsi="宋体" w:eastAsia="宋体" w:cs="宋体"/>
          <w:color w:val="auto"/>
          <w:highlight w:val="none"/>
        </w:rPr>
        <w:t>磋商小组</w:t>
      </w:r>
      <w:r>
        <w:rPr>
          <w:rFonts w:hint="eastAsia" w:ascii="宋体" w:hAnsi="宋体" w:eastAsia="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61FBA9AB">
      <w:pPr>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供应商通过政采云平台交换的数据电文必须进行电子签章。</w:t>
      </w:r>
    </w:p>
    <w:p w14:paraId="0EB48844">
      <w:pPr>
        <w:pStyle w:val="3"/>
        <w:keepLines w:val="0"/>
        <w:pageBreakBefore w:val="0"/>
        <w:widowControl w:val="0"/>
        <w:numPr>
          <w:ilvl w:val="0"/>
          <w:numId w:val="18"/>
        </w:numPr>
        <w:kinsoku/>
        <w:wordWrap/>
        <w:overflowPunct/>
        <w:topLinePunct w:val="0"/>
        <w:autoSpaceDE/>
        <w:autoSpaceDN/>
        <w:bidi w:val="0"/>
        <w:snapToGrid/>
        <w:spacing w:line="336" w:lineRule="auto"/>
        <w:jc w:val="center"/>
        <w:textAlignment w:val="auto"/>
        <w:rPr>
          <w:rFonts w:hint="eastAsia" w:ascii="宋体" w:hAnsi="宋体" w:eastAsia="宋体" w:cs="宋体"/>
          <w:color w:val="auto"/>
          <w:highlight w:val="none"/>
        </w:rPr>
      </w:pPr>
      <w:bookmarkStart w:id="83" w:name="_Toc4344"/>
      <w:bookmarkStart w:id="84" w:name="_Toc12816"/>
      <w:r>
        <w:rPr>
          <w:rFonts w:hint="eastAsia" w:ascii="宋体" w:hAnsi="宋体" w:eastAsia="宋体" w:cs="宋体"/>
          <w:color w:val="auto"/>
          <w:highlight w:val="none"/>
        </w:rPr>
        <w:t>注意事项</w:t>
      </w:r>
      <w:bookmarkEnd w:id="83"/>
      <w:bookmarkEnd w:id="84"/>
    </w:p>
    <w:p w14:paraId="40DDE329">
      <w:pPr>
        <w:pStyle w:val="6"/>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0A2CEE3A">
      <w:pPr>
        <w:pStyle w:val="3"/>
        <w:keepLines w:val="0"/>
        <w:pageBreakBefore w:val="0"/>
        <w:widowControl w:val="0"/>
        <w:numPr>
          <w:ilvl w:val="0"/>
          <w:numId w:val="19"/>
        </w:numPr>
        <w:kinsoku/>
        <w:wordWrap/>
        <w:overflowPunct/>
        <w:topLinePunct w:val="0"/>
        <w:autoSpaceDE/>
        <w:autoSpaceDN/>
        <w:bidi w:val="0"/>
        <w:snapToGrid/>
        <w:spacing w:line="336" w:lineRule="auto"/>
        <w:jc w:val="center"/>
        <w:textAlignment w:val="auto"/>
        <w:rPr>
          <w:rFonts w:hint="eastAsia" w:ascii="宋体" w:hAnsi="宋体" w:eastAsia="宋体" w:cs="宋体"/>
          <w:color w:val="auto"/>
          <w:highlight w:val="none"/>
        </w:rPr>
      </w:pPr>
      <w:bookmarkStart w:id="85" w:name="_Toc13782"/>
      <w:bookmarkStart w:id="86" w:name="_Toc26902"/>
      <w:r>
        <w:rPr>
          <w:rFonts w:hint="eastAsia" w:ascii="宋体" w:hAnsi="宋体" w:eastAsia="宋体" w:cs="宋体"/>
          <w:color w:val="auto"/>
          <w:highlight w:val="none"/>
        </w:rPr>
        <w:t>评分细则</w:t>
      </w:r>
      <w:bookmarkEnd w:id="85"/>
      <w:bookmarkEnd w:id="86"/>
    </w:p>
    <w:p w14:paraId="783CFF24">
      <w:pPr>
        <w:keepLines w:val="0"/>
        <w:pageBreakBefore w:val="0"/>
        <w:widowControl w:val="0"/>
        <w:kinsoku/>
        <w:wordWrap/>
        <w:overflowPunct/>
        <w:topLinePunct w:val="0"/>
        <w:autoSpaceDE/>
        <w:autoSpaceDN/>
        <w:bidi w:val="0"/>
        <w:snapToGrid/>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一、报价文件评分标准（</w:t>
      </w:r>
      <w:r>
        <w:rPr>
          <w:rFonts w:hint="eastAsia" w:ascii="宋体" w:hAnsi="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0</w:t>
      </w:r>
      <w:r>
        <w:rPr>
          <w:rFonts w:hint="eastAsia" w:ascii="宋体" w:hAnsi="宋体" w:eastAsia="宋体" w:cs="宋体"/>
          <w:b/>
          <w:bCs/>
          <w:color w:val="auto"/>
          <w:sz w:val="24"/>
          <w:szCs w:val="24"/>
          <w:highlight w:val="none"/>
        </w:rPr>
        <w:t>分）</w:t>
      </w:r>
    </w:p>
    <w:p w14:paraId="148AFD54">
      <w:pPr>
        <w:keepLines w:val="0"/>
        <w:pageBreakBefore w:val="0"/>
        <w:widowControl w:val="0"/>
        <w:kinsoku/>
        <w:wordWrap/>
        <w:overflowPunct/>
        <w:topLinePunct w:val="0"/>
        <w:autoSpaceDE/>
        <w:autoSpaceDN/>
        <w:bidi w:val="0"/>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报价文件主要是对供应商的有效报价进行评议，其评分标准及分值设置规则如下：</w:t>
      </w:r>
    </w:p>
    <w:p w14:paraId="4C625B2F">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1、本次采购最高限价规定如下：</w:t>
      </w:r>
    </w:p>
    <w:p w14:paraId="17AACD25">
      <w:pPr>
        <w:keepNext w:val="0"/>
        <w:keepLines w:val="0"/>
        <w:pageBreakBefore w:val="0"/>
        <w:widowControl w:val="0"/>
        <w:kinsoku/>
        <w:wordWrap/>
        <w:overflowPunct/>
        <w:topLinePunct w:val="0"/>
        <w:bidi w:val="0"/>
        <w:adjustRightInd/>
        <w:snapToGrid/>
        <w:spacing w:line="336"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本项目投标报价的</w:t>
      </w:r>
      <w:r>
        <w:rPr>
          <w:rFonts w:hint="eastAsia" w:ascii="宋体" w:hAnsi="宋体" w:eastAsia="宋体" w:cs="宋体"/>
          <w:b/>
          <w:bCs/>
          <w:color w:val="auto"/>
          <w:sz w:val="24"/>
          <w:szCs w:val="24"/>
          <w:highlight w:val="none"/>
        </w:rPr>
        <w:t>最高限价为人民币</w:t>
      </w:r>
      <w:r>
        <w:rPr>
          <w:rFonts w:hint="eastAsia" w:ascii="宋体" w:hAnsi="宋体" w:cs="宋体"/>
          <w:b/>
          <w:bCs/>
          <w:color w:val="auto"/>
          <w:sz w:val="24"/>
          <w:szCs w:val="24"/>
          <w:highlight w:val="none"/>
          <w:u w:val="single"/>
          <w:lang w:val="en-US" w:eastAsia="zh-CN"/>
        </w:rPr>
        <w:t xml:space="preserve"> 肆拾万零伍仟</w:t>
      </w:r>
      <w:r>
        <w:rPr>
          <w:rFonts w:hint="eastAsia" w:ascii="宋体" w:hAnsi="宋体" w:eastAsia="宋体" w:cs="宋体"/>
          <w:b/>
          <w:bCs/>
          <w:color w:val="auto"/>
          <w:sz w:val="24"/>
          <w:szCs w:val="24"/>
          <w:highlight w:val="none"/>
          <w:u w:val="single"/>
        </w:rPr>
        <w:t xml:space="preserve">整 </w:t>
      </w:r>
      <w:r>
        <w:rPr>
          <w:rFonts w:hint="eastAsia" w:ascii="宋体" w:hAnsi="宋体" w:eastAsia="宋体" w:cs="宋体"/>
          <w:b/>
          <w:bCs/>
          <w:color w:val="auto"/>
          <w:sz w:val="24"/>
          <w:szCs w:val="24"/>
          <w:highlight w:val="none"/>
        </w:rPr>
        <w:t>（小写</w:t>
      </w:r>
      <w:r>
        <w:rPr>
          <w:rFonts w:hint="eastAsia" w:ascii="宋体" w:hAnsi="宋体" w:cs="宋体"/>
          <w:b/>
          <w:bCs/>
          <w:color w:val="auto"/>
          <w:sz w:val="24"/>
          <w:szCs w:val="24"/>
          <w:highlight w:val="none"/>
          <w:u w:val="single"/>
          <w:lang w:val="en-US" w:eastAsia="zh-CN"/>
        </w:rPr>
        <w:t>405000</w:t>
      </w:r>
      <w:r>
        <w:rPr>
          <w:rFonts w:hint="eastAsia" w:ascii="宋体" w:hAnsi="宋体" w:eastAsia="宋体" w:cs="宋体"/>
          <w:b/>
          <w:bCs/>
          <w:color w:val="auto"/>
          <w:sz w:val="24"/>
          <w:szCs w:val="24"/>
          <w:highlight w:val="none"/>
          <w:u w:val="single"/>
        </w:rPr>
        <w:t xml:space="preserve">.00 </w:t>
      </w:r>
      <w:r>
        <w:rPr>
          <w:rFonts w:hint="eastAsia" w:ascii="宋体" w:hAnsi="宋体" w:eastAsia="宋体" w:cs="宋体"/>
          <w:b/>
          <w:bCs/>
          <w:color w:val="auto"/>
          <w:sz w:val="24"/>
          <w:szCs w:val="24"/>
          <w:highlight w:val="none"/>
        </w:rPr>
        <w:t>元）。最高限价由采购人根据市场价格的调查设定，并且不高于本项目财政预算。</w:t>
      </w:r>
    </w:p>
    <w:p w14:paraId="0093C7DB">
      <w:pPr>
        <w:keepNext w:val="0"/>
        <w:keepLines w:val="0"/>
        <w:pageBreakBefore w:val="0"/>
        <w:widowControl w:val="0"/>
        <w:kinsoku/>
        <w:wordWrap/>
        <w:overflowPunct/>
        <w:topLinePunct w:val="0"/>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2、供应商的报价在最高限价内的，为有效报价。</w:t>
      </w:r>
    </w:p>
    <w:p w14:paraId="6A239C88">
      <w:pPr>
        <w:keepNext w:val="0"/>
        <w:keepLines w:val="0"/>
        <w:pageBreakBefore w:val="0"/>
        <w:widowControl w:val="0"/>
        <w:kinsoku/>
        <w:wordWrap/>
        <w:overflowPunct/>
        <w:topLinePunct w:val="0"/>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3、本次评标设有最佳报价。</w:t>
      </w:r>
      <w:r>
        <w:rPr>
          <w:rFonts w:hint="eastAsia" w:ascii="宋体" w:hAnsi="宋体" w:eastAsia="宋体" w:cs="宋体"/>
          <w:color w:val="auto"/>
          <w:highlight w:val="none"/>
        </w:rPr>
        <w:t>最</w:t>
      </w:r>
      <w:r>
        <w:rPr>
          <w:rFonts w:hint="eastAsia" w:ascii="宋体" w:hAnsi="宋体" w:eastAsia="宋体" w:cs="宋体"/>
          <w:color w:val="auto"/>
          <w:sz w:val="24"/>
          <w:szCs w:val="24"/>
          <w:highlight w:val="none"/>
        </w:rPr>
        <w:t>佳报价确定方式：根据所有入围供应商有效报价中的最低报价作为最佳报价。</w:t>
      </w:r>
    </w:p>
    <w:p w14:paraId="719C0A1E">
      <w:pPr>
        <w:keepNext w:val="0"/>
        <w:keepLines w:val="0"/>
        <w:pageBreakBefore w:val="0"/>
        <w:widowControl w:val="0"/>
        <w:kinsoku/>
        <w:wordWrap/>
        <w:overflowPunct/>
        <w:topLinePunct w:val="0"/>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4、最佳报价者的报价分为满分，其他供应商的有效报价与最佳报价相比，按下列方法计算其报价分：</w:t>
      </w:r>
    </w:p>
    <w:p w14:paraId="642F5D94">
      <w:pPr>
        <w:keepNext w:val="0"/>
        <w:keepLines w:val="0"/>
        <w:pageBreakBefore w:val="0"/>
        <w:widowControl w:val="0"/>
        <w:kinsoku/>
        <w:wordWrap/>
        <w:overflowPunct/>
        <w:topLinePunct w:val="0"/>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投标价格分=(最佳报价/投标报价)*价格权值*100。</w:t>
      </w:r>
    </w:p>
    <w:p w14:paraId="4AED2E23">
      <w:pPr>
        <w:keepNext w:val="0"/>
        <w:keepLines w:val="0"/>
        <w:pageBreakBefore w:val="0"/>
        <w:widowControl w:val="0"/>
        <w:kinsoku/>
        <w:wordWrap/>
        <w:overflowPunct/>
        <w:topLinePunct w:val="0"/>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5、当报价一览表与磋商报价明细表报价不一致时，以报价一览表为准，磋商报价明细表报价予以修正并由授权代表签字确认，拒绝修正或确认的，则做无效标处理。</w:t>
      </w:r>
    </w:p>
    <w:p w14:paraId="3E1036ED">
      <w:pPr>
        <w:keepNext w:val="0"/>
        <w:keepLines w:val="0"/>
        <w:pageBreakBefore w:val="0"/>
        <w:widowControl w:val="0"/>
        <w:kinsoku/>
        <w:wordWrap/>
        <w:overflowPunct/>
        <w:topLinePunct w:val="0"/>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6、响应文件只允许有一个报价，磋商报价应按磋商文件中相关附表格式填报，该磋商报价应与明细报价汇总相等，且不允许出现报价优惠、赠送等字样（明细出现“0”元，视同赠送）,如出</w:t>
      </w:r>
      <w:r>
        <w:rPr>
          <w:rFonts w:hint="eastAsia" w:ascii="宋体" w:hAnsi="宋体" w:eastAsia="宋体" w:cs="宋体"/>
          <w:b w:val="0"/>
          <w:bCs w:val="0"/>
          <w:color w:val="auto"/>
          <w:sz w:val="24"/>
          <w:szCs w:val="24"/>
          <w:highlight w:val="none"/>
        </w:rPr>
        <w:t>现则做</w:t>
      </w:r>
      <w:r>
        <w:rPr>
          <w:rFonts w:hint="eastAsia" w:ascii="宋体" w:hAnsi="宋体" w:eastAsia="宋体" w:cs="宋体"/>
          <w:b/>
          <w:bCs/>
          <w:color w:val="auto"/>
          <w:sz w:val="24"/>
          <w:szCs w:val="24"/>
          <w:highlight w:val="none"/>
        </w:rPr>
        <w:t>无效响</w:t>
      </w:r>
      <w:r>
        <w:rPr>
          <w:rFonts w:hint="eastAsia" w:ascii="宋体" w:hAnsi="宋体" w:eastAsia="宋体" w:cs="宋体"/>
          <w:b w:val="0"/>
          <w:bCs w:val="0"/>
          <w:color w:val="auto"/>
          <w:sz w:val="24"/>
          <w:szCs w:val="24"/>
          <w:highlight w:val="none"/>
        </w:rPr>
        <w:t>应处理。</w:t>
      </w:r>
    </w:p>
    <w:p w14:paraId="1C2199B7">
      <w:pPr>
        <w:keepNext w:val="0"/>
        <w:keepLines w:val="0"/>
        <w:pageBreakBefore w:val="0"/>
        <w:widowControl w:val="0"/>
        <w:kinsoku/>
        <w:wordWrap/>
        <w:overflowPunct/>
        <w:topLinePunct w:val="0"/>
        <w:autoSpaceDE w:val="0"/>
        <w:autoSpaceDN w:val="0"/>
        <w:bidi w:val="0"/>
        <w:adjustRightInd/>
        <w:snapToGrid/>
        <w:spacing w:line="336"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b w:val="0"/>
          <w:bCs w:val="0"/>
          <w:color w:val="auto"/>
          <w:sz w:val="24"/>
          <w:szCs w:val="24"/>
          <w:highlight w:val="none"/>
        </w:rPr>
        <w:t>、</w:t>
      </w:r>
      <w:r>
        <w:rPr>
          <w:rFonts w:hint="eastAsia" w:ascii="宋体" w:hAnsi="宋体" w:eastAsia="宋体" w:cs="宋体"/>
          <w:b/>
          <w:bCs/>
          <w:color w:val="auto"/>
          <w:sz w:val="24"/>
          <w:szCs w:val="24"/>
          <w:highlight w:val="none"/>
        </w:rPr>
        <w:t>投标价格的合理性</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评标委员会认为供应商的报价明显低于其他通过符合性审</w:t>
      </w:r>
      <w:r>
        <w:rPr>
          <w:rFonts w:hint="eastAsia" w:ascii="宋体" w:hAnsi="宋体" w:cs="宋体"/>
          <w:color w:val="auto"/>
          <w:sz w:val="24"/>
          <w:szCs w:val="24"/>
          <w:highlight w:val="none"/>
          <w:lang w:eastAsia="zh-CN"/>
        </w:rPr>
        <w:t>查的</w:t>
      </w:r>
      <w:r>
        <w:rPr>
          <w:rFonts w:hint="eastAsia" w:ascii="宋体" w:hAnsi="宋体" w:eastAsia="宋体" w:cs="宋体"/>
          <w:color w:val="auto"/>
          <w:sz w:val="24"/>
          <w:szCs w:val="24"/>
          <w:highlight w:val="none"/>
        </w:rPr>
        <w:t>供应商的报价，有可能影响产品质量或者不能诚信履约的，应当要求其在评标现场合理的时间内提供书面说明，必要时提交相关证明材料；供应商不能证明其报价合理性的，评标委员会应当将其作为</w:t>
      </w:r>
      <w:r>
        <w:rPr>
          <w:rFonts w:hint="eastAsia" w:ascii="宋体" w:hAnsi="宋体" w:eastAsia="宋体" w:cs="宋体"/>
          <w:b w:val="0"/>
          <w:bCs w:val="0"/>
          <w:color w:val="auto"/>
          <w:sz w:val="24"/>
          <w:szCs w:val="24"/>
          <w:highlight w:val="none"/>
        </w:rPr>
        <w:t>无效响</w:t>
      </w:r>
      <w:r>
        <w:rPr>
          <w:rFonts w:hint="eastAsia" w:ascii="宋体" w:hAnsi="宋体" w:eastAsia="宋体" w:cs="宋体"/>
          <w:color w:val="auto"/>
          <w:sz w:val="24"/>
          <w:szCs w:val="24"/>
          <w:highlight w:val="none"/>
        </w:rPr>
        <w:t>应处理。</w:t>
      </w:r>
    </w:p>
    <w:p w14:paraId="1178D1D0">
      <w:pPr>
        <w:keepNext w:val="0"/>
        <w:keepLines w:val="0"/>
        <w:pageBreakBefore w:val="0"/>
        <w:widowControl w:val="0"/>
        <w:kinsoku/>
        <w:wordWrap/>
        <w:overflowPunct/>
        <w:topLinePunct w:val="0"/>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78299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51A85B48">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组成联合体或者接受分包的小微企业与联合体内其他企业、分包企业之间存在直接控股、管理关系的，不享受价格扣除优惠政策。联合体各方均为小型、微型企业的，联合体视同为小型、微型企业。</w:t>
      </w:r>
    </w:p>
    <w:p w14:paraId="697F119D">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highlight w:val="none"/>
        </w:rPr>
      </w:pPr>
    </w:p>
    <w:p w14:paraId="424B55C5">
      <w:pPr>
        <w:keepNext w:val="0"/>
        <w:keepLines w:val="0"/>
        <w:pageBreakBefore w:val="0"/>
        <w:widowControl w:val="0"/>
        <w:numPr>
          <w:ilvl w:val="0"/>
          <w:numId w:val="20"/>
        </w:numPr>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商务技术文件评标内容及标准（</w:t>
      </w:r>
      <w:r>
        <w:rPr>
          <w:rFonts w:hint="eastAsia" w:ascii="宋体" w:hAnsi="宋体" w:cs="宋体"/>
          <w:b/>
          <w:bCs/>
          <w:color w:val="auto"/>
          <w:sz w:val="24"/>
          <w:szCs w:val="24"/>
          <w:highlight w:val="none"/>
          <w:u w:val="single"/>
          <w:lang w:val="en-US" w:eastAsia="zh-CN"/>
        </w:rPr>
        <w:t>8</w:t>
      </w:r>
      <w:r>
        <w:rPr>
          <w:rFonts w:hint="eastAsia" w:ascii="宋体" w:hAnsi="宋体" w:eastAsia="宋体" w:cs="宋体"/>
          <w:b/>
          <w:bCs/>
          <w:color w:val="auto"/>
          <w:sz w:val="24"/>
          <w:szCs w:val="24"/>
          <w:highlight w:val="none"/>
          <w:u w:val="single"/>
        </w:rPr>
        <w:t>0</w:t>
      </w:r>
      <w:r>
        <w:rPr>
          <w:rFonts w:hint="eastAsia" w:ascii="宋体" w:hAnsi="宋体" w:eastAsia="宋体" w:cs="宋体"/>
          <w:b/>
          <w:bCs/>
          <w:color w:val="auto"/>
          <w:sz w:val="24"/>
          <w:szCs w:val="24"/>
          <w:highlight w:val="none"/>
        </w:rPr>
        <w:t>分）</w:t>
      </w:r>
    </w:p>
    <w:p w14:paraId="1EB9FEF6">
      <w:pPr>
        <w:keepNext w:val="0"/>
        <w:keepLines w:val="0"/>
        <w:pageBreakBefore w:val="0"/>
        <w:widowControl w:val="0"/>
        <w:numPr>
          <w:ilvl w:val="0"/>
          <w:numId w:val="21"/>
        </w:numPr>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bl>
      <w:tblPr>
        <w:tblStyle w:val="25"/>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915"/>
        <w:gridCol w:w="6493"/>
        <w:gridCol w:w="705"/>
      </w:tblGrid>
      <w:tr w14:paraId="384B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gridSpan w:val="2"/>
            <w:noWrap/>
            <w:vAlign w:val="center"/>
          </w:tcPr>
          <w:p w14:paraId="6B80FF03">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评审内容</w:t>
            </w:r>
          </w:p>
        </w:tc>
        <w:tc>
          <w:tcPr>
            <w:tcW w:w="6493" w:type="dxa"/>
            <w:noWrap/>
            <w:vAlign w:val="center"/>
          </w:tcPr>
          <w:p w14:paraId="64B1F248">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评分标准</w:t>
            </w:r>
          </w:p>
        </w:tc>
        <w:tc>
          <w:tcPr>
            <w:tcW w:w="705" w:type="dxa"/>
            <w:noWrap/>
            <w:vAlign w:val="center"/>
          </w:tcPr>
          <w:p w14:paraId="3243D4CA">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分值</w:t>
            </w:r>
          </w:p>
        </w:tc>
      </w:tr>
      <w:tr w14:paraId="7B0D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592" w:type="dxa"/>
            <w:gridSpan w:val="2"/>
            <w:vMerge w:val="restart"/>
            <w:noWrap/>
            <w:vAlign w:val="center"/>
          </w:tcPr>
          <w:p w14:paraId="11C29CB6">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b w:val="0"/>
                <w:bCs/>
                <w:sz w:val="24"/>
                <w:szCs w:val="24"/>
                <w:lang w:eastAsia="zh-CN"/>
              </w:rPr>
            </w:pPr>
            <w:r>
              <w:rPr>
                <w:rFonts w:hint="eastAsia" w:ascii="宋体" w:hAnsi="宋体" w:cs="宋体"/>
                <w:b w:val="0"/>
                <w:bCs/>
                <w:sz w:val="24"/>
                <w:szCs w:val="24"/>
                <w:lang w:eastAsia="zh-CN"/>
              </w:rPr>
              <w:t>项目理解</w:t>
            </w:r>
          </w:p>
        </w:tc>
        <w:tc>
          <w:tcPr>
            <w:tcW w:w="6493" w:type="dxa"/>
            <w:noWrap/>
            <w:vAlign w:val="center"/>
          </w:tcPr>
          <w:p w14:paraId="06394E76">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cs="宋体"/>
                <w:b w:val="0"/>
                <w:bCs/>
                <w:sz w:val="24"/>
                <w:szCs w:val="24"/>
                <w:lang w:eastAsia="zh-CN"/>
              </w:rPr>
            </w:pPr>
            <w:r>
              <w:rPr>
                <w:rFonts w:hint="eastAsia" w:ascii="宋体" w:hAnsi="宋体" w:cs="宋体"/>
                <w:b w:val="0"/>
                <w:bCs/>
                <w:sz w:val="24"/>
                <w:szCs w:val="24"/>
                <w:lang w:eastAsia="zh-CN"/>
              </w:rPr>
              <w:t>根据供应商对总体目标的设定理解程度、服务内容服务的整体性、合理性进行综合打分。</w:t>
            </w:r>
          </w:p>
        </w:tc>
        <w:tc>
          <w:tcPr>
            <w:tcW w:w="705" w:type="dxa"/>
            <w:noWrap/>
            <w:vAlign w:val="center"/>
          </w:tcPr>
          <w:p w14:paraId="00E6146E">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分</w:t>
            </w:r>
          </w:p>
        </w:tc>
      </w:tr>
      <w:tr w14:paraId="159B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92" w:type="dxa"/>
            <w:gridSpan w:val="2"/>
            <w:vMerge w:val="continue"/>
            <w:noWrap/>
            <w:vAlign w:val="center"/>
          </w:tcPr>
          <w:p w14:paraId="6A7AD0E3">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b w:val="0"/>
                <w:bCs/>
                <w:sz w:val="24"/>
                <w:szCs w:val="24"/>
                <w:lang w:eastAsia="zh-CN"/>
              </w:rPr>
            </w:pPr>
          </w:p>
        </w:tc>
        <w:tc>
          <w:tcPr>
            <w:tcW w:w="6493" w:type="dxa"/>
            <w:noWrap/>
            <w:vAlign w:val="center"/>
          </w:tcPr>
          <w:p w14:paraId="2549896C">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cs="宋体"/>
                <w:b w:val="0"/>
                <w:bCs/>
                <w:sz w:val="24"/>
                <w:szCs w:val="24"/>
                <w:lang w:eastAsia="zh-CN"/>
              </w:rPr>
            </w:pPr>
            <w:r>
              <w:rPr>
                <w:rFonts w:hint="eastAsia" w:ascii="宋体" w:hAnsi="宋体" w:cs="宋体"/>
                <w:b w:val="0"/>
                <w:bCs/>
                <w:sz w:val="24"/>
                <w:szCs w:val="24"/>
                <w:lang w:eastAsia="zh-CN"/>
              </w:rPr>
              <w:t>根据供应商对企业信用云平台系统的了解程度和技术解决能力进行综合打分。</w:t>
            </w:r>
          </w:p>
        </w:tc>
        <w:tc>
          <w:tcPr>
            <w:tcW w:w="705" w:type="dxa"/>
            <w:noWrap/>
            <w:vAlign w:val="center"/>
          </w:tcPr>
          <w:p w14:paraId="75073E71">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分</w:t>
            </w:r>
          </w:p>
        </w:tc>
      </w:tr>
      <w:tr w14:paraId="21B8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92" w:type="dxa"/>
            <w:gridSpan w:val="2"/>
            <w:noWrap/>
            <w:vAlign w:val="center"/>
          </w:tcPr>
          <w:p w14:paraId="6B0966BD">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b w:val="0"/>
                <w:bCs/>
                <w:sz w:val="24"/>
                <w:szCs w:val="24"/>
                <w:lang w:eastAsia="zh-CN"/>
              </w:rPr>
            </w:pPr>
            <w:r>
              <w:rPr>
                <w:rFonts w:hint="eastAsia" w:ascii="宋体" w:hAnsi="宋体" w:cs="宋体"/>
                <w:b w:val="0"/>
                <w:bCs/>
                <w:sz w:val="24"/>
                <w:szCs w:val="24"/>
                <w:lang w:eastAsia="zh-CN"/>
              </w:rPr>
              <w:t>技术措施</w:t>
            </w:r>
          </w:p>
        </w:tc>
        <w:tc>
          <w:tcPr>
            <w:tcW w:w="6493" w:type="dxa"/>
            <w:shd w:val="clear" w:color="auto" w:fill="auto"/>
            <w:noWrap/>
            <w:vAlign w:val="center"/>
          </w:tcPr>
          <w:p w14:paraId="34287A45">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cs="宋体"/>
                <w:b w:val="0"/>
                <w:bCs/>
                <w:sz w:val="24"/>
                <w:szCs w:val="24"/>
                <w:lang w:val="en-US" w:eastAsia="zh-CN"/>
              </w:rPr>
            </w:pPr>
            <w:r>
              <w:rPr>
                <w:rFonts w:hint="eastAsia" w:ascii="宋体" w:hAnsi="宋体" w:cs="宋体"/>
                <w:b w:val="0"/>
                <w:bCs/>
                <w:sz w:val="24"/>
                <w:szCs w:val="24"/>
                <w:lang w:eastAsia="zh-CN"/>
              </w:rPr>
              <w:t>根据供应商提供的克服难点和要点技术措施进行综合打分。</w:t>
            </w:r>
          </w:p>
        </w:tc>
        <w:tc>
          <w:tcPr>
            <w:tcW w:w="705" w:type="dxa"/>
            <w:shd w:val="clear" w:color="auto" w:fill="auto"/>
            <w:noWrap/>
            <w:vAlign w:val="center"/>
          </w:tcPr>
          <w:p w14:paraId="3E6A97E7">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5分</w:t>
            </w:r>
          </w:p>
        </w:tc>
      </w:tr>
      <w:tr w14:paraId="6CE7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592" w:type="dxa"/>
            <w:gridSpan w:val="2"/>
            <w:vMerge w:val="restart"/>
            <w:noWrap/>
            <w:vAlign w:val="center"/>
          </w:tcPr>
          <w:p w14:paraId="43DDCB62">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b w:val="0"/>
                <w:bCs/>
                <w:sz w:val="24"/>
                <w:szCs w:val="24"/>
                <w:lang w:eastAsia="zh-CN"/>
              </w:rPr>
            </w:pPr>
            <w:r>
              <w:rPr>
                <w:rFonts w:hint="eastAsia" w:ascii="宋体" w:hAnsi="宋体" w:cs="宋体"/>
                <w:b w:val="0"/>
                <w:bCs/>
                <w:sz w:val="24"/>
                <w:szCs w:val="24"/>
                <w:lang w:eastAsia="zh-CN"/>
              </w:rPr>
              <w:t>维保方案</w:t>
            </w:r>
          </w:p>
        </w:tc>
        <w:tc>
          <w:tcPr>
            <w:tcW w:w="6493" w:type="dxa"/>
            <w:shd w:val="clear" w:color="auto" w:fill="auto"/>
            <w:noWrap/>
            <w:vAlign w:val="center"/>
          </w:tcPr>
          <w:p w14:paraId="32388269">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cs="宋体"/>
                <w:b w:val="0"/>
                <w:bCs/>
                <w:sz w:val="24"/>
                <w:szCs w:val="24"/>
                <w:lang w:val="en-US" w:eastAsia="zh-CN"/>
              </w:rPr>
            </w:pPr>
            <w:r>
              <w:rPr>
                <w:rFonts w:hint="eastAsia" w:ascii="宋体" w:hAnsi="宋体" w:cs="宋体"/>
                <w:b w:val="0"/>
                <w:bCs/>
                <w:sz w:val="24"/>
                <w:szCs w:val="24"/>
                <w:lang w:eastAsia="zh-CN"/>
              </w:rPr>
              <w:t>根据供应商提供的</w:t>
            </w:r>
            <w:r>
              <w:rPr>
                <w:rFonts w:hint="eastAsia" w:ascii="宋体" w:hAnsi="宋体" w:cs="宋体"/>
                <w:b w:val="0"/>
                <w:bCs/>
                <w:sz w:val="24"/>
                <w:szCs w:val="24"/>
                <w:lang w:val="en-US" w:eastAsia="zh-CN"/>
              </w:rPr>
              <w:t>存储设备</w:t>
            </w:r>
            <w:r>
              <w:rPr>
                <w:rFonts w:hint="eastAsia" w:ascii="宋体" w:hAnsi="宋体" w:cs="宋体"/>
                <w:b w:val="0"/>
                <w:bCs/>
                <w:sz w:val="24"/>
                <w:szCs w:val="24"/>
                <w:lang w:eastAsia="zh-CN"/>
              </w:rPr>
              <w:t>维保方案的完整性和可操作性等进行综合打分。</w:t>
            </w:r>
          </w:p>
        </w:tc>
        <w:tc>
          <w:tcPr>
            <w:tcW w:w="705" w:type="dxa"/>
            <w:shd w:val="clear" w:color="auto" w:fill="auto"/>
            <w:noWrap/>
            <w:vAlign w:val="center"/>
          </w:tcPr>
          <w:p w14:paraId="678D9D89">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5分</w:t>
            </w:r>
          </w:p>
        </w:tc>
      </w:tr>
      <w:tr w14:paraId="3F6F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592" w:type="dxa"/>
            <w:gridSpan w:val="2"/>
            <w:vMerge w:val="continue"/>
            <w:noWrap/>
            <w:vAlign w:val="center"/>
          </w:tcPr>
          <w:p w14:paraId="2A0BA4A5">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b w:val="0"/>
                <w:bCs/>
                <w:sz w:val="24"/>
                <w:szCs w:val="24"/>
                <w:lang w:eastAsia="zh-CN"/>
              </w:rPr>
            </w:pPr>
          </w:p>
        </w:tc>
        <w:tc>
          <w:tcPr>
            <w:tcW w:w="6493" w:type="dxa"/>
            <w:noWrap/>
            <w:vAlign w:val="center"/>
          </w:tcPr>
          <w:p w14:paraId="1F860233">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cs="宋体"/>
                <w:b w:val="0"/>
                <w:bCs/>
                <w:sz w:val="24"/>
                <w:szCs w:val="24"/>
                <w:lang w:eastAsia="zh-CN"/>
              </w:rPr>
            </w:pPr>
            <w:r>
              <w:rPr>
                <w:rFonts w:hint="eastAsia" w:ascii="宋体" w:hAnsi="宋体" w:cs="宋体"/>
                <w:b w:val="0"/>
                <w:bCs/>
                <w:sz w:val="24"/>
                <w:szCs w:val="24"/>
                <w:lang w:eastAsia="zh-CN"/>
              </w:rPr>
              <w:t>根据供应商提供的</w:t>
            </w:r>
            <w:r>
              <w:rPr>
                <w:rFonts w:hint="eastAsia" w:ascii="宋体" w:hAnsi="宋体" w:cs="宋体"/>
                <w:b w:val="0"/>
                <w:bCs/>
                <w:sz w:val="24"/>
                <w:szCs w:val="24"/>
                <w:lang w:val="en-US" w:eastAsia="zh-CN"/>
              </w:rPr>
              <w:t>网络</w:t>
            </w:r>
            <w:r>
              <w:rPr>
                <w:rFonts w:hint="eastAsia" w:ascii="宋体" w:hAnsi="宋体" w:cs="宋体"/>
                <w:b w:val="0"/>
                <w:bCs/>
                <w:sz w:val="24"/>
                <w:szCs w:val="24"/>
                <w:lang w:eastAsia="zh-CN"/>
              </w:rPr>
              <w:t>维保方案的完整性和可操作性等进行综合打分。</w:t>
            </w:r>
          </w:p>
        </w:tc>
        <w:tc>
          <w:tcPr>
            <w:tcW w:w="705" w:type="dxa"/>
            <w:noWrap/>
            <w:vAlign w:val="center"/>
          </w:tcPr>
          <w:p w14:paraId="2C358219">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rPr>
            </w:pPr>
            <w:r>
              <w:rPr>
                <w:rFonts w:hint="eastAsia" w:ascii="宋体" w:hAnsi="宋体" w:cs="宋体"/>
                <w:b w:val="0"/>
                <w:bCs/>
                <w:sz w:val="24"/>
                <w:szCs w:val="24"/>
                <w:lang w:val="en-US" w:eastAsia="zh-CN"/>
              </w:rPr>
              <w:t>5分</w:t>
            </w:r>
          </w:p>
        </w:tc>
      </w:tr>
      <w:tr w14:paraId="4AD2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592" w:type="dxa"/>
            <w:gridSpan w:val="2"/>
            <w:vMerge w:val="continue"/>
            <w:noWrap/>
            <w:vAlign w:val="center"/>
          </w:tcPr>
          <w:p w14:paraId="40D9BD8C">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b w:val="0"/>
                <w:bCs/>
                <w:sz w:val="24"/>
                <w:szCs w:val="24"/>
                <w:lang w:eastAsia="zh-CN"/>
              </w:rPr>
            </w:pPr>
          </w:p>
        </w:tc>
        <w:tc>
          <w:tcPr>
            <w:tcW w:w="6493" w:type="dxa"/>
            <w:noWrap/>
            <w:vAlign w:val="center"/>
          </w:tcPr>
          <w:p w14:paraId="051A1888">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cs="宋体"/>
                <w:b w:val="0"/>
                <w:bCs/>
                <w:sz w:val="24"/>
                <w:szCs w:val="24"/>
                <w:lang w:eastAsia="zh-CN"/>
              </w:rPr>
            </w:pPr>
            <w:r>
              <w:rPr>
                <w:rFonts w:hint="eastAsia" w:ascii="宋体" w:hAnsi="宋体" w:cs="宋体"/>
                <w:b w:val="0"/>
                <w:bCs/>
                <w:sz w:val="24"/>
                <w:szCs w:val="24"/>
                <w:lang w:eastAsia="zh-CN"/>
              </w:rPr>
              <w:t>根据供应商提供的数据库维保方案的完整性和可操作性等进行综合打分。</w:t>
            </w:r>
          </w:p>
        </w:tc>
        <w:tc>
          <w:tcPr>
            <w:tcW w:w="705" w:type="dxa"/>
            <w:noWrap/>
            <w:vAlign w:val="center"/>
          </w:tcPr>
          <w:p w14:paraId="51922A30">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rPr>
            </w:pPr>
            <w:r>
              <w:rPr>
                <w:rFonts w:hint="eastAsia" w:ascii="宋体" w:hAnsi="宋体" w:cs="宋体"/>
                <w:b w:val="0"/>
                <w:bCs/>
                <w:sz w:val="24"/>
                <w:szCs w:val="24"/>
                <w:lang w:val="en-US" w:eastAsia="zh-CN"/>
              </w:rPr>
              <w:t>5分</w:t>
            </w:r>
          </w:p>
        </w:tc>
      </w:tr>
      <w:tr w14:paraId="1420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592" w:type="dxa"/>
            <w:gridSpan w:val="2"/>
            <w:vMerge w:val="continue"/>
            <w:noWrap/>
            <w:vAlign w:val="center"/>
          </w:tcPr>
          <w:p w14:paraId="097F5D0A">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b w:val="0"/>
                <w:bCs/>
                <w:sz w:val="24"/>
                <w:szCs w:val="24"/>
                <w:lang w:eastAsia="zh-CN"/>
              </w:rPr>
            </w:pPr>
          </w:p>
        </w:tc>
        <w:tc>
          <w:tcPr>
            <w:tcW w:w="6493" w:type="dxa"/>
            <w:noWrap/>
            <w:vAlign w:val="center"/>
          </w:tcPr>
          <w:p w14:paraId="512176CA">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cs="宋体"/>
                <w:b w:val="0"/>
                <w:bCs/>
                <w:sz w:val="24"/>
                <w:szCs w:val="24"/>
                <w:lang w:eastAsia="zh-CN"/>
              </w:rPr>
            </w:pPr>
            <w:r>
              <w:rPr>
                <w:rFonts w:hint="eastAsia" w:ascii="宋体" w:hAnsi="宋体" w:cs="宋体"/>
                <w:b w:val="0"/>
                <w:bCs/>
                <w:sz w:val="24"/>
                <w:szCs w:val="24"/>
                <w:lang w:eastAsia="zh-CN"/>
              </w:rPr>
              <w:t>根据供应商提供的虚拟化维保方案的完整性和可操作性等进行综合打分。</w:t>
            </w:r>
          </w:p>
        </w:tc>
        <w:tc>
          <w:tcPr>
            <w:tcW w:w="705" w:type="dxa"/>
            <w:noWrap/>
            <w:vAlign w:val="center"/>
          </w:tcPr>
          <w:p w14:paraId="2BCC9811">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仿宋" w:hAnsi="仿宋" w:eastAsia="仿宋" w:cs="仿宋"/>
                <w:sz w:val="24"/>
              </w:rPr>
            </w:pPr>
            <w:r>
              <w:rPr>
                <w:rFonts w:hint="eastAsia" w:ascii="宋体" w:hAnsi="宋体" w:cs="宋体"/>
                <w:b w:val="0"/>
                <w:bCs/>
                <w:sz w:val="24"/>
                <w:szCs w:val="24"/>
                <w:lang w:val="en-US" w:eastAsia="zh-CN"/>
              </w:rPr>
              <w:t>5分</w:t>
            </w:r>
          </w:p>
        </w:tc>
      </w:tr>
      <w:tr w14:paraId="2BEC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92" w:type="dxa"/>
            <w:gridSpan w:val="2"/>
            <w:vMerge w:val="restart"/>
            <w:noWrap/>
            <w:vAlign w:val="center"/>
          </w:tcPr>
          <w:p w14:paraId="7BEC3A23">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b w:val="0"/>
                <w:bCs/>
                <w:sz w:val="24"/>
                <w:szCs w:val="24"/>
                <w:lang w:eastAsia="zh-CN"/>
              </w:rPr>
            </w:pPr>
            <w:r>
              <w:rPr>
                <w:rFonts w:hint="eastAsia" w:ascii="宋体" w:hAnsi="宋体" w:cs="宋体"/>
                <w:b w:val="0"/>
                <w:bCs/>
                <w:sz w:val="24"/>
                <w:szCs w:val="24"/>
                <w:lang w:eastAsia="zh-CN"/>
              </w:rPr>
              <w:t>巡检方案</w:t>
            </w:r>
          </w:p>
        </w:tc>
        <w:tc>
          <w:tcPr>
            <w:tcW w:w="6493" w:type="dxa"/>
            <w:noWrap/>
            <w:vAlign w:val="center"/>
          </w:tcPr>
          <w:p w14:paraId="45D1DB87">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cs="宋体"/>
                <w:b w:val="0"/>
                <w:bCs/>
                <w:sz w:val="24"/>
                <w:szCs w:val="24"/>
                <w:lang w:eastAsia="zh-CN"/>
              </w:rPr>
            </w:pPr>
            <w:r>
              <w:rPr>
                <w:rFonts w:hint="eastAsia" w:ascii="宋体" w:hAnsi="宋体" w:cs="宋体"/>
                <w:b w:val="0"/>
                <w:bCs/>
                <w:sz w:val="24"/>
                <w:szCs w:val="24"/>
                <w:lang w:eastAsia="zh-CN"/>
              </w:rPr>
              <w:t>根据供应商提供的定期巡检方案的完整性和可操作性等进行综合打分。</w:t>
            </w:r>
          </w:p>
        </w:tc>
        <w:tc>
          <w:tcPr>
            <w:tcW w:w="705" w:type="dxa"/>
            <w:noWrap/>
            <w:vAlign w:val="center"/>
          </w:tcPr>
          <w:p w14:paraId="0DBD66CF">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5分</w:t>
            </w:r>
          </w:p>
        </w:tc>
      </w:tr>
      <w:tr w14:paraId="07C6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92" w:type="dxa"/>
            <w:gridSpan w:val="2"/>
            <w:vMerge w:val="continue"/>
            <w:noWrap/>
            <w:vAlign w:val="center"/>
          </w:tcPr>
          <w:p w14:paraId="2433073A">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b w:val="0"/>
                <w:bCs/>
                <w:sz w:val="24"/>
                <w:szCs w:val="24"/>
                <w:lang w:eastAsia="zh-CN"/>
              </w:rPr>
            </w:pPr>
          </w:p>
        </w:tc>
        <w:tc>
          <w:tcPr>
            <w:tcW w:w="6493" w:type="dxa"/>
            <w:noWrap/>
            <w:vAlign w:val="center"/>
          </w:tcPr>
          <w:p w14:paraId="2D22FEAE">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cs="宋体"/>
                <w:b w:val="0"/>
                <w:bCs/>
                <w:sz w:val="24"/>
                <w:szCs w:val="24"/>
                <w:lang w:eastAsia="zh-CN"/>
              </w:rPr>
            </w:pPr>
            <w:r>
              <w:rPr>
                <w:rFonts w:hint="eastAsia" w:ascii="宋体" w:hAnsi="宋体" w:cs="宋体"/>
                <w:b w:val="0"/>
                <w:bCs/>
                <w:sz w:val="24"/>
                <w:szCs w:val="24"/>
                <w:lang w:eastAsia="zh-CN"/>
              </w:rPr>
              <w:t>根据供应商提供的日常维护表单包括日常巡检报告单、详细设备档案登记表、现场服务报告单、日常运维流程表等进行综合打分。</w:t>
            </w:r>
          </w:p>
        </w:tc>
        <w:tc>
          <w:tcPr>
            <w:tcW w:w="705" w:type="dxa"/>
            <w:noWrap/>
            <w:vAlign w:val="center"/>
          </w:tcPr>
          <w:p w14:paraId="37278FAA">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5分</w:t>
            </w:r>
          </w:p>
        </w:tc>
      </w:tr>
      <w:tr w14:paraId="5EC2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92" w:type="dxa"/>
            <w:gridSpan w:val="2"/>
            <w:noWrap/>
            <w:vAlign w:val="center"/>
          </w:tcPr>
          <w:p w14:paraId="3B0826BE">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b w:val="0"/>
                <w:bCs/>
                <w:sz w:val="24"/>
                <w:szCs w:val="24"/>
                <w:lang w:eastAsia="zh-CN"/>
              </w:rPr>
            </w:pPr>
            <w:r>
              <w:rPr>
                <w:rFonts w:hint="eastAsia" w:ascii="宋体" w:hAnsi="宋体" w:cs="宋体"/>
                <w:b w:val="0"/>
                <w:bCs/>
                <w:sz w:val="24"/>
                <w:szCs w:val="24"/>
                <w:lang w:eastAsia="zh-CN"/>
              </w:rPr>
              <w:t>安全服务方案</w:t>
            </w:r>
          </w:p>
        </w:tc>
        <w:tc>
          <w:tcPr>
            <w:tcW w:w="6493" w:type="dxa"/>
            <w:noWrap/>
            <w:vAlign w:val="center"/>
          </w:tcPr>
          <w:p w14:paraId="070AC6A2">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cs="宋体"/>
                <w:b w:val="0"/>
                <w:bCs/>
                <w:sz w:val="24"/>
                <w:szCs w:val="24"/>
                <w:lang w:eastAsia="zh-CN"/>
              </w:rPr>
            </w:pPr>
            <w:r>
              <w:rPr>
                <w:rFonts w:hint="eastAsia" w:ascii="宋体" w:hAnsi="宋体" w:cs="宋体"/>
                <w:b w:val="0"/>
                <w:bCs/>
                <w:sz w:val="24"/>
                <w:szCs w:val="24"/>
                <w:lang w:eastAsia="zh-CN"/>
              </w:rPr>
              <w:t>根据供应商提供的安全服务方案的完整性和可操作性等进行综合打分。</w:t>
            </w:r>
          </w:p>
        </w:tc>
        <w:tc>
          <w:tcPr>
            <w:tcW w:w="705" w:type="dxa"/>
            <w:noWrap/>
            <w:vAlign w:val="center"/>
          </w:tcPr>
          <w:p w14:paraId="3246736D">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sz w:val="24"/>
                <w:szCs w:val="24"/>
                <w:lang w:val="en-US" w:eastAsia="zh-CN"/>
              </w:rPr>
            </w:pPr>
            <w:r>
              <w:rPr>
                <w:rFonts w:hint="eastAsia" w:ascii="仿宋" w:hAnsi="仿宋" w:eastAsia="仿宋" w:cs="仿宋"/>
                <w:sz w:val="24"/>
                <w:lang w:val="en-US" w:eastAsia="zh-CN"/>
              </w:rPr>
              <w:t>5分</w:t>
            </w:r>
          </w:p>
        </w:tc>
      </w:tr>
      <w:tr w14:paraId="0BA7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92" w:type="dxa"/>
            <w:gridSpan w:val="2"/>
            <w:noWrap/>
            <w:vAlign w:val="center"/>
          </w:tcPr>
          <w:p w14:paraId="0CF69179">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b w:val="0"/>
                <w:bCs/>
                <w:sz w:val="24"/>
                <w:szCs w:val="24"/>
                <w:lang w:eastAsia="zh-CN"/>
              </w:rPr>
            </w:pPr>
            <w:r>
              <w:rPr>
                <w:rFonts w:hint="eastAsia" w:ascii="宋体" w:hAnsi="宋体" w:cs="宋体"/>
                <w:b w:val="0"/>
                <w:bCs/>
                <w:sz w:val="24"/>
                <w:szCs w:val="24"/>
                <w:lang w:eastAsia="zh-CN"/>
              </w:rPr>
              <w:t>培训计划</w:t>
            </w:r>
          </w:p>
        </w:tc>
        <w:tc>
          <w:tcPr>
            <w:tcW w:w="6493" w:type="dxa"/>
            <w:noWrap/>
            <w:vAlign w:val="center"/>
          </w:tcPr>
          <w:p w14:paraId="4D794798">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cs="宋体"/>
                <w:b w:val="0"/>
                <w:bCs/>
                <w:sz w:val="24"/>
                <w:szCs w:val="24"/>
                <w:lang w:eastAsia="zh-CN"/>
              </w:rPr>
            </w:pPr>
            <w:r>
              <w:rPr>
                <w:rFonts w:hint="eastAsia" w:ascii="宋体" w:hAnsi="宋体" w:cs="宋体"/>
                <w:b w:val="0"/>
                <w:bCs/>
                <w:sz w:val="24"/>
                <w:szCs w:val="24"/>
                <w:lang w:eastAsia="zh-CN"/>
              </w:rPr>
              <w:t>根据供应商提供的培训计划的完整性和可操作性等进行综合打分。</w:t>
            </w:r>
          </w:p>
        </w:tc>
        <w:tc>
          <w:tcPr>
            <w:tcW w:w="705" w:type="dxa"/>
            <w:noWrap/>
            <w:vAlign w:val="center"/>
          </w:tcPr>
          <w:p w14:paraId="345E1F06">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sz w:val="24"/>
                <w:szCs w:val="24"/>
                <w:lang w:val="en-US" w:eastAsia="zh-CN"/>
              </w:rPr>
            </w:pPr>
            <w:r>
              <w:rPr>
                <w:rFonts w:hint="eastAsia" w:ascii="仿宋" w:hAnsi="仿宋" w:eastAsia="仿宋" w:cs="仿宋"/>
                <w:sz w:val="24"/>
                <w:lang w:val="en-US" w:eastAsia="zh-CN"/>
              </w:rPr>
              <w:t>5分</w:t>
            </w:r>
          </w:p>
        </w:tc>
      </w:tr>
      <w:tr w14:paraId="0C35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92" w:type="dxa"/>
            <w:gridSpan w:val="2"/>
            <w:noWrap/>
            <w:vAlign w:val="center"/>
          </w:tcPr>
          <w:p w14:paraId="0DF50913">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b w:val="0"/>
                <w:bCs/>
                <w:sz w:val="24"/>
                <w:szCs w:val="24"/>
                <w:lang w:eastAsia="zh-CN"/>
              </w:rPr>
            </w:pPr>
            <w:r>
              <w:rPr>
                <w:rFonts w:hint="eastAsia" w:ascii="宋体" w:hAnsi="宋体" w:cs="宋体"/>
                <w:b w:val="0"/>
                <w:bCs/>
                <w:sz w:val="24"/>
                <w:szCs w:val="24"/>
                <w:lang w:val="en-US" w:eastAsia="zh-CN"/>
              </w:rPr>
              <w:t>拟投入成员</w:t>
            </w:r>
          </w:p>
        </w:tc>
        <w:tc>
          <w:tcPr>
            <w:tcW w:w="6493" w:type="dxa"/>
            <w:noWrap/>
            <w:vAlign w:val="center"/>
          </w:tcPr>
          <w:p w14:paraId="1D3CE9AE">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cs="宋体"/>
                <w:b w:val="0"/>
                <w:bCs/>
                <w:sz w:val="24"/>
                <w:szCs w:val="24"/>
                <w:lang w:eastAsia="zh-CN"/>
              </w:rPr>
            </w:pPr>
            <w:r>
              <w:rPr>
                <w:rFonts w:hint="eastAsia" w:ascii="宋体" w:hAnsi="宋体" w:cs="宋体"/>
                <w:b w:val="0"/>
                <w:bCs/>
                <w:sz w:val="24"/>
                <w:szCs w:val="24"/>
                <w:lang w:val="en-US" w:eastAsia="zh-CN"/>
              </w:rPr>
              <w:t>根据供应商制定的人员部署方案是否科学、合理、有效，进行综合打分。（需提供近三个月的社保缴费证明并加盖</w:t>
            </w:r>
            <w:r>
              <w:rPr>
                <w:rFonts w:hint="eastAsia" w:ascii="宋体" w:hAnsi="宋体" w:cs="宋体"/>
                <w:b w:val="0"/>
                <w:bCs/>
                <w:sz w:val="24"/>
                <w:szCs w:val="24"/>
                <w:lang w:eastAsia="zh-CN"/>
              </w:rPr>
              <w:t>供应商</w:t>
            </w:r>
            <w:r>
              <w:rPr>
                <w:rFonts w:hint="eastAsia" w:ascii="宋体" w:hAnsi="宋体" w:cs="宋体"/>
                <w:b w:val="0"/>
                <w:bCs/>
                <w:sz w:val="24"/>
                <w:szCs w:val="24"/>
                <w:lang w:val="en-US" w:eastAsia="zh-CN"/>
              </w:rPr>
              <w:t>公章）</w:t>
            </w:r>
          </w:p>
        </w:tc>
        <w:tc>
          <w:tcPr>
            <w:tcW w:w="705" w:type="dxa"/>
            <w:noWrap/>
            <w:vAlign w:val="center"/>
          </w:tcPr>
          <w:p w14:paraId="61F1198B">
            <w:pPr>
              <w:tabs>
                <w:tab w:val="left" w:pos="1080"/>
              </w:tabs>
              <w:spacing w:line="380" w:lineRule="exact"/>
              <w:jc w:val="center"/>
              <w:rPr>
                <w:rFonts w:hint="eastAsia" w:ascii="仿宋" w:hAnsi="仿宋" w:eastAsia="仿宋" w:cs="仿宋"/>
                <w:sz w:val="24"/>
                <w:lang w:val="en-US" w:eastAsia="zh-CN"/>
              </w:rPr>
            </w:pPr>
            <w:r>
              <w:rPr>
                <w:rFonts w:hint="eastAsia" w:ascii="宋体" w:hAnsi="宋体" w:eastAsia="宋体" w:cs="宋体"/>
                <w:sz w:val="24"/>
                <w:szCs w:val="24"/>
                <w:lang w:val="en-US" w:eastAsia="zh-CN"/>
              </w:rPr>
              <w:t>5分</w:t>
            </w:r>
          </w:p>
        </w:tc>
      </w:tr>
      <w:tr w14:paraId="14D1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92" w:type="dxa"/>
            <w:gridSpan w:val="2"/>
            <w:noWrap/>
            <w:vAlign w:val="center"/>
          </w:tcPr>
          <w:p w14:paraId="676744F9">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b w:val="0"/>
                <w:bCs/>
                <w:sz w:val="24"/>
                <w:szCs w:val="24"/>
                <w:lang w:eastAsia="zh-CN"/>
              </w:rPr>
            </w:pPr>
            <w:r>
              <w:rPr>
                <w:rFonts w:hint="eastAsia" w:ascii="宋体" w:hAnsi="宋体" w:cs="宋体"/>
                <w:b w:val="0"/>
                <w:bCs/>
                <w:sz w:val="24"/>
                <w:szCs w:val="24"/>
                <w:lang w:val="en-US" w:eastAsia="zh-CN"/>
              </w:rPr>
              <w:t>组织实施方案和保障措施</w:t>
            </w:r>
          </w:p>
        </w:tc>
        <w:tc>
          <w:tcPr>
            <w:tcW w:w="6493" w:type="dxa"/>
            <w:noWrap/>
            <w:vAlign w:val="center"/>
          </w:tcPr>
          <w:p w14:paraId="7EA69AB7">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根据供应商针对本项目提供的组织和流程（维护计划、故障响应流程、故障升级流程、备件流程、优化实施流程等）的合理性、科学性等情况进行打分。</w:t>
            </w:r>
          </w:p>
        </w:tc>
        <w:tc>
          <w:tcPr>
            <w:tcW w:w="705" w:type="dxa"/>
            <w:noWrap/>
            <w:vAlign w:val="center"/>
          </w:tcPr>
          <w:p w14:paraId="0D996E84">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分</w:t>
            </w:r>
          </w:p>
        </w:tc>
      </w:tr>
      <w:tr w14:paraId="1AF0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2" w:type="dxa"/>
            <w:gridSpan w:val="2"/>
            <w:noWrap/>
            <w:vAlign w:val="center"/>
          </w:tcPr>
          <w:p w14:paraId="7D01C59B">
            <w:pPr>
              <w:keepNext w:val="0"/>
              <w:keepLines w:val="0"/>
              <w:pageBreakBefore w:val="0"/>
              <w:widowControl w:val="0"/>
              <w:tabs>
                <w:tab w:val="left" w:pos="1080"/>
              </w:tabs>
              <w:kinsoku/>
              <w:wordWrap/>
              <w:overflowPunct/>
              <w:topLinePunct w:val="0"/>
              <w:autoSpaceDE/>
              <w:autoSpaceDN/>
              <w:bidi w:val="0"/>
              <w:adjustRightInd/>
              <w:snapToGrid/>
              <w:spacing w:line="336" w:lineRule="auto"/>
              <w:jc w:val="center"/>
              <w:textAlignment w:val="auto"/>
              <w:rPr>
                <w:rFonts w:hint="eastAsia" w:ascii="宋体" w:hAnsi="宋体" w:cs="宋体"/>
                <w:b w:val="0"/>
                <w:bCs/>
                <w:sz w:val="24"/>
                <w:szCs w:val="24"/>
                <w:lang w:val="en-US" w:eastAsia="zh-CN"/>
              </w:rPr>
            </w:pPr>
            <w:r>
              <w:rPr>
                <w:rFonts w:hint="eastAsia" w:ascii="宋体" w:hAnsi="宋体" w:cs="宋体"/>
                <w:b w:val="0"/>
                <w:bCs/>
                <w:sz w:val="24"/>
                <w:szCs w:val="24"/>
                <w:lang w:eastAsia="zh-CN"/>
              </w:rPr>
              <w:t>服务响应</w:t>
            </w:r>
          </w:p>
        </w:tc>
        <w:tc>
          <w:tcPr>
            <w:tcW w:w="6493" w:type="dxa"/>
            <w:noWrap/>
            <w:vAlign w:val="center"/>
          </w:tcPr>
          <w:p w14:paraId="63962C92">
            <w:pPr>
              <w:keepNext w:val="0"/>
              <w:keepLines w:val="0"/>
              <w:pageBreakBefore w:val="0"/>
              <w:widowControl w:val="0"/>
              <w:tabs>
                <w:tab w:val="left" w:pos="1080"/>
              </w:tabs>
              <w:kinsoku/>
              <w:wordWrap/>
              <w:overflowPunct/>
              <w:topLinePunct w:val="0"/>
              <w:autoSpaceDE/>
              <w:autoSpaceDN/>
              <w:bidi w:val="0"/>
              <w:adjustRightInd/>
              <w:snapToGrid/>
              <w:spacing w:line="336" w:lineRule="auto"/>
              <w:jc w:val="lef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根据供应商的服务响应承诺的积极性、规范性、合理性进行综合打分。</w:t>
            </w:r>
          </w:p>
        </w:tc>
        <w:tc>
          <w:tcPr>
            <w:tcW w:w="705" w:type="dxa"/>
            <w:noWrap/>
            <w:vAlign w:val="center"/>
          </w:tcPr>
          <w:p w14:paraId="1A68B130">
            <w:pPr>
              <w:tabs>
                <w:tab w:val="left" w:pos="1080"/>
              </w:tabs>
              <w:spacing w:line="3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r>
      <w:tr w14:paraId="20D5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77" w:type="dxa"/>
            <w:vMerge w:val="restart"/>
            <w:noWrap/>
            <w:vAlign w:val="center"/>
          </w:tcPr>
          <w:p w14:paraId="40295D6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w:t>
            </w:r>
          </w:p>
          <w:p w14:paraId="29D99A26">
            <w:pPr>
              <w:tabs>
                <w:tab w:val="left" w:pos="1080"/>
              </w:tabs>
              <w:spacing w:line="380" w:lineRule="exact"/>
              <w:jc w:val="center"/>
              <w:rPr>
                <w:rFonts w:hint="eastAsia" w:ascii="宋体" w:hAnsi="宋体" w:eastAsia="宋体" w:cs="宋体"/>
                <w:color w:val="auto"/>
                <w:sz w:val="24"/>
                <w:szCs w:val="24"/>
                <w:highlight w:val="none"/>
              </w:rPr>
            </w:pPr>
          </w:p>
        </w:tc>
        <w:tc>
          <w:tcPr>
            <w:tcW w:w="915" w:type="dxa"/>
            <w:noWrap/>
            <w:vAlign w:val="center"/>
          </w:tcPr>
          <w:p w14:paraId="01AF389A">
            <w:pP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b w:val="0"/>
                <w:bCs/>
                <w:sz w:val="24"/>
                <w:szCs w:val="24"/>
                <w:lang w:val="en-US" w:eastAsia="zh-CN"/>
              </w:rPr>
              <w:t>类似</w:t>
            </w:r>
            <w:r>
              <w:rPr>
                <w:rFonts w:hint="eastAsia" w:ascii="宋体" w:hAnsi="宋体" w:eastAsia="宋体" w:cs="宋体"/>
                <w:b w:val="0"/>
                <w:bCs/>
                <w:sz w:val="24"/>
                <w:szCs w:val="24"/>
              </w:rPr>
              <w:t>业绩</w:t>
            </w:r>
          </w:p>
        </w:tc>
        <w:tc>
          <w:tcPr>
            <w:tcW w:w="6493" w:type="dxa"/>
            <w:noWrap/>
            <w:vAlign w:val="center"/>
          </w:tcPr>
          <w:p w14:paraId="006A2371">
            <w:pPr>
              <w:ind w:firstLine="482" w:firstLineChars="200"/>
              <w:rPr>
                <w:rFonts w:hint="eastAsia" w:ascii="宋体" w:hAnsi="宋体" w:eastAsia="宋体" w:cs="宋体"/>
                <w:sz w:val="24"/>
                <w:szCs w:val="24"/>
              </w:rPr>
            </w:pPr>
            <w:r>
              <w:rPr>
                <w:rFonts w:hint="eastAsia" w:ascii="宋体" w:hAnsi="宋体" w:eastAsia="宋体" w:cs="宋体"/>
                <w:b/>
                <w:bCs/>
                <w:color w:val="auto"/>
                <w:sz w:val="24"/>
                <w:szCs w:val="24"/>
              </w:rPr>
              <w:t>详见商务要求表</w:t>
            </w:r>
          </w:p>
        </w:tc>
        <w:tc>
          <w:tcPr>
            <w:tcW w:w="705" w:type="dxa"/>
            <w:noWrap/>
            <w:vAlign w:val="center"/>
          </w:tcPr>
          <w:p w14:paraId="1768600C">
            <w:pPr>
              <w:pStyle w:val="23"/>
              <w:widowControl w:val="0"/>
              <w:spacing w:after="0" w:line="380" w:lineRule="exact"/>
              <w:ind w:left="0" w:leftChars="0" w:firstLine="0" w:firstLineChars="0"/>
              <w:jc w:val="center"/>
              <w:rPr>
                <w:rFonts w:hint="eastAsia" w:ascii="宋体" w:hAnsi="宋体" w:eastAsia="宋体" w:cs="宋体"/>
                <w:b w:val="0"/>
                <w:bCs/>
                <w:sz w:val="24"/>
                <w:szCs w:val="24"/>
                <w:lang w:val="en-US" w:eastAsia="zh-CN"/>
              </w:rPr>
            </w:pPr>
            <w:r>
              <w:rPr>
                <w:rFonts w:hint="eastAsia" w:cs="宋体"/>
                <w:b w:val="0"/>
                <w:bCs/>
                <w:sz w:val="24"/>
                <w:szCs w:val="24"/>
                <w:lang w:val="en-US" w:eastAsia="zh-CN"/>
              </w:rPr>
              <w:t>2</w:t>
            </w:r>
            <w:r>
              <w:rPr>
                <w:rFonts w:hint="eastAsia" w:ascii="宋体" w:hAnsi="宋体" w:eastAsia="宋体" w:cs="宋体"/>
                <w:b w:val="0"/>
                <w:bCs/>
                <w:sz w:val="24"/>
                <w:szCs w:val="24"/>
              </w:rPr>
              <w:t>分</w:t>
            </w:r>
          </w:p>
        </w:tc>
      </w:tr>
      <w:tr w14:paraId="4155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677" w:type="dxa"/>
            <w:vMerge w:val="continue"/>
            <w:noWrap/>
            <w:vAlign w:val="center"/>
          </w:tcPr>
          <w:p w14:paraId="30B10FC9">
            <w:pPr>
              <w:tabs>
                <w:tab w:val="left" w:pos="1080"/>
              </w:tabs>
              <w:spacing w:line="380" w:lineRule="exact"/>
              <w:jc w:val="center"/>
              <w:rPr>
                <w:rFonts w:hint="eastAsia" w:ascii="宋体" w:hAnsi="宋体" w:eastAsia="宋体" w:cs="宋体"/>
                <w:color w:val="auto"/>
                <w:sz w:val="24"/>
                <w:szCs w:val="24"/>
                <w:highlight w:val="none"/>
              </w:rPr>
            </w:pPr>
          </w:p>
        </w:tc>
        <w:tc>
          <w:tcPr>
            <w:tcW w:w="915" w:type="dxa"/>
            <w:noWrap/>
            <w:vAlign w:val="center"/>
          </w:tcPr>
          <w:p w14:paraId="5DA96995">
            <w:pPr>
              <w:spacing w:line="380" w:lineRule="exact"/>
              <w:jc w:val="center"/>
              <w:rPr>
                <w:rFonts w:hint="eastAsia" w:ascii="宋体" w:hAnsi="宋体" w:eastAsia="宋体" w:cs="宋体"/>
                <w:color w:val="auto"/>
                <w:sz w:val="24"/>
                <w:szCs w:val="24"/>
                <w:highlight w:val="none"/>
                <w:lang w:eastAsia="zh-CN"/>
              </w:rPr>
            </w:pPr>
            <w:r>
              <w:rPr>
                <w:rFonts w:hint="eastAsia" w:ascii="宋体" w:hAnsi="宋体" w:cs="宋体"/>
                <w:snapToGrid w:val="0"/>
                <w:sz w:val="24"/>
                <w:szCs w:val="24"/>
                <w:lang w:eastAsia="zh-CN"/>
              </w:rPr>
              <w:t>企业证书</w:t>
            </w:r>
          </w:p>
        </w:tc>
        <w:tc>
          <w:tcPr>
            <w:tcW w:w="6493" w:type="dxa"/>
            <w:noWrap/>
            <w:vAlign w:val="center"/>
          </w:tcPr>
          <w:p w14:paraId="0CB628E5">
            <w:pPr>
              <w:ind w:firstLine="482" w:firstLineChars="200"/>
              <w:rPr>
                <w:rFonts w:hint="eastAsia" w:ascii="宋体" w:hAnsi="宋体" w:eastAsia="宋体" w:cs="宋体"/>
                <w:sz w:val="24"/>
                <w:szCs w:val="24"/>
              </w:rPr>
            </w:pPr>
            <w:r>
              <w:rPr>
                <w:rFonts w:hint="eastAsia" w:ascii="宋体" w:hAnsi="宋体" w:eastAsia="宋体" w:cs="宋体"/>
                <w:b/>
                <w:bCs/>
                <w:color w:val="auto"/>
                <w:sz w:val="24"/>
                <w:szCs w:val="24"/>
              </w:rPr>
              <w:t>详见商务要求表</w:t>
            </w:r>
          </w:p>
        </w:tc>
        <w:tc>
          <w:tcPr>
            <w:tcW w:w="705" w:type="dxa"/>
            <w:noWrap/>
            <w:vAlign w:val="center"/>
          </w:tcPr>
          <w:p w14:paraId="78E5DF69">
            <w:pPr>
              <w:pStyle w:val="23"/>
              <w:widowControl w:val="0"/>
              <w:spacing w:after="0" w:line="380" w:lineRule="exact"/>
              <w:ind w:left="0" w:leftChars="0" w:firstLine="0" w:firstLineChars="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分</w:t>
            </w:r>
          </w:p>
        </w:tc>
      </w:tr>
      <w:tr w14:paraId="2A6F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677" w:type="dxa"/>
            <w:vMerge w:val="continue"/>
            <w:noWrap/>
            <w:vAlign w:val="center"/>
          </w:tcPr>
          <w:p w14:paraId="35137A9F">
            <w:pPr>
              <w:tabs>
                <w:tab w:val="left" w:pos="1080"/>
              </w:tabs>
              <w:spacing w:line="380" w:lineRule="exact"/>
              <w:jc w:val="center"/>
              <w:rPr>
                <w:rFonts w:hint="eastAsia" w:ascii="宋体" w:hAnsi="宋体" w:eastAsia="宋体" w:cs="宋体"/>
                <w:color w:val="auto"/>
                <w:sz w:val="24"/>
                <w:szCs w:val="24"/>
                <w:highlight w:val="none"/>
              </w:rPr>
            </w:pPr>
          </w:p>
        </w:tc>
        <w:tc>
          <w:tcPr>
            <w:tcW w:w="915" w:type="dxa"/>
            <w:noWrap/>
            <w:vAlign w:val="center"/>
          </w:tcPr>
          <w:p w14:paraId="435DD1BE">
            <w:pPr>
              <w:spacing w:line="380" w:lineRule="exact"/>
              <w:jc w:val="center"/>
              <w:rPr>
                <w:rFonts w:hint="eastAsia" w:ascii="宋体" w:hAnsi="宋体" w:eastAsia="宋体" w:cs="宋体"/>
                <w:snapToGrid w:val="0"/>
                <w:sz w:val="24"/>
                <w:szCs w:val="24"/>
                <w:lang w:eastAsia="zh-CN"/>
              </w:rPr>
            </w:pPr>
            <w:r>
              <w:rPr>
                <w:rFonts w:hint="eastAsia" w:ascii="宋体" w:hAnsi="宋体" w:cs="宋体"/>
                <w:snapToGrid w:val="0"/>
                <w:sz w:val="24"/>
                <w:szCs w:val="24"/>
                <w:lang w:eastAsia="zh-CN"/>
              </w:rPr>
              <w:t>人员证书</w:t>
            </w:r>
          </w:p>
        </w:tc>
        <w:tc>
          <w:tcPr>
            <w:tcW w:w="6493" w:type="dxa"/>
            <w:noWrap/>
            <w:vAlign w:val="center"/>
          </w:tcPr>
          <w:p w14:paraId="727B3A0B">
            <w:pPr>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详见商务要求表</w:t>
            </w:r>
          </w:p>
        </w:tc>
        <w:tc>
          <w:tcPr>
            <w:tcW w:w="705" w:type="dxa"/>
            <w:noWrap/>
            <w:vAlign w:val="center"/>
          </w:tcPr>
          <w:p w14:paraId="324BC764">
            <w:pPr>
              <w:pStyle w:val="23"/>
              <w:widowControl w:val="0"/>
              <w:spacing w:after="0" w:line="380" w:lineRule="exact"/>
              <w:ind w:left="0" w:leftChars="0" w:firstLine="0" w:firstLineChars="0"/>
              <w:jc w:val="center"/>
              <w:rPr>
                <w:rFonts w:hint="default" w:ascii="宋体" w:hAnsi="宋体" w:eastAsia="宋体" w:cs="宋体"/>
                <w:b w:val="0"/>
                <w:bCs/>
                <w:sz w:val="24"/>
                <w:szCs w:val="24"/>
                <w:lang w:val="en-US" w:eastAsia="zh-CN"/>
              </w:rPr>
            </w:pPr>
            <w:r>
              <w:rPr>
                <w:rFonts w:hint="eastAsia" w:cs="宋体"/>
                <w:b w:val="0"/>
                <w:bCs/>
                <w:sz w:val="24"/>
                <w:szCs w:val="24"/>
                <w:lang w:val="en-US" w:eastAsia="zh-CN"/>
              </w:rPr>
              <w:t>4分</w:t>
            </w:r>
          </w:p>
        </w:tc>
      </w:tr>
    </w:tbl>
    <w:p w14:paraId="53589FE7">
      <w:pPr>
        <w:pStyle w:val="23"/>
        <w:ind w:left="0" w:leftChars="0" w:firstLine="0" w:firstLineChars="0"/>
        <w:jc w:val="both"/>
        <w:rPr>
          <w:rFonts w:hint="eastAsia" w:ascii="宋体" w:hAnsi="宋体" w:eastAsia="宋体" w:cs="宋体"/>
          <w:color w:val="auto"/>
          <w:sz w:val="24"/>
          <w:szCs w:val="24"/>
          <w:highlight w:val="none"/>
        </w:rPr>
      </w:pPr>
    </w:p>
    <w:p w14:paraId="362A7D5E">
      <w:pPr>
        <w:numPr>
          <w:ilvl w:val="0"/>
          <w:numId w:val="22"/>
        </w:numPr>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商务要求表</w:t>
      </w:r>
      <w:r>
        <w:rPr>
          <w:rFonts w:hint="eastAsia" w:ascii="宋体" w:hAnsi="宋体" w:eastAsia="宋体" w:cs="宋体"/>
          <w:color w:val="auto"/>
          <w:sz w:val="24"/>
          <w:szCs w:val="24"/>
          <w:highlight w:val="none"/>
        </w:rPr>
        <w:t>（对应评分标准）</w:t>
      </w:r>
    </w:p>
    <w:tbl>
      <w:tblPr>
        <w:tblStyle w:val="25"/>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154"/>
        <w:gridCol w:w="6194"/>
        <w:gridCol w:w="609"/>
      </w:tblGrid>
      <w:tr w14:paraId="452F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87" w:type="dxa"/>
            <w:vMerge w:val="restart"/>
            <w:noWrap/>
            <w:vAlign w:val="center"/>
          </w:tcPr>
          <w:p w14:paraId="0FAB56A9">
            <w:pPr>
              <w:spacing w:line="380" w:lineRule="exact"/>
              <w:jc w:val="center"/>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商务</w:t>
            </w:r>
          </w:p>
        </w:tc>
        <w:tc>
          <w:tcPr>
            <w:tcW w:w="1154" w:type="dxa"/>
            <w:noWrap/>
            <w:vAlign w:val="center"/>
          </w:tcPr>
          <w:p w14:paraId="500D0605">
            <w:pPr>
              <w:spacing w:line="380" w:lineRule="exact"/>
              <w:jc w:val="center"/>
              <w:rPr>
                <w:rFonts w:hint="eastAsia" w:ascii="宋体" w:hAnsi="宋体" w:cs="宋体"/>
                <w:b w:val="0"/>
                <w:bCs/>
                <w:sz w:val="24"/>
                <w:szCs w:val="24"/>
              </w:rPr>
            </w:pPr>
            <w:r>
              <w:rPr>
                <w:rFonts w:hint="eastAsia" w:ascii="宋体" w:hAnsi="宋体" w:cs="宋体"/>
                <w:b w:val="0"/>
                <w:bCs/>
                <w:sz w:val="24"/>
                <w:szCs w:val="24"/>
                <w:lang w:val="en-US" w:eastAsia="zh-CN"/>
              </w:rPr>
              <w:t>类似</w:t>
            </w:r>
            <w:r>
              <w:rPr>
                <w:rFonts w:hint="eastAsia" w:ascii="宋体" w:hAnsi="宋体" w:cs="宋体"/>
                <w:b w:val="0"/>
                <w:bCs/>
                <w:sz w:val="24"/>
                <w:szCs w:val="24"/>
              </w:rPr>
              <w:t>业绩</w:t>
            </w:r>
          </w:p>
        </w:tc>
        <w:tc>
          <w:tcPr>
            <w:tcW w:w="6194" w:type="dxa"/>
            <w:noWrap/>
            <w:vAlign w:val="center"/>
          </w:tcPr>
          <w:p w14:paraId="69C00841">
            <w:pPr>
              <w:widowControl/>
              <w:spacing w:line="360" w:lineRule="exact"/>
              <w:jc w:val="left"/>
              <w:rPr>
                <w:rFonts w:hint="eastAsia" w:ascii="宋体" w:hAnsi="宋体" w:cs="宋体"/>
                <w:b w:val="0"/>
                <w:bCs/>
                <w:sz w:val="24"/>
                <w:szCs w:val="24"/>
              </w:rPr>
            </w:pPr>
            <w:r>
              <w:rPr>
                <w:rFonts w:hint="eastAsia"/>
                <w:snapToGrid w:val="0"/>
              </w:rPr>
              <w:t>202</w:t>
            </w:r>
            <w:r>
              <w:rPr>
                <w:rFonts w:hint="eastAsia"/>
                <w:snapToGrid w:val="0"/>
                <w:lang w:val="en-US" w:eastAsia="zh-CN"/>
              </w:rPr>
              <w:t>1</w:t>
            </w:r>
            <w:r>
              <w:rPr>
                <w:rFonts w:hint="eastAsia"/>
                <w:snapToGrid w:val="0"/>
              </w:rPr>
              <w:t>年</w:t>
            </w:r>
            <w:r>
              <w:rPr>
                <w:rFonts w:hint="eastAsia"/>
                <w:snapToGrid w:val="0"/>
                <w:lang w:val="en-US" w:eastAsia="zh-CN"/>
              </w:rPr>
              <w:t>1月1日（以合同签订日期为准）</w:t>
            </w:r>
            <w:r>
              <w:rPr>
                <w:rFonts w:hint="eastAsia"/>
                <w:snapToGrid w:val="0"/>
              </w:rPr>
              <w:t>以来承担</w:t>
            </w:r>
            <w:r>
              <w:rPr>
                <w:rFonts w:hint="eastAsia"/>
                <w:snapToGrid w:val="0"/>
                <w:lang w:eastAsia="zh-CN"/>
              </w:rPr>
              <w:t>类似</w:t>
            </w:r>
            <w:r>
              <w:rPr>
                <w:rFonts w:hint="eastAsia"/>
                <w:snapToGrid w:val="0"/>
              </w:rPr>
              <w:t>业绩情况，每提供一项得</w:t>
            </w:r>
            <w:r>
              <w:rPr>
                <w:rFonts w:hint="eastAsia"/>
                <w:snapToGrid w:val="0"/>
                <w:lang w:val="en-US" w:eastAsia="zh-CN"/>
              </w:rPr>
              <w:t>1</w:t>
            </w:r>
            <w:r>
              <w:rPr>
                <w:rFonts w:hint="eastAsia"/>
                <w:snapToGrid w:val="0"/>
              </w:rPr>
              <w:t>分，最高得</w:t>
            </w:r>
            <w:r>
              <w:rPr>
                <w:rFonts w:hint="eastAsia"/>
                <w:snapToGrid w:val="0"/>
                <w:lang w:val="en-US" w:eastAsia="zh-CN"/>
              </w:rPr>
              <w:t>2</w:t>
            </w:r>
            <w:r>
              <w:rPr>
                <w:rFonts w:hint="eastAsia"/>
                <w:snapToGrid w:val="0"/>
              </w:rPr>
              <w:t>分。（</w:t>
            </w:r>
            <w:r>
              <w:rPr>
                <w:rFonts w:hint="eastAsia"/>
                <w:snapToGrid w:val="0"/>
                <w:lang w:eastAsia="zh-CN"/>
              </w:rPr>
              <w:t>需</w:t>
            </w:r>
            <w:r>
              <w:rPr>
                <w:rFonts w:hint="eastAsia"/>
                <w:snapToGrid w:val="0"/>
              </w:rPr>
              <w:t>提供相关合同复印件及网站成交结果公示截图并加盖投标人公章，否则不得分）。</w:t>
            </w:r>
          </w:p>
        </w:tc>
        <w:tc>
          <w:tcPr>
            <w:tcW w:w="609" w:type="dxa"/>
            <w:noWrap/>
            <w:vAlign w:val="center"/>
          </w:tcPr>
          <w:p w14:paraId="1AE1249B">
            <w:pPr>
              <w:pStyle w:val="23"/>
              <w:widowControl w:val="0"/>
              <w:spacing w:after="0" w:line="380" w:lineRule="exact"/>
              <w:ind w:left="0" w:leftChars="0" w:firstLine="0" w:firstLineChars="0"/>
              <w:jc w:val="center"/>
              <w:rPr>
                <w:rFonts w:hint="eastAsia" w:ascii="宋体" w:hAnsi="宋体" w:cs="宋体"/>
                <w:b w:val="0"/>
                <w:bCs/>
                <w:sz w:val="24"/>
                <w:szCs w:val="24"/>
              </w:rPr>
            </w:pPr>
            <w:r>
              <w:rPr>
                <w:rFonts w:hint="eastAsia" w:cs="宋体"/>
                <w:b w:val="0"/>
                <w:bCs/>
                <w:sz w:val="24"/>
                <w:szCs w:val="24"/>
                <w:lang w:val="en-US" w:eastAsia="zh-CN"/>
              </w:rPr>
              <w:t>2</w:t>
            </w:r>
            <w:r>
              <w:rPr>
                <w:rFonts w:hint="eastAsia" w:ascii="宋体" w:hAnsi="宋体" w:cs="宋体"/>
                <w:b w:val="0"/>
                <w:bCs/>
                <w:sz w:val="24"/>
                <w:szCs w:val="24"/>
              </w:rPr>
              <w:t>分</w:t>
            </w:r>
          </w:p>
        </w:tc>
      </w:tr>
      <w:tr w14:paraId="08C9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587" w:type="dxa"/>
            <w:vMerge w:val="continue"/>
            <w:noWrap/>
            <w:vAlign w:val="center"/>
          </w:tcPr>
          <w:p w14:paraId="3E4C1AC1">
            <w:pPr>
              <w:spacing w:line="380" w:lineRule="exact"/>
              <w:jc w:val="center"/>
              <w:rPr>
                <w:rFonts w:hint="eastAsia" w:ascii="宋体" w:hAnsi="宋体" w:cs="宋体"/>
                <w:b w:val="0"/>
                <w:bCs/>
                <w:sz w:val="24"/>
                <w:szCs w:val="24"/>
              </w:rPr>
            </w:pPr>
          </w:p>
        </w:tc>
        <w:tc>
          <w:tcPr>
            <w:tcW w:w="1154" w:type="dxa"/>
            <w:noWrap/>
            <w:vAlign w:val="center"/>
          </w:tcPr>
          <w:p w14:paraId="014BA3C1">
            <w:pPr>
              <w:spacing w:line="380" w:lineRule="exact"/>
              <w:jc w:val="center"/>
              <w:rPr>
                <w:rFonts w:hint="eastAsia" w:ascii="宋体" w:hAnsi="宋体" w:eastAsia="宋体" w:cs="宋体"/>
                <w:b w:val="0"/>
                <w:bCs/>
                <w:sz w:val="24"/>
                <w:szCs w:val="24"/>
                <w:lang w:eastAsia="zh-CN"/>
              </w:rPr>
            </w:pPr>
            <w:r>
              <w:rPr>
                <w:rFonts w:hint="eastAsia"/>
                <w:snapToGrid w:val="0"/>
                <w:lang w:eastAsia="zh-CN"/>
              </w:rPr>
              <w:t>企业证书</w:t>
            </w:r>
          </w:p>
        </w:tc>
        <w:tc>
          <w:tcPr>
            <w:tcW w:w="6194" w:type="dxa"/>
            <w:noWrap/>
            <w:vAlign w:val="center"/>
          </w:tcPr>
          <w:p w14:paraId="4DFDD364">
            <w:pPr>
              <w:spacing w:line="380" w:lineRule="exact"/>
              <w:jc w:val="left"/>
              <w:rPr>
                <w:rFonts w:hint="eastAsia" w:ascii="宋体" w:hAnsi="宋体" w:cs="宋体"/>
                <w:b w:val="0"/>
                <w:bCs/>
                <w:sz w:val="24"/>
                <w:szCs w:val="24"/>
              </w:rPr>
            </w:pPr>
            <w:r>
              <w:rPr>
                <w:rFonts w:hint="eastAsia" w:ascii="宋体" w:hAnsi="宋体" w:cs="宋体"/>
                <w:sz w:val="24"/>
              </w:rPr>
              <w:t>供应商具有有效期内的</w:t>
            </w:r>
            <w:r>
              <w:rPr>
                <w:rFonts w:hint="eastAsia" w:ascii="仿宋" w:hAnsi="仿宋" w:eastAsia="仿宋" w:cs="仿宋"/>
                <w:color w:val="000000"/>
                <w:sz w:val="24"/>
              </w:rPr>
              <w:t>信息安全服务资质（安全工程类）证书</w:t>
            </w:r>
            <w:r>
              <w:rPr>
                <w:rFonts w:hint="eastAsia" w:ascii="宋体" w:hAnsi="宋体" w:cs="宋体"/>
                <w:sz w:val="24"/>
              </w:rPr>
              <w:t>、</w:t>
            </w:r>
            <w:r>
              <w:rPr>
                <w:rFonts w:hint="eastAsia" w:ascii="仿宋" w:hAnsi="仿宋" w:eastAsia="仿宋" w:cs="仿宋"/>
                <w:color w:val="000000"/>
                <w:sz w:val="24"/>
              </w:rPr>
              <w:t>ISO20000 IT服务管理体系认证</w:t>
            </w:r>
            <w:r>
              <w:rPr>
                <w:rFonts w:hint="eastAsia" w:ascii="仿宋" w:hAnsi="仿宋" w:eastAsia="仿宋" w:cs="仿宋"/>
                <w:color w:val="000000"/>
                <w:sz w:val="24"/>
                <w:lang w:eastAsia="zh-CN"/>
              </w:rPr>
              <w:t>、</w:t>
            </w:r>
            <w:r>
              <w:rPr>
                <w:rFonts w:hint="eastAsia" w:ascii="仿宋" w:hAnsi="仿宋" w:eastAsia="仿宋" w:cs="仿宋"/>
                <w:color w:val="000000"/>
                <w:sz w:val="24"/>
              </w:rPr>
              <w:t>IS027001信息安全管理体系认证证书</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GB/T24353-2022风险管理系统认证证书</w:t>
            </w:r>
            <w:r>
              <w:rPr>
                <w:rFonts w:hint="eastAsia" w:ascii="宋体" w:hAnsi="宋体" w:cs="宋体"/>
                <w:sz w:val="24"/>
              </w:rPr>
              <w:t>每提供一</w:t>
            </w:r>
            <w:r>
              <w:rPr>
                <w:rFonts w:hint="eastAsia" w:ascii="宋体" w:hAnsi="宋体" w:cs="宋体"/>
                <w:sz w:val="24"/>
                <w:lang w:eastAsia="zh-CN"/>
              </w:rPr>
              <w:t>个</w:t>
            </w:r>
            <w:r>
              <w:rPr>
                <w:rFonts w:hint="eastAsia" w:ascii="宋体" w:hAnsi="宋体" w:cs="宋体"/>
                <w:sz w:val="24"/>
              </w:rPr>
              <w:t>得1分，本项最高得</w:t>
            </w:r>
            <w:r>
              <w:rPr>
                <w:rFonts w:hint="eastAsia" w:ascii="宋体" w:hAnsi="宋体" w:cs="宋体"/>
                <w:sz w:val="24"/>
                <w:lang w:val="en-US" w:eastAsia="zh-CN"/>
              </w:rPr>
              <w:t>4</w:t>
            </w:r>
            <w:r>
              <w:rPr>
                <w:rFonts w:hint="eastAsia" w:ascii="宋体" w:hAnsi="宋体" w:cs="宋体"/>
                <w:sz w:val="24"/>
              </w:rPr>
              <w:t>分。（</w:t>
            </w:r>
            <w:r>
              <w:rPr>
                <w:rFonts w:hint="eastAsia" w:ascii="宋体" w:hAnsi="宋体" w:cs="宋体"/>
                <w:sz w:val="24"/>
                <w:lang w:eastAsia="zh-CN"/>
              </w:rPr>
              <w:t>需</w:t>
            </w:r>
            <w:r>
              <w:rPr>
                <w:rFonts w:hint="eastAsia" w:ascii="宋体" w:hAnsi="宋体" w:cs="宋体"/>
                <w:sz w:val="24"/>
              </w:rPr>
              <w:t>提供相关证书复印件加盖</w:t>
            </w:r>
            <w:r>
              <w:rPr>
                <w:rFonts w:hint="eastAsia" w:ascii="宋体" w:hAnsi="宋体" w:cs="宋体"/>
                <w:sz w:val="24"/>
                <w:lang w:eastAsia="zh-CN"/>
              </w:rPr>
              <w:t>供应商</w:t>
            </w:r>
            <w:r>
              <w:rPr>
                <w:rFonts w:hint="eastAsia" w:ascii="宋体" w:hAnsi="宋体" w:cs="宋体"/>
                <w:sz w:val="24"/>
              </w:rPr>
              <w:t>公章）</w:t>
            </w:r>
          </w:p>
        </w:tc>
        <w:tc>
          <w:tcPr>
            <w:tcW w:w="609" w:type="dxa"/>
            <w:noWrap/>
            <w:vAlign w:val="center"/>
          </w:tcPr>
          <w:p w14:paraId="33AC22F8">
            <w:pPr>
              <w:widowControl w:val="0"/>
              <w:spacing w:after="0" w:line="380" w:lineRule="exact"/>
              <w:ind w:left="0" w:leftChars="0" w:firstLine="0" w:firstLineChars="0"/>
              <w:jc w:val="center"/>
              <w:rPr>
                <w:rFonts w:hint="eastAsia" w:ascii="宋体" w:hAnsi="宋体" w:cs="宋体"/>
                <w:b w:val="0"/>
                <w:bCs/>
                <w:sz w:val="24"/>
                <w:szCs w:val="24"/>
              </w:rPr>
            </w:pPr>
            <w:r>
              <w:rPr>
                <w:rFonts w:hint="eastAsia"/>
                <w:lang w:val="en-US" w:eastAsia="zh-CN"/>
              </w:rPr>
              <w:t>4</w:t>
            </w:r>
            <w:r>
              <w:rPr>
                <w:rFonts w:hint="eastAsia"/>
              </w:rPr>
              <w:t>分</w:t>
            </w:r>
          </w:p>
        </w:tc>
      </w:tr>
      <w:tr w14:paraId="2C65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87" w:type="dxa"/>
            <w:vMerge w:val="continue"/>
            <w:noWrap/>
            <w:vAlign w:val="center"/>
          </w:tcPr>
          <w:p w14:paraId="325B09D0">
            <w:pPr>
              <w:widowControl w:val="0"/>
              <w:spacing w:after="0" w:line="380" w:lineRule="exact"/>
              <w:ind w:left="0" w:leftChars="0" w:firstLine="0" w:firstLineChars="0"/>
              <w:jc w:val="center"/>
            </w:pPr>
          </w:p>
        </w:tc>
        <w:tc>
          <w:tcPr>
            <w:tcW w:w="1154" w:type="dxa"/>
            <w:noWrap/>
            <w:vAlign w:val="center"/>
          </w:tcPr>
          <w:p w14:paraId="165A1B9A">
            <w:pPr>
              <w:widowControl w:val="0"/>
              <w:spacing w:after="0" w:line="380" w:lineRule="exact"/>
              <w:ind w:left="0" w:leftChars="0" w:firstLine="0" w:firstLineChars="0"/>
              <w:jc w:val="center"/>
              <w:rPr>
                <w:rFonts w:hint="eastAsia"/>
                <w:snapToGrid w:val="0"/>
                <w:lang w:eastAsia="zh-CN"/>
              </w:rPr>
            </w:pPr>
            <w:r>
              <w:rPr>
                <w:rFonts w:hint="eastAsia"/>
                <w:snapToGrid w:val="0"/>
                <w:lang w:eastAsia="zh-CN"/>
              </w:rPr>
              <w:t>人员证书</w:t>
            </w:r>
          </w:p>
        </w:tc>
        <w:tc>
          <w:tcPr>
            <w:tcW w:w="6194" w:type="dxa"/>
            <w:noWrap/>
            <w:vAlign w:val="center"/>
          </w:tcPr>
          <w:p w14:paraId="07E9198A">
            <w:pPr>
              <w:widowControl w:val="0"/>
              <w:spacing w:after="0" w:line="380" w:lineRule="exact"/>
              <w:ind w:left="0" w:leftChars="0" w:firstLine="0" w:firstLineChars="0"/>
              <w:jc w:val="left"/>
              <w:rPr>
                <w:rFonts w:hint="eastAsia"/>
                <w:snapToGrid w:val="0"/>
                <w:lang w:eastAsia="zh-CN"/>
              </w:rPr>
            </w:pPr>
            <w:r>
              <w:rPr>
                <w:rFonts w:hint="eastAsia" w:ascii="宋体" w:hAnsi="宋体" w:eastAsia="宋体" w:cs="宋体"/>
                <w:sz w:val="24"/>
              </w:rPr>
              <w:t>供应商拟投入本项目的</w:t>
            </w:r>
            <w:r>
              <w:rPr>
                <w:rFonts w:hint="eastAsia" w:ascii="宋体" w:hAnsi="宋体" w:eastAsia="宋体" w:cs="宋体"/>
                <w:sz w:val="24"/>
                <w:lang w:eastAsia="zh-CN"/>
              </w:rPr>
              <w:t>人员</w:t>
            </w:r>
            <w:r>
              <w:rPr>
                <w:rFonts w:hint="eastAsia" w:ascii="宋体" w:hAnsi="宋体" w:eastAsia="宋体" w:cs="宋体"/>
                <w:sz w:val="24"/>
              </w:rPr>
              <w:t>具有</w:t>
            </w:r>
            <w:r>
              <w:rPr>
                <w:rFonts w:hint="eastAsia" w:ascii="宋体" w:hAnsi="宋体" w:eastAsia="宋体" w:cs="宋体"/>
                <w:sz w:val="24"/>
                <w:lang w:val="zh-TW" w:eastAsia="zh-TW"/>
              </w:rPr>
              <w:t>计算机技术与软件专业技术资格证书</w:t>
            </w:r>
            <w:r>
              <w:rPr>
                <w:rFonts w:hint="eastAsia" w:ascii="宋体" w:hAnsi="宋体" w:eastAsia="宋体" w:cs="宋体"/>
                <w:sz w:val="24"/>
                <w:lang w:val="zh-TW" w:eastAsia="zh-CN"/>
              </w:rPr>
              <w:t>、</w:t>
            </w:r>
            <w:r>
              <w:rPr>
                <w:rFonts w:hint="eastAsia" w:ascii="宋体" w:hAnsi="宋体" w:eastAsia="宋体" w:cs="宋体"/>
                <w:sz w:val="24"/>
                <w:lang w:val="zh-TW" w:eastAsia="zh-TW"/>
              </w:rPr>
              <w:t>信息技术（系统集成）高级工程师职称资格证书</w:t>
            </w:r>
            <w:r>
              <w:rPr>
                <w:rFonts w:hint="eastAsia" w:ascii="宋体" w:hAnsi="宋体" w:eastAsia="宋体" w:cs="宋体"/>
                <w:sz w:val="24"/>
              </w:rPr>
              <w:t>注册信息安全工程师CISP认证</w:t>
            </w:r>
            <w:r>
              <w:rPr>
                <w:rFonts w:hint="eastAsia" w:ascii="宋体" w:hAnsi="宋体" w:eastAsia="宋体" w:cs="宋体"/>
                <w:sz w:val="24"/>
                <w:lang w:eastAsia="zh-CN"/>
              </w:rPr>
              <w:t>，每提供一项得一分最多得</w:t>
            </w:r>
            <w:r>
              <w:rPr>
                <w:rFonts w:hint="eastAsia" w:ascii="宋体" w:hAnsi="宋体" w:eastAsia="宋体" w:cs="宋体"/>
                <w:sz w:val="24"/>
                <w:lang w:val="en-US" w:eastAsia="zh-CN"/>
              </w:rPr>
              <w:t>4分（同一人员有多个证书的不重复计分）</w:t>
            </w:r>
            <w:r>
              <w:rPr>
                <w:rFonts w:hint="eastAsia" w:ascii="宋体" w:hAnsi="宋体" w:eastAsia="宋体" w:cs="宋体"/>
                <w:sz w:val="24"/>
              </w:rPr>
              <w:t>。</w:t>
            </w:r>
            <w:r>
              <w:rPr>
                <w:rFonts w:hint="eastAsia" w:ascii="宋体" w:hAnsi="宋体" w:eastAsia="宋体" w:cs="宋体"/>
                <w:sz w:val="24"/>
                <w:lang w:eastAsia="zh-CN"/>
              </w:rPr>
              <w:t>需</w:t>
            </w:r>
            <w:r>
              <w:rPr>
                <w:rFonts w:hint="eastAsia" w:ascii="宋体" w:hAnsi="宋体" w:cs="宋体"/>
                <w:sz w:val="24"/>
              </w:rPr>
              <w:t>提供相关</w:t>
            </w:r>
            <w:r>
              <w:rPr>
                <w:rFonts w:hint="eastAsia" w:ascii="宋体" w:hAnsi="宋体" w:cs="宋体"/>
                <w:sz w:val="24"/>
                <w:lang w:eastAsia="zh-CN"/>
              </w:rPr>
              <w:t>有效</w:t>
            </w:r>
            <w:r>
              <w:rPr>
                <w:rFonts w:hint="eastAsia" w:ascii="宋体" w:hAnsi="宋体" w:cs="宋体"/>
                <w:sz w:val="24"/>
              </w:rPr>
              <w:t>证书复印件以及近3个月的社保缴费证明加盖</w:t>
            </w:r>
            <w:r>
              <w:rPr>
                <w:rFonts w:hint="eastAsia" w:ascii="宋体" w:hAnsi="宋体" w:cs="宋体"/>
                <w:sz w:val="24"/>
                <w:lang w:eastAsia="zh-CN"/>
              </w:rPr>
              <w:t>供应商</w:t>
            </w:r>
            <w:r>
              <w:rPr>
                <w:rFonts w:hint="eastAsia" w:ascii="宋体" w:hAnsi="宋体" w:cs="宋体"/>
                <w:sz w:val="24"/>
              </w:rPr>
              <w:t>公章。</w:t>
            </w:r>
          </w:p>
        </w:tc>
        <w:tc>
          <w:tcPr>
            <w:tcW w:w="609" w:type="dxa"/>
            <w:noWrap/>
            <w:vAlign w:val="center"/>
          </w:tcPr>
          <w:p w14:paraId="419B7EF8">
            <w:pPr>
              <w:widowControl w:val="0"/>
              <w:spacing w:after="0" w:line="380" w:lineRule="exact"/>
              <w:ind w:left="0" w:leftChars="0" w:firstLine="0" w:firstLineChars="0"/>
              <w:jc w:val="center"/>
              <w:rPr>
                <w:rFonts w:hint="default"/>
                <w:snapToGrid w:val="0"/>
                <w:lang w:val="en-US" w:eastAsia="zh-CN"/>
              </w:rPr>
            </w:pPr>
            <w:r>
              <w:rPr>
                <w:rFonts w:hint="eastAsia"/>
                <w:snapToGrid w:val="0"/>
                <w:lang w:val="en-US" w:eastAsia="zh-CN"/>
              </w:rPr>
              <w:t>4分</w:t>
            </w:r>
          </w:p>
        </w:tc>
      </w:tr>
    </w:tbl>
    <w:p w14:paraId="49B3E7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p w14:paraId="364779C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w:t>
      </w:r>
    </w:p>
    <w:p w14:paraId="0FE8C50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1、评标委员会各成员应当独立对每个供应商的响应文件进行评价，并汇总每个供应商的得分。资信分为客观分，也需独立进行评价并核对分值，最终分值需一致。</w:t>
      </w:r>
    </w:p>
    <w:p w14:paraId="7BF17C1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2、所有文件、合同、证书、资质等需要真实有效。成交供应商在中标后签订合同时需提供以上证明文件原件，若发现资料作假的取消中标资格。</w:t>
      </w:r>
      <w:bookmarkStart w:id="87" w:name="_Toc19277"/>
      <w:bookmarkStart w:id="88" w:name="_Toc4517"/>
      <w:bookmarkStart w:id="89" w:name="_Toc8033"/>
    </w:p>
    <w:p w14:paraId="3AC37B7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87"/>
    <w:bookmarkEnd w:id="88"/>
    <w:bookmarkEnd w:id="89"/>
    <w:p w14:paraId="3035E476">
      <w:pPr>
        <w:pStyle w:val="2"/>
        <w:bidi w:val="0"/>
        <w:rPr>
          <w:rFonts w:hint="eastAsia"/>
        </w:rPr>
      </w:pPr>
      <w:bookmarkStart w:id="90" w:name="_Toc2376"/>
      <w:bookmarkStart w:id="91" w:name="_Toc7690"/>
      <w:bookmarkStart w:id="92" w:name="_Toc24867"/>
      <w:bookmarkStart w:id="93" w:name="_Toc4669"/>
      <w:r>
        <w:rPr>
          <w:rFonts w:hint="eastAsia"/>
        </w:rPr>
        <w:t>第五部分 采购合同</w:t>
      </w:r>
      <w:bookmarkEnd w:id="90"/>
    </w:p>
    <w:p w14:paraId="6E7A539C">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合同编号：（</w:t>
      </w:r>
      <w:r>
        <w:rPr>
          <w:rFonts w:hint="eastAsia" w:ascii="宋体" w:hAnsi="宋体" w:eastAsia="宋体" w:cs="宋体"/>
          <w:kern w:val="0"/>
          <w:sz w:val="24"/>
          <w:lang w:eastAsia="zh-CN"/>
        </w:rPr>
        <w:t>202</w:t>
      </w:r>
      <w:r>
        <w:rPr>
          <w:rFonts w:hint="eastAsia" w:ascii="宋体" w:hAnsi="宋体" w:eastAsia="宋体" w:cs="宋体"/>
          <w:kern w:val="0"/>
          <w:sz w:val="24"/>
          <w:lang w:val="en-US" w:eastAsia="zh-CN"/>
        </w:rPr>
        <w:t>4</w:t>
      </w:r>
      <w:r>
        <w:rPr>
          <w:rFonts w:hint="eastAsia" w:ascii="宋体" w:hAnsi="宋体" w:eastAsia="宋体" w:cs="宋体"/>
          <w:kern w:val="0"/>
          <w:sz w:val="24"/>
        </w:rPr>
        <w:t>）第</w:t>
      </w:r>
      <w:r>
        <w:rPr>
          <w:rFonts w:hint="eastAsia" w:ascii="宋体" w:hAnsi="宋体" w:eastAsia="宋体" w:cs="宋体"/>
          <w:kern w:val="0"/>
          <w:sz w:val="24"/>
          <w:u w:val="single"/>
        </w:rPr>
        <w:t>　　</w:t>
      </w:r>
      <w:r>
        <w:rPr>
          <w:rFonts w:hint="eastAsia" w:ascii="宋体" w:hAnsi="宋体" w:eastAsia="宋体" w:cs="宋体"/>
          <w:kern w:val="0"/>
          <w:sz w:val="24"/>
        </w:rPr>
        <w:t>号</w:t>
      </w:r>
    </w:p>
    <w:p w14:paraId="62398D05">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签订日期：</w:t>
      </w:r>
      <w:r>
        <w:rPr>
          <w:rFonts w:hint="eastAsia" w:ascii="宋体" w:hAnsi="宋体" w:eastAsia="宋体" w:cs="宋体"/>
          <w:kern w:val="0"/>
          <w:sz w:val="24"/>
          <w:lang w:eastAsia="zh-CN"/>
        </w:rPr>
        <w:t>202</w:t>
      </w:r>
      <w:r>
        <w:rPr>
          <w:rFonts w:hint="eastAsia" w:ascii="宋体" w:hAnsi="宋体" w:eastAsia="宋体" w:cs="宋体"/>
          <w:kern w:val="0"/>
          <w:sz w:val="24"/>
          <w:lang w:val="en-US" w:eastAsia="zh-CN"/>
        </w:rPr>
        <w:t>4</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p>
    <w:p w14:paraId="37398147">
      <w:pPr>
        <w:spacing w:line="360" w:lineRule="auto"/>
        <w:ind w:firstLine="480" w:firstLineChars="200"/>
        <w:rPr>
          <w:rFonts w:hint="eastAsia" w:ascii="宋体" w:hAnsi="宋体" w:eastAsia="宋体" w:cs="宋体"/>
          <w:sz w:val="28"/>
          <w:u w:val="single"/>
        </w:rPr>
      </w:pPr>
      <w:r>
        <w:rPr>
          <w:rFonts w:hint="eastAsia" w:ascii="宋体" w:hAnsi="宋体" w:eastAsia="宋体" w:cs="宋体"/>
          <w:kern w:val="0"/>
          <w:sz w:val="24"/>
        </w:rPr>
        <w:t>　</w:t>
      </w:r>
      <w:r>
        <w:rPr>
          <w:rFonts w:hint="eastAsia" w:ascii="宋体" w:hAnsi="宋体" w:eastAsia="宋体" w:cs="宋体"/>
          <w:kern w:val="0"/>
          <w:sz w:val="24"/>
          <w:lang w:val="en-US" w:eastAsia="zh-CN"/>
        </w:rPr>
        <w:t>甲</w:t>
      </w:r>
      <w:r>
        <w:rPr>
          <w:rFonts w:hint="eastAsia" w:ascii="宋体" w:hAnsi="宋体" w:eastAsia="宋体" w:cs="宋体"/>
          <w:kern w:val="0"/>
          <w:sz w:val="24"/>
        </w:rPr>
        <w:t>方</w:t>
      </w:r>
      <w:r>
        <w:rPr>
          <w:rFonts w:hint="eastAsia" w:ascii="宋体" w:hAnsi="宋体" w:eastAsia="宋体" w:cs="宋体"/>
          <w:sz w:val="28"/>
        </w:rPr>
        <w:t>：</w:t>
      </w:r>
      <w:r>
        <w:rPr>
          <w:rFonts w:hint="eastAsia" w:ascii="宋体" w:hAnsi="宋体" w:eastAsia="宋体" w:cs="宋体"/>
          <w:sz w:val="28"/>
          <w:u w:val="single"/>
        </w:rPr>
        <w:t>　</w:t>
      </w:r>
      <w:r>
        <w:rPr>
          <w:rFonts w:hint="eastAsia" w:ascii="宋体" w:hAnsi="宋体" w:cs="宋体"/>
          <w:sz w:val="28"/>
          <w:u w:val="single"/>
          <w:lang w:eastAsia="zh-CN"/>
        </w:rPr>
        <w:t>绍兴市上虞区市场监督管理局</w:t>
      </w:r>
      <w:r>
        <w:rPr>
          <w:rFonts w:hint="eastAsia" w:ascii="宋体" w:hAnsi="宋体" w:eastAsia="宋体" w:cs="宋体"/>
          <w:sz w:val="28"/>
          <w:u w:val="single"/>
        </w:rPr>
        <w:t>　　　　　　　　　　　　　　　　　　　　　　　　</w:t>
      </w:r>
    </w:p>
    <w:p w14:paraId="2EF86DD9">
      <w:pPr>
        <w:spacing w:line="360" w:lineRule="auto"/>
        <w:ind w:firstLine="720" w:firstLineChars="300"/>
        <w:jc w:val="left"/>
        <w:rPr>
          <w:rFonts w:hint="eastAsia" w:ascii="宋体" w:hAnsi="宋体" w:eastAsia="宋体" w:cs="宋体"/>
          <w:sz w:val="28"/>
          <w:u w:val="single"/>
        </w:rPr>
      </w:pPr>
      <w:r>
        <w:rPr>
          <w:rFonts w:hint="eastAsia" w:ascii="宋体" w:hAnsi="宋体" w:eastAsia="宋体" w:cs="宋体"/>
          <w:kern w:val="0"/>
          <w:sz w:val="24"/>
          <w:lang w:val="en-US" w:eastAsia="zh-CN"/>
        </w:rPr>
        <w:t>乙</w:t>
      </w:r>
      <w:r>
        <w:rPr>
          <w:rFonts w:hint="eastAsia" w:ascii="宋体" w:hAnsi="宋体" w:eastAsia="宋体" w:cs="宋体"/>
          <w:kern w:val="0"/>
          <w:sz w:val="24"/>
        </w:rPr>
        <w:t>方</w:t>
      </w:r>
      <w:r>
        <w:rPr>
          <w:rFonts w:hint="eastAsia" w:ascii="宋体" w:hAnsi="宋体" w:eastAsia="宋体" w:cs="宋体"/>
          <w:sz w:val="28"/>
        </w:rPr>
        <w:t>：</w:t>
      </w:r>
      <w:r>
        <w:rPr>
          <w:rFonts w:hint="eastAsia" w:ascii="宋体" w:hAnsi="宋体" w:eastAsia="宋体" w:cs="宋体"/>
          <w:sz w:val="28"/>
          <w:u w:val="single"/>
        </w:rPr>
        <w:t>　　　　　　　　　　　　　　　　　　　　　　　　　</w:t>
      </w:r>
    </w:p>
    <w:p w14:paraId="4EDF86F0">
      <w:pPr>
        <w:spacing w:line="348" w:lineRule="auto"/>
        <w:ind w:firstLine="720" w:firstLineChars="300"/>
        <w:jc w:val="left"/>
        <w:rPr>
          <w:rFonts w:ascii="宋体" w:hAnsi="宋体" w:cs="宋体"/>
          <w:b/>
          <w:bCs/>
          <w:color w:val="auto"/>
          <w:sz w:val="24"/>
          <w:highlight w:val="none"/>
        </w:rPr>
      </w:pPr>
      <w:r>
        <w:rPr>
          <w:rFonts w:hint="eastAsia" w:ascii="宋体" w:hAnsi="宋体" w:cs="宋体"/>
          <w:color w:val="auto"/>
          <w:kern w:val="0"/>
          <w:sz w:val="24"/>
          <w:highlight w:val="none"/>
        </w:rPr>
        <w:t>根据《中华人民共和国民法典》、政府采购编号为</w:t>
      </w:r>
      <w:r>
        <w:rPr>
          <w:rFonts w:hint="eastAsia" w:ascii="宋体" w:hAnsi="宋体" w:cs="宋体"/>
          <w:color w:val="auto"/>
          <w:kern w:val="0"/>
          <w:sz w:val="24"/>
          <w:highlight w:val="none"/>
          <w:lang w:val="en-US" w:eastAsia="zh-CN"/>
        </w:rPr>
        <w:t>CY2024041</w:t>
      </w:r>
      <w:r>
        <w:rPr>
          <w:rFonts w:hint="eastAsia" w:ascii="宋体" w:hAnsi="宋体" w:cs="宋体"/>
          <w:color w:val="auto"/>
          <w:kern w:val="0"/>
          <w:sz w:val="24"/>
          <w:highlight w:val="none"/>
        </w:rPr>
        <w:t xml:space="preserve"> 招标文件、中标人响应文件的规定，经公开招标采购，签订本合同。</w:t>
      </w:r>
    </w:p>
    <w:p w14:paraId="281256F0">
      <w:pPr>
        <w:keepNext w:val="0"/>
        <w:keepLines w:val="0"/>
        <w:pageBreakBefore w:val="0"/>
        <w:widowControl w:val="0"/>
        <w:kinsoku/>
        <w:wordWrap/>
        <w:overflowPunct/>
        <w:topLinePunct w:val="0"/>
        <w:autoSpaceDE w:val="0"/>
        <w:autoSpaceDN w:val="0"/>
        <w:bidi w:val="0"/>
        <w:adjustRightInd w:val="0"/>
        <w:snapToGrid/>
        <w:spacing w:line="336" w:lineRule="auto"/>
        <w:ind w:firstLine="472" w:firstLineChars="196"/>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项目概况</w:t>
      </w:r>
    </w:p>
    <w:p w14:paraId="34D230D3">
      <w:pPr>
        <w:pStyle w:val="3"/>
        <w:keepNext/>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val="0"/>
          <w:bCs w:val="0"/>
          <w:lang w:val="en-US" w:eastAsia="zh-CN"/>
        </w:rPr>
      </w:pPr>
      <w:r>
        <w:rPr>
          <w:rFonts w:hint="eastAsia" w:hAnsi="宋体" w:cs="宋体"/>
          <w:b/>
          <w:bCs/>
          <w:color w:val="auto"/>
          <w:sz w:val="24"/>
          <w:szCs w:val="24"/>
          <w:highlight w:val="none"/>
          <w:lang w:val="en-US" w:eastAsia="zh-CN"/>
        </w:rPr>
        <w:t xml:space="preserve">  </w:t>
      </w:r>
      <w:r>
        <w:rPr>
          <w:rFonts w:hint="eastAsia" w:hAnsi="宋体" w:cs="宋体"/>
          <w:b w:val="0"/>
          <w:bCs w:val="0"/>
          <w:color w:val="auto"/>
          <w:sz w:val="24"/>
          <w:szCs w:val="24"/>
          <w:highlight w:val="none"/>
          <w:lang w:val="en-US" w:eastAsia="zh-CN"/>
        </w:rPr>
        <w:t>自绍兴市上虞区市场监督管理局企业信用平台系统建议以来，已经运行多年，部分设备运行达到一定年限，且故障率激增，影响稳定性和可用性</w:t>
      </w:r>
      <w:r>
        <w:rPr>
          <w:rFonts w:hint="eastAsia" w:cs="宋体"/>
          <w:b w:val="0"/>
          <w:bCs w:val="0"/>
          <w:color w:val="auto"/>
          <w:sz w:val="24"/>
          <w:szCs w:val="24"/>
          <w:highlight w:val="none"/>
          <w:lang w:val="en-US" w:eastAsia="zh-CN"/>
        </w:rPr>
        <w:t>，</w:t>
      </w:r>
      <w:r>
        <w:rPr>
          <w:rFonts w:hint="eastAsia" w:hAnsi="宋体" w:cs="宋体"/>
          <w:b w:val="0"/>
          <w:bCs w:val="0"/>
          <w:color w:val="auto"/>
          <w:sz w:val="24"/>
          <w:szCs w:val="24"/>
          <w:highlight w:val="none"/>
          <w:lang w:val="en-US" w:eastAsia="zh-CN"/>
        </w:rPr>
        <w:t>考虑到设备将逐渐脱保，为保证其设备正常运行，日常维护服务采购需要提上日程，鉴于整体机房维护复杂，维护费用较高，需进行整体需要专业维保服务商提供全方位维保服务。</w:t>
      </w:r>
    </w:p>
    <w:p w14:paraId="050916F9">
      <w:pPr>
        <w:keepNext w:val="0"/>
        <w:keepLines w:val="0"/>
        <w:pageBreakBefore w:val="0"/>
        <w:widowControl w:val="0"/>
        <w:numPr>
          <w:ilvl w:val="0"/>
          <w:numId w:val="23"/>
        </w:numPr>
        <w:kinsoku/>
        <w:wordWrap/>
        <w:overflowPunct/>
        <w:topLinePunct w:val="0"/>
        <w:autoSpaceDE w:val="0"/>
        <w:autoSpaceDN w:val="0"/>
        <w:bidi w:val="0"/>
        <w:adjustRightInd w:val="0"/>
        <w:snapToGrid/>
        <w:spacing w:line="336" w:lineRule="auto"/>
        <w:ind w:firstLine="551" w:firstLineChars="196"/>
        <w:jc w:val="left"/>
        <w:textAlignment w:val="auto"/>
        <w:rPr>
          <w:rFonts w:hint="eastAsia"/>
          <w:b/>
          <w:sz w:val="28"/>
          <w:szCs w:val="28"/>
        </w:rPr>
      </w:pPr>
      <w:r>
        <w:rPr>
          <w:rFonts w:hint="eastAsia"/>
          <w:b/>
          <w:sz w:val="28"/>
          <w:szCs w:val="28"/>
          <w:lang w:eastAsia="zh-CN"/>
        </w:rPr>
        <w:t>维保服务</w:t>
      </w:r>
      <w:r>
        <w:rPr>
          <w:rFonts w:hint="eastAsia"/>
          <w:b/>
          <w:sz w:val="28"/>
          <w:szCs w:val="28"/>
        </w:rPr>
        <w:t>清单</w:t>
      </w:r>
    </w:p>
    <w:tbl>
      <w:tblPr>
        <w:tblStyle w:val="25"/>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939"/>
        <w:gridCol w:w="1276"/>
        <w:gridCol w:w="708"/>
        <w:gridCol w:w="1497"/>
      </w:tblGrid>
      <w:tr w14:paraId="0591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5287108A">
            <w:pPr>
              <w:jc w:val="center"/>
              <w:rPr>
                <w:rFonts w:hint="eastAsia" w:ascii="仿宋" w:hAnsi="仿宋" w:eastAsia="仿宋" w:cs="仿宋"/>
                <w:b/>
                <w:bCs/>
                <w:szCs w:val="21"/>
              </w:rPr>
            </w:pPr>
            <w:r>
              <w:rPr>
                <w:rFonts w:hint="eastAsia" w:ascii="仿宋" w:hAnsi="仿宋" w:eastAsia="仿宋" w:cs="仿宋"/>
                <w:b/>
                <w:bCs/>
                <w:szCs w:val="21"/>
              </w:rPr>
              <w:t>设备名称</w:t>
            </w:r>
          </w:p>
        </w:tc>
        <w:tc>
          <w:tcPr>
            <w:tcW w:w="2939" w:type="dxa"/>
            <w:shd w:val="clear" w:color="000000" w:fill="FFFFFF"/>
            <w:noWrap w:val="0"/>
            <w:vAlign w:val="center"/>
          </w:tcPr>
          <w:p w14:paraId="6C3F32D5">
            <w:pPr>
              <w:jc w:val="left"/>
              <w:rPr>
                <w:rFonts w:hint="eastAsia" w:ascii="仿宋" w:hAnsi="仿宋" w:eastAsia="仿宋" w:cs="仿宋"/>
                <w:b/>
                <w:bCs/>
                <w:szCs w:val="21"/>
              </w:rPr>
            </w:pPr>
            <w:r>
              <w:rPr>
                <w:rFonts w:hint="eastAsia" w:ascii="仿宋" w:hAnsi="仿宋" w:eastAsia="仿宋" w:cs="仿宋"/>
                <w:b/>
                <w:bCs/>
                <w:szCs w:val="21"/>
              </w:rPr>
              <w:t>品牌型号</w:t>
            </w:r>
          </w:p>
        </w:tc>
        <w:tc>
          <w:tcPr>
            <w:tcW w:w="1276" w:type="dxa"/>
            <w:shd w:val="clear" w:color="000000" w:fill="FFFFFF"/>
            <w:noWrap w:val="0"/>
            <w:vAlign w:val="center"/>
          </w:tcPr>
          <w:p w14:paraId="43E45AC1">
            <w:pPr>
              <w:jc w:val="center"/>
              <w:rPr>
                <w:rFonts w:hint="eastAsia" w:ascii="仿宋" w:hAnsi="仿宋" w:eastAsia="仿宋" w:cs="仿宋"/>
                <w:b/>
                <w:bCs/>
                <w:szCs w:val="21"/>
              </w:rPr>
            </w:pPr>
            <w:r>
              <w:rPr>
                <w:rFonts w:hint="eastAsia" w:ascii="仿宋" w:hAnsi="仿宋" w:eastAsia="仿宋" w:cs="仿宋"/>
                <w:b/>
                <w:bCs/>
                <w:szCs w:val="21"/>
              </w:rPr>
              <w:t>服务级别</w:t>
            </w:r>
          </w:p>
        </w:tc>
        <w:tc>
          <w:tcPr>
            <w:tcW w:w="708" w:type="dxa"/>
            <w:shd w:val="clear" w:color="000000" w:fill="FFFFFF"/>
            <w:noWrap w:val="0"/>
            <w:vAlign w:val="center"/>
          </w:tcPr>
          <w:p w14:paraId="645BFBA2">
            <w:pPr>
              <w:jc w:val="center"/>
              <w:rPr>
                <w:rFonts w:hint="eastAsia" w:ascii="仿宋" w:hAnsi="仿宋" w:eastAsia="仿宋" w:cs="仿宋"/>
                <w:b/>
                <w:bCs/>
                <w:szCs w:val="21"/>
              </w:rPr>
            </w:pPr>
            <w:r>
              <w:rPr>
                <w:rFonts w:hint="eastAsia" w:ascii="仿宋" w:hAnsi="仿宋" w:eastAsia="仿宋" w:cs="仿宋"/>
                <w:b/>
                <w:bCs/>
                <w:szCs w:val="21"/>
              </w:rPr>
              <w:t>数量</w:t>
            </w:r>
          </w:p>
        </w:tc>
        <w:tc>
          <w:tcPr>
            <w:tcW w:w="1497" w:type="dxa"/>
            <w:shd w:val="clear" w:color="000000" w:fill="FFFFFF"/>
            <w:noWrap w:val="0"/>
            <w:vAlign w:val="center"/>
          </w:tcPr>
          <w:p w14:paraId="24B69CAF">
            <w:pPr>
              <w:jc w:val="center"/>
              <w:rPr>
                <w:rFonts w:hint="eastAsia" w:ascii="仿宋" w:hAnsi="仿宋" w:eastAsia="仿宋" w:cs="仿宋"/>
                <w:b/>
                <w:bCs/>
                <w:szCs w:val="21"/>
              </w:rPr>
            </w:pPr>
            <w:r>
              <w:rPr>
                <w:rFonts w:hint="eastAsia" w:ascii="仿宋" w:hAnsi="仿宋" w:eastAsia="仿宋" w:cs="仿宋"/>
                <w:b/>
                <w:bCs/>
                <w:szCs w:val="21"/>
              </w:rPr>
              <w:t>服务期(月)</w:t>
            </w:r>
          </w:p>
        </w:tc>
      </w:tr>
      <w:tr w14:paraId="39AD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093" w:type="dxa"/>
            <w:shd w:val="clear" w:color="000000" w:fill="FFFFFF"/>
            <w:noWrap w:val="0"/>
            <w:vAlign w:val="center"/>
          </w:tcPr>
          <w:p w14:paraId="6C13606D">
            <w:pPr>
              <w:jc w:val="left"/>
              <w:rPr>
                <w:rFonts w:hint="eastAsia" w:ascii="仿宋" w:hAnsi="仿宋" w:eastAsia="仿宋" w:cs="仿宋"/>
                <w:szCs w:val="21"/>
              </w:rPr>
            </w:pPr>
            <w:r>
              <w:rPr>
                <w:rFonts w:hint="eastAsia" w:ascii="仿宋" w:hAnsi="仿宋" w:eastAsia="仿宋" w:cs="仿宋"/>
                <w:szCs w:val="21"/>
              </w:rPr>
              <w:t>链路负载均衡</w:t>
            </w:r>
          </w:p>
        </w:tc>
        <w:tc>
          <w:tcPr>
            <w:tcW w:w="2939" w:type="dxa"/>
            <w:shd w:val="clear" w:color="000000" w:fill="FFFFFF"/>
            <w:noWrap w:val="0"/>
            <w:vAlign w:val="center"/>
          </w:tcPr>
          <w:p w14:paraId="1FC2CA68">
            <w:pPr>
              <w:jc w:val="left"/>
              <w:rPr>
                <w:rFonts w:hint="eastAsia" w:ascii="仿宋" w:hAnsi="仿宋" w:eastAsia="仿宋" w:cs="仿宋"/>
                <w:szCs w:val="21"/>
              </w:rPr>
            </w:pPr>
            <w:r>
              <w:rPr>
                <w:rFonts w:hint="eastAsia" w:ascii="仿宋" w:hAnsi="仿宋" w:eastAsia="仿宋" w:cs="仿宋"/>
                <w:szCs w:val="21"/>
              </w:rPr>
              <w:t>深信服AD-4000</w:t>
            </w:r>
          </w:p>
        </w:tc>
        <w:tc>
          <w:tcPr>
            <w:tcW w:w="1276" w:type="dxa"/>
            <w:shd w:val="clear" w:color="000000" w:fill="FFFFFF"/>
            <w:noWrap w:val="0"/>
            <w:vAlign w:val="center"/>
          </w:tcPr>
          <w:p w14:paraId="5A3E4970">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2A78AA89">
            <w:pPr>
              <w:jc w:val="center"/>
              <w:rPr>
                <w:rFonts w:hint="eastAsia" w:ascii="仿宋" w:hAnsi="仿宋" w:eastAsia="仿宋" w:cs="仿宋"/>
                <w:szCs w:val="21"/>
              </w:rPr>
            </w:pPr>
            <w:r>
              <w:rPr>
                <w:rFonts w:hint="eastAsia" w:ascii="仿宋" w:hAnsi="仿宋" w:eastAsia="仿宋" w:cs="仿宋"/>
                <w:szCs w:val="21"/>
              </w:rPr>
              <w:t>2</w:t>
            </w:r>
          </w:p>
        </w:tc>
        <w:tc>
          <w:tcPr>
            <w:tcW w:w="1497" w:type="dxa"/>
            <w:shd w:val="clear" w:color="000000" w:fill="FFFFFF"/>
            <w:noWrap w:val="0"/>
            <w:vAlign w:val="center"/>
          </w:tcPr>
          <w:p w14:paraId="6A4ECD1E">
            <w:pPr>
              <w:jc w:val="center"/>
              <w:rPr>
                <w:rFonts w:hint="eastAsia" w:ascii="仿宋" w:hAnsi="仿宋" w:eastAsia="仿宋" w:cs="仿宋"/>
                <w:szCs w:val="21"/>
              </w:rPr>
            </w:pPr>
            <w:r>
              <w:rPr>
                <w:rFonts w:hint="eastAsia" w:ascii="仿宋" w:hAnsi="仿宋" w:eastAsia="仿宋" w:cs="仿宋"/>
                <w:szCs w:val="21"/>
              </w:rPr>
              <w:t>12</w:t>
            </w:r>
          </w:p>
        </w:tc>
      </w:tr>
      <w:tr w14:paraId="0836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093" w:type="dxa"/>
            <w:shd w:val="clear" w:color="000000" w:fill="FFFFFF"/>
            <w:noWrap w:val="0"/>
            <w:vAlign w:val="center"/>
          </w:tcPr>
          <w:p w14:paraId="55DD516F">
            <w:pPr>
              <w:jc w:val="left"/>
              <w:rPr>
                <w:rFonts w:hint="eastAsia" w:ascii="仿宋" w:hAnsi="仿宋" w:eastAsia="仿宋" w:cs="仿宋"/>
                <w:szCs w:val="21"/>
              </w:rPr>
            </w:pPr>
            <w:r>
              <w:rPr>
                <w:rFonts w:hint="eastAsia" w:ascii="仿宋" w:hAnsi="仿宋" w:eastAsia="仿宋" w:cs="仿宋"/>
                <w:szCs w:val="21"/>
              </w:rPr>
              <w:t>防火墙</w:t>
            </w:r>
          </w:p>
        </w:tc>
        <w:tc>
          <w:tcPr>
            <w:tcW w:w="2939" w:type="dxa"/>
            <w:shd w:val="clear" w:color="000000" w:fill="FFFFFF"/>
            <w:noWrap w:val="0"/>
            <w:vAlign w:val="center"/>
          </w:tcPr>
          <w:p w14:paraId="0661D1E5">
            <w:pPr>
              <w:jc w:val="left"/>
              <w:rPr>
                <w:rFonts w:hint="eastAsia" w:ascii="仿宋" w:hAnsi="仿宋" w:eastAsia="仿宋" w:cs="仿宋"/>
                <w:szCs w:val="21"/>
              </w:rPr>
            </w:pPr>
            <w:r>
              <w:rPr>
                <w:rFonts w:hint="eastAsia" w:ascii="仿宋" w:hAnsi="仿宋" w:eastAsia="仿宋" w:cs="仿宋"/>
                <w:szCs w:val="21"/>
              </w:rPr>
              <w:t xml:space="preserve">深信服AF-1820 </w:t>
            </w:r>
          </w:p>
        </w:tc>
        <w:tc>
          <w:tcPr>
            <w:tcW w:w="1276" w:type="dxa"/>
            <w:shd w:val="clear" w:color="000000" w:fill="FFFFFF"/>
            <w:noWrap w:val="0"/>
            <w:vAlign w:val="center"/>
          </w:tcPr>
          <w:p w14:paraId="5B0F2C29">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306E3400">
            <w:pPr>
              <w:jc w:val="center"/>
              <w:rPr>
                <w:rFonts w:hint="eastAsia" w:ascii="仿宋" w:hAnsi="仿宋" w:eastAsia="仿宋" w:cs="仿宋"/>
                <w:szCs w:val="21"/>
              </w:rPr>
            </w:pPr>
            <w:r>
              <w:rPr>
                <w:rFonts w:hint="eastAsia" w:ascii="仿宋" w:hAnsi="仿宋" w:eastAsia="仿宋" w:cs="仿宋"/>
                <w:szCs w:val="21"/>
              </w:rPr>
              <w:t>5</w:t>
            </w:r>
          </w:p>
        </w:tc>
        <w:tc>
          <w:tcPr>
            <w:tcW w:w="1497" w:type="dxa"/>
            <w:shd w:val="clear" w:color="000000" w:fill="FFFFFF"/>
            <w:noWrap w:val="0"/>
            <w:vAlign w:val="center"/>
          </w:tcPr>
          <w:p w14:paraId="6974EBF4">
            <w:pPr>
              <w:jc w:val="center"/>
              <w:rPr>
                <w:rFonts w:hint="eastAsia" w:ascii="仿宋" w:hAnsi="仿宋" w:eastAsia="仿宋" w:cs="仿宋"/>
                <w:szCs w:val="21"/>
              </w:rPr>
            </w:pPr>
            <w:r>
              <w:rPr>
                <w:rFonts w:hint="eastAsia" w:ascii="仿宋" w:hAnsi="仿宋" w:eastAsia="仿宋" w:cs="仿宋"/>
                <w:szCs w:val="21"/>
              </w:rPr>
              <w:t>12</w:t>
            </w:r>
          </w:p>
        </w:tc>
      </w:tr>
      <w:tr w14:paraId="2C7D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93" w:type="dxa"/>
            <w:shd w:val="clear" w:color="000000" w:fill="FFFFFF"/>
            <w:noWrap w:val="0"/>
            <w:vAlign w:val="center"/>
          </w:tcPr>
          <w:p w14:paraId="720F6AA7">
            <w:pPr>
              <w:jc w:val="left"/>
              <w:rPr>
                <w:rFonts w:hint="eastAsia" w:ascii="仿宋" w:hAnsi="仿宋" w:eastAsia="仿宋" w:cs="仿宋"/>
                <w:szCs w:val="21"/>
              </w:rPr>
            </w:pPr>
            <w:r>
              <w:rPr>
                <w:rFonts w:hint="eastAsia" w:ascii="仿宋" w:hAnsi="仿宋" w:eastAsia="仿宋" w:cs="仿宋"/>
                <w:szCs w:val="21"/>
              </w:rPr>
              <w:t>入侵防御系统</w:t>
            </w:r>
          </w:p>
        </w:tc>
        <w:tc>
          <w:tcPr>
            <w:tcW w:w="2939" w:type="dxa"/>
            <w:shd w:val="clear" w:color="000000" w:fill="FFFFFF"/>
            <w:noWrap w:val="0"/>
            <w:vAlign w:val="center"/>
          </w:tcPr>
          <w:p w14:paraId="250BAEC8">
            <w:pPr>
              <w:jc w:val="left"/>
              <w:rPr>
                <w:rFonts w:hint="eastAsia" w:ascii="仿宋" w:hAnsi="仿宋" w:eastAsia="仿宋" w:cs="仿宋"/>
                <w:szCs w:val="21"/>
              </w:rPr>
            </w:pPr>
            <w:r>
              <w:rPr>
                <w:rFonts w:hint="eastAsia" w:ascii="仿宋" w:hAnsi="仿宋" w:eastAsia="仿宋" w:cs="仿宋"/>
                <w:szCs w:val="21"/>
              </w:rPr>
              <w:t xml:space="preserve">深信服AF-1850-IPS </w:t>
            </w:r>
          </w:p>
        </w:tc>
        <w:tc>
          <w:tcPr>
            <w:tcW w:w="1276" w:type="dxa"/>
            <w:shd w:val="clear" w:color="000000" w:fill="FFFFFF"/>
            <w:noWrap w:val="0"/>
            <w:vAlign w:val="center"/>
          </w:tcPr>
          <w:p w14:paraId="47225731">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10A26549">
            <w:pPr>
              <w:jc w:val="center"/>
              <w:rPr>
                <w:rFonts w:hint="eastAsia" w:ascii="仿宋" w:hAnsi="仿宋" w:eastAsia="仿宋" w:cs="仿宋"/>
                <w:szCs w:val="21"/>
              </w:rPr>
            </w:pPr>
            <w:r>
              <w:rPr>
                <w:rFonts w:hint="eastAsia" w:ascii="仿宋" w:hAnsi="仿宋" w:eastAsia="仿宋" w:cs="仿宋"/>
                <w:szCs w:val="21"/>
              </w:rPr>
              <w:t>2</w:t>
            </w:r>
          </w:p>
        </w:tc>
        <w:tc>
          <w:tcPr>
            <w:tcW w:w="1497" w:type="dxa"/>
            <w:shd w:val="clear" w:color="000000" w:fill="FFFFFF"/>
            <w:noWrap w:val="0"/>
            <w:vAlign w:val="center"/>
          </w:tcPr>
          <w:p w14:paraId="7C8108FF">
            <w:pPr>
              <w:jc w:val="center"/>
              <w:rPr>
                <w:rFonts w:hint="eastAsia" w:ascii="仿宋" w:hAnsi="仿宋" w:eastAsia="仿宋" w:cs="仿宋"/>
                <w:szCs w:val="21"/>
              </w:rPr>
            </w:pPr>
            <w:r>
              <w:rPr>
                <w:rFonts w:hint="eastAsia" w:ascii="仿宋" w:hAnsi="仿宋" w:eastAsia="仿宋" w:cs="仿宋"/>
                <w:szCs w:val="21"/>
              </w:rPr>
              <w:t>12</w:t>
            </w:r>
          </w:p>
        </w:tc>
      </w:tr>
      <w:tr w14:paraId="3D90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93" w:type="dxa"/>
            <w:shd w:val="clear" w:color="000000" w:fill="FFFFFF"/>
            <w:noWrap w:val="0"/>
            <w:vAlign w:val="center"/>
          </w:tcPr>
          <w:p w14:paraId="32DE2EC4">
            <w:pPr>
              <w:jc w:val="left"/>
              <w:rPr>
                <w:rFonts w:hint="eastAsia" w:ascii="仿宋" w:hAnsi="仿宋" w:eastAsia="仿宋" w:cs="仿宋"/>
                <w:szCs w:val="21"/>
              </w:rPr>
            </w:pPr>
            <w:r>
              <w:rPr>
                <w:rFonts w:hint="eastAsia" w:ascii="仿宋" w:hAnsi="仿宋" w:eastAsia="仿宋" w:cs="仿宋"/>
                <w:szCs w:val="21"/>
              </w:rPr>
              <w:t>VPN</w:t>
            </w:r>
          </w:p>
        </w:tc>
        <w:tc>
          <w:tcPr>
            <w:tcW w:w="2939" w:type="dxa"/>
            <w:shd w:val="clear" w:color="000000" w:fill="FFFFFF"/>
            <w:noWrap w:val="0"/>
            <w:vAlign w:val="center"/>
          </w:tcPr>
          <w:p w14:paraId="7E16DC00">
            <w:pPr>
              <w:jc w:val="left"/>
              <w:rPr>
                <w:rFonts w:hint="eastAsia" w:ascii="仿宋" w:hAnsi="仿宋" w:eastAsia="仿宋" w:cs="仿宋"/>
                <w:szCs w:val="21"/>
              </w:rPr>
            </w:pPr>
            <w:r>
              <w:rPr>
                <w:rFonts w:hint="eastAsia" w:ascii="仿宋" w:hAnsi="仿宋" w:eastAsia="仿宋" w:cs="仿宋"/>
                <w:szCs w:val="21"/>
              </w:rPr>
              <w:t xml:space="preserve">深信服VPN-3050 </w:t>
            </w:r>
          </w:p>
        </w:tc>
        <w:tc>
          <w:tcPr>
            <w:tcW w:w="1276" w:type="dxa"/>
            <w:shd w:val="clear" w:color="000000" w:fill="FFFFFF"/>
            <w:noWrap w:val="0"/>
            <w:vAlign w:val="center"/>
          </w:tcPr>
          <w:p w14:paraId="77225991">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3F652043">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1679AAD2">
            <w:pPr>
              <w:jc w:val="center"/>
              <w:rPr>
                <w:rFonts w:hint="eastAsia" w:ascii="仿宋" w:hAnsi="仿宋" w:eastAsia="仿宋" w:cs="仿宋"/>
                <w:szCs w:val="21"/>
              </w:rPr>
            </w:pPr>
            <w:r>
              <w:rPr>
                <w:rFonts w:hint="eastAsia" w:ascii="仿宋" w:hAnsi="仿宋" w:eastAsia="仿宋" w:cs="仿宋"/>
                <w:szCs w:val="21"/>
              </w:rPr>
              <w:t>12</w:t>
            </w:r>
          </w:p>
        </w:tc>
      </w:tr>
      <w:tr w14:paraId="2E3D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093" w:type="dxa"/>
            <w:shd w:val="clear" w:color="000000" w:fill="FFFFFF"/>
            <w:noWrap w:val="0"/>
            <w:vAlign w:val="center"/>
          </w:tcPr>
          <w:p w14:paraId="7F11D4CA">
            <w:pPr>
              <w:jc w:val="left"/>
              <w:rPr>
                <w:rFonts w:hint="eastAsia" w:ascii="仿宋" w:hAnsi="仿宋" w:eastAsia="仿宋" w:cs="仿宋"/>
                <w:szCs w:val="21"/>
              </w:rPr>
            </w:pPr>
            <w:r>
              <w:rPr>
                <w:rFonts w:hint="eastAsia" w:ascii="仿宋" w:hAnsi="仿宋" w:eastAsia="仿宋" w:cs="仿宋"/>
                <w:szCs w:val="21"/>
              </w:rPr>
              <w:t>日志虚拟化存储平台</w:t>
            </w:r>
          </w:p>
        </w:tc>
        <w:tc>
          <w:tcPr>
            <w:tcW w:w="2939" w:type="dxa"/>
            <w:shd w:val="clear" w:color="000000" w:fill="FFFFFF"/>
            <w:noWrap w:val="0"/>
            <w:vAlign w:val="center"/>
          </w:tcPr>
          <w:p w14:paraId="43F48759">
            <w:pPr>
              <w:jc w:val="left"/>
              <w:rPr>
                <w:rFonts w:hint="eastAsia" w:ascii="仿宋" w:hAnsi="仿宋" w:eastAsia="仿宋" w:cs="仿宋"/>
                <w:szCs w:val="21"/>
              </w:rPr>
            </w:pPr>
            <w:r>
              <w:rPr>
                <w:rFonts w:hint="eastAsia" w:ascii="仿宋" w:hAnsi="仿宋" w:eastAsia="仿宋" w:cs="仿宋"/>
                <w:szCs w:val="21"/>
              </w:rPr>
              <w:t>深信服VDS-1300</w:t>
            </w:r>
          </w:p>
        </w:tc>
        <w:tc>
          <w:tcPr>
            <w:tcW w:w="1276" w:type="dxa"/>
            <w:shd w:val="clear" w:color="000000" w:fill="FFFFFF"/>
            <w:noWrap w:val="0"/>
            <w:vAlign w:val="center"/>
          </w:tcPr>
          <w:p w14:paraId="633BB93A">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77A640F7">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29C47723">
            <w:pPr>
              <w:jc w:val="center"/>
              <w:rPr>
                <w:rFonts w:hint="eastAsia" w:ascii="仿宋" w:hAnsi="仿宋" w:eastAsia="仿宋" w:cs="仿宋"/>
                <w:szCs w:val="21"/>
              </w:rPr>
            </w:pPr>
            <w:r>
              <w:rPr>
                <w:rFonts w:hint="eastAsia" w:ascii="仿宋" w:hAnsi="仿宋" w:eastAsia="仿宋" w:cs="仿宋"/>
                <w:szCs w:val="21"/>
              </w:rPr>
              <w:t>12</w:t>
            </w:r>
          </w:p>
        </w:tc>
      </w:tr>
      <w:tr w14:paraId="10BD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70BA9389">
            <w:pPr>
              <w:jc w:val="left"/>
              <w:rPr>
                <w:rFonts w:hint="eastAsia" w:ascii="仿宋" w:hAnsi="仿宋" w:eastAsia="仿宋" w:cs="仿宋"/>
                <w:szCs w:val="21"/>
              </w:rPr>
            </w:pPr>
            <w:r>
              <w:rPr>
                <w:rFonts w:hint="eastAsia" w:ascii="仿宋" w:hAnsi="仿宋" w:eastAsia="仿宋" w:cs="仿宋"/>
                <w:szCs w:val="21"/>
              </w:rPr>
              <w:t>核心交换机</w:t>
            </w:r>
          </w:p>
        </w:tc>
        <w:tc>
          <w:tcPr>
            <w:tcW w:w="2939" w:type="dxa"/>
            <w:shd w:val="clear" w:color="000000" w:fill="FFFFFF"/>
            <w:noWrap w:val="0"/>
            <w:vAlign w:val="center"/>
          </w:tcPr>
          <w:p w14:paraId="5A497250">
            <w:pPr>
              <w:jc w:val="left"/>
              <w:rPr>
                <w:rFonts w:hint="eastAsia" w:ascii="仿宋" w:hAnsi="仿宋" w:eastAsia="仿宋" w:cs="仿宋"/>
                <w:szCs w:val="21"/>
              </w:rPr>
            </w:pPr>
            <w:r>
              <w:rPr>
                <w:rFonts w:hint="eastAsia" w:ascii="仿宋" w:hAnsi="仿宋" w:eastAsia="仿宋" w:cs="仿宋"/>
                <w:szCs w:val="21"/>
              </w:rPr>
              <w:t>华为S7706</w:t>
            </w:r>
          </w:p>
        </w:tc>
        <w:tc>
          <w:tcPr>
            <w:tcW w:w="1276" w:type="dxa"/>
            <w:shd w:val="clear" w:color="000000" w:fill="FFFFFF"/>
            <w:noWrap w:val="0"/>
            <w:vAlign w:val="center"/>
          </w:tcPr>
          <w:p w14:paraId="54782DF9">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0C53C976">
            <w:pPr>
              <w:jc w:val="center"/>
              <w:rPr>
                <w:rFonts w:hint="eastAsia" w:ascii="仿宋" w:hAnsi="仿宋" w:eastAsia="仿宋" w:cs="仿宋"/>
                <w:szCs w:val="21"/>
              </w:rPr>
            </w:pPr>
            <w:r>
              <w:rPr>
                <w:rFonts w:hint="eastAsia" w:ascii="仿宋" w:hAnsi="仿宋" w:eastAsia="仿宋" w:cs="仿宋"/>
                <w:szCs w:val="21"/>
              </w:rPr>
              <w:t>2</w:t>
            </w:r>
          </w:p>
        </w:tc>
        <w:tc>
          <w:tcPr>
            <w:tcW w:w="1497" w:type="dxa"/>
            <w:shd w:val="clear" w:color="000000" w:fill="FFFFFF"/>
            <w:noWrap w:val="0"/>
            <w:vAlign w:val="center"/>
          </w:tcPr>
          <w:p w14:paraId="2E2711E7">
            <w:pPr>
              <w:jc w:val="center"/>
              <w:rPr>
                <w:rFonts w:hint="eastAsia" w:ascii="仿宋" w:hAnsi="仿宋" w:eastAsia="仿宋" w:cs="仿宋"/>
                <w:szCs w:val="21"/>
              </w:rPr>
            </w:pPr>
            <w:r>
              <w:rPr>
                <w:rFonts w:hint="eastAsia" w:ascii="仿宋" w:hAnsi="仿宋" w:eastAsia="仿宋" w:cs="仿宋"/>
                <w:szCs w:val="21"/>
              </w:rPr>
              <w:t>12</w:t>
            </w:r>
          </w:p>
        </w:tc>
      </w:tr>
      <w:tr w14:paraId="4EB5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93" w:type="dxa"/>
            <w:shd w:val="clear" w:color="000000" w:fill="FFFFFF"/>
            <w:noWrap w:val="0"/>
            <w:vAlign w:val="center"/>
          </w:tcPr>
          <w:p w14:paraId="70A65143">
            <w:pPr>
              <w:jc w:val="left"/>
              <w:rPr>
                <w:rFonts w:hint="eastAsia" w:ascii="仿宋" w:hAnsi="仿宋" w:eastAsia="仿宋" w:cs="仿宋"/>
                <w:szCs w:val="21"/>
              </w:rPr>
            </w:pPr>
            <w:r>
              <w:rPr>
                <w:rFonts w:hint="eastAsia" w:ascii="仿宋" w:hAnsi="仿宋" w:eastAsia="仿宋" w:cs="仿宋"/>
                <w:szCs w:val="21"/>
              </w:rPr>
              <w:t>出口交换机1</w:t>
            </w:r>
          </w:p>
        </w:tc>
        <w:tc>
          <w:tcPr>
            <w:tcW w:w="2939" w:type="dxa"/>
            <w:shd w:val="clear" w:color="000000" w:fill="FFFFFF"/>
            <w:noWrap w:val="0"/>
            <w:vAlign w:val="center"/>
          </w:tcPr>
          <w:p w14:paraId="07EA0663">
            <w:pPr>
              <w:jc w:val="left"/>
              <w:rPr>
                <w:rFonts w:hint="eastAsia" w:ascii="仿宋" w:hAnsi="仿宋" w:eastAsia="仿宋" w:cs="仿宋"/>
                <w:szCs w:val="21"/>
              </w:rPr>
            </w:pPr>
            <w:r>
              <w:rPr>
                <w:rFonts w:hint="eastAsia" w:ascii="仿宋" w:hAnsi="仿宋" w:eastAsia="仿宋" w:cs="仿宋"/>
                <w:szCs w:val="21"/>
              </w:rPr>
              <w:t>华为S5720-28X-SI</w:t>
            </w:r>
          </w:p>
        </w:tc>
        <w:tc>
          <w:tcPr>
            <w:tcW w:w="1276" w:type="dxa"/>
            <w:shd w:val="clear" w:color="000000" w:fill="FFFFFF"/>
            <w:noWrap w:val="0"/>
            <w:vAlign w:val="center"/>
          </w:tcPr>
          <w:p w14:paraId="2525EEBA">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6376923D">
            <w:pPr>
              <w:jc w:val="center"/>
              <w:rPr>
                <w:rFonts w:hint="eastAsia" w:ascii="仿宋" w:hAnsi="仿宋" w:eastAsia="仿宋" w:cs="仿宋"/>
                <w:szCs w:val="21"/>
              </w:rPr>
            </w:pPr>
            <w:r>
              <w:rPr>
                <w:rFonts w:hint="eastAsia" w:ascii="仿宋" w:hAnsi="仿宋" w:eastAsia="仿宋" w:cs="仿宋"/>
                <w:szCs w:val="21"/>
              </w:rPr>
              <w:t>2</w:t>
            </w:r>
          </w:p>
        </w:tc>
        <w:tc>
          <w:tcPr>
            <w:tcW w:w="1497" w:type="dxa"/>
            <w:shd w:val="clear" w:color="000000" w:fill="FFFFFF"/>
            <w:noWrap w:val="0"/>
            <w:vAlign w:val="center"/>
          </w:tcPr>
          <w:p w14:paraId="59C9D5F2">
            <w:pPr>
              <w:jc w:val="center"/>
              <w:rPr>
                <w:rFonts w:hint="eastAsia" w:ascii="仿宋" w:hAnsi="仿宋" w:eastAsia="仿宋" w:cs="仿宋"/>
                <w:szCs w:val="21"/>
              </w:rPr>
            </w:pPr>
            <w:r>
              <w:rPr>
                <w:rFonts w:hint="eastAsia" w:ascii="仿宋" w:hAnsi="仿宋" w:eastAsia="仿宋" w:cs="仿宋"/>
                <w:szCs w:val="21"/>
              </w:rPr>
              <w:t>12</w:t>
            </w:r>
          </w:p>
        </w:tc>
      </w:tr>
      <w:tr w14:paraId="7763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93" w:type="dxa"/>
            <w:shd w:val="clear" w:color="000000" w:fill="FFFFFF"/>
            <w:noWrap w:val="0"/>
            <w:vAlign w:val="center"/>
          </w:tcPr>
          <w:p w14:paraId="647AB18E">
            <w:pPr>
              <w:jc w:val="left"/>
              <w:rPr>
                <w:rFonts w:hint="eastAsia" w:ascii="仿宋" w:hAnsi="仿宋" w:eastAsia="仿宋" w:cs="仿宋"/>
                <w:szCs w:val="21"/>
              </w:rPr>
            </w:pPr>
            <w:r>
              <w:rPr>
                <w:rFonts w:hint="eastAsia" w:ascii="仿宋" w:hAnsi="仿宋" w:eastAsia="仿宋" w:cs="仿宋"/>
                <w:szCs w:val="21"/>
              </w:rPr>
              <w:t>出口交换机2</w:t>
            </w:r>
          </w:p>
        </w:tc>
        <w:tc>
          <w:tcPr>
            <w:tcW w:w="2939" w:type="dxa"/>
            <w:shd w:val="clear" w:color="000000" w:fill="FFFFFF"/>
            <w:noWrap w:val="0"/>
            <w:vAlign w:val="center"/>
          </w:tcPr>
          <w:p w14:paraId="5C688D7E">
            <w:pPr>
              <w:jc w:val="left"/>
              <w:rPr>
                <w:rFonts w:hint="eastAsia" w:ascii="仿宋" w:hAnsi="仿宋" w:eastAsia="仿宋" w:cs="仿宋"/>
                <w:szCs w:val="21"/>
              </w:rPr>
            </w:pPr>
            <w:r>
              <w:rPr>
                <w:rFonts w:hint="eastAsia" w:ascii="仿宋" w:hAnsi="仿宋" w:eastAsia="仿宋" w:cs="仿宋"/>
                <w:szCs w:val="21"/>
              </w:rPr>
              <w:t>华为S5720-28X-SI</w:t>
            </w:r>
          </w:p>
        </w:tc>
        <w:tc>
          <w:tcPr>
            <w:tcW w:w="1276" w:type="dxa"/>
            <w:shd w:val="clear" w:color="000000" w:fill="FFFFFF"/>
            <w:noWrap w:val="0"/>
            <w:vAlign w:val="center"/>
          </w:tcPr>
          <w:p w14:paraId="7FEBDA45">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4C61ECE1">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52DCF261">
            <w:pPr>
              <w:jc w:val="center"/>
              <w:rPr>
                <w:rFonts w:hint="eastAsia" w:ascii="仿宋" w:hAnsi="仿宋" w:eastAsia="仿宋" w:cs="仿宋"/>
                <w:szCs w:val="21"/>
              </w:rPr>
            </w:pPr>
            <w:r>
              <w:rPr>
                <w:rFonts w:hint="eastAsia" w:ascii="仿宋" w:hAnsi="仿宋" w:eastAsia="仿宋" w:cs="仿宋"/>
                <w:szCs w:val="21"/>
              </w:rPr>
              <w:t>12</w:t>
            </w:r>
          </w:p>
        </w:tc>
      </w:tr>
      <w:tr w14:paraId="7881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32822B82">
            <w:pPr>
              <w:jc w:val="left"/>
              <w:rPr>
                <w:rFonts w:hint="eastAsia" w:ascii="仿宋" w:hAnsi="仿宋" w:eastAsia="仿宋" w:cs="仿宋"/>
                <w:szCs w:val="21"/>
              </w:rPr>
            </w:pPr>
            <w:r>
              <w:rPr>
                <w:rFonts w:hint="eastAsia" w:ascii="仿宋" w:hAnsi="仿宋" w:eastAsia="仿宋" w:cs="仿宋"/>
                <w:szCs w:val="21"/>
              </w:rPr>
              <w:t>服务器交换机</w:t>
            </w:r>
          </w:p>
        </w:tc>
        <w:tc>
          <w:tcPr>
            <w:tcW w:w="2939" w:type="dxa"/>
            <w:shd w:val="clear" w:color="000000" w:fill="FFFFFF"/>
            <w:noWrap w:val="0"/>
            <w:vAlign w:val="center"/>
          </w:tcPr>
          <w:p w14:paraId="2BDD9DD0">
            <w:pPr>
              <w:jc w:val="left"/>
              <w:rPr>
                <w:rFonts w:hint="eastAsia" w:ascii="仿宋" w:hAnsi="仿宋" w:eastAsia="仿宋" w:cs="仿宋"/>
                <w:szCs w:val="21"/>
              </w:rPr>
            </w:pPr>
            <w:r>
              <w:rPr>
                <w:rFonts w:hint="eastAsia" w:ascii="仿宋" w:hAnsi="仿宋" w:eastAsia="仿宋" w:cs="仿宋"/>
                <w:szCs w:val="21"/>
              </w:rPr>
              <w:t>华为S5720-36C-EI</w:t>
            </w:r>
          </w:p>
        </w:tc>
        <w:tc>
          <w:tcPr>
            <w:tcW w:w="1276" w:type="dxa"/>
            <w:shd w:val="clear" w:color="000000" w:fill="FFFFFF"/>
            <w:noWrap w:val="0"/>
            <w:vAlign w:val="center"/>
          </w:tcPr>
          <w:p w14:paraId="4CCD53F6">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55C4E520">
            <w:pPr>
              <w:jc w:val="center"/>
              <w:rPr>
                <w:rFonts w:hint="eastAsia" w:ascii="仿宋" w:hAnsi="仿宋" w:eastAsia="仿宋" w:cs="仿宋"/>
                <w:szCs w:val="21"/>
              </w:rPr>
            </w:pPr>
            <w:r>
              <w:rPr>
                <w:rFonts w:hint="eastAsia" w:ascii="仿宋" w:hAnsi="仿宋" w:eastAsia="仿宋" w:cs="仿宋"/>
                <w:szCs w:val="21"/>
              </w:rPr>
              <w:t>2</w:t>
            </w:r>
          </w:p>
        </w:tc>
        <w:tc>
          <w:tcPr>
            <w:tcW w:w="1497" w:type="dxa"/>
            <w:shd w:val="clear" w:color="000000" w:fill="FFFFFF"/>
            <w:noWrap w:val="0"/>
            <w:vAlign w:val="center"/>
          </w:tcPr>
          <w:p w14:paraId="0C3BA71D">
            <w:pPr>
              <w:jc w:val="center"/>
              <w:rPr>
                <w:rFonts w:hint="eastAsia" w:ascii="仿宋" w:hAnsi="仿宋" w:eastAsia="仿宋" w:cs="仿宋"/>
                <w:szCs w:val="21"/>
              </w:rPr>
            </w:pPr>
            <w:r>
              <w:rPr>
                <w:rFonts w:hint="eastAsia" w:ascii="仿宋" w:hAnsi="仿宋" w:eastAsia="仿宋" w:cs="仿宋"/>
                <w:szCs w:val="21"/>
              </w:rPr>
              <w:t>12</w:t>
            </w:r>
          </w:p>
        </w:tc>
      </w:tr>
      <w:tr w14:paraId="56D4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5484C748">
            <w:pPr>
              <w:jc w:val="left"/>
              <w:rPr>
                <w:rFonts w:hint="eastAsia" w:ascii="仿宋" w:hAnsi="仿宋" w:eastAsia="仿宋" w:cs="仿宋"/>
                <w:szCs w:val="21"/>
              </w:rPr>
            </w:pPr>
            <w:r>
              <w:rPr>
                <w:rFonts w:hint="eastAsia" w:ascii="仿宋" w:hAnsi="仿宋" w:eastAsia="仿宋" w:cs="仿宋"/>
                <w:szCs w:val="21"/>
              </w:rPr>
              <w:t>路由器</w:t>
            </w:r>
          </w:p>
        </w:tc>
        <w:tc>
          <w:tcPr>
            <w:tcW w:w="2939" w:type="dxa"/>
            <w:shd w:val="clear" w:color="000000" w:fill="FFFFFF"/>
            <w:noWrap w:val="0"/>
            <w:vAlign w:val="center"/>
          </w:tcPr>
          <w:p w14:paraId="1CFD7E0E">
            <w:pPr>
              <w:jc w:val="left"/>
              <w:rPr>
                <w:rFonts w:hint="eastAsia" w:ascii="仿宋" w:hAnsi="仿宋" w:eastAsia="仿宋" w:cs="仿宋"/>
                <w:szCs w:val="21"/>
              </w:rPr>
            </w:pPr>
            <w:r>
              <w:rPr>
                <w:rFonts w:hint="eastAsia" w:ascii="仿宋" w:hAnsi="仿宋" w:eastAsia="仿宋" w:cs="仿宋"/>
                <w:szCs w:val="21"/>
              </w:rPr>
              <w:t>华为AR2240C</w:t>
            </w:r>
          </w:p>
        </w:tc>
        <w:tc>
          <w:tcPr>
            <w:tcW w:w="1276" w:type="dxa"/>
            <w:shd w:val="clear" w:color="000000" w:fill="FFFFFF"/>
            <w:noWrap w:val="0"/>
            <w:vAlign w:val="center"/>
          </w:tcPr>
          <w:p w14:paraId="2D6FB49C">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2CA720A1">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672F82C4">
            <w:pPr>
              <w:jc w:val="center"/>
              <w:rPr>
                <w:rFonts w:hint="eastAsia" w:ascii="仿宋" w:hAnsi="仿宋" w:eastAsia="仿宋" w:cs="仿宋"/>
                <w:szCs w:val="21"/>
              </w:rPr>
            </w:pPr>
            <w:r>
              <w:rPr>
                <w:rFonts w:hint="eastAsia" w:ascii="仿宋" w:hAnsi="仿宋" w:eastAsia="仿宋" w:cs="仿宋"/>
                <w:szCs w:val="21"/>
              </w:rPr>
              <w:t>12</w:t>
            </w:r>
          </w:p>
        </w:tc>
      </w:tr>
      <w:tr w14:paraId="043C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93" w:type="dxa"/>
            <w:shd w:val="clear" w:color="000000" w:fill="FFFFFF"/>
            <w:noWrap w:val="0"/>
            <w:vAlign w:val="center"/>
          </w:tcPr>
          <w:p w14:paraId="490BF84C">
            <w:pPr>
              <w:jc w:val="left"/>
              <w:rPr>
                <w:rFonts w:hint="eastAsia" w:ascii="仿宋" w:hAnsi="仿宋" w:eastAsia="仿宋" w:cs="仿宋"/>
                <w:szCs w:val="21"/>
              </w:rPr>
            </w:pPr>
            <w:r>
              <w:rPr>
                <w:rFonts w:hint="eastAsia" w:ascii="仿宋" w:hAnsi="仿宋" w:eastAsia="仿宋" w:cs="仿宋"/>
                <w:szCs w:val="21"/>
              </w:rPr>
              <w:t>政府前置服务器</w:t>
            </w:r>
          </w:p>
        </w:tc>
        <w:tc>
          <w:tcPr>
            <w:tcW w:w="2939" w:type="dxa"/>
            <w:shd w:val="clear" w:color="000000" w:fill="FFFFFF"/>
            <w:noWrap w:val="0"/>
            <w:vAlign w:val="center"/>
          </w:tcPr>
          <w:p w14:paraId="4CCBE3E2">
            <w:pPr>
              <w:jc w:val="left"/>
              <w:rPr>
                <w:rFonts w:hint="eastAsia" w:ascii="仿宋" w:hAnsi="仿宋" w:eastAsia="仿宋" w:cs="仿宋"/>
                <w:szCs w:val="21"/>
              </w:rPr>
            </w:pPr>
            <w:r>
              <w:rPr>
                <w:rFonts w:hint="eastAsia" w:ascii="仿宋" w:hAnsi="仿宋" w:eastAsia="仿宋" w:cs="仿宋"/>
                <w:szCs w:val="21"/>
              </w:rPr>
              <w:t>华为RH1288A V2</w:t>
            </w:r>
          </w:p>
        </w:tc>
        <w:tc>
          <w:tcPr>
            <w:tcW w:w="1276" w:type="dxa"/>
            <w:shd w:val="clear" w:color="000000" w:fill="FFFFFF"/>
            <w:noWrap w:val="0"/>
            <w:vAlign w:val="center"/>
          </w:tcPr>
          <w:p w14:paraId="63559547">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1E4B8AAB">
            <w:pPr>
              <w:jc w:val="center"/>
              <w:rPr>
                <w:rFonts w:hint="eastAsia" w:ascii="仿宋" w:hAnsi="仿宋" w:eastAsia="仿宋" w:cs="仿宋"/>
                <w:szCs w:val="21"/>
              </w:rPr>
            </w:pPr>
            <w:r>
              <w:rPr>
                <w:rFonts w:hint="eastAsia" w:ascii="仿宋" w:hAnsi="仿宋" w:eastAsia="仿宋" w:cs="仿宋"/>
                <w:szCs w:val="21"/>
              </w:rPr>
              <w:t>9</w:t>
            </w:r>
          </w:p>
        </w:tc>
        <w:tc>
          <w:tcPr>
            <w:tcW w:w="1497" w:type="dxa"/>
            <w:shd w:val="clear" w:color="000000" w:fill="FFFFFF"/>
            <w:noWrap w:val="0"/>
            <w:vAlign w:val="center"/>
          </w:tcPr>
          <w:p w14:paraId="581B950E">
            <w:pPr>
              <w:jc w:val="center"/>
              <w:rPr>
                <w:rFonts w:hint="eastAsia" w:ascii="仿宋" w:hAnsi="仿宋" w:eastAsia="仿宋" w:cs="仿宋"/>
                <w:szCs w:val="21"/>
              </w:rPr>
            </w:pPr>
            <w:r>
              <w:rPr>
                <w:rFonts w:hint="eastAsia" w:ascii="仿宋" w:hAnsi="仿宋" w:eastAsia="仿宋" w:cs="仿宋"/>
                <w:szCs w:val="21"/>
              </w:rPr>
              <w:t>12</w:t>
            </w:r>
          </w:p>
        </w:tc>
      </w:tr>
      <w:tr w14:paraId="13DB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093" w:type="dxa"/>
            <w:shd w:val="clear" w:color="000000" w:fill="FFFFFF"/>
            <w:noWrap w:val="0"/>
            <w:vAlign w:val="center"/>
          </w:tcPr>
          <w:p w14:paraId="485E30EF">
            <w:pPr>
              <w:jc w:val="left"/>
              <w:rPr>
                <w:rFonts w:hint="eastAsia" w:ascii="仿宋" w:hAnsi="仿宋" w:eastAsia="仿宋" w:cs="仿宋"/>
                <w:szCs w:val="21"/>
              </w:rPr>
            </w:pPr>
            <w:r>
              <w:rPr>
                <w:rFonts w:hint="eastAsia" w:ascii="仿宋" w:hAnsi="仿宋" w:eastAsia="仿宋" w:cs="仿宋"/>
                <w:szCs w:val="21"/>
              </w:rPr>
              <w:t>数据交换服务器</w:t>
            </w:r>
          </w:p>
        </w:tc>
        <w:tc>
          <w:tcPr>
            <w:tcW w:w="2939" w:type="dxa"/>
            <w:shd w:val="clear" w:color="000000" w:fill="FFFFFF"/>
            <w:noWrap w:val="0"/>
            <w:vAlign w:val="center"/>
          </w:tcPr>
          <w:p w14:paraId="100A22FD">
            <w:pPr>
              <w:jc w:val="left"/>
              <w:rPr>
                <w:rFonts w:hint="eastAsia" w:ascii="仿宋" w:hAnsi="仿宋" w:eastAsia="仿宋" w:cs="仿宋"/>
                <w:szCs w:val="21"/>
              </w:rPr>
            </w:pPr>
            <w:r>
              <w:rPr>
                <w:rFonts w:hint="eastAsia" w:ascii="仿宋" w:hAnsi="仿宋" w:eastAsia="仿宋" w:cs="仿宋"/>
                <w:szCs w:val="21"/>
              </w:rPr>
              <w:t>华为RH2288HV2</w:t>
            </w:r>
          </w:p>
        </w:tc>
        <w:tc>
          <w:tcPr>
            <w:tcW w:w="1276" w:type="dxa"/>
            <w:shd w:val="clear" w:color="000000" w:fill="FFFFFF"/>
            <w:noWrap w:val="0"/>
            <w:vAlign w:val="center"/>
          </w:tcPr>
          <w:p w14:paraId="7EF6939C">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4E4CCF4D">
            <w:pPr>
              <w:jc w:val="center"/>
              <w:rPr>
                <w:rFonts w:hint="eastAsia" w:ascii="仿宋" w:hAnsi="仿宋" w:eastAsia="仿宋" w:cs="仿宋"/>
                <w:szCs w:val="21"/>
              </w:rPr>
            </w:pPr>
            <w:r>
              <w:rPr>
                <w:rFonts w:hint="eastAsia" w:ascii="仿宋" w:hAnsi="仿宋" w:eastAsia="仿宋" w:cs="仿宋"/>
                <w:szCs w:val="21"/>
              </w:rPr>
              <w:t>4</w:t>
            </w:r>
          </w:p>
        </w:tc>
        <w:tc>
          <w:tcPr>
            <w:tcW w:w="1497" w:type="dxa"/>
            <w:shd w:val="clear" w:color="000000" w:fill="FFFFFF"/>
            <w:noWrap w:val="0"/>
            <w:vAlign w:val="center"/>
          </w:tcPr>
          <w:p w14:paraId="7B6939F4">
            <w:pPr>
              <w:jc w:val="center"/>
              <w:rPr>
                <w:rFonts w:hint="eastAsia" w:ascii="仿宋" w:hAnsi="仿宋" w:eastAsia="仿宋" w:cs="仿宋"/>
                <w:szCs w:val="21"/>
              </w:rPr>
            </w:pPr>
            <w:r>
              <w:rPr>
                <w:rFonts w:hint="eastAsia" w:ascii="仿宋" w:hAnsi="仿宋" w:eastAsia="仿宋" w:cs="仿宋"/>
                <w:szCs w:val="21"/>
              </w:rPr>
              <w:t>12</w:t>
            </w:r>
          </w:p>
        </w:tc>
      </w:tr>
      <w:tr w14:paraId="1771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1D5D125F">
            <w:pPr>
              <w:jc w:val="left"/>
              <w:rPr>
                <w:rFonts w:hint="eastAsia" w:ascii="仿宋" w:hAnsi="仿宋" w:eastAsia="仿宋" w:cs="仿宋"/>
                <w:szCs w:val="21"/>
              </w:rPr>
            </w:pPr>
            <w:r>
              <w:rPr>
                <w:rFonts w:hint="eastAsia" w:ascii="仿宋" w:hAnsi="仿宋" w:eastAsia="仿宋" w:cs="仿宋"/>
                <w:szCs w:val="21"/>
              </w:rPr>
              <w:t>大数据分析服务器</w:t>
            </w:r>
          </w:p>
        </w:tc>
        <w:tc>
          <w:tcPr>
            <w:tcW w:w="2939" w:type="dxa"/>
            <w:shd w:val="clear" w:color="000000" w:fill="FFFFFF"/>
            <w:noWrap w:val="0"/>
            <w:vAlign w:val="center"/>
          </w:tcPr>
          <w:p w14:paraId="5C8CB9F8">
            <w:pPr>
              <w:jc w:val="left"/>
              <w:rPr>
                <w:rFonts w:hint="eastAsia" w:ascii="仿宋" w:hAnsi="仿宋" w:eastAsia="仿宋" w:cs="仿宋"/>
                <w:szCs w:val="21"/>
              </w:rPr>
            </w:pPr>
            <w:r>
              <w:rPr>
                <w:rFonts w:hint="eastAsia" w:ascii="仿宋" w:hAnsi="仿宋" w:eastAsia="仿宋" w:cs="仿宋"/>
                <w:szCs w:val="21"/>
              </w:rPr>
              <w:t>华为RH2288H V2</w:t>
            </w:r>
          </w:p>
        </w:tc>
        <w:tc>
          <w:tcPr>
            <w:tcW w:w="1276" w:type="dxa"/>
            <w:shd w:val="clear" w:color="000000" w:fill="FFFFFF"/>
            <w:noWrap w:val="0"/>
            <w:vAlign w:val="center"/>
          </w:tcPr>
          <w:p w14:paraId="3C650182">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0E750237">
            <w:pPr>
              <w:jc w:val="center"/>
              <w:rPr>
                <w:rFonts w:hint="eastAsia" w:ascii="仿宋" w:hAnsi="仿宋" w:eastAsia="仿宋" w:cs="仿宋"/>
                <w:szCs w:val="21"/>
              </w:rPr>
            </w:pPr>
            <w:r>
              <w:rPr>
                <w:rFonts w:hint="eastAsia" w:ascii="仿宋" w:hAnsi="仿宋" w:eastAsia="仿宋" w:cs="仿宋"/>
                <w:szCs w:val="21"/>
              </w:rPr>
              <w:t>4</w:t>
            </w:r>
          </w:p>
        </w:tc>
        <w:tc>
          <w:tcPr>
            <w:tcW w:w="1497" w:type="dxa"/>
            <w:shd w:val="clear" w:color="000000" w:fill="FFFFFF"/>
            <w:noWrap w:val="0"/>
            <w:vAlign w:val="center"/>
          </w:tcPr>
          <w:p w14:paraId="43D8F628">
            <w:pPr>
              <w:jc w:val="center"/>
              <w:rPr>
                <w:rFonts w:hint="eastAsia" w:ascii="仿宋" w:hAnsi="仿宋" w:eastAsia="仿宋" w:cs="仿宋"/>
                <w:szCs w:val="21"/>
              </w:rPr>
            </w:pPr>
            <w:r>
              <w:rPr>
                <w:rFonts w:hint="eastAsia" w:ascii="仿宋" w:hAnsi="仿宋" w:eastAsia="仿宋" w:cs="仿宋"/>
                <w:szCs w:val="21"/>
              </w:rPr>
              <w:t>12</w:t>
            </w:r>
          </w:p>
        </w:tc>
      </w:tr>
      <w:tr w14:paraId="49B7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3D713629">
            <w:pPr>
              <w:jc w:val="left"/>
              <w:rPr>
                <w:rFonts w:hint="eastAsia" w:ascii="仿宋" w:hAnsi="仿宋" w:eastAsia="仿宋" w:cs="仿宋"/>
                <w:szCs w:val="21"/>
              </w:rPr>
            </w:pPr>
            <w:r>
              <w:rPr>
                <w:rFonts w:hint="eastAsia" w:ascii="仿宋" w:hAnsi="仿宋" w:eastAsia="仿宋" w:cs="仿宋"/>
                <w:szCs w:val="21"/>
              </w:rPr>
              <w:t>大数据管理服务器</w:t>
            </w:r>
          </w:p>
        </w:tc>
        <w:tc>
          <w:tcPr>
            <w:tcW w:w="2939" w:type="dxa"/>
            <w:shd w:val="clear" w:color="000000" w:fill="FFFFFF"/>
            <w:noWrap w:val="0"/>
            <w:vAlign w:val="center"/>
          </w:tcPr>
          <w:p w14:paraId="110E3B22">
            <w:pPr>
              <w:jc w:val="left"/>
              <w:rPr>
                <w:rFonts w:hint="eastAsia" w:ascii="仿宋" w:hAnsi="仿宋" w:eastAsia="仿宋" w:cs="仿宋"/>
                <w:szCs w:val="21"/>
              </w:rPr>
            </w:pPr>
            <w:r>
              <w:rPr>
                <w:rFonts w:hint="eastAsia" w:ascii="仿宋" w:hAnsi="仿宋" w:eastAsia="仿宋" w:cs="仿宋"/>
                <w:szCs w:val="21"/>
              </w:rPr>
              <w:t>华为RH2288H V2</w:t>
            </w:r>
          </w:p>
        </w:tc>
        <w:tc>
          <w:tcPr>
            <w:tcW w:w="1276" w:type="dxa"/>
            <w:shd w:val="clear" w:color="000000" w:fill="FFFFFF"/>
            <w:noWrap w:val="0"/>
            <w:vAlign w:val="center"/>
          </w:tcPr>
          <w:p w14:paraId="7269304F">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49462545">
            <w:pPr>
              <w:jc w:val="center"/>
              <w:rPr>
                <w:rFonts w:hint="eastAsia" w:ascii="仿宋" w:hAnsi="仿宋" w:eastAsia="仿宋" w:cs="仿宋"/>
                <w:szCs w:val="21"/>
              </w:rPr>
            </w:pPr>
            <w:r>
              <w:rPr>
                <w:rFonts w:hint="eastAsia" w:ascii="仿宋" w:hAnsi="仿宋" w:eastAsia="仿宋" w:cs="仿宋"/>
                <w:szCs w:val="21"/>
              </w:rPr>
              <w:t>2</w:t>
            </w:r>
          </w:p>
        </w:tc>
        <w:tc>
          <w:tcPr>
            <w:tcW w:w="1497" w:type="dxa"/>
            <w:shd w:val="clear" w:color="000000" w:fill="FFFFFF"/>
            <w:noWrap w:val="0"/>
            <w:vAlign w:val="center"/>
          </w:tcPr>
          <w:p w14:paraId="35D6FF4E">
            <w:pPr>
              <w:jc w:val="center"/>
              <w:rPr>
                <w:rFonts w:hint="eastAsia" w:ascii="仿宋" w:hAnsi="仿宋" w:eastAsia="仿宋" w:cs="仿宋"/>
                <w:szCs w:val="21"/>
              </w:rPr>
            </w:pPr>
            <w:r>
              <w:rPr>
                <w:rFonts w:hint="eastAsia" w:ascii="仿宋" w:hAnsi="仿宋" w:eastAsia="仿宋" w:cs="仿宋"/>
                <w:szCs w:val="21"/>
              </w:rPr>
              <w:t>12</w:t>
            </w:r>
          </w:p>
        </w:tc>
      </w:tr>
      <w:tr w14:paraId="3A84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3BBD6BB7">
            <w:pPr>
              <w:jc w:val="left"/>
              <w:rPr>
                <w:rFonts w:hint="eastAsia" w:ascii="仿宋" w:hAnsi="仿宋" w:eastAsia="仿宋" w:cs="仿宋"/>
                <w:szCs w:val="21"/>
              </w:rPr>
            </w:pPr>
            <w:r>
              <w:rPr>
                <w:rFonts w:hint="eastAsia" w:ascii="仿宋" w:hAnsi="仿宋" w:eastAsia="仿宋" w:cs="仿宋"/>
                <w:szCs w:val="21"/>
              </w:rPr>
              <w:t>数据库服务器</w:t>
            </w:r>
          </w:p>
        </w:tc>
        <w:tc>
          <w:tcPr>
            <w:tcW w:w="2939" w:type="dxa"/>
            <w:shd w:val="clear" w:color="000000" w:fill="FFFFFF"/>
            <w:noWrap w:val="0"/>
            <w:vAlign w:val="center"/>
          </w:tcPr>
          <w:p w14:paraId="123BC8D8">
            <w:pPr>
              <w:jc w:val="left"/>
              <w:rPr>
                <w:rFonts w:hint="eastAsia" w:ascii="仿宋" w:hAnsi="仿宋" w:eastAsia="仿宋" w:cs="仿宋"/>
                <w:szCs w:val="21"/>
              </w:rPr>
            </w:pPr>
            <w:r>
              <w:rPr>
                <w:rFonts w:hint="eastAsia" w:ascii="仿宋" w:hAnsi="仿宋" w:eastAsia="仿宋" w:cs="仿宋"/>
                <w:szCs w:val="21"/>
              </w:rPr>
              <w:t>华为RH5885 V3</w:t>
            </w:r>
          </w:p>
        </w:tc>
        <w:tc>
          <w:tcPr>
            <w:tcW w:w="1276" w:type="dxa"/>
            <w:shd w:val="clear" w:color="000000" w:fill="FFFFFF"/>
            <w:noWrap w:val="0"/>
            <w:vAlign w:val="center"/>
          </w:tcPr>
          <w:p w14:paraId="2CFF42E6">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2DAD245A">
            <w:pPr>
              <w:jc w:val="center"/>
              <w:rPr>
                <w:rFonts w:hint="eastAsia" w:ascii="仿宋" w:hAnsi="仿宋" w:eastAsia="仿宋" w:cs="仿宋"/>
                <w:szCs w:val="21"/>
              </w:rPr>
            </w:pPr>
            <w:r>
              <w:rPr>
                <w:rFonts w:hint="eastAsia" w:ascii="仿宋" w:hAnsi="仿宋" w:eastAsia="仿宋" w:cs="仿宋"/>
                <w:szCs w:val="21"/>
              </w:rPr>
              <w:t>3</w:t>
            </w:r>
          </w:p>
        </w:tc>
        <w:tc>
          <w:tcPr>
            <w:tcW w:w="1497" w:type="dxa"/>
            <w:shd w:val="clear" w:color="000000" w:fill="FFFFFF"/>
            <w:noWrap w:val="0"/>
            <w:vAlign w:val="center"/>
          </w:tcPr>
          <w:p w14:paraId="3C6C22F2">
            <w:pPr>
              <w:jc w:val="center"/>
              <w:rPr>
                <w:rFonts w:hint="eastAsia" w:ascii="仿宋" w:hAnsi="仿宋" w:eastAsia="仿宋" w:cs="仿宋"/>
                <w:szCs w:val="21"/>
              </w:rPr>
            </w:pPr>
            <w:r>
              <w:rPr>
                <w:rFonts w:hint="eastAsia" w:ascii="仿宋" w:hAnsi="仿宋" w:eastAsia="仿宋" w:cs="仿宋"/>
                <w:szCs w:val="21"/>
              </w:rPr>
              <w:t>12</w:t>
            </w:r>
          </w:p>
        </w:tc>
      </w:tr>
      <w:tr w14:paraId="3BEF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auto" w:fill="auto"/>
            <w:noWrap w:val="0"/>
            <w:vAlign w:val="center"/>
          </w:tcPr>
          <w:p w14:paraId="0A651086">
            <w:pPr>
              <w:jc w:val="left"/>
              <w:rPr>
                <w:rFonts w:hint="eastAsia" w:ascii="仿宋" w:hAnsi="仿宋" w:eastAsia="仿宋" w:cs="仿宋"/>
                <w:szCs w:val="21"/>
              </w:rPr>
            </w:pPr>
            <w:r>
              <w:rPr>
                <w:rFonts w:hint="eastAsia" w:ascii="仿宋" w:hAnsi="仿宋" w:eastAsia="仿宋" w:cs="仿宋"/>
                <w:szCs w:val="21"/>
              </w:rPr>
              <w:t>虚拟化服务器</w:t>
            </w:r>
          </w:p>
        </w:tc>
        <w:tc>
          <w:tcPr>
            <w:tcW w:w="2939" w:type="dxa"/>
            <w:shd w:val="clear" w:color="auto" w:fill="auto"/>
            <w:noWrap w:val="0"/>
            <w:vAlign w:val="center"/>
          </w:tcPr>
          <w:p w14:paraId="09373757">
            <w:pPr>
              <w:jc w:val="left"/>
              <w:rPr>
                <w:rFonts w:hint="eastAsia" w:ascii="仿宋" w:hAnsi="仿宋" w:eastAsia="仿宋" w:cs="仿宋"/>
                <w:szCs w:val="21"/>
              </w:rPr>
            </w:pPr>
            <w:r>
              <w:rPr>
                <w:rFonts w:hint="eastAsia" w:ascii="仿宋" w:hAnsi="仿宋" w:eastAsia="仿宋" w:cs="仿宋"/>
                <w:szCs w:val="21"/>
              </w:rPr>
              <w:t>华为RH5885 V3</w:t>
            </w:r>
          </w:p>
        </w:tc>
        <w:tc>
          <w:tcPr>
            <w:tcW w:w="1276" w:type="dxa"/>
            <w:shd w:val="clear" w:color="000000" w:fill="FFFFFF"/>
            <w:noWrap w:val="0"/>
            <w:vAlign w:val="center"/>
          </w:tcPr>
          <w:p w14:paraId="4155FECB">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0AC59574">
            <w:pPr>
              <w:jc w:val="center"/>
              <w:rPr>
                <w:rFonts w:hint="eastAsia" w:ascii="仿宋" w:hAnsi="仿宋" w:eastAsia="仿宋" w:cs="仿宋"/>
                <w:szCs w:val="21"/>
              </w:rPr>
            </w:pPr>
            <w:r>
              <w:rPr>
                <w:rFonts w:hint="eastAsia" w:ascii="仿宋" w:hAnsi="仿宋" w:eastAsia="仿宋" w:cs="仿宋"/>
                <w:szCs w:val="21"/>
              </w:rPr>
              <w:t>3</w:t>
            </w:r>
          </w:p>
        </w:tc>
        <w:tc>
          <w:tcPr>
            <w:tcW w:w="1497" w:type="dxa"/>
            <w:shd w:val="clear" w:color="000000" w:fill="FFFFFF"/>
            <w:noWrap w:val="0"/>
            <w:vAlign w:val="center"/>
          </w:tcPr>
          <w:p w14:paraId="48155150">
            <w:pPr>
              <w:jc w:val="center"/>
              <w:rPr>
                <w:rFonts w:hint="eastAsia" w:ascii="仿宋" w:hAnsi="仿宋" w:eastAsia="仿宋" w:cs="仿宋"/>
                <w:szCs w:val="21"/>
              </w:rPr>
            </w:pPr>
            <w:r>
              <w:rPr>
                <w:rFonts w:hint="eastAsia" w:ascii="仿宋" w:hAnsi="仿宋" w:eastAsia="仿宋" w:cs="仿宋"/>
                <w:szCs w:val="21"/>
              </w:rPr>
              <w:t>12</w:t>
            </w:r>
          </w:p>
        </w:tc>
      </w:tr>
      <w:tr w14:paraId="445F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auto" w:fill="auto"/>
            <w:noWrap w:val="0"/>
            <w:vAlign w:val="center"/>
          </w:tcPr>
          <w:p w14:paraId="467551A1">
            <w:pPr>
              <w:jc w:val="left"/>
              <w:rPr>
                <w:rFonts w:hint="eastAsia" w:ascii="仿宋" w:hAnsi="仿宋" w:eastAsia="仿宋" w:cs="仿宋"/>
                <w:szCs w:val="21"/>
              </w:rPr>
            </w:pPr>
            <w:r>
              <w:rPr>
                <w:rFonts w:hint="eastAsia" w:ascii="仿宋" w:hAnsi="仿宋" w:eastAsia="仿宋" w:cs="仿宋"/>
                <w:szCs w:val="21"/>
              </w:rPr>
              <w:t>存储阵列</w:t>
            </w:r>
          </w:p>
        </w:tc>
        <w:tc>
          <w:tcPr>
            <w:tcW w:w="2939" w:type="dxa"/>
            <w:shd w:val="clear" w:color="auto" w:fill="auto"/>
            <w:noWrap w:val="0"/>
            <w:vAlign w:val="center"/>
          </w:tcPr>
          <w:p w14:paraId="2BEB55F0">
            <w:pPr>
              <w:jc w:val="left"/>
              <w:rPr>
                <w:rFonts w:hint="eastAsia" w:ascii="仿宋" w:hAnsi="仿宋" w:eastAsia="仿宋" w:cs="仿宋"/>
                <w:szCs w:val="21"/>
              </w:rPr>
            </w:pPr>
            <w:r>
              <w:rPr>
                <w:rFonts w:hint="eastAsia" w:ascii="仿宋" w:hAnsi="仿宋" w:eastAsia="仿宋" w:cs="仿宋"/>
                <w:szCs w:val="21"/>
              </w:rPr>
              <w:t>OceanStor 5300v3</w:t>
            </w:r>
          </w:p>
        </w:tc>
        <w:tc>
          <w:tcPr>
            <w:tcW w:w="1276" w:type="dxa"/>
            <w:shd w:val="clear" w:color="000000" w:fill="FFFFFF"/>
            <w:noWrap w:val="0"/>
            <w:vAlign w:val="center"/>
          </w:tcPr>
          <w:p w14:paraId="3293AD98">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6ED05E8F">
            <w:pPr>
              <w:jc w:val="center"/>
              <w:rPr>
                <w:rFonts w:hint="eastAsia" w:ascii="仿宋" w:hAnsi="仿宋" w:eastAsia="仿宋" w:cs="仿宋"/>
                <w:szCs w:val="21"/>
              </w:rPr>
            </w:pPr>
            <w:r>
              <w:rPr>
                <w:rFonts w:hint="eastAsia" w:ascii="仿宋" w:hAnsi="仿宋" w:eastAsia="仿宋" w:cs="仿宋"/>
                <w:szCs w:val="21"/>
              </w:rPr>
              <w:t>2</w:t>
            </w:r>
          </w:p>
        </w:tc>
        <w:tc>
          <w:tcPr>
            <w:tcW w:w="1497" w:type="dxa"/>
            <w:shd w:val="clear" w:color="000000" w:fill="FFFFFF"/>
            <w:noWrap w:val="0"/>
            <w:vAlign w:val="center"/>
          </w:tcPr>
          <w:p w14:paraId="28510C80">
            <w:pPr>
              <w:jc w:val="center"/>
              <w:rPr>
                <w:rFonts w:hint="eastAsia" w:ascii="仿宋" w:hAnsi="仿宋" w:eastAsia="仿宋" w:cs="仿宋"/>
                <w:szCs w:val="21"/>
              </w:rPr>
            </w:pPr>
            <w:r>
              <w:rPr>
                <w:rFonts w:hint="eastAsia" w:ascii="仿宋" w:hAnsi="仿宋" w:eastAsia="仿宋" w:cs="仿宋"/>
                <w:szCs w:val="21"/>
              </w:rPr>
              <w:t>12</w:t>
            </w:r>
          </w:p>
        </w:tc>
      </w:tr>
      <w:tr w14:paraId="1F1D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34B2DFE4">
            <w:pPr>
              <w:jc w:val="left"/>
              <w:rPr>
                <w:rFonts w:hint="eastAsia" w:ascii="仿宋" w:hAnsi="仿宋" w:eastAsia="仿宋" w:cs="仿宋"/>
                <w:szCs w:val="21"/>
              </w:rPr>
            </w:pPr>
            <w:r>
              <w:rPr>
                <w:rFonts w:hint="eastAsia" w:ascii="仿宋" w:hAnsi="仿宋" w:eastAsia="仿宋" w:cs="仿宋"/>
                <w:szCs w:val="21"/>
              </w:rPr>
              <w:t>光纤交换机</w:t>
            </w:r>
          </w:p>
        </w:tc>
        <w:tc>
          <w:tcPr>
            <w:tcW w:w="2939" w:type="dxa"/>
            <w:shd w:val="clear" w:color="000000" w:fill="FFFFFF"/>
            <w:noWrap w:val="0"/>
            <w:vAlign w:val="center"/>
          </w:tcPr>
          <w:p w14:paraId="3D331770">
            <w:pPr>
              <w:jc w:val="left"/>
              <w:rPr>
                <w:rFonts w:hint="eastAsia" w:ascii="仿宋" w:hAnsi="仿宋" w:eastAsia="仿宋" w:cs="仿宋"/>
                <w:szCs w:val="21"/>
              </w:rPr>
            </w:pPr>
            <w:r>
              <w:rPr>
                <w:rFonts w:hint="eastAsia" w:ascii="仿宋" w:hAnsi="仿宋" w:eastAsia="仿宋" w:cs="仿宋"/>
                <w:szCs w:val="21"/>
              </w:rPr>
              <w:t>OceanStorSNS2124</w:t>
            </w:r>
          </w:p>
        </w:tc>
        <w:tc>
          <w:tcPr>
            <w:tcW w:w="1276" w:type="dxa"/>
            <w:shd w:val="clear" w:color="000000" w:fill="FFFFFF"/>
            <w:noWrap w:val="0"/>
            <w:vAlign w:val="center"/>
          </w:tcPr>
          <w:p w14:paraId="5E3A9D65">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751A805E">
            <w:pPr>
              <w:jc w:val="center"/>
              <w:rPr>
                <w:rFonts w:hint="eastAsia" w:ascii="仿宋" w:hAnsi="仿宋" w:eastAsia="仿宋" w:cs="仿宋"/>
                <w:szCs w:val="21"/>
              </w:rPr>
            </w:pPr>
            <w:r>
              <w:rPr>
                <w:rFonts w:hint="eastAsia" w:ascii="仿宋" w:hAnsi="仿宋" w:eastAsia="仿宋" w:cs="仿宋"/>
                <w:szCs w:val="21"/>
              </w:rPr>
              <w:t>2</w:t>
            </w:r>
          </w:p>
        </w:tc>
        <w:tc>
          <w:tcPr>
            <w:tcW w:w="1497" w:type="dxa"/>
            <w:shd w:val="clear" w:color="000000" w:fill="FFFFFF"/>
            <w:noWrap w:val="0"/>
            <w:vAlign w:val="center"/>
          </w:tcPr>
          <w:p w14:paraId="182F7A70">
            <w:pPr>
              <w:jc w:val="center"/>
              <w:rPr>
                <w:rFonts w:hint="eastAsia" w:ascii="仿宋" w:hAnsi="仿宋" w:eastAsia="仿宋" w:cs="仿宋"/>
                <w:szCs w:val="21"/>
              </w:rPr>
            </w:pPr>
            <w:r>
              <w:rPr>
                <w:rFonts w:hint="eastAsia" w:ascii="仿宋" w:hAnsi="仿宋" w:eastAsia="仿宋" w:cs="仿宋"/>
                <w:szCs w:val="21"/>
              </w:rPr>
              <w:t>12</w:t>
            </w:r>
          </w:p>
        </w:tc>
      </w:tr>
      <w:tr w14:paraId="1F77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0906F983">
            <w:pPr>
              <w:jc w:val="left"/>
              <w:rPr>
                <w:rFonts w:hint="eastAsia" w:ascii="仿宋" w:hAnsi="仿宋" w:eastAsia="仿宋" w:cs="仿宋"/>
                <w:szCs w:val="21"/>
              </w:rPr>
            </w:pPr>
            <w:r>
              <w:rPr>
                <w:rFonts w:hint="eastAsia" w:ascii="仿宋" w:hAnsi="仿宋" w:eastAsia="仿宋" w:cs="仿宋"/>
                <w:szCs w:val="21"/>
              </w:rPr>
              <w:t>堡垒机</w:t>
            </w:r>
          </w:p>
        </w:tc>
        <w:tc>
          <w:tcPr>
            <w:tcW w:w="2939" w:type="dxa"/>
            <w:shd w:val="clear" w:color="000000" w:fill="FFFFFF"/>
            <w:noWrap w:val="0"/>
            <w:vAlign w:val="center"/>
          </w:tcPr>
          <w:p w14:paraId="2B425817">
            <w:pPr>
              <w:jc w:val="left"/>
              <w:rPr>
                <w:rFonts w:hint="eastAsia" w:ascii="仿宋" w:hAnsi="仿宋" w:eastAsia="仿宋" w:cs="仿宋"/>
                <w:szCs w:val="21"/>
              </w:rPr>
            </w:pPr>
            <w:r>
              <w:rPr>
                <w:rFonts w:hint="eastAsia" w:ascii="仿宋" w:hAnsi="仿宋" w:eastAsia="仿宋" w:cs="仿宋"/>
                <w:szCs w:val="21"/>
              </w:rPr>
              <w:t>SecFox C3000-U050P</w:t>
            </w:r>
          </w:p>
        </w:tc>
        <w:tc>
          <w:tcPr>
            <w:tcW w:w="1276" w:type="dxa"/>
            <w:shd w:val="clear" w:color="000000" w:fill="FFFFFF"/>
            <w:noWrap w:val="0"/>
            <w:vAlign w:val="center"/>
          </w:tcPr>
          <w:p w14:paraId="7984DE8D">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0D587F1E">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336459FE">
            <w:pPr>
              <w:jc w:val="center"/>
              <w:rPr>
                <w:rFonts w:hint="eastAsia" w:ascii="仿宋" w:hAnsi="仿宋" w:eastAsia="仿宋" w:cs="仿宋"/>
                <w:szCs w:val="21"/>
              </w:rPr>
            </w:pPr>
            <w:r>
              <w:rPr>
                <w:rFonts w:hint="eastAsia" w:ascii="仿宋" w:hAnsi="仿宋" w:eastAsia="仿宋" w:cs="仿宋"/>
                <w:szCs w:val="21"/>
              </w:rPr>
              <w:t>12</w:t>
            </w:r>
          </w:p>
        </w:tc>
      </w:tr>
      <w:tr w14:paraId="665F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15AB663B">
            <w:pPr>
              <w:jc w:val="left"/>
              <w:rPr>
                <w:rFonts w:hint="eastAsia" w:ascii="仿宋" w:hAnsi="仿宋" w:eastAsia="仿宋" w:cs="仿宋"/>
                <w:szCs w:val="21"/>
              </w:rPr>
            </w:pPr>
            <w:r>
              <w:rPr>
                <w:rFonts w:hint="eastAsia" w:ascii="仿宋" w:hAnsi="仿宋" w:eastAsia="仿宋" w:cs="仿宋"/>
                <w:szCs w:val="21"/>
              </w:rPr>
              <w:t>备份软件</w:t>
            </w:r>
          </w:p>
        </w:tc>
        <w:tc>
          <w:tcPr>
            <w:tcW w:w="2939" w:type="dxa"/>
            <w:shd w:val="clear" w:color="000000" w:fill="FFFFFF"/>
            <w:noWrap w:val="0"/>
            <w:vAlign w:val="center"/>
          </w:tcPr>
          <w:p w14:paraId="2E517AEB">
            <w:pPr>
              <w:jc w:val="left"/>
              <w:rPr>
                <w:rFonts w:hint="eastAsia" w:ascii="仿宋" w:hAnsi="仿宋" w:eastAsia="仿宋" w:cs="仿宋"/>
                <w:szCs w:val="21"/>
              </w:rPr>
            </w:pPr>
            <w:r>
              <w:rPr>
                <w:rFonts w:hint="eastAsia" w:ascii="仿宋" w:hAnsi="仿宋" w:eastAsia="仿宋" w:cs="仿宋"/>
                <w:szCs w:val="21"/>
              </w:rPr>
              <w:t>Backup Exec</w:t>
            </w:r>
          </w:p>
        </w:tc>
        <w:tc>
          <w:tcPr>
            <w:tcW w:w="1276" w:type="dxa"/>
            <w:shd w:val="clear" w:color="000000" w:fill="FFFFFF"/>
            <w:noWrap w:val="0"/>
            <w:vAlign w:val="center"/>
          </w:tcPr>
          <w:p w14:paraId="6D3A6C1A">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4DDC61E6">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3191ADE4">
            <w:pPr>
              <w:jc w:val="center"/>
              <w:rPr>
                <w:rFonts w:hint="eastAsia" w:ascii="仿宋" w:hAnsi="仿宋" w:eastAsia="仿宋" w:cs="仿宋"/>
                <w:szCs w:val="21"/>
              </w:rPr>
            </w:pPr>
            <w:r>
              <w:rPr>
                <w:rFonts w:hint="eastAsia" w:ascii="仿宋" w:hAnsi="仿宋" w:eastAsia="仿宋" w:cs="仿宋"/>
                <w:szCs w:val="21"/>
              </w:rPr>
              <w:t>12</w:t>
            </w:r>
          </w:p>
        </w:tc>
      </w:tr>
      <w:tr w14:paraId="2089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45A0C18C">
            <w:pPr>
              <w:jc w:val="left"/>
              <w:rPr>
                <w:rFonts w:hint="eastAsia" w:ascii="仿宋" w:hAnsi="仿宋" w:eastAsia="仿宋" w:cs="仿宋"/>
                <w:szCs w:val="21"/>
              </w:rPr>
            </w:pPr>
            <w:r>
              <w:rPr>
                <w:rFonts w:hint="eastAsia" w:ascii="仿宋" w:hAnsi="仿宋" w:eastAsia="仿宋" w:cs="仿宋"/>
                <w:szCs w:val="21"/>
              </w:rPr>
              <w:t>备份存储</w:t>
            </w:r>
          </w:p>
        </w:tc>
        <w:tc>
          <w:tcPr>
            <w:tcW w:w="2939" w:type="dxa"/>
            <w:shd w:val="clear" w:color="000000" w:fill="FFFFFF"/>
            <w:noWrap w:val="0"/>
            <w:vAlign w:val="center"/>
          </w:tcPr>
          <w:p w14:paraId="795FF885">
            <w:pPr>
              <w:jc w:val="left"/>
              <w:rPr>
                <w:rFonts w:hint="eastAsia" w:ascii="仿宋" w:hAnsi="仿宋" w:eastAsia="仿宋" w:cs="仿宋"/>
                <w:szCs w:val="21"/>
              </w:rPr>
            </w:pPr>
            <w:r>
              <w:rPr>
                <w:rFonts w:hint="eastAsia" w:ascii="仿宋" w:hAnsi="仿宋" w:eastAsia="仿宋" w:cs="仿宋"/>
                <w:szCs w:val="21"/>
              </w:rPr>
              <w:t>OceanStor S2600T V2</w:t>
            </w:r>
          </w:p>
        </w:tc>
        <w:tc>
          <w:tcPr>
            <w:tcW w:w="1276" w:type="dxa"/>
            <w:shd w:val="clear" w:color="000000" w:fill="FFFFFF"/>
            <w:noWrap w:val="0"/>
            <w:vAlign w:val="center"/>
          </w:tcPr>
          <w:p w14:paraId="3E731565">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73701D1C">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3DAEDA62">
            <w:pPr>
              <w:jc w:val="center"/>
              <w:rPr>
                <w:rFonts w:hint="eastAsia" w:ascii="仿宋" w:hAnsi="仿宋" w:eastAsia="仿宋" w:cs="仿宋"/>
                <w:szCs w:val="21"/>
              </w:rPr>
            </w:pPr>
            <w:r>
              <w:rPr>
                <w:rFonts w:hint="eastAsia" w:ascii="仿宋" w:hAnsi="仿宋" w:eastAsia="仿宋" w:cs="仿宋"/>
                <w:szCs w:val="21"/>
              </w:rPr>
              <w:t>12</w:t>
            </w:r>
          </w:p>
        </w:tc>
      </w:tr>
      <w:tr w14:paraId="22B7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7FDCABE1">
            <w:pPr>
              <w:jc w:val="left"/>
              <w:rPr>
                <w:rFonts w:hint="eastAsia" w:ascii="仿宋" w:hAnsi="仿宋" w:eastAsia="仿宋" w:cs="仿宋"/>
                <w:szCs w:val="21"/>
              </w:rPr>
            </w:pPr>
            <w:r>
              <w:rPr>
                <w:rFonts w:hint="eastAsia" w:ascii="仿宋" w:hAnsi="仿宋" w:eastAsia="仿宋" w:cs="仿宋"/>
                <w:szCs w:val="21"/>
              </w:rPr>
              <w:t>虚拟化软件</w:t>
            </w:r>
          </w:p>
        </w:tc>
        <w:tc>
          <w:tcPr>
            <w:tcW w:w="2939" w:type="dxa"/>
            <w:shd w:val="clear" w:color="000000" w:fill="FFFFFF"/>
            <w:noWrap w:val="0"/>
            <w:vAlign w:val="center"/>
          </w:tcPr>
          <w:p w14:paraId="454C2974">
            <w:pPr>
              <w:jc w:val="left"/>
              <w:rPr>
                <w:rFonts w:hint="eastAsia" w:ascii="仿宋" w:hAnsi="仿宋" w:eastAsia="仿宋" w:cs="仿宋"/>
                <w:szCs w:val="21"/>
              </w:rPr>
            </w:pPr>
            <w:r>
              <w:rPr>
                <w:rFonts w:hint="eastAsia" w:ascii="仿宋" w:hAnsi="仿宋" w:eastAsia="仿宋" w:cs="仿宋"/>
                <w:szCs w:val="21"/>
              </w:rPr>
              <w:t>VMware vsphere5</w:t>
            </w:r>
          </w:p>
        </w:tc>
        <w:tc>
          <w:tcPr>
            <w:tcW w:w="1276" w:type="dxa"/>
            <w:shd w:val="clear" w:color="000000" w:fill="FFFFFF"/>
            <w:noWrap w:val="0"/>
            <w:vAlign w:val="center"/>
          </w:tcPr>
          <w:p w14:paraId="1EDA21A8">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51E0C8D7">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6FE2F694">
            <w:pPr>
              <w:jc w:val="center"/>
              <w:rPr>
                <w:rFonts w:hint="eastAsia" w:ascii="仿宋" w:hAnsi="仿宋" w:eastAsia="仿宋" w:cs="仿宋"/>
                <w:szCs w:val="21"/>
              </w:rPr>
            </w:pPr>
            <w:r>
              <w:rPr>
                <w:rFonts w:hint="eastAsia" w:ascii="仿宋" w:hAnsi="仿宋" w:eastAsia="仿宋" w:cs="仿宋"/>
                <w:szCs w:val="21"/>
              </w:rPr>
              <w:t>12</w:t>
            </w:r>
          </w:p>
        </w:tc>
      </w:tr>
      <w:tr w14:paraId="6561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58EA6975">
            <w:pPr>
              <w:jc w:val="left"/>
              <w:rPr>
                <w:rFonts w:hint="eastAsia" w:ascii="仿宋" w:hAnsi="仿宋" w:eastAsia="仿宋" w:cs="仿宋"/>
                <w:szCs w:val="21"/>
              </w:rPr>
            </w:pPr>
            <w:r>
              <w:rPr>
                <w:rFonts w:hint="eastAsia" w:ascii="仿宋" w:hAnsi="仿宋" w:eastAsia="仿宋" w:cs="仿宋"/>
                <w:szCs w:val="21"/>
              </w:rPr>
              <w:t>UPS电源系统</w:t>
            </w:r>
          </w:p>
        </w:tc>
        <w:tc>
          <w:tcPr>
            <w:tcW w:w="2939" w:type="dxa"/>
            <w:shd w:val="clear" w:color="000000" w:fill="FFFFFF"/>
            <w:noWrap w:val="0"/>
            <w:vAlign w:val="center"/>
          </w:tcPr>
          <w:p w14:paraId="6F9DA452">
            <w:pPr>
              <w:jc w:val="left"/>
              <w:rPr>
                <w:rFonts w:hint="eastAsia" w:ascii="仿宋" w:hAnsi="仿宋" w:eastAsia="仿宋" w:cs="仿宋"/>
                <w:szCs w:val="21"/>
              </w:rPr>
            </w:pPr>
            <w:r>
              <w:rPr>
                <w:rFonts w:hint="eastAsia" w:ascii="仿宋" w:hAnsi="仿宋" w:eastAsia="仿宋" w:cs="仿宋"/>
                <w:szCs w:val="21"/>
              </w:rPr>
              <w:t>易事特100KV，型号：EA66100</w:t>
            </w:r>
          </w:p>
        </w:tc>
        <w:tc>
          <w:tcPr>
            <w:tcW w:w="1276" w:type="dxa"/>
            <w:shd w:val="clear" w:color="000000" w:fill="FFFFFF"/>
            <w:noWrap w:val="0"/>
            <w:vAlign w:val="center"/>
          </w:tcPr>
          <w:p w14:paraId="6C084D18">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2BB0F139">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2DEEFC48">
            <w:pPr>
              <w:jc w:val="center"/>
              <w:rPr>
                <w:rFonts w:hint="eastAsia" w:ascii="仿宋" w:hAnsi="仿宋" w:eastAsia="仿宋" w:cs="仿宋"/>
                <w:szCs w:val="21"/>
              </w:rPr>
            </w:pPr>
            <w:r>
              <w:rPr>
                <w:rFonts w:hint="eastAsia" w:ascii="仿宋" w:hAnsi="仿宋" w:eastAsia="仿宋" w:cs="仿宋"/>
                <w:szCs w:val="21"/>
              </w:rPr>
              <w:t>12</w:t>
            </w:r>
          </w:p>
        </w:tc>
      </w:tr>
      <w:tr w14:paraId="26DF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2534F24E">
            <w:pPr>
              <w:jc w:val="left"/>
              <w:rPr>
                <w:rFonts w:hint="eastAsia" w:ascii="仿宋" w:hAnsi="仿宋" w:eastAsia="仿宋" w:cs="仿宋"/>
                <w:szCs w:val="21"/>
              </w:rPr>
            </w:pPr>
            <w:r>
              <w:rPr>
                <w:rFonts w:hint="eastAsia" w:ascii="仿宋" w:hAnsi="仿宋" w:eastAsia="仿宋" w:cs="仿宋"/>
                <w:szCs w:val="21"/>
              </w:rPr>
              <w:t>精密空调系统</w:t>
            </w:r>
          </w:p>
        </w:tc>
        <w:tc>
          <w:tcPr>
            <w:tcW w:w="2939" w:type="dxa"/>
            <w:shd w:val="clear" w:color="000000" w:fill="FFFFFF"/>
            <w:noWrap w:val="0"/>
            <w:vAlign w:val="center"/>
          </w:tcPr>
          <w:p w14:paraId="6F5D655C">
            <w:pPr>
              <w:jc w:val="left"/>
              <w:rPr>
                <w:rFonts w:hint="eastAsia" w:ascii="仿宋" w:hAnsi="仿宋" w:eastAsia="仿宋" w:cs="仿宋"/>
                <w:szCs w:val="21"/>
              </w:rPr>
            </w:pPr>
            <w:r>
              <w:rPr>
                <w:rFonts w:hint="eastAsia" w:ascii="仿宋" w:hAnsi="仿宋" w:eastAsia="仿宋" w:cs="仿宋"/>
                <w:szCs w:val="21"/>
              </w:rPr>
              <w:t>艾默生DME12MHP1，序列号：210130P1062149050007</w:t>
            </w:r>
          </w:p>
        </w:tc>
        <w:tc>
          <w:tcPr>
            <w:tcW w:w="1276" w:type="dxa"/>
            <w:shd w:val="clear" w:color="000000" w:fill="FFFFFF"/>
            <w:noWrap w:val="0"/>
            <w:vAlign w:val="center"/>
          </w:tcPr>
          <w:p w14:paraId="225C6B46">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19CD5828">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2E1B0939">
            <w:pPr>
              <w:jc w:val="center"/>
              <w:rPr>
                <w:rFonts w:hint="eastAsia" w:ascii="仿宋" w:hAnsi="仿宋" w:eastAsia="仿宋" w:cs="仿宋"/>
                <w:szCs w:val="21"/>
              </w:rPr>
            </w:pPr>
            <w:r>
              <w:rPr>
                <w:rFonts w:hint="eastAsia" w:ascii="仿宋" w:hAnsi="仿宋" w:eastAsia="仿宋" w:cs="仿宋"/>
                <w:szCs w:val="21"/>
              </w:rPr>
              <w:t>12</w:t>
            </w:r>
          </w:p>
        </w:tc>
      </w:tr>
      <w:tr w14:paraId="658B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39894AAA">
            <w:pPr>
              <w:jc w:val="left"/>
              <w:rPr>
                <w:rFonts w:hint="eastAsia" w:ascii="仿宋" w:hAnsi="仿宋" w:eastAsia="仿宋" w:cs="仿宋"/>
                <w:szCs w:val="21"/>
              </w:rPr>
            </w:pPr>
            <w:r>
              <w:rPr>
                <w:rFonts w:hint="eastAsia" w:ascii="仿宋" w:hAnsi="仿宋" w:eastAsia="仿宋" w:cs="仿宋"/>
                <w:szCs w:val="21"/>
              </w:rPr>
              <w:t>机房动环监控系统</w:t>
            </w:r>
          </w:p>
        </w:tc>
        <w:tc>
          <w:tcPr>
            <w:tcW w:w="2939" w:type="dxa"/>
            <w:shd w:val="clear" w:color="000000" w:fill="FFFFFF"/>
            <w:noWrap w:val="0"/>
            <w:vAlign w:val="center"/>
          </w:tcPr>
          <w:p w14:paraId="636E17D5">
            <w:pPr>
              <w:jc w:val="left"/>
              <w:rPr>
                <w:rFonts w:hint="eastAsia" w:ascii="仿宋" w:hAnsi="仿宋" w:eastAsia="仿宋" w:cs="仿宋"/>
                <w:szCs w:val="21"/>
              </w:rPr>
            </w:pPr>
            <w:r>
              <w:rPr>
                <w:rFonts w:hint="eastAsia" w:ascii="仿宋" w:hAnsi="仿宋" w:eastAsia="仿宋" w:cs="仿宋"/>
                <w:szCs w:val="21"/>
              </w:rPr>
              <w:t>久泰科技</w:t>
            </w:r>
          </w:p>
        </w:tc>
        <w:tc>
          <w:tcPr>
            <w:tcW w:w="1276" w:type="dxa"/>
            <w:shd w:val="clear" w:color="000000" w:fill="FFFFFF"/>
            <w:noWrap w:val="0"/>
            <w:vAlign w:val="center"/>
          </w:tcPr>
          <w:p w14:paraId="6462B5D2">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0C0CCB42">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6736536F">
            <w:pPr>
              <w:jc w:val="center"/>
              <w:rPr>
                <w:rFonts w:hint="eastAsia" w:ascii="仿宋" w:hAnsi="仿宋" w:eastAsia="仿宋" w:cs="仿宋"/>
                <w:szCs w:val="21"/>
              </w:rPr>
            </w:pPr>
            <w:r>
              <w:rPr>
                <w:rFonts w:hint="eastAsia" w:ascii="仿宋" w:hAnsi="仿宋" w:eastAsia="仿宋" w:cs="仿宋"/>
                <w:szCs w:val="21"/>
              </w:rPr>
              <w:t>12</w:t>
            </w:r>
          </w:p>
        </w:tc>
      </w:tr>
      <w:tr w14:paraId="03DE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27A41747">
            <w:pPr>
              <w:jc w:val="left"/>
              <w:rPr>
                <w:rFonts w:hint="eastAsia" w:ascii="仿宋" w:hAnsi="仿宋" w:eastAsia="仿宋" w:cs="仿宋"/>
                <w:szCs w:val="21"/>
              </w:rPr>
            </w:pPr>
            <w:r>
              <w:rPr>
                <w:rFonts w:hint="eastAsia" w:ascii="仿宋" w:hAnsi="仿宋" w:eastAsia="仿宋" w:cs="仿宋"/>
                <w:szCs w:val="21"/>
              </w:rPr>
              <w:t>门禁系统</w:t>
            </w:r>
          </w:p>
        </w:tc>
        <w:tc>
          <w:tcPr>
            <w:tcW w:w="2939" w:type="dxa"/>
            <w:shd w:val="clear" w:color="000000" w:fill="FFFFFF"/>
            <w:noWrap w:val="0"/>
            <w:vAlign w:val="center"/>
          </w:tcPr>
          <w:p w14:paraId="2624F8F7">
            <w:pPr>
              <w:jc w:val="left"/>
              <w:rPr>
                <w:rFonts w:hint="eastAsia" w:ascii="仿宋" w:hAnsi="仿宋" w:eastAsia="仿宋" w:cs="仿宋"/>
                <w:szCs w:val="21"/>
              </w:rPr>
            </w:pPr>
          </w:p>
        </w:tc>
        <w:tc>
          <w:tcPr>
            <w:tcW w:w="1276" w:type="dxa"/>
            <w:shd w:val="clear" w:color="000000" w:fill="FFFFFF"/>
            <w:noWrap w:val="0"/>
            <w:vAlign w:val="center"/>
          </w:tcPr>
          <w:p w14:paraId="7834C33D">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1B3AF901">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56FDF9AF">
            <w:pPr>
              <w:jc w:val="center"/>
              <w:rPr>
                <w:rFonts w:hint="eastAsia" w:ascii="仿宋" w:hAnsi="仿宋" w:eastAsia="仿宋" w:cs="仿宋"/>
                <w:szCs w:val="21"/>
              </w:rPr>
            </w:pPr>
            <w:r>
              <w:rPr>
                <w:rFonts w:hint="eastAsia" w:ascii="仿宋" w:hAnsi="仿宋" w:eastAsia="仿宋" w:cs="仿宋"/>
                <w:szCs w:val="21"/>
              </w:rPr>
              <w:t>12</w:t>
            </w:r>
          </w:p>
        </w:tc>
      </w:tr>
      <w:tr w14:paraId="4DA9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7224FF83">
            <w:pPr>
              <w:jc w:val="left"/>
              <w:rPr>
                <w:rFonts w:hint="eastAsia" w:ascii="仿宋" w:hAnsi="仿宋" w:eastAsia="仿宋" w:cs="仿宋"/>
                <w:szCs w:val="21"/>
              </w:rPr>
            </w:pPr>
            <w:r>
              <w:rPr>
                <w:rFonts w:hint="eastAsia" w:ascii="仿宋" w:hAnsi="仿宋" w:eastAsia="仿宋" w:cs="仿宋"/>
                <w:color w:val="000000"/>
                <w:kern w:val="0"/>
                <w:szCs w:val="21"/>
              </w:rPr>
              <w:t>防火墙</w:t>
            </w:r>
          </w:p>
        </w:tc>
        <w:tc>
          <w:tcPr>
            <w:tcW w:w="2939" w:type="dxa"/>
            <w:shd w:val="clear" w:color="000000" w:fill="FFFFFF"/>
            <w:noWrap w:val="0"/>
            <w:vAlign w:val="center"/>
          </w:tcPr>
          <w:p w14:paraId="5FBDEFD2">
            <w:pPr>
              <w:jc w:val="left"/>
              <w:rPr>
                <w:rFonts w:hint="eastAsia" w:ascii="仿宋" w:hAnsi="仿宋" w:eastAsia="仿宋" w:cs="仿宋"/>
                <w:szCs w:val="21"/>
              </w:rPr>
            </w:pPr>
            <w:r>
              <w:rPr>
                <w:rFonts w:hint="eastAsia" w:ascii="仿宋" w:hAnsi="仿宋" w:eastAsia="仿宋" w:cs="仿宋"/>
                <w:szCs w:val="21"/>
              </w:rPr>
              <w:t>深信服 AF-1000-E420</w:t>
            </w:r>
          </w:p>
        </w:tc>
        <w:tc>
          <w:tcPr>
            <w:tcW w:w="1276" w:type="dxa"/>
            <w:shd w:val="clear" w:color="000000" w:fill="FFFFFF"/>
            <w:noWrap w:val="0"/>
            <w:vAlign w:val="center"/>
          </w:tcPr>
          <w:p w14:paraId="63A41EA9">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6E1592AA">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5426EEE0">
            <w:pPr>
              <w:jc w:val="center"/>
              <w:rPr>
                <w:rFonts w:hint="eastAsia" w:ascii="仿宋" w:hAnsi="仿宋" w:eastAsia="仿宋" w:cs="仿宋"/>
                <w:szCs w:val="21"/>
              </w:rPr>
            </w:pPr>
            <w:r>
              <w:rPr>
                <w:rFonts w:hint="eastAsia" w:ascii="仿宋" w:hAnsi="仿宋" w:eastAsia="仿宋" w:cs="仿宋"/>
                <w:szCs w:val="21"/>
              </w:rPr>
              <w:t>12</w:t>
            </w:r>
          </w:p>
        </w:tc>
      </w:tr>
      <w:tr w14:paraId="4C96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408E053B">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IPS</w:t>
            </w:r>
          </w:p>
        </w:tc>
        <w:tc>
          <w:tcPr>
            <w:tcW w:w="2939" w:type="dxa"/>
            <w:shd w:val="clear" w:color="000000" w:fill="FFFFFF"/>
            <w:noWrap w:val="0"/>
            <w:vAlign w:val="center"/>
          </w:tcPr>
          <w:p w14:paraId="22148CBC">
            <w:pPr>
              <w:jc w:val="left"/>
              <w:rPr>
                <w:rFonts w:hint="eastAsia" w:ascii="仿宋" w:hAnsi="仿宋" w:eastAsia="仿宋" w:cs="仿宋"/>
                <w:szCs w:val="21"/>
              </w:rPr>
            </w:pPr>
            <w:r>
              <w:rPr>
                <w:rFonts w:hint="eastAsia" w:ascii="仿宋" w:hAnsi="仿宋" w:eastAsia="仿宋" w:cs="仿宋"/>
                <w:szCs w:val="21"/>
              </w:rPr>
              <w:t xml:space="preserve">深信服AF-1000-E420-IPS </w:t>
            </w:r>
          </w:p>
        </w:tc>
        <w:tc>
          <w:tcPr>
            <w:tcW w:w="1276" w:type="dxa"/>
            <w:shd w:val="clear" w:color="000000" w:fill="FFFFFF"/>
            <w:noWrap w:val="0"/>
            <w:vAlign w:val="center"/>
          </w:tcPr>
          <w:p w14:paraId="3D3C2DC7">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509ACA01">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2635B20A">
            <w:pPr>
              <w:jc w:val="center"/>
              <w:rPr>
                <w:rFonts w:hint="eastAsia" w:ascii="仿宋" w:hAnsi="仿宋" w:eastAsia="仿宋" w:cs="仿宋"/>
                <w:szCs w:val="21"/>
              </w:rPr>
            </w:pPr>
            <w:r>
              <w:rPr>
                <w:rFonts w:hint="eastAsia" w:ascii="仿宋" w:hAnsi="仿宋" w:eastAsia="仿宋" w:cs="仿宋"/>
                <w:szCs w:val="21"/>
              </w:rPr>
              <w:t>12</w:t>
            </w:r>
          </w:p>
        </w:tc>
      </w:tr>
      <w:tr w14:paraId="3321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0A5E1E3C">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综合日志审计</w:t>
            </w:r>
          </w:p>
        </w:tc>
        <w:tc>
          <w:tcPr>
            <w:tcW w:w="2939" w:type="dxa"/>
            <w:shd w:val="clear" w:color="000000" w:fill="FFFFFF"/>
            <w:noWrap w:val="0"/>
            <w:vAlign w:val="center"/>
          </w:tcPr>
          <w:p w14:paraId="33158CAE">
            <w:pPr>
              <w:jc w:val="left"/>
              <w:rPr>
                <w:rFonts w:hint="eastAsia" w:ascii="仿宋" w:hAnsi="仿宋" w:eastAsia="仿宋" w:cs="仿宋"/>
                <w:szCs w:val="21"/>
              </w:rPr>
            </w:pPr>
            <w:r>
              <w:rPr>
                <w:rFonts w:hint="eastAsia" w:ascii="仿宋" w:hAnsi="仿宋" w:eastAsia="仿宋" w:cs="仿宋"/>
                <w:color w:val="000000"/>
                <w:kern w:val="0"/>
                <w:szCs w:val="21"/>
              </w:rPr>
              <w:t>安恒 DAS-LOG-460</w:t>
            </w:r>
          </w:p>
        </w:tc>
        <w:tc>
          <w:tcPr>
            <w:tcW w:w="1276" w:type="dxa"/>
            <w:shd w:val="clear" w:color="000000" w:fill="FFFFFF"/>
            <w:noWrap w:val="0"/>
            <w:vAlign w:val="center"/>
          </w:tcPr>
          <w:p w14:paraId="43831AE4">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16517444">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18E1F1F5">
            <w:pPr>
              <w:jc w:val="center"/>
              <w:rPr>
                <w:rFonts w:hint="eastAsia" w:ascii="仿宋" w:hAnsi="仿宋" w:eastAsia="仿宋" w:cs="仿宋"/>
                <w:szCs w:val="21"/>
              </w:rPr>
            </w:pPr>
            <w:r>
              <w:rPr>
                <w:rFonts w:hint="eastAsia" w:ascii="仿宋" w:hAnsi="仿宋" w:eastAsia="仿宋" w:cs="仿宋"/>
                <w:szCs w:val="21"/>
              </w:rPr>
              <w:t>12</w:t>
            </w:r>
          </w:p>
        </w:tc>
      </w:tr>
      <w:tr w14:paraId="2210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184E1F8D">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安全态势感知平台</w:t>
            </w:r>
          </w:p>
        </w:tc>
        <w:tc>
          <w:tcPr>
            <w:tcW w:w="2939" w:type="dxa"/>
            <w:shd w:val="clear" w:color="000000" w:fill="FFFFFF"/>
            <w:noWrap w:val="0"/>
            <w:vAlign w:val="center"/>
          </w:tcPr>
          <w:p w14:paraId="240AABD6">
            <w:pPr>
              <w:jc w:val="left"/>
              <w:rPr>
                <w:rFonts w:hint="eastAsia" w:ascii="仿宋" w:hAnsi="仿宋" w:eastAsia="仿宋" w:cs="仿宋"/>
                <w:szCs w:val="21"/>
              </w:rPr>
            </w:pPr>
            <w:r>
              <w:rPr>
                <w:rFonts w:hint="eastAsia" w:ascii="仿宋" w:hAnsi="仿宋" w:eastAsia="仿宋" w:cs="仿宋"/>
                <w:color w:val="000000"/>
                <w:kern w:val="0"/>
                <w:szCs w:val="21"/>
              </w:rPr>
              <w:t>深信服 SIP-1000-A600</w:t>
            </w:r>
          </w:p>
        </w:tc>
        <w:tc>
          <w:tcPr>
            <w:tcW w:w="1276" w:type="dxa"/>
            <w:shd w:val="clear" w:color="000000" w:fill="FFFFFF"/>
            <w:noWrap w:val="0"/>
            <w:vAlign w:val="center"/>
          </w:tcPr>
          <w:p w14:paraId="018CC972">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58123968">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7A198D7D">
            <w:pPr>
              <w:jc w:val="center"/>
              <w:rPr>
                <w:rFonts w:hint="eastAsia" w:ascii="仿宋" w:hAnsi="仿宋" w:eastAsia="仿宋" w:cs="仿宋"/>
                <w:szCs w:val="21"/>
              </w:rPr>
            </w:pPr>
            <w:r>
              <w:rPr>
                <w:rFonts w:hint="eastAsia" w:ascii="仿宋" w:hAnsi="仿宋" w:eastAsia="仿宋" w:cs="仿宋"/>
                <w:szCs w:val="21"/>
              </w:rPr>
              <w:t>12</w:t>
            </w:r>
          </w:p>
        </w:tc>
      </w:tr>
      <w:tr w14:paraId="7BE2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7CDB5CF1">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威胁采集系统</w:t>
            </w:r>
          </w:p>
        </w:tc>
        <w:tc>
          <w:tcPr>
            <w:tcW w:w="2939" w:type="dxa"/>
            <w:shd w:val="clear" w:color="000000" w:fill="FFFFFF"/>
            <w:noWrap w:val="0"/>
            <w:vAlign w:val="center"/>
          </w:tcPr>
          <w:p w14:paraId="7E0958DE">
            <w:pPr>
              <w:jc w:val="left"/>
              <w:rPr>
                <w:rFonts w:hint="eastAsia" w:ascii="仿宋" w:hAnsi="仿宋" w:eastAsia="仿宋" w:cs="仿宋"/>
                <w:szCs w:val="21"/>
              </w:rPr>
            </w:pPr>
            <w:r>
              <w:rPr>
                <w:rFonts w:hint="eastAsia" w:ascii="仿宋" w:hAnsi="仿宋" w:eastAsia="仿宋" w:cs="仿宋"/>
                <w:color w:val="000000"/>
                <w:kern w:val="0"/>
                <w:szCs w:val="21"/>
              </w:rPr>
              <w:t>深信服 STA-100-B420</w:t>
            </w:r>
          </w:p>
        </w:tc>
        <w:tc>
          <w:tcPr>
            <w:tcW w:w="1276" w:type="dxa"/>
            <w:shd w:val="clear" w:color="000000" w:fill="FFFFFF"/>
            <w:noWrap w:val="0"/>
            <w:vAlign w:val="center"/>
          </w:tcPr>
          <w:p w14:paraId="26797324">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3650CF94">
            <w:pPr>
              <w:jc w:val="center"/>
              <w:rPr>
                <w:rFonts w:hint="eastAsia" w:ascii="仿宋" w:hAnsi="仿宋" w:eastAsia="仿宋" w:cs="仿宋"/>
                <w:szCs w:val="21"/>
              </w:rPr>
            </w:pPr>
            <w:r>
              <w:rPr>
                <w:rFonts w:hint="eastAsia" w:ascii="仿宋" w:hAnsi="仿宋" w:eastAsia="仿宋" w:cs="仿宋"/>
                <w:szCs w:val="21"/>
              </w:rPr>
              <w:t>2</w:t>
            </w:r>
          </w:p>
        </w:tc>
        <w:tc>
          <w:tcPr>
            <w:tcW w:w="1497" w:type="dxa"/>
            <w:shd w:val="clear" w:color="000000" w:fill="FFFFFF"/>
            <w:noWrap w:val="0"/>
            <w:vAlign w:val="center"/>
          </w:tcPr>
          <w:p w14:paraId="51B91FB8">
            <w:pPr>
              <w:jc w:val="center"/>
              <w:rPr>
                <w:rFonts w:hint="eastAsia" w:ascii="仿宋" w:hAnsi="仿宋" w:eastAsia="仿宋" w:cs="仿宋"/>
                <w:szCs w:val="21"/>
              </w:rPr>
            </w:pPr>
            <w:r>
              <w:rPr>
                <w:rFonts w:hint="eastAsia" w:ascii="仿宋" w:hAnsi="仿宋" w:eastAsia="仿宋" w:cs="仿宋"/>
                <w:szCs w:val="21"/>
              </w:rPr>
              <w:t>12</w:t>
            </w:r>
          </w:p>
        </w:tc>
      </w:tr>
      <w:tr w14:paraId="6C33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7AAED7DA">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基线核查系统</w:t>
            </w:r>
          </w:p>
        </w:tc>
        <w:tc>
          <w:tcPr>
            <w:tcW w:w="2939" w:type="dxa"/>
            <w:shd w:val="clear" w:color="000000" w:fill="FFFFFF"/>
            <w:noWrap w:val="0"/>
            <w:vAlign w:val="center"/>
          </w:tcPr>
          <w:p w14:paraId="16F2C9AC">
            <w:pPr>
              <w:jc w:val="left"/>
              <w:rPr>
                <w:rFonts w:hint="eastAsia" w:ascii="仿宋" w:hAnsi="仿宋" w:eastAsia="仿宋" w:cs="仿宋"/>
                <w:szCs w:val="21"/>
              </w:rPr>
            </w:pPr>
            <w:r>
              <w:rPr>
                <w:rFonts w:hint="eastAsia" w:ascii="仿宋" w:hAnsi="仿宋" w:eastAsia="仿宋" w:cs="仿宋"/>
                <w:color w:val="000000"/>
                <w:kern w:val="0"/>
                <w:szCs w:val="21"/>
              </w:rPr>
              <w:t>深信服 VT-1000-A620</w:t>
            </w:r>
          </w:p>
        </w:tc>
        <w:tc>
          <w:tcPr>
            <w:tcW w:w="1276" w:type="dxa"/>
            <w:shd w:val="clear" w:color="000000" w:fill="FFFFFF"/>
            <w:noWrap w:val="0"/>
            <w:vAlign w:val="center"/>
          </w:tcPr>
          <w:p w14:paraId="25E4E626">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67D5C80C">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28A60EB4">
            <w:pPr>
              <w:jc w:val="center"/>
              <w:rPr>
                <w:rFonts w:hint="eastAsia" w:ascii="仿宋" w:hAnsi="仿宋" w:eastAsia="仿宋" w:cs="仿宋"/>
                <w:szCs w:val="21"/>
              </w:rPr>
            </w:pPr>
            <w:r>
              <w:rPr>
                <w:rFonts w:hint="eastAsia" w:ascii="仿宋" w:hAnsi="仿宋" w:eastAsia="仿宋" w:cs="仿宋"/>
                <w:szCs w:val="21"/>
              </w:rPr>
              <w:t>12</w:t>
            </w:r>
          </w:p>
        </w:tc>
      </w:tr>
      <w:tr w14:paraId="2993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6042B91D">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数据库防水坝</w:t>
            </w:r>
          </w:p>
        </w:tc>
        <w:tc>
          <w:tcPr>
            <w:tcW w:w="2939" w:type="dxa"/>
            <w:shd w:val="clear" w:color="000000" w:fill="FFFFFF"/>
            <w:noWrap w:val="0"/>
            <w:vAlign w:val="center"/>
          </w:tcPr>
          <w:p w14:paraId="2B69775A">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美创 DW100</w:t>
            </w:r>
          </w:p>
        </w:tc>
        <w:tc>
          <w:tcPr>
            <w:tcW w:w="1276" w:type="dxa"/>
            <w:shd w:val="clear" w:color="000000" w:fill="FFFFFF"/>
            <w:noWrap w:val="0"/>
            <w:vAlign w:val="center"/>
          </w:tcPr>
          <w:p w14:paraId="3737A540">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0DB092F4">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09EB1261">
            <w:pPr>
              <w:jc w:val="center"/>
              <w:rPr>
                <w:rFonts w:hint="eastAsia" w:ascii="仿宋" w:hAnsi="仿宋" w:eastAsia="仿宋" w:cs="仿宋"/>
                <w:szCs w:val="21"/>
              </w:rPr>
            </w:pPr>
            <w:r>
              <w:rPr>
                <w:rFonts w:hint="eastAsia" w:ascii="仿宋" w:hAnsi="仿宋" w:eastAsia="仿宋" w:cs="仿宋"/>
                <w:szCs w:val="21"/>
              </w:rPr>
              <w:t>12</w:t>
            </w:r>
          </w:p>
        </w:tc>
      </w:tr>
      <w:tr w14:paraId="1ECD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0D3B98D0">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运维管理软件</w:t>
            </w:r>
          </w:p>
        </w:tc>
        <w:tc>
          <w:tcPr>
            <w:tcW w:w="2939" w:type="dxa"/>
            <w:shd w:val="clear" w:color="000000" w:fill="FFFFFF"/>
            <w:noWrap w:val="0"/>
            <w:vAlign w:val="center"/>
          </w:tcPr>
          <w:p w14:paraId="7FE8474E">
            <w:pPr>
              <w:jc w:val="left"/>
              <w:rPr>
                <w:rFonts w:hint="eastAsia" w:ascii="仿宋" w:hAnsi="仿宋" w:eastAsia="仿宋" w:cs="仿宋"/>
                <w:szCs w:val="21"/>
              </w:rPr>
            </w:pPr>
            <w:r>
              <w:rPr>
                <w:rFonts w:hint="eastAsia" w:ascii="仿宋" w:hAnsi="仿宋" w:eastAsia="仿宋" w:cs="仿宋"/>
                <w:color w:val="000000"/>
                <w:kern w:val="0"/>
                <w:szCs w:val="21"/>
              </w:rPr>
              <w:t>网强  Emaster 6.0</w:t>
            </w:r>
          </w:p>
        </w:tc>
        <w:tc>
          <w:tcPr>
            <w:tcW w:w="1276" w:type="dxa"/>
            <w:shd w:val="clear" w:color="000000" w:fill="FFFFFF"/>
            <w:noWrap w:val="0"/>
            <w:vAlign w:val="center"/>
          </w:tcPr>
          <w:p w14:paraId="49EE3840">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0DE44D7E">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3F3890AA">
            <w:pPr>
              <w:jc w:val="center"/>
              <w:rPr>
                <w:rFonts w:hint="eastAsia" w:ascii="仿宋" w:hAnsi="仿宋" w:eastAsia="仿宋" w:cs="仿宋"/>
                <w:szCs w:val="21"/>
              </w:rPr>
            </w:pPr>
            <w:r>
              <w:rPr>
                <w:rFonts w:hint="eastAsia" w:ascii="仿宋" w:hAnsi="仿宋" w:eastAsia="仿宋" w:cs="仿宋"/>
                <w:szCs w:val="21"/>
              </w:rPr>
              <w:t>12</w:t>
            </w:r>
          </w:p>
        </w:tc>
      </w:tr>
      <w:tr w14:paraId="1974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7873354F">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杀毒软件</w:t>
            </w:r>
          </w:p>
        </w:tc>
        <w:tc>
          <w:tcPr>
            <w:tcW w:w="2939" w:type="dxa"/>
            <w:shd w:val="clear" w:color="000000" w:fill="FFFFFF"/>
            <w:noWrap w:val="0"/>
            <w:vAlign w:val="center"/>
          </w:tcPr>
          <w:p w14:paraId="1C33914E">
            <w:pPr>
              <w:jc w:val="left"/>
              <w:rPr>
                <w:rFonts w:hint="eastAsia" w:ascii="仿宋" w:hAnsi="仿宋" w:eastAsia="仿宋" w:cs="仿宋"/>
                <w:szCs w:val="21"/>
              </w:rPr>
            </w:pPr>
            <w:r>
              <w:rPr>
                <w:rFonts w:hint="eastAsia" w:ascii="仿宋" w:hAnsi="仿宋" w:eastAsia="仿宋" w:cs="仿宋"/>
                <w:color w:val="000000"/>
                <w:kern w:val="0"/>
                <w:szCs w:val="21"/>
              </w:rPr>
              <w:t>深信服 端点安全软件V3.0</w:t>
            </w:r>
          </w:p>
        </w:tc>
        <w:tc>
          <w:tcPr>
            <w:tcW w:w="1276" w:type="dxa"/>
            <w:shd w:val="clear" w:color="000000" w:fill="FFFFFF"/>
            <w:noWrap w:val="0"/>
            <w:vAlign w:val="center"/>
          </w:tcPr>
          <w:p w14:paraId="62EC5BDB">
            <w:pPr>
              <w:jc w:val="center"/>
              <w:rPr>
                <w:rFonts w:hint="eastAsia" w:ascii="仿宋" w:hAnsi="仿宋" w:eastAsia="仿宋" w:cs="仿宋"/>
                <w:szCs w:val="21"/>
              </w:rPr>
            </w:pPr>
            <w:r>
              <w:rPr>
                <w:rFonts w:hint="eastAsia" w:ascii="仿宋" w:hAnsi="仿宋" w:eastAsia="仿宋" w:cs="仿宋"/>
                <w:szCs w:val="21"/>
              </w:rPr>
              <w:t xml:space="preserve">7*24 </w:t>
            </w:r>
          </w:p>
        </w:tc>
        <w:tc>
          <w:tcPr>
            <w:tcW w:w="708" w:type="dxa"/>
            <w:shd w:val="clear" w:color="000000" w:fill="FFFFFF"/>
            <w:noWrap w:val="0"/>
            <w:vAlign w:val="center"/>
          </w:tcPr>
          <w:p w14:paraId="5EDF19C8">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1C7E0B8F">
            <w:pPr>
              <w:jc w:val="center"/>
              <w:rPr>
                <w:rFonts w:hint="eastAsia" w:ascii="仿宋" w:hAnsi="仿宋" w:eastAsia="仿宋" w:cs="仿宋"/>
                <w:szCs w:val="21"/>
              </w:rPr>
            </w:pPr>
            <w:r>
              <w:rPr>
                <w:rFonts w:hint="eastAsia" w:ascii="仿宋" w:hAnsi="仿宋" w:eastAsia="仿宋" w:cs="仿宋"/>
                <w:szCs w:val="21"/>
              </w:rPr>
              <w:t>12</w:t>
            </w:r>
          </w:p>
        </w:tc>
      </w:tr>
      <w:tr w14:paraId="63AF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45ACFEFC">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CDP数据连续保护</w:t>
            </w:r>
          </w:p>
        </w:tc>
        <w:tc>
          <w:tcPr>
            <w:tcW w:w="2939" w:type="dxa"/>
            <w:shd w:val="clear" w:color="000000" w:fill="FFFFFF"/>
            <w:noWrap w:val="0"/>
            <w:vAlign w:val="center"/>
          </w:tcPr>
          <w:p w14:paraId="4BDA76CA">
            <w:pPr>
              <w:jc w:val="left"/>
              <w:rPr>
                <w:rFonts w:hint="eastAsia" w:ascii="仿宋" w:hAnsi="仿宋" w:eastAsia="仿宋" w:cs="仿宋"/>
                <w:szCs w:val="21"/>
              </w:rPr>
            </w:pPr>
            <w:r>
              <w:rPr>
                <w:rFonts w:hint="eastAsia" w:ascii="仿宋" w:hAnsi="仿宋" w:eastAsia="仿宋" w:cs="仿宋"/>
                <w:color w:val="000000"/>
                <w:kern w:val="0"/>
                <w:szCs w:val="21"/>
              </w:rPr>
              <w:t>柏科数据BCM-100G2</w:t>
            </w:r>
          </w:p>
        </w:tc>
        <w:tc>
          <w:tcPr>
            <w:tcW w:w="1276" w:type="dxa"/>
            <w:shd w:val="clear" w:color="000000" w:fill="FFFFFF"/>
            <w:noWrap w:val="0"/>
            <w:vAlign w:val="center"/>
          </w:tcPr>
          <w:p w14:paraId="1D424C8D">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36FF5653">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42B322F1">
            <w:pPr>
              <w:jc w:val="center"/>
              <w:rPr>
                <w:rFonts w:hint="eastAsia" w:ascii="仿宋" w:hAnsi="仿宋" w:eastAsia="仿宋" w:cs="仿宋"/>
                <w:szCs w:val="21"/>
              </w:rPr>
            </w:pPr>
            <w:r>
              <w:rPr>
                <w:rFonts w:hint="eastAsia" w:ascii="仿宋" w:hAnsi="仿宋" w:eastAsia="仿宋" w:cs="仿宋"/>
                <w:szCs w:val="21"/>
              </w:rPr>
              <w:t>12</w:t>
            </w:r>
          </w:p>
        </w:tc>
      </w:tr>
      <w:tr w14:paraId="6101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365427B9">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路由器</w:t>
            </w:r>
          </w:p>
        </w:tc>
        <w:tc>
          <w:tcPr>
            <w:tcW w:w="2939" w:type="dxa"/>
            <w:shd w:val="clear" w:color="000000" w:fill="FFFFFF"/>
            <w:noWrap w:val="0"/>
            <w:vAlign w:val="center"/>
          </w:tcPr>
          <w:p w14:paraId="7255DEF2">
            <w:pPr>
              <w:jc w:val="left"/>
              <w:rPr>
                <w:rFonts w:hint="eastAsia" w:ascii="仿宋" w:hAnsi="仿宋" w:eastAsia="仿宋" w:cs="仿宋"/>
                <w:color w:val="000000"/>
                <w:kern w:val="0"/>
                <w:szCs w:val="21"/>
              </w:rPr>
            </w:pPr>
            <w:r>
              <w:rPr>
                <w:rFonts w:hint="eastAsia" w:ascii="仿宋" w:hAnsi="仿宋" w:eastAsia="仿宋" w:cs="仿宋"/>
                <w:color w:val="000000"/>
                <w:kern w:val="0"/>
                <w:szCs w:val="21"/>
              </w:rPr>
              <w:t>华为 AR2240C</w:t>
            </w:r>
          </w:p>
        </w:tc>
        <w:tc>
          <w:tcPr>
            <w:tcW w:w="1276" w:type="dxa"/>
            <w:shd w:val="clear" w:color="000000" w:fill="FFFFFF"/>
            <w:noWrap w:val="0"/>
            <w:vAlign w:val="center"/>
          </w:tcPr>
          <w:p w14:paraId="6647480A">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4E2959B9">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49AAC54E">
            <w:pPr>
              <w:jc w:val="center"/>
              <w:rPr>
                <w:rFonts w:hint="eastAsia" w:ascii="仿宋" w:hAnsi="仿宋" w:eastAsia="仿宋" w:cs="仿宋"/>
                <w:szCs w:val="21"/>
              </w:rPr>
            </w:pPr>
            <w:r>
              <w:rPr>
                <w:rFonts w:hint="eastAsia" w:ascii="仿宋" w:hAnsi="仿宋" w:eastAsia="仿宋" w:cs="仿宋"/>
                <w:szCs w:val="21"/>
              </w:rPr>
              <w:t>12</w:t>
            </w:r>
          </w:p>
        </w:tc>
      </w:tr>
      <w:tr w14:paraId="2249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top"/>
          </w:tcPr>
          <w:p w14:paraId="112DB9B4">
            <w:pPr>
              <w:jc w:val="left"/>
              <w:rPr>
                <w:rFonts w:hint="eastAsia" w:ascii="仿宋" w:hAnsi="仿宋" w:eastAsia="仿宋" w:cs="仿宋"/>
                <w:szCs w:val="21"/>
              </w:rPr>
            </w:pPr>
            <w:r>
              <w:rPr>
                <w:rFonts w:hint="eastAsia" w:ascii="仿宋" w:hAnsi="仿宋" w:eastAsia="仿宋" w:cs="仿宋"/>
                <w:szCs w:val="21"/>
              </w:rPr>
              <w:t>精密空调</w:t>
            </w:r>
          </w:p>
        </w:tc>
        <w:tc>
          <w:tcPr>
            <w:tcW w:w="2939" w:type="dxa"/>
            <w:shd w:val="clear" w:color="000000" w:fill="FFFFFF"/>
            <w:noWrap w:val="0"/>
            <w:vAlign w:val="top"/>
          </w:tcPr>
          <w:p w14:paraId="66B1072C">
            <w:pPr>
              <w:jc w:val="left"/>
              <w:rPr>
                <w:rFonts w:hint="eastAsia" w:ascii="仿宋" w:hAnsi="仿宋" w:eastAsia="仿宋" w:cs="仿宋"/>
                <w:szCs w:val="21"/>
              </w:rPr>
            </w:pPr>
            <w:r>
              <w:rPr>
                <w:rFonts w:hint="eastAsia" w:ascii="仿宋" w:hAnsi="仿宋" w:eastAsia="仿宋" w:cs="仿宋"/>
                <w:szCs w:val="21"/>
              </w:rPr>
              <w:t>20kw</w:t>
            </w:r>
          </w:p>
        </w:tc>
        <w:tc>
          <w:tcPr>
            <w:tcW w:w="1276" w:type="dxa"/>
            <w:shd w:val="clear" w:color="000000" w:fill="FFFFFF"/>
            <w:noWrap w:val="0"/>
            <w:vAlign w:val="center"/>
          </w:tcPr>
          <w:p w14:paraId="1F6A0148">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378B6DA1">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1389535C">
            <w:pPr>
              <w:jc w:val="center"/>
              <w:rPr>
                <w:rFonts w:hint="eastAsia" w:ascii="仿宋" w:hAnsi="仿宋" w:eastAsia="仿宋" w:cs="仿宋"/>
                <w:szCs w:val="21"/>
              </w:rPr>
            </w:pPr>
            <w:r>
              <w:rPr>
                <w:rFonts w:hint="eastAsia" w:ascii="仿宋" w:hAnsi="仿宋" w:eastAsia="仿宋" w:cs="仿宋"/>
                <w:szCs w:val="21"/>
              </w:rPr>
              <w:t>12</w:t>
            </w:r>
          </w:p>
        </w:tc>
      </w:tr>
      <w:tr w14:paraId="6F86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top"/>
          </w:tcPr>
          <w:p w14:paraId="2C0E1E1F">
            <w:pPr>
              <w:jc w:val="left"/>
              <w:rPr>
                <w:rFonts w:hint="eastAsia" w:ascii="仿宋" w:hAnsi="仿宋" w:eastAsia="仿宋" w:cs="仿宋"/>
                <w:szCs w:val="21"/>
              </w:rPr>
            </w:pPr>
            <w:r>
              <w:rPr>
                <w:rFonts w:hint="eastAsia" w:ascii="仿宋" w:hAnsi="仿宋" w:eastAsia="仿宋" w:cs="仿宋"/>
                <w:szCs w:val="21"/>
              </w:rPr>
              <w:t>UPS系统</w:t>
            </w:r>
          </w:p>
        </w:tc>
        <w:tc>
          <w:tcPr>
            <w:tcW w:w="2939" w:type="dxa"/>
            <w:shd w:val="clear" w:color="000000" w:fill="FFFFFF"/>
            <w:noWrap w:val="0"/>
            <w:vAlign w:val="top"/>
          </w:tcPr>
          <w:p w14:paraId="3060030A">
            <w:pPr>
              <w:jc w:val="left"/>
              <w:rPr>
                <w:rFonts w:hint="eastAsia" w:ascii="仿宋" w:hAnsi="仿宋" w:eastAsia="仿宋" w:cs="仿宋"/>
                <w:szCs w:val="21"/>
              </w:rPr>
            </w:pPr>
          </w:p>
        </w:tc>
        <w:tc>
          <w:tcPr>
            <w:tcW w:w="1276" w:type="dxa"/>
            <w:shd w:val="clear" w:color="000000" w:fill="FFFFFF"/>
            <w:noWrap w:val="0"/>
            <w:vAlign w:val="center"/>
          </w:tcPr>
          <w:p w14:paraId="2B1735E2">
            <w:pPr>
              <w:jc w:val="center"/>
              <w:rPr>
                <w:rFonts w:hint="eastAsia" w:ascii="仿宋" w:hAnsi="仿宋" w:eastAsia="仿宋" w:cs="仿宋"/>
                <w:szCs w:val="21"/>
              </w:rPr>
            </w:pPr>
            <w:r>
              <w:rPr>
                <w:rFonts w:hint="eastAsia" w:ascii="仿宋" w:hAnsi="仿宋" w:eastAsia="仿宋" w:cs="仿宋"/>
                <w:szCs w:val="21"/>
              </w:rPr>
              <w:t>7*24</w:t>
            </w:r>
          </w:p>
        </w:tc>
        <w:tc>
          <w:tcPr>
            <w:tcW w:w="708" w:type="dxa"/>
            <w:shd w:val="clear" w:color="000000" w:fill="FFFFFF"/>
            <w:noWrap w:val="0"/>
            <w:vAlign w:val="center"/>
          </w:tcPr>
          <w:p w14:paraId="38430F06">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center"/>
          </w:tcPr>
          <w:p w14:paraId="736088B8">
            <w:pPr>
              <w:jc w:val="center"/>
              <w:rPr>
                <w:rFonts w:hint="eastAsia" w:ascii="仿宋" w:hAnsi="仿宋" w:eastAsia="仿宋" w:cs="仿宋"/>
                <w:szCs w:val="21"/>
              </w:rPr>
            </w:pPr>
            <w:r>
              <w:rPr>
                <w:rFonts w:hint="eastAsia" w:ascii="仿宋" w:hAnsi="仿宋" w:eastAsia="仿宋" w:cs="仿宋"/>
                <w:szCs w:val="21"/>
              </w:rPr>
              <w:t>12</w:t>
            </w:r>
          </w:p>
        </w:tc>
      </w:tr>
      <w:tr w14:paraId="2898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6CA68B41">
            <w:pPr>
              <w:jc w:val="left"/>
              <w:rPr>
                <w:rFonts w:hint="eastAsia" w:ascii="仿宋" w:hAnsi="仿宋" w:eastAsia="仿宋" w:cs="仿宋"/>
                <w:szCs w:val="21"/>
              </w:rPr>
            </w:pPr>
            <w:r>
              <w:rPr>
                <w:rFonts w:hint="eastAsia" w:ascii="仿宋" w:hAnsi="仿宋" w:eastAsia="仿宋" w:cs="仿宋"/>
                <w:color w:val="000000"/>
                <w:kern w:val="0"/>
              </w:rPr>
              <w:t>渗透测试</w:t>
            </w:r>
          </w:p>
        </w:tc>
        <w:tc>
          <w:tcPr>
            <w:tcW w:w="2939" w:type="dxa"/>
            <w:shd w:val="clear" w:color="000000" w:fill="FFFFFF"/>
            <w:noWrap w:val="0"/>
            <w:vAlign w:val="center"/>
          </w:tcPr>
          <w:p w14:paraId="2626DE28">
            <w:pPr>
              <w:jc w:val="left"/>
              <w:rPr>
                <w:rFonts w:hint="eastAsia" w:ascii="仿宋" w:hAnsi="仿宋" w:eastAsia="仿宋" w:cs="仿宋"/>
                <w:szCs w:val="21"/>
              </w:rPr>
            </w:pPr>
            <w:r>
              <w:rPr>
                <w:rFonts w:hint="eastAsia" w:ascii="仿宋" w:hAnsi="仿宋" w:eastAsia="仿宋" w:cs="仿宋"/>
                <w:color w:val="000000"/>
                <w:kern w:val="0"/>
              </w:rPr>
              <w:t>模拟黑客对业务系统进行渗透攻击，发现存在的安全风险</w:t>
            </w:r>
          </w:p>
        </w:tc>
        <w:tc>
          <w:tcPr>
            <w:tcW w:w="1276" w:type="dxa"/>
            <w:shd w:val="clear" w:color="000000" w:fill="FFFFFF"/>
            <w:noWrap w:val="0"/>
            <w:vAlign w:val="center"/>
          </w:tcPr>
          <w:p w14:paraId="2883C8DF">
            <w:pPr>
              <w:jc w:val="center"/>
              <w:rPr>
                <w:rFonts w:hint="eastAsia" w:ascii="仿宋" w:hAnsi="仿宋" w:eastAsia="仿宋" w:cs="仿宋"/>
                <w:szCs w:val="21"/>
              </w:rPr>
            </w:pPr>
            <w:r>
              <w:rPr>
                <w:rFonts w:hint="eastAsia" w:ascii="仿宋" w:hAnsi="仿宋" w:eastAsia="仿宋" w:cs="仿宋"/>
                <w:color w:val="000000"/>
                <w:kern w:val="0"/>
                <w:szCs w:val="21"/>
              </w:rPr>
              <w:t>1年1次</w:t>
            </w:r>
          </w:p>
        </w:tc>
        <w:tc>
          <w:tcPr>
            <w:tcW w:w="708" w:type="dxa"/>
            <w:shd w:val="clear" w:color="000000" w:fill="FFFFFF"/>
            <w:noWrap w:val="0"/>
            <w:vAlign w:val="center"/>
          </w:tcPr>
          <w:p w14:paraId="09FD0163">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top"/>
          </w:tcPr>
          <w:p w14:paraId="7FCDB02A">
            <w:pPr>
              <w:jc w:val="center"/>
              <w:rPr>
                <w:rFonts w:hint="eastAsia" w:ascii="仿宋" w:hAnsi="仿宋" w:eastAsia="仿宋" w:cs="仿宋"/>
                <w:szCs w:val="21"/>
              </w:rPr>
            </w:pPr>
            <w:r>
              <w:rPr>
                <w:rFonts w:hint="eastAsia" w:ascii="仿宋" w:hAnsi="仿宋" w:eastAsia="仿宋" w:cs="仿宋"/>
                <w:szCs w:val="21"/>
              </w:rPr>
              <w:t>12</w:t>
            </w:r>
          </w:p>
        </w:tc>
      </w:tr>
      <w:tr w14:paraId="3B3B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298884E9">
            <w:pPr>
              <w:jc w:val="left"/>
              <w:rPr>
                <w:rFonts w:hint="eastAsia" w:ascii="仿宋" w:hAnsi="仿宋" w:eastAsia="仿宋" w:cs="仿宋"/>
                <w:szCs w:val="21"/>
              </w:rPr>
            </w:pPr>
            <w:r>
              <w:rPr>
                <w:rFonts w:hint="eastAsia" w:ascii="仿宋" w:hAnsi="仿宋" w:eastAsia="仿宋" w:cs="仿宋"/>
                <w:color w:val="000000"/>
                <w:kern w:val="0"/>
              </w:rPr>
              <w:t>安全漏洞扫描服务</w:t>
            </w:r>
          </w:p>
        </w:tc>
        <w:tc>
          <w:tcPr>
            <w:tcW w:w="2939" w:type="dxa"/>
            <w:shd w:val="clear" w:color="000000" w:fill="FFFFFF"/>
            <w:noWrap w:val="0"/>
            <w:vAlign w:val="center"/>
          </w:tcPr>
          <w:p w14:paraId="6B9B6828">
            <w:pPr>
              <w:jc w:val="left"/>
              <w:rPr>
                <w:rFonts w:hint="eastAsia" w:ascii="仿宋" w:hAnsi="仿宋" w:eastAsia="仿宋" w:cs="仿宋"/>
                <w:szCs w:val="21"/>
              </w:rPr>
            </w:pPr>
            <w:r>
              <w:rPr>
                <w:rFonts w:hint="eastAsia" w:ascii="仿宋" w:hAnsi="仿宋" w:eastAsia="仿宋" w:cs="仿宋"/>
                <w:color w:val="000000"/>
                <w:kern w:val="0"/>
              </w:rPr>
              <w:t>安全漏洞扫描服务，包括主机、web应用系统、数据库等</w:t>
            </w:r>
          </w:p>
        </w:tc>
        <w:tc>
          <w:tcPr>
            <w:tcW w:w="1276" w:type="dxa"/>
            <w:shd w:val="clear" w:color="000000" w:fill="FFFFFF"/>
            <w:noWrap w:val="0"/>
            <w:vAlign w:val="center"/>
          </w:tcPr>
          <w:p w14:paraId="72DB39DD">
            <w:pPr>
              <w:jc w:val="center"/>
              <w:rPr>
                <w:rFonts w:hint="eastAsia" w:ascii="仿宋" w:hAnsi="仿宋" w:eastAsia="仿宋" w:cs="仿宋"/>
                <w:szCs w:val="21"/>
              </w:rPr>
            </w:pPr>
            <w:r>
              <w:rPr>
                <w:rFonts w:hint="eastAsia" w:ascii="仿宋" w:hAnsi="仿宋" w:eastAsia="仿宋" w:cs="仿宋"/>
                <w:color w:val="000000"/>
                <w:kern w:val="0"/>
                <w:szCs w:val="21"/>
              </w:rPr>
              <w:t>1年4次</w:t>
            </w:r>
          </w:p>
        </w:tc>
        <w:tc>
          <w:tcPr>
            <w:tcW w:w="708" w:type="dxa"/>
            <w:shd w:val="clear" w:color="000000" w:fill="FFFFFF"/>
            <w:noWrap w:val="0"/>
            <w:vAlign w:val="center"/>
          </w:tcPr>
          <w:p w14:paraId="38AFBCCB">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top"/>
          </w:tcPr>
          <w:p w14:paraId="5421D408">
            <w:pPr>
              <w:jc w:val="center"/>
              <w:rPr>
                <w:rFonts w:hint="eastAsia" w:ascii="仿宋" w:hAnsi="仿宋" w:eastAsia="仿宋" w:cs="仿宋"/>
                <w:szCs w:val="21"/>
              </w:rPr>
            </w:pPr>
            <w:r>
              <w:rPr>
                <w:rFonts w:hint="eastAsia" w:ascii="仿宋" w:hAnsi="仿宋" w:eastAsia="仿宋" w:cs="仿宋"/>
                <w:szCs w:val="21"/>
              </w:rPr>
              <w:t>12</w:t>
            </w:r>
          </w:p>
        </w:tc>
      </w:tr>
      <w:tr w14:paraId="6452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72215768">
            <w:pPr>
              <w:jc w:val="left"/>
              <w:rPr>
                <w:rFonts w:hint="eastAsia" w:ascii="仿宋" w:hAnsi="仿宋" w:eastAsia="仿宋" w:cs="仿宋"/>
                <w:szCs w:val="21"/>
              </w:rPr>
            </w:pPr>
            <w:r>
              <w:rPr>
                <w:rFonts w:hint="eastAsia" w:ascii="仿宋" w:hAnsi="仿宋" w:eastAsia="仿宋" w:cs="仿宋"/>
                <w:color w:val="000000"/>
                <w:kern w:val="0"/>
              </w:rPr>
              <w:t>应急响应服务</w:t>
            </w:r>
          </w:p>
        </w:tc>
        <w:tc>
          <w:tcPr>
            <w:tcW w:w="2939" w:type="dxa"/>
            <w:shd w:val="clear" w:color="000000" w:fill="FFFFFF"/>
            <w:noWrap w:val="0"/>
            <w:vAlign w:val="center"/>
          </w:tcPr>
          <w:p w14:paraId="5CD0208B">
            <w:pPr>
              <w:ind w:firstLine="420" w:firstLineChars="200"/>
              <w:jc w:val="left"/>
              <w:rPr>
                <w:rFonts w:hint="eastAsia" w:ascii="仿宋" w:hAnsi="仿宋" w:eastAsia="仿宋" w:cs="仿宋"/>
              </w:rPr>
            </w:pPr>
            <w:r>
              <w:rPr>
                <w:rFonts w:hint="eastAsia" w:ascii="仿宋" w:hAnsi="仿宋" w:eastAsia="仿宋" w:cs="仿宋"/>
              </w:rPr>
              <w:t>针对客户方信息系统出现信息安全风险、恶意攻击、入侵等威胁时，能在规定时间内快速到达现场及时提供信息安全应急响应服务，协助客户查找风险来源及事件追溯，确定威胁过程，提供系统恢复方案，并协助进行修复加固。</w:t>
            </w:r>
          </w:p>
          <w:p w14:paraId="447DABB8">
            <w:pPr>
              <w:tabs>
                <w:tab w:val="left" w:pos="8280"/>
              </w:tabs>
              <w:autoSpaceDE w:val="0"/>
              <w:autoSpaceDN w:val="0"/>
              <w:adjustRightInd w:val="0"/>
              <w:ind w:right="23" w:firstLine="420" w:firstLineChars="200"/>
              <w:jc w:val="left"/>
              <w:rPr>
                <w:rFonts w:hint="eastAsia" w:ascii="仿宋" w:hAnsi="仿宋" w:eastAsia="仿宋" w:cs="仿宋"/>
              </w:rPr>
            </w:pPr>
            <w:r>
              <w:rPr>
                <w:rFonts w:hint="eastAsia" w:ascii="仿宋" w:hAnsi="仿宋" w:eastAsia="仿宋" w:cs="仿宋"/>
                <w:lang w:eastAsia="zh-CN"/>
              </w:rPr>
              <w:t>磋商供应商</w:t>
            </w:r>
            <w:r>
              <w:rPr>
                <w:rFonts w:hint="eastAsia" w:ascii="仿宋" w:hAnsi="仿宋" w:eastAsia="仿宋" w:cs="仿宋"/>
              </w:rPr>
              <w:t>针对用户方在重大节假日、重大会议期间、护网行动时期，提供技术人员现场驻场保障服务，保障用户方信息系统安全。</w:t>
            </w:r>
          </w:p>
        </w:tc>
        <w:tc>
          <w:tcPr>
            <w:tcW w:w="1276" w:type="dxa"/>
            <w:shd w:val="clear" w:color="000000" w:fill="FFFFFF"/>
            <w:noWrap w:val="0"/>
            <w:vAlign w:val="center"/>
          </w:tcPr>
          <w:p w14:paraId="0785C12F">
            <w:pPr>
              <w:jc w:val="center"/>
              <w:rPr>
                <w:rFonts w:hint="eastAsia" w:ascii="仿宋" w:hAnsi="仿宋" w:eastAsia="仿宋" w:cs="仿宋"/>
                <w:szCs w:val="21"/>
              </w:rPr>
            </w:pPr>
            <w:r>
              <w:rPr>
                <w:rFonts w:hint="eastAsia" w:ascii="仿宋" w:hAnsi="仿宋" w:eastAsia="仿宋" w:cs="仿宋"/>
                <w:color w:val="000000"/>
                <w:kern w:val="0"/>
                <w:szCs w:val="21"/>
              </w:rPr>
              <w:t>按需</w:t>
            </w:r>
          </w:p>
        </w:tc>
        <w:tc>
          <w:tcPr>
            <w:tcW w:w="708" w:type="dxa"/>
            <w:shd w:val="clear" w:color="000000" w:fill="FFFFFF"/>
            <w:noWrap w:val="0"/>
            <w:vAlign w:val="center"/>
          </w:tcPr>
          <w:p w14:paraId="1783FD72">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top"/>
          </w:tcPr>
          <w:p w14:paraId="1FEAC5AB">
            <w:pPr>
              <w:jc w:val="center"/>
              <w:rPr>
                <w:rFonts w:hint="eastAsia" w:ascii="仿宋" w:hAnsi="仿宋" w:eastAsia="仿宋" w:cs="仿宋"/>
                <w:szCs w:val="21"/>
              </w:rPr>
            </w:pPr>
            <w:r>
              <w:rPr>
                <w:rFonts w:hint="eastAsia" w:ascii="仿宋" w:hAnsi="仿宋" w:eastAsia="仿宋" w:cs="仿宋"/>
                <w:szCs w:val="21"/>
              </w:rPr>
              <w:t>12</w:t>
            </w:r>
          </w:p>
        </w:tc>
      </w:tr>
      <w:tr w14:paraId="079C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434AF439">
            <w:pPr>
              <w:jc w:val="left"/>
              <w:rPr>
                <w:rFonts w:hint="eastAsia" w:ascii="仿宋" w:hAnsi="仿宋" w:eastAsia="仿宋" w:cs="仿宋"/>
                <w:szCs w:val="21"/>
              </w:rPr>
            </w:pPr>
            <w:r>
              <w:rPr>
                <w:rFonts w:hint="eastAsia" w:ascii="仿宋" w:hAnsi="仿宋" w:eastAsia="仿宋" w:cs="仿宋"/>
                <w:color w:val="000000"/>
                <w:kern w:val="0"/>
              </w:rPr>
              <w:t>升级服务</w:t>
            </w:r>
          </w:p>
        </w:tc>
        <w:tc>
          <w:tcPr>
            <w:tcW w:w="2939" w:type="dxa"/>
            <w:shd w:val="clear" w:color="000000" w:fill="FFFFFF"/>
            <w:noWrap w:val="0"/>
            <w:vAlign w:val="center"/>
          </w:tcPr>
          <w:p w14:paraId="49CD4322">
            <w:pPr>
              <w:jc w:val="left"/>
              <w:rPr>
                <w:rFonts w:hint="eastAsia" w:ascii="仿宋" w:hAnsi="仿宋" w:eastAsia="仿宋" w:cs="仿宋"/>
                <w:color w:val="000000"/>
                <w:kern w:val="0"/>
              </w:rPr>
            </w:pPr>
            <w:r>
              <w:rPr>
                <w:rFonts w:hint="eastAsia" w:ascii="仿宋" w:hAnsi="仿宋" w:eastAsia="仿宋" w:cs="仿宋"/>
              </w:rPr>
              <w:t>针对现有安全设备包括（深信服AF-1820、深信服AF-1850-IPS、深信服AF-1000-E420、深信服AF-1000-E420-IS、深信服 SIP-1000-A600、深信服 STA-100-B420、深信服 VT-1000-A620、深信服 端点安全软件V3.0），</w:t>
            </w:r>
            <w:r>
              <w:rPr>
                <w:rFonts w:hint="eastAsia" w:ascii="仿宋" w:hAnsi="仿宋" w:eastAsia="仿宋" w:cs="仿宋"/>
                <w:lang w:eastAsia="zh-CN"/>
              </w:rPr>
              <w:t>供应商</w:t>
            </w:r>
            <w:r>
              <w:rPr>
                <w:rFonts w:hint="eastAsia" w:ascii="仿宋" w:hAnsi="仿宋" w:eastAsia="仿宋" w:cs="仿宋"/>
              </w:rPr>
              <w:t>承诺提供升级服务，在服务期内提供特征库、病毒库等原厂授权的升级服务。</w:t>
            </w:r>
          </w:p>
        </w:tc>
        <w:tc>
          <w:tcPr>
            <w:tcW w:w="1276" w:type="dxa"/>
            <w:shd w:val="clear" w:color="000000" w:fill="FFFFFF"/>
            <w:noWrap w:val="0"/>
            <w:vAlign w:val="center"/>
          </w:tcPr>
          <w:p w14:paraId="167C3E98">
            <w:pPr>
              <w:jc w:val="center"/>
              <w:rPr>
                <w:rFonts w:hint="eastAsia" w:ascii="仿宋" w:hAnsi="仿宋" w:eastAsia="仿宋" w:cs="仿宋"/>
                <w:szCs w:val="21"/>
              </w:rPr>
            </w:pPr>
            <w:r>
              <w:rPr>
                <w:rFonts w:hint="eastAsia" w:ascii="仿宋" w:hAnsi="仿宋" w:eastAsia="仿宋" w:cs="仿宋"/>
                <w:color w:val="000000"/>
                <w:kern w:val="0"/>
                <w:szCs w:val="21"/>
              </w:rPr>
              <w:t>全年按需</w:t>
            </w:r>
          </w:p>
        </w:tc>
        <w:tc>
          <w:tcPr>
            <w:tcW w:w="708" w:type="dxa"/>
            <w:shd w:val="clear" w:color="000000" w:fill="FFFFFF"/>
            <w:noWrap w:val="0"/>
            <w:vAlign w:val="center"/>
          </w:tcPr>
          <w:p w14:paraId="3874E9B8">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top"/>
          </w:tcPr>
          <w:p w14:paraId="1580320E">
            <w:pPr>
              <w:jc w:val="center"/>
              <w:rPr>
                <w:rFonts w:hint="eastAsia" w:ascii="仿宋" w:hAnsi="仿宋" w:eastAsia="仿宋" w:cs="仿宋"/>
                <w:szCs w:val="21"/>
              </w:rPr>
            </w:pPr>
            <w:r>
              <w:rPr>
                <w:rFonts w:hint="eastAsia" w:ascii="仿宋" w:hAnsi="仿宋" w:eastAsia="仿宋" w:cs="仿宋"/>
                <w:szCs w:val="21"/>
              </w:rPr>
              <w:t>12</w:t>
            </w:r>
          </w:p>
        </w:tc>
      </w:tr>
      <w:tr w14:paraId="6CA2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shd w:val="clear" w:color="000000" w:fill="FFFFFF"/>
            <w:noWrap w:val="0"/>
            <w:vAlign w:val="center"/>
          </w:tcPr>
          <w:p w14:paraId="4A7DA68E">
            <w:pPr>
              <w:jc w:val="left"/>
              <w:rPr>
                <w:rFonts w:hint="eastAsia" w:ascii="仿宋" w:hAnsi="仿宋" w:eastAsia="仿宋" w:cs="仿宋"/>
                <w:color w:val="000000"/>
                <w:kern w:val="0"/>
              </w:rPr>
            </w:pPr>
            <w:r>
              <w:rPr>
                <w:rFonts w:hint="eastAsia" w:ascii="仿宋" w:hAnsi="仿宋" w:eastAsia="仿宋" w:cs="仿宋"/>
                <w:color w:val="000000"/>
                <w:kern w:val="0"/>
              </w:rPr>
              <w:t>安全应急演练服务</w:t>
            </w:r>
          </w:p>
        </w:tc>
        <w:tc>
          <w:tcPr>
            <w:tcW w:w="2939" w:type="dxa"/>
            <w:shd w:val="clear" w:color="000000" w:fill="FFFFFF"/>
            <w:noWrap w:val="0"/>
            <w:vAlign w:val="center"/>
          </w:tcPr>
          <w:p w14:paraId="54D68308">
            <w:pPr>
              <w:widowControl/>
              <w:jc w:val="left"/>
              <w:rPr>
                <w:rFonts w:hint="eastAsia" w:ascii="仿宋" w:hAnsi="仿宋" w:eastAsia="仿宋" w:cs="仿宋"/>
                <w:color w:val="000000"/>
                <w:kern w:val="0"/>
              </w:rPr>
            </w:pPr>
            <w:r>
              <w:rPr>
                <w:rFonts w:hint="eastAsia" w:ascii="仿宋" w:hAnsi="仿宋" w:eastAsia="仿宋" w:cs="仿宋"/>
                <w:color w:val="000000"/>
              </w:rPr>
              <w:t>在服务期内，根据单位应急演练预案，协助单位开展预案演练，提高应对安全事件的处置能力，预防和减少安全事件造成的危害和损失。</w:t>
            </w:r>
          </w:p>
        </w:tc>
        <w:tc>
          <w:tcPr>
            <w:tcW w:w="1276" w:type="dxa"/>
            <w:shd w:val="clear" w:color="000000" w:fill="FFFFFF"/>
            <w:noWrap w:val="0"/>
            <w:vAlign w:val="center"/>
          </w:tcPr>
          <w:p w14:paraId="4F34ACC0">
            <w:pPr>
              <w:jc w:val="center"/>
              <w:rPr>
                <w:rFonts w:hint="eastAsia" w:ascii="仿宋" w:hAnsi="仿宋" w:eastAsia="仿宋" w:cs="仿宋"/>
                <w:szCs w:val="21"/>
              </w:rPr>
            </w:pPr>
            <w:r>
              <w:rPr>
                <w:rFonts w:hint="eastAsia" w:ascii="仿宋" w:hAnsi="仿宋" w:eastAsia="仿宋" w:cs="仿宋"/>
                <w:color w:val="000000"/>
                <w:kern w:val="0"/>
                <w:szCs w:val="21"/>
              </w:rPr>
              <w:t>1年1次</w:t>
            </w:r>
          </w:p>
        </w:tc>
        <w:tc>
          <w:tcPr>
            <w:tcW w:w="708" w:type="dxa"/>
            <w:shd w:val="clear" w:color="000000" w:fill="FFFFFF"/>
            <w:noWrap w:val="0"/>
            <w:vAlign w:val="center"/>
          </w:tcPr>
          <w:p w14:paraId="42981096">
            <w:pPr>
              <w:jc w:val="center"/>
              <w:rPr>
                <w:rFonts w:hint="eastAsia" w:ascii="仿宋" w:hAnsi="仿宋" w:eastAsia="仿宋" w:cs="仿宋"/>
                <w:szCs w:val="21"/>
              </w:rPr>
            </w:pPr>
            <w:r>
              <w:rPr>
                <w:rFonts w:hint="eastAsia" w:ascii="仿宋" w:hAnsi="仿宋" w:eastAsia="仿宋" w:cs="仿宋"/>
                <w:szCs w:val="21"/>
              </w:rPr>
              <w:t>1</w:t>
            </w:r>
          </w:p>
        </w:tc>
        <w:tc>
          <w:tcPr>
            <w:tcW w:w="1497" w:type="dxa"/>
            <w:shd w:val="clear" w:color="000000" w:fill="FFFFFF"/>
            <w:noWrap w:val="0"/>
            <w:vAlign w:val="top"/>
          </w:tcPr>
          <w:p w14:paraId="0E9C35A7">
            <w:pPr>
              <w:jc w:val="center"/>
              <w:rPr>
                <w:rFonts w:hint="eastAsia" w:ascii="仿宋" w:hAnsi="仿宋" w:eastAsia="仿宋" w:cs="仿宋"/>
                <w:szCs w:val="21"/>
              </w:rPr>
            </w:pPr>
            <w:r>
              <w:rPr>
                <w:rFonts w:hint="eastAsia" w:ascii="仿宋" w:hAnsi="仿宋" w:eastAsia="仿宋" w:cs="仿宋"/>
                <w:szCs w:val="21"/>
              </w:rPr>
              <w:t>12</w:t>
            </w:r>
          </w:p>
        </w:tc>
      </w:tr>
    </w:tbl>
    <w:p w14:paraId="6F3F8FC1">
      <w:pPr>
        <w:keepNext w:val="0"/>
        <w:keepLines w:val="0"/>
        <w:pageBreakBefore w:val="0"/>
        <w:widowControl w:val="0"/>
        <w:numPr>
          <w:ilvl w:val="0"/>
          <w:numId w:val="0"/>
        </w:numPr>
        <w:kinsoku/>
        <w:wordWrap/>
        <w:overflowPunct/>
        <w:topLinePunct w:val="0"/>
        <w:autoSpaceDE w:val="0"/>
        <w:autoSpaceDN w:val="0"/>
        <w:bidi w:val="0"/>
        <w:adjustRightInd w:val="0"/>
        <w:snapToGrid/>
        <w:spacing w:line="336" w:lineRule="auto"/>
        <w:jc w:val="left"/>
        <w:textAlignment w:val="auto"/>
        <w:rPr>
          <w:rFonts w:hint="eastAsia"/>
          <w:b/>
          <w:sz w:val="28"/>
          <w:szCs w:val="28"/>
        </w:rPr>
      </w:pPr>
    </w:p>
    <w:p w14:paraId="5D5D0CA5">
      <w:pPr>
        <w:keepNext w:val="0"/>
        <w:keepLines w:val="0"/>
        <w:pageBreakBefore w:val="0"/>
        <w:widowControl w:val="0"/>
        <w:kinsoku/>
        <w:wordWrap/>
        <w:overflowPunct/>
        <w:topLinePunct w:val="0"/>
        <w:autoSpaceDE/>
        <w:autoSpaceDN/>
        <w:bidi w:val="0"/>
        <w:adjustRightInd/>
        <w:snapToGrid/>
        <w:spacing w:beforeAutospacing="0" w:afterAutospacing="0" w:line="336" w:lineRule="auto"/>
        <w:textAlignment w:val="auto"/>
        <w:outlineLvl w:val="1"/>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三、</w:t>
      </w:r>
      <w:r>
        <w:rPr>
          <w:rFonts w:hint="eastAsia" w:ascii="宋体" w:hAnsi="宋体" w:cs="宋体"/>
          <w:b/>
          <w:sz w:val="28"/>
          <w:szCs w:val="28"/>
          <w:lang w:eastAsia="zh-CN"/>
        </w:rPr>
        <w:t>维保服务主要</w:t>
      </w:r>
      <w:r>
        <w:rPr>
          <w:rFonts w:hint="eastAsia" w:ascii="宋体" w:hAnsi="宋体" w:eastAsia="宋体" w:cs="宋体"/>
          <w:b/>
          <w:sz w:val="28"/>
          <w:szCs w:val="28"/>
        </w:rPr>
        <w:t>内容</w:t>
      </w:r>
    </w:p>
    <w:p w14:paraId="299607DA">
      <w:pPr>
        <w:ind w:firstLine="480" w:firstLineChars="200"/>
        <w:rPr>
          <w:rFonts w:hint="eastAsia" w:ascii="仿宋" w:hAnsi="仿宋" w:eastAsia="仿宋" w:cs="仿宋"/>
          <w:sz w:val="24"/>
        </w:rPr>
      </w:pPr>
      <w:r>
        <w:rPr>
          <w:rFonts w:hint="eastAsia" w:ascii="仿宋" w:hAnsi="仿宋" w:eastAsia="仿宋" w:cs="仿宋"/>
          <w:sz w:val="24"/>
        </w:rPr>
        <w:t>提供现有设备的整机（包括所有相关部件）在服务期内硬件质保服务和软件的维护、配置，所提供的更换配件必须为原厂商认可的产品。在合同期内提供免费保修服务，包括非人为损坏造成的设备故障的免费维修、免费技术咨询、设备软件版本免费升级等服务。具体内容如下：</w:t>
      </w:r>
    </w:p>
    <w:p w14:paraId="44F09874">
      <w:pPr>
        <w:ind w:firstLine="480" w:firstLineChars="200"/>
        <w:rPr>
          <w:rFonts w:hint="eastAsia" w:ascii="仿宋" w:hAnsi="仿宋" w:eastAsia="仿宋" w:cs="仿宋"/>
          <w:sz w:val="24"/>
        </w:rPr>
      </w:pPr>
      <w:r>
        <w:rPr>
          <w:rFonts w:hint="eastAsia" w:ascii="仿宋" w:hAnsi="仿宋" w:eastAsia="仿宋" w:cs="仿宋"/>
          <w:sz w:val="24"/>
        </w:rPr>
        <w:t>提供包括电话和远程技术支持服务、现场技术支持服务两种。</w:t>
      </w:r>
    </w:p>
    <w:p w14:paraId="6F77C126">
      <w:pPr>
        <w:rPr>
          <w:rFonts w:hint="eastAsia" w:ascii="仿宋" w:hAnsi="仿宋" w:eastAsia="仿宋" w:cs="仿宋"/>
          <w:sz w:val="24"/>
        </w:rPr>
      </w:pPr>
      <w:r>
        <w:rPr>
          <w:rFonts w:hint="eastAsia" w:ascii="仿宋" w:hAnsi="仿宋" w:eastAsia="仿宋" w:cs="仿宋"/>
          <w:sz w:val="24"/>
        </w:rPr>
        <w:t>1）电话支持响应</w:t>
      </w:r>
    </w:p>
    <w:p w14:paraId="703BFFCD">
      <w:pPr>
        <w:ind w:firstLine="420"/>
        <w:rPr>
          <w:rFonts w:hint="eastAsia" w:ascii="仿宋" w:hAnsi="仿宋" w:eastAsia="仿宋" w:cs="仿宋"/>
          <w:sz w:val="24"/>
        </w:rPr>
      </w:pPr>
      <w:r>
        <w:rPr>
          <w:rFonts w:hint="eastAsia" w:ascii="仿宋" w:hAnsi="仿宋" w:eastAsia="仿宋" w:cs="仿宋"/>
          <w:sz w:val="24"/>
        </w:rPr>
        <w:t>要求提供 7X24 不间断的电话服务支持，不限次。用户方工作人员在使用维保范围内的软硬件设备如遇到问题,无论是软件或硬件,都随时可以从</w:t>
      </w:r>
      <w:r>
        <w:rPr>
          <w:rFonts w:hint="eastAsia" w:ascii="仿宋" w:hAnsi="仿宋" w:eastAsia="仿宋" w:cs="仿宋"/>
          <w:sz w:val="24"/>
          <w:lang w:eastAsia="zh-CN"/>
        </w:rPr>
        <w:t>供应商</w:t>
      </w:r>
      <w:r>
        <w:rPr>
          <w:rFonts w:hint="eastAsia" w:ascii="仿宋" w:hAnsi="仿宋" w:eastAsia="仿宋" w:cs="仿宋"/>
          <w:sz w:val="24"/>
        </w:rPr>
        <w:t>得到电话支持与帮助。</w:t>
      </w:r>
      <w:r>
        <w:rPr>
          <w:rFonts w:hint="eastAsia" w:ascii="仿宋" w:hAnsi="仿宋" w:eastAsia="仿宋" w:cs="仿宋"/>
          <w:sz w:val="24"/>
          <w:lang w:eastAsia="zh-CN"/>
        </w:rPr>
        <w:t>供应商</w:t>
      </w:r>
      <w:r>
        <w:rPr>
          <w:rFonts w:hint="eastAsia" w:ascii="仿宋" w:hAnsi="仿宋" w:eastAsia="仿宋" w:cs="仿宋"/>
          <w:sz w:val="24"/>
        </w:rPr>
        <w:t xml:space="preserve">需指定一名主要联系人及一名替补联系人与用户方联系。一旦接到用户方请求电话, </w:t>
      </w:r>
      <w:r>
        <w:rPr>
          <w:rFonts w:hint="eastAsia" w:ascii="仿宋" w:hAnsi="仿宋" w:eastAsia="仿宋" w:cs="仿宋"/>
          <w:sz w:val="24"/>
          <w:lang w:eastAsia="zh-CN"/>
        </w:rPr>
        <w:t>供应商</w:t>
      </w:r>
      <w:r>
        <w:rPr>
          <w:rFonts w:hint="eastAsia" w:ascii="仿宋" w:hAnsi="仿宋" w:eastAsia="仿宋" w:cs="仿宋"/>
          <w:sz w:val="24"/>
        </w:rPr>
        <w:t>的技术人员将在规定时间内通过电话解决 或回答用户所提出的问题。若</w:t>
      </w:r>
      <w:r>
        <w:rPr>
          <w:rFonts w:hint="eastAsia" w:ascii="仿宋" w:hAnsi="仿宋" w:eastAsia="仿宋" w:cs="仿宋"/>
          <w:sz w:val="24"/>
          <w:lang w:eastAsia="zh-CN"/>
        </w:rPr>
        <w:t>供应商</w:t>
      </w:r>
      <w:r>
        <w:rPr>
          <w:rFonts w:hint="eastAsia" w:ascii="仿宋" w:hAnsi="仿宋" w:eastAsia="仿宋" w:cs="仿宋"/>
          <w:sz w:val="24"/>
        </w:rPr>
        <w:t>指定工程师如果因特殊原因离职或更换电话，及时通知用户方，并指定合格的接替人员。</w:t>
      </w:r>
    </w:p>
    <w:p w14:paraId="10251357">
      <w:pPr>
        <w:rPr>
          <w:rFonts w:hint="eastAsia" w:ascii="仿宋" w:hAnsi="仿宋" w:eastAsia="仿宋" w:cs="仿宋"/>
          <w:sz w:val="24"/>
        </w:rPr>
      </w:pPr>
      <w:r>
        <w:rPr>
          <w:rFonts w:hint="eastAsia" w:ascii="仿宋" w:hAnsi="仿宋" w:eastAsia="仿宋" w:cs="仿宋"/>
          <w:sz w:val="24"/>
        </w:rPr>
        <w:t xml:space="preserve">2)现场维护响应 </w:t>
      </w:r>
    </w:p>
    <w:p w14:paraId="585948EC">
      <w:pPr>
        <w:ind w:firstLine="420"/>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接到用户方故障呼叫后，要及时派相关认证工程师做现场服务，现场服务次数和时间不限。</w:t>
      </w:r>
    </w:p>
    <w:p w14:paraId="42414834">
      <w:pPr>
        <w:ind w:firstLine="420"/>
        <w:rPr>
          <w:rFonts w:hint="eastAsia" w:ascii="仿宋" w:hAnsi="仿宋" w:eastAsia="仿宋" w:cs="仿宋"/>
          <w:sz w:val="24"/>
        </w:rPr>
      </w:pPr>
      <w:r>
        <w:rPr>
          <w:rFonts w:hint="eastAsia" w:ascii="仿宋" w:hAnsi="仿宋" w:eastAsia="仿宋" w:cs="仿宋"/>
          <w:sz w:val="24"/>
        </w:rPr>
        <w:t xml:space="preserve">对于严重故障(影响用户方业务正常运作的故障)，应派遣工程师到现场做技术支持。 </w:t>
      </w:r>
    </w:p>
    <w:p w14:paraId="54B19131">
      <w:pPr>
        <w:ind w:firstLine="420"/>
        <w:rPr>
          <w:rFonts w:hint="eastAsia" w:ascii="仿宋" w:hAnsi="仿宋" w:eastAsia="仿宋" w:cs="仿宋"/>
          <w:sz w:val="24"/>
        </w:rPr>
      </w:pPr>
      <w:r>
        <w:rPr>
          <w:rFonts w:hint="eastAsia" w:ascii="仿宋" w:hAnsi="仿宋" w:eastAsia="仿宋" w:cs="仿宋"/>
          <w:sz w:val="24"/>
        </w:rPr>
        <w:t>响应时间:15分钟以内;</w:t>
      </w:r>
    </w:p>
    <w:p w14:paraId="0065934A">
      <w:pPr>
        <w:ind w:firstLine="420"/>
        <w:rPr>
          <w:rFonts w:hint="eastAsia" w:ascii="仿宋" w:hAnsi="仿宋" w:eastAsia="仿宋" w:cs="仿宋"/>
          <w:sz w:val="24"/>
        </w:rPr>
      </w:pPr>
      <w:r>
        <w:rPr>
          <w:rFonts w:hint="eastAsia" w:ascii="仿宋" w:hAnsi="仿宋" w:eastAsia="仿宋" w:cs="仿宋"/>
          <w:sz w:val="24"/>
        </w:rPr>
        <w:t>到场时间:接到故障通知后，2小时内到达现场;</w:t>
      </w:r>
    </w:p>
    <w:p w14:paraId="15EED0FB">
      <w:pPr>
        <w:ind w:firstLine="420"/>
        <w:rPr>
          <w:rFonts w:hint="eastAsia" w:ascii="仿宋" w:hAnsi="仿宋" w:eastAsia="仿宋" w:cs="仿宋"/>
          <w:sz w:val="24"/>
        </w:rPr>
      </w:pPr>
      <w:r>
        <w:rPr>
          <w:rFonts w:hint="eastAsia" w:ascii="仿宋" w:hAnsi="仿宋" w:eastAsia="仿宋" w:cs="仿宋"/>
          <w:sz w:val="24"/>
        </w:rPr>
        <w:t xml:space="preserve">修复时间:到达用户现场后，6小时内恢复。 </w:t>
      </w:r>
    </w:p>
    <w:p w14:paraId="1F07C906">
      <w:pPr>
        <w:ind w:firstLine="420"/>
        <w:rPr>
          <w:rFonts w:hint="eastAsia" w:ascii="仿宋" w:hAnsi="仿宋" w:eastAsia="仿宋" w:cs="仿宋"/>
          <w:sz w:val="24"/>
        </w:rPr>
      </w:pPr>
      <w:r>
        <w:rPr>
          <w:rFonts w:hint="eastAsia" w:ascii="仿宋" w:hAnsi="仿宋" w:eastAsia="仿宋" w:cs="仿宋"/>
          <w:sz w:val="24"/>
        </w:rPr>
        <w:t>对于一般性故障(不影响用户方业务正常运作的故障)，应派遣工程师到现场做技术支持。</w:t>
      </w:r>
    </w:p>
    <w:p w14:paraId="0D2A3489">
      <w:pPr>
        <w:ind w:firstLine="420"/>
        <w:rPr>
          <w:rFonts w:hint="eastAsia" w:ascii="仿宋" w:hAnsi="仿宋" w:eastAsia="仿宋" w:cs="仿宋"/>
          <w:sz w:val="24"/>
        </w:rPr>
      </w:pPr>
      <w:r>
        <w:rPr>
          <w:rFonts w:hint="eastAsia" w:ascii="仿宋" w:hAnsi="仿宋" w:eastAsia="仿宋" w:cs="仿宋"/>
          <w:sz w:val="24"/>
        </w:rPr>
        <w:t>响应时间:15分钟以内; </w:t>
      </w:r>
    </w:p>
    <w:p w14:paraId="0ADEC2DB">
      <w:pPr>
        <w:ind w:firstLine="420"/>
        <w:rPr>
          <w:rFonts w:hint="eastAsia" w:ascii="仿宋" w:hAnsi="仿宋" w:eastAsia="仿宋" w:cs="仿宋"/>
          <w:sz w:val="24"/>
        </w:rPr>
      </w:pPr>
      <w:r>
        <w:rPr>
          <w:rFonts w:hint="eastAsia" w:ascii="仿宋" w:hAnsi="仿宋" w:eastAsia="仿宋" w:cs="仿宋"/>
          <w:sz w:val="24"/>
        </w:rPr>
        <w:t xml:space="preserve">到场时间:接到故障通知后，12小时内到达现场。 </w:t>
      </w:r>
    </w:p>
    <w:p w14:paraId="59E62F16">
      <w:pPr>
        <w:ind w:firstLine="420"/>
        <w:rPr>
          <w:rFonts w:hint="eastAsia" w:ascii="仿宋" w:hAnsi="仿宋" w:eastAsia="仿宋" w:cs="仿宋"/>
          <w:sz w:val="24"/>
        </w:rPr>
      </w:pPr>
      <w:r>
        <w:rPr>
          <w:rFonts w:hint="eastAsia" w:ascii="仿宋" w:hAnsi="仿宋" w:eastAsia="仿宋" w:cs="仿宋"/>
          <w:sz w:val="24"/>
        </w:rPr>
        <w:t>修复时间:到达用户现场后，12小时内恢复。</w:t>
      </w:r>
    </w:p>
    <w:p w14:paraId="77FBB399">
      <w:pPr>
        <w:keepNext w:val="0"/>
        <w:keepLines w:val="0"/>
        <w:pageBreakBefore w:val="0"/>
        <w:widowControl w:val="0"/>
        <w:kinsoku/>
        <w:wordWrap/>
        <w:overflowPunct/>
        <w:topLinePunct w:val="0"/>
        <w:autoSpaceDE/>
        <w:autoSpaceDN/>
        <w:bidi w:val="0"/>
        <w:adjustRightInd/>
        <w:snapToGrid/>
        <w:spacing w:beforeAutospacing="0" w:afterAutospacing="0" w:line="336" w:lineRule="auto"/>
        <w:textAlignment w:val="auto"/>
        <w:outlineLvl w:val="1"/>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四、巡检服务</w:t>
      </w:r>
    </w:p>
    <w:p w14:paraId="3A62D4D6">
      <w:pPr>
        <w:ind w:firstLine="480" w:firstLineChars="200"/>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每季度安排技术工程师到上虞市场监督管理局机房现场进行软硬件系统的全面巡检服务，提供详细巡检报告，并给出优化调整建议。 </w:t>
      </w:r>
    </w:p>
    <w:p w14:paraId="45AB5B23">
      <w:pPr>
        <w:ind w:firstLine="480" w:firstLineChars="200"/>
        <w:rPr>
          <w:rFonts w:hint="eastAsia" w:ascii="仿宋" w:hAnsi="仿宋" w:eastAsia="仿宋" w:cs="仿宋"/>
          <w:sz w:val="24"/>
        </w:rPr>
      </w:pPr>
      <w:r>
        <w:rPr>
          <w:rFonts w:hint="eastAsia" w:ascii="仿宋" w:hAnsi="仿宋" w:eastAsia="仿宋" w:cs="仿宋"/>
          <w:sz w:val="24"/>
        </w:rPr>
        <w:t xml:space="preserve">巡检内容主要包括: </w:t>
      </w:r>
    </w:p>
    <w:p w14:paraId="45EB277A">
      <w:pPr>
        <w:ind w:firstLine="28"/>
        <w:rPr>
          <w:rFonts w:hint="eastAsia" w:ascii="仿宋" w:hAnsi="仿宋" w:eastAsia="仿宋" w:cs="仿宋"/>
          <w:sz w:val="24"/>
        </w:rPr>
      </w:pPr>
      <w:r>
        <w:rPr>
          <w:rFonts w:hint="eastAsia" w:ascii="仿宋" w:hAnsi="仿宋" w:eastAsia="仿宋" w:cs="仿宋"/>
          <w:sz w:val="24"/>
        </w:rPr>
        <w:t>1) PC服务器、存储、网络设备及其他软硬件的运行状况，及时发现各种隐患，并做出相应处理。</w:t>
      </w:r>
    </w:p>
    <w:p w14:paraId="39E5A2BF">
      <w:pPr>
        <w:ind w:firstLine="28"/>
        <w:rPr>
          <w:rFonts w:hint="eastAsia" w:ascii="仿宋" w:hAnsi="仿宋" w:eastAsia="仿宋" w:cs="仿宋"/>
          <w:sz w:val="24"/>
        </w:rPr>
      </w:pPr>
      <w:r>
        <w:rPr>
          <w:rFonts w:hint="eastAsia" w:ascii="仿宋" w:hAnsi="仿宋" w:eastAsia="仿宋" w:cs="仿宋"/>
          <w:sz w:val="24"/>
        </w:rPr>
        <w:t>2)提供软硬件系统存在的问题报告及其解决方案，提出系统整体架构及技术改进建议。</w:t>
      </w:r>
    </w:p>
    <w:p w14:paraId="6F1BA48C">
      <w:pPr>
        <w:ind w:firstLine="28"/>
        <w:rPr>
          <w:rFonts w:hint="eastAsia" w:ascii="仿宋" w:hAnsi="仿宋" w:eastAsia="仿宋" w:cs="仿宋"/>
          <w:sz w:val="24"/>
        </w:rPr>
      </w:pPr>
      <w:r>
        <w:rPr>
          <w:rFonts w:hint="eastAsia" w:ascii="仿宋" w:hAnsi="仿宋" w:eastAsia="仿宋" w:cs="仿宋"/>
          <w:sz w:val="24"/>
        </w:rPr>
        <w:t>3)检查网络及安全设备运行状况，监测网络流量和可用性，及时发现系统的各种报警信息及网络不安全因素，提出相应的解决方案。</w:t>
      </w:r>
    </w:p>
    <w:p w14:paraId="498734F7">
      <w:pPr>
        <w:ind w:firstLine="28"/>
        <w:rPr>
          <w:rFonts w:hint="eastAsia" w:ascii="仿宋" w:hAnsi="仿宋" w:eastAsia="仿宋" w:cs="仿宋"/>
          <w:sz w:val="24"/>
        </w:rPr>
      </w:pPr>
      <w:r>
        <w:rPr>
          <w:rFonts w:hint="eastAsia" w:ascii="仿宋" w:hAnsi="仿宋" w:eastAsia="仿宋" w:cs="仿宋"/>
          <w:sz w:val="24"/>
        </w:rPr>
        <w:t>4)对机房环境、温度、湿度等各方面进行检查，排除隐患。</w:t>
      </w:r>
    </w:p>
    <w:p w14:paraId="22058528">
      <w:pPr>
        <w:numPr>
          <w:ilvl w:val="0"/>
          <w:numId w:val="0"/>
        </w:numPr>
        <w:spacing w:line="360" w:lineRule="auto"/>
        <w:rPr>
          <w:rFonts w:hint="eastAsia" w:ascii="仿宋" w:hAnsi="仿宋" w:eastAsia="仿宋" w:cs="仿宋"/>
          <w:b/>
          <w:sz w:val="24"/>
        </w:rPr>
      </w:pPr>
      <w:r>
        <w:rPr>
          <w:rFonts w:hint="eastAsia" w:ascii="仿宋" w:hAnsi="仿宋" w:eastAsia="仿宋" w:cs="仿宋"/>
          <w:b/>
          <w:sz w:val="24"/>
          <w:lang w:eastAsia="zh-CN"/>
        </w:rPr>
        <w:t>五、</w:t>
      </w:r>
      <w:r>
        <w:rPr>
          <w:rFonts w:hint="eastAsia" w:ascii="仿宋" w:hAnsi="仿宋" w:eastAsia="仿宋" w:cs="仿宋"/>
          <w:b/>
          <w:sz w:val="24"/>
        </w:rPr>
        <w:t>虚拟化服务</w:t>
      </w:r>
    </w:p>
    <w:p w14:paraId="19B7D755">
      <w:pPr>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提供：</w:t>
      </w:r>
    </w:p>
    <w:p w14:paraId="6B8F68C3">
      <w:pPr>
        <w:ind w:firstLine="26" w:firstLineChars="11"/>
        <w:rPr>
          <w:rFonts w:hint="eastAsia" w:ascii="仿宋" w:hAnsi="仿宋" w:eastAsia="仿宋" w:cs="仿宋"/>
          <w:sz w:val="24"/>
        </w:rPr>
      </w:pPr>
      <w:r>
        <w:rPr>
          <w:rFonts w:hint="eastAsia" w:ascii="仿宋" w:hAnsi="仿宋" w:eastAsia="仿宋" w:cs="仿宋"/>
          <w:sz w:val="24"/>
        </w:rPr>
        <w:t>1）常规健康巡检服务：提供维护的设备定期（1年4次）常规健康巡检服务，包括虚拟化系统运行状态和日志分析，处理巡检中发现的问题，提供系统健康检查报告和运维维护建议。</w:t>
      </w:r>
    </w:p>
    <w:p w14:paraId="41179988">
      <w:pPr>
        <w:ind w:firstLine="26" w:firstLineChars="11"/>
        <w:rPr>
          <w:rFonts w:hint="eastAsia" w:ascii="仿宋" w:hAnsi="仿宋" w:eastAsia="仿宋" w:cs="仿宋"/>
          <w:sz w:val="24"/>
        </w:rPr>
      </w:pPr>
      <w:r>
        <w:rPr>
          <w:rFonts w:hint="eastAsia" w:ascii="仿宋" w:hAnsi="仿宋" w:eastAsia="仿宋" w:cs="仿宋"/>
          <w:sz w:val="24"/>
        </w:rPr>
        <w:t>2）虚拟化系统现场服务：包括集群和基础功能模块中系统中日常的故障、配置、调试、调整、保障、配合变更架构、临时迁移等现场或远程技术支持工作。</w:t>
      </w:r>
    </w:p>
    <w:p w14:paraId="355A5868">
      <w:pPr>
        <w:rPr>
          <w:rFonts w:hint="eastAsia" w:ascii="仿宋" w:hAnsi="仿宋" w:eastAsia="仿宋" w:cs="仿宋"/>
          <w:sz w:val="24"/>
        </w:rPr>
      </w:pPr>
      <w:r>
        <w:rPr>
          <w:rFonts w:hint="eastAsia" w:ascii="仿宋" w:hAnsi="仿宋" w:eastAsia="仿宋" w:cs="仿宋"/>
          <w:sz w:val="24"/>
        </w:rPr>
        <w:t>3）虚拟化系统建档服务：包括虚拟化系统基本信息建档。</w:t>
      </w:r>
    </w:p>
    <w:p w14:paraId="405EA642">
      <w:pPr>
        <w:numPr>
          <w:ilvl w:val="0"/>
          <w:numId w:val="0"/>
        </w:numPr>
        <w:spacing w:line="360" w:lineRule="auto"/>
        <w:rPr>
          <w:rFonts w:hint="eastAsia" w:ascii="仿宋" w:hAnsi="仿宋" w:eastAsia="仿宋" w:cs="仿宋"/>
          <w:b/>
          <w:sz w:val="24"/>
        </w:rPr>
      </w:pPr>
      <w:r>
        <w:rPr>
          <w:rFonts w:hint="eastAsia" w:ascii="仿宋" w:hAnsi="仿宋" w:eastAsia="仿宋" w:cs="仿宋"/>
          <w:b/>
          <w:sz w:val="24"/>
          <w:lang w:eastAsia="zh-CN"/>
        </w:rPr>
        <w:t>六、</w:t>
      </w:r>
      <w:r>
        <w:rPr>
          <w:rFonts w:hint="eastAsia" w:ascii="仿宋" w:hAnsi="仿宋" w:eastAsia="仿宋" w:cs="仿宋"/>
          <w:b/>
          <w:sz w:val="24"/>
        </w:rPr>
        <w:t>备份服务</w:t>
      </w:r>
    </w:p>
    <w:p w14:paraId="3B6D9702">
      <w:pPr>
        <w:rPr>
          <w:rFonts w:hint="eastAsia" w:ascii="仿宋" w:hAnsi="仿宋" w:eastAsia="仿宋" w:cs="仿宋"/>
          <w:sz w:val="24"/>
        </w:rPr>
      </w:pPr>
      <w:r>
        <w:rPr>
          <w:rFonts w:hint="eastAsia" w:ascii="仿宋" w:hAnsi="仿宋" w:eastAsia="仿宋" w:cs="仿宋"/>
          <w:sz w:val="24"/>
        </w:rPr>
        <w:t xml:space="preserve">备份系统健康评估:在首次巡检完毕后，对备份系统的备份任务调度，备份任务完成情况，备份时间窗设置，备份设备等进行整体评估，并给出优化建议。 </w:t>
      </w:r>
    </w:p>
    <w:p w14:paraId="6A86F9B3">
      <w:pPr>
        <w:rPr>
          <w:rFonts w:hint="eastAsia" w:ascii="仿宋" w:hAnsi="仿宋" w:eastAsia="仿宋" w:cs="仿宋"/>
          <w:sz w:val="24"/>
        </w:rPr>
      </w:pPr>
      <w:r>
        <w:rPr>
          <w:rFonts w:hint="eastAsia" w:ascii="仿宋" w:hAnsi="仿宋" w:eastAsia="仿宋" w:cs="仿宋"/>
          <w:sz w:val="24"/>
        </w:rPr>
        <w:t>备份系统常规检查:每季度一次对备份系统进行审核，若发生备份异常则在第一时间进行处理，保证备份任务恢复正常。 备份有效性审核:在每年定期进行备份的恢复测试，时间间隔暂定一年一次。确保备份数据可以有效地恢复应用，保证连续性。</w:t>
      </w:r>
    </w:p>
    <w:p w14:paraId="7F5AAC1B">
      <w:pPr>
        <w:numPr>
          <w:ilvl w:val="0"/>
          <w:numId w:val="0"/>
        </w:numPr>
        <w:spacing w:line="360" w:lineRule="auto"/>
        <w:rPr>
          <w:rFonts w:hint="eastAsia" w:ascii="仿宋" w:hAnsi="仿宋" w:eastAsia="仿宋" w:cs="仿宋"/>
          <w:b/>
          <w:sz w:val="24"/>
        </w:rPr>
      </w:pPr>
      <w:r>
        <w:rPr>
          <w:rFonts w:hint="eastAsia" w:ascii="仿宋" w:hAnsi="仿宋" w:eastAsia="仿宋" w:cs="仿宋"/>
          <w:b/>
          <w:sz w:val="24"/>
          <w:lang w:eastAsia="zh-CN"/>
        </w:rPr>
        <w:t>七、</w:t>
      </w:r>
      <w:r>
        <w:rPr>
          <w:rFonts w:hint="eastAsia" w:ascii="仿宋" w:hAnsi="仿宋" w:eastAsia="仿宋" w:cs="仿宋"/>
          <w:b/>
          <w:sz w:val="24"/>
        </w:rPr>
        <w:t>数据库服务</w:t>
      </w:r>
    </w:p>
    <w:p w14:paraId="7C5FA5B6">
      <w:pPr>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供应商</w:t>
      </w:r>
      <w:r>
        <w:rPr>
          <w:rFonts w:hint="eastAsia" w:ascii="仿宋" w:hAnsi="仿宋" w:eastAsia="仿宋" w:cs="仿宋"/>
          <w:sz w:val="24"/>
        </w:rPr>
        <w:t xml:space="preserve">须指定具有OCM证书的技术人员,针对Oracle数据库提供数据库健康巡检服务、数据库性能分析和优化服务、恢复和灾难挽救服务、数据库咨询服务。 </w:t>
      </w:r>
    </w:p>
    <w:p w14:paraId="1A8608A5">
      <w:pPr>
        <w:rPr>
          <w:rFonts w:hint="eastAsia" w:ascii="仿宋" w:hAnsi="仿宋" w:eastAsia="仿宋" w:cs="仿宋"/>
          <w:sz w:val="24"/>
        </w:rPr>
      </w:pPr>
      <w:r>
        <w:rPr>
          <w:rFonts w:hint="eastAsia" w:ascii="仿宋" w:hAnsi="仿宋" w:eastAsia="仿宋" w:cs="仿宋"/>
          <w:sz w:val="24"/>
        </w:rPr>
        <w:t>日常检查至少包括以下内容：</w:t>
      </w:r>
    </w:p>
    <w:p w14:paraId="10542E2B">
      <w:pPr>
        <w:numPr>
          <w:ilvl w:val="0"/>
          <w:numId w:val="16"/>
        </w:numPr>
        <w:spacing w:line="360" w:lineRule="auto"/>
        <w:ind w:left="150" w:leftChars="66" w:hanging="11"/>
        <w:rPr>
          <w:rFonts w:hint="eastAsia" w:ascii="仿宋" w:hAnsi="仿宋" w:eastAsia="仿宋" w:cs="仿宋"/>
          <w:sz w:val="24"/>
        </w:rPr>
      </w:pPr>
      <w:r>
        <w:rPr>
          <w:rFonts w:hint="eastAsia" w:ascii="仿宋" w:hAnsi="仿宋" w:eastAsia="仿宋" w:cs="仿宋"/>
          <w:sz w:val="24"/>
        </w:rPr>
        <w:t>检查相关软硬件、数据库配置和SGA、PGA的配置情况；</w:t>
      </w:r>
    </w:p>
    <w:p w14:paraId="373DB976">
      <w:pPr>
        <w:numPr>
          <w:ilvl w:val="0"/>
          <w:numId w:val="16"/>
        </w:numPr>
        <w:spacing w:line="360" w:lineRule="auto"/>
        <w:ind w:left="150" w:leftChars="66" w:hanging="11"/>
        <w:rPr>
          <w:rFonts w:hint="eastAsia" w:ascii="仿宋" w:hAnsi="仿宋" w:eastAsia="仿宋" w:cs="仿宋"/>
          <w:sz w:val="24"/>
        </w:rPr>
      </w:pPr>
      <w:r>
        <w:rPr>
          <w:rFonts w:hint="eastAsia" w:ascii="仿宋" w:hAnsi="仿宋" w:eastAsia="仿宋" w:cs="仿宋"/>
          <w:sz w:val="24"/>
        </w:rPr>
        <w:t>检查数据库、备份结果集、各表空间的变化情况等，并对数据变化情况作评估；</w:t>
      </w:r>
    </w:p>
    <w:p w14:paraId="5ACC782C">
      <w:pPr>
        <w:numPr>
          <w:ilvl w:val="0"/>
          <w:numId w:val="16"/>
        </w:numPr>
        <w:spacing w:line="360" w:lineRule="auto"/>
        <w:ind w:left="150" w:leftChars="66" w:hanging="11"/>
        <w:rPr>
          <w:rFonts w:hint="eastAsia" w:ascii="仿宋" w:hAnsi="仿宋" w:eastAsia="仿宋" w:cs="仿宋"/>
          <w:sz w:val="24"/>
        </w:rPr>
      </w:pPr>
      <w:r>
        <w:rPr>
          <w:rFonts w:hint="eastAsia" w:ascii="仿宋" w:hAnsi="仿宋" w:eastAsia="仿宋" w:cs="仿宋"/>
          <w:sz w:val="24"/>
        </w:rPr>
        <w:t>统计当前表空间、文件系统和数据文件的使用情况；</w:t>
      </w:r>
    </w:p>
    <w:p w14:paraId="718F3543">
      <w:pPr>
        <w:numPr>
          <w:ilvl w:val="0"/>
          <w:numId w:val="16"/>
        </w:numPr>
        <w:spacing w:line="360" w:lineRule="auto"/>
        <w:ind w:left="150" w:leftChars="66" w:hanging="11"/>
        <w:rPr>
          <w:rFonts w:hint="eastAsia" w:ascii="仿宋" w:hAnsi="仿宋" w:eastAsia="仿宋" w:cs="仿宋"/>
          <w:sz w:val="24"/>
        </w:rPr>
      </w:pPr>
      <w:r>
        <w:rPr>
          <w:rFonts w:hint="eastAsia" w:ascii="仿宋" w:hAnsi="仿宋" w:eastAsia="仿宋" w:cs="仿宋"/>
          <w:sz w:val="24"/>
        </w:rPr>
        <w:t>检查数据库alert.log日志文件和相关trace文件；</w:t>
      </w:r>
    </w:p>
    <w:p w14:paraId="06C62330">
      <w:pPr>
        <w:numPr>
          <w:ilvl w:val="0"/>
          <w:numId w:val="16"/>
        </w:numPr>
        <w:spacing w:line="360" w:lineRule="auto"/>
        <w:ind w:left="150" w:leftChars="66" w:hanging="11"/>
        <w:rPr>
          <w:rFonts w:hint="eastAsia" w:ascii="仿宋" w:hAnsi="仿宋" w:eastAsia="仿宋" w:cs="仿宋"/>
          <w:sz w:val="24"/>
        </w:rPr>
      </w:pPr>
      <w:r>
        <w:rPr>
          <w:rFonts w:hint="eastAsia" w:ascii="仿宋" w:hAnsi="仿宋" w:eastAsia="仿宋" w:cs="仿宋"/>
          <w:sz w:val="24"/>
        </w:rPr>
        <w:t>检查操作系统用户、数据库用户、系统本身的安全性；</w:t>
      </w:r>
    </w:p>
    <w:p w14:paraId="24F6AF20">
      <w:pPr>
        <w:numPr>
          <w:ilvl w:val="0"/>
          <w:numId w:val="16"/>
        </w:numPr>
        <w:spacing w:line="360" w:lineRule="auto"/>
        <w:ind w:left="150" w:leftChars="66" w:hanging="11"/>
        <w:rPr>
          <w:rFonts w:hint="eastAsia" w:ascii="仿宋" w:hAnsi="仿宋" w:eastAsia="仿宋" w:cs="仿宋"/>
          <w:sz w:val="24"/>
        </w:rPr>
      </w:pPr>
      <w:r>
        <w:rPr>
          <w:rFonts w:hint="eastAsia" w:ascii="仿宋" w:hAnsi="仿宋" w:eastAsia="仿宋" w:cs="仿宋"/>
          <w:sz w:val="24"/>
        </w:rPr>
        <w:t>收集数据库运行期间的负载情况和Instance各性能指标；</w:t>
      </w:r>
    </w:p>
    <w:p w14:paraId="70EA7909">
      <w:pPr>
        <w:numPr>
          <w:ilvl w:val="0"/>
          <w:numId w:val="16"/>
        </w:numPr>
        <w:spacing w:line="360" w:lineRule="auto"/>
        <w:ind w:left="150" w:leftChars="66" w:hanging="11"/>
        <w:rPr>
          <w:rFonts w:hint="eastAsia" w:ascii="仿宋" w:hAnsi="仿宋" w:eastAsia="仿宋" w:cs="仿宋"/>
          <w:sz w:val="24"/>
        </w:rPr>
      </w:pPr>
      <w:r>
        <w:rPr>
          <w:rFonts w:hint="eastAsia" w:ascii="仿宋" w:hAnsi="仿宋" w:eastAsia="仿宋" w:cs="仿宋"/>
          <w:sz w:val="24"/>
        </w:rPr>
        <w:t>检查数据库备份是否正常；</w:t>
      </w:r>
    </w:p>
    <w:p w14:paraId="6A5162C3">
      <w:pPr>
        <w:rPr>
          <w:rFonts w:hint="eastAsia" w:ascii="仿宋" w:hAnsi="仿宋" w:eastAsia="仿宋" w:cs="仿宋"/>
          <w:sz w:val="24"/>
        </w:rPr>
      </w:pPr>
      <w:r>
        <w:rPr>
          <w:rFonts w:hint="eastAsia" w:ascii="仿宋" w:hAnsi="仿宋" w:eastAsia="仿宋" w:cs="仿宋"/>
          <w:sz w:val="24"/>
        </w:rPr>
        <w:t>OCM人员必须是中标单位正式人员，签订合同工钱提供至少三个月社保证明。</w:t>
      </w:r>
    </w:p>
    <w:p w14:paraId="2E8142AE">
      <w:pPr>
        <w:numPr>
          <w:ilvl w:val="0"/>
          <w:numId w:val="0"/>
        </w:numPr>
        <w:spacing w:line="360" w:lineRule="auto"/>
        <w:rPr>
          <w:rFonts w:hint="eastAsia" w:ascii="仿宋" w:hAnsi="仿宋" w:eastAsia="仿宋" w:cs="仿宋"/>
          <w:b/>
          <w:sz w:val="24"/>
        </w:rPr>
      </w:pPr>
      <w:r>
        <w:rPr>
          <w:rFonts w:hint="eastAsia" w:ascii="仿宋" w:hAnsi="仿宋" w:eastAsia="仿宋" w:cs="仿宋"/>
          <w:b/>
          <w:sz w:val="24"/>
          <w:lang w:eastAsia="zh-CN"/>
        </w:rPr>
        <w:t>八、</w:t>
      </w:r>
      <w:r>
        <w:rPr>
          <w:rFonts w:hint="eastAsia" w:ascii="仿宋" w:hAnsi="仿宋" w:eastAsia="仿宋" w:cs="仿宋"/>
          <w:b/>
          <w:sz w:val="24"/>
        </w:rPr>
        <w:t>安全服务</w:t>
      </w:r>
    </w:p>
    <w:p w14:paraId="0DBDD907">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1、渗透测试服务</w:t>
      </w:r>
    </w:p>
    <w:p w14:paraId="354FA22C">
      <w:pPr>
        <w:ind w:firstLine="480" w:firstLineChars="200"/>
        <w:rPr>
          <w:rFonts w:hint="eastAsia" w:ascii="仿宋" w:hAnsi="仿宋" w:eastAsia="仿宋" w:cs="仿宋"/>
          <w:sz w:val="24"/>
        </w:rPr>
      </w:pPr>
      <w:r>
        <w:rPr>
          <w:rFonts w:hint="eastAsia" w:ascii="仿宋" w:hAnsi="仿宋" w:eastAsia="仿宋" w:cs="仿宋"/>
          <w:sz w:val="24"/>
        </w:rPr>
        <w:t>通过模拟黑客使用的工具、分析方法对站点进行模拟攻击测试。由高级工程师进行深入的人工测试和分析，识别工具弱点扫描无法发现的问题。主要分析内容包括逻辑缺陷、上传绕过、输入输出校验绕过、数据篡改、功能绕过、异常错误等以及其他专项内容测试与分析，并输出渗透测试报告及修复建议。</w:t>
      </w:r>
    </w:p>
    <w:p w14:paraId="3DB27B74">
      <w:pPr>
        <w:rPr>
          <w:rFonts w:hint="eastAsia" w:ascii="仿宋" w:hAnsi="仿宋" w:eastAsia="仿宋" w:cs="仿宋"/>
          <w:sz w:val="24"/>
        </w:rPr>
      </w:pPr>
      <w:r>
        <w:rPr>
          <w:rFonts w:hint="eastAsia" w:ascii="仿宋" w:hAnsi="仿宋" w:eastAsia="仿宋" w:cs="仿宋"/>
          <w:sz w:val="24"/>
        </w:rPr>
        <w:t>服务频率：1年1次</w:t>
      </w:r>
    </w:p>
    <w:p w14:paraId="6759621B">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2、漏洞扫描服务</w:t>
      </w:r>
    </w:p>
    <w:p w14:paraId="7E967ABA">
      <w:pPr>
        <w:ind w:firstLine="480" w:firstLineChars="200"/>
        <w:rPr>
          <w:rFonts w:hint="eastAsia" w:ascii="仿宋" w:hAnsi="仿宋" w:eastAsia="仿宋" w:cs="仿宋"/>
          <w:sz w:val="24"/>
        </w:rPr>
      </w:pPr>
      <w:r>
        <w:rPr>
          <w:rFonts w:hint="eastAsia" w:ascii="仿宋" w:hAnsi="仿宋" w:eastAsia="仿宋" w:cs="仿宋"/>
          <w:sz w:val="24"/>
        </w:rPr>
        <w:t>利用专业漏洞扫描工具，对网络设备、安全设备、操作系统、应用中间件、web应用系统、数据库等进行系统脆弱性扫描分析，对扫描结果进行分析整理，协助开发人员进行整改。同时提供系统补丁修复服务，</w:t>
      </w:r>
    </w:p>
    <w:p w14:paraId="49418B86">
      <w:pPr>
        <w:ind w:firstLine="480" w:firstLineChars="200"/>
        <w:rPr>
          <w:rFonts w:hint="eastAsia" w:ascii="仿宋" w:hAnsi="仿宋" w:eastAsia="仿宋" w:cs="仿宋"/>
          <w:sz w:val="24"/>
        </w:rPr>
      </w:pPr>
      <w:r>
        <w:rPr>
          <w:rFonts w:hint="eastAsia" w:ascii="仿宋" w:hAnsi="仿宋" w:eastAsia="仿宋" w:cs="仿宋"/>
          <w:sz w:val="24"/>
        </w:rPr>
        <w:t>漏洞扫描频率：1年4次。</w:t>
      </w:r>
    </w:p>
    <w:p w14:paraId="4D859151">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3、应急响应服务</w:t>
      </w:r>
    </w:p>
    <w:p w14:paraId="1929F136">
      <w:pPr>
        <w:tabs>
          <w:tab w:val="left" w:pos="8280"/>
        </w:tabs>
        <w:autoSpaceDE w:val="0"/>
        <w:autoSpaceDN w:val="0"/>
        <w:adjustRightInd w:val="0"/>
        <w:ind w:right="23" w:firstLine="480" w:firstLineChars="200"/>
        <w:rPr>
          <w:rFonts w:hint="eastAsia" w:ascii="仿宋" w:hAnsi="仿宋" w:eastAsia="仿宋" w:cs="仿宋"/>
          <w:sz w:val="24"/>
        </w:rPr>
      </w:pPr>
      <w:r>
        <w:rPr>
          <w:rFonts w:hint="eastAsia" w:ascii="仿宋" w:hAnsi="仿宋" w:eastAsia="仿宋" w:cs="仿宋"/>
          <w:sz w:val="24"/>
        </w:rPr>
        <w:t>针对客户方信息系统出现信息安全风险、恶意攻击、入侵等威胁时，能在规定时间内快速到达现场及时提供信息安全应急响应服务，协助客户查找风险来源及事件追溯，确定威胁过程，提供系统恢复方案，并协助进行修复加固。</w:t>
      </w:r>
    </w:p>
    <w:p w14:paraId="05F7C7CF">
      <w:pPr>
        <w:tabs>
          <w:tab w:val="left" w:pos="8280"/>
        </w:tabs>
        <w:autoSpaceDE w:val="0"/>
        <w:autoSpaceDN w:val="0"/>
        <w:adjustRightInd w:val="0"/>
        <w:ind w:right="23" w:firstLine="480" w:firstLineChars="200"/>
        <w:rPr>
          <w:rFonts w:hint="eastAsia" w:ascii="仿宋" w:hAnsi="仿宋" w:eastAsia="仿宋" w:cs="仿宋"/>
          <w:sz w:val="24"/>
        </w:rPr>
      </w:pPr>
      <w:r>
        <w:rPr>
          <w:rFonts w:hint="eastAsia" w:ascii="仿宋" w:hAnsi="仿宋" w:eastAsia="仿宋" w:cs="仿宋"/>
          <w:sz w:val="24"/>
          <w:lang w:eastAsia="zh-CN"/>
        </w:rPr>
        <w:t>乙方</w:t>
      </w:r>
      <w:r>
        <w:rPr>
          <w:rFonts w:hint="eastAsia" w:ascii="仿宋" w:hAnsi="仿宋" w:eastAsia="仿宋" w:cs="仿宋"/>
          <w:sz w:val="24"/>
        </w:rPr>
        <w:t>针对用户方在重大节假日、重大会议期间、护网行动时期，提供技术人员现场驻场保障服务，保障用户方信息系统安全。</w:t>
      </w:r>
    </w:p>
    <w:p w14:paraId="37F58B9E">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4、安全应急演练服务</w:t>
      </w:r>
    </w:p>
    <w:p w14:paraId="094559DC">
      <w:pPr>
        <w:ind w:firstLine="480" w:firstLineChars="200"/>
        <w:rPr>
          <w:rFonts w:hint="eastAsia" w:ascii="仿宋" w:hAnsi="仿宋" w:eastAsia="仿宋" w:cs="仿宋"/>
          <w:sz w:val="24"/>
        </w:rPr>
      </w:pPr>
      <w:r>
        <w:rPr>
          <w:rFonts w:hint="eastAsia" w:ascii="仿宋" w:hAnsi="仿宋" w:eastAsia="仿宋" w:cs="仿宋"/>
          <w:sz w:val="24"/>
        </w:rPr>
        <w:t>在服务期内，根据单位应急演练预案，协助</w:t>
      </w:r>
      <w:r>
        <w:rPr>
          <w:rFonts w:hint="eastAsia" w:ascii="仿宋" w:hAnsi="仿宋" w:eastAsia="仿宋" w:cs="仿宋"/>
          <w:sz w:val="24"/>
          <w:lang w:eastAsia="zh-CN"/>
        </w:rPr>
        <w:t>甲方</w:t>
      </w:r>
      <w:r>
        <w:rPr>
          <w:rFonts w:hint="eastAsia" w:ascii="仿宋" w:hAnsi="仿宋" w:eastAsia="仿宋" w:cs="仿宋"/>
          <w:sz w:val="24"/>
        </w:rPr>
        <w:t>开展预案演练，提高应对安全事件的处置能力，预防和减少安全事件造成的危害和损失。应急演练是应急响应事件发生的场景模拟，通过对事件频发、危害性高、影响范围大的特定信息安全事件进行演练，以期在遇到此类信息安全事件应急响应处置过程中，发现问题，及时响应，快速处置的目的。</w:t>
      </w:r>
    </w:p>
    <w:p w14:paraId="340F97B2">
      <w:pPr>
        <w:ind w:firstLine="480" w:firstLineChars="200"/>
        <w:rPr>
          <w:rFonts w:hint="eastAsia" w:ascii="仿宋" w:hAnsi="仿宋" w:eastAsia="仿宋" w:cs="仿宋"/>
          <w:sz w:val="24"/>
        </w:rPr>
      </w:pPr>
      <w:r>
        <w:rPr>
          <w:rFonts w:hint="eastAsia" w:ascii="仿宋" w:hAnsi="仿宋" w:eastAsia="仿宋" w:cs="仿宋"/>
          <w:sz w:val="24"/>
        </w:rPr>
        <w:t>应急演练频率：1年1次</w:t>
      </w:r>
    </w:p>
    <w:p w14:paraId="137549D9">
      <w:pPr>
        <w:numPr>
          <w:ilvl w:val="0"/>
          <w:numId w:val="0"/>
        </w:numPr>
        <w:spacing w:line="360" w:lineRule="auto"/>
        <w:rPr>
          <w:rFonts w:hint="eastAsia" w:ascii="仿宋" w:hAnsi="仿宋" w:eastAsia="仿宋" w:cs="仿宋"/>
          <w:b/>
          <w:sz w:val="24"/>
        </w:rPr>
      </w:pPr>
      <w:r>
        <w:rPr>
          <w:rFonts w:hint="eastAsia" w:ascii="仿宋" w:hAnsi="仿宋" w:eastAsia="仿宋" w:cs="仿宋"/>
          <w:b/>
          <w:sz w:val="24"/>
          <w:lang w:eastAsia="zh-CN"/>
        </w:rPr>
        <w:t>九、</w:t>
      </w:r>
      <w:r>
        <w:rPr>
          <w:rFonts w:hint="eastAsia" w:ascii="仿宋" w:hAnsi="仿宋" w:eastAsia="仿宋" w:cs="仿宋"/>
          <w:b/>
          <w:sz w:val="24"/>
        </w:rPr>
        <w:t>原厂升级服务</w:t>
      </w:r>
    </w:p>
    <w:p w14:paraId="18FBC5F3">
      <w:pPr>
        <w:tabs>
          <w:tab w:val="left" w:pos="8280"/>
        </w:tabs>
        <w:autoSpaceDE w:val="0"/>
        <w:autoSpaceDN w:val="0"/>
        <w:adjustRightInd w:val="0"/>
        <w:ind w:right="23" w:firstLine="480" w:firstLineChars="200"/>
        <w:rPr>
          <w:rFonts w:hint="eastAsia" w:ascii="仿宋" w:hAnsi="仿宋" w:eastAsia="仿宋" w:cs="仿宋"/>
          <w:sz w:val="24"/>
        </w:rPr>
      </w:pPr>
      <w:r>
        <w:rPr>
          <w:rFonts w:hint="eastAsia" w:ascii="仿宋" w:hAnsi="仿宋" w:eastAsia="仿宋" w:cs="仿宋"/>
          <w:sz w:val="24"/>
        </w:rPr>
        <w:t>针对现有安全设备包括（深信服AF-1820、深信服AF-1850-IPS、深信服AF-1000-E420、深信服AF-1000-E420-IS、深信服 SIP-1000-A600、深信服 STA-100-B420、深信服 VT-1000-A620、深信服 端点安全软件V3.0），</w:t>
      </w:r>
      <w:r>
        <w:rPr>
          <w:rFonts w:hint="eastAsia" w:ascii="仿宋" w:hAnsi="仿宋" w:eastAsia="仿宋" w:cs="仿宋"/>
          <w:sz w:val="24"/>
          <w:lang w:eastAsia="zh-CN"/>
        </w:rPr>
        <w:t>乙方</w:t>
      </w:r>
      <w:r>
        <w:rPr>
          <w:rFonts w:hint="eastAsia" w:ascii="仿宋" w:hAnsi="仿宋" w:eastAsia="仿宋" w:cs="仿宋"/>
          <w:sz w:val="24"/>
        </w:rPr>
        <w:t>承诺提供升级服务，在服务期内提供特征库、病毒库等原厂授权的升级服务。</w:t>
      </w:r>
    </w:p>
    <w:p w14:paraId="48BB9003">
      <w:pPr>
        <w:numPr>
          <w:ilvl w:val="0"/>
          <w:numId w:val="0"/>
        </w:numPr>
        <w:spacing w:line="360" w:lineRule="auto"/>
        <w:rPr>
          <w:rFonts w:hint="eastAsia" w:ascii="仿宋" w:hAnsi="仿宋" w:eastAsia="仿宋" w:cs="仿宋"/>
          <w:b/>
          <w:sz w:val="24"/>
        </w:rPr>
      </w:pPr>
      <w:r>
        <w:rPr>
          <w:rFonts w:hint="eastAsia" w:ascii="仿宋" w:hAnsi="仿宋" w:eastAsia="仿宋" w:cs="仿宋"/>
          <w:b/>
          <w:sz w:val="24"/>
          <w:lang w:eastAsia="zh-CN"/>
        </w:rPr>
        <w:t>十、</w:t>
      </w:r>
      <w:r>
        <w:rPr>
          <w:rFonts w:hint="eastAsia" w:ascii="仿宋" w:hAnsi="仿宋" w:eastAsia="仿宋" w:cs="仿宋"/>
          <w:b/>
          <w:sz w:val="24"/>
        </w:rPr>
        <w:t>网络优化和机房线路整理</w:t>
      </w:r>
    </w:p>
    <w:p w14:paraId="3C526ED0">
      <w:pPr>
        <w:tabs>
          <w:tab w:val="left" w:pos="8280"/>
        </w:tabs>
        <w:autoSpaceDE w:val="0"/>
        <w:autoSpaceDN w:val="0"/>
        <w:adjustRightInd w:val="0"/>
        <w:ind w:right="23" w:firstLine="480" w:firstLineChars="200"/>
        <w:rPr>
          <w:rFonts w:hint="eastAsia" w:ascii="仿宋" w:hAnsi="仿宋" w:eastAsia="仿宋" w:cs="仿宋"/>
          <w:sz w:val="24"/>
        </w:rPr>
      </w:pPr>
      <w:r>
        <w:rPr>
          <w:rFonts w:hint="eastAsia" w:ascii="仿宋" w:hAnsi="仿宋" w:eastAsia="仿宋" w:cs="仿宋"/>
          <w:sz w:val="24"/>
          <w:lang w:eastAsia="zh-CN"/>
        </w:rPr>
        <w:t>乙方</w:t>
      </w:r>
      <w:r>
        <w:rPr>
          <w:rFonts w:hint="eastAsia" w:ascii="仿宋" w:hAnsi="仿宋" w:eastAsia="仿宋" w:cs="仿宋"/>
          <w:sz w:val="24"/>
        </w:rPr>
        <w:t>需对用户方现有网络、设备配置进行梳理，并提供调整服务。同时对局内机房现有线路进行梳理和清洁整理。</w:t>
      </w:r>
    </w:p>
    <w:p w14:paraId="576BCDB9">
      <w:pPr>
        <w:numPr>
          <w:ilvl w:val="0"/>
          <w:numId w:val="0"/>
        </w:numPr>
        <w:spacing w:line="360" w:lineRule="auto"/>
        <w:rPr>
          <w:rFonts w:hint="eastAsia" w:ascii="仿宋" w:hAnsi="仿宋" w:eastAsia="仿宋" w:cs="仿宋"/>
          <w:b/>
          <w:sz w:val="24"/>
        </w:rPr>
      </w:pPr>
      <w:r>
        <w:rPr>
          <w:rFonts w:hint="eastAsia" w:ascii="仿宋" w:hAnsi="仿宋" w:eastAsia="仿宋" w:cs="仿宋"/>
          <w:b/>
          <w:sz w:val="24"/>
          <w:lang w:val="en-US" w:eastAsia="zh-CN"/>
        </w:rPr>
        <w:t>十一、</w:t>
      </w:r>
      <w:r>
        <w:rPr>
          <w:rFonts w:hint="eastAsia" w:ascii="仿宋" w:hAnsi="仿宋" w:eastAsia="仿宋" w:cs="仿宋"/>
          <w:b/>
          <w:sz w:val="24"/>
        </w:rPr>
        <w:t>备品备件服务</w:t>
      </w:r>
    </w:p>
    <w:p w14:paraId="4BD356A1">
      <w:pPr>
        <w:tabs>
          <w:tab w:val="left" w:pos="8280"/>
        </w:tabs>
        <w:autoSpaceDE w:val="0"/>
        <w:autoSpaceDN w:val="0"/>
        <w:adjustRightInd w:val="0"/>
        <w:ind w:right="23" w:firstLine="480" w:firstLineChars="200"/>
        <w:rPr>
          <w:rFonts w:hint="eastAsia" w:ascii="仿宋" w:hAnsi="仿宋" w:eastAsia="仿宋" w:cs="仿宋"/>
          <w:sz w:val="24"/>
        </w:rPr>
      </w:pPr>
      <w:r>
        <w:rPr>
          <w:rFonts w:hint="eastAsia" w:ascii="仿宋" w:hAnsi="仿宋" w:eastAsia="仿宋" w:cs="仿宋"/>
          <w:sz w:val="24"/>
          <w:lang w:eastAsia="zh-CN"/>
        </w:rPr>
        <w:t>乙方</w:t>
      </w:r>
      <w:r>
        <w:rPr>
          <w:rFonts w:hint="eastAsia" w:ascii="仿宋" w:hAnsi="仿宋" w:eastAsia="仿宋" w:cs="仿宋"/>
          <w:sz w:val="24"/>
        </w:rPr>
        <w:t>在省内拥有自主的备件库，并提供备件库地址。当发生严重故障时，备件送达上虞</w:t>
      </w:r>
      <w:r>
        <w:rPr>
          <w:rFonts w:hint="eastAsia" w:ascii="仿宋" w:hAnsi="仿宋" w:eastAsia="仿宋" w:cs="仿宋"/>
          <w:sz w:val="24"/>
          <w:lang w:eastAsia="zh-CN"/>
        </w:rPr>
        <w:t>市场监督管理</w:t>
      </w:r>
      <w:r>
        <w:rPr>
          <w:rFonts w:hint="eastAsia" w:ascii="仿宋" w:hAnsi="仿宋" w:eastAsia="仿宋" w:cs="仿宋"/>
          <w:sz w:val="24"/>
        </w:rPr>
        <w:t xml:space="preserve">局机房现场时间不能超过4小时。根据所有可能发生的硬件故障，提供完整备件库，第一时间提供备件更换，并及时补充备件库。 </w:t>
      </w:r>
    </w:p>
    <w:p w14:paraId="348C8101">
      <w:pPr>
        <w:tabs>
          <w:tab w:val="left" w:pos="8280"/>
        </w:tabs>
        <w:autoSpaceDE w:val="0"/>
        <w:autoSpaceDN w:val="0"/>
        <w:adjustRightInd w:val="0"/>
        <w:ind w:right="23" w:firstLine="480" w:firstLineChars="200"/>
        <w:rPr>
          <w:rFonts w:hint="eastAsia" w:ascii="仿宋" w:hAnsi="仿宋" w:eastAsia="仿宋" w:cs="仿宋"/>
          <w:sz w:val="24"/>
        </w:rPr>
      </w:pPr>
      <w:r>
        <w:rPr>
          <w:rFonts w:hint="eastAsia" w:ascii="仿宋" w:hAnsi="仿宋" w:eastAsia="仿宋" w:cs="仿宋"/>
          <w:sz w:val="24"/>
        </w:rPr>
        <w:t>在中标后7个工作日内，</w:t>
      </w:r>
      <w:r>
        <w:rPr>
          <w:rFonts w:hint="eastAsia" w:ascii="仿宋" w:hAnsi="仿宋" w:eastAsia="仿宋" w:cs="仿宋"/>
          <w:sz w:val="24"/>
          <w:lang w:eastAsia="zh-CN"/>
        </w:rPr>
        <w:t>甲方</w:t>
      </w:r>
      <w:r>
        <w:rPr>
          <w:rFonts w:hint="eastAsia" w:ascii="仿宋" w:hAnsi="仿宋" w:eastAsia="仿宋" w:cs="仿宋"/>
          <w:sz w:val="24"/>
        </w:rPr>
        <w:t>有权核实备件库情况，如拒绝或故意拖延</w:t>
      </w:r>
      <w:r>
        <w:rPr>
          <w:rFonts w:hint="eastAsia" w:ascii="仿宋" w:hAnsi="仿宋" w:eastAsia="仿宋" w:cs="仿宋"/>
          <w:sz w:val="24"/>
          <w:lang w:eastAsia="zh-CN"/>
        </w:rPr>
        <w:t>甲方</w:t>
      </w:r>
      <w:r>
        <w:rPr>
          <w:rFonts w:hint="eastAsia" w:ascii="仿宋" w:hAnsi="仿宋" w:eastAsia="仿宋" w:cs="仿宋"/>
          <w:sz w:val="24"/>
        </w:rPr>
        <w:t>核实的，或发现与承诺内容不符合的，将依据提供虚假材料谋取中标、成交的行为进行处理。</w:t>
      </w:r>
    </w:p>
    <w:p w14:paraId="7B3E87DC">
      <w:pPr>
        <w:tabs>
          <w:tab w:val="left" w:pos="8280"/>
        </w:tabs>
        <w:autoSpaceDE w:val="0"/>
        <w:autoSpaceDN w:val="0"/>
        <w:adjustRightInd w:val="0"/>
        <w:ind w:right="23"/>
        <w:rPr>
          <w:rFonts w:hint="eastAsia" w:ascii="仿宋" w:hAnsi="仿宋" w:eastAsia="仿宋" w:cs="仿宋"/>
          <w:b/>
          <w:sz w:val="24"/>
        </w:rPr>
      </w:pPr>
      <w:r>
        <w:rPr>
          <w:rFonts w:hint="eastAsia" w:ascii="仿宋" w:hAnsi="仿宋" w:eastAsia="仿宋" w:cs="仿宋"/>
          <w:sz w:val="24"/>
          <w:lang w:val="en-US" w:eastAsia="zh-CN"/>
        </w:rPr>
        <w:t>十二、</w:t>
      </w:r>
      <w:r>
        <w:rPr>
          <w:rFonts w:hint="eastAsia" w:ascii="仿宋" w:hAnsi="仿宋" w:eastAsia="仿宋" w:cs="仿宋"/>
          <w:b/>
          <w:sz w:val="24"/>
        </w:rPr>
        <w:t>项目人员要求</w:t>
      </w:r>
    </w:p>
    <w:p w14:paraId="552E7FD5">
      <w:pPr>
        <w:tabs>
          <w:tab w:val="left" w:pos="8280"/>
        </w:tabs>
        <w:autoSpaceDE w:val="0"/>
        <w:autoSpaceDN w:val="0"/>
        <w:adjustRightInd w:val="0"/>
        <w:ind w:right="23" w:firstLine="480" w:firstLineChars="200"/>
        <w:rPr>
          <w:rFonts w:hint="eastAsia" w:ascii="仿宋" w:hAnsi="仿宋" w:eastAsia="仿宋" w:cs="仿宋"/>
          <w:sz w:val="24"/>
        </w:rPr>
      </w:pPr>
      <w:r>
        <w:rPr>
          <w:rFonts w:hint="eastAsia" w:ascii="仿宋" w:hAnsi="仿宋" w:eastAsia="仿宋" w:cs="仿宋"/>
          <w:sz w:val="24"/>
          <w:lang w:eastAsia="zh-CN"/>
        </w:rPr>
        <w:t>乙方</w:t>
      </w:r>
      <w:r>
        <w:rPr>
          <w:rFonts w:hint="eastAsia" w:ascii="仿宋" w:hAnsi="仿宋" w:eastAsia="仿宋" w:cs="仿宋"/>
          <w:sz w:val="24"/>
        </w:rPr>
        <w:t>需要为</w:t>
      </w:r>
      <w:r>
        <w:rPr>
          <w:rFonts w:hint="eastAsia" w:ascii="仿宋" w:hAnsi="仿宋" w:eastAsia="仿宋" w:cs="仿宋"/>
          <w:sz w:val="24"/>
          <w:lang w:eastAsia="zh-CN"/>
        </w:rPr>
        <w:t>甲方</w:t>
      </w:r>
      <w:r>
        <w:rPr>
          <w:rFonts w:hint="eastAsia" w:ascii="仿宋" w:hAnsi="仿宋" w:eastAsia="仿宋" w:cs="仿宋"/>
          <w:sz w:val="24"/>
        </w:rPr>
        <w:t>提供本地化服务和技术支持，并至少为本次招标项目专门指派1名项目经理、1名主机存储工程师、1名网络工程师、1名数据库备份工程师组织协调并有效、快速的解决本次招标维护保修范围的各类故障，同时要尽量保证人员的稳定。如在维保期间，用户方认为</w:t>
      </w:r>
      <w:r>
        <w:rPr>
          <w:rFonts w:hint="eastAsia" w:ascii="仿宋" w:hAnsi="仿宋" w:eastAsia="仿宋" w:cs="仿宋"/>
          <w:sz w:val="24"/>
          <w:lang w:eastAsia="zh-CN"/>
        </w:rPr>
        <w:t>供应商</w:t>
      </w:r>
      <w:r>
        <w:rPr>
          <w:rFonts w:hint="eastAsia" w:ascii="仿宋" w:hAnsi="仿宋" w:eastAsia="仿宋" w:cs="仿宋"/>
          <w:sz w:val="24"/>
        </w:rPr>
        <w:t>工程师能力有限，可要求投标方更换工程师，</w:t>
      </w:r>
      <w:r>
        <w:rPr>
          <w:rFonts w:hint="eastAsia" w:ascii="仿宋" w:hAnsi="仿宋" w:eastAsia="仿宋" w:cs="仿宋"/>
          <w:sz w:val="24"/>
          <w:lang w:eastAsia="zh-CN"/>
        </w:rPr>
        <w:t>乙方</w:t>
      </w:r>
      <w:r>
        <w:rPr>
          <w:rFonts w:hint="eastAsia" w:ascii="仿宋" w:hAnsi="仿宋" w:eastAsia="仿宋" w:cs="仿宋"/>
          <w:sz w:val="24"/>
        </w:rPr>
        <w:t>需按</w:t>
      </w:r>
      <w:r>
        <w:rPr>
          <w:rFonts w:hint="eastAsia" w:ascii="仿宋" w:hAnsi="仿宋" w:eastAsia="仿宋" w:cs="仿宋"/>
          <w:sz w:val="24"/>
          <w:lang w:eastAsia="zh-CN"/>
        </w:rPr>
        <w:t>甲方</w:t>
      </w:r>
      <w:r>
        <w:rPr>
          <w:rFonts w:hint="eastAsia" w:ascii="仿宋" w:hAnsi="仿宋" w:eastAsia="仿宋" w:cs="仿宋"/>
          <w:sz w:val="24"/>
        </w:rPr>
        <w:t>要求执行。</w:t>
      </w:r>
    </w:p>
    <w:p w14:paraId="6F05D715">
      <w:pPr>
        <w:numPr>
          <w:ilvl w:val="0"/>
          <w:numId w:val="0"/>
        </w:numPr>
        <w:spacing w:line="360" w:lineRule="auto"/>
        <w:rPr>
          <w:rFonts w:hint="eastAsia" w:ascii="仿宋" w:hAnsi="仿宋" w:eastAsia="仿宋" w:cs="仿宋"/>
          <w:b/>
          <w:sz w:val="24"/>
        </w:rPr>
      </w:pPr>
      <w:r>
        <w:rPr>
          <w:rFonts w:hint="eastAsia" w:ascii="仿宋" w:hAnsi="仿宋" w:eastAsia="仿宋" w:cs="仿宋"/>
          <w:b/>
          <w:sz w:val="24"/>
          <w:lang w:val="en-US" w:eastAsia="zh-CN"/>
        </w:rPr>
        <w:t>十三、</w:t>
      </w:r>
      <w:r>
        <w:rPr>
          <w:rFonts w:hint="eastAsia" w:ascii="仿宋" w:hAnsi="仿宋" w:eastAsia="仿宋" w:cs="仿宋"/>
          <w:b/>
          <w:sz w:val="24"/>
        </w:rPr>
        <w:t>技术支持</w:t>
      </w:r>
    </w:p>
    <w:p w14:paraId="7574BD36">
      <w:pPr>
        <w:keepNext w:val="0"/>
        <w:keepLines w:val="0"/>
        <w:pageBreakBefore w:val="0"/>
        <w:widowControl w:val="0"/>
        <w:tabs>
          <w:tab w:val="left" w:pos="8280"/>
        </w:tabs>
        <w:kinsoku/>
        <w:wordWrap/>
        <w:overflowPunct/>
        <w:topLinePunct w:val="0"/>
        <w:autoSpaceDE w:val="0"/>
        <w:autoSpaceDN w:val="0"/>
        <w:bidi w:val="0"/>
        <w:adjustRightInd w:val="0"/>
        <w:snapToGrid/>
        <w:spacing w:line="336" w:lineRule="auto"/>
        <w:ind w:right="23" w:firstLine="480" w:firstLineChars="200"/>
        <w:textAlignment w:val="auto"/>
        <w:rPr>
          <w:rFonts w:hint="eastAsia" w:ascii="仿宋" w:hAnsi="仿宋" w:eastAsia="仿宋" w:cs="仿宋"/>
          <w:sz w:val="24"/>
          <w:highlight w:val="yellow"/>
          <w:lang w:val="en-US" w:eastAsia="zh-CN"/>
        </w:rPr>
      </w:pPr>
      <w:r>
        <w:rPr>
          <w:rFonts w:hint="eastAsia" w:ascii="仿宋" w:hAnsi="仿宋" w:eastAsia="仿宋" w:cs="仿宋"/>
          <w:sz w:val="24"/>
          <w:lang w:eastAsia="zh-CN"/>
        </w:rPr>
        <w:t>乙方</w:t>
      </w:r>
      <w:r>
        <w:rPr>
          <w:rFonts w:hint="eastAsia" w:ascii="仿宋" w:hAnsi="仿宋" w:eastAsia="仿宋" w:cs="仿宋"/>
          <w:sz w:val="24"/>
        </w:rPr>
        <w:t>应及时免费提供合同货物软件的升级，免费提供合同货物新功能和应用</w:t>
      </w:r>
      <w:r>
        <w:rPr>
          <w:rFonts w:hint="eastAsia" w:ascii="仿宋" w:hAnsi="仿宋" w:eastAsia="仿宋" w:cs="仿宋"/>
          <w:sz w:val="24"/>
          <w:lang w:eastAsia="zh-CN"/>
        </w:rPr>
        <w:t>的资料。</w:t>
      </w:r>
      <w:r>
        <w:rPr>
          <w:rFonts w:hint="eastAsia" w:ascii="仿宋" w:hAnsi="仿宋" w:eastAsia="仿宋" w:cs="仿宋"/>
          <w:sz w:val="24"/>
          <w:highlight w:val="yellow"/>
          <w:lang w:val="en-US" w:eastAsia="zh-CN"/>
        </w:rPr>
        <w:t>平台完成信息安全二级等保测评80分。</w:t>
      </w:r>
    </w:p>
    <w:p w14:paraId="15231B83">
      <w:pPr>
        <w:keepNext w:val="0"/>
        <w:keepLines w:val="0"/>
        <w:pageBreakBefore w:val="0"/>
        <w:widowControl w:val="0"/>
        <w:tabs>
          <w:tab w:val="left" w:pos="8280"/>
        </w:tabs>
        <w:kinsoku/>
        <w:wordWrap/>
        <w:overflowPunct/>
        <w:topLinePunct w:val="0"/>
        <w:autoSpaceDE w:val="0"/>
        <w:autoSpaceDN w:val="0"/>
        <w:bidi w:val="0"/>
        <w:adjustRightInd w:val="0"/>
        <w:snapToGrid/>
        <w:spacing w:line="336" w:lineRule="auto"/>
        <w:ind w:right="23"/>
        <w:textAlignment w:val="auto"/>
        <w:rPr>
          <w:rFonts w:hint="eastAsia" w:ascii="仿宋" w:hAnsi="仿宋" w:eastAsia="仿宋" w:cs="仿宋"/>
          <w:b/>
          <w:sz w:val="24"/>
          <w:lang w:val="en-US"/>
        </w:rPr>
      </w:pPr>
      <w:r>
        <w:rPr>
          <w:rFonts w:hint="eastAsia" w:ascii="仿宋" w:hAnsi="仿宋" w:eastAsia="仿宋" w:cs="仿宋"/>
          <w:sz w:val="24"/>
          <w:highlight w:val="yellow"/>
          <w:lang w:val="en-US" w:eastAsia="zh-CN"/>
        </w:rPr>
        <w:t>十四、</w:t>
      </w:r>
      <w:r>
        <w:rPr>
          <w:rFonts w:hint="eastAsia" w:ascii="仿宋" w:hAnsi="仿宋" w:eastAsia="仿宋" w:cs="仿宋"/>
          <w:b/>
          <w:sz w:val="24"/>
          <w:lang w:val="en-US"/>
        </w:rPr>
        <w:t>保密要求</w:t>
      </w:r>
    </w:p>
    <w:p w14:paraId="54CA1ABC">
      <w:pPr>
        <w:pStyle w:val="3"/>
        <w:keepNext/>
        <w:keepLines w:val="0"/>
        <w:pageBreakBefore w:val="0"/>
        <w:widowControl w:val="0"/>
        <w:numPr>
          <w:ilvl w:val="0"/>
          <w:numId w:val="0"/>
        </w:numPr>
        <w:tabs>
          <w:tab w:val="left" w:pos="432"/>
        </w:tabs>
        <w:kinsoku/>
        <w:wordWrap/>
        <w:overflowPunct/>
        <w:topLinePunct w:val="0"/>
        <w:autoSpaceDE/>
        <w:autoSpaceDN/>
        <w:bidi w:val="0"/>
        <w:adjustRightInd/>
        <w:snapToGrid w:val="0"/>
        <w:spacing w:line="360" w:lineRule="auto"/>
        <w:ind w:leftChars="0" w:firstLine="480" w:firstLineChars="200"/>
        <w:jc w:val="both"/>
        <w:textAlignment w:val="auto"/>
        <w:rPr>
          <w:rFonts w:hint="eastAsia" w:ascii="仿宋" w:hAnsi="仿宋" w:eastAsia="仿宋" w:cs="仿宋"/>
          <w:sz w:val="24"/>
          <w:lang w:eastAsia="zh-CN"/>
        </w:rPr>
      </w:pPr>
      <w:r>
        <w:rPr>
          <w:rFonts w:hint="eastAsia" w:ascii="宋体" w:hAnsi="宋体" w:eastAsia="宋体" w:cs="宋体"/>
          <w:b w:val="0"/>
          <w:bCs/>
          <w:color w:val="auto"/>
          <w:sz w:val="24"/>
          <w:szCs w:val="24"/>
        </w:rPr>
        <w:t>中标人应当建立完整的电子档案资料，在合同正常终止后向甲方提供有关技术资料</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与本项目有关的资料及数据中涉及国家保密的内容，均要求按照《中华人民共和国保守国家秘密法》及相关法律法规执行</w:t>
      </w:r>
      <w:r>
        <w:rPr>
          <w:rFonts w:hint="eastAsia" w:ascii="宋体" w:hAnsi="宋体" w:eastAsia="宋体" w:cs="宋体"/>
          <w:b w:val="0"/>
          <w:bCs/>
          <w:color w:val="auto"/>
          <w:sz w:val="24"/>
          <w:szCs w:val="24"/>
          <w:lang w:eastAsia="zh-CN"/>
        </w:rPr>
        <w:t>；</w:t>
      </w:r>
      <w:r>
        <w:rPr>
          <w:rFonts w:hint="eastAsia" w:ascii="宋体" w:hAnsi="宋体" w:eastAsia="宋体" w:cs="宋体"/>
          <w:b w:val="0"/>
          <w:bCs/>
          <w:sz w:val="24"/>
          <w:szCs w:val="24"/>
        </w:rPr>
        <w:t>中标人应遵守相关保密</w:t>
      </w:r>
      <w:r>
        <w:rPr>
          <w:rFonts w:hint="eastAsia" w:ascii="宋体" w:hAnsi="宋体" w:eastAsia="宋体" w:cs="宋体"/>
          <w:b w:val="0"/>
          <w:bCs/>
          <w:sz w:val="24"/>
          <w:szCs w:val="24"/>
          <w:lang w:eastAsia="zh-CN"/>
        </w:rPr>
        <w:t>法律法规</w:t>
      </w:r>
      <w:r>
        <w:rPr>
          <w:rFonts w:hint="eastAsia" w:ascii="宋体" w:hAnsi="宋体" w:eastAsia="宋体" w:cs="宋体"/>
          <w:b w:val="0"/>
          <w:bCs/>
          <w:sz w:val="24"/>
          <w:szCs w:val="24"/>
        </w:rPr>
        <w:t>，确保项目的信息安全</w:t>
      </w:r>
      <w:r>
        <w:rPr>
          <w:rFonts w:hint="eastAsia" w:ascii="宋体" w:hAnsi="宋体" w:eastAsia="宋体" w:cs="宋体"/>
          <w:b w:val="0"/>
          <w:bCs/>
          <w:sz w:val="24"/>
          <w:szCs w:val="24"/>
          <w:lang w:eastAsia="zh-CN"/>
        </w:rPr>
        <w:t>。</w:t>
      </w:r>
    </w:p>
    <w:p w14:paraId="2B972F0D">
      <w:pPr>
        <w:keepLines w:val="0"/>
        <w:pageBreakBefore w:val="0"/>
        <w:kinsoku/>
        <w:overflowPunct/>
        <w:topLinePunct w:val="0"/>
        <w:bidi w:val="0"/>
        <w:spacing w:line="360" w:lineRule="auto"/>
        <w:rPr>
          <w:b/>
          <w:sz w:val="24"/>
        </w:rPr>
      </w:pPr>
      <w:r>
        <w:rPr>
          <w:rFonts w:hint="eastAsia"/>
          <w:b/>
          <w:sz w:val="24"/>
          <w:lang w:eastAsia="zh-CN"/>
        </w:rPr>
        <w:t>十五</w:t>
      </w:r>
      <w:r>
        <w:rPr>
          <w:rFonts w:hint="eastAsia"/>
          <w:b/>
          <w:sz w:val="24"/>
        </w:rPr>
        <w:t>、服务期</w:t>
      </w:r>
    </w:p>
    <w:p w14:paraId="31B79F76">
      <w:pPr>
        <w:keepLines w:val="0"/>
        <w:pageBreakBefore w:val="0"/>
        <w:kinsoku/>
        <w:overflowPunct/>
        <w:topLinePunct w:val="0"/>
        <w:bidi w:val="0"/>
        <w:spacing w:line="360" w:lineRule="auto"/>
        <w:ind w:firstLine="480" w:firstLineChars="200"/>
        <w:jc w:val="left"/>
        <w:rPr>
          <w:rFonts w:ascii="宋体"/>
          <w:kern w:val="0"/>
          <w:sz w:val="24"/>
        </w:rPr>
      </w:pPr>
      <w:r>
        <w:rPr>
          <w:rFonts w:hint="eastAsia" w:ascii="宋体"/>
          <w:kern w:val="0"/>
          <w:sz w:val="24"/>
        </w:rPr>
        <w:t>2024年</w:t>
      </w:r>
      <w:r>
        <w:rPr>
          <w:rFonts w:hint="eastAsia" w:ascii="宋体"/>
          <w:kern w:val="0"/>
          <w:sz w:val="24"/>
          <w:u w:val="single"/>
        </w:rPr>
        <w:t xml:space="preserve">    </w:t>
      </w:r>
      <w:r>
        <w:rPr>
          <w:rFonts w:hint="eastAsia" w:ascii="宋体"/>
          <w:kern w:val="0"/>
          <w:sz w:val="24"/>
        </w:rPr>
        <w:t>月</w:t>
      </w:r>
      <w:r>
        <w:rPr>
          <w:rFonts w:hint="eastAsia" w:ascii="宋体"/>
          <w:kern w:val="0"/>
          <w:sz w:val="24"/>
          <w:u w:val="single"/>
        </w:rPr>
        <w:t xml:space="preserve">    </w:t>
      </w:r>
      <w:r>
        <w:rPr>
          <w:rFonts w:hint="eastAsia" w:ascii="宋体"/>
          <w:kern w:val="0"/>
          <w:sz w:val="24"/>
        </w:rPr>
        <w:t>日起至</w:t>
      </w: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日（服务期</w:t>
      </w:r>
      <w:r>
        <w:rPr>
          <w:rFonts w:hint="eastAsia" w:ascii="宋体" w:hAnsi="宋体"/>
          <w:sz w:val="24"/>
          <w:lang w:eastAsia="zh-CN"/>
        </w:rPr>
        <w:t>一</w:t>
      </w:r>
      <w:r>
        <w:rPr>
          <w:rFonts w:hint="eastAsia" w:ascii="宋体" w:hAnsi="宋体"/>
          <w:sz w:val="24"/>
        </w:rPr>
        <w:t>年）</w:t>
      </w:r>
      <w:r>
        <w:rPr>
          <w:rFonts w:hint="eastAsia" w:ascii="宋体"/>
          <w:kern w:val="0"/>
          <w:sz w:val="24"/>
        </w:rPr>
        <w:t>。</w:t>
      </w:r>
    </w:p>
    <w:p w14:paraId="47314A33">
      <w:pPr>
        <w:pStyle w:val="12"/>
        <w:keepNext w:val="0"/>
        <w:keepLines w:val="0"/>
        <w:pageBreakBefore w:val="0"/>
        <w:widowControl w:val="0"/>
        <w:kinsoku/>
        <w:wordWrap/>
        <w:overflowPunct/>
        <w:topLinePunct w:val="0"/>
        <w:autoSpaceDE/>
        <w:autoSpaceDN/>
        <w:bidi w:val="0"/>
        <w:spacing w:line="360" w:lineRule="auto"/>
        <w:textAlignment w:val="auto"/>
        <w:rPr>
          <w:rFonts w:hint="eastAsia" w:hAnsi="宋体" w:cs="宋体"/>
          <w:b/>
          <w:sz w:val="24"/>
          <w:szCs w:val="24"/>
        </w:rPr>
      </w:pPr>
      <w:r>
        <w:rPr>
          <w:rFonts w:hint="eastAsia" w:ascii="宋体" w:hAnsi="宋体"/>
          <w:b/>
          <w:bCs/>
          <w:color w:val="auto"/>
          <w:kern w:val="0"/>
          <w:sz w:val="24"/>
          <w:szCs w:val="24"/>
          <w:highlight w:val="none"/>
          <w:lang w:eastAsia="zh-CN"/>
        </w:rPr>
        <w:t>十六、</w:t>
      </w:r>
      <w:r>
        <w:rPr>
          <w:rFonts w:hint="eastAsia" w:hAnsi="宋体"/>
          <w:b/>
          <w:bCs/>
          <w:color w:val="auto"/>
          <w:kern w:val="0"/>
          <w:sz w:val="24"/>
          <w:szCs w:val="24"/>
          <w:highlight w:val="none"/>
          <w:lang w:val="en-US" w:eastAsia="zh-CN"/>
        </w:rPr>
        <w:t>履约</w:t>
      </w:r>
      <w:r>
        <w:rPr>
          <w:rFonts w:hint="eastAsia" w:hAnsi="宋体" w:cs="宋体"/>
          <w:b/>
          <w:sz w:val="24"/>
          <w:szCs w:val="24"/>
        </w:rPr>
        <w:t>验收</w:t>
      </w:r>
    </w:p>
    <w:p w14:paraId="1DE90613">
      <w:pPr>
        <w:pStyle w:val="34"/>
        <w:keepNext w:val="0"/>
        <w:keepLines w:val="0"/>
        <w:pageBreakBefore w:val="0"/>
        <w:widowControl w:val="0"/>
        <w:tabs>
          <w:tab w:val="left" w:pos="0"/>
        </w:tabs>
        <w:kinsoku/>
        <w:wordWrap/>
        <w:overflowPunct/>
        <w:topLinePunct w:val="0"/>
        <w:autoSpaceDE/>
        <w:autoSpaceDN/>
        <w:bidi w:val="0"/>
        <w:spacing w:before="0" w:after="0" w:line="360" w:lineRule="auto"/>
        <w:ind w:left="0" w:leftChars="0" w:firstLine="480"/>
        <w:textAlignment w:val="auto"/>
        <w:rPr>
          <w:rFonts w:hint="eastAsia" w:ascii="宋体" w:hAnsi="宋体" w:cs="宋体"/>
          <w:szCs w:val="24"/>
        </w:rPr>
      </w:pPr>
      <w:r>
        <w:rPr>
          <w:rFonts w:hint="eastAsia" w:ascii="宋体" w:hAnsi="宋体" w:cs="宋体"/>
          <w:szCs w:val="24"/>
        </w:rPr>
        <w:t>1</w:t>
      </w:r>
      <w:r>
        <w:rPr>
          <w:rFonts w:hint="eastAsia" w:ascii="宋体" w:hAnsi="宋体" w:cs="宋体"/>
          <w:szCs w:val="24"/>
          <w:lang w:eastAsia="zh-CN"/>
        </w:rPr>
        <w:t>甲方</w:t>
      </w:r>
      <w:r>
        <w:rPr>
          <w:rFonts w:hint="eastAsia" w:ascii="宋体" w:hAnsi="宋体" w:cs="宋体"/>
          <w:szCs w:val="24"/>
        </w:rPr>
        <w:t>组织对</w:t>
      </w:r>
      <w:r>
        <w:rPr>
          <w:rFonts w:hint="eastAsia" w:ascii="宋体" w:hAnsi="宋体" w:cs="宋体"/>
          <w:szCs w:val="24"/>
          <w:lang w:eastAsia="zh-CN"/>
        </w:rPr>
        <w:t>乙方</w:t>
      </w:r>
      <w:r>
        <w:rPr>
          <w:rFonts w:hint="eastAsia" w:ascii="宋体" w:hAnsi="宋体" w:cs="宋体"/>
          <w:szCs w:val="24"/>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szCs w:val="24"/>
          <w:lang w:eastAsia="zh-CN"/>
        </w:rPr>
        <w:t>乙方</w:t>
      </w:r>
      <w:r>
        <w:rPr>
          <w:rFonts w:hint="eastAsia" w:ascii="宋体" w:hAnsi="宋体" w:cs="宋体"/>
          <w:szCs w:val="24"/>
        </w:rPr>
        <w:t>须承担由此发生的一切损失和费用，并接受相应的处理。</w:t>
      </w:r>
    </w:p>
    <w:p w14:paraId="5333C8CB">
      <w:pPr>
        <w:pStyle w:val="34"/>
        <w:keepNext w:val="0"/>
        <w:keepLines w:val="0"/>
        <w:pageBreakBefore w:val="0"/>
        <w:widowControl w:val="0"/>
        <w:tabs>
          <w:tab w:val="left" w:pos="0"/>
        </w:tabs>
        <w:kinsoku/>
        <w:wordWrap/>
        <w:overflowPunct/>
        <w:topLinePunct w:val="0"/>
        <w:autoSpaceDE/>
        <w:autoSpaceDN/>
        <w:bidi w:val="0"/>
        <w:spacing w:before="0" w:after="0" w:line="360" w:lineRule="auto"/>
        <w:ind w:left="0" w:leftChars="0" w:firstLine="480"/>
        <w:textAlignment w:val="auto"/>
        <w:rPr>
          <w:rFonts w:hint="eastAsia" w:ascii="宋体" w:hAnsi="宋体" w:cs="宋体"/>
          <w:szCs w:val="24"/>
        </w:rPr>
      </w:pPr>
      <w:r>
        <w:rPr>
          <w:rFonts w:hint="eastAsia" w:ascii="宋体" w:hAnsi="宋体" w:cs="宋体"/>
          <w:szCs w:val="24"/>
        </w:rPr>
        <w:t>2</w:t>
      </w:r>
      <w:r>
        <w:rPr>
          <w:rFonts w:hint="eastAsia" w:ascii="宋体" w:hAnsi="宋体" w:cs="宋体"/>
          <w:szCs w:val="24"/>
          <w:lang w:eastAsia="zh-CN"/>
        </w:rPr>
        <w:t>甲方</w:t>
      </w:r>
      <w:r>
        <w:rPr>
          <w:rFonts w:hint="eastAsia" w:ascii="宋体" w:hAnsi="宋体" w:cs="宋体"/>
          <w:szCs w:val="24"/>
        </w:rPr>
        <w:t>应当及时对采购项目进行验收，</w:t>
      </w:r>
      <w:r>
        <w:rPr>
          <w:rFonts w:hint="eastAsia" w:ascii="宋体" w:hAnsi="宋体" w:cs="宋体"/>
          <w:szCs w:val="24"/>
          <w:lang w:eastAsia="zh-CN"/>
        </w:rPr>
        <w:t>甲方</w:t>
      </w:r>
      <w:r>
        <w:rPr>
          <w:rFonts w:hint="eastAsia" w:ascii="宋体" w:hAnsi="宋体" w:cs="宋体"/>
          <w:szCs w:val="24"/>
        </w:rPr>
        <w:t>可以邀请参加本项目的其他投标人或者第三方机构参与验收，参与验收的投标人或者第三方机构的意见作为验收书的参考资料一并存档。</w:t>
      </w:r>
    </w:p>
    <w:p w14:paraId="3609329C">
      <w:pPr>
        <w:pStyle w:val="34"/>
        <w:keepNext w:val="0"/>
        <w:keepLines w:val="0"/>
        <w:pageBreakBefore w:val="0"/>
        <w:widowControl w:val="0"/>
        <w:tabs>
          <w:tab w:val="left" w:pos="0"/>
        </w:tabs>
        <w:kinsoku/>
        <w:wordWrap/>
        <w:overflowPunct/>
        <w:topLinePunct w:val="0"/>
        <w:autoSpaceDE/>
        <w:autoSpaceDN/>
        <w:bidi w:val="0"/>
        <w:spacing w:before="0" w:after="0" w:line="360" w:lineRule="auto"/>
        <w:ind w:left="0" w:leftChars="0" w:firstLine="480"/>
        <w:textAlignment w:val="auto"/>
        <w:rPr>
          <w:rFonts w:hint="eastAsia" w:ascii="宋体" w:hAnsi="宋体" w:cs="宋体"/>
          <w:b w:val="0"/>
          <w:bCs w:val="0"/>
          <w:color w:val="auto"/>
          <w:sz w:val="24"/>
          <w:szCs w:val="24"/>
          <w:highlight w:val="none"/>
          <w:lang w:val="en-US" w:eastAsia="zh-CN"/>
        </w:rPr>
      </w:pPr>
      <w:r>
        <w:rPr>
          <w:rFonts w:hint="eastAsia" w:ascii="宋体" w:hAnsi="宋体" w:cs="宋体"/>
          <w:szCs w:val="24"/>
        </w:rPr>
        <w:t>3</w:t>
      </w:r>
      <w:r>
        <w:rPr>
          <w:rFonts w:hint="eastAsia" w:ascii="宋体" w:hAnsi="宋体" w:cs="宋体"/>
          <w:szCs w:val="24"/>
          <w:lang w:eastAsia="zh-CN"/>
        </w:rPr>
        <w:t>甲方</w:t>
      </w:r>
      <w:r>
        <w:rPr>
          <w:rFonts w:hint="eastAsia" w:ascii="宋体" w:hAnsi="宋体" w:cs="宋体"/>
          <w:szCs w:val="24"/>
        </w:rPr>
        <w:t>负责加强对</w:t>
      </w:r>
      <w:r>
        <w:rPr>
          <w:rFonts w:hint="eastAsia" w:ascii="宋体" w:hAnsi="宋体" w:cs="宋体"/>
          <w:szCs w:val="24"/>
          <w:lang w:eastAsia="zh-CN"/>
        </w:rPr>
        <w:t>乙方</w:t>
      </w:r>
      <w:r>
        <w:rPr>
          <w:rFonts w:hint="eastAsia" w:ascii="宋体" w:hAnsi="宋体" w:cs="宋体"/>
          <w:szCs w:val="24"/>
        </w:rPr>
        <w:t>的履约管理，并按照采购合同约定，及时向</w:t>
      </w:r>
      <w:r>
        <w:rPr>
          <w:rFonts w:hint="eastAsia" w:ascii="宋体" w:hAnsi="宋体" w:cs="宋体"/>
          <w:szCs w:val="24"/>
          <w:lang w:eastAsia="zh-CN"/>
        </w:rPr>
        <w:t>乙方</w:t>
      </w:r>
      <w:r>
        <w:rPr>
          <w:rFonts w:hint="eastAsia" w:ascii="宋体" w:hAnsi="宋体" w:cs="宋体"/>
          <w:szCs w:val="24"/>
        </w:rPr>
        <w:t>支付采购资金。对于</w:t>
      </w:r>
      <w:r>
        <w:rPr>
          <w:rFonts w:hint="eastAsia" w:ascii="宋体" w:hAnsi="宋体" w:cs="宋体"/>
          <w:szCs w:val="24"/>
          <w:lang w:eastAsia="zh-CN"/>
        </w:rPr>
        <w:t>乙方</w:t>
      </w:r>
      <w:r>
        <w:rPr>
          <w:rFonts w:hint="eastAsia" w:ascii="宋体" w:hAnsi="宋体" w:cs="宋体"/>
          <w:szCs w:val="24"/>
        </w:rPr>
        <w:t>违反采购合同约定的行为，</w:t>
      </w:r>
      <w:r>
        <w:rPr>
          <w:rFonts w:hint="eastAsia" w:ascii="宋体" w:hAnsi="宋体" w:cs="宋体"/>
          <w:szCs w:val="24"/>
          <w:lang w:eastAsia="zh-CN"/>
        </w:rPr>
        <w:t>甲方</w:t>
      </w:r>
      <w:r>
        <w:rPr>
          <w:rFonts w:hint="eastAsia" w:ascii="宋体" w:hAnsi="宋体" w:cs="宋体"/>
          <w:szCs w:val="24"/>
        </w:rPr>
        <w:t>应当及时处理，依法追究其违约责任。</w:t>
      </w:r>
    </w:p>
    <w:p w14:paraId="68C34595">
      <w:pPr>
        <w:keepLines w:val="0"/>
        <w:pageBreakBefore w:val="0"/>
        <w:kinsoku/>
        <w:overflowPunct/>
        <w:topLinePunct w:val="0"/>
        <w:bidi w:val="0"/>
        <w:spacing w:line="360" w:lineRule="auto"/>
        <w:rPr>
          <w:b/>
          <w:sz w:val="24"/>
        </w:rPr>
      </w:pPr>
      <w:r>
        <w:rPr>
          <w:rFonts w:hint="eastAsia"/>
          <w:b/>
          <w:sz w:val="24"/>
          <w:lang w:eastAsia="zh-CN"/>
        </w:rPr>
        <w:t>十七</w:t>
      </w:r>
      <w:r>
        <w:rPr>
          <w:rFonts w:hint="eastAsia"/>
          <w:b/>
          <w:sz w:val="24"/>
        </w:rPr>
        <w:t>、考核办法</w:t>
      </w:r>
    </w:p>
    <w:p w14:paraId="56364F3E">
      <w:pPr>
        <w:keepLines w:val="0"/>
        <w:pageBreakBefore w:val="0"/>
        <w:numPr>
          <w:ilvl w:val="0"/>
          <w:numId w:val="0"/>
        </w:numPr>
        <w:kinsoku/>
        <w:overflowPunct/>
        <w:topLinePunct w:val="0"/>
        <w:bidi w:val="0"/>
        <w:spacing w:line="360" w:lineRule="auto"/>
        <w:ind w:firstLine="480" w:firstLineChars="200"/>
        <w:rPr>
          <w:rFonts w:ascii="宋体"/>
          <w:kern w:val="0"/>
          <w:sz w:val="24"/>
        </w:rPr>
      </w:pPr>
      <w:r>
        <w:rPr>
          <w:rFonts w:hint="eastAsia" w:ascii="宋体"/>
          <w:kern w:val="0"/>
          <w:sz w:val="24"/>
        </w:rPr>
        <w:t>为加强</w:t>
      </w:r>
      <w:r>
        <w:rPr>
          <w:rFonts w:hint="eastAsia" w:ascii="宋体"/>
          <w:kern w:val="0"/>
          <w:sz w:val="24"/>
          <w:lang w:eastAsia="zh-CN"/>
        </w:rPr>
        <w:t>上虞区企业信用云平台设备维保服务</w:t>
      </w:r>
      <w:r>
        <w:rPr>
          <w:rFonts w:hint="eastAsia" w:ascii="宋体"/>
          <w:kern w:val="0"/>
          <w:sz w:val="24"/>
        </w:rPr>
        <w:t>管理，提升</w:t>
      </w:r>
      <w:r>
        <w:rPr>
          <w:rFonts w:hint="eastAsia" w:ascii="宋体"/>
          <w:kern w:val="0"/>
          <w:sz w:val="24"/>
          <w:lang w:eastAsia="zh-CN"/>
        </w:rPr>
        <w:t>维保</w:t>
      </w:r>
      <w:r>
        <w:rPr>
          <w:rFonts w:hint="eastAsia" w:ascii="宋体"/>
          <w:kern w:val="0"/>
          <w:sz w:val="24"/>
        </w:rPr>
        <w:t>质量，结合工作实际，特制订本考核暂行办法。</w:t>
      </w:r>
    </w:p>
    <w:p w14:paraId="048368CD">
      <w:pPr>
        <w:keepLines w:val="0"/>
        <w:pageBreakBefore w:val="0"/>
        <w:kinsoku/>
        <w:overflowPunct/>
        <w:topLinePunct w:val="0"/>
        <w:bidi w:val="0"/>
        <w:spacing w:line="360" w:lineRule="auto"/>
        <w:ind w:firstLine="602" w:firstLineChars="250"/>
        <w:rPr>
          <w:rFonts w:ascii="宋体"/>
          <w:b/>
          <w:bCs/>
          <w:kern w:val="0"/>
          <w:sz w:val="24"/>
        </w:rPr>
      </w:pPr>
      <w:r>
        <w:rPr>
          <w:rFonts w:hint="eastAsia" w:ascii="宋体"/>
          <w:b/>
          <w:bCs/>
          <w:kern w:val="0"/>
          <w:sz w:val="24"/>
        </w:rPr>
        <w:t>一、分数设置：</w:t>
      </w:r>
    </w:p>
    <w:p w14:paraId="3DD8E4AB">
      <w:pPr>
        <w:keepLines w:val="0"/>
        <w:pageBreakBefore w:val="0"/>
        <w:kinsoku/>
        <w:overflowPunct/>
        <w:topLinePunct w:val="0"/>
        <w:bidi w:val="0"/>
        <w:spacing w:line="360" w:lineRule="auto"/>
        <w:ind w:firstLine="600" w:firstLineChars="250"/>
        <w:rPr>
          <w:rFonts w:ascii="宋体"/>
          <w:kern w:val="0"/>
          <w:sz w:val="24"/>
        </w:rPr>
      </w:pPr>
      <w:r>
        <w:rPr>
          <w:rFonts w:hint="eastAsia" w:ascii="宋体"/>
          <w:kern w:val="0"/>
          <w:sz w:val="24"/>
        </w:rPr>
        <w:t>该评分共计100分。</w:t>
      </w:r>
    </w:p>
    <w:p w14:paraId="4D95B6F5">
      <w:pPr>
        <w:keepLines w:val="0"/>
        <w:pageBreakBefore w:val="0"/>
        <w:kinsoku/>
        <w:overflowPunct/>
        <w:topLinePunct w:val="0"/>
        <w:bidi w:val="0"/>
        <w:spacing w:line="360" w:lineRule="auto"/>
        <w:ind w:firstLine="602" w:firstLineChars="250"/>
        <w:rPr>
          <w:rFonts w:ascii="宋体"/>
          <w:b/>
          <w:bCs/>
          <w:kern w:val="0"/>
          <w:sz w:val="24"/>
        </w:rPr>
      </w:pPr>
      <w:r>
        <w:rPr>
          <w:rFonts w:hint="eastAsia" w:ascii="宋体"/>
          <w:b/>
          <w:bCs/>
          <w:kern w:val="0"/>
          <w:sz w:val="24"/>
        </w:rPr>
        <w:t>二、考核小组：</w:t>
      </w:r>
    </w:p>
    <w:p w14:paraId="0B3DD5E7">
      <w:pPr>
        <w:keepLines w:val="0"/>
        <w:pageBreakBefore w:val="0"/>
        <w:kinsoku/>
        <w:overflowPunct/>
        <w:topLinePunct w:val="0"/>
        <w:bidi w:val="0"/>
        <w:spacing w:line="360" w:lineRule="auto"/>
        <w:ind w:firstLine="600" w:firstLineChars="250"/>
        <w:rPr>
          <w:rFonts w:ascii="宋体"/>
          <w:kern w:val="0"/>
          <w:sz w:val="24"/>
        </w:rPr>
      </w:pPr>
      <w:r>
        <w:rPr>
          <w:rFonts w:hint="eastAsia" w:ascii="宋体"/>
          <w:kern w:val="0"/>
          <w:sz w:val="24"/>
        </w:rPr>
        <w:t>采购人负责对中标单位进行考核。</w:t>
      </w:r>
    </w:p>
    <w:p w14:paraId="5DD0209C">
      <w:pPr>
        <w:keepLines w:val="0"/>
        <w:pageBreakBefore w:val="0"/>
        <w:kinsoku/>
        <w:overflowPunct/>
        <w:topLinePunct w:val="0"/>
        <w:bidi w:val="0"/>
        <w:spacing w:line="360" w:lineRule="auto"/>
        <w:ind w:firstLine="602" w:firstLineChars="250"/>
        <w:rPr>
          <w:rFonts w:ascii="宋体"/>
          <w:b/>
          <w:bCs/>
          <w:kern w:val="0"/>
          <w:sz w:val="24"/>
        </w:rPr>
      </w:pPr>
      <w:r>
        <w:rPr>
          <w:rFonts w:hint="eastAsia" w:ascii="宋体"/>
          <w:b/>
          <w:bCs/>
          <w:kern w:val="0"/>
          <w:sz w:val="24"/>
        </w:rPr>
        <w:t>三、考核方式：</w:t>
      </w:r>
    </w:p>
    <w:p w14:paraId="4CF3EFD2">
      <w:pPr>
        <w:keepLines w:val="0"/>
        <w:pageBreakBefore w:val="0"/>
        <w:kinsoku/>
        <w:overflowPunct/>
        <w:topLinePunct w:val="0"/>
        <w:bidi w:val="0"/>
        <w:spacing w:line="360" w:lineRule="auto"/>
        <w:ind w:firstLine="600" w:firstLineChars="250"/>
        <w:rPr>
          <w:rFonts w:ascii="宋体"/>
          <w:kern w:val="0"/>
          <w:sz w:val="24"/>
        </w:rPr>
      </w:pPr>
      <w:r>
        <w:rPr>
          <w:rFonts w:hint="eastAsia" w:ascii="宋体"/>
          <w:kern w:val="0"/>
          <w:sz w:val="24"/>
          <w:lang w:eastAsia="zh-CN"/>
        </w:rPr>
        <w:t>甲方</w:t>
      </w:r>
      <w:r>
        <w:rPr>
          <w:rFonts w:hint="eastAsia" w:ascii="宋体"/>
          <w:kern w:val="0"/>
          <w:sz w:val="24"/>
        </w:rPr>
        <w:t>对</w:t>
      </w:r>
      <w:r>
        <w:rPr>
          <w:rFonts w:hint="eastAsia" w:ascii="宋体"/>
          <w:kern w:val="0"/>
          <w:sz w:val="24"/>
          <w:lang w:eastAsia="zh-CN"/>
        </w:rPr>
        <w:t>乙方</w:t>
      </w:r>
      <w:r>
        <w:rPr>
          <w:rFonts w:hint="eastAsia" w:ascii="宋体"/>
          <w:kern w:val="0"/>
          <w:sz w:val="24"/>
        </w:rPr>
        <w:t>进行管理、</w:t>
      </w:r>
      <w:r>
        <w:rPr>
          <w:rFonts w:hint="eastAsia" w:ascii="宋体"/>
          <w:kern w:val="0"/>
          <w:sz w:val="24"/>
          <w:lang w:eastAsia="zh-CN"/>
        </w:rPr>
        <w:t>月度和季度</w:t>
      </w:r>
      <w:r>
        <w:rPr>
          <w:rFonts w:hint="eastAsia" w:ascii="宋体"/>
          <w:kern w:val="0"/>
          <w:sz w:val="24"/>
        </w:rPr>
        <w:t>考核，不定期</w:t>
      </w:r>
      <w:r>
        <w:rPr>
          <w:rFonts w:hint="eastAsia" w:ascii="宋体"/>
          <w:kern w:val="0"/>
          <w:sz w:val="24"/>
          <w:lang w:eastAsia="zh-CN"/>
        </w:rPr>
        <w:t>对</w:t>
      </w:r>
      <w:r>
        <w:rPr>
          <w:rFonts w:hint="eastAsia" w:ascii="宋体"/>
          <w:kern w:val="0"/>
          <w:sz w:val="24"/>
        </w:rPr>
        <w:t>服务工作开展情况进行检查，并对考核结果进行记录。</w:t>
      </w:r>
    </w:p>
    <w:p w14:paraId="6AFA95DE">
      <w:pPr>
        <w:keepLines w:val="0"/>
        <w:pageBreakBefore w:val="0"/>
        <w:kinsoku/>
        <w:overflowPunct/>
        <w:topLinePunct w:val="0"/>
        <w:bidi w:val="0"/>
        <w:spacing w:line="360" w:lineRule="auto"/>
        <w:ind w:firstLine="482" w:firstLineChars="200"/>
        <w:rPr>
          <w:rFonts w:ascii="宋体"/>
          <w:b/>
          <w:bCs/>
          <w:kern w:val="0"/>
          <w:sz w:val="24"/>
        </w:rPr>
      </w:pPr>
      <w:r>
        <w:rPr>
          <w:rFonts w:hint="eastAsia" w:ascii="宋体"/>
          <w:b/>
          <w:bCs/>
          <w:kern w:val="0"/>
          <w:sz w:val="24"/>
        </w:rPr>
        <w:t>四、考核结果：</w:t>
      </w:r>
    </w:p>
    <w:p w14:paraId="5A4629E8">
      <w:pPr>
        <w:keepLines w:val="0"/>
        <w:pageBreakBefore w:val="0"/>
        <w:kinsoku/>
        <w:overflowPunct/>
        <w:topLinePunct w:val="0"/>
        <w:bidi w:val="0"/>
        <w:spacing w:line="360" w:lineRule="auto"/>
        <w:ind w:firstLine="600" w:firstLineChars="250"/>
        <w:rPr>
          <w:rFonts w:ascii="宋体"/>
          <w:kern w:val="0"/>
          <w:sz w:val="24"/>
        </w:rPr>
      </w:pPr>
      <w:r>
        <w:rPr>
          <w:rFonts w:hint="eastAsia" w:ascii="宋体" w:eastAsia="宋体"/>
          <w:kern w:val="0"/>
          <w:sz w:val="24"/>
          <w:lang w:val="en-US" w:eastAsia="zh-CN"/>
        </w:rPr>
        <w:t xml:space="preserve"> </w:t>
      </w:r>
      <w:r>
        <w:rPr>
          <w:rFonts w:hint="eastAsia" w:ascii="宋体" w:eastAsia="宋体"/>
          <w:kern w:val="0"/>
          <w:sz w:val="24"/>
        </w:rPr>
        <w:t>采取百分制，</w:t>
      </w:r>
      <w:r>
        <w:rPr>
          <w:rFonts w:hint="eastAsia" w:ascii="宋体" w:eastAsia="宋体"/>
          <w:kern w:val="0"/>
          <w:sz w:val="24"/>
          <w:lang w:val="zh-CN"/>
        </w:rPr>
        <w:t>在服务期内，甲方将对</w:t>
      </w:r>
      <w:r>
        <w:rPr>
          <w:rFonts w:hint="eastAsia" w:ascii="宋体" w:eastAsia="宋体"/>
          <w:kern w:val="0"/>
          <w:sz w:val="24"/>
          <w:lang w:eastAsia="zh-CN"/>
        </w:rPr>
        <w:t>中标单位</w:t>
      </w:r>
      <w:r>
        <w:rPr>
          <w:rFonts w:hint="eastAsia" w:ascii="宋体" w:eastAsia="宋体"/>
          <w:kern w:val="0"/>
          <w:sz w:val="24"/>
          <w:lang w:val="zh-CN"/>
        </w:rPr>
        <w:t>进行月度考核，采取100分制计分方式，每扣1分扣违约金200元。如果</w:t>
      </w:r>
      <w:r>
        <w:rPr>
          <w:rFonts w:hint="eastAsia" w:ascii="宋体" w:eastAsia="宋体"/>
          <w:kern w:val="0"/>
          <w:sz w:val="24"/>
          <w:lang w:eastAsia="zh-CN"/>
        </w:rPr>
        <w:t>乙方</w:t>
      </w:r>
      <w:r>
        <w:rPr>
          <w:rFonts w:hint="eastAsia" w:ascii="宋体" w:eastAsia="宋体"/>
          <w:kern w:val="0"/>
          <w:sz w:val="24"/>
          <w:lang w:val="zh-CN"/>
        </w:rPr>
        <w:t>当季考核结果低于80分的，应递交书面整改报告。如</w:t>
      </w:r>
      <w:r>
        <w:rPr>
          <w:rFonts w:hint="eastAsia" w:ascii="宋体" w:eastAsia="宋体"/>
          <w:kern w:val="0"/>
          <w:sz w:val="24"/>
          <w:lang w:eastAsia="zh-CN"/>
        </w:rPr>
        <w:t>乙方</w:t>
      </w:r>
      <w:r>
        <w:rPr>
          <w:rFonts w:hint="eastAsia" w:ascii="宋体" w:eastAsia="宋体"/>
          <w:kern w:val="0"/>
          <w:sz w:val="24"/>
          <w:lang w:val="zh-CN"/>
        </w:rPr>
        <w:t>当季考核结果低于60分或连续两个季考核结果低于70分或连续三个季考核结果低于80分，甲方有权通知</w:t>
      </w:r>
      <w:r>
        <w:rPr>
          <w:rFonts w:hint="eastAsia" w:ascii="宋体" w:eastAsia="宋体"/>
          <w:kern w:val="0"/>
          <w:sz w:val="24"/>
          <w:lang w:eastAsia="zh-CN"/>
        </w:rPr>
        <w:t>中标单位</w:t>
      </w:r>
      <w:r>
        <w:rPr>
          <w:rFonts w:hint="eastAsia" w:ascii="宋体" w:eastAsia="宋体"/>
          <w:kern w:val="0"/>
          <w:sz w:val="24"/>
          <w:lang w:val="zh-CN"/>
        </w:rPr>
        <w:t>解除合同，如给甲方造成损失的有权向</w:t>
      </w:r>
      <w:r>
        <w:rPr>
          <w:rFonts w:hint="eastAsia" w:ascii="宋体" w:eastAsia="宋体"/>
          <w:kern w:val="0"/>
          <w:sz w:val="24"/>
          <w:lang w:eastAsia="zh-CN"/>
        </w:rPr>
        <w:t>乙方</w:t>
      </w:r>
      <w:r>
        <w:rPr>
          <w:rFonts w:hint="eastAsia" w:ascii="宋体" w:eastAsia="宋体"/>
          <w:kern w:val="0"/>
          <w:sz w:val="24"/>
          <w:lang w:val="zh-CN"/>
        </w:rPr>
        <w:t>提出索赔</w:t>
      </w:r>
      <w:r>
        <w:rPr>
          <w:rFonts w:hint="eastAsia" w:ascii="宋体"/>
          <w:kern w:val="0"/>
          <w:sz w:val="24"/>
        </w:rPr>
        <w:t>。</w:t>
      </w:r>
    </w:p>
    <w:p w14:paraId="0E3DA234">
      <w:pPr>
        <w:keepLines w:val="0"/>
        <w:pageBreakBefore w:val="0"/>
        <w:numPr>
          <w:ilvl w:val="0"/>
          <w:numId w:val="0"/>
        </w:numPr>
        <w:kinsoku/>
        <w:overflowPunct/>
        <w:topLinePunct w:val="0"/>
        <w:bidi w:val="0"/>
        <w:spacing w:line="360" w:lineRule="auto"/>
        <w:ind w:firstLine="480" w:firstLineChars="200"/>
        <w:rPr>
          <w:rFonts w:hint="eastAsia" w:ascii="宋体" w:eastAsia="宋体"/>
          <w:kern w:val="0"/>
          <w:sz w:val="24"/>
        </w:rPr>
      </w:pPr>
      <w:r>
        <w:rPr>
          <w:rFonts w:hint="eastAsia" w:ascii="宋体" w:eastAsia="宋体"/>
          <w:kern w:val="0"/>
          <w:sz w:val="24"/>
        </w:rPr>
        <w:t>详见</w:t>
      </w:r>
      <w:r>
        <w:rPr>
          <w:rFonts w:hint="eastAsia" w:ascii="宋体" w:eastAsia="宋体"/>
          <w:kern w:val="0"/>
          <w:sz w:val="24"/>
          <w:lang w:val="en-US" w:eastAsia="zh-CN"/>
        </w:rPr>
        <w:t>2024年上虞区企业信用云平台服务器等设备维保服务</w:t>
      </w:r>
      <w:r>
        <w:rPr>
          <w:rFonts w:hint="eastAsia" w:ascii="宋体" w:eastAsia="宋体"/>
          <w:kern w:val="0"/>
          <w:sz w:val="24"/>
        </w:rPr>
        <w:t>考核情况表(附)</w:t>
      </w:r>
    </w:p>
    <w:p w14:paraId="064CC9E9">
      <w:pPr>
        <w:spacing w:line="348" w:lineRule="auto"/>
        <w:rPr>
          <w:rFonts w:ascii="宋体" w:hAnsi="宋体"/>
          <w:b/>
          <w:bCs/>
          <w:color w:val="auto"/>
          <w:kern w:val="0"/>
          <w:sz w:val="24"/>
          <w:szCs w:val="24"/>
          <w:highlight w:val="none"/>
        </w:rPr>
      </w:pPr>
      <w:r>
        <w:rPr>
          <w:rFonts w:hint="eastAsia" w:ascii="宋体" w:hAnsi="宋体"/>
          <w:b/>
          <w:bCs/>
          <w:color w:val="auto"/>
          <w:kern w:val="0"/>
          <w:sz w:val="24"/>
          <w:szCs w:val="24"/>
          <w:highlight w:val="none"/>
          <w:lang w:val="en-US" w:eastAsia="zh-CN"/>
        </w:rPr>
        <w:t>十八</w:t>
      </w:r>
      <w:r>
        <w:rPr>
          <w:rFonts w:hint="eastAsia" w:ascii="宋体" w:hAnsi="宋体"/>
          <w:b/>
          <w:bCs/>
          <w:color w:val="auto"/>
          <w:kern w:val="0"/>
          <w:sz w:val="24"/>
          <w:szCs w:val="24"/>
          <w:highlight w:val="none"/>
        </w:rPr>
        <w:t>、服务费及付款方式</w:t>
      </w:r>
    </w:p>
    <w:p w14:paraId="66BF4BBB">
      <w:pPr>
        <w:pStyle w:val="37"/>
        <w:spacing w:line="348" w:lineRule="auto"/>
        <w:ind w:firstLine="480" w:firstLineChars="200"/>
        <w:rPr>
          <w:rFonts w:cs="宋体"/>
          <w:color w:val="auto"/>
          <w:szCs w:val="24"/>
          <w:highlight w:val="none"/>
        </w:rPr>
      </w:pPr>
      <w:r>
        <w:rPr>
          <w:rFonts w:hint="eastAsia" w:cs="宋体"/>
          <w:color w:val="auto"/>
          <w:szCs w:val="24"/>
          <w:highlight w:val="none"/>
        </w:rPr>
        <w:t>1、服务费：</w:t>
      </w:r>
    </w:p>
    <w:p w14:paraId="7F228CA4">
      <w:pPr>
        <w:pStyle w:val="37"/>
        <w:spacing w:line="348" w:lineRule="auto"/>
        <w:ind w:firstLine="480" w:firstLineChars="200"/>
        <w:rPr>
          <w:rFonts w:cs="宋体"/>
          <w:color w:val="auto"/>
          <w:szCs w:val="24"/>
          <w:highlight w:val="none"/>
        </w:rPr>
      </w:pPr>
      <w:r>
        <w:rPr>
          <w:rFonts w:hint="eastAsia" w:cs="宋体"/>
          <w:color w:val="auto"/>
          <w:szCs w:val="24"/>
          <w:highlight w:val="none"/>
        </w:rPr>
        <w:t>本合同金额为人民币（大写）：________元（￥_______元）。</w:t>
      </w:r>
    </w:p>
    <w:p w14:paraId="02EEFC15">
      <w:pPr>
        <w:pStyle w:val="37"/>
        <w:spacing w:line="348" w:lineRule="auto"/>
        <w:ind w:firstLine="480" w:firstLineChars="200"/>
        <w:rPr>
          <w:rFonts w:cs="宋体"/>
          <w:color w:val="auto"/>
          <w:szCs w:val="24"/>
          <w:highlight w:val="none"/>
        </w:rPr>
      </w:pPr>
      <w:r>
        <w:rPr>
          <w:rFonts w:hint="eastAsia" w:cs="宋体"/>
          <w:color w:val="auto"/>
          <w:szCs w:val="24"/>
          <w:highlight w:val="none"/>
        </w:rPr>
        <w:t>2、本项目付款方式：</w:t>
      </w:r>
    </w:p>
    <w:p w14:paraId="4DA51E3D">
      <w:pPr>
        <w:autoSpaceDE w:val="0"/>
        <w:autoSpaceDN w:val="0"/>
        <w:adjustRightInd w:val="0"/>
        <w:spacing w:line="360" w:lineRule="auto"/>
        <w:ind w:firstLine="480" w:firstLineChars="200"/>
        <w:rPr>
          <w:rFonts w:hint="eastAsia"/>
          <w:b w:val="0"/>
          <w:bCs w:val="0"/>
          <w:sz w:val="24"/>
          <w:szCs w:val="24"/>
          <w:highlight w:val="none"/>
          <w:lang w:val="en-US" w:eastAsia="zh-CN"/>
        </w:rPr>
      </w:pPr>
      <w:r>
        <w:rPr>
          <w:rFonts w:hint="eastAsia" w:ascii="宋体" w:hAnsi="宋体" w:cs="宋体"/>
          <w:color w:val="auto"/>
          <w:sz w:val="24"/>
          <w:szCs w:val="24"/>
          <w:highlight w:val="none"/>
        </w:rPr>
        <w:t>2.1付款方式：</w:t>
      </w:r>
    </w:p>
    <w:p w14:paraId="7EAA0D2D">
      <w:pPr>
        <w:autoSpaceDE w:val="0"/>
        <w:autoSpaceDN w:val="0"/>
        <w:adjustRightInd w:val="0"/>
        <w:spacing w:line="360" w:lineRule="auto"/>
        <w:ind w:firstLine="480" w:firstLineChars="200"/>
        <w:rPr>
          <w:rFonts w:hint="default"/>
          <w:color w:val="000000"/>
          <w:sz w:val="24"/>
          <w:szCs w:val="24"/>
          <w:highlight w:val="none"/>
          <w:lang w:val="en-US" w:eastAsia="zh-CN"/>
        </w:rPr>
      </w:pPr>
      <w:r>
        <w:rPr>
          <w:rFonts w:hint="eastAsia"/>
          <w:color w:val="000000"/>
          <w:sz w:val="24"/>
          <w:szCs w:val="24"/>
          <w:highlight w:val="none"/>
        </w:rPr>
        <w:t>在合同生效以及具备实施条件后7个工作日内向乙方支付合同</w:t>
      </w:r>
      <w:r>
        <w:rPr>
          <w:rFonts w:hint="eastAsia"/>
          <w:color w:val="000000"/>
          <w:sz w:val="24"/>
          <w:szCs w:val="24"/>
          <w:highlight w:val="none"/>
          <w:lang w:eastAsia="zh-CN"/>
        </w:rPr>
        <w:t>价款</w:t>
      </w:r>
      <w:r>
        <w:rPr>
          <w:rFonts w:hint="eastAsia"/>
          <w:color w:val="000000"/>
          <w:sz w:val="24"/>
          <w:szCs w:val="24"/>
          <w:highlight w:val="none"/>
        </w:rPr>
        <w:t>的</w:t>
      </w:r>
      <w:r>
        <w:rPr>
          <w:rFonts w:hint="eastAsia"/>
          <w:color w:val="000000"/>
          <w:sz w:val="24"/>
          <w:szCs w:val="24"/>
          <w:highlight w:val="none"/>
          <w:lang w:val="en-US" w:eastAsia="zh-CN"/>
        </w:rPr>
        <w:t>50</w:t>
      </w:r>
      <w:r>
        <w:rPr>
          <w:rFonts w:hint="eastAsia"/>
          <w:color w:val="000000"/>
          <w:sz w:val="24"/>
          <w:szCs w:val="24"/>
          <w:highlight w:val="none"/>
        </w:rPr>
        <w:t>%；</w:t>
      </w:r>
      <w:r>
        <w:rPr>
          <w:rFonts w:hint="eastAsia"/>
          <w:color w:val="000000"/>
          <w:sz w:val="24"/>
          <w:szCs w:val="24"/>
          <w:highlight w:val="none"/>
          <w:lang w:eastAsia="zh-CN"/>
        </w:rPr>
        <w:t>项目经验收合格后</w:t>
      </w:r>
      <w:r>
        <w:rPr>
          <w:rFonts w:hint="eastAsia"/>
          <w:color w:val="000000"/>
          <w:sz w:val="24"/>
          <w:szCs w:val="24"/>
          <w:highlight w:val="none"/>
          <w:lang w:val="en-US" w:eastAsia="zh-CN"/>
        </w:rPr>
        <w:t>7个工作日内支付合同价款的40%；服务期满后7个工作日内根据考核结果支付剩余合同价款。</w:t>
      </w:r>
    </w:p>
    <w:p w14:paraId="57F7A25F">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2.2付款要求：</w:t>
      </w:r>
    </w:p>
    <w:p w14:paraId="66B06445">
      <w:pPr>
        <w:spacing w:line="348"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在收款之前，应向</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提供等额、合法、有效的增值税发票，</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凭发票付款。如</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未按约定提供增值税发票的，</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有权拒绝付款，直至收到</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提交的相应增值税发票为止，在此情况下，</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不承担逾期付款违约责任。</w:t>
      </w:r>
    </w:p>
    <w:p w14:paraId="142F7D74">
      <w:pPr>
        <w:spacing w:line="348"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十九</w:t>
      </w:r>
      <w:r>
        <w:rPr>
          <w:rFonts w:hint="eastAsia" w:ascii="宋体" w:hAnsi="宋体" w:cs="宋体"/>
          <w:b/>
          <w:bCs/>
          <w:color w:val="auto"/>
          <w:sz w:val="24"/>
          <w:szCs w:val="24"/>
          <w:highlight w:val="none"/>
        </w:rPr>
        <w:t>、违约责任</w:t>
      </w:r>
    </w:p>
    <w:p w14:paraId="7F12D32E">
      <w:pPr>
        <w:snapToGrid w:val="0"/>
        <w:spacing w:line="348"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1、甲方无正当理由拒绝服务的，乙方有要求甲方赔偿的权利。</w:t>
      </w:r>
    </w:p>
    <w:p w14:paraId="0921A599">
      <w:pPr>
        <w:snapToGrid w:val="0"/>
        <w:spacing w:line="348"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2、甲方无正当理由拒绝支付合同款或者延期支付的，由甲方按应支付每天万分之</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的延期违约金。</w:t>
      </w:r>
    </w:p>
    <w:p w14:paraId="3B49B088">
      <w:pPr>
        <w:snapToGrid w:val="0"/>
        <w:spacing w:line="348"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3、如乙方未能按合同要求进行服务（按考核标准）给甲方造成恶劣影响和损失时，甲方有权向乙方收取</w:t>
      </w:r>
      <w:r>
        <w:rPr>
          <w:rFonts w:hint="eastAsia" w:ascii="宋体" w:hAnsi="宋体" w:cs="宋体"/>
          <w:color w:val="auto"/>
          <w:kern w:val="0"/>
          <w:sz w:val="24"/>
          <w:highlight w:val="none"/>
          <w:lang w:eastAsia="zh-CN"/>
        </w:rPr>
        <w:t>剩余</w:t>
      </w:r>
      <w:r>
        <w:rPr>
          <w:rFonts w:hint="eastAsia" w:ascii="宋体" w:hAnsi="宋体" w:cs="宋体"/>
          <w:color w:val="auto"/>
          <w:kern w:val="0"/>
          <w:sz w:val="24"/>
          <w:highlight w:val="none"/>
        </w:rPr>
        <w:t>合同</w:t>
      </w:r>
      <w:r>
        <w:rPr>
          <w:rFonts w:hint="eastAsia" w:ascii="宋体" w:hAnsi="宋体" w:cs="宋体"/>
          <w:color w:val="auto"/>
          <w:kern w:val="0"/>
          <w:sz w:val="24"/>
          <w:highlight w:val="none"/>
          <w:lang w:eastAsia="zh-CN"/>
        </w:rPr>
        <w:t>价款</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的违约金。</w:t>
      </w:r>
    </w:p>
    <w:p w14:paraId="6E6E44D0">
      <w:pPr>
        <w:snapToGrid w:val="0"/>
        <w:spacing w:line="348"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4、乙方未能及时交货</w:t>
      </w:r>
      <w:r>
        <w:rPr>
          <w:rFonts w:hint="eastAsia" w:ascii="宋体" w:hAnsi="宋体" w:cs="宋体"/>
          <w:color w:val="auto"/>
          <w:kern w:val="0"/>
          <w:sz w:val="24"/>
          <w:highlight w:val="none"/>
          <w:lang w:eastAsia="zh-CN"/>
        </w:rPr>
        <w:t>或其他</w:t>
      </w:r>
      <w:r>
        <w:rPr>
          <w:rFonts w:hint="eastAsia" w:ascii="宋体" w:hAnsi="宋体" w:cs="宋体"/>
          <w:color w:val="auto"/>
          <w:kern w:val="0"/>
          <w:sz w:val="24"/>
          <w:highlight w:val="none"/>
        </w:rPr>
        <w:t>非甲方原因引起验收交货延迟的，由乙方支付迟交服务（软件）合同价每天万分之</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的误期赔偿费。</w:t>
      </w:r>
    </w:p>
    <w:p w14:paraId="412B2B6D">
      <w:pPr>
        <w:snapToGrid w:val="0"/>
        <w:spacing w:line="348"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5、其他：</w:t>
      </w:r>
      <w:r>
        <w:rPr>
          <w:rFonts w:hint="eastAsia" w:ascii="宋体" w:hAnsi="宋体" w:cs="宋体"/>
          <w:color w:val="auto"/>
          <w:kern w:val="0"/>
          <w:sz w:val="24"/>
          <w:highlight w:val="none"/>
          <w:u w:val="single"/>
        </w:rPr>
        <w:t>采购合同的履行、违约责任和解决争议的方式等适用《中华人民共和国民法典》。合同发生争议，双方当事人应及时协商解决。也可由当地建设行政主管部门调解，调解不成时，可依法向当地人民法院起诉</w:t>
      </w:r>
      <w:r>
        <w:rPr>
          <w:rFonts w:hint="eastAsia" w:ascii="宋体" w:hAnsi="宋体" w:cs="宋体"/>
          <w:color w:val="auto"/>
          <w:kern w:val="0"/>
          <w:sz w:val="24"/>
          <w:highlight w:val="none"/>
        </w:rPr>
        <w:t>。</w:t>
      </w:r>
    </w:p>
    <w:p w14:paraId="1B720029">
      <w:pPr>
        <w:snapToGrid w:val="0"/>
        <w:spacing w:line="360" w:lineRule="auto"/>
        <w:rPr>
          <w:rFonts w:hint="eastAsia"/>
          <w:b/>
          <w:bCs/>
          <w:sz w:val="24"/>
          <w:szCs w:val="24"/>
        </w:rPr>
      </w:pPr>
      <w:r>
        <w:rPr>
          <w:rFonts w:hint="eastAsia"/>
          <w:b/>
          <w:bCs/>
          <w:sz w:val="24"/>
          <w:szCs w:val="24"/>
          <w:lang w:val="en-US" w:eastAsia="zh-CN"/>
        </w:rPr>
        <w:t>二十、</w:t>
      </w:r>
      <w:r>
        <w:rPr>
          <w:rFonts w:hint="eastAsia"/>
          <w:b/>
          <w:bCs/>
          <w:sz w:val="24"/>
          <w:szCs w:val="24"/>
        </w:rPr>
        <w:t>解决争议的方法</w:t>
      </w:r>
    </w:p>
    <w:p w14:paraId="38B7BA16">
      <w:pPr>
        <w:numPr>
          <w:ilvl w:val="0"/>
          <w:numId w:val="0"/>
        </w:numPr>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lang w:val="en-US" w:eastAsia="zh-CN"/>
        </w:rPr>
        <w:t>1.</w:t>
      </w:r>
      <w:r>
        <w:rPr>
          <w:rFonts w:hint="eastAsia" w:ascii="宋体" w:hAnsi="宋体" w:eastAsia="宋体" w:cs="宋体"/>
          <w:kern w:val="0"/>
          <w:sz w:val="24"/>
          <w:szCs w:val="20"/>
        </w:rPr>
        <w:t xml:space="preserve"> 因本合同及合同有关事项发生的争议，由</w:t>
      </w:r>
      <w:r>
        <w:rPr>
          <w:rFonts w:hint="eastAsia" w:ascii="宋体" w:hAnsi="宋体" w:eastAsia="宋体" w:cs="宋体"/>
          <w:kern w:val="0"/>
          <w:sz w:val="24"/>
          <w:szCs w:val="20"/>
          <w:lang w:eastAsia="zh-CN"/>
        </w:rPr>
        <w:t>甲乙双</w:t>
      </w:r>
      <w:r>
        <w:rPr>
          <w:rFonts w:hint="eastAsia" w:ascii="宋体" w:hAnsi="宋体" w:eastAsia="宋体" w:cs="宋体"/>
          <w:kern w:val="0"/>
          <w:sz w:val="24"/>
          <w:szCs w:val="20"/>
        </w:rPr>
        <w:t>方友好协商解决。协商不成时，可以</w:t>
      </w:r>
      <w:r>
        <w:rPr>
          <w:rFonts w:hint="eastAsia" w:ascii="宋体" w:hAnsi="宋体" w:eastAsia="宋体" w:cs="宋体"/>
          <w:kern w:val="0"/>
          <w:sz w:val="24"/>
          <w:szCs w:val="20"/>
          <w:lang w:eastAsia="zh-CN"/>
        </w:rPr>
        <w:t>向有关组织申请</w:t>
      </w:r>
      <w:r>
        <w:rPr>
          <w:rFonts w:hint="eastAsia" w:ascii="宋体" w:hAnsi="宋体" w:eastAsia="宋体" w:cs="宋体"/>
          <w:kern w:val="0"/>
          <w:sz w:val="24"/>
          <w:szCs w:val="20"/>
        </w:rPr>
        <w:t>调解。合同一方或</w:t>
      </w:r>
      <w:r>
        <w:rPr>
          <w:rFonts w:hint="eastAsia" w:ascii="宋体" w:hAnsi="宋体" w:eastAsia="宋体" w:cs="宋体"/>
          <w:kern w:val="0"/>
          <w:sz w:val="24"/>
          <w:szCs w:val="20"/>
          <w:lang w:eastAsia="zh-CN"/>
        </w:rPr>
        <w:t>双</w:t>
      </w:r>
      <w:r>
        <w:rPr>
          <w:rFonts w:hint="eastAsia" w:ascii="宋体" w:hAnsi="宋体" w:eastAsia="宋体" w:cs="宋体"/>
          <w:kern w:val="0"/>
          <w:sz w:val="24"/>
          <w:szCs w:val="20"/>
        </w:rPr>
        <w:t>方不愿调解或调解不成的，可以通过仲裁或诉讼的方式解决争议。</w:t>
      </w:r>
    </w:p>
    <w:p w14:paraId="62C87506">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b w:val="0"/>
          <w:bCs w:val="0"/>
          <w:iCs/>
          <w:color w:val="auto"/>
          <w:kern w:val="2"/>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b w:val="0"/>
          <w:bCs w:val="0"/>
          <w:iCs/>
          <w:color w:val="auto"/>
          <w:kern w:val="2"/>
          <w:sz w:val="24"/>
          <w:szCs w:val="24"/>
        </w:rPr>
        <w:t>因本合同及合同有关事项发生的争议，按下列第</w:t>
      </w:r>
      <w:r>
        <w:rPr>
          <w:rFonts w:hint="eastAsia" w:ascii="宋体" w:hAnsi="宋体" w:eastAsia="宋体" w:cs="宋体"/>
          <w:b w:val="0"/>
          <w:bCs w:val="0"/>
          <w:iCs/>
          <w:color w:val="auto"/>
          <w:kern w:val="2"/>
          <w:sz w:val="24"/>
          <w:szCs w:val="24"/>
          <w:u w:val="single"/>
          <w:lang w:eastAsia="zh-CN"/>
        </w:rPr>
        <w:t>（</w:t>
      </w:r>
      <w:r>
        <w:rPr>
          <w:rFonts w:hint="eastAsia" w:ascii="宋体" w:hAnsi="宋体" w:eastAsia="宋体" w:cs="宋体"/>
          <w:b w:val="0"/>
          <w:bCs w:val="0"/>
          <w:iCs/>
          <w:color w:val="auto"/>
          <w:kern w:val="2"/>
          <w:sz w:val="24"/>
          <w:szCs w:val="24"/>
          <w:u w:val="single"/>
          <w:lang w:val="en-US" w:eastAsia="zh-CN"/>
        </w:rPr>
        <w:t>2</w:t>
      </w:r>
      <w:r>
        <w:rPr>
          <w:rFonts w:hint="eastAsia" w:ascii="宋体" w:hAnsi="宋体" w:eastAsia="宋体" w:cs="宋体"/>
          <w:b w:val="0"/>
          <w:bCs w:val="0"/>
          <w:iCs/>
          <w:color w:val="auto"/>
          <w:kern w:val="2"/>
          <w:sz w:val="24"/>
          <w:szCs w:val="24"/>
          <w:u w:val="single"/>
          <w:lang w:eastAsia="zh-CN"/>
        </w:rPr>
        <w:t>）</w:t>
      </w:r>
      <w:r>
        <w:rPr>
          <w:rFonts w:hint="eastAsia" w:ascii="宋体" w:hAnsi="宋体" w:eastAsia="宋体" w:cs="宋体"/>
          <w:b w:val="0"/>
          <w:bCs w:val="0"/>
          <w:iCs/>
          <w:color w:val="auto"/>
          <w:kern w:val="2"/>
          <w:sz w:val="24"/>
          <w:szCs w:val="24"/>
        </w:rPr>
        <w:t>种方式解决：</w:t>
      </w:r>
    </w:p>
    <w:p w14:paraId="7DC51D1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auto"/>
        <w:rPr>
          <w:rFonts w:hint="eastAsia" w:ascii="宋体" w:hAnsi="宋体" w:eastAsia="宋体" w:cs="宋体"/>
          <w:b w:val="0"/>
          <w:bCs w:val="0"/>
          <w:iCs/>
          <w:color w:val="auto"/>
          <w:kern w:val="2"/>
          <w:sz w:val="24"/>
          <w:szCs w:val="24"/>
        </w:rPr>
      </w:pPr>
      <w:r>
        <w:rPr>
          <w:rFonts w:hint="eastAsia" w:ascii="宋体" w:hAnsi="宋体" w:eastAsia="宋体" w:cs="宋体"/>
          <w:b w:val="0"/>
          <w:bCs w:val="0"/>
          <w:iCs/>
          <w:color w:val="auto"/>
          <w:kern w:val="2"/>
          <w:sz w:val="24"/>
          <w:szCs w:val="24"/>
        </w:rPr>
        <w:t>（1）向</w:t>
      </w:r>
      <w:r>
        <w:rPr>
          <w:rFonts w:hint="eastAsia" w:ascii="宋体" w:hAnsi="宋体" w:eastAsia="宋体" w:cs="宋体"/>
          <w:b w:val="0"/>
          <w:bCs w:val="0"/>
          <w:iCs/>
          <w:color w:val="auto"/>
          <w:kern w:val="2"/>
          <w:sz w:val="24"/>
          <w:szCs w:val="24"/>
          <w:u w:val="single"/>
        </w:rPr>
        <w:t xml:space="preserve"> </w:t>
      </w:r>
      <w:r>
        <w:rPr>
          <w:rFonts w:hint="eastAsia" w:ascii="宋体" w:hAnsi="宋体" w:cs="宋体"/>
          <w:b w:val="0"/>
          <w:bCs w:val="0"/>
          <w:iCs/>
          <w:color w:val="auto"/>
          <w:kern w:val="2"/>
          <w:sz w:val="24"/>
          <w:szCs w:val="24"/>
          <w:u w:val="single"/>
          <w:lang w:eastAsia="zh-CN"/>
        </w:rPr>
        <w:t>绍兴市</w:t>
      </w:r>
      <w:r>
        <w:rPr>
          <w:rFonts w:hint="eastAsia" w:ascii="宋体" w:hAnsi="宋体" w:eastAsia="宋体" w:cs="宋体"/>
          <w:b w:val="0"/>
          <w:bCs w:val="0"/>
          <w:iCs/>
          <w:color w:val="auto"/>
          <w:kern w:val="2"/>
          <w:sz w:val="24"/>
          <w:szCs w:val="24"/>
        </w:rPr>
        <w:t>仲裁委员会申请仲裁，仲裁地点为</w:t>
      </w:r>
      <w:r>
        <w:rPr>
          <w:rFonts w:hint="eastAsia" w:ascii="宋体" w:hAnsi="宋体" w:eastAsia="宋体" w:cs="宋体"/>
          <w:b w:val="0"/>
          <w:bCs w:val="0"/>
          <w:iCs/>
          <w:color w:val="auto"/>
          <w:kern w:val="2"/>
          <w:sz w:val="24"/>
          <w:szCs w:val="24"/>
          <w:u w:val="single"/>
        </w:rPr>
        <w:t xml:space="preserve"> </w:t>
      </w:r>
      <w:r>
        <w:rPr>
          <w:rFonts w:hint="eastAsia" w:ascii="宋体" w:hAnsi="宋体" w:eastAsia="宋体" w:cs="宋体"/>
          <w:b w:val="0"/>
          <w:bCs w:val="0"/>
          <w:iCs/>
          <w:color w:val="auto"/>
          <w:kern w:val="2"/>
          <w:sz w:val="24"/>
          <w:szCs w:val="24"/>
          <w:u w:val="single"/>
          <w:lang w:val="en-US" w:eastAsia="zh-CN"/>
        </w:rPr>
        <w:t xml:space="preserve"> </w:t>
      </w:r>
      <w:r>
        <w:rPr>
          <w:rFonts w:hint="eastAsia" w:ascii="宋体" w:hAnsi="宋体" w:cs="宋体"/>
          <w:b w:val="0"/>
          <w:bCs w:val="0"/>
          <w:iCs/>
          <w:color w:val="auto"/>
          <w:kern w:val="2"/>
          <w:sz w:val="24"/>
          <w:szCs w:val="24"/>
          <w:u w:val="single"/>
          <w:lang w:val="en-US" w:eastAsia="zh-CN"/>
        </w:rPr>
        <w:t xml:space="preserve">   </w:t>
      </w:r>
      <w:r>
        <w:rPr>
          <w:rFonts w:hint="eastAsia" w:ascii="宋体" w:hAnsi="宋体" w:eastAsia="宋体" w:cs="Times New Roman"/>
          <w:color w:val="auto"/>
          <w:sz w:val="24"/>
          <w:szCs w:val="24"/>
          <w:u w:val="single"/>
        </w:rPr>
        <w:t xml:space="preserve">  </w:t>
      </w:r>
      <w:r>
        <w:rPr>
          <w:rFonts w:hint="eastAsia" w:ascii="宋体" w:hAnsi="宋体" w:eastAsia="宋体" w:cs="宋体"/>
          <w:b w:val="0"/>
          <w:bCs w:val="0"/>
          <w:iCs/>
          <w:color w:val="auto"/>
          <w:kern w:val="2"/>
          <w:sz w:val="24"/>
          <w:szCs w:val="24"/>
        </w:rPr>
        <w:t>；</w:t>
      </w:r>
    </w:p>
    <w:p w14:paraId="7BEBE9CB">
      <w:pPr>
        <w:keepNext w:val="0"/>
        <w:keepLines w:val="0"/>
        <w:pageBreakBefore w:val="0"/>
        <w:widowControl w:val="0"/>
        <w:kinsoku/>
        <w:wordWrap/>
        <w:overflowPunct/>
        <w:topLinePunct w:val="0"/>
        <w:bidi w:val="0"/>
        <w:spacing w:line="360" w:lineRule="auto"/>
        <w:ind w:firstLine="480" w:firstLineChars="200"/>
        <w:jc w:val="left"/>
        <w:textAlignment w:val="auto"/>
        <w:rPr>
          <w:rFonts w:ascii="宋体" w:hAnsi="宋体" w:cs="宋体"/>
          <w:color w:val="auto"/>
          <w:kern w:val="0"/>
          <w:sz w:val="24"/>
          <w:szCs w:val="20"/>
        </w:rPr>
      </w:pPr>
      <w:r>
        <w:rPr>
          <w:rFonts w:hint="eastAsia" w:ascii="宋体" w:hAnsi="宋体" w:eastAsia="宋体" w:cs="宋体"/>
          <w:b w:val="0"/>
          <w:bCs w:val="0"/>
          <w:iCs/>
          <w:color w:val="auto"/>
          <w:kern w:val="2"/>
          <w:sz w:val="24"/>
          <w:szCs w:val="24"/>
        </w:rPr>
        <w:t>（2）向</w:t>
      </w:r>
      <w:r>
        <w:rPr>
          <w:rFonts w:hint="eastAsia" w:ascii="宋体" w:hAnsi="宋体" w:eastAsia="宋体" w:cs="宋体"/>
          <w:b w:val="0"/>
          <w:bCs w:val="0"/>
          <w:iCs/>
          <w:color w:val="auto"/>
          <w:kern w:val="2"/>
          <w:sz w:val="24"/>
          <w:szCs w:val="24"/>
          <w:u w:val="single"/>
        </w:rPr>
        <w:t xml:space="preserve">  </w:t>
      </w:r>
      <w:r>
        <w:rPr>
          <w:rFonts w:hint="eastAsia" w:ascii="宋体" w:hAnsi="宋体"/>
          <w:color w:val="auto"/>
          <w:sz w:val="24"/>
          <w:szCs w:val="24"/>
          <w:u w:val="single"/>
        </w:rPr>
        <w:t>绍兴市上虞区</w:t>
      </w:r>
      <w:r>
        <w:rPr>
          <w:rFonts w:hint="eastAsia" w:ascii="宋体" w:hAnsi="宋体" w:eastAsia="宋体" w:cs="宋体"/>
          <w:b w:val="0"/>
          <w:bCs w:val="0"/>
          <w:iCs/>
          <w:color w:val="auto"/>
          <w:kern w:val="2"/>
          <w:sz w:val="24"/>
          <w:szCs w:val="24"/>
          <w:u w:val="single"/>
        </w:rPr>
        <w:t xml:space="preserve"> </w:t>
      </w:r>
      <w:r>
        <w:rPr>
          <w:rFonts w:hint="eastAsia" w:ascii="宋体" w:hAnsi="宋体" w:eastAsia="宋体" w:cs="宋体"/>
          <w:b w:val="0"/>
          <w:bCs w:val="0"/>
          <w:iCs/>
          <w:color w:val="auto"/>
          <w:kern w:val="2"/>
          <w:sz w:val="24"/>
          <w:szCs w:val="24"/>
        </w:rPr>
        <w:t>人民法院起诉。</w:t>
      </w:r>
    </w:p>
    <w:p w14:paraId="5D0C604D">
      <w:pPr>
        <w:pStyle w:val="44"/>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如</w:t>
      </w:r>
      <w:r>
        <w:rPr>
          <w:rFonts w:hint="eastAsia" w:ascii="宋体" w:hAnsi="宋体" w:eastAsia="宋体" w:cs="宋体"/>
          <w:sz w:val="24"/>
          <w:szCs w:val="24"/>
          <w:lang w:eastAsia="zh-CN"/>
        </w:rPr>
        <w:t>甲乙双方</w:t>
      </w:r>
      <w:r>
        <w:rPr>
          <w:rFonts w:hint="eastAsia" w:ascii="宋体" w:hAnsi="宋体" w:eastAsia="宋体" w:cs="宋体"/>
          <w:sz w:val="24"/>
          <w:szCs w:val="24"/>
        </w:rPr>
        <w:t>有争议的事项不影响合同其他部分的履行，在争议解决期间，合同其他部分应</w:t>
      </w:r>
      <w:r>
        <w:rPr>
          <w:rFonts w:hint="eastAsia" w:ascii="宋体" w:hAnsi="宋体" w:eastAsia="宋体" w:cs="宋体"/>
          <w:sz w:val="24"/>
          <w:szCs w:val="24"/>
          <w:lang w:eastAsia="zh-CN"/>
        </w:rPr>
        <w:t>当</w:t>
      </w:r>
      <w:r>
        <w:rPr>
          <w:rFonts w:hint="eastAsia" w:ascii="宋体" w:hAnsi="宋体" w:eastAsia="宋体" w:cs="宋体"/>
          <w:sz w:val="24"/>
          <w:szCs w:val="24"/>
        </w:rPr>
        <w:t>继续履行。</w:t>
      </w:r>
    </w:p>
    <w:p w14:paraId="7E44345A">
      <w:pPr>
        <w:pStyle w:val="44"/>
        <w:spacing w:line="360" w:lineRule="auto"/>
        <w:ind w:left="0" w:leftChars="0" w:firstLine="0" w:firstLineChars="0"/>
        <w:jc w:val="both"/>
        <w:rPr>
          <w:rFonts w:hint="eastAsia" w:ascii="宋体" w:hAnsi="宋体" w:cs="宋体"/>
          <w:b/>
          <w:bCs/>
          <w:color w:val="auto"/>
          <w:sz w:val="24"/>
          <w:highlight w:val="none"/>
        </w:rPr>
      </w:pPr>
      <w:r>
        <w:rPr>
          <w:rFonts w:hint="eastAsia" w:ascii="宋体" w:hAnsi="宋体" w:eastAsia="宋体" w:cs="宋体"/>
          <w:sz w:val="24"/>
          <w:szCs w:val="24"/>
          <w:lang w:eastAsia="zh-CN"/>
        </w:rPr>
        <w:t>二十一、</w:t>
      </w:r>
      <w:r>
        <w:rPr>
          <w:rFonts w:hint="eastAsia" w:ascii="宋体" w:hAnsi="宋体" w:cs="宋体"/>
          <w:b/>
          <w:bCs/>
          <w:color w:val="auto"/>
          <w:sz w:val="24"/>
          <w:highlight w:val="none"/>
        </w:rPr>
        <w:t>附则</w:t>
      </w:r>
    </w:p>
    <w:p w14:paraId="00ECFA3A">
      <w:pPr>
        <w:keepNext w:val="0"/>
        <w:keepLines w:val="0"/>
        <w:pageBreakBefore w:val="0"/>
        <w:widowControl w:val="0"/>
        <w:tabs>
          <w:tab w:val="left" w:pos="840"/>
          <w:tab w:val="left" w:pos="1020"/>
        </w:tabs>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bCs/>
          <w:sz w:val="24"/>
        </w:rPr>
      </w:pPr>
      <w:r>
        <w:rPr>
          <w:rFonts w:hint="eastAsia" w:ascii="宋体" w:hAnsi="宋体" w:eastAsia="宋体" w:cs="Times New Roman"/>
          <w:bCs/>
          <w:sz w:val="24"/>
        </w:rPr>
        <w:t>1.合同经甲、乙双方签名并加盖单位公章后生效。</w:t>
      </w:r>
    </w:p>
    <w:p w14:paraId="4707228F">
      <w:pPr>
        <w:keepNext w:val="0"/>
        <w:keepLines w:val="0"/>
        <w:pageBreakBefore w:val="0"/>
        <w:widowControl w:val="0"/>
        <w:tabs>
          <w:tab w:val="left" w:pos="840"/>
          <w:tab w:val="left" w:pos="1020"/>
        </w:tabs>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bCs/>
          <w:sz w:val="24"/>
        </w:rPr>
      </w:pPr>
      <w:r>
        <w:rPr>
          <w:rFonts w:hint="eastAsia" w:ascii="宋体" w:hAnsi="宋体" w:eastAsia="宋体" w:cs="Times New Roman"/>
          <w:bCs/>
          <w:sz w:val="24"/>
        </w:rPr>
        <w:t>2.采购文件、投标文件与本合同具有同等法律效力。</w:t>
      </w:r>
    </w:p>
    <w:p w14:paraId="31049351">
      <w:pPr>
        <w:keepNext w:val="0"/>
        <w:keepLines w:val="0"/>
        <w:pageBreakBefore w:val="0"/>
        <w:widowControl w:val="0"/>
        <w:tabs>
          <w:tab w:val="left" w:pos="840"/>
          <w:tab w:val="left" w:pos="1020"/>
        </w:tabs>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bCs/>
          <w:sz w:val="24"/>
        </w:rPr>
      </w:pPr>
      <w:r>
        <w:rPr>
          <w:rFonts w:hint="eastAsia" w:ascii="宋体" w:hAnsi="宋体" w:eastAsia="宋体" w:cs="Times New Roman"/>
          <w:bCs/>
          <w:sz w:val="24"/>
        </w:rPr>
        <w:t>3.本合同未尽事宜，</w:t>
      </w:r>
      <w:r>
        <w:rPr>
          <w:rFonts w:hint="eastAsia" w:ascii="宋体" w:hAnsi="宋体" w:eastAsia="宋体" w:cs="Times New Roman"/>
          <w:bCs/>
          <w:sz w:val="24"/>
          <w:lang w:val="en-US" w:eastAsia="zh-CN"/>
        </w:rPr>
        <w:t>由双方协商决定</w:t>
      </w:r>
      <w:r>
        <w:rPr>
          <w:rFonts w:hint="eastAsia" w:ascii="宋体" w:hAnsi="宋体" w:eastAsia="宋体" w:cs="Times New Roman"/>
          <w:bCs/>
          <w:sz w:val="24"/>
        </w:rPr>
        <w:t>。</w:t>
      </w:r>
    </w:p>
    <w:p w14:paraId="23738B33">
      <w:pPr>
        <w:keepNext w:val="0"/>
        <w:keepLines w:val="0"/>
        <w:pageBreakBefore w:val="0"/>
        <w:widowControl w:val="0"/>
        <w:tabs>
          <w:tab w:val="left" w:pos="840"/>
          <w:tab w:val="left" w:pos="1020"/>
        </w:tabs>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4</w:t>
      </w:r>
      <w:r>
        <w:rPr>
          <w:rFonts w:hint="eastAsia" w:ascii="宋体" w:hAnsi="宋体" w:cs="Times New Roman"/>
          <w:bCs/>
          <w:sz w:val="24"/>
          <w:lang w:val="en-US" w:eastAsia="zh-CN"/>
        </w:rPr>
        <w:t>.</w:t>
      </w:r>
      <w:r>
        <w:rPr>
          <w:rFonts w:hint="eastAsia" w:ascii="宋体" w:hAnsi="宋体" w:eastAsia="宋体" w:cs="Times New Roman"/>
          <w:bCs/>
          <w:sz w:val="24"/>
          <w:lang w:val="en-US" w:eastAsia="zh-CN"/>
        </w:rPr>
        <w:t>本项目货物如涉及柴油动力移动源，柴油动力移动源应当符合低排放要求。</w:t>
      </w:r>
    </w:p>
    <w:p w14:paraId="2AA70E57">
      <w:pPr>
        <w:spacing w:line="360" w:lineRule="auto"/>
        <w:ind w:firstLine="482" w:firstLineChars="200"/>
        <w:jc w:val="left"/>
        <w:rPr>
          <w:rFonts w:hint="eastAsia" w:ascii="宋体" w:hAnsi="宋体" w:eastAsia="宋体" w:cs="宋体"/>
          <w:b/>
          <w:kern w:val="0"/>
          <w:sz w:val="24"/>
        </w:rPr>
      </w:pPr>
      <w:r>
        <w:rPr>
          <w:rFonts w:hint="eastAsia" w:ascii="宋体" w:hAnsi="宋体" w:cs="宋体"/>
          <w:b/>
          <w:kern w:val="0"/>
          <w:sz w:val="24"/>
          <w:lang w:val="en-US" w:eastAsia="zh-CN"/>
        </w:rPr>
        <w:t>5、</w:t>
      </w:r>
      <w:r>
        <w:rPr>
          <w:rFonts w:hint="eastAsia" w:ascii="宋体" w:hAnsi="宋体" w:eastAsia="宋体" w:cs="宋体"/>
          <w:b/>
          <w:kern w:val="0"/>
          <w:sz w:val="24"/>
        </w:rPr>
        <w:t>本合同一式</w:t>
      </w:r>
      <w:r>
        <w:rPr>
          <w:rFonts w:hint="eastAsia" w:ascii="宋体" w:hAnsi="宋体" w:eastAsia="宋体" w:cs="宋体"/>
          <w:b/>
          <w:kern w:val="0"/>
          <w:sz w:val="24"/>
          <w:u w:val="single"/>
        </w:rPr>
        <w:t xml:space="preserve">　　　 </w:t>
      </w:r>
      <w:r>
        <w:rPr>
          <w:rFonts w:hint="eastAsia" w:ascii="宋体" w:hAnsi="宋体" w:eastAsia="宋体" w:cs="宋体"/>
          <w:b/>
          <w:kern w:val="0"/>
          <w:sz w:val="24"/>
        </w:rPr>
        <w:t>份，其中正本两份，</w:t>
      </w:r>
      <w:r>
        <w:rPr>
          <w:rFonts w:hint="eastAsia" w:ascii="宋体" w:hAnsi="宋体" w:cs="宋体"/>
          <w:b/>
          <w:kern w:val="0"/>
          <w:sz w:val="24"/>
          <w:lang w:eastAsia="zh-CN"/>
        </w:rPr>
        <w:t>甲方</w:t>
      </w:r>
      <w:r>
        <w:rPr>
          <w:rFonts w:hint="eastAsia" w:ascii="宋体" w:hAnsi="宋体" w:eastAsia="宋体" w:cs="宋体"/>
          <w:b/>
          <w:kern w:val="0"/>
          <w:sz w:val="24"/>
        </w:rPr>
        <w:t>和</w:t>
      </w:r>
      <w:r>
        <w:rPr>
          <w:rFonts w:hint="eastAsia" w:ascii="宋体" w:hAnsi="宋体" w:cs="宋体"/>
          <w:b/>
          <w:kern w:val="0"/>
          <w:sz w:val="24"/>
          <w:lang w:eastAsia="zh-CN"/>
        </w:rPr>
        <w:t>乙方</w:t>
      </w:r>
      <w:r>
        <w:rPr>
          <w:rFonts w:hint="eastAsia" w:ascii="宋体" w:hAnsi="宋体" w:eastAsia="宋体" w:cs="宋体"/>
          <w:b/>
          <w:kern w:val="0"/>
          <w:sz w:val="24"/>
        </w:rPr>
        <w:t>各执一份，</w:t>
      </w:r>
      <w:r>
        <w:rPr>
          <w:rFonts w:hint="eastAsia" w:ascii="宋体" w:hAnsi="宋体" w:eastAsia="宋体" w:cs="宋体"/>
          <w:b/>
          <w:kern w:val="0"/>
          <w:sz w:val="24"/>
          <w:lang w:val="en-US" w:eastAsia="zh-CN"/>
        </w:rPr>
        <w:t>并由</w:t>
      </w:r>
      <w:r>
        <w:rPr>
          <w:rFonts w:hint="eastAsia" w:ascii="宋体" w:hAnsi="宋体" w:cs="宋体"/>
          <w:b/>
          <w:kern w:val="0"/>
          <w:sz w:val="24"/>
          <w:lang w:val="en-US" w:eastAsia="zh-CN"/>
        </w:rPr>
        <w:t>甲方</w:t>
      </w:r>
      <w:r>
        <w:rPr>
          <w:rFonts w:hint="eastAsia" w:ascii="宋体" w:hAnsi="宋体" w:eastAsia="宋体" w:cs="宋体"/>
          <w:b/>
          <w:kern w:val="0"/>
          <w:sz w:val="24"/>
          <w:lang w:val="en-US" w:eastAsia="zh-CN"/>
        </w:rPr>
        <w:t>人在30日内做好政采云平台网上合同创建及备案。</w:t>
      </w:r>
    </w:p>
    <w:tbl>
      <w:tblPr>
        <w:tblStyle w:val="25"/>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614"/>
        <w:gridCol w:w="1346"/>
        <w:gridCol w:w="2700"/>
      </w:tblGrid>
      <w:tr w14:paraId="67E8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1FADAB87">
            <w:pPr>
              <w:snapToGrid w:val="0"/>
              <w:spacing w:line="360" w:lineRule="auto"/>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供方单位</w:t>
            </w:r>
          </w:p>
        </w:tc>
        <w:tc>
          <w:tcPr>
            <w:tcW w:w="2614" w:type="dxa"/>
            <w:noWrap w:val="0"/>
            <w:vAlign w:val="center"/>
          </w:tcPr>
          <w:p w14:paraId="16312446">
            <w:pPr>
              <w:snapToGrid w:val="0"/>
              <w:spacing w:line="360" w:lineRule="auto"/>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（盖章）</w:t>
            </w:r>
          </w:p>
        </w:tc>
        <w:tc>
          <w:tcPr>
            <w:tcW w:w="1346" w:type="dxa"/>
            <w:noWrap w:val="0"/>
            <w:vAlign w:val="center"/>
          </w:tcPr>
          <w:p w14:paraId="2068A1FB">
            <w:pPr>
              <w:snapToGrid w:val="0"/>
              <w:spacing w:line="360" w:lineRule="auto"/>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需方单位</w:t>
            </w:r>
          </w:p>
        </w:tc>
        <w:tc>
          <w:tcPr>
            <w:tcW w:w="2700" w:type="dxa"/>
            <w:noWrap w:val="0"/>
            <w:vAlign w:val="center"/>
          </w:tcPr>
          <w:p w14:paraId="397AD10B">
            <w:pPr>
              <w:snapToGrid w:val="0"/>
              <w:spacing w:line="360" w:lineRule="auto"/>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（盖章）</w:t>
            </w:r>
          </w:p>
        </w:tc>
      </w:tr>
      <w:tr w14:paraId="0AF0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4C4915BC">
            <w:pPr>
              <w:snapToGrid w:val="0"/>
              <w:spacing w:line="360" w:lineRule="auto"/>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代表签名</w:t>
            </w:r>
          </w:p>
        </w:tc>
        <w:tc>
          <w:tcPr>
            <w:tcW w:w="2614" w:type="dxa"/>
            <w:noWrap w:val="0"/>
            <w:vAlign w:val="center"/>
          </w:tcPr>
          <w:p w14:paraId="3305EA92">
            <w:pPr>
              <w:snapToGrid w:val="0"/>
              <w:spacing w:line="360" w:lineRule="auto"/>
              <w:jc w:val="center"/>
              <w:rPr>
                <w:rFonts w:hint="eastAsia" w:ascii="宋体" w:hAnsi="宋体" w:eastAsia="宋体" w:cs="宋体"/>
                <w:snapToGrid w:val="0"/>
                <w:kern w:val="0"/>
                <w:sz w:val="21"/>
                <w:szCs w:val="21"/>
              </w:rPr>
            </w:pPr>
          </w:p>
        </w:tc>
        <w:tc>
          <w:tcPr>
            <w:tcW w:w="1346" w:type="dxa"/>
            <w:noWrap w:val="0"/>
            <w:vAlign w:val="center"/>
          </w:tcPr>
          <w:p w14:paraId="342C0C24">
            <w:pPr>
              <w:snapToGrid w:val="0"/>
              <w:spacing w:line="360" w:lineRule="auto"/>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代表签名</w:t>
            </w:r>
          </w:p>
        </w:tc>
        <w:tc>
          <w:tcPr>
            <w:tcW w:w="2700" w:type="dxa"/>
            <w:noWrap w:val="0"/>
            <w:vAlign w:val="center"/>
          </w:tcPr>
          <w:p w14:paraId="63EE5DD4">
            <w:pPr>
              <w:snapToGrid w:val="0"/>
              <w:spacing w:line="360" w:lineRule="auto"/>
              <w:jc w:val="center"/>
              <w:rPr>
                <w:rFonts w:hint="eastAsia" w:ascii="宋体" w:hAnsi="宋体" w:eastAsia="宋体" w:cs="宋体"/>
                <w:snapToGrid w:val="0"/>
                <w:kern w:val="0"/>
                <w:sz w:val="21"/>
                <w:szCs w:val="21"/>
              </w:rPr>
            </w:pPr>
          </w:p>
        </w:tc>
      </w:tr>
      <w:tr w14:paraId="5B44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4AC9B6F2">
            <w:pPr>
              <w:snapToGrid w:val="0"/>
              <w:spacing w:line="360" w:lineRule="auto"/>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地址</w:t>
            </w:r>
          </w:p>
        </w:tc>
        <w:tc>
          <w:tcPr>
            <w:tcW w:w="2614" w:type="dxa"/>
            <w:noWrap w:val="0"/>
            <w:vAlign w:val="center"/>
          </w:tcPr>
          <w:p w14:paraId="398CD3F5">
            <w:pPr>
              <w:snapToGrid w:val="0"/>
              <w:spacing w:line="360" w:lineRule="auto"/>
              <w:jc w:val="center"/>
              <w:rPr>
                <w:rFonts w:hint="eastAsia" w:ascii="宋体" w:hAnsi="宋体" w:eastAsia="宋体" w:cs="宋体"/>
                <w:snapToGrid w:val="0"/>
                <w:kern w:val="0"/>
                <w:sz w:val="21"/>
                <w:szCs w:val="21"/>
              </w:rPr>
            </w:pPr>
          </w:p>
        </w:tc>
        <w:tc>
          <w:tcPr>
            <w:tcW w:w="1346" w:type="dxa"/>
            <w:noWrap w:val="0"/>
            <w:vAlign w:val="center"/>
          </w:tcPr>
          <w:p w14:paraId="67E0A241">
            <w:pPr>
              <w:snapToGrid w:val="0"/>
              <w:spacing w:line="360" w:lineRule="auto"/>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地址</w:t>
            </w:r>
          </w:p>
        </w:tc>
        <w:tc>
          <w:tcPr>
            <w:tcW w:w="2700" w:type="dxa"/>
            <w:noWrap w:val="0"/>
            <w:vAlign w:val="center"/>
          </w:tcPr>
          <w:p w14:paraId="54C8692E">
            <w:pPr>
              <w:snapToGrid w:val="0"/>
              <w:spacing w:line="360" w:lineRule="auto"/>
              <w:jc w:val="center"/>
              <w:rPr>
                <w:rFonts w:hint="eastAsia" w:ascii="宋体" w:hAnsi="宋体" w:eastAsia="宋体" w:cs="宋体"/>
                <w:snapToGrid w:val="0"/>
                <w:kern w:val="0"/>
                <w:sz w:val="21"/>
                <w:szCs w:val="21"/>
              </w:rPr>
            </w:pPr>
          </w:p>
        </w:tc>
      </w:tr>
      <w:tr w14:paraId="5BBF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350053A9">
            <w:pPr>
              <w:snapToGrid w:val="0"/>
              <w:spacing w:line="360" w:lineRule="auto"/>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电话</w:t>
            </w:r>
          </w:p>
        </w:tc>
        <w:tc>
          <w:tcPr>
            <w:tcW w:w="2614" w:type="dxa"/>
            <w:noWrap w:val="0"/>
            <w:vAlign w:val="center"/>
          </w:tcPr>
          <w:p w14:paraId="49D7C334">
            <w:pPr>
              <w:snapToGrid w:val="0"/>
              <w:spacing w:line="360" w:lineRule="auto"/>
              <w:jc w:val="center"/>
              <w:rPr>
                <w:rFonts w:hint="eastAsia" w:ascii="宋体" w:hAnsi="宋体" w:eastAsia="宋体" w:cs="宋体"/>
                <w:snapToGrid w:val="0"/>
                <w:kern w:val="0"/>
                <w:sz w:val="21"/>
                <w:szCs w:val="21"/>
              </w:rPr>
            </w:pPr>
          </w:p>
        </w:tc>
        <w:tc>
          <w:tcPr>
            <w:tcW w:w="1346" w:type="dxa"/>
            <w:noWrap w:val="0"/>
            <w:vAlign w:val="center"/>
          </w:tcPr>
          <w:p w14:paraId="47B22959">
            <w:pPr>
              <w:snapToGrid w:val="0"/>
              <w:spacing w:line="360" w:lineRule="auto"/>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电话</w:t>
            </w:r>
          </w:p>
        </w:tc>
        <w:tc>
          <w:tcPr>
            <w:tcW w:w="2700" w:type="dxa"/>
            <w:noWrap w:val="0"/>
            <w:vAlign w:val="center"/>
          </w:tcPr>
          <w:p w14:paraId="058CF3FE">
            <w:pPr>
              <w:snapToGrid w:val="0"/>
              <w:spacing w:line="360" w:lineRule="auto"/>
              <w:jc w:val="center"/>
              <w:rPr>
                <w:rFonts w:hint="eastAsia" w:ascii="宋体" w:hAnsi="宋体" w:eastAsia="宋体" w:cs="宋体"/>
                <w:snapToGrid w:val="0"/>
                <w:kern w:val="0"/>
                <w:sz w:val="21"/>
                <w:szCs w:val="21"/>
              </w:rPr>
            </w:pPr>
          </w:p>
        </w:tc>
      </w:tr>
      <w:tr w14:paraId="0B66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00222EC2">
            <w:pPr>
              <w:snapToGrid w:val="0"/>
              <w:spacing w:line="360" w:lineRule="auto"/>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开户银行</w:t>
            </w:r>
          </w:p>
        </w:tc>
        <w:tc>
          <w:tcPr>
            <w:tcW w:w="2614" w:type="dxa"/>
            <w:noWrap w:val="0"/>
            <w:vAlign w:val="center"/>
          </w:tcPr>
          <w:p w14:paraId="5DDAB100">
            <w:pPr>
              <w:snapToGrid w:val="0"/>
              <w:spacing w:line="360" w:lineRule="auto"/>
              <w:jc w:val="center"/>
              <w:rPr>
                <w:rFonts w:hint="eastAsia" w:ascii="宋体" w:hAnsi="宋体" w:eastAsia="宋体" w:cs="宋体"/>
                <w:snapToGrid w:val="0"/>
                <w:kern w:val="0"/>
                <w:sz w:val="21"/>
                <w:szCs w:val="21"/>
              </w:rPr>
            </w:pPr>
          </w:p>
        </w:tc>
        <w:tc>
          <w:tcPr>
            <w:tcW w:w="1346" w:type="dxa"/>
            <w:noWrap w:val="0"/>
            <w:vAlign w:val="center"/>
          </w:tcPr>
          <w:p w14:paraId="53D963F4">
            <w:pPr>
              <w:snapToGrid w:val="0"/>
              <w:spacing w:line="360" w:lineRule="auto"/>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开户银行</w:t>
            </w:r>
          </w:p>
        </w:tc>
        <w:tc>
          <w:tcPr>
            <w:tcW w:w="2700" w:type="dxa"/>
            <w:noWrap w:val="0"/>
            <w:vAlign w:val="center"/>
          </w:tcPr>
          <w:p w14:paraId="00F60848">
            <w:pPr>
              <w:snapToGrid w:val="0"/>
              <w:spacing w:line="360" w:lineRule="auto"/>
              <w:jc w:val="center"/>
              <w:rPr>
                <w:rFonts w:hint="eastAsia" w:ascii="宋体" w:hAnsi="宋体" w:eastAsia="宋体" w:cs="宋体"/>
                <w:snapToGrid w:val="0"/>
                <w:kern w:val="0"/>
                <w:sz w:val="21"/>
                <w:szCs w:val="21"/>
              </w:rPr>
            </w:pPr>
          </w:p>
        </w:tc>
      </w:tr>
      <w:tr w14:paraId="0CDD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35809B8B">
            <w:pPr>
              <w:snapToGrid w:val="0"/>
              <w:spacing w:line="360" w:lineRule="auto"/>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账</w:t>
            </w:r>
            <w:r>
              <w:rPr>
                <w:rFonts w:hint="eastAsia" w:ascii="宋体" w:hAnsi="宋体" w:eastAsia="宋体" w:cs="宋体"/>
                <w:snapToGrid w:val="0"/>
                <w:kern w:val="0"/>
                <w:sz w:val="21"/>
                <w:szCs w:val="21"/>
              </w:rPr>
              <w:t>号</w:t>
            </w:r>
          </w:p>
        </w:tc>
        <w:tc>
          <w:tcPr>
            <w:tcW w:w="2614" w:type="dxa"/>
            <w:noWrap w:val="0"/>
            <w:vAlign w:val="center"/>
          </w:tcPr>
          <w:p w14:paraId="3064E6A3">
            <w:pPr>
              <w:snapToGrid w:val="0"/>
              <w:spacing w:line="360" w:lineRule="auto"/>
              <w:jc w:val="center"/>
              <w:rPr>
                <w:rFonts w:hint="eastAsia" w:ascii="宋体" w:hAnsi="宋体" w:eastAsia="宋体" w:cs="宋体"/>
                <w:snapToGrid w:val="0"/>
                <w:kern w:val="0"/>
                <w:sz w:val="21"/>
                <w:szCs w:val="21"/>
              </w:rPr>
            </w:pPr>
          </w:p>
        </w:tc>
        <w:tc>
          <w:tcPr>
            <w:tcW w:w="1346" w:type="dxa"/>
            <w:noWrap w:val="0"/>
            <w:vAlign w:val="center"/>
          </w:tcPr>
          <w:p w14:paraId="1E11EFB7">
            <w:pPr>
              <w:snapToGrid w:val="0"/>
              <w:spacing w:line="360" w:lineRule="auto"/>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账</w:t>
            </w:r>
            <w:r>
              <w:rPr>
                <w:rFonts w:hint="eastAsia" w:ascii="宋体" w:hAnsi="宋体" w:eastAsia="宋体" w:cs="宋体"/>
                <w:snapToGrid w:val="0"/>
                <w:kern w:val="0"/>
                <w:sz w:val="21"/>
                <w:szCs w:val="21"/>
              </w:rPr>
              <w:t>号</w:t>
            </w:r>
          </w:p>
        </w:tc>
        <w:tc>
          <w:tcPr>
            <w:tcW w:w="2700" w:type="dxa"/>
            <w:noWrap w:val="0"/>
            <w:vAlign w:val="center"/>
          </w:tcPr>
          <w:p w14:paraId="78794623">
            <w:pPr>
              <w:snapToGrid w:val="0"/>
              <w:spacing w:line="360" w:lineRule="auto"/>
              <w:jc w:val="center"/>
              <w:rPr>
                <w:rFonts w:hint="eastAsia" w:ascii="宋体" w:hAnsi="宋体" w:eastAsia="宋体" w:cs="宋体"/>
                <w:snapToGrid w:val="0"/>
                <w:kern w:val="0"/>
                <w:sz w:val="21"/>
                <w:szCs w:val="21"/>
              </w:rPr>
            </w:pPr>
          </w:p>
        </w:tc>
      </w:tr>
    </w:tbl>
    <w:p w14:paraId="7E74DB4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B1A6551">
      <w:pPr>
        <w:rPr>
          <w:rFonts w:hint="eastAsia"/>
        </w:rPr>
      </w:pPr>
      <w:r>
        <w:rPr>
          <w:rFonts w:hint="eastAsia" w:ascii="宋体" w:hAnsi="宋体" w:cs="宋体"/>
          <w:b/>
          <w:bCs/>
          <w:color w:val="auto"/>
          <w:highlight w:val="none"/>
          <w:lang w:eastAsia="zh-CN"/>
        </w:rPr>
        <w:t>附件</w:t>
      </w:r>
      <w:r>
        <w:rPr>
          <w:rFonts w:hint="eastAsia"/>
          <w:b/>
          <w:bCs/>
          <w:sz w:val="28"/>
          <w:szCs w:val="28"/>
          <w:lang w:val="en-US" w:eastAsia="zh-CN"/>
        </w:rPr>
        <w:t>2</w:t>
      </w:r>
      <w:r>
        <w:rPr>
          <w:rFonts w:hint="eastAsia"/>
          <w:b/>
          <w:bCs/>
          <w:sz w:val="28"/>
          <w:szCs w:val="28"/>
          <w:lang w:eastAsia="zh-CN"/>
        </w:rPr>
        <w:t>024年上虞区企业信用云平台服务器等设备维保服务</w:t>
      </w:r>
      <w:r>
        <w:rPr>
          <w:rFonts w:hint="eastAsia"/>
          <w:b/>
          <w:bCs/>
          <w:sz w:val="28"/>
          <w:szCs w:val="28"/>
        </w:rPr>
        <w:t>项目考核情况表</w:t>
      </w:r>
    </w:p>
    <w:tbl>
      <w:tblPr>
        <w:tblStyle w:val="25"/>
        <w:tblpPr w:leftFromText="180" w:rightFromText="180" w:vertAnchor="text" w:horzAnchor="page" w:tblpX="1458" w:tblpY="50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5"/>
        <w:gridCol w:w="2132"/>
        <w:gridCol w:w="2507"/>
        <w:gridCol w:w="243"/>
        <w:gridCol w:w="1032"/>
        <w:gridCol w:w="1276"/>
      </w:tblGrid>
      <w:tr w14:paraId="12FD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2" w:type="dxa"/>
            <w:gridSpan w:val="2"/>
            <w:noWrap w:val="0"/>
            <w:vAlign w:val="center"/>
          </w:tcPr>
          <w:p w14:paraId="7E4239F8">
            <w:pPr>
              <w:autoSpaceDE w:val="0"/>
              <w:autoSpaceDN w:val="0"/>
              <w:snapToGrid w:val="0"/>
              <w:jc w:val="center"/>
              <w:rPr>
                <w:rFonts w:hint="eastAsia" w:ascii="仿宋" w:hAnsi="仿宋" w:eastAsia="仿宋" w:cs="仿宋"/>
                <w:b/>
                <w:sz w:val="24"/>
              </w:rPr>
            </w:pPr>
            <w:r>
              <w:rPr>
                <w:rFonts w:hint="eastAsia" w:ascii="仿宋" w:hAnsi="仿宋" w:eastAsia="仿宋" w:cs="仿宋"/>
                <w:b/>
                <w:sz w:val="24"/>
              </w:rPr>
              <w:t>维护地点：</w:t>
            </w:r>
          </w:p>
        </w:tc>
        <w:tc>
          <w:tcPr>
            <w:tcW w:w="2132" w:type="dxa"/>
            <w:noWrap w:val="0"/>
            <w:vAlign w:val="center"/>
          </w:tcPr>
          <w:p w14:paraId="6F61E9A8">
            <w:pPr>
              <w:autoSpaceDE w:val="0"/>
              <w:autoSpaceDN w:val="0"/>
              <w:snapToGrid w:val="0"/>
              <w:jc w:val="center"/>
              <w:rPr>
                <w:rFonts w:hint="eastAsia" w:ascii="仿宋" w:hAnsi="仿宋" w:eastAsia="仿宋" w:cs="仿宋"/>
                <w:sz w:val="24"/>
              </w:rPr>
            </w:pPr>
          </w:p>
        </w:tc>
        <w:tc>
          <w:tcPr>
            <w:tcW w:w="2750" w:type="dxa"/>
            <w:gridSpan w:val="2"/>
            <w:noWrap w:val="0"/>
            <w:vAlign w:val="center"/>
          </w:tcPr>
          <w:p w14:paraId="48E549FD">
            <w:pPr>
              <w:autoSpaceDE w:val="0"/>
              <w:autoSpaceDN w:val="0"/>
              <w:snapToGrid w:val="0"/>
              <w:jc w:val="center"/>
              <w:rPr>
                <w:rFonts w:hint="eastAsia" w:ascii="仿宋" w:hAnsi="仿宋" w:eastAsia="仿宋" w:cs="仿宋"/>
                <w:b/>
                <w:sz w:val="24"/>
              </w:rPr>
            </w:pPr>
            <w:r>
              <w:rPr>
                <w:rFonts w:hint="eastAsia" w:ascii="仿宋" w:hAnsi="仿宋" w:eastAsia="仿宋" w:cs="仿宋"/>
                <w:b/>
                <w:sz w:val="24"/>
              </w:rPr>
              <w:t>考核月份：</w:t>
            </w:r>
          </w:p>
        </w:tc>
        <w:tc>
          <w:tcPr>
            <w:tcW w:w="2308" w:type="dxa"/>
            <w:gridSpan w:val="2"/>
            <w:noWrap w:val="0"/>
            <w:vAlign w:val="center"/>
          </w:tcPr>
          <w:p w14:paraId="5D8DD68D">
            <w:pPr>
              <w:autoSpaceDE w:val="0"/>
              <w:autoSpaceDN w:val="0"/>
              <w:snapToGrid w:val="0"/>
              <w:jc w:val="center"/>
              <w:rPr>
                <w:rFonts w:hint="eastAsia" w:ascii="仿宋" w:hAnsi="仿宋" w:eastAsia="仿宋" w:cs="仿宋"/>
                <w:sz w:val="24"/>
              </w:rPr>
            </w:pPr>
          </w:p>
        </w:tc>
      </w:tr>
      <w:tr w14:paraId="5F88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132" w:type="dxa"/>
            <w:gridSpan w:val="2"/>
            <w:noWrap w:val="0"/>
            <w:vAlign w:val="center"/>
          </w:tcPr>
          <w:p w14:paraId="5D021B08">
            <w:pPr>
              <w:autoSpaceDE w:val="0"/>
              <w:autoSpaceDN w:val="0"/>
              <w:snapToGrid w:val="0"/>
              <w:jc w:val="center"/>
              <w:rPr>
                <w:rFonts w:hint="eastAsia" w:ascii="仿宋" w:hAnsi="仿宋" w:eastAsia="仿宋" w:cs="仿宋"/>
                <w:b/>
                <w:sz w:val="24"/>
              </w:rPr>
            </w:pPr>
            <w:r>
              <w:rPr>
                <w:rFonts w:hint="eastAsia" w:ascii="仿宋" w:hAnsi="仿宋" w:eastAsia="仿宋" w:cs="仿宋"/>
                <w:sz w:val="24"/>
              </w:rPr>
              <w:t>投标人</w:t>
            </w:r>
            <w:r>
              <w:rPr>
                <w:rFonts w:hint="eastAsia" w:ascii="仿宋" w:hAnsi="仿宋" w:eastAsia="仿宋" w:cs="仿宋"/>
                <w:b/>
                <w:sz w:val="24"/>
              </w:rPr>
              <w:t>：</w:t>
            </w:r>
          </w:p>
        </w:tc>
        <w:tc>
          <w:tcPr>
            <w:tcW w:w="7190" w:type="dxa"/>
            <w:gridSpan w:val="5"/>
            <w:noWrap w:val="0"/>
            <w:vAlign w:val="center"/>
          </w:tcPr>
          <w:p w14:paraId="056038D2">
            <w:pPr>
              <w:autoSpaceDE w:val="0"/>
              <w:autoSpaceDN w:val="0"/>
              <w:snapToGrid w:val="0"/>
              <w:jc w:val="center"/>
              <w:rPr>
                <w:rFonts w:hint="eastAsia" w:ascii="仿宋" w:hAnsi="仿宋" w:eastAsia="仿宋" w:cs="仿宋"/>
                <w:sz w:val="24"/>
              </w:rPr>
            </w:pPr>
          </w:p>
        </w:tc>
      </w:tr>
      <w:tr w14:paraId="325B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A467C8C">
            <w:pPr>
              <w:autoSpaceDE w:val="0"/>
              <w:autoSpaceDN w:val="0"/>
              <w:snapToGrid w:val="0"/>
              <w:jc w:val="center"/>
              <w:rPr>
                <w:rFonts w:hint="eastAsia" w:ascii="仿宋" w:hAnsi="仿宋" w:eastAsia="仿宋" w:cs="仿宋"/>
                <w:b/>
                <w:sz w:val="24"/>
              </w:rPr>
            </w:pPr>
            <w:r>
              <w:rPr>
                <w:rFonts w:hint="eastAsia" w:ascii="仿宋" w:hAnsi="仿宋" w:eastAsia="仿宋" w:cs="仿宋"/>
                <w:b/>
                <w:sz w:val="24"/>
              </w:rPr>
              <w:t>序号</w:t>
            </w:r>
          </w:p>
        </w:tc>
        <w:tc>
          <w:tcPr>
            <w:tcW w:w="5954" w:type="dxa"/>
            <w:gridSpan w:val="3"/>
            <w:noWrap w:val="0"/>
            <w:vAlign w:val="center"/>
          </w:tcPr>
          <w:p w14:paraId="384F8D18">
            <w:pPr>
              <w:autoSpaceDE w:val="0"/>
              <w:autoSpaceDN w:val="0"/>
              <w:snapToGrid w:val="0"/>
              <w:jc w:val="center"/>
              <w:rPr>
                <w:rFonts w:hint="eastAsia" w:ascii="仿宋" w:hAnsi="仿宋" w:eastAsia="仿宋" w:cs="仿宋"/>
                <w:b/>
                <w:sz w:val="24"/>
              </w:rPr>
            </w:pPr>
            <w:r>
              <w:rPr>
                <w:rFonts w:hint="eastAsia" w:ascii="仿宋" w:hAnsi="仿宋" w:eastAsia="仿宋" w:cs="仿宋"/>
                <w:b/>
                <w:sz w:val="24"/>
              </w:rPr>
              <w:t>考核内容</w:t>
            </w:r>
          </w:p>
        </w:tc>
        <w:tc>
          <w:tcPr>
            <w:tcW w:w="1275" w:type="dxa"/>
            <w:gridSpan w:val="2"/>
            <w:noWrap w:val="0"/>
            <w:vAlign w:val="center"/>
          </w:tcPr>
          <w:p w14:paraId="5895DDD5">
            <w:pPr>
              <w:autoSpaceDE w:val="0"/>
              <w:autoSpaceDN w:val="0"/>
              <w:snapToGrid w:val="0"/>
              <w:jc w:val="center"/>
              <w:rPr>
                <w:rFonts w:hint="eastAsia" w:ascii="仿宋" w:hAnsi="仿宋" w:eastAsia="仿宋" w:cs="仿宋"/>
                <w:b/>
                <w:sz w:val="24"/>
              </w:rPr>
            </w:pPr>
            <w:r>
              <w:rPr>
                <w:rFonts w:hint="eastAsia" w:ascii="仿宋" w:hAnsi="仿宋" w:eastAsia="仿宋" w:cs="仿宋"/>
                <w:b/>
                <w:sz w:val="24"/>
              </w:rPr>
              <w:t>考核得分</w:t>
            </w:r>
          </w:p>
        </w:tc>
        <w:tc>
          <w:tcPr>
            <w:tcW w:w="1276" w:type="dxa"/>
            <w:noWrap w:val="0"/>
            <w:vAlign w:val="center"/>
          </w:tcPr>
          <w:p w14:paraId="3D1ECABD">
            <w:pPr>
              <w:autoSpaceDE w:val="0"/>
              <w:autoSpaceDN w:val="0"/>
              <w:snapToGrid w:val="0"/>
              <w:jc w:val="center"/>
              <w:rPr>
                <w:rFonts w:hint="eastAsia" w:ascii="仿宋" w:hAnsi="仿宋" w:eastAsia="仿宋" w:cs="仿宋"/>
                <w:b/>
                <w:sz w:val="24"/>
              </w:rPr>
            </w:pPr>
            <w:r>
              <w:rPr>
                <w:rFonts w:hint="eastAsia" w:ascii="仿宋" w:hAnsi="仿宋" w:eastAsia="仿宋" w:cs="仿宋"/>
                <w:b/>
                <w:sz w:val="24"/>
              </w:rPr>
              <w:t>备注</w:t>
            </w:r>
          </w:p>
        </w:tc>
      </w:tr>
      <w:tr w14:paraId="4A06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771" w:type="dxa"/>
            <w:gridSpan w:val="4"/>
            <w:noWrap w:val="0"/>
            <w:vAlign w:val="center"/>
          </w:tcPr>
          <w:p w14:paraId="7CAACBC0">
            <w:pPr>
              <w:autoSpaceDE w:val="0"/>
              <w:autoSpaceDN w:val="0"/>
              <w:snapToGrid w:val="0"/>
              <w:jc w:val="center"/>
              <w:rPr>
                <w:rFonts w:hint="eastAsia" w:ascii="仿宋" w:hAnsi="仿宋" w:eastAsia="仿宋" w:cs="仿宋"/>
                <w:b/>
                <w:sz w:val="24"/>
              </w:rPr>
            </w:pPr>
            <w:r>
              <w:rPr>
                <w:rFonts w:hint="eastAsia" w:ascii="仿宋" w:hAnsi="仿宋" w:eastAsia="仿宋" w:cs="仿宋"/>
                <w:b/>
                <w:sz w:val="24"/>
              </w:rPr>
              <w:t>（一）考核扣分项</w:t>
            </w:r>
          </w:p>
        </w:tc>
        <w:tc>
          <w:tcPr>
            <w:tcW w:w="1275" w:type="dxa"/>
            <w:gridSpan w:val="2"/>
            <w:noWrap w:val="0"/>
            <w:vAlign w:val="center"/>
          </w:tcPr>
          <w:p w14:paraId="0E200A07">
            <w:pPr>
              <w:autoSpaceDE w:val="0"/>
              <w:autoSpaceDN w:val="0"/>
              <w:snapToGrid w:val="0"/>
              <w:jc w:val="center"/>
              <w:rPr>
                <w:rFonts w:hint="eastAsia" w:ascii="仿宋" w:hAnsi="仿宋" w:eastAsia="仿宋" w:cs="仿宋"/>
                <w:b/>
                <w:sz w:val="24"/>
              </w:rPr>
            </w:pPr>
          </w:p>
        </w:tc>
        <w:tc>
          <w:tcPr>
            <w:tcW w:w="1276" w:type="dxa"/>
            <w:noWrap w:val="0"/>
            <w:vAlign w:val="center"/>
          </w:tcPr>
          <w:p w14:paraId="1517C064">
            <w:pPr>
              <w:autoSpaceDE w:val="0"/>
              <w:autoSpaceDN w:val="0"/>
              <w:snapToGrid w:val="0"/>
              <w:jc w:val="center"/>
              <w:rPr>
                <w:rFonts w:hint="eastAsia" w:ascii="仿宋" w:hAnsi="仿宋" w:eastAsia="仿宋" w:cs="仿宋"/>
                <w:b/>
                <w:sz w:val="24"/>
              </w:rPr>
            </w:pPr>
          </w:p>
        </w:tc>
      </w:tr>
      <w:tr w14:paraId="26C9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FAF6818">
            <w:pPr>
              <w:autoSpaceDE w:val="0"/>
              <w:autoSpaceDN w:val="0"/>
              <w:snapToGrid w:val="0"/>
              <w:jc w:val="center"/>
              <w:rPr>
                <w:rFonts w:hint="eastAsia" w:ascii="仿宋" w:hAnsi="仿宋" w:eastAsia="仿宋" w:cs="仿宋"/>
                <w:sz w:val="24"/>
              </w:rPr>
            </w:pPr>
            <w:r>
              <w:rPr>
                <w:rFonts w:hint="eastAsia" w:ascii="仿宋" w:hAnsi="仿宋" w:eastAsia="仿宋" w:cs="仿宋"/>
                <w:sz w:val="24"/>
              </w:rPr>
              <w:t>1</w:t>
            </w:r>
          </w:p>
        </w:tc>
        <w:tc>
          <w:tcPr>
            <w:tcW w:w="5954" w:type="dxa"/>
            <w:gridSpan w:val="3"/>
            <w:noWrap w:val="0"/>
            <w:vAlign w:val="center"/>
          </w:tcPr>
          <w:p w14:paraId="1ED838C4">
            <w:pPr>
              <w:snapToGrid w:val="0"/>
              <w:rPr>
                <w:rFonts w:hint="eastAsia" w:ascii="仿宋" w:hAnsi="仿宋" w:eastAsia="仿宋" w:cs="仿宋"/>
                <w:sz w:val="24"/>
              </w:rPr>
            </w:pPr>
            <w:r>
              <w:rPr>
                <w:rFonts w:hint="eastAsia" w:ascii="仿宋" w:hAnsi="仿宋" w:eastAsia="仿宋" w:cs="仿宋"/>
                <w:sz w:val="24"/>
              </w:rPr>
              <w:t>投标人未按照要求对服务器、存储、网络交换机、设备等进行维保的，每发生一次扣1分。</w:t>
            </w:r>
          </w:p>
        </w:tc>
        <w:tc>
          <w:tcPr>
            <w:tcW w:w="1275" w:type="dxa"/>
            <w:gridSpan w:val="2"/>
            <w:noWrap w:val="0"/>
            <w:vAlign w:val="center"/>
          </w:tcPr>
          <w:p w14:paraId="12B2BB06">
            <w:pPr>
              <w:autoSpaceDE w:val="0"/>
              <w:autoSpaceDN w:val="0"/>
              <w:snapToGrid w:val="0"/>
              <w:rPr>
                <w:rFonts w:hint="eastAsia" w:ascii="仿宋" w:hAnsi="仿宋" w:eastAsia="仿宋" w:cs="仿宋"/>
                <w:sz w:val="24"/>
              </w:rPr>
            </w:pPr>
          </w:p>
        </w:tc>
        <w:tc>
          <w:tcPr>
            <w:tcW w:w="1276" w:type="dxa"/>
            <w:noWrap w:val="0"/>
            <w:vAlign w:val="center"/>
          </w:tcPr>
          <w:p w14:paraId="44013F8C">
            <w:pPr>
              <w:autoSpaceDE w:val="0"/>
              <w:autoSpaceDN w:val="0"/>
              <w:snapToGrid w:val="0"/>
              <w:rPr>
                <w:rFonts w:hint="eastAsia" w:ascii="仿宋" w:hAnsi="仿宋" w:eastAsia="仿宋" w:cs="仿宋"/>
                <w:sz w:val="24"/>
              </w:rPr>
            </w:pPr>
          </w:p>
        </w:tc>
      </w:tr>
      <w:tr w14:paraId="4EC9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7" w:type="dxa"/>
            <w:noWrap w:val="0"/>
            <w:vAlign w:val="center"/>
          </w:tcPr>
          <w:p w14:paraId="246CC75E">
            <w:pPr>
              <w:autoSpaceDE w:val="0"/>
              <w:autoSpaceDN w:val="0"/>
              <w:snapToGrid w:val="0"/>
              <w:jc w:val="center"/>
              <w:rPr>
                <w:rFonts w:hint="eastAsia" w:ascii="仿宋" w:hAnsi="仿宋" w:eastAsia="仿宋" w:cs="仿宋"/>
                <w:sz w:val="24"/>
              </w:rPr>
            </w:pPr>
            <w:r>
              <w:rPr>
                <w:rFonts w:hint="eastAsia" w:ascii="仿宋" w:hAnsi="仿宋" w:eastAsia="仿宋" w:cs="仿宋"/>
                <w:sz w:val="24"/>
              </w:rPr>
              <w:t>2</w:t>
            </w:r>
          </w:p>
        </w:tc>
        <w:tc>
          <w:tcPr>
            <w:tcW w:w="5954" w:type="dxa"/>
            <w:gridSpan w:val="3"/>
            <w:noWrap w:val="0"/>
            <w:vAlign w:val="center"/>
          </w:tcPr>
          <w:p w14:paraId="5F27F089">
            <w:pPr>
              <w:autoSpaceDE w:val="0"/>
              <w:autoSpaceDN w:val="0"/>
              <w:snapToGrid w:val="0"/>
              <w:rPr>
                <w:rFonts w:hint="eastAsia" w:ascii="仿宋" w:hAnsi="仿宋" w:eastAsia="仿宋" w:cs="仿宋"/>
                <w:sz w:val="24"/>
              </w:rPr>
            </w:pPr>
            <w:r>
              <w:rPr>
                <w:rFonts w:hint="eastAsia" w:ascii="仿宋" w:hAnsi="仿宋" w:eastAsia="仿宋" w:cs="仿宋"/>
                <w:sz w:val="24"/>
              </w:rPr>
              <w:t>投标人未按要求做到季度巡检的，每发生一次扣5分。</w:t>
            </w:r>
          </w:p>
        </w:tc>
        <w:tc>
          <w:tcPr>
            <w:tcW w:w="1275" w:type="dxa"/>
            <w:gridSpan w:val="2"/>
            <w:noWrap w:val="0"/>
            <w:vAlign w:val="center"/>
          </w:tcPr>
          <w:p w14:paraId="256D8B38">
            <w:pPr>
              <w:autoSpaceDE w:val="0"/>
              <w:autoSpaceDN w:val="0"/>
              <w:snapToGrid w:val="0"/>
              <w:rPr>
                <w:rFonts w:hint="eastAsia" w:ascii="仿宋" w:hAnsi="仿宋" w:eastAsia="仿宋" w:cs="仿宋"/>
                <w:sz w:val="24"/>
              </w:rPr>
            </w:pPr>
          </w:p>
        </w:tc>
        <w:tc>
          <w:tcPr>
            <w:tcW w:w="1276" w:type="dxa"/>
            <w:noWrap w:val="0"/>
            <w:vAlign w:val="center"/>
          </w:tcPr>
          <w:p w14:paraId="1C8D9506">
            <w:pPr>
              <w:autoSpaceDE w:val="0"/>
              <w:autoSpaceDN w:val="0"/>
              <w:snapToGrid w:val="0"/>
              <w:rPr>
                <w:rFonts w:hint="eastAsia" w:ascii="仿宋" w:hAnsi="仿宋" w:eastAsia="仿宋" w:cs="仿宋"/>
                <w:sz w:val="24"/>
              </w:rPr>
            </w:pPr>
          </w:p>
        </w:tc>
      </w:tr>
      <w:tr w14:paraId="1444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03BF6F3">
            <w:pPr>
              <w:autoSpaceDE w:val="0"/>
              <w:autoSpaceDN w:val="0"/>
              <w:snapToGrid w:val="0"/>
              <w:jc w:val="center"/>
              <w:rPr>
                <w:rFonts w:hint="eastAsia" w:ascii="仿宋" w:hAnsi="仿宋" w:eastAsia="仿宋" w:cs="仿宋"/>
                <w:sz w:val="24"/>
              </w:rPr>
            </w:pPr>
            <w:r>
              <w:rPr>
                <w:rFonts w:hint="eastAsia" w:ascii="仿宋" w:hAnsi="仿宋" w:eastAsia="仿宋" w:cs="仿宋"/>
                <w:sz w:val="24"/>
              </w:rPr>
              <w:t>3</w:t>
            </w:r>
          </w:p>
        </w:tc>
        <w:tc>
          <w:tcPr>
            <w:tcW w:w="5954" w:type="dxa"/>
            <w:gridSpan w:val="3"/>
            <w:noWrap w:val="0"/>
            <w:vAlign w:val="center"/>
          </w:tcPr>
          <w:p w14:paraId="2AFFEEBC">
            <w:pPr>
              <w:autoSpaceDE w:val="0"/>
              <w:autoSpaceDN w:val="0"/>
              <w:snapToGrid w:val="0"/>
              <w:rPr>
                <w:rFonts w:hint="eastAsia" w:ascii="仿宋" w:hAnsi="仿宋" w:eastAsia="仿宋" w:cs="仿宋"/>
                <w:sz w:val="24"/>
              </w:rPr>
            </w:pPr>
            <w:r>
              <w:rPr>
                <w:rFonts w:hint="eastAsia" w:ascii="仿宋" w:hAnsi="仿宋" w:eastAsia="仿宋" w:cs="仿宋"/>
                <w:sz w:val="24"/>
              </w:rPr>
              <w:t>投标人未对设备系统软件提供安装、配置、升级、打补丁、备份、空间清理、故障处理、性能优化、存在隐患问题分析等日常管理服务的，每发生一次扣3分。</w:t>
            </w:r>
          </w:p>
        </w:tc>
        <w:tc>
          <w:tcPr>
            <w:tcW w:w="1275" w:type="dxa"/>
            <w:gridSpan w:val="2"/>
            <w:noWrap w:val="0"/>
            <w:vAlign w:val="center"/>
          </w:tcPr>
          <w:p w14:paraId="19FDB62C">
            <w:pPr>
              <w:autoSpaceDE w:val="0"/>
              <w:autoSpaceDN w:val="0"/>
              <w:snapToGrid w:val="0"/>
              <w:rPr>
                <w:rFonts w:hint="eastAsia" w:ascii="仿宋" w:hAnsi="仿宋" w:eastAsia="仿宋" w:cs="仿宋"/>
                <w:sz w:val="24"/>
              </w:rPr>
            </w:pPr>
          </w:p>
        </w:tc>
        <w:tc>
          <w:tcPr>
            <w:tcW w:w="1276" w:type="dxa"/>
            <w:noWrap w:val="0"/>
            <w:vAlign w:val="center"/>
          </w:tcPr>
          <w:p w14:paraId="4CB6F0C8">
            <w:pPr>
              <w:autoSpaceDE w:val="0"/>
              <w:autoSpaceDN w:val="0"/>
              <w:snapToGrid w:val="0"/>
              <w:rPr>
                <w:rFonts w:hint="eastAsia" w:ascii="仿宋" w:hAnsi="仿宋" w:eastAsia="仿宋" w:cs="仿宋"/>
                <w:sz w:val="24"/>
              </w:rPr>
            </w:pPr>
          </w:p>
        </w:tc>
      </w:tr>
      <w:tr w14:paraId="160F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17" w:type="dxa"/>
            <w:noWrap w:val="0"/>
            <w:vAlign w:val="center"/>
          </w:tcPr>
          <w:p w14:paraId="5B703A06">
            <w:pPr>
              <w:autoSpaceDE w:val="0"/>
              <w:autoSpaceDN w:val="0"/>
              <w:snapToGrid w:val="0"/>
              <w:jc w:val="center"/>
              <w:rPr>
                <w:rFonts w:hint="eastAsia" w:ascii="仿宋" w:hAnsi="仿宋" w:eastAsia="仿宋" w:cs="仿宋"/>
                <w:sz w:val="24"/>
              </w:rPr>
            </w:pPr>
            <w:r>
              <w:rPr>
                <w:rFonts w:hint="eastAsia" w:ascii="仿宋" w:hAnsi="仿宋" w:eastAsia="仿宋" w:cs="仿宋"/>
                <w:sz w:val="24"/>
              </w:rPr>
              <w:t>4</w:t>
            </w:r>
          </w:p>
        </w:tc>
        <w:tc>
          <w:tcPr>
            <w:tcW w:w="5954" w:type="dxa"/>
            <w:gridSpan w:val="3"/>
            <w:noWrap w:val="0"/>
            <w:vAlign w:val="center"/>
          </w:tcPr>
          <w:p w14:paraId="082C58F9">
            <w:pPr>
              <w:autoSpaceDE w:val="0"/>
              <w:autoSpaceDN w:val="0"/>
              <w:snapToGrid w:val="0"/>
              <w:rPr>
                <w:rFonts w:hint="eastAsia" w:ascii="仿宋" w:hAnsi="仿宋" w:eastAsia="仿宋" w:cs="仿宋"/>
                <w:sz w:val="24"/>
              </w:rPr>
            </w:pPr>
            <w:r>
              <w:rPr>
                <w:rFonts w:hint="eastAsia" w:ascii="仿宋" w:hAnsi="仿宋" w:eastAsia="仿宋" w:cs="仿宋"/>
                <w:sz w:val="24"/>
              </w:rPr>
              <w:t>投标人未按要求对服务器、存储、交换机进行调整使用时，进行软硬件的安装、配置、优化的，每发生一次扣1分。</w:t>
            </w:r>
          </w:p>
        </w:tc>
        <w:tc>
          <w:tcPr>
            <w:tcW w:w="1275" w:type="dxa"/>
            <w:gridSpan w:val="2"/>
            <w:noWrap w:val="0"/>
            <w:vAlign w:val="center"/>
          </w:tcPr>
          <w:p w14:paraId="1D91D89F">
            <w:pPr>
              <w:autoSpaceDE w:val="0"/>
              <w:autoSpaceDN w:val="0"/>
              <w:snapToGrid w:val="0"/>
              <w:rPr>
                <w:rFonts w:hint="eastAsia" w:ascii="仿宋" w:hAnsi="仿宋" w:eastAsia="仿宋" w:cs="仿宋"/>
                <w:sz w:val="24"/>
              </w:rPr>
            </w:pPr>
          </w:p>
        </w:tc>
        <w:tc>
          <w:tcPr>
            <w:tcW w:w="1276" w:type="dxa"/>
            <w:noWrap w:val="0"/>
            <w:vAlign w:val="center"/>
          </w:tcPr>
          <w:p w14:paraId="402E9FAA">
            <w:pPr>
              <w:autoSpaceDE w:val="0"/>
              <w:autoSpaceDN w:val="0"/>
              <w:snapToGrid w:val="0"/>
              <w:rPr>
                <w:rFonts w:hint="eastAsia" w:ascii="仿宋" w:hAnsi="仿宋" w:eastAsia="仿宋" w:cs="仿宋"/>
                <w:sz w:val="24"/>
              </w:rPr>
            </w:pPr>
          </w:p>
        </w:tc>
      </w:tr>
      <w:tr w14:paraId="040C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7AE8B45">
            <w:pPr>
              <w:autoSpaceDE w:val="0"/>
              <w:autoSpaceDN w:val="0"/>
              <w:snapToGrid w:val="0"/>
              <w:jc w:val="center"/>
              <w:rPr>
                <w:rFonts w:hint="eastAsia" w:ascii="仿宋" w:hAnsi="仿宋" w:eastAsia="仿宋" w:cs="仿宋"/>
                <w:sz w:val="24"/>
              </w:rPr>
            </w:pPr>
            <w:r>
              <w:rPr>
                <w:rFonts w:hint="eastAsia" w:ascii="仿宋" w:hAnsi="仿宋" w:eastAsia="仿宋" w:cs="仿宋"/>
                <w:sz w:val="24"/>
              </w:rPr>
              <w:t>5</w:t>
            </w:r>
          </w:p>
        </w:tc>
        <w:tc>
          <w:tcPr>
            <w:tcW w:w="5954" w:type="dxa"/>
            <w:gridSpan w:val="3"/>
            <w:noWrap w:val="0"/>
            <w:vAlign w:val="center"/>
          </w:tcPr>
          <w:p w14:paraId="13FF4A89">
            <w:pPr>
              <w:snapToGrid w:val="0"/>
              <w:rPr>
                <w:rFonts w:hint="eastAsia" w:ascii="仿宋" w:hAnsi="仿宋" w:eastAsia="仿宋" w:cs="仿宋"/>
                <w:sz w:val="24"/>
              </w:rPr>
            </w:pPr>
            <w:r>
              <w:rPr>
                <w:rFonts w:hint="eastAsia" w:ascii="仿宋" w:hAnsi="仿宋" w:eastAsia="仿宋" w:cs="仿宋"/>
                <w:sz w:val="24"/>
              </w:rPr>
              <w:t>投标人未按要求对虚拟化平台、数据备份、数据库维护、等进行服务的，每发生一次扣3分；</w:t>
            </w:r>
          </w:p>
        </w:tc>
        <w:tc>
          <w:tcPr>
            <w:tcW w:w="1275" w:type="dxa"/>
            <w:gridSpan w:val="2"/>
            <w:noWrap w:val="0"/>
            <w:vAlign w:val="center"/>
          </w:tcPr>
          <w:p w14:paraId="36722238">
            <w:pPr>
              <w:autoSpaceDE w:val="0"/>
              <w:autoSpaceDN w:val="0"/>
              <w:snapToGrid w:val="0"/>
              <w:rPr>
                <w:rFonts w:hint="eastAsia" w:ascii="仿宋" w:hAnsi="仿宋" w:eastAsia="仿宋" w:cs="仿宋"/>
                <w:sz w:val="24"/>
              </w:rPr>
            </w:pPr>
          </w:p>
        </w:tc>
        <w:tc>
          <w:tcPr>
            <w:tcW w:w="1276" w:type="dxa"/>
            <w:noWrap w:val="0"/>
            <w:vAlign w:val="center"/>
          </w:tcPr>
          <w:p w14:paraId="4B63F5B0">
            <w:pPr>
              <w:autoSpaceDE w:val="0"/>
              <w:autoSpaceDN w:val="0"/>
              <w:snapToGrid w:val="0"/>
              <w:rPr>
                <w:rFonts w:hint="eastAsia" w:ascii="仿宋" w:hAnsi="仿宋" w:eastAsia="仿宋" w:cs="仿宋"/>
                <w:sz w:val="24"/>
              </w:rPr>
            </w:pPr>
          </w:p>
        </w:tc>
      </w:tr>
      <w:tr w14:paraId="4EA5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A864E8D">
            <w:pPr>
              <w:autoSpaceDE w:val="0"/>
              <w:autoSpaceDN w:val="0"/>
              <w:snapToGrid w:val="0"/>
              <w:jc w:val="center"/>
              <w:rPr>
                <w:rFonts w:hint="eastAsia" w:ascii="仿宋" w:hAnsi="仿宋" w:eastAsia="仿宋" w:cs="仿宋"/>
                <w:sz w:val="24"/>
              </w:rPr>
            </w:pPr>
            <w:r>
              <w:rPr>
                <w:rFonts w:hint="eastAsia" w:ascii="仿宋" w:hAnsi="仿宋" w:eastAsia="仿宋" w:cs="仿宋"/>
                <w:sz w:val="24"/>
              </w:rPr>
              <w:t>6</w:t>
            </w:r>
          </w:p>
        </w:tc>
        <w:tc>
          <w:tcPr>
            <w:tcW w:w="5954" w:type="dxa"/>
            <w:gridSpan w:val="3"/>
            <w:noWrap w:val="0"/>
            <w:vAlign w:val="center"/>
          </w:tcPr>
          <w:p w14:paraId="236BA420">
            <w:pPr>
              <w:snapToGrid w:val="0"/>
              <w:rPr>
                <w:rFonts w:hint="eastAsia" w:ascii="仿宋" w:hAnsi="仿宋" w:eastAsia="仿宋" w:cs="仿宋"/>
                <w:sz w:val="24"/>
              </w:rPr>
            </w:pPr>
            <w:r>
              <w:rPr>
                <w:rFonts w:hint="eastAsia" w:ascii="仿宋" w:hAnsi="仿宋" w:eastAsia="仿宋" w:cs="仿宋"/>
                <w:sz w:val="24"/>
              </w:rPr>
              <w:t>投标人未按要求对渗透测试、漏洞扫描、应急响应、应急演练等进行维护，每发生一次扣3分</w:t>
            </w:r>
          </w:p>
        </w:tc>
        <w:tc>
          <w:tcPr>
            <w:tcW w:w="1275" w:type="dxa"/>
            <w:gridSpan w:val="2"/>
            <w:noWrap w:val="0"/>
            <w:vAlign w:val="center"/>
          </w:tcPr>
          <w:p w14:paraId="72195352">
            <w:pPr>
              <w:autoSpaceDE w:val="0"/>
              <w:autoSpaceDN w:val="0"/>
              <w:snapToGrid w:val="0"/>
              <w:rPr>
                <w:rFonts w:hint="eastAsia" w:ascii="仿宋" w:hAnsi="仿宋" w:eastAsia="仿宋" w:cs="仿宋"/>
                <w:sz w:val="24"/>
              </w:rPr>
            </w:pPr>
          </w:p>
        </w:tc>
        <w:tc>
          <w:tcPr>
            <w:tcW w:w="1276" w:type="dxa"/>
            <w:noWrap w:val="0"/>
            <w:vAlign w:val="center"/>
          </w:tcPr>
          <w:p w14:paraId="310D6DCF">
            <w:pPr>
              <w:autoSpaceDE w:val="0"/>
              <w:autoSpaceDN w:val="0"/>
              <w:snapToGrid w:val="0"/>
              <w:rPr>
                <w:rFonts w:hint="eastAsia" w:ascii="仿宋" w:hAnsi="仿宋" w:eastAsia="仿宋" w:cs="仿宋"/>
                <w:sz w:val="24"/>
              </w:rPr>
            </w:pPr>
          </w:p>
        </w:tc>
      </w:tr>
      <w:tr w14:paraId="2488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2B0B789">
            <w:pPr>
              <w:autoSpaceDE w:val="0"/>
              <w:autoSpaceDN w:val="0"/>
              <w:snapToGrid w:val="0"/>
              <w:jc w:val="center"/>
              <w:rPr>
                <w:rFonts w:hint="eastAsia" w:ascii="仿宋" w:hAnsi="仿宋" w:eastAsia="仿宋" w:cs="仿宋"/>
                <w:sz w:val="24"/>
              </w:rPr>
            </w:pPr>
            <w:r>
              <w:rPr>
                <w:rFonts w:hint="eastAsia" w:ascii="仿宋" w:hAnsi="仿宋" w:eastAsia="仿宋" w:cs="仿宋"/>
                <w:sz w:val="24"/>
              </w:rPr>
              <w:t>7</w:t>
            </w:r>
          </w:p>
        </w:tc>
        <w:tc>
          <w:tcPr>
            <w:tcW w:w="5954" w:type="dxa"/>
            <w:gridSpan w:val="3"/>
            <w:noWrap w:val="0"/>
            <w:vAlign w:val="center"/>
          </w:tcPr>
          <w:p w14:paraId="2EACD8C9">
            <w:pPr>
              <w:snapToGrid w:val="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kern w:val="0"/>
                <w:sz w:val="24"/>
                <w:lang w:bidi="ar"/>
              </w:rPr>
              <w:t>人员配备要求达不到合同条款要求的，每发生一次扣5</w:t>
            </w:r>
            <w:r>
              <w:rPr>
                <w:rFonts w:hint="eastAsia" w:ascii="仿宋" w:hAnsi="仿宋" w:eastAsia="仿宋" w:cs="仿宋"/>
                <w:kern w:val="0"/>
                <w:sz w:val="24"/>
                <w:lang w:eastAsia="zh-Hans" w:bidi="ar"/>
              </w:rPr>
              <w:t>分。</w:t>
            </w:r>
          </w:p>
        </w:tc>
        <w:tc>
          <w:tcPr>
            <w:tcW w:w="1275" w:type="dxa"/>
            <w:gridSpan w:val="2"/>
            <w:noWrap w:val="0"/>
            <w:vAlign w:val="center"/>
          </w:tcPr>
          <w:p w14:paraId="0EB5C18D">
            <w:pPr>
              <w:autoSpaceDE w:val="0"/>
              <w:autoSpaceDN w:val="0"/>
              <w:snapToGrid w:val="0"/>
              <w:rPr>
                <w:rFonts w:hint="eastAsia" w:ascii="仿宋" w:hAnsi="仿宋" w:eastAsia="仿宋" w:cs="仿宋"/>
                <w:sz w:val="24"/>
              </w:rPr>
            </w:pPr>
          </w:p>
        </w:tc>
        <w:tc>
          <w:tcPr>
            <w:tcW w:w="1276" w:type="dxa"/>
            <w:noWrap w:val="0"/>
            <w:vAlign w:val="center"/>
          </w:tcPr>
          <w:p w14:paraId="79BAB609">
            <w:pPr>
              <w:autoSpaceDE w:val="0"/>
              <w:autoSpaceDN w:val="0"/>
              <w:snapToGrid w:val="0"/>
              <w:rPr>
                <w:rFonts w:hint="eastAsia" w:ascii="仿宋" w:hAnsi="仿宋" w:eastAsia="仿宋" w:cs="仿宋"/>
                <w:sz w:val="24"/>
              </w:rPr>
            </w:pPr>
          </w:p>
        </w:tc>
      </w:tr>
      <w:tr w14:paraId="49DD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52AD78D">
            <w:pPr>
              <w:autoSpaceDE w:val="0"/>
              <w:autoSpaceDN w:val="0"/>
              <w:snapToGrid w:val="0"/>
              <w:jc w:val="center"/>
              <w:rPr>
                <w:rFonts w:hint="eastAsia" w:ascii="仿宋" w:hAnsi="仿宋" w:eastAsia="仿宋" w:cs="仿宋"/>
                <w:sz w:val="24"/>
              </w:rPr>
            </w:pPr>
            <w:r>
              <w:rPr>
                <w:rFonts w:hint="eastAsia" w:ascii="仿宋" w:hAnsi="仿宋" w:eastAsia="仿宋" w:cs="仿宋"/>
                <w:sz w:val="24"/>
              </w:rPr>
              <w:t>8</w:t>
            </w:r>
          </w:p>
        </w:tc>
        <w:tc>
          <w:tcPr>
            <w:tcW w:w="5954" w:type="dxa"/>
            <w:gridSpan w:val="3"/>
            <w:noWrap w:val="0"/>
            <w:vAlign w:val="center"/>
          </w:tcPr>
          <w:p w14:paraId="52C3B6AF">
            <w:pPr>
              <w:autoSpaceDE w:val="0"/>
              <w:autoSpaceDN w:val="0"/>
              <w:snapToGrid w:val="0"/>
              <w:rPr>
                <w:rFonts w:hint="eastAsia" w:ascii="仿宋" w:hAnsi="仿宋" w:eastAsia="仿宋" w:cs="仿宋"/>
                <w:sz w:val="24"/>
              </w:rPr>
            </w:pPr>
            <w:r>
              <w:rPr>
                <w:rFonts w:hint="eastAsia" w:ascii="仿宋" w:hAnsi="仿宋" w:eastAsia="仿宋" w:cs="仿宋"/>
                <w:sz w:val="24"/>
              </w:rPr>
              <w:t>投标人未按照需求内容建立备品备件库，或未在规定时间内提供备品备件的，每发生一次扣5分。</w:t>
            </w:r>
          </w:p>
        </w:tc>
        <w:tc>
          <w:tcPr>
            <w:tcW w:w="1275" w:type="dxa"/>
            <w:gridSpan w:val="2"/>
            <w:noWrap w:val="0"/>
            <w:vAlign w:val="center"/>
          </w:tcPr>
          <w:p w14:paraId="3394200D">
            <w:pPr>
              <w:autoSpaceDE w:val="0"/>
              <w:autoSpaceDN w:val="0"/>
              <w:snapToGrid w:val="0"/>
              <w:rPr>
                <w:rFonts w:hint="eastAsia" w:ascii="仿宋" w:hAnsi="仿宋" w:eastAsia="仿宋" w:cs="仿宋"/>
                <w:sz w:val="24"/>
              </w:rPr>
            </w:pPr>
          </w:p>
        </w:tc>
        <w:tc>
          <w:tcPr>
            <w:tcW w:w="1276" w:type="dxa"/>
            <w:noWrap w:val="0"/>
            <w:vAlign w:val="center"/>
          </w:tcPr>
          <w:p w14:paraId="4714B5C3">
            <w:pPr>
              <w:autoSpaceDE w:val="0"/>
              <w:autoSpaceDN w:val="0"/>
              <w:snapToGrid w:val="0"/>
              <w:rPr>
                <w:rFonts w:hint="eastAsia" w:ascii="仿宋" w:hAnsi="仿宋" w:eastAsia="仿宋" w:cs="仿宋"/>
                <w:sz w:val="24"/>
              </w:rPr>
            </w:pPr>
          </w:p>
        </w:tc>
      </w:tr>
      <w:tr w14:paraId="07D3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BE85322">
            <w:pPr>
              <w:autoSpaceDE w:val="0"/>
              <w:autoSpaceDN w:val="0"/>
              <w:snapToGrid w:val="0"/>
              <w:jc w:val="center"/>
              <w:rPr>
                <w:rFonts w:hint="eastAsia" w:ascii="仿宋" w:hAnsi="仿宋" w:eastAsia="仿宋" w:cs="仿宋"/>
                <w:sz w:val="24"/>
              </w:rPr>
            </w:pPr>
            <w:r>
              <w:rPr>
                <w:rFonts w:hint="eastAsia" w:ascii="仿宋" w:hAnsi="仿宋" w:eastAsia="仿宋" w:cs="仿宋"/>
                <w:sz w:val="24"/>
              </w:rPr>
              <w:t>9</w:t>
            </w:r>
          </w:p>
        </w:tc>
        <w:tc>
          <w:tcPr>
            <w:tcW w:w="5954" w:type="dxa"/>
            <w:gridSpan w:val="3"/>
            <w:noWrap w:val="0"/>
            <w:vAlign w:val="center"/>
          </w:tcPr>
          <w:p w14:paraId="5EB06C60">
            <w:pPr>
              <w:snapToGrid w:val="0"/>
              <w:rPr>
                <w:rFonts w:hint="eastAsia" w:ascii="仿宋" w:hAnsi="仿宋" w:eastAsia="仿宋" w:cs="仿宋"/>
                <w:sz w:val="24"/>
              </w:rPr>
            </w:pPr>
            <w:r>
              <w:rPr>
                <w:rFonts w:hint="eastAsia" w:ascii="仿宋" w:hAnsi="仿宋" w:eastAsia="仿宋" w:cs="仿宋"/>
                <w:sz w:val="24"/>
              </w:rPr>
              <w:t>投标人未按照要求提供文档的，每发生一次扣5分。</w:t>
            </w:r>
          </w:p>
        </w:tc>
        <w:tc>
          <w:tcPr>
            <w:tcW w:w="1275" w:type="dxa"/>
            <w:gridSpan w:val="2"/>
            <w:noWrap w:val="0"/>
            <w:vAlign w:val="center"/>
          </w:tcPr>
          <w:p w14:paraId="7156DCDC">
            <w:pPr>
              <w:autoSpaceDE w:val="0"/>
              <w:autoSpaceDN w:val="0"/>
              <w:snapToGrid w:val="0"/>
              <w:rPr>
                <w:rFonts w:hint="eastAsia" w:ascii="仿宋" w:hAnsi="仿宋" w:eastAsia="仿宋" w:cs="仿宋"/>
                <w:sz w:val="24"/>
              </w:rPr>
            </w:pPr>
          </w:p>
        </w:tc>
        <w:tc>
          <w:tcPr>
            <w:tcW w:w="1276" w:type="dxa"/>
            <w:noWrap w:val="0"/>
            <w:vAlign w:val="center"/>
          </w:tcPr>
          <w:p w14:paraId="4F745061">
            <w:pPr>
              <w:autoSpaceDE w:val="0"/>
              <w:autoSpaceDN w:val="0"/>
              <w:snapToGrid w:val="0"/>
              <w:rPr>
                <w:rFonts w:hint="eastAsia" w:ascii="仿宋" w:hAnsi="仿宋" w:eastAsia="仿宋" w:cs="仿宋"/>
                <w:sz w:val="24"/>
              </w:rPr>
            </w:pPr>
          </w:p>
        </w:tc>
      </w:tr>
      <w:tr w14:paraId="2912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4DF4142">
            <w:pPr>
              <w:autoSpaceDE w:val="0"/>
              <w:autoSpaceDN w:val="0"/>
              <w:snapToGrid w:val="0"/>
              <w:jc w:val="center"/>
              <w:rPr>
                <w:rFonts w:hint="eastAsia" w:ascii="仿宋" w:hAnsi="仿宋" w:eastAsia="仿宋" w:cs="仿宋"/>
                <w:sz w:val="24"/>
              </w:rPr>
            </w:pPr>
            <w:r>
              <w:rPr>
                <w:rFonts w:hint="eastAsia" w:ascii="仿宋" w:hAnsi="仿宋" w:eastAsia="仿宋" w:cs="仿宋"/>
                <w:sz w:val="24"/>
              </w:rPr>
              <w:t>10</w:t>
            </w:r>
          </w:p>
        </w:tc>
        <w:tc>
          <w:tcPr>
            <w:tcW w:w="5954" w:type="dxa"/>
            <w:gridSpan w:val="3"/>
            <w:noWrap w:val="0"/>
            <w:vAlign w:val="center"/>
          </w:tcPr>
          <w:p w14:paraId="2CAB844F">
            <w:pPr>
              <w:widowControl/>
              <w:jc w:val="left"/>
              <w:rPr>
                <w:rFonts w:hint="eastAsia" w:ascii="仿宋" w:hAnsi="仿宋" w:eastAsia="仿宋" w:cs="仿宋"/>
                <w:sz w:val="24"/>
                <w:lang w:eastAsia="zh-Hans"/>
              </w:rPr>
            </w:pPr>
            <w:r>
              <w:rPr>
                <w:rFonts w:hint="eastAsia" w:ascii="仿宋" w:hAnsi="仿宋" w:eastAsia="仿宋" w:cs="仿宋"/>
                <w:sz w:val="24"/>
              </w:rPr>
              <w:t>投标人未遵守采购人的各项规章制度的，每发生一次扣5分。</w:t>
            </w:r>
          </w:p>
        </w:tc>
        <w:tc>
          <w:tcPr>
            <w:tcW w:w="1275" w:type="dxa"/>
            <w:gridSpan w:val="2"/>
            <w:noWrap w:val="0"/>
            <w:vAlign w:val="center"/>
          </w:tcPr>
          <w:p w14:paraId="4C94D926">
            <w:pPr>
              <w:autoSpaceDE w:val="0"/>
              <w:autoSpaceDN w:val="0"/>
              <w:snapToGrid w:val="0"/>
              <w:rPr>
                <w:rFonts w:hint="eastAsia" w:ascii="仿宋" w:hAnsi="仿宋" w:eastAsia="仿宋" w:cs="仿宋"/>
                <w:sz w:val="24"/>
              </w:rPr>
            </w:pPr>
          </w:p>
        </w:tc>
        <w:tc>
          <w:tcPr>
            <w:tcW w:w="1276" w:type="dxa"/>
            <w:noWrap w:val="0"/>
            <w:vAlign w:val="center"/>
          </w:tcPr>
          <w:p w14:paraId="784E89A9">
            <w:pPr>
              <w:autoSpaceDE w:val="0"/>
              <w:autoSpaceDN w:val="0"/>
              <w:snapToGrid w:val="0"/>
              <w:rPr>
                <w:rFonts w:hint="eastAsia" w:ascii="仿宋" w:hAnsi="仿宋" w:eastAsia="仿宋" w:cs="仿宋"/>
                <w:sz w:val="24"/>
              </w:rPr>
            </w:pPr>
          </w:p>
        </w:tc>
      </w:tr>
      <w:tr w14:paraId="6B7A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29F2422">
            <w:pPr>
              <w:autoSpaceDE w:val="0"/>
              <w:autoSpaceDN w:val="0"/>
              <w:snapToGrid w:val="0"/>
              <w:jc w:val="center"/>
              <w:rPr>
                <w:rFonts w:hint="eastAsia" w:ascii="仿宋" w:hAnsi="仿宋" w:eastAsia="仿宋" w:cs="仿宋"/>
                <w:sz w:val="24"/>
              </w:rPr>
            </w:pPr>
            <w:r>
              <w:rPr>
                <w:rFonts w:hint="eastAsia" w:ascii="仿宋" w:hAnsi="仿宋" w:eastAsia="仿宋" w:cs="仿宋"/>
                <w:sz w:val="24"/>
              </w:rPr>
              <w:t>11</w:t>
            </w:r>
          </w:p>
        </w:tc>
        <w:tc>
          <w:tcPr>
            <w:tcW w:w="5954" w:type="dxa"/>
            <w:gridSpan w:val="3"/>
            <w:noWrap w:val="0"/>
            <w:vAlign w:val="center"/>
          </w:tcPr>
          <w:p w14:paraId="1F08C1DB">
            <w:pPr>
              <w:snapToGrid w:val="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kern w:val="0"/>
                <w:sz w:val="24"/>
                <w:lang w:bidi="ar"/>
              </w:rPr>
              <w:t>发生违反相关保密规定、未按网络安全履行责任和义务的,每发生一次扣除违约金10000元/次外，采购人将追究投标人一切法律责任。</w:t>
            </w:r>
          </w:p>
        </w:tc>
        <w:tc>
          <w:tcPr>
            <w:tcW w:w="1275" w:type="dxa"/>
            <w:gridSpan w:val="2"/>
            <w:noWrap w:val="0"/>
            <w:vAlign w:val="center"/>
          </w:tcPr>
          <w:p w14:paraId="524D75C9">
            <w:pPr>
              <w:autoSpaceDE w:val="0"/>
              <w:autoSpaceDN w:val="0"/>
              <w:snapToGrid w:val="0"/>
              <w:rPr>
                <w:rFonts w:hint="eastAsia" w:ascii="仿宋" w:hAnsi="仿宋" w:eastAsia="仿宋" w:cs="仿宋"/>
                <w:sz w:val="24"/>
              </w:rPr>
            </w:pPr>
          </w:p>
        </w:tc>
        <w:tc>
          <w:tcPr>
            <w:tcW w:w="1276" w:type="dxa"/>
            <w:noWrap w:val="0"/>
            <w:vAlign w:val="center"/>
          </w:tcPr>
          <w:p w14:paraId="66DC3D1A">
            <w:pPr>
              <w:autoSpaceDE w:val="0"/>
              <w:autoSpaceDN w:val="0"/>
              <w:snapToGrid w:val="0"/>
              <w:rPr>
                <w:rFonts w:hint="eastAsia" w:ascii="仿宋" w:hAnsi="仿宋" w:eastAsia="仿宋" w:cs="仿宋"/>
                <w:sz w:val="24"/>
              </w:rPr>
            </w:pPr>
          </w:p>
        </w:tc>
      </w:tr>
      <w:tr w14:paraId="3B17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gridSpan w:val="4"/>
            <w:noWrap w:val="0"/>
            <w:vAlign w:val="center"/>
          </w:tcPr>
          <w:p w14:paraId="2AB3C562">
            <w:pPr>
              <w:snapToGrid w:val="0"/>
              <w:jc w:val="center"/>
              <w:rPr>
                <w:rFonts w:hint="eastAsia" w:ascii="仿宋" w:hAnsi="仿宋" w:eastAsia="仿宋" w:cs="仿宋"/>
                <w:sz w:val="24"/>
              </w:rPr>
            </w:pPr>
            <w:r>
              <w:rPr>
                <w:rFonts w:hint="eastAsia" w:ascii="仿宋" w:hAnsi="仿宋" w:eastAsia="仿宋" w:cs="仿宋"/>
                <w:sz w:val="24"/>
                <w:lang w:eastAsia="zh-CN"/>
              </w:rPr>
              <w:t>总计</w:t>
            </w:r>
          </w:p>
        </w:tc>
        <w:tc>
          <w:tcPr>
            <w:tcW w:w="1275" w:type="dxa"/>
            <w:gridSpan w:val="2"/>
            <w:noWrap w:val="0"/>
            <w:vAlign w:val="center"/>
          </w:tcPr>
          <w:p w14:paraId="43DC410B">
            <w:pPr>
              <w:autoSpaceDE w:val="0"/>
              <w:autoSpaceDN w:val="0"/>
              <w:snapToGrid w:val="0"/>
              <w:rPr>
                <w:rFonts w:hint="eastAsia" w:ascii="仿宋" w:hAnsi="仿宋" w:eastAsia="仿宋" w:cs="仿宋"/>
                <w:sz w:val="24"/>
              </w:rPr>
            </w:pPr>
          </w:p>
        </w:tc>
        <w:tc>
          <w:tcPr>
            <w:tcW w:w="1276" w:type="dxa"/>
            <w:noWrap w:val="0"/>
            <w:vAlign w:val="center"/>
          </w:tcPr>
          <w:p w14:paraId="40FD7FC8">
            <w:pPr>
              <w:autoSpaceDE w:val="0"/>
              <w:autoSpaceDN w:val="0"/>
              <w:snapToGrid w:val="0"/>
              <w:rPr>
                <w:rFonts w:hint="eastAsia" w:ascii="仿宋" w:hAnsi="仿宋" w:eastAsia="仿宋" w:cs="仿宋"/>
                <w:sz w:val="24"/>
              </w:rPr>
            </w:pPr>
          </w:p>
        </w:tc>
      </w:tr>
    </w:tbl>
    <w:p w14:paraId="5A188EA9">
      <w:pPr>
        <w:rPr>
          <w:rFonts w:hint="eastAsia"/>
        </w:rPr>
      </w:pPr>
      <w:r>
        <w:rPr>
          <w:rFonts w:hint="eastAsia"/>
        </w:rPr>
        <w:br w:type="page"/>
      </w:r>
    </w:p>
    <w:p w14:paraId="42BB25DB">
      <w:pPr>
        <w:spacing w:line="348" w:lineRule="auto"/>
        <w:rPr>
          <w:rFonts w:hint="eastAsia" w:ascii="宋体" w:hAnsi="宋体" w:eastAsia="宋体" w:cs="宋体"/>
          <w:color w:val="auto"/>
          <w:highlight w:val="none"/>
          <w:lang w:eastAsia="zh-CN"/>
        </w:rPr>
      </w:pPr>
    </w:p>
    <w:p w14:paraId="492AFE4F">
      <w:pPr>
        <w:pStyle w:val="2"/>
        <w:bidi w:val="0"/>
        <w:rPr>
          <w:rFonts w:hint="eastAsia"/>
        </w:rPr>
      </w:pPr>
      <w:r>
        <w:rPr>
          <w:rFonts w:hint="eastAsia"/>
        </w:rPr>
        <w:t>第六部分应提交的有关格式范例</w:t>
      </w:r>
      <w:bookmarkEnd w:id="91"/>
      <w:bookmarkEnd w:id="92"/>
      <w:bookmarkEnd w:id="93"/>
    </w:p>
    <w:p w14:paraId="1C40872B">
      <w:pPr>
        <w:rPr>
          <w:rFonts w:hint="eastAsia" w:ascii="宋体" w:hAnsi="宋体" w:eastAsia="宋体" w:cs="宋体"/>
          <w:color w:val="auto"/>
          <w:highlight w:val="none"/>
        </w:rPr>
      </w:pPr>
    </w:p>
    <w:p w14:paraId="564E7E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供应商按照以下格式编制响应文件，</w:t>
      </w:r>
      <w:r>
        <w:rPr>
          <w:rFonts w:hint="eastAsia" w:ascii="宋体" w:hAnsi="宋体" w:eastAsia="宋体" w:cs="宋体"/>
          <w:b/>
          <w:bCs/>
          <w:color w:val="auto"/>
          <w:sz w:val="24"/>
          <w:szCs w:val="24"/>
          <w:highlight w:val="none"/>
        </w:rPr>
        <w:t>“资格文件”、“商务技术文件”、“报价文件”须分3个PDF格式分别导入。</w:t>
      </w:r>
    </w:p>
    <w:p w14:paraId="406BF87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5B429599">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5DF509FC">
      <w:pPr>
        <w:spacing w:line="360" w:lineRule="auto"/>
        <w:jc w:val="center"/>
        <w:rPr>
          <w:rFonts w:hint="eastAsia" w:ascii="宋体" w:hAnsi="宋体" w:eastAsia="宋体" w:cs="宋体"/>
          <w:b/>
          <w:bCs/>
          <w:color w:val="auto"/>
          <w:sz w:val="24"/>
          <w:szCs w:val="24"/>
          <w:highlight w:val="none"/>
        </w:rPr>
      </w:pPr>
    </w:p>
    <w:p w14:paraId="3F9A1673">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资格文件部分</w:t>
      </w:r>
    </w:p>
    <w:p w14:paraId="6B04CFBD">
      <w:pPr>
        <w:spacing w:line="360" w:lineRule="auto"/>
        <w:jc w:val="center"/>
        <w:rPr>
          <w:rFonts w:hint="eastAsia" w:ascii="宋体" w:hAnsi="宋体" w:eastAsia="宋体" w:cs="宋体"/>
          <w:b/>
          <w:bCs/>
          <w:color w:val="auto"/>
          <w:kern w:val="0"/>
          <w:sz w:val="36"/>
          <w:szCs w:val="36"/>
          <w:highlight w:val="none"/>
        </w:rPr>
      </w:pPr>
    </w:p>
    <w:p w14:paraId="037999B1">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1C0F3F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（1）法定代表人授权书；（格式见附件）</w:t>
      </w:r>
    </w:p>
    <w:p w14:paraId="627C11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（2）营业执照(或事业法人登记证或其他工商等登记证明材料)复印件、税务登记证(</w:t>
      </w:r>
      <w:r>
        <w:rPr>
          <w:rFonts w:hint="eastAsia" w:ascii="宋体" w:hAnsi="宋体" w:cs="宋体"/>
          <w:color w:val="auto"/>
          <w:sz w:val="24"/>
          <w:szCs w:val="24"/>
          <w:highlight w:val="none"/>
          <w:lang w:eastAsia="zh-CN"/>
        </w:rPr>
        <w:t>或其他</w:t>
      </w:r>
      <w:r>
        <w:rPr>
          <w:rFonts w:hint="eastAsia" w:ascii="宋体" w:hAnsi="宋体" w:eastAsia="宋体" w:cs="宋体"/>
          <w:color w:val="auto"/>
          <w:sz w:val="24"/>
          <w:szCs w:val="24"/>
          <w:highlight w:val="none"/>
        </w:rPr>
        <w:t>缴纳证明材料)复印件、社保登记证（</w:t>
      </w:r>
      <w:r>
        <w:rPr>
          <w:rFonts w:hint="eastAsia" w:ascii="宋体" w:hAnsi="宋体" w:cs="宋体"/>
          <w:color w:val="auto"/>
          <w:sz w:val="24"/>
          <w:szCs w:val="24"/>
          <w:highlight w:val="none"/>
          <w:lang w:eastAsia="zh-CN"/>
        </w:rPr>
        <w:t>或其他</w:t>
      </w:r>
      <w:r>
        <w:rPr>
          <w:rFonts w:hint="eastAsia" w:ascii="宋体" w:hAnsi="宋体" w:eastAsia="宋体" w:cs="宋体"/>
          <w:color w:val="auto"/>
          <w:sz w:val="24"/>
          <w:szCs w:val="24"/>
          <w:highlight w:val="none"/>
        </w:rPr>
        <w:t>缴纳证明材料）复印件；实施“五证合一、一照一码”登记制度改革的，只需提供改革后取得的营业执照复印件；事业单位的，则提供有效的《事业单位法人证书》副本复印件并加盖单位公章；</w:t>
      </w:r>
    </w:p>
    <w:p w14:paraId="1474B9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0F838C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）具有履行合同所必需的产品和专业技术能力的承诺函；</w:t>
      </w:r>
    </w:p>
    <w:p w14:paraId="2EA4036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投标人承诺函</w:t>
      </w:r>
      <w:r>
        <w:rPr>
          <w:rFonts w:hint="eastAsia" w:ascii="宋体" w:hAnsi="宋体" w:cs="宋体"/>
          <w:color w:val="auto"/>
          <w:sz w:val="24"/>
          <w:szCs w:val="24"/>
          <w:highlight w:val="none"/>
          <w:lang w:eastAsia="zh-CN"/>
        </w:rPr>
        <w:t>；</w:t>
      </w:r>
    </w:p>
    <w:p w14:paraId="00BCDF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）中小企业声明函（格式见附件）；</w:t>
      </w:r>
    </w:p>
    <w:p w14:paraId="7DD94F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）残疾人福利性单位声明函(如有)（格式见附件）；</w:t>
      </w:r>
    </w:p>
    <w:p w14:paraId="68A035D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）监狱企业证明文件(如有)（格式见附件）</w:t>
      </w:r>
      <w:r>
        <w:rPr>
          <w:rFonts w:hint="eastAsia" w:ascii="宋体" w:hAnsi="宋体" w:cs="宋体"/>
          <w:color w:val="auto"/>
          <w:sz w:val="24"/>
          <w:szCs w:val="24"/>
          <w:highlight w:val="none"/>
          <w:lang w:eastAsia="zh-CN"/>
        </w:rPr>
        <w:t>。</w:t>
      </w:r>
    </w:p>
    <w:p w14:paraId="206BDF48">
      <w:pPr>
        <w:pStyle w:val="3"/>
        <w:rPr>
          <w:rFonts w:hint="eastAsia"/>
        </w:rPr>
      </w:pPr>
    </w:p>
    <w:p w14:paraId="52DE3191">
      <w:pPr>
        <w:pStyle w:val="11"/>
        <w:ind w:firstLine="486"/>
        <w:rPr>
          <w:rFonts w:hint="eastAsia" w:ascii="宋体" w:hAnsi="宋体" w:eastAsia="宋体" w:cs="宋体"/>
          <w:color w:val="auto"/>
          <w:highlight w:val="none"/>
        </w:rPr>
      </w:pPr>
    </w:p>
    <w:p w14:paraId="5B439267">
      <w:pPr>
        <w:pStyle w:val="32"/>
        <w:rPr>
          <w:rFonts w:hint="eastAsia" w:ascii="宋体" w:hAnsi="宋体" w:eastAsia="宋体" w:cs="宋体"/>
          <w:color w:val="auto"/>
          <w:highlight w:val="none"/>
        </w:rPr>
      </w:pPr>
    </w:p>
    <w:p w14:paraId="7E1AD569">
      <w:pPr>
        <w:pStyle w:val="32"/>
        <w:rPr>
          <w:rFonts w:hint="eastAsia" w:ascii="宋体" w:hAnsi="宋体" w:eastAsia="宋体" w:cs="宋体"/>
          <w:color w:val="auto"/>
          <w:highlight w:val="none"/>
        </w:rPr>
      </w:pPr>
    </w:p>
    <w:p w14:paraId="1B419DBC">
      <w:pPr>
        <w:pStyle w:val="32"/>
        <w:rPr>
          <w:rFonts w:hint="eastAsia" w:ascii="宋体" w:hAnsi="宋体" w:eastAsia="宋体" w:cs="宋体"/>
          <w:color w:val="auto"/>
          <w:highlight w:val="none"/>
        </w:rPr>
      </w:pPr>
    </w:p>
    <w:p w14:paraId="3E853CB2">
      <w:pPr>
        <w:rPr>
          <w:rFonts w:hint="eastAsia" w:ascii="宋体" w:hAnsi="宋体" w:eastAsia="宋体" w:cs="宋体"/>
          <w:color w:val="auto"/>
          <w:highlight w:val="none"/>
        </w:rPr>
      </w:pPr>
    </w:p>
    <w:p w14:paraId="3C5A6BB7">
      <w:pPr>
        <w:pStyle w:val="4"/>
        <w:rPr>
          <w:rFonts w:hint="eastAsia" w:ascii="宋体" w:hAnsi="宋体" w:eastAsia="宋体" w:cs="宋体"/>
          <w:color w:val="auto"/>
          <w:highlight w:val="none"/>
        </w:rPr>
      </w:pPr>
    </w:p>
    <w:p w14:paraId="0F11CA52">
      <w:pPr>
        <w:rPr>
          <w:rFonts w:hint="eastAsia" w:ascii="宋体" w:hAnsi="宋体" w:eastAsia="宋体" w:cs="宋体"/>
          <w:color w:val="auto"/>
          <w:highlight w:val="none"/>
        </w:rPr>
      </w:pPr>
    </w:p>
    <w:p w14:paraId="19BD4384">
      <w:pPr>
        <w:snapToGrid w:val="0"/>
        <w:spacing w:before="50" w:afterLines="50"/>
        <w:jc w:val="left"/>
        <w:rPr>
          <w:rFonts w:hint="eastAsia" w:ascii="宋体" w:hAnsi="宋体" w:eastAsia="宋体" w:cs="宋体"/>
          <w:b/>
          <w:bCs/>
          <w:color w:val="auto"/>
          <w:sz w:val="24"/>
          <w:szCs w:val="24"/>
          <w:highlight w:val="none"/>
          <w:lang w:val="zh-CN"/>
        </w:rPr>
      </w:pPr>
      <w:bookmarkStart w:id="94" w:name="_Toc24699"/>
      <w:r>
        <w:rPr>
          <w:rFonts w:hint="eastAsia" w:ascii="宋体" w:hAnsi="宋体" w:eastAsia="宋体" w:cs="宋体"/>
          <w:b/>
          <w:bCs/>
          <w:color w:val="auto"/>
          <w:sz w:val="24"/>
          <w:szCs w:val="24"/>
          <w:highlight w:val="none"/>
          <w:lang w:val="zh-CN"/>
        </w:rPr>
        <w:t>附件一：</w:t>
      </w:r>
    </w:p>
    <w:p w14:paraId="2DEEDA33">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法定代表人授权书</w:t>
      </w:r>
      <w:bookmarkEnd w:id="94"/>
    </w:p>
    <w:p w14:paraId="026BE567">
      <w:pPr>
        <w:pStyle w:val="6"/>
        <w:spacing w:line="360" w:lineRule="auto"/>
        <w:rPr>
          <w:rFonts w:hint="eastAsia" w:ascii="宋体" w:hAnsi="宋体" w:eastAsia="宋体" w:cs="宋体"/>
          <w:color w:val="auto"/>
          <w:highlight w:val="none"/>
        </w:rPr>
      </w:pPr>
    </w:p>
    <w:p w14:paraId="7F4AEC8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绍兴市上虞区市场监督管理局</w:t>
      </w:r>
      <w:r>
        <w:rPr>
          <w:rFonts w:hint="eastAsia" w:ascii="宋体" w:hAnsi="宋体" w:eastAsia="宋体" w:cs="宋体"/>
          <w:color w:val="auto"/>
          <w:sz w:val="24"/>
          <w:szCs w:val="24"/>
          <w:highlight w:val="none"/>
        </w:rPr>
        <w:t>：</w:t>
      </w:r>
    </w:p>
    <w:p w14:paraId="76E82D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绍兴成言工程咨询管理有限公司</w:t>
      </w:r>
      <w:r>
        <w:rPr>
          <w:rFonts w:hint="eastAsia" w:ascii="宋体" w:hAnsi="宋体" w:eastAsia="宋体" w:cs="宋体"/>
          <w:color w:val="auto"/>
          <w:sz w:val="24"/>
          <w:szCs w:val="24"/>
          <w:highlight w:val="none"/>
        </w:rPr>
        <w:t>：</w:t>
      </w:r>
    </w:p>
    <w:p w14:paraId="5EC1E7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（供应商全称）</w:t>
      </w:r>
      <w:r>
        <w:rPr>
          <w:rFonts w:hint="eastAsia" w:ascii="宋体" w:hAnsi="宋体" w:eastAsia="宋体" w:cs="宋体"/>
          <w:color w:val="auto"/>
          <w:sz w:val="24"/>
          <w:szCs w:val="24"/>
          <w:highlight w:val="none"/>
        </w:rPr>
        <w:t>法定代表人授权</w:t>
      </w:r>
      <w:r>
        <w:rPr>
          <w:rFonts w:hint="eastAsia" w:ascii="宋体" w:hAnsi="宋体" w:eastAsia="宋体" w:cs="宋体"/>
          <w:color w:val="auto"/>
          <w:sz w:val="24"/>
          <w:szCs w:val="24"/>
          <w:highlight w:val="none"/>
          <w:u w:val="single"/>
        </w:rPr>
        <w:t>（授权代表名称）</w:t>
      </w:r>
      <w:r>
        <w:rPr>
          <w:rFonts w:hint="eastAsia" w:ascii="宋体" w:hAnsi="宋体" w:eastAsia="宋体" w:cs="宋体"/>
          <w:color w:val="auto"/>
          <w:sz w:val="24"/>
          <w:szCs w:val="24"/>
          <w:highlight w:val="none"/>
        </w:rPr>
        <w:t>为授权代表，参加贵处组织的项目</w:t>
      </w:r>
      <w:r>
        <w:rPr>
          <w:rFonts w:hint="eastAsia" w:ascii="宋体" w:hAnsi="宋体" w:eastAsia="宋体" w:cs="宋体"/>
          <w:color w:val="auto"/>
          <w:sz w:val="24"/>
          <w:szCs w:val="24"/>
          <w:highlight w:val="none"/>
          <w:u w:val="single"/>
        </w:rPr>
        <w:t>（括号内填写招标编号）</w:t>
      </w:r>
      <w:r>
        <w:rPr>
          <w:rFonts w:hint="eastAsia" w:ascii="宋体" w:hAnsi="宋体" w:eastAsia="宋体" w:cs="宋体"/>
          <w:color w:val="auto"/>
          <w:sz w:val="24"/>
          <w:szCs w:val="24"/>
          <w:highlight w:val="none"/>
        </w:rPr>
        <w:t>，授权处理招投标活动中的一切事宜。</w:t>
      </w:r>
    </w:p>
    <w:p w14:paraId="54D2D841">
      <w:pPr>
        <w:spacing w:line="360" w:lineRule="auto"/>
        <w:ind w:firstLine="480" w:firstLineChars="200"/>
        <w:rPr>
          <w:rFonts w:hint="eastAsia" w:ascii="宋体" w:hAnsi="宋体" w:eastAsia="宋体" w:cs="宋体"/>
          <w:color w:val="auto"/>
          <w:sz w:val="24"/>
          <w:szCs w:val="24"/>
          <w:highlight w:val="none"/>
        </w:rPr>
      </w:pPr>
    </w:p>
    <w:p w14:paraId="0492E6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0CDE5E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供应商全称：（盖章）</w:t>
      </w:r>
    </w:p>
    <w:p w14:paraId="459E51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DF0C0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055043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w:t>
      </w:r>
    </w:p>
    <w:p w14:paraId="696F31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14:paraId="354887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28ADD8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47169A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6C519BC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4CF967D2">
      <w:pPr>
        <w:pStyle w:val="12"/>
        <w:snapToGrid w:val="0"/>
        <w:spacing w:line="360" w:lineRule="auto"/>
        <w:rPr>
          <w:rFonts w:hint="eastAsia" w:ascii="宋体" w:hAnsi="宋体" w:eastAsia="宋体" w:cs="宋体"/>
          <w:color w:val="auto"/>
          <w:sz w:val="24"/>
          <w:szCs w:val="24"/>
          <w:highlight w:val="none"/>
        </w:rPr>
      </w:pPr>
    </w:p>
    <w:p w14:paraId="2DFEB401">
      <w:pPr>
        <w:pStyle w:val="12"/>
        <w:snapToGrid w:val="0"/>
        <w:spacing w:line="360" w:lineRule="auto"/>
        <w:rPr>
          <w:rFonts w:hint="eastAsia" w:ascii="宋体" w:hAnsi="宋体" w:eastAsia="宋体" w:cs="宋体"/>
          <w:color w:val="auto"/>
          <w:sz w:val="24"/>
          <w:szCs w:val="24"/>
          <w:highlight w:val="none"/>
        </w:rPr>
      </w:pPr>
    </w:p>
    <w:p w14:paraId="3792D10D">
      <w:pPr>
        <w:pStyle w:val="12"/>
        <w:snapToGrid w:val="0"/>
        <w:spacing w:line="360" w:lineRule="auto"/>
        <w:rPr>
          <w:rFonts w:hint="eastAsia" w:ascii="宋体" w:hAnsi="宋体" w:eastAsia="宋体" w:cs="宋体"/>
          <w:color w:val="auto"/>
          <w:sz w:val="24"/>
          <w:szCs w:val="24"/>
          <w:highlight w:val="none"/>
        </w:rPr>
      </w:pPr>
    </w:p>
    <w:p w14:paraId="16BA7DAB">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附：授权代表身份证复印件（正反面）</w:t>
      </w:r>
    </w:p>
    <w:p w14:paraId="1855FB06">
      <w:pPr>
        <w:spacing w:line="360" w:lineRule="auto"/>
        <w:rPr>
          <w:rFonts w:hint="eastAsia" w:ascii="宋体" w:hAnsi="宋体" w:eastAsia="宋体" w:cs="宋体"/>
          <w:b/>
          <w:bCs/>
          <w:color w:val="auto"/>
          <w:sz w:val="24"/>
          <w:szCs w:val="24"/>
          <w:highlight w:val="none"/>
        </w:rPr>
      </w:pPr>
    </w:p>
    <w:p w14:paraId="1DBDB430">
      <w:pPr>
        <w:pStyle w:val="11"/>
        <w:ind w:firstLine="486"/>
        <w:rPr>
          <w:rFonts w:hint="eastAsia" w:ascii="宋体" w:hAnsi="宋体" w:eastAsia="宋体" w:cs="宋体"/>
          <w:color w:val="auto"/>
          <w:highlight w:val="none"/>
        </w:rPr>
      </w:pPr>
    </w:p>
    <w:p w14:paraId="49F505C0">
      <w:pPr>
        <w:snapToGrid w:val="0"/>
        <w:spacing w:before="50" w:afterLines="5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lang w:val="zh-CN"/>
        </w:rPr>
        <w:t>附件二：</w:t>
      </w:r>
    </w:p>
    <w:p w14:paraId="3235F9FA">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投标人承诺函</w:t>
      </w:r>
    </w:p>
    <w:p w14:paraId="09D61D8C">
      <w:pPr>
        <w:spacing w:line="360" w:lineRule="auto"/>
        <w:ind w:firstLine="420" w:firstLineChars="200"/>
        <w:rPr>
          <w:rFonts w:hint="eastAsia" w:ascii="宋体" w:hAnsi="宋体" w:eastAsia="宋体" w:cs="宋体"/>
          <w:color w:val="auto"/>
          <w:highlight w:val="none"/>
        </w:rPr>
      </w:pPr>
    </w:p>
    <w:p w14:paraId="20E7D0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绍兴市上虞区市场监督管理局</w:t>
      </w:r>
      <w:r>
        <w:rPr>
          <w:rFonts w:hint="eastAsia" w:ascii="宋体" w:hAnsi="宋体" w:eastAsia="宋体" w:cs="宋体"/>
          <w:color w:val="auto"/>
          <w:sz w:val="24"/>
          <w:szCs w:val="24"/>
          <w:highlight w:val="none"/>
        </w:rPr>
        <w:t>：</w:t>
      </w:r>
    </w:p>
    <w:p w14:paraId="350AA9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绍兴成言工程咨询管理有限公司</w:t>
      </w:r>
      <w:r>
        <w:rPr>
          <w:rFonts w:hint="eastAsia" w:ascii="宋体" w:hAnsi="宋体" w:eastAsia="宋体" w:cs="宋体"/>
          <w:color w:val="auto"/>
          <w:sz w:val="24"/>
          <w:szCs w:val="24"/>
          <w:highlight w:val="none"/>
        </w:rPr>
        <w:t>：</w:t>
      </w:r>
    </w:p>
    <w:p w14:paraId="0C85E4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p>
    <w:p w14:paraId="6FC95C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p>
    <w:p w14:paraId="7CE045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14:paraId="7D4AE2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14:paraId="757EC8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14:paraId="410F67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14:paraId="64644A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0F8554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14:paraId="1FFF4A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11EF752D">
      <w:pPr>
        <w:pStyle w:val="34"/>
        <w:numPr>
          <w:ilvl w:val="0"/>
          <w:numId w:val="0"/>
        </w:numPr>
        <w:spacing w:before="0"/>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 w:val="24"/>
          <w:highlight w:val="none"/>
        </w:rPr>
        <w:t>8、</w:t>
      </w:r>
      <w:r>
        <w:rPr>
          <w:rFonts w:hint="eastAsia" w:ascii="宋体" w:hAnsi="宋体" w:eastAsia="宋体" w:cs="宋体"/>
          <w:color w:val="auto"/>
          <w:szCs w:val="24"/>
          <w:highlight w:val="none"/>
          <w:lang w:val="en-US" w:eastAsia="zh-CN"/>
        </w:rPr>
        <w:t>具有良好的商业信誉和健全的财务会计制度；</w:t>
      </w:r>
    </w:p>
    <w:p w14:paraId="401573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9、具有依法缴纳税收和社会保障资金的良好记录</w:t>
      </w:r>
      <w:r>
        <w:rPr>
          <w:rFonts w:hint="eastAsia" w:ascii="宋体" w:hAnsi="宋体" w:eastAsia="宋体" w:cs="宋体"/>
          <w:color w:val="auto"/>
          <w:sz w:val="24"/>
          <w:highlight w:val="none"/>
        </w:rPr>
        <w:t>；</w:t>
      </w:r>
    </w:p>
    <w:p w14:paraId="79C3FE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以上事项如有虚假或隐瞒，我方愿意承担一切后果，并不再寻求任何旨在减轻或免除法律责任的辩解。</w:t>
      </w:r>
    </w:p>
    <w:p w14:paraId="606E91B8">
      <w:pPr>
        <w:pStyle w:val="11"/>
        <w:rPr>
          <w:rFonts w:hint="eastAsia" w:ascii="宋体" w:hAnsi="宋体" w:eastAsia="宋体" w:cs="宋体"/>
          <w:color w:val="auto"/>
          <w:highlight w:val="none"/>
        </w:rPr>
      </w:pPr>
    </w:p>
    <w:p w14:paraId="463DF323">
      <w:pPr>
        <w:pStyle w:val="11"/>
        <w:rPr>
          <w:rFonts w:hint="eastAsia" w:ascii="宋体" w:hAnsi="宋体" w:eastAsia="宋体" w:cs="宋体"/>
          <w:color w:val="auto"/>
          <w:highlight w:val="none"/>
        </w:rPr>
      </w:pPr>
    </w:p>
    <w:p w14:paraId="79358A90">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504ADC8D">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0B49FBD">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15A25F29">
      <w:pPr>
        <w:spacing w:line="360" w:lineRule="auto"/>
        <w:jc w:val="left"/>
        <w:rPr>
          <w:rFonts w:hint="eastAsia" w:ascii="宋体" w:hAnsi="宋体" w:eastAsia="宋体" w:cs="宋体"/>
          <w:b/>
          <w:bCs/>
          <w:color w:val="auto"/>
          <w:sz w:val="24"/>
          <w:szCs w:val="24"/>
          <w:highlight w:val="none"/>
          <w:lang w:val="zh-CN"/>
        </w:rPr>
      </w:pPr>
    </w:p>
    <w:p w14:paraId="6431B6AF">
      <w:pP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rPr>
        <w:t>：</w:t>
      </w:r>
    </w:p>
    <w:p w14:paraId="1830092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p>
    <w:p w14:paraId="04F397E6">
      <w:pPr>
        <w:widowControl/>
        <w:snapToGrid w:val="0"/>
        <w:spacing w:line="324" w:lineRule="auto"/>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【不属于中小企业的无需填写、递交】</w:t>
      </w:r>
    </w:p>
    <w:p w14:paraId="448C9D85">
      <w:pP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272F771">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w:t>
      </w:r>
      <w:r>
        <w:rPr>
          <w:rFonts w:hint="eastAsia" w:ascii="宋体" w:hAnsi="宋体" w:cs="仿宋"/>
          <w:color w:val="auto"/>
          <w:kern w:val="0"/>
          <w:szCs w:val="21"/>
          <w:u w:val="single"/>
        </w:rPr>
        <w:t>软件和信息技术服务业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 xml:space="preserve">           （企业名称） </w:t>
      </w:r>
      <w:r>
        <w:rPr>
          <w:rFonts w:hint="eastAsia" w:ascii="宋体" w:hAnsi="宋体" w:eastAsia="宋体" w:cs="宋体"/>
          <w:color w:val="auto"/>
          <w:sz w:val="24"/>
          <w:szCs w:val="24"/>
          <w:highlight w:val="none"/>
        </w:rPr>
        <w:t>，从业人员人，营业收入为万元，资产总额为万元 ，属于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F5A4FB5">
      <w:pP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0879041">
      <w:pP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2E34A014">
      <w:pP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2E9EF804">
      <w:pPr>
        <w:spacing w:line="288" w:lineRule="auto"/>
        <w:ind w:right="420" w:firstLine="4320" w:firstLineChars="1800"/>
        <w:rPr>
          <w:rFonts w:hint="eastAsia" w:ascii="宋体" w:hAnsi="宋体" w:eastAsia="宋体" w:cs="宋体"/>
          <w:color w:val="auto"/>
          <w:sz w:val="24"/>
          <w:szCs w:val="24"/>
          <w:highlight w:val="none"/>
        </w:rPr>
      </w:pPr>
    </w:p>
    <w:p w14:paraId="62666301">
      <w:pPr>
        <w:spacing w:line="288" w:lineRule="auto"/>
        <w:ind w:right="420" w:firstLine="4320" w:firstLineChars="1800"/>
        <w:rPr>
          <w:rFonts w:hint="eastAsia" w:ascii="宋体" w:hAnsi="宋体" w:eastAsia="宋体" w:cs="宋体"/>
          <w:color w:val="auto"/>
          <w:sz w:val="24"/>
          <w:szCs w:val="24"/>
          <w:highlight w:val="none"/>
        </w:rPr>
      </w:pPr>
    </w:p>
    <w:p w14:paraId="57F520D8">
      <w:pPr>
        <w:spacing w:line="288" w:lineRule="auto"/>
        <w:ind w:right="420"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21041BB7">
      <w:pPr>
        <w:spacing w:line="288" w:lineRule="auto"/>
        <w:ind w:left="3780" w:leftChars="1800"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9CBA23B">
      <w:pPr>
        <w:pStyle w:val="6"/>
        <w:spacing w:line="288" w:lineRule="auto"/>
        <w:rPr>
          <w:rFonts w:hint="eastAsia" w:ascii="宋体" w:hAnsi="宋体" w:eastAsia="宋体" w:cs="宋体"/>
          <w:color w:val="auto"/>
          <w:sz w:val="24"/>
          <w:szCs w:val="24"/>
          <w:highlight w:val="none"/>
        </w:rPr>
      </w:pPr>
    </w:p>
    <w:p w14:paraId="6F5067E7">
      <w:pPr>
        <w:spacing w:line="288" w:lineRule="auto"/>
        <w:ind w:firstLine="480" w:firstLineChars="200"/>
        <w:jc w:val="left"/>
        <w:rPr>
          <w:rFonts w:hint="eastAsia" w:ascii="宋体" w:hAnsi="宋体" w:eastAsia="宋体" w:cs="宋体"/>
          <w:color w:val="auto"/>
          <w:sz w:val="24"/>
          <w:szCs w:val="24"/>
          <w:highlight w:val="none"/>
        </w:rPr>
      </w:pPr>
    </w:p>
    <w:p w14:paraId="5C724EB7">
      <w:pPr>
        <w:spacing w:line="288" w:lineRule="auto"/>
        <w:ind w:firstLine="480" w:firstLineChars="200"/>
        <w:jc w:val="left"/>
        <w:rPr>
          <w:rFonts w:hint="eastAsia" w:ascii="宋体" w:hAnsi="宋体" w:eastAsia="宋体" w:cs="宋体"/>
          <w:color w:val="auto"/>
          <w:sz w:val="24"/>
          <w:szCs w:val="24"/>
          <w:highlight w:val="none"/>
        </w:rPr>
      </w:pPr>
    </w:p>
    <w:p w14:paraId="06481441">
      <w:pPr>
        <w:spacing w:line="288" w:lineRule="auto"/>
        <w:ind w:firstLine="480" w:firstLineChars="200"/>
        <w:jc w:val="left"/>
        <w:rPr>
          <w:rFonts w:hint="eastAsia" w:ascii="宋体" w:hAnsi="宋体" w:eastAsia="宋体" w:cs="宋体"/>
          <w:color w:val="auto"/>
          <w:sz w:val="24"/>
          <w:szCs w:val="24"/>
          <w:highlight w:val="none"/>
        </w:rPr>
      </w:pPr>
    </w:p>
    <w:p w14:paraId="61902C38">
      <w:pP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66075E11">
      <w:pPr>
        <w:widowControl/>
        <w:snapToGrid w:val="0"/>
        <w:spacing w:line="324" w:lineRule="auto"/>
        <w:ind w:firstLine="480" w:firstLineChars="200"/>
        <w:jc w:val="left"/>
        <w:rPr>
          <w:rFonts w:hint="eastAsia" w:ascii="宋体" w:hAnsi="宋体" w:eastAsia="宋体" w:cs="宋体"/>
          <w:color w:val="auto"/>
          <w:sz w:val="24"/>
          <w:szCs w:val="24"/>
          <w:highlight w:val="none"/>
        </w:rPr>
      </w:pPr>
    </w:p>
    <w:p w14:paraId="3D3AA326">
      <w:pPr>
        <w:pStyle w:val="3"/>
        <w:spacing w:line="360" w:lineRule="auto"/>
        <w:jc w:val="center"/>
        <w:rPr>
          <w:rFonts w:hint="eastAsia" w:ascii="宋体" w:hAnsi="宋体" w:eastAsia="宋体" w:cs="宋体"/>
          <w:color w:val="auto"/>
          <w:sz w:val="24"/>
          <w:szCs w:val="24"/>
          <w:highlight w:val="none"/>
        </w:rPr>
      </w:pPr>
    </w:p>
    <w:p w14:paraId="6A890AF8">
      <w:pPr>
        <w:pStyle w:val="3"/>
        <w:spacing w:line="360" w:lineRule="auto"/>
        <w:jc w:val="center"/>
        <w:rPr>
          <w:rFonts w:hint="eastAsia" w:ascii="宋体" w:hAnsi="宋体" w:eastAsia="宋体" w:cs="宋体"/>
          <w:color w:val="auto"/>
          <w:sz w:val="24"/>
          <w:szCs w:val="24"/>
          <w:highlight w:val="none"/>
        </w:rPr>
      </w:pPr>
    </w:p>
    <w:p w14:paraId="7E192A3D">
      <w:pPr>
        <w:jc w:val="center"/>
        <w:rPr>
          <w:rFonts w:hint="eastAsia" w:ascii="宋体" w:hAnsi="宋体" w:eastAsia="宋体" w:cs="宋体"/>
          <w:color w:val="auto"/>
          <w:highlight w:val="none"/>
          <w:lang w:val="zh-CN"/>
        </w:rPr>
      </w:pPr>
      <w:bookmarkStart w:id="95" w:name="_Toc3295"/>
      <w:bookmarkStart w:id="96" w:name="_Toc30916"/>
      <w:bookmarkStart w:id="97" w:name="_Toc2071"/>
      <w:r>
        <w:rPr>
          <w:rFonts w:hint="eastAsia" w:ascii="宋体" w:hAnsi="宋体" w:eastAsia="宋体" w:cs="宋体"/>
          <w:color w:val="auto"/>
          <w:highlight w:val="none"/>
        </w:rPr>
        <w:br w:type="page"/>
      </w:r>
      <w:bookmarkEnd w:id="95"/>
      <w:bookmarkEnd w:id="96"/>
      <w:bookmarkEnd w:id="97"/>
    </w:p>
    <w:p w14:paraId="27635726">
      <w:pPr>
        <w:rPr>
          <w:rFonts w:hint="eastAsia" w:ascii="宋体" w:hAnsi="宋体" w:eastAsia="宋体" w:cs="宋体"/>
          <w:b/>
          <w:bCs/>
          <w:color w:val="auto"/>
          <w:sz w:val="24"/>
          <w:szCs w:val="24"/>
          <w:highlight w:val="none"/>
          <w:lang w:val="zh-CN"/>
        </w:rPr>
      </w:pPr>
      <w:bookmarkStart w:id="98" w:name="_Toc9715"/>
      <w:bookmarkStart w:id="99" w:name="_Toc16150"/>
      <w:bookmarkStart w:id="100" w:name="_Toc31472"/>
      <w:bookmarkStart w:id="101" w:name="_Toc25017"/>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p>
    <w:p w14:paraId="26BE3CE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bookmarkEnd w:id="98"/>
      <w:bookmarkEnd w:id="99"/>
      <w:bookmarkEnd w:id="100"/>
      <w:bookmarkEnd w:id="101"/>
    </w:p>
    <w:p w14:paraId="79134CD3">
      <w:pPr>
        <w:widowControl/>
        <w:snapToGrid w:val="0"/>
        <w:spacing w:line="324" w:lineRule="auto"/>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【不属于残疾人福利性单位的无需填写、递交】</w:t>
      </w:r>
    </w:p>
    <w:p w14:paraId="7E95D1FF">
      <w:pPr>
        <w:spacing w:line="588" w:lineRule="exact"/>
        <w:rPr>
          <w:rFonts w:hint="eastAsia" w:ascii="宋体" w:hAnsi="宋体" w:eastAsia="宋体" w:cs="宋体"/>
          <w:b/>
          <w:bCs/>
          <w:color w:val="auto"/>
          <w:spacing w:val="6"/>
          <w:sz w:val="30"/>
          <w:szCs w:val="30"/>
          <w:highlight w:val="none"/>
        </w:rPr>
      </w:pPr>
    </w:p>
    <w:p w14:paraId="5B1D60A3">
      <w:pPr>
        <w:spacing w:line="588"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14:paraId="59A4D303">
      <w:pPr>
        <w:pStyle w:val="3"/>
        <w:rPr>
          <w:rFonts w:hint="eastAsia" w:ascii="宋体" w:hAnsi="宋体" w:eastAsia="宋体" w:cs="宋体"/>
          <w:color w:val="auto"/>
          <w:highlight w:val="none"/>
        </w:rPr>
      </w:pPr>
    </w:p>
    <w:p w14:paraId="17506418">
      <w:pPr>
        <w:pStyle w:val="6"/>
        <w:rPr>
          <w:rFonts w:hint="eastAsia" w:ascii="宋体" w:hAnsi="宋体" w:eastAsia="宋体" w:cs="宋体"/>
          <w:color w:val="auto"/>
          <w:highlight w:val="none"/>
        </w:rPr>
      </w:pPr>
    </w:p>
    <w:p w14:paraId="19B5F3CF">
      <w:pPr>
        <w:spacing w:line="588" w:lineRule="exact"/>
        <w:rPr>
          <w:rFonts w:hint="eastAsia" w:ascii="宋体" w:hAnsi="宋体" w:eastAsia="宋体" w:cs="宋体"/>
          <w:color w:val="auto"/>
          <w:sz w:val="24"/>
          <w:szCs w:val="24"/>
          <w:highlight w:val="none"/>
        </w:rPr>
      </w:pPr>
    </w:p>
    <w:p w14:paraId="26E1D57F">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60265232">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2E462E0">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3739C812">
      <w:pPr>
        <w:rPr>
          <w:rFonts w:hint="eastAsia" w:ascii="宋体" w:hAnsi="宋体" w:eastAsia="宋体" w:cs="宋体"/>
          <w:b/>
          <w:bCs/>
          <w:color w:val="auto"/>
          <w:sz w:val="24"/>
          <w:szCs w:val="24"/>
          <w:highlight w:val="none"/>
          <w:lang w:val="zh-CN"/>
        </w:rPr>
      </w:pPr>
      <w:bookmarkStart w:id="102" w:name="_Toc24"/>
      <w:bookmarkStart w:id="103" w:name="_Toc2386"/>
      <w:bookmarkStart w:id="104" w:name="_Toc5441"/>
      <w:bookmarkStart w:id="105" w:name="_Toc15966"/>
      <w:r>
        <w:rPr>
          <w:rFonts w:hint="eastAsia" w:ascii="宋体" w:hAnsi="宋体" w:eastAsia="宋体" w:cs="宋体"/>
          <w:color w:val="auto"/>
          <w:sz w:val="24"/>
          <w:szCs w:val="24"/>
          <w:highlight w:val="none"/>
          <w:lang w:val="zh-CN"/>
        </w:rPr>
        <w:br w:type="page"/>
      </w: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p>
    <w:p w14:paraId="1EA2728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监狱企业证明文件</w:t>
      </w:r>
      <w:bookmarkEnd w:id="102"/>
      <w:bookmarkEnd w:id="103"/>
      <w:bookmarkEnd w:id="104"/>
      <w:bookmarkEnd w:id="105"/>
    </w:p>
    <w:p w14:paraId="4A08DD51">
      <w:pPr>
        <w:widowControl/>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【不属于监狱企业的无需填写、递交】</w:t>
      </w:r>
    </w:p>
    <w:p w14:paraId="237B5B80">
      <w:pPr>
        <w:widowControl/>
        <w:snapToGrid w:val="0"/>
        <w:spacing w:line="324" w:lineRule="auto"/>
        <w:jc w:val="center"/>
        <w:rPr>
          <w:rFonts w:hint="eastAsia" w:ascii="宋体" w:hAnsi="宋体" w:eastAsia="宋体" w:cs="宋体"/>
          <w:color w:val="auto"/>
          <w:kern w:val="0"/>
          <w:sz w:val="24"/>
          <w:szCs w:val="24"/>
          <w:highlight w:val="none"/>
        </w:rPr>
      </w:pPr>
    </w:p>
    <w:p w14:paraId="6D4A1021">
      <w:pPr>
        <w:spacing w:line="588" w:lineRule="exact"/>
        <w:ind w:firstLine="480" w:firstLineChars="200"/>
        <w:rPr>
          <w:rFonts w:hint="eastAsia" w:ascii="宋体" w:hAnsi="宋体" w:eastAsia="宋体" w:cs="宋体"/>
          <w:color w:val="auto"/>
          <w:sz w:val="24"/>
          <w:szCs w:val="24"/>
          <w:highlight w:val="none"/>
        </w:rPr>
      </w:pPr>
    </w:p>
    <w:p w14:paraId="08BF9AD2">
      <w:pPr>
        <w:adjustRightInd w:val="0"/>
        <w:snapToGrid w:val="0"/>
        <w:spacing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监狱企业需提供省级以上的监狱管理局、戒毒管理局（含新疆生产建设兵团）出具的属于监狱企业的证明文件。</w:t>
      </w:r>
    </w:p>
    <w:p w14:paraId="6F899016">
      <w:pPr>
        <w:pStyle w:val="3"/>
        <w:rPr>
          <w:rFonts w:hint="eastAsia" w:ascii="宋体" w:hAnsi="宋体" w:eastAsia="宋体" w:cs="宋体"/>
          <w:color w:val="auto"/>
          <w:highlight w:val="none"/>
        </w:rPr>
      </w:pPr>
    </w:p>
    <w:p w14:paraId="6BE194C9">
      <w:pPr>
        <w:pStyle w:val="6"/>
        <w:rPr>
          <w:rFonts w:hint="eastAsia" w:ascii="宋体" w:hAnsi="宋体" w:eastAsia="宋体" w:cs="宋体"/>
          <w:color w:val="auto"/>
          <w:highlight w:val="none"/>
        </w:rPr>
      </w:pPr>
    </w:p>
    <w:p w14:paraId="2CC6651E">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2ED5688C">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851D676">
      <w:pPr>
        <w:pStyle w:val="4"/>
        <w:ind w:firstLine="4320" w:firstLineChars="1800"/>
        <w:rPr>
          <w:rFonts w:hint="eastAsia" w:ascii="宋体" w:hAnsi="宋体" w:eastAsia="宋体" w:cs="宋体"/>
          <w:color w:val="auto"/>
          <w:highlight w:val="none"/>
        </w:rPr>
      </w:pPr>
      <w:r>
        <w:rPr>
          <w:rFonts w:hint="eastAsia" w:ascii="宋体" w:hAnsi="宋体" w:eastAsia="宋体" w:cs="宋体"/>
          <w:b w:val="0"/>
          <w:bCs/>
          <w:color w:val="auto"/>
          <w:sz w:val="24"/>
          <w:szCs w:val="24"/>
          <w:highlight w:val="none"/>
        </w:rPr>
        <w:t>供应商全称（公章）：</w:t>
      </w:r>
    </w:p>
    <w:p w14:paraId="7EA45C98">
      <w:pPr>
        <w:rPr>
          <w:rFonts w:hint="eastAsia" w:ascii="宋体" w:hAnsi="宋体" w:eastAsia="宋体" w:cs="宋体"/>
          <w:color w:val="auto"/>
          <w:sz w:val="24"/>
          <w:szCs w:val="24"/>
          <w:highlight w:val="none"/>
        </w:rPr>
      </w:pPr>
    </w:p>
    <w:p w14:paraId="5F075BC0">
      <w:pPr>
        <w:pStyle w:val="3"/>
        <w:rPr>
          <w:rFonts w:hint="eastAsia" w:ascii="宋体" w:hAnsi="宋体" w:eastAsia="宋体" w:cs="宋体"/>
          <w:color w:val="auto"/>
          <w:sz w:val="24"/>
          <w:szCs w:val="24"/>
          <w:highlight w:val="none"/>
        </w:rPr>
      </w:pPr>
    </w:p>
    <w:p w14:paraId="1BAC6BB6">
      <w:pPr>
        <w:rPr>
          <w:rFonts w:hint="eastAsia" w:ascii="宋体" w:hAnsi="宋体" w:eastAsia="宋体" w:cs="宋体"/>
          <w:color w:val="auto"/>
          <w:sz w:val="24"/>
          <w:szCs w:val="24"/>
          <w:highlight w:val="none"/>
        </w:rPr>
      </w:pPr>
    </w:p>
    <w:p w14:paraId="7A916907">
      <w:pPr>
        <w:pStyle w:val="3"/>
        <w:rPr>
          <w:rFonts w:hint="eastAsia" w:ascii="宋体" w:hAnsi="宋体" w:eastAsia="宋体" w:cs="宋体"/>
          <w:color w:val="auto"/>
          <w:sz w:val="24"/>
          <w:szCs w:val="24"/>
          <w:highlight w:val="none"/>
        </w:rPr>
      </w:pPr>
    </w:p>
    <w:p w14:paraId="09969C92">
      <w:pPr>
        <w:rPr>
          <w:rFonts w:hint="eastAsia" w:ascii="宋体" w:hAnsi="宋体" w:eastAsia="宋体" w:cs="宋体"/>
          <w:color w:val="auto"/>
          <w:sz w:val="24"/>
          <w:szCs w:val="24"/>
          <w:highlight w:val="none"/>
        </w:rPr>
      </w:pPr>
    </w:p>
    <w:p w14:paraId="6ACDAF00">
      <w:pPr>
        <w:pStyle w:val="3"/>
        <w:rPr>
          <w:rFonts w:hint="eastAsia" w:ascii="宋体" w:hAnsi="宋体" w:eastAsia="宋体" w:cs="宋体"/>
          <w:color w:val="auto"/>
          <w:sz w:val="24"/>
          <w:szCs w:val="24"/>
          <w:highlight w:val="none"/>
        </w:rPr>
      </w:pPr>
    </w:p>
    <w:p w14:paraId="4C279318">
      <w:pPr>
        <w:rPr>
          <w:rFonts w:hint="eastAsia" w:ascii="宋体" w:hAnsi="宋体" w:eastAsia="宋体" w:cs="宋体"/>
          <w:color w:val="auto"/>
          <w:sz w:val="24"/>
          <w:szCs w:val="24"/>
          <w:highlight w:val="none"/>
        </w:rPr>
      </w:pPr>
    </w:p>
    <w:p w14:paraId="42171224">
      <w:pPr>
        <w:pStyle w:val="3"/>
        <w:rPr>
          <w:rFonts w:hint="eastAsia" w:ascii="宋体" w:hAnsi="宋体" w:eastAsia="宋体" w:cs="宋体"/>
          <w:color w:val="auto"/>
          <w:sz w:val="24"/>
          <w:szCs w:val="24"/>
          <w:highlight w:val="none"/>
        </w:rPr>
      </w:pPr>
    </w:p>
    <w:p w14:paraId="21635251">
      <w:pPr>
        <w:rPr>
          <w:rFonts w:hint="eastAsia" w:ascii="宋体" w:hAnsi="宋体" w:eastAsia="宋体" w:cs="宋体"/>
          <w:color w:val="auto"/>
          <w:sz w:val="24"/>
          <w:szCs w:val="24"/>
          <w:highlight w:val="none"/>
        </w:rPr>
      </w:pPr>
    </w:p>
    <w:p w14:paraId="69E757AE">
      <w:pPr>
        <w:pStyle w:val="3"/>
        <w:rPr>
          <w:rFonts w:hint="eastAsia" w:ascii="宋体" w:hAnsi="宋体" w:eastAsia="宋体" w:cs="宋体"/>
          <w:color w:val="auto"/>
          <w:sz w:val="24"/>
          <w:szCs w:val="24"/>
          <w:highlight w:val="none"/>
        </w:rPr>
      </w:pPr>
    </w:p>
    <w:p w14:paraId="77F4EED9">
      <w:pPr>
        <w:rPr>
          <w:rFonts w:hint="eastAsia" w:ascii="宋体" w:hAnsi="宋体" w:eastAsia="宋体" w:cs="宋体"/>
          <w:color w:val="auto"/>
          <w:sz w:val="24"/>
          <w:szCs w:val="24"/>
          <w:highlight w:val="none"/>
        </w:rPr>
      </w:pPr>
    </w:p>
    <w:p w14:paraId="5A57FFE4">
      <w:pPr>
        <w:pStyle w:val="3"/>
        <w:rPr>
          <w:rFonts w:hint="eastAsia" w:ascii="宋体" w:hAnsi="宋体" w:eastAsia="宋体" w:cs="宋体"/>
          <w:color w:val="auto"/>
          <w:sz w:val="24"/>
          <w:szCs w:val="24"/>
          <w:highlight w:val="none"/>
        </w:rPr>
      </w:pPr>
    </w:p>
    <w:p w14:paraId="080CABEA">
      <w:pPr>
        <w:rPr>
          <w:rFonts w:hint="eastAsia"/>
          <w:lang w:val="zh-CN"/>
        </w:rPr>
      </w:pPr>
      <w:r>
        <w:rPr>
          <w:rFonts w:hint="eastAsia"/>
          <w:lang w:val="zh-CN"/>
        </w:rPr>
        <w:br w:type="page"/>
      </w:r>
    </w:p>
    <w:p w14:paraId="6E7C0D43">
      <w:pPr>
        <w:rPr>
          <w:rFonts w:hint="eastAsia"/>
          <w:lang w:val="zh-CN"/>
        </w:rPr>
      </w:pPr>
    </w:p>
    <w:p w14:paraId="1A96E523">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商务技术文件</w:t>
      </w:r>
    </w:p>
    <w:p w14:paraId="1D2D6ADE">
      <w:pPr>
        <w:spacing w:line="360" w:lineRule="auto"/>
        <w:jc w:val="center"/>
        <w:rPr>
          <w:rFonts w:hint="eastAsia" w:ascii="宋体" w:hAnsi="宋体" w:eastAsia="宋体" w:cs="宋体"/>
          <w:b/>
          <w:bCs/>
          <w:color w:val="auto"/>
          <w:kern w:val="0"/>
          <w:sz w:val="36"/>
          <w:szCs w:val="36"/>
          <w:highlight w:val="none"/>
        </w:rPr>
      </w:pPr>
    </w:p>
    <w:p w14:paraId="5B9A1879">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01082E1E">
      <w:pPr>
        <w:pStyle w:val="11"/>
        <w:ind w:left="426" w:firstLine="486"/>
        <w:rPr>
          <w:rFonts w:hint="eastAsia" w:ascii="宋体" w:hAnsi="宋体" w:eastAsia="宋体" w:cs="宋体"/>
          <w:color w:val="auto"/>
          <w:highlight w:val="none"/>
        </w:rPr>
      </w:pPr>
    </w:p>
    <w:p w14:paraId="78418E6D">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评分对应表（格式见附件，主要用于评委对应评分内容）</w:t>
      </w:r>
    </w:p>
    <w:p w14:paraId="57D39E4D">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供应商商务技术文件中资信分自评表（格式见附件）；</w:t>
      </w:r>
    </w:p>
    <w:p w14:paraId="6083C78C">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磋商项目明细清单（格式见附件）；</w:t>
      </w:r>
    </w:p>
    <w:p w14:paraId="712C0293">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技术响应及建议表（格式见附件）；</w:t>
      </w:r>
    </w:p>
    <w:p w14:paraId="421AA521">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商务响应表（格式见附件）；</w:t>
      </w:r>
    </w:p>
    <w:p w14:paraId="54E54D18">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项目理解</w:t>
      </w:r>
      <w:r>
        <w:rPr>
          <w:rFonts w:hint="eastAsia" w:ascii="宋体" w:hAnsi="宋体" w:eastAsia="宋体" w:cs="宋体"/>
          <w:color w:val="auto"/>
          <w:sz w:val="24"/>
          <w:szCs w:val="24"/>
          <w:highlight w:val="none"/>
          <w:lang w:eastAsia="zh-CN"/>
        </w:rPr>
        <w:t>；</w:t>
      </w:r>
    </w:p>
    <w:p w14:paraId="71EEEDC5">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技术措施；</w:t>
      </w:r>
    </w:p>
    <w:p w14:paraId="1838893B">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维保方案</w:t>
      </w:r>
      <w:r>
        <w:rPr>
          <w:rFonts w:hint="eastAsia" w:ascii="宋体" w:hAnsi="宋体" w:eastAsia="宋体" w:cs="宋体"/>
          <w:color w:val="auto"/>
          <w:sz w:val="24"/>
          <w:szCs w:val="24"/>
          <w:highlight w:val="none"/>
          <w:lang w:eastAsia="zh-CN"/>
        </w:rPr>
        <w:t>；</w:t>
      </w:r>
    </w:p>
    <w:p w14:paraId="39FF2496">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150" w:leftChars="0" w:firstLine="48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巡检方案</w:t>
      </w:r>
      <w:r>
        <w:rPr>
          <w:rFonts w:hint="eastAsia" w:ascii="宋体" w:hAnsi="宋体" w:eastAsia="宋体" w:cs="宋体"/>
          <w:color w:val="auto"/>
          <w:sz w:val="24"/>
          <w:szCs w:val="24"/>
          <w:highlight w:val="none"/>
          <w:lang w:eastAsia="zh-CN"/>
        </w:rPr>
        <w:t>；</w:t>
      </w:r>
    </w:p>
    <w:p w14:paraId="1D5EC094">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150" w:leftChars="0" w:firstLine="48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14:paraId="568E49E1">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培训计划</w:t>
      </w:r>
      <w:r>
        <w:rPr>
          <w:rFonts w:hint="eastAsia" w:ascii="宋体" w:hAnsi="宋体" w:eastAsia="宋体" w:cs="宋体"/>
          <w:color w:val="auto"/>
          <w:sz w:val="24"/>
          <w:szCs w:val="24"/>
          <w:highlight w:val="none"/>
          <w:lang w:eastAsia="zh-CN"/>
        </w:rPr>
        <w:t>；</w:t>
      </w:r>
    </w:p>
    <w:p w14:paraId="78FA78AA">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拟投入成员；</w:t>
      </w:r>
    </w:p>
    <w:p w14:paraId="62035DF9">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组织实施方案和保障措施；</w:t>
      </w:r>
    </w:p>
    <w:p w14:paraId="6E865734">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服务响应</w:t>
      </w:r>
      <w:r>
        <w:rPr>
          <w:rFonts w:hint="eastAsia" w:ascii="宋体" w:hAnsi="宋体" w:eastAsia="宋体" w:cs="宋体"/>
          <w:color w:val="auto"/>
          <w:sz w:val="24"/>
          <w:szCs w:val="24"/>
          <w:highlight w:val="none"/>
          <w:lang w:eastAsia="zh-CN"/>
        </w:rPr>
        <w:t>；</w:t>
      </w:r>
    </w:p>
    <w:p w14:paraId="36BB1B7C">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类似业绩</w:t>
      </w:r>
      <w:r>
        <w:rPr>
          <w:rFonts w:hint="eastAsia" w:ascii="宋体" w:hAnsi="宋体" w:eastAsia="宋体" w:cs="宋体"/>
          <w:color w:val="auto"/>
          <w:sz w:val="24"/>
          <w:szCs w:val="24"/>
          <w:highlight w:val="none"/>
          <w:lang w:eastAsia="zh-CN"/>
        </w:rPr>
        <w:t>；</w:t>
      </w:r>
      <w:bookmarkStart w:id="115" w:name="_GoBack"/>
      <w:bookmarkEnd w:id="115"/>
    </w:p>
    <w:p w14:paraId="1E39EAB9">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企业证书</w:t>
      </w:r>
    </w:p>
    <w:p w14:paraId="2F2ABB5F">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人员证书</w:t>
      </w:r>
    </w:p>
    <w:p w14:paraId="55A3964B">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15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供应商认为需要的其他文件资料。</w:t>
      </w:r>
    </w:p>
    <w:p w14:paraId="4493E4D3">
      <w:pPr>
        <w:pStyle w:val="34"/>
        <w:tabs>
          <w:tab w:val="left" w:pos="0"/>
        </w:tabs>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注：以上内容应与评标办法中内容具有一致性。</w:t>
      </w:r>
    </w:p>
    <w:p w14:paraId="6B142A04">
      <w:pPr>
        <w:pStyle w:val="34"/>
        <w:tabs>
          <w:tab w:val="left" w:pos="0"/>
        </w:tabs>
        <w:spacing w:before="0" w:line="336" w:lineRule="auto"/>
        <w:ind w:firstLine="480"/>
        <w:rPr>
          <w:rFonts w:hint="eastAsia" w:ascii="宋体" w:hAnsi="宋体" w:eastAsia="宋体" w:cs="宋体"/>
          <w:color w:val="auto"/>
          <w:highlight w:val="none"/>
        </w:rPr>
      </w:pPr>
    </w:p>
    <w:p w14:paraId="42187EB6">
      <w:pPr>
        <w:rPr>
          <w:rFonts w:hint="eastAsia" w:ascii="宋体" w:hAnsi="宋体" w:eastAsia="宋体" w:cs="宋体"/>
          <w:color w:val="auto"/>
          <w:sz w:val="24"/>
          <w:szCs w:val="24"/>
          <w:highlight w:val="none"/>
        </w:rPr>
      </w:pPr>
    </w:p>
    <w:p w14:paraId="388B7BB0">
      <w:pPr>
        <w:pStyle w:val="3"/>
        <w:rPr>
          <w:rFonts w:hint="eastAsia" w:ascii="宋体" w:hAnsi="宋体" w:eastAsia="宋体" w:cs="宋体"/>
          <w:color w:val="auto"/>
          <w:sz w:val="24"/>
          <w:szCs w:val="24"/>
          <w:highlight w:val="none"/>
        </w:rPr>
      </w:pPr>
    </w:p>
    <w:p w14:paraId="60B26CF3">
      <w:pPr>
        <w:rPr>
          <w:rFonts w:hint="eastAsia" w:ascii="宋体" w:hAnsi="宋体" w:eastAsia="宋体" w:cs="宋体"/>
          <w:color w:val="auto"/>
          <w:sz w:val="24"/>
          <w:szCs w:val="24"/>
          <w:highlight w:val="none"/>
        </w:rPr>
      </w:pPr>
    </w:p>
    <w:p w14:paraId="6954A1C7">
      <w:pPr>
        <w:rPr>
          <w:rFonts w:hint="eastAsia" w:ascii="宋体" w:hAnsi="宋体" w:eastAsia="宋体" w:cs="宋体"/>
          <w:color w:val="auto"/>
          <w:sz w:val="24"/>
          <w:szCs w:val="24"/>
          <w:highlight w:val="none"/>
        </w:rPr>
      </w:pPr>
    </w:p>
    <w:p w14:paraId="323224E6">
      <w:pPr>
        <w:snapToGrid w:val="0"/>
        <w:spacing w:before="50" w:after="50"/>
        <w:jc w:val="left"/>
        <w:rPr>
          <w:rFonts w:hint="eastAsia" w:ascii="宋体" w:hAnsi="宋体" w:eastAsia="宋体" w:cs="宋体"/>
          <w:b/>
          <w:bCs/>
          <w:color w:val="auto"/>
          <w:sz w:val="24"/>
          <w:szCs w:val="24"/>
          <w:highlight w:val="none"/>
          <w:lang w:val="zh-CN"/>
        </w:rPr>
      </w:pPr>
      <w:bookmarkStart w:id="106" w:name="_Toc10131"/>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CN"/>
        </w:rPr>
        <w:t>：</w:t>
      </w:r>
    </w:p>
    <w:p w14:paraId="0AC24C3F">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评分对应表</w:t>
      </w:r>
    </w:p>
    <w:p w14:paraId="3E4B1798">
      <w:pPr>
        <w:snapToGrid w:val="0"/>
        <w:spacing w:before="50"/>
        <w:jc w:val="center"/>
        <w:rPr>
          <w:rFonts w:hint="eastAsia" w:ascii="宋体" w:hAnsi="宋体" w:eastAsia="宋体" w:cs="宋体"/>
          <w:b/>
          <w:bCs/>
          <w:color w:val="auto"/>
          <w:sz w:val="32"/>
          <w:szCs w:val="32"/>
          <w:highlight w:val="none"/>
        </w:rPr>
      </w:pPr>
    </w:p>
    <w:p w14:paraId="4BDE80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3E28EC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5"/>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26287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15BC1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23A1CF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46B135A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响应文件页码</w:t>
            </w:r>
          </w:p>
        </w:tc>
      </w:tr>
      <w:tr w14:paraId="5DCA0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CEA2BD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对应评分办法及评分标准</w:t>
            </w:r>
          </w:p>
          <w:p w14:paraId="1A995CC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32DCAFE4">
            <w:pPr>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B10E9F4">
            <w:pPr>
              <w:jc w:val="center"/>
              <w:rPr>
                <w:rFonts w:hint="eastAsia" w:ascii="宋体" w:hAnsi="宋体" w:eastAsia="宋体" w:cs="宋体"/>
                <w:color w:val="auto"/>
                <w:sz w:val="24"/>
                <w:szCs w:val="24"/>
                <w:highlight w:val="none"/>
              </w:rPr>
            </w:pPr>
          </w:p>
        </w:tc>
      </w:tr>
      <w:tr w14:paraId="05378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331361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51F6765F">
            <w:pPr>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C1292E2">
            <w:pPr>
              <w:jc w:val="center"/>
              <w:rPr>
                <w:rFonts w:hint="eastAsia" w:ascii="宋体" w:hAnsi="宋体" w:eastAsia="宋体" w:cs="宋体"/>
                <w:color w:val="auto"/>
                <w:sz w:val="24"/>
                <w:szCs w:val="24"/>
                <w:highlight w:val="none"/>
              </w:rPr>
            </w:pPr>
          </w:p>
        </w:tc>
      </w:tr>
      <w:tr w14:paraId="13F95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C26F15B">
            <w:pPr>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0BCB4C0">
            <w:pPr>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0D66E21">
            <w:pPr>
              <w:jc w:val="center"/>
              <w:rPr>
                <w:rFonts w:hint="eastAsia" w:ascii="宋体" w:hAnsi="宋体" w:eastAsia="宋体" w:cs="宋体"/>
                <w:color w:val="auto"/>
                <w:sz w:val="24"/>
                <w:szCs w:val="24"/>
                <w:highlight w:val="none"/>
              </w:rPr>
            </w:pPr>
          </w:p>
        </w:tc>
      </w:tr>
      <w:tr w14:paraId="3654E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1B15FFD">
            <w:pP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8CE32AC">
            <w:pP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9706458">
            <w:pPr>
              <w:spacing w:line="360" w:lineRule="auto"/>
              <w:ind w:firstLine="480" w:firstLineChars="200"/>
              <w:jc w:val="center"/>
              <w:rPr>
                <w:rFonts w:hint="eastAsia" w:ascii="宋体" w:hAnsi="宋体" w:eastAsia="宋体" w:cs="宋体"/>
                <w:color w:val="auto"/>
                <w:sz w:val="24"/>
                <w:szCs w:val="24"/>
                <w:highlight w:val="none"/>
              </w:rPr>
            </w:pPr>
          </w:p>
        </w:tc>
      </w:tr>
      <w:tr w14:paraId="387F1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3B60F1C">
            <w:pP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5EEE5AA">
            <w:pP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763466E">
            <w:pPr>
              <w:spacing w:line="360" w:lineRule="auto"/>
              <w:ind w:firstLine="480" w:firstLineChars="200"/>
              <w:jc w:val="center"/>
              <w:rPr>
                <w:rFonts w:hint="eastAsia" w:ascii="宋体" w:hAnsi="宋体" w:eastAsia="宋体" w:cs="宋体"/>
                <w:color w:val="auto"/>
                <w:sz w:val="24"/>
                <w:szCs w:val="24"/>
                <w:highlight w:val="none"/>
              </w:rPr>
            </w:pPr>
          </w:p>
        </w:tc>
      </w:tr>
      <w:tr w14:paraId="6B34B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9F560B4">
            <w:pP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0EDDD3A">
            <w:pP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E7E4AE8">
            <w:pPr>
              <w:spacing w:line="360" w:lineRule="auto"/>
              <w:ind w:firstLine="480" w:firstLineChars="200"/>
              <w:jc w:val="center"/>
              <w:rPr>
                <w:rFonts w:hint="eastAsia" w:ascii="宋体" w:hAnsi="宋体" w:eastAsia="宋体" w:cs="宋体"/>
                <w:color w:val="auto"/>
                <w:sz w:val="24"/>
                <w:szCs w:val="24"/>
                <w:highlight w:val="none"/>
              </w:rPr>
            </w:pPr>
          </w:p>
        </w:tc>
      </w:tr>
      <w:tr w14:paraId="3D5B5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165032D">
            <w:pP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B0DFD50">
            <w:pP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CEE4D50">
            <w:pPr>
              <w:spacing w:line="360" w:lineRule="auto"/>
              <w:ind w:firstLine="480" w:firstLineChars="200"/>
              <w:jc w:val="center"/>
              <w:rPr>
                <w:rFonts w:hint="eastAsia" w:ascii="宋体" w:hAnsi="宋体" w:eastAsia="宋体" w:cs="宋体"/>
                <w:color w:val="auto"/>
                <w:sz w:val="24"/>
                <w:szCs w:val="24"/>
                <w:highlight w:val="none"/>
              </w:rPr>
            </w:pPr>
          </w:p>
        </w:tc>
      </w:tr>
      <w:tr w14:paraId="2D0C1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4BD6E18">
            <w:pP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4A136AF">
            <w:pP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36E376E">
            <w:pPr>
              <w:spacing w:line="360" w:lineRule="auto"/>
              <w:ind w:firstLine="480" w:firstLineChars="200"/>
              <w:jc w:val="center"/>
              <w:rPr>
                <w:rFonts w:hint="eastAsia" w:ascii="宋体" w:hAnsi="宋体" w:eastAsia="宋体" w:cs="宋体"/>
                <w:color w:val="auto"/>
                <w:sz w:val="24"/>
                <w:szCs w:val="24"/>
                <w:highlight w:val="none"/>
              </w:rPr>
            </w:pPr>
          </w:p>
        </w:tc>
      </w:tr>
      <w:tr w14:paraId="4B836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BD71691">
            <w:pP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5B9C03A">
            <w:pP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C39113D">
            <w:pPr>
              <w:spacing w:line="360" w:lineRule="auto"/>
              <w:ind w:firstLine="480" w:firstLineChars="200"/>
              <w:jc w:val="center"/>
              <w:rPr>
                <w:rFonts w:hint="eastAsia" w:ascii="宋体" w:hAnsi="宋体" w:eastAsia="宋体" w:cs="宋体"/>
                <w:color w:val="auto"/>
                <w:sz w:val="24"/>
                <w:szCs w:val="24"/>
                <w:highlight w:val="none"/>
              </w:rPr>
            </w:pPr>
          </w:p>
        </w:tc>
      </w:tr>
    </w:tbl>
    <w:p w14:paraId="39D45EBF">
      <w:pPr>
        <w:spacing w:line="360" w:lineRule="auto"/>
        <w:ind w:firstLine="480" w:firstLineChars="200"/>
        <w:rPr>
          <w:rFonts w:hint="eastAsia" w:ascii="宋体" w:hAnsi="宋体" w:eastAsia="宋体" w:cs="宋体"/>
          <w:color w:val="auto"/>
          <w:sz w:val="24"/>
          <w:szCs w:val="24"/>
          <w:highlight w:val="none"/>
        </w:rPr>
      </w:pPr>
    </w:p>
    <w:p w14:paraId="4E7BEAA6">
      <w:pPr>
        <w:spacing w:line="360" w:lineRule="auto"/>
        <w:ind w:left="3780" w:leftChars="1800" w:firstLine="480" w:firstLineChars="200"/>
        <w:rPr>
          <w:rFonts w:hint="eastAsia" w:ascii="宋体" w:hAnsi="宋体" w:eastAsia="宋体" w:cs="宋体"/>
          <w:color w:val="auto"/>
          <w:sz w:val="24"/>
          <w:szCs w:val="24"/>
          <w:highlight w:val="none"/>
        </w:rPr>
      </w:pPr>
    </w:p>
    <w:p w14:paraId="04F89CFC">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6EE51828">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43DF2B2">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31AAAE35">
      <w:pPr>
        <w:rPr>
          <w:rFonts w:hint="eastAsia" w:ascii="宋体" w:hAnsi="宋体" w:eastAsia="宋体" w:cs="宋体"/>
          <w:color w:val="auto"/>
          <w:highlight w:val="none"/>
          <w:lang w:val="zh-CN"/>
        </w:rPr>
      </w:pPr>
    </w:p>
    <w:p w14:paraId="16ED9741">
      <w:pP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p>
    <w:p w14:paraId="62C5BAB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供应商商务技术文件中资信分自评表</w:t>
      </w:r>
      <w:bookmarkEnd w:id="106"/>
    </w:p>
    <w:p w14:paraId="7D55C7B8">
      <w:pPr>
        <w:snapToGrid w:val="0"/>
        <w:spacing w:before="50"/>
        <w:jc w:val="center"/>
        <w:rPr>
          <w:rFonts w:hint="eastAsia" w:ascii="宋体" w:hAnsi="宋体" w:eastAsia="宋体" w:cs="宋体"/>
          <w:b/>
          <w:bCs/>
          <w:color w:val="auto"/>
          <w:sz w:val="32"/>
          <w:szCs w:val="32"/>
          <w:highlight w:val="none"/>
        </w:rPr>
      </w:pPr>
    </w:p>
    <w:p w14:paraId="5D1F10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7D52F7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5"/>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0F7B0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CC5774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87" w:type="dxa"/>
            <w:vAlign w:val="center"/>
          </w:tcPr>
          <w:p w14:paraId="2217EA0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资信分内容</w:t>
            </w:r>
          </w:p>
        </w:tc>
        <w:tc>
          <w:tcPr>
            <w:tcW w:w="1462" w:type="dxa"/>
            <w:vAlign w:val="center"/>
          </w:tcPr>
          <w:p w14:paraId="3A4D8D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自评得分</w:t>
            </w:r>
          </w:p>
        </w:tc>
        <w:tc>
          <w:tcPr>
            <w:tcW w:w="2415" w:type="dxa"/>
            <w:tcBorders>
              <w:right w:val="single" w:color="auto" w:sz="4" w:space="0"/>
            </w:tcBorders>
            <w:vAlign w:val="center"/>
          </w:tcPr>
          <w:p w14:paraId="004C73E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响应文件对应资料</w:t>
            </w:r>
          </w:p>
        </w:tc>
        <w:tc>
          <w:tcPr>
            <w:tcW w:w="1746" w:type="dxa"/>
            <w:tcBorders>
              <w:left w:val="single" w:color="auto" w:sz="4" w:space="0"/>
            </w:tcBorders>
            <w:vAlign w:val="center"/>
          </w:tcPr>
          <w:p w14:paraId="1A00BEF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响应文件页码</w:t>
            </w:r>
          </w:p>
        </w:tc>
      </w:tr>
      <w:tr w14:paraId="1B3A9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EDF4AF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87" w:type="dxa"/>
          </w:tcPr>
          <w:p w14:paraId="49C53BDC">
            <w:pPr>
              <w:jc w:val="center"/>
              <w:rPr>
                <w:rFonts w:hint="eastAsia" w:ascii="宋体" w:hAnsi="宋体" w:eastAsia="宋体" w:cs="宋体"/>
                <w:color w:val="auto"/>
                <w:sz w:val="24"/>
                <w:szCs w:val="24"/>
                <w:highlight w:val="none"/>
              </w:rPr>
            </w:pPr>
          </w:p>
        </w:tc>
        <w:tc>
          <w:tcPr>
            <w:tcW w:w="1462" w:type="dxa"/>
          </w:tcPr>
          <w:p w14:paraId="2BAEBF4F">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7650F784">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202A3738">
            <w:pPr>
              <w:jc w:val="center"/>
              <w:rPr>
                <w:rFonts w:hint="eastAsia" w:ascii="宋体" w:hAnsi="宋体" w:eastAsia="宋体" w:cs="宋体"/>
                <w:color w:val="auto"/>
                <w:sz w:val="24"/>
                <w:szCs w:val="24"/>
                <w:highlight w:val="none"/>
              </w:rPr>
            </w:pPr>
          </w:p>
        </w:tc>
      </w:tr>
      <w:tr w14:paraId="39DCF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95A00A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87" w:type="dxa"/>
          </w:tcPr>
          <w:p w14:paraId="7162579E">
            <w:pPr>
              <w:jc w:val="center"/>
              <w:rPr>
                <w:rFonts w:hint="eastAsia" w:ascii="宋体" w:hAnsi="宋体" w:eastAsia="宋体" w:cs="宋体"/>
                <w:color w:val="auto"/>
                <w:sz w:val="24"/>
                <w:szCs w:val="24"/>
                <w:highlight w:val="none"/>
              </w:rPr>
            </w:pPr>
          </w:p>
        </w:tc>
        <w:tc>
          <w:tcPr>
            <w:tcW w:w="1462" w:type="dxa"/>
          </w:tcPr>
          <w:p w14:paraId="436DC51E">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24233242">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44AC4509">
            <w:pPr>
              <w:jc w:val="center"/>
              <w:rPr>
                <w:rFonts w:hint="eastAsia" w:ascii="宋体" w:hAnsi="宋体" w:eastAsia="宋体" w:cs="宋体"/>
                <w:color w:val="auto"/>
                <w:sz w:val="24"/>
                <w:szCs w:val="24"/>
                <w:highlight w:val="none"/>
              </w:rPr>
            </w:pPr>
          </w:p>
        </w:tc>
      </w:tr>
      <w:tr w14:paraId="1634F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A08563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87" w:type="dxa"/>
          </w:tcPr>
          <w:p w14:paraId="4308E1FD">
            <w:pPr>
              <w:jc w:val="center"/>
              <w:rPr>
                <w:rFonts w:hint="eastAsia" w:ascii="宋体" w:hAnsi="宋体" w:eastAsia="宋体" w:cs="宋体"/>
                <w:color w:val="auto"/>
                <w:sz w:val="24"/>
                <w:szCs w:val="24"/>
                <w:highlight w:val="none"/>
              </w:rPr>
            </w:pPr>
          </w:p>
        </w:tc>
        <w:tc>
          <w:tcPr>
            <w:tcW w:w="1462" w:type="dxa"/>
          </w:tcPr>
          <w:p w14:paraId="33A4DB30">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5B994653">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7F564CBC">
            <w:pPr>
              <w:jc w:val="center"/>
              <w:rPr>
                <w:rFonts w:hint="eastAsia" w:ascii="宋体" w:hAnsi="宋体" w:eastAsia="宋体" w:cs="宋体"/>
                <w:color w:val="auto"/>
                <w:sz w:val="24"/>
                <w:szCs w:val="24"/>
                <w:highlight w:val="none"/>
              </w:rPr>
            </w:pPr>
          </w:p>
        </w:tc>
      </w:tr>
      <w:tr w14:paraId="69B1A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F0E9CC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87" w:type="dxa"/>
          </w:tcPr>
          <w:p w14:paraId="0ABCB3B7">
            <w:pPr>
              <w:jc w:val="center"/>
              <w:rPr>
                <w:rFonts w:hint="eastAsia" w:ascii="宋体" w:hAnsi="宋体" w:eastAsia="宋体" w:cs="宋体"/>
                <w:color w:val="auto"/>
                <w:sz w:val="24"/>
                <w:szCs w:val="24"/>
                <w:highlight w:val="none"/>
              </w:rPr>
            </w:pPr>
          </w:p>
        </w:tc>
        <w:tc>
          <w:tcPr>
            <w:tcW w:w="1462" w:type="dxa"/>
          </w:tcPr>
          <w:p w14:paraId="55A30C46">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3F660949">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2AD2718E">
            <w:pPr>
              <w:jc w:val="center"/>
              <w:rPr>
                <w:rFonts w:hint="eastAsia" w:ascii="宋体" w:hAnsi="宋体" w:eastAsia="宋体" w:cs="宋体"/>
                <w:color w:val="auto"/>
                <w:sz w:val="24"/>
                <w:szCs w:val="24"/>
                <w:highlight w:val="none"/>
              </w:rPr>
            </w:pPr>
          </w:p>
        </w:tc>
      </w:tr>
      <w:tr w14:paraId="76887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0C098D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87" w:type="dxa"/>
          </w:tcPr>
          <w:p w14:paraId="44965707">
            <w:pPr>
              <w:jc w:val="center"/>
              <w:rPr>
                <w:rFonts w:hint="eastAsia" w:ascii="宋体" w:hAnsi="宋体" w:eastAsia="宋体" w:cs="宋体"/>
                <w:color w:val="auto"/>
                <w:sz w:val="24"/>
                <w:szCs w:val="24"/>
                <w:highlight w:val="none"/>
              </w:rPr>
            </w:pPr>
          </w:p>
        </w:tc>
        <w:tc>
          <w:tcPr>
            <w:tcW w:w="1462" w:type="dxa"/>
          </w:tcPr>
          <w:p w14:paraId="245346C2">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3FE0841C">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20B09E02">
            <w:pPr>
              <w:jc w:val="center"/>
              <w:rPr>
                <w:rFonts w:hint="eastAsia" w:ascii="宋体" w:hAnsi="宋体" w:eastAsia="宋体" w:cs="宋体"/>
                <w:color w:val="auto"/>
                <w:sz w:val="24"/>
                <w:szCs w:val="24"/>
                <w:highlight w:val="none"/>
              </w:rPr>
            </w:pPr>
          </w:p>
        </w:tc>
      </w:tr>
      <w:tr w14:paraId="1DE3C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949458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387" w:type="dxa"/>
          </w:tcPr>
          <w:p w14:paraId="69DB879E">
            <w:pPr>
              <w:jc w:val="center"/>
              <w:rPr>
                <w:rFonts w:hint="eastAsia" w:ascii="宋体" w:hAnsi="宋体" w:eastAsia="宋体" w:cs="宋体"/>
                <w:color w:val="auto"/>
                <w:sz w:val="24"/>
                <w:szCs w:val="24"/>
                <w:highlight w:val="none"/>
              </w:rPr>
            </w:pPr>
          </w:p>
        </w:tc>
        <w:tc>
          <w:tcPr>
            <w:tcW w:w="1462" w:type="dxa"/>
          </w:tcPr>
          <w:p w14:paraId="670E37CC">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2FFEFC2C">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59A34DAB">
            <w:pPr>
              <w:jc w:val="center"/>
              <w:rPr>
                <w:rFonts w:hint="eastAsia" w:ascii="宋体" w:hAnsi="宋体" w:eastAsia="宋体" w:cs="宋体"/>
                <w:color w:val="auto"/>
                <w:sz w:val="24"/>
                <w:szCs w:val="24"/>
                <w:highlight w:val="none"/>
              </w:rPr>
            </w:pPr>
          </w:p>
        </w:tc>
      </w:tr>
      <w:tr w14:paraId="631CD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D41E75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387" w:type="dxa"/>
          </w:tcPr>
          <w:p w14:paraId="0E2E3AC5">
            <w:pPr>
              <w:jc w:val="center"/>
              <w:rPr>
                <w:rFonts w:hint="eastAsia" w:ascii="宋体" w:hAnsi="宋体" w:eastAsia="宋体" w:cs="宋体"/>
                <w:color w:val="auto"/>
                <w:sz w:val="24"/>
                <w:szCs w:val="24"/>
                <w:highlight w:val="none"/>
              </w:rPr>
            </w:pPr>
          </w:p>
        </w:tc>
        <w:tc>
          <w:tcPr>
            <w:tcW w:w="1462" w:type="dxa"/>
          </w:tcPr>
          <w:p w14:paraId="5844FB1D">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3464BBEE">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5D1D0321">
            <w:pPr>
              <w:jc w:val="center"/>
              <w:rPr>
                <w:rFonts w:hint="eastAsia" w:ascii="宋体" w:hAnsi="宋体" w:eastAsia="宋体" w:cs="宋体"/>
                <w:color w:val="auto"/>
                <w:sz w:val="24"/>
                <w:szCs w:val="24"/>
                <w:highlight w:val="none"/>
              </w:rPr>
            </w:pPr>
          </w:p>
        </w:tc>
      </w:tr>
      <w:tr w14:paraId="034A4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84373F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87" w:type="dxa"/>
          </w:tcPr>
          <w:p w14:paraId="4C7A504C">
            <w:pPr>
              <w:jc w:val="center"/>
              <w:rPr>
                <w:rFonts w:hint="eastAsia" w:ascii="宋体" w:hAnsi="宋体" w:eastAsia="宋体" w:cs="宋体"/>
                <w:color w:val="auto"/>
                <w:sz w:val="24"/>
                <w:szCs w:val="24"/>
                <w:highlight w:val="none"/>
              </w:rPr>
            </w:pPr>
          </w:p>
        </w:tc>
        <w:tc>
          <w:tcPr>
            <w:tcW w:w="1462" w:type="dxa"/>
          </w:tcPr>
          <w:p w14:paraId="3A7FD7E9">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0DB13063">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06F633D1">
            <w:pPr>
              <w:jc w:val="center"/>
              <w:rPr>
                <w:rFonts w:hint="eastAsia" w:ascii="宋体" w:hAnsi="宋体" w:eastAsia="宋体" w:cs="宋体"/>
                <w:color w:val="auto"/>
                <w:sz w:val="24"/>
                <w:szCs w:val="24"/>
                <w:highlight w:val="none"/>
              </w:rPr>
            </w:pPr>
          </w:p>
        </w:tc>
      </w:tr>
      <w:tr w14:paraId="2A7AF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31A445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387" w:type="dxa"/>
          </w:tcPr>
          <w:p w14:paraId="7D3C5A8C">
            <w:pPr>
              <w:jc w:val="center"/>
              <w:rPr>
                <w:rFonts w:hint="eastAsia" w:ascii="宋体" w:hAnsi="宋体" w:eastAsia="宋体" w:cs="宋体"/>
                <w:color w:val="auto"/>
                <w:sz w:val="24"/>
                <w:szCs w:val="24"/>
                <w:highlight w:val="none"/>
              </w:rPr>
            </w:pPr>
          </w:p>
        </w:tc>
        <w:tc>
          <w:tcPr>
            <w:tcW w:w="1462" w:type="dxa"/>
          </w:tcPr>
          <w:p w14:paraId="69634FBF">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1585B89A">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7E1877D5">
            <w:pPr>
              <w:jc w:val="center"/>
              <w:rPr>
                <w:rFonts w:hint="eastAsia" w:ascii="宋体" w:hAnsi="宋体" w:eastAsia="宋体" w:cs="宋体"/>
                <w:color w:val="auto"/>
                <w:sz w:val="24"/>
                <w:szCs w:val="24"/>
                <w:highlight w:val="none"/>
              </w:rPr>
            </w:pPr>
          </w:p>
        </w:tc>
      </w:tr>
    </w:tbl>
    <w:p w14:paraId="25E7F097">
      <w:pPr>
        <w:spacing w:line="360" w:lineRule="auto"/>
        <w:rPr>
          <w:rFonts w:hint="eastAsia" w:ascii="宋体" w:hAnsi="宋体" w:eastAsia="宋体" w:cs="宋体"/>
          <w:color w:val="auto"/>
          <w:sz w:val="24"/>
          <w:szCs w:val="24"/>
          <w:highlight w:val="none"/>
        </w:rPr>
      </w:pPr>
    </w:p>
    <w:p w14:paraId="549654C6">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4ABEC67D">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519949E">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375D0F7F">
      <w:pPr>
        <w:snapToGrid w:val="0"/>
        <w:spacing w:before="50" w:afterLines="5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zh-CN"/>
        </w:rPr>
        <w:t>：</w:t>
      </w:r>
    </w:p>
    <w:p w14:paraId="04E8B45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投标项目明细清单</w:t>
      </w:r>
    </w:p>
    <w:p w14:paraId="18461EEB">
      <w:pPr>
        <w:spacing w:line="360" w:lineRule="auto"/>
        <w:ind w:firstLine="480" w:firstLineChars="200"/>
        <w:rPr>
          <w:rFonts w:hint="eastAsia" w:ascii="宋体" w:hAnsi="宋体" w:eastAsia="宋体" w:cs="宋体"/>
          <w:color w:val="auto"/>
          <w:sz w:val="24"/>
          <w:szCs w:val="24"/>
          <w:highlight w:val="none"/>
        </w:rPr>
      </w:pPr>
    </w:p>
    <w:p w14:paraId="630A08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7432C5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5"/>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5045B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137AC60E">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564AC1F9">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30A1F5A7">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12E21E1D">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工作量</w:t>
            </w:r>
          </w:p>
        </w:tc>
      </w:tr>
      <w:tr w14:paraId="63A49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1EF6C32D">
            <w:pP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BF47B35">
            <w:pP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037990AF">
            <w:pPr>
              <w:snapToGrid w:val="0"/>
              <w:spacing w:before="50" w:after="50"/>
              <w:ind w:left="480" w:hanging="480"/>
              <w:jc w:val="center"/>
              <w:rPr>
                <w:rFonts w:hint="eastAsia"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129CD315">
            <w:pPr>
              <w:snapToGrid w:val="0"/>
              <w:spacing w:before="50" w:after="50"/>
              <w:jc w:val="center"/>
              <w:rPr>
                <w:rFonts w:hint="eastAsia" w:ascii="宋体" w:hAnsi="宋体" w:eastAsia="宋体" w:cs="宋体"/>
                <w:color w:val="auto"/>
                <w:sz w:val="24"/>
                <w:szCs w:val="24"/>
                <w:highlight w:val="none"/>
              </w:rPr>
            </w:pPr>
          </w:p>
        </w:tc>
      </w:tr>
      <w:tr w14:paraId="02839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632D826F">
            <w:pP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A03C4F5">
            <w:pP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6E1A27A5">
            <w:pPr>
              <w:snapToGrid w:val="0"/>
              <w:spacing w:before="50" w:after="50"/>
              <w:ind w:left="480" w:hanging="480"/>
              <w:jc w:val="center"/>
              <w:rPr>
                <w:rFonts w:hint="eastAsia"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6AF0D3AA">
            <w:pPr>
              <w:snapToGrid w:val="0"/>
              <w:spacing w:before="50" w:after="50"/>
              <w:jc w:val="center"/>
              <w:rPr>
                <w:rFonts w:hint="eastAsia" w:ascii="宋体" w:hAnsi="宋体" w:eastAsia="宋体" w:cs="宋体"/>
                <w:color w:val="auto"/>
                <w:sz w:val="24"/>
                <w:szCs w:val="24"/>
                <w:highlight w:val="none"/>
              </w:rPr>
            </w:pPr>
          </w:p>
        </w:tc>
      </w:tr>
    </w:tbl>
    <w:p w14:paraId="2555272F">
      <w:pPr>
        <w:snapToGrid w:val="0"/>
        <w:spacing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注：在填写时，如上表不适合本项目的实际情况，可在确保投标明细内容完整的情况下，根据上表格式自行划表填写。</w:t>
      </w:r>
    </w:p>
    <w:p w14:paraId="41993FC8">
      <w:pPr>
        <w:pStyle w:val="11"/>
        <w:rPr>
          <w:rFonts w:hint="eastAsia" w:ascii="宋体" w:hAnsi="宋体" w:eastAsia="宋体" w:cs="宋体"/>
          <w:color w:val="auto"/>
          <w:highlight w:val="none"/>
        </w:rPr>
      </w:pPr>
    </w:p>
    <w:p w14:paraId="7DA46D71">
      <w:pPr>
        <w:pStyle w:val="11"/>
        <w:rPr>
          <w:rFonts w:hint="eastAsia" w:ascii="宋体" w:hAnsi="宋体" w:eastAsia="宋体" w:cs="宋体"/>
          <w:color w:val="auto"/>
          <w:highlight w:val="none"/>
        </w:rPr>
      </w:pPr>
    </w:p>
    <w:p w14:paraId="13BBCA05">
      <w:pPr>
        <w:pStyle w:val="11"/>
        <w:rPr>
          <w:rFonts w:hint="eastAsia" w:ascii="宋体" w:hAnsi="宋体" w:eastAsia="宋体" w:cs="宋体"/>
          <w:color w:val="auto"/>
          <w:highlight w:val="none"/>
        </w:rPr>
      </w:pPr>
    </w:p>
    <w:p w14:paraId="66EE1A32">
      <w:pPr>
        <w:snapToGrid w:val="0"/>
        <w:spacing w:beforeLines="50"/>
        <w:rPr>
          <w:rFonts w:hint="eastAsia" w:ascii="宋体" w:hAnsi="宋体" w:eastAsia="宋体" w:cs="宋体"/>
          <w:color w:val="auto"/>
          <w:sz w:val="24"/>
          <w:szCs w:val="24"/>
          <w:highlight w:val="none"/>
        </w:rPr>
      </w:pPr>
    </w:p>
    <w:p w14:paraId="7DE69304">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04BBC58B">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B455892">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6FA3B70C">
      <w:pPr>
        <w:snapToGrid w:val="0"/>
        <w:spacing w:before="50" w:after="50"/>
        <w:rPr>
          <w:rFonts w:hint="eastAsia" w:ascii="宋体" w:hAnsi="宋体" w:eastAsia="宋体" w:cs="宋体"/>
          <w:color w:val="auto"/>
          <w:spacing w:val="20"/>
          <w:sz w:val="24"/>
          <w:szCs w:val="24"/>
          <w:highlight w:val="none"/>
        </w:rPr>
      </w:pPr>
    </w:p>
    <w:p w14:paraId="79616812">
      <w:pPr>
        <w:snapToGrid w:val="0"/>
        <w:spacing w:before="50" w:after="50"/>
        <w:rPr>
          <w:rFonts w:hint="eastAsia" w:ascii="宋体" w:hAnsi="宋体" w:eastAsia="宋体" w:cs="宋体"/>
          <w:color w:val="auto"/>
          <w:spacing w:val="20"/>
          <w:sz w:val="30"/>
          <w:szCs w:val="30"/>
          <w:highlight w:val="none"/>
        </w:rPr>
      </w:pPr>
    </w:p>
    <w:p w14:paraId="769D9C73">
      <w:pPr>
        <w:pStyle w:val="11"/>
        <w:ind w:firstLine="686"/>
        <w:rPr>
          <w:rFonts w:hint="eastAsia" w:ascii="宋体" w:hAnsi="宋体" w:eastAsia="宋体" w:cs="宋体"/>
          <w:color w:val="auto"/>
          <w:spacing w:val="20"/>
          <w:sz w:val="30"/>
          <w:szCs w:val="30"/>
          <w:highlight w:val="none"/>
        </w:rPr>
      </w:pPr>
    </w:p>
    <w:p w14:paraId="7D65D889">
      <w:pPr>
        <w:pStyle w:val="11"/>
        <w:ind w:firstLine="686"/>
        <w:rPr>
          <w:rFonts w:hint="eastAsia" w:ascii="宋体" w:hAnsi="宋体" w:eastAsia="宋体" w:cs="宋体"/>
          <w:color w:val="auto"/>
          <w:spacing w:val="20"/>
          <w:sz w:val="30"/>
          <w:szCs w:val="30"/>
          <w:highlight w:val="none"/>
        </w:rPr>
        <w:sectPr>
          <w:footerReference r:id="rId5" w:type="default"/>
          <w:pgSz w:w="11906" w:h="16838"/>
          <w:pgMar w:top="1440" w:right="1803" w:bottom="1440" w:left="1803" w:header="851" w:footer="992" w:gutter="0"/>
          <w:cols w:space="0" w:num="1"/>
          <w:docGrid w:type="lines" w:linePitch="325" w:charSpace="0"/>
        </w:sectPr>
      </w:pPr>
    </w:p>
    <w:p w14:paraId="1CA0F89D">
      <w:pPr>
        <w:rPr>
          <w:rFonts w:hint="eastAsia" w:ascii="宋体" w:hAnsi="宋体" w:eastAsia="宋体" w:cs="宋体"/>
          <w:b/>
          <w:bCs/>
          <w:color w:val="auto"/>
          <w:sz w:val="24"/>
          <w:szCs w:val="24"/>
          <w:highlight w:val="none"/>
        </w:rPr>
      </w:pPr>
      <w:bookmarkStart w:id="107" w:name="_Toc2823"/>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p>
    <w:p w14:paraId="2ED0F9DF">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技术响应及建议表</w:t>
      </w:r>
      <w:bookmarkEnd w:id="107"/>
    </w:p>
    <w:p w14:paraId="70ADB5E5">
      <w:pPr>
        <w:spacing w:line="360" w:lineRule="auto"/>
        <w:ind w:firstLine="480" w:firstLineChars="200"/>
        <w:rPr>
          <w:rFonts w:hint="eastAsia" w:ascii="宋体" w:hAnsi="宋体" w:eastAsia="宋体" w:cs="宋体"/>
          <w:color w:val="auto"/>
          <w:sz w:val="24"/>
          <w:szCs w:val="24"/>
          <w:highlight w:val="none"/>
        </w:rPr>
      </w:pPr>
    </w:p>
    <w:p w14:paraId="11A05F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4C190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488E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B6F6126">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40" w:type="dxa"/>
            <w:vAlign w:val="center"/>
          </w:tcPr>
          <w:p w14:paraId="4A402C2C">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980" w:type="dxa"/>
            <w:vAlign w:val="center"/>
          </w:tcPr>
          <w:p w14:paraId="11F13C3A">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w:t>
            </w:r>
          </w:p>
        </w:tc>
        <w:tc>
          <w:tcPr>
            <w:tcW w:w="2520" w:type="dxa"/>
            <w:vAlign w:val="center"/>
          </w:tcPr>
          <w:p w14:paraId="0FF7D233">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w:t>
            </w:r>
          </w:p>
        </w:tc>
        <w:tc>
          <w:tcPr>
            <w:tcW w:w="1953" w:type="dxa"/>
            <w:vAlign w:val="center"/>
          </w:tcPr>
          <w:p w14:paraId="39F9B12B">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w:t>
            </w:r>
          </w:p>
        </w:tc>
      </w:tr>
      <w:tr w14:paraId="75D5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41B059E">
            <w:pP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5EAD7097">
            <w:pP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32AA17C3">
            <w:pP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0A1E9528">
            <w:pP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50A4F4AB">
            <w:pPr>
              <w:snapToGrid w:val="0"/>
              <w:spacing w:before="50" w:after="50"/>
              <w:jc w:val="center"/>
              <w:rPr>
                <w:rFonts w:hint="eastAsia" w:ascii="宋体" w:hAnsi="宋体" w:eastAsia="宋体" w:cs="宋体"/>
                <w:color w:val="auto"/>
                <w:sz w:val="24"/>
                <w:szCs w:val="24"/>
                <w:highlight w:val="none"/>
              </w:rPr>
            </w:pPr>
          </w:p>
        </w:tc>
      </w:tr>
      <w:tr w14:paraId="5B1E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F662B18">
            <w:pP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1E8131AB">
            <w:pP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5952E315">
            <w:pP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0F1E35DF">
            <w:pP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1B2DDF05">
            <w:pPr>
              <w:snapToGrid w:val="0"/>
              <w:spacing w:before="50" w:after="50"/>
              <w:jc w:val="center"/>
              <w:rPr>
                <w:rFonts w:hint="eastAsia" w:ascii="宋体" w:hAnsi="宋体" w:eastAsia="宋体" w:cs="宋体"/>
                <w:color w:val="auto"/>
                <w:sz w:val="24"/>
                <w:szCs w:val="24"/>
                <w:highlight w:val="none"/>
              </w:rPr>
            </w:pPr>
          </w:p>
        </w:tc>
      </w:tr>
      <w:tr w14:paraId="1F32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AEB55CA">
            <w:pP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0B2D1207">
            <w:pP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6BD07534">
            <w:pP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38410926">
            <w:pP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2CEDB073">
            <w:pPr>
              <w:snapToGrid w:val="0"/>
              <w:spacing w:before="50" w:after="50"/>
              <w:jc w:val="center"/>
              <w:rPr>
                <w:rFonts w:hint="eastAsia" w:ascii="宋体" w:hAnsi="宋体" w:eastAsia="宋体" w:cs="宋体"/>
                <w:color w:val="auto"/>
                <w:sz w:val="24"/>
                <w:szCs w:val="24"/>
                <w:highlight w:val="none"/>
              </w:rPr>
            </w:pPr>
          </w:p>
        </w:tc>
      </w:tr>
      <w:tr w14:paraId="38B3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0EF7862">
            <w:pP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19CC1962">
            <w:pP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1A257F09">
            <w:pP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43D3588A">
            <w:pP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615CCDDB">
            <w:pPr>
              <w:snapToGrid w:val="0"/>
              <w:spacing w:before="50" w:after="50"/>
              <w:jc w:val="center"/>
              <w:rPr>
                <w:rFonts w:hint="eastAsia" w:ascii="宋体" w:hAnsi="宋体" w:eastAsia="宋体" w:cs="宋体"/>
                <w:color w:val="auto"/>
                <w:sz w:val="24"/>
                <w:szCs w:val="24"/>
                <w:highlight w:val="none"/>
              </w:rPr>
            </w:pPr>
          </w:p>
        </w:tc>
      </w:tr>
      <w:tr w14:paraId="5138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3D85D5C">
            <w:pP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04AD09CA">
            <w:pP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233D518A">
            <w:pP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1C59EEBF">
            <w:pP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47C13ABC">
            <w:pPr>
              <w:snapToGrid w:val="0"/>
              <w:spacing w:before="50" w:after="50"/>
              <w:jc w:val="center"/>
              <w:rPr>
                <w:rFonts w:hint="eastAsia" w:ascii="宋体" w:hAnsi="宋体" w:eastAsia="宋体" w:cs="宋体"/>
                <w:color w:val="auto"/>
                <w:sz w:val="24"/>
                <w:szCs w:val="24"/>
                <w:highlight w:val="none"/>
              </w:rPr>
            </w:pPr>
          </w:p>
        </w:tc>
      </w:tr>
      <w:tr w14:paraId="3C94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77B52248">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投标建议</w:t>
            </w:r>
          </w:p>
        </w:tc>
        <w:tc>
          <w:tcPr>
            <w:tcW w:w="6453" w:type="dxa"/>
            <w:gridSpan w:val="3"/>
            <w:vAlign w:val="center"/>
          </w:tcPr>
          <w:p w14:paraId="73CD9218">
            <w:pPr>
              <w:spacing w:line="360" w:lineRule="auto"/>
              <w:jc w:val="center"/>
              <w:rPr>
                <w:rFonts w:hint="eastAsia" w:ascii="宋体" w:hAnsi="宋体" w:eastAsia="宋体" w:cs="宋体"/>
                <w:color w:val="auto"/>
                <w:sz w:val="24"/>
                <w:szCs w:val="24"/>
                <w:highlight w:val="none"/>
              </w:rPr>
            </w:pPr>
          </w:p>
        </w:tc>
      </w:tr>
    </w:tbl>
    <w:p w14:paraId="4AF168B7">
      <w:pPr>
        <w:snapToGrid w:val="0"/>
        <w:spacing w:line="360" w:lineRule="auto"/>
        <w:rPr>
          <w:rFonts w:hint="eastAsia" w:ascii="宋体" w:hAnsi="宋体" w:eastAsia="宋体" w:cs="宋体"/>
          <w:color w:val="auto"/>
          <w:sz w:val="24"/>
          <w:szCs w:val="24"/>
          <w:highlight w:val="none"/>
        </w:rPr>
      </w:pPr>
    </w:p>
    <w:p w14:paraId="7DD53829">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注：名称可基于项目清单根据供应商实际情况调整。</w:t>
      </w:r>
    </w:p>
    <w:p w14:paraId="2622E7B5">
      <w:pPr>
        <w:rPr>
          <w:rFonts w:hint="eastAsia" w:ascii="宋体" w:hAnsi="宋体" w:eastAsia="宋体" w:cs="宋体"/>
          <w:color w:val="auto"/>
          <w:sz w:val="24"/>
          <w:szCs w:val="24"/>
          <w:highlight w:val="none"/>
        </w:rPr>
      </w:pPr>
    </w:p>
    <w:p w14:paraId="5203BC39">
      <w:pPr>
        <w:pStyle w:val="11"/>
        <w:rPr>
          <w:rFonts w:hint="eastAsia" w:ascii="宋体" w:hAnsi="宋体" w:eastAsia="宋体" w:cs="宋体"/>
          <w:color w:val="auto"/>
          <w:highlight w:val="none"/>
        </w:rPr>
      </w:pPr>
    </w:p>
    <w:p w14:paraId="3E5BC033">
      <w:pPr>
        <w:snapToGrid w:val="0"/>
        <w:spacing w:line="360" w:lineRule="auto"/>
        <w:rPr>
          <w:rFonts w:hint="eastAsia" w:ascii="宋体" w:hAnsi="宋体" w:eastAsia="宋体" w:cs="宋体"/>
          <w:color w:val="auto"/>
          <w:sz w:val="24"/>
          <w:szCs w:val="24"/>
          <w:highlight w:val="none"/>
        </w:rPr>
      </w:pPr>
    </w:p>
    <w:p w14:paraId="446373EB">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0B2D226B">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9E4653D">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18BB5C0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1F6D6AC">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w:t>
      </w:r>
    </w:p>
    <w:p w14:paraId="675F613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商务响应表</w:t>
      </w:r>
    </w:p>
    <w:p w14:paraId="273672A7">
      <w:pPr>
        <w:snapToGrid w:val="0"/>
        <w:spacing w:before="50"/>
        <w:jc w:val="center"/>
        <w:rPr>
          <w:rFonts w:hint="eastAsia" w:ascii="宋体" w:hAnsi="宋体" w:eastAsia="宋体" w:cs="宋体"/>
          <w:b/>
          <w:bCs/>
          <w:color w:val="auto"/>
          <w:sz w:val="32"/>
          <w:szCs w:val="32"/>
          <w:highlight w:val="none"/>
        </w:rPr>
      </w:pPr>
    </w:p>
    <w:p w14:paraId="7AF486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65EA72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5"/>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3F817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7A94C72">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13D96F64">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5B5F5ED8">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w:t>
            </w:r>
          </w:p>
          <w:p w14:paraId="26DB4672">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p>
        </w:tc>
        <w:tc>
          <w:tcPr>
            <w:tcW w:w="3020" w:type="dxa"/>
            <w:tcBorders>
              <w:top w:val="single" w:color="auto" w:sz="4" w:space="0"/>
              <w:left w:val="single" w:color="auto" w:sz="4" w:space="0"/>
              <w:bottom w:val="single" w:color="auto" w:sz="4" w:space="0"/>
            </w:tcBorders>
            <w:vAlign w:val="center"/>
          </w:tcPr>
          <w:p w14:paraId="595A4344">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供应商的承诺或说明</w:t>
            </w:r>
          </w:p>
        </w:tc>
      </w:tr>
      <w:tr w14:paraId="3B771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EE71E13">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3C615FC9">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398525">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29D03CFA">
            <w:pPr>
              <w:snapToGrid w:val="0"/>
              <w:spacing w:before="50" w:after="50"/>
              <w:jc w:val="center"/>
              <w:rPr>
                <w:rFonts w:hint="eastAsia" w:ascii="宋体" w:hAnsi="宋体" w:eastAsia="宋体" w:cs="宋体"/>
                <w:color w:val="auto"/>
                <w:sz w:val="24"/>
                <w:szCs w:val="24"/>
                <w:highlight w:val="none"/>
              </w:rPr>
            </w:pPr>
          </w:p>
        </w:tc>
      </w:tr>
      <w:tr w14:paraId="0261A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4625889">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16BAD407">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044BA84">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67B505B1">
            <w:pPr>
              <w:snapToGrid w:val="0"/>
              <w:spacing w:before="50" w:after="50"/>
              <w:jc w:val="center"/>
              <w:rPr>
                <w:rFonts w:hint="eastAsia" w:ascii="宋体" w:hAnsi="宋体" w:eastAsia="宋体" w:cs="宋体"/>
                <w:color w:val="auto"/>
                <w:sz w:val="24"/>
                <w:szCs w:val="24"/>
                <w:highlight w:val="none"/>
              </w:rPr>
            </w:pPr>
          </w:p>
        </w:tc>
      </w:tr>
      <w:tr w14:paraId="49186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323F85C">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2E91D2AA">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0929F23">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08D5F4D2">
            <w:pPr>
              <w:snapToGrid w:val="0"/>
              <w:spacing w:before="50" w:after="50"/>
              <w:jc w:val="center"/>
              <w:rPr>
                <w:rFonts w:hint="eastAsia" w:ascii="宋体" w:hAnsi="宋体" w:eastAsia="宋体" w:cs="宋体"/>
                <w:color w:val="auto"/>
                <w:sz w:val="24"/>
                <w:szCs w:val="24"/>
                <w:highlight w:val="none"/>
              </w:rPr>
            </w:pPr>
          </w:p>
        </w:tc>
      </w:tr>
      <w:tr w14:paraId="7D4DF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79018579">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项目维护计划</w:t>
            </w:r>
          </w:p>
        </w:tc>
        <w:tc>
          <w:tcPr>
            <w:tcW w:w="2700" w:type="dxa"/>
            <w:tcBorders>
              <w:top w:val="single" w:color="auto" w:sz="4" w:space="0"/>
              <w:left w:val="single" w:color="auto" w:sz="4" w:space="0"/>
              <w:bottom w:val="single" w:color="auto" w:sz="4" w:space="0"/>
              <w:right w:val="single" w:color="auto" w:sz="4" w:space="0"/>
            </w:tcBorders>
            <w:vAlign w:val="center"/>
          </w:tcPr>
          <w:p w14:paraId="068F5D88">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E10290">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68301741">
            <w:pPr>
              <w:snapToGrid w:val="0"/>
              <w:spacing w:before="50" w:after="50"/>
              <w:jc w:val="center"/>
              <w:rPr>
                <w:rFonts w:hint="eastAsia" w:ascii="宋体" w:hAnsi="宋体" w:eastAsia="宋体" w:cs="宋体"/>
                <w:color w:val="auto"/>
                <w:sz w:val="24"/>
                <w:szCs w:val="24"/>
                <w:highlight w:val="none"/>
              </w:rPr>
            </w:pPr>
          </w:p>
        </w:tc>
      </w:tr>
      <w:tr w14:paraId="3E2E7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6A58FEF">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14:paraId="68B04F27">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08563B">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3912020D">
            <w:pPr>
              <w:snapToGrid w:val="0"/>
              <w:spacing w:before="50" w:after="50"/>
              <w:jc w:val="center"/>
              <w:rPr>
                <w:rFonts w:hint="eastAsia" w:ascii="宋体" w:hAnsi="宋体" w:eastAsia="宋体" w:cs="宋体"/>
                <w:color w:val="auto"/>
                <w:sz w:val="24"/>
                <w:szCs w:val="24"/>
                <w:highlight w:val="none"/>
              </w:rPr>
            </w:pPr>
          </w:p>
        </w:tc>
      </w:tr>
      <w:tr w14:paraId="6EB27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7B5F6F0">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技术培训</w:t>
            </w:r>
          </w:p>
        </w:tc>
        <w:tc>
          <w:tcPr>
            <w:tcW w:w="2700" w:type="dxa"/>
            <w:tcBorders>
              <w:top w:val="single" w:color="auto" w:sz="4" w:space="0"/>
              <w:left w:val="single" w:color="auto" w:sz="4" w:space="0"/>
              <w:bottom w:val="single" w:color="auto" w:sz="4" w:space="0"/>
              <w:right w:val="single" w:color="auto" w:sz="4" w:space="0"/>
            </w:tcBorders>
            <w:vAlign w:val="center"/>
          </w:tcPr>
          <w:p w14:paraId="48DC52D5">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B0B6E18">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13E999B2">
            <w:pPr>
              <w:snapToGrid w:val="0"/>
              <w:spacing w:before="50" w:after="50"/>
              <w:jc w:val="center"/>
              <w:rPr>
                <w:rFonts w:hint="eastAsia" w:ascii="宋体" w:hAnsi="宋体" w:eastAsia="宋体" w:cs="宋体"/>
                <w:color w:val="auto"/>
                <w:sz w:val="24"/>
                <w:szCs w:val="24"/>
                <w:highlight w:val="none"/>
              </w:rPr>
            </w:pPr>
          </w:p>
        </w:tc>
      </w:tr>
      <w:tr w14:paraId="1EC4E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14:paraId="083B146C">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vAlign w:val="center"/>
          </w:tcPr>
          <w:p w14:paraId="74DB12EE">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D61659">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74B97CA6">
            <w:pPr>
              <w:snapToGrid w:val="0"/>
              <w:spacing w:before="50" w:after="50"/>
              <w:jc w:val="center"/>
              <w:rPr>
                <w:rFonts w:hint="eastAsia" w:ascii="宋体" w:hAnsi="宋体" w:eastAsia="宋体" w:cs="宋体"/>
                <w:color w:val="auto"/>
                <w:sz w:val="24"/>
                <w:szCs w:val="24"/>
                <w:highlight w:val="none"/>
              </w:rPr>
            </w:pPr>
          </w:p>
        </w:tc>
      </w:tr>
      <w:tr w14:paraId="14B31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49C0F504">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14:paraId="04D59351">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E91251">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D8874B8">
            <w:pPr>
              <w:snapToGrid w:val="0"/>
              <w:spacing w:before="50" w:after="50"/>
              <w:jc w:val="center"/>
              <w:rPr>
                <w:rFonts w:hint="eastAsia" w:ascii="宋体" w:hAnsi="宋体" w:eastAsia="宋体" w:cs="宋体"/>
                <w:color w:val="auto"/>
                <w:sz w:val="24"/>
                <w:szCs w:val="24"/>
                <w:highlight w:val="none"/>
              </w:rPr>
            </w:pPr>
          </w:p>
        </w:tc>
      </w:tr>
      <w:tr w14:paraId="40607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2314924">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14:paraId="1F1AC392">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47A1CF3">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096AF301">
            <w:pPr>
              <w:snapToGrid w:val="0"/>
              <w:spacing w:before="50" w:after="50"/>
              <w:jc w:val="center"/>
              <w:rPr>
                <w:rFonts w:hint="eastAsia" w:ascii="宋体" w:hAnsi="宋体" w:eastAsia="宋体" w:cs="宋体"/>
                <w:color w:val="auto"/>
                <w:sz w:val="24"/>
                <w:szCs w:val="24"/>
                <w:highlight w:val="none"/>
              </w:rPr>
            </w:pPr>
          </w:p>
        </w:tc>
      </w:tr>
      <w:tr w14:paraId="5F9AC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F04F0AC">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14:paraId="101FBB73">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DFA7EF1">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0EA41164">
            <w:pPr>
              <w:snapToGrid w:val="0"/>
              <w:spacing w:before="50" w:after="50"/>
              <w:jc w:val="center"/>
              <w:rPr>
                <w:rFonts w:hint="eastAsia" w:ascii="宋体" w:hAnsi="宋体" w:eastAsia="宋体" w:cs="宋体"/>
                <w:color w:val="auto"/>
                <w:sz w:val="24"/>
                <w:szCs w:val="24"/>
                <w:highlight w:val="none"/>
              </w:rPr>
            </w:pPr>
          </w:p>
        </w:tc>
      </w:tr>
    </w:tbl>
    <w:p w14:paraId="7FFAD5CF">
      <w:pPr>
        <w:spacing w:line="360" w:lineRule="auto"/>
        <w:ind w:left="3780" w:leftChars="1800" w:firstLine="480" w:firstLineChars="200"/>
        <w:rPr>
          <w:rFonts w:hint="eastAsia" w:ascii="宋体" w:hAnsi="宋体" w:eastAsia="宋体" w:cs="宋体"/>
          <w:color w:val="auto"/>
          <w:sz w:val="24"/>
          <w:szCs w:val="24"/>
          <w:highlight w:val="none"/>
        </w:rPr>
      </w:pPr>
    </w:p>
    <w:p w14:paraId="02C06EEE">
      <w:pPr>
        <w:spacing w:line="360" w:lineRule="auto"/>
        <w:ind w:left="3780" w:leftChars="1800" w:firstLine="480" w:firstLineChars="200"/>
        <w:rPr>
          <w:rFonts w:hint="eastAsia" w:ascii="宋体" w:hAnsi="宋体" w:eastAsia="宋体" w:cs="宋体"/>
          <w:color w:val="auto"/>
          <w:sz w:val="24"/>
          <w:szCs w:val="24"/>
          <w:highlight w:val="none"/>
        </w:rPr>
      </w:pPr>
    </w:p>
    <w:p w14:paraId="151A1F35">
      <w:pPr>
        <w:spacing w:line="360" w:lineRule="auto"/>
        <w:ind w:left="3780" w:leftChars="1800" w:firstLine="480" w:firstLineChars="200"/>
        <w:rPr>
          <w:rFonts w:hint="eastAsia" w:ascii="宋体" w:hAnsi="宋体" w:eastAsia="宋体" w:cs="宋体"/>
          <w:color w:val="auto"/>
          <w:sz w:val="24"/>
          <w:szCs w:val="24"/>
          <w:highlight w:val="none"/>
        </w:rPr>
      </w:pPr>
    </w:p>
    <w:p w14:paraId="21A8BCA9">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544958A6">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D92EFC5">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71876A8C">
      <w:pPr>
        <w:snapToGrid w:val="0"/>
        <w:spacing w:before="50" w:after="50"/>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lang w:val="zh-CN"/>
        </w:rPr>
        <w:t>：</w:t>
      </w:r>
    </w:p>
    <w:p w14:paraId="18BC060F">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项目组人员清单</w:t>
      </w:r>
    </w:p>
    <w:p w14:paraId="2B56617E">
      <w:pPr>
        <w:snapToGrid w:val="0"/>
        <w:spacing w:beforeLines="50" w:after="50"/>
        <w:jc w:val="center"/>
        <w:rPr>
          <w:rFonts w:hint="eastAsia" w:ascii="宋体" w:hAnsi="宋体" w:eastAsia="宋体" w:cs="宋体"/>
          <w:b/>
          <w:bCs/>
          <w:color w:val="auto"/>
          <w:sz w:val="30"/>
          <w:szCs w:val="30"/>
          <w:highlight w:val="none"/>
        </w:rPr>
      </w:pPr>
    </w:p>
    <w:p w14:paraId="676FEE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7F8719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5"/>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38177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778F0E53">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A3BA39E">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CFEB500">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73C8052F">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3AC39739">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3299233E">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劳动合同编号</w:t>
            </w:r>
          </w:p>
        </w:tc>
      </w:tr>
      <w:tr w14:paraId="411D1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669EFF7">
            <w:pPr>
              <w:snapToGrid w:val="0"/>
              <w:spacing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1F1F204">
            <w:pPr>
              <w:snapToGrid w:val="0"/>
              <w:spacing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BA2E33F">
            <w:pPr>
              <w:snapToGrid w:val="0"/>
              <w:spacing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24F00BB">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168D4EB">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4B036FF">
            <w:pPr>
              <w:snapToGrid w:val="0"/>
              <w:spacing w:beforeLines="50" w:after="50" w:line="460" w:lineRule="exact"/>
              <w:rPr>
                <w:rFonts w:hint="eastAsia" w:ascii="宋体" w:hAnsi="宋体" w:eastAsia="宋体" w:cs="宋体"/>
                <w:color w:val="auto"/>
                <w:sz w:val="24"/>
                <w:szCs w:val="24"/>
                <w:highlight w:val="none"/>
              </w:rPr>
            </w:pPr>
          </w:p>
        </w:tc>
      </w:tr>
      <w:tr w14:paraId="7A42A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4613E2D">
            <w:pPr>
              <w:snapToGrid w:val="0"/>
              <w:spacing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F97FD68">
            <w:pPr>
              <w:snapToGrid w:val="0"/>
              <w:spacing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0B260A9">
            <w:pPr>
              <w:snapToGrid w:val="0"/>
              <w:spacing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03668B5">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B2BD201">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7F0CE3F5">
            <w:pPr>
              <w:snapToGrid w:val="0"/>
              <w:spacing w:beforeLines="50" w:after="50" w:line="460" w:lineRule="exact"/>
              <w:rPr>
                <w:rFonts w:hint="eastAsia" w:ascii="宋体" w:hAnsi="宋体" w:eastAsia="宋体" w:cs="宋体"/>
                <w:color w:val="auto"/>
                <w:sz w:val="24"/>
                <w:szCs w:val="24"/>
                <w:highlight w:val="none"/>
              </w:rPr>
            </w:pPr>
          </w:p>
        </w:tc>
      </w:tr>
      <w:tr w14:paraId="494D1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E03F8A6">
            <w:pPr>
              <w:snapToGrid w:val="0"/>
              <w:spacing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4BBB0EE">
            <w:pPr>
              <w:snapToGrid w:val="0"/>
              <w:spacing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18E8250">
            <w:pPr>
              <w:pStyle w:val="13"/>
              <w:snapToGrid w:val="0"/>
              <w:spacing w:beforeLines="50" w:after="50" w:line="460" w:lineRule="exact"/>
              <w:ind w:left="5250"/>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27F4A9A3">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9B3C933">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0A3403A">
            <w:pPr>
              <w:snapToGrid w:val="0"/>
              <w:spacing w:beforeLines="50" w:after="50" w:line="460" w:lineRule="exact"/>
              <w:rPr>
                <w:rFonts w:hint="eastAsia" w:ascii="宋体" w:hAnsi="宋体" w:eastAsia="宋体" w:cs="宋体"/>
                <w:color w:val="auto"/>
                <w:sz w:val="24"/>
                <w:szCs w:val="24"/>
                <w:highlight w:val="none"/>
              </w:rPr>
            </w:pPr>
          </w:p>
        </w:tc>
      </w:tr>
      <w:tr w14:paraId="41EDF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B29C65C">
            <w:pPr>
              <w:snapToGrid w:val="0"/>
              <w:spacing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55D2BDB">
            <w:pPr>
              <w:snapToGrid w:val="0"/>
              <w:spacing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9066B12">
            <w:pPr>
              <w:snapToGrid w:val="0"/>
              <w:spacing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5D9914A">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61F50B7">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A37F858">
            <w:pPr>
              <w:snapToGrid w:val="0"/>
              <w:spacing w:beforeLines="50" w:after="50" w:line="460" w:lineRule="exact"/>
              <w:rPr>
                <w:rFonts w:hint="eastAsia" w:ascii="宋体" w:hAnsi="宋体" w:eastAsia="宋体" w:cs="宋体"/>
                <w:color w:val="auto"/>
                <w:sz w:val="24"/>
                <w:szCs w:val="24"/>
                <w:highlight w:val="none"/>
              </w:rPr>
            </w:pPr>
          </w:p>
        </w:tc>
      </w:tr>
      <w:tr w14:paraId="27437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D68053C">
            <w:pPr>
              <w:snapToGrid w:val="0"/>
              <w:spacing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BFEC510">
            <w:pPr>
              <w:snapToGrid w:val="0"/>
              <w:spacing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0940172">
            <w:pPr>
              <w:snapToGrid w:val="0"/>
              <w:spacing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9CC974A">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B68958A">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7A27D92">
            <w:pPr>
              <w:snapToGrid w:val="0"/>
              <w:spacing w:beforeLines="50" w:after="50" w:line="460" w:lineRule="exact"/>
              <w:rPr>
                <w:rFonts w:hint="eastAsia" w:ascii="宋体" w:hAnsi="宋体" w:eastAsia="宋体" w:cs="宋体"/>
                <w:color w:val="auto"/>
                <w:sz w:val="24"/>
                <w:szCs w:val="24"/>
                <w:highlight w:val="none"/>
              </w:rPr>
            </w:pPr>
          </w:p>
        </w:tc>
      </w:tr>
      <w:tr w14:paraId="75B97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F72BDF8">
            <w:pPr>
              <w:snapToGrid w:val="0"/>
              <w:spacing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7651C35">
            <w:pPr>
              <w:snapToGrid w:val="0"/>
              <w:spacing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24BD334">
            <w:pPr>
              <w:snapToGrid w:val="0"/>
              <w:spacing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7E545C3">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084F6D4">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39E34BB">
            <w:pPr>
              <w:snapToGrid w:val="0"/>
              <w:spacing w:beforeLines="50" w:after="50" w:line="460" w:lineRule="exact"/>
              <w:rPr>
                <w:rFonts w:hint="eastAsia" w:ascii="宋体" w:hAnsi="宋体" w:eastAsia="宋体" w:cs="宋体"/>
                <w:color w:val="auto"/>
                <w:sz w:val="24"/>
                <w:szCs w:val="24"/>
                <w:highlight w:val="none"/>
              </w:rPr>
            </w:pPr>
          </w:p>
        </w:tc>
      </w:tr>
      <w:tr w14:paraId="01C49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8849791">
            <w:pPr>
              <w:snapToGrid w:val="0"/>
              <w:spacing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D71F512">
            <w:pPr>
              <w:snapToGrid w:val="0"/>
              <w:spacing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94B8E96">
            <w:pPr>
              <w:snapToGrid w:val="0"/>
              <w:spacing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238859A">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1B01E3D">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4D5561D">
            <w:pPr>
              <w:snapToGrid w:val="0"/>
              <w:spacing w:beforeLines="50" w:after="50" w:line="460" w:lineRule="exact"/>
              <w:rPr>
                <w:rFonts w:hint="eastAsia" w:ascii="宋体" w:hAnsi="宋体" w:eastAsia="宋体" w:cs="宋体"/>
                <w:color w:val="auto"/>
                <w:sz w:val="24"/>
                <w:szCs w:val="24"/>
                <w:highlight w:val="none"/>
              </w:rPr>
            </w:pPr>
          </w:p>
        </w:tc>
      </w:tr>
      <w:tr w14:paraId="5B571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306EEAF">
            <w:pPr>
              <w:snapToGrid w:val="0"/>
              <w:spacing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FA52629">
            <w:pPr>
              <w:snapToGrid w:val="0"/>
              <w:spacing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2C279B6">
            <w:pPr>
              <w:snapToGrid w:val="0"/>
              <w:spacing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6342ECF">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27E8351">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BA561FD">
            <w:pPr>
              <w:snapToGrid w:val="0"/>
              <w:spacing w:beforeLines="50" w:after="50" w:line="460" w:lineRule="exact"/>
              <w:rPr>
                <w:rFonts w:hint="eastAsia" w:ascii="宋体" w:hAnsi="宋体" w:eastAsia="宋体" w:cs="宋体"/>
                <w:color w:val="auto"/>
                <w:sz w:val="24"/>
                <w:szCs w:val="24"/>
                <w:highlight w:val="none"/>
              </w:rPr>
            </w:pPr>
          </w:p>
        </w:tc>
      </w:tr>
      <w:tr w14:paraId="7B540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825BEA4">
            <w:pPr>
              <w:snapToGrid w:val="0"/>
              <w:spacing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7C91FC0">
            <w:pPr>
              <w:snapToGrid w:val="0"/>
              <w:spacing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E5BC97C">
            <w:pPr>
              <w:snapToGrid w:val="0"/>
              <w:spacing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548892D">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B21B366">
            <w:pPr>
              <w:snapToGrid w:val="0"/>
              <w:spacing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5FF52B7">
            <w:pPr>
              <w:snapToGrid w:val="0"/>
              <w:spacing w:beforeLines="50" w:after="50" w:line="460" w:lineRule="exact"/>
              <w:rPr>
                <w:rFonts w:hint="eastAsia" w:ascii="宋体" w:hAnsi="宋体" w:eastAsia="宋体" w:cs="宋体"/>
                <w:color w:val="auto"/>
                <w:sz w:val="24"/>
                <w:szCs w:val="24"/>
                <w:highlight w:val="none"/>
              </w:rPr>
            </w:pPr>
          </w:p>
        </w:tc>
      </w:tr>
    </w:tbl>
    <w:p w14:paraId="1B0EF018">
      <w:pPr>
        <w:adjustRightInd w:val="0"/>
        <w:snapToGrid w:val="0"/>
        <w:spacing w:line="360" w:lineRule="auto"/>
        <w:jc w:val="left"/>
        <w:rPr>
          <w:rFonts w:hint="eastAsia" w:ascii="宋体" w:hAnsi="宋体" w:eastAsia="宋体" w:cs="宋体"/>
          <w:color w:val="auto"/>
          <w:sz w:val="24"/>
          <w:szCs w:val="24"/>
          <w:highlight w:val="none"/>
        </w:rPr>
      </w:pPr>
    </w:p>
    <w:p w14:paraId="4CCDE52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注：在填写时，如本表格不适合投标单位的实际情况，可根据本表格式自行划表填写。</w:t>
      </w:r>
    </w:p>
    <w:p w14:paraId="3F3FE7C0">
      <w:pPr>
        <w:snapToGrid w:val="0"/>
        <w:spacing w:before="50" w:afterLines="50" w:line="460" w:lineRule="exact"/>
        <w:jc w:val="left"/>
        <w:rPr>
          <w:rFonts w:hint="eastAsia" w:ascii="宋体" w:hAnsi="宋体" w:eastAsia="宋体" w:cs="宋体"/>
          <w:color w:val="auto"/>
          <w:sz w:val="24"/>
          <w:szCs w:val="24"/>
          <w:highlight w:val="none"/>
        </w:rPr>
      </w:pPr>
    </w:p>
    <w:p w14:paraId="152DA8A8">
      <w:pPr>
        <w:pStyle w:val="11"/>
        <w:rPr>
          <w:rFonts w:hint="eastAsia" w:ascii="宋体" w:hAnsi="宋体" w:eastAsia="宋体" w:cs="宋体"/>
          <w:color w:val="auto"/>
          <w:highlight w:val="none"/>
        </w:rPr>
      </w:pPr>
    </w:p>
    <w:p w14:paraId="25734D7A">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45FF238B">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251BA80">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1E5C0F8C">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color w:val="auto"/>
          <w:spacing w:val="20"/>
          <w:sz w:val="30"/>
          <w:szCs w:val="30"/>
          <w:highlight w:val="none"/>
        </w:rPr>
        <w:br w:type="page"/>
      </w:r>
      <w:r>
        <w:rPr>
          <w:rFonts w:hint="eastAsia" w:ascii="宋体" w:hAnsi="宋体" w:eastAsia="宋体" w:cs="宋体"/>
          <w:b/>
          <w:bCs/>
          <w:color w:val="auto"/>
          <w:kern w:val="0"/>
          <w:sz w:val="36"/>
          <w:szCs w:val="36"/>
          <w:highlight w:val="none"/>
        </w:rPr>
        <w:t>报价文件</w:t>
      </w:r>
    </w:p>
    <w:p w14:paraId="4E1C555D">
      <w:pPr>
        <w:spacing w:line="360" w:lineRule="auto"/>
        <w:jc w:val="center"/>
        <w:rPr>
          <w:rFonts w:hint="eastAsia" w:ascii="宋体" w:hAnsi="宋体" w:eastAsia="宋体" w:cs="宋体"/>
          <w:b/>
          <w:bCs/>
          <w:color w:val="auto"/>
          <w:kern w:val="0"/>
          <w:sz w:val="36"/>
          <w:szCs w:val="36"/>
          <w:highlight w:val="none"/>
        </w:rPr>
      </w:pPr>
    </w:p>
    <w:p w14:paraId="7842D81C">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3080BA51">
      <w:pPr>
        <w:pStyle w:val="11"/>
        <w:ind w:firstLine="723"/>
        <w:rPr>
          <w:rFonts w:hint="eastAsia" w:ascii="宋体" w:hAnsi="宋体" w:eastAsia="宋体" w:cs="宋体"/>
          <w:b/>
          <w:bCs/>
          <w:color w:val="auto"/>
          <w:kern w:val="0"/>
          <w:sz w:val="36"/>
          <w:szCs w:val="36"/>
          <w:highlight w:val="none"/>
        </w:rPr>
      </w:pPr>
    </w:p>
    <w:p w14:paraId="6215B5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（1）磋商函（格式见附件）；</w:t>
      </w:r>
    </w:p>
    <w:p w14:paraId="01400F4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（2）报价一览表（格式见附件）；</w:t>
      </w:r>
    </w:p>
    <w:p w14:paraId="217E25E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（3）磋商报价明细表（格式见附件）</w:t>
      </w:r>
      <w:r>
        <w:rPr>
          <w:rFonts w:hint="eastAsia" w:ascii="宋体" w:hAnsi="宋体" w:eastAsia="宋体" w:cs="宋体"/>
          <w:color w:val="auto"/>
          <w:sz w:val="24"/>
          <w:szCs w:val="24"/>
          <w:highlight w:val="none"/>
          <w:lang w:eastAsia="zh-CN"/>
        </w:rPr>
        <w:t>。</w:t>
      </w:r>
    </w:p>
    <w:p w14:paraId="676EF701">
      <w:pPr>
        <w:spacing w:line="360" w:lineRule="auto"/>
        <w:rPr>
          <w:rFonts w:hint="eastAsia"/>
          <w:lang w:val="en-US" w:eastAsia="zh-CN"/>
        </w:rPr>
      </w:pPr>
    </w:p>
    <w:p w14:paraId="37EA0192">
      <w:pPr>
        <w:rPr>
          <w:rFonts w:hint="eastAsia" w:ascii="宋体" w:hAnsi="宋体" w:eastAsia="宋体" w:cs="宋体"/>
          <w:color w:val="auto"/>
          <w:highlight w:val="none"/>
        </w:rPr>
      </w:pPr>
    </w:p>
    <w:p w14:paraId="128336D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5B8ED7">
      <w:pPr>
        <w:rPr>
          <w:rFonts w:hint="eastAsia" w:ascii="宋体" w:hAnsi="宋体" w:eastAsia="宋体" w:cs="宋体"/>
          <w:b/>
          <w:bCs/>
          <w:color w:val="auto"/>
          <w:highlight w:val="none"/>
          <w:lang w:val="zh-CN"/>
        </w:rPr>
      </w:pPr>
      <w:bookmarkStart w:id="108" w:name="_Toc3094"/>
      <w:r>
        <w:rPr>
          <w:rFonts w:hint="eastAsia" w:ascii="宋体" w:hAnsi="宋体" w:eastAsia="宋体" w:cs="宋体"/>
          <w:b/>
          <w:bCs/>
          <w:color w:val="auto"/>
          <w:sz w:val="24"/>
          <w:szCs w:val="24"/>
          <w:highlight w:val="none"/>
          <w:lang w:val="zh-CN"/>
        </w:rPr>
        <w:t>附件</w:t>
      </w:r>
      <w:bookmarkStart w:id="109" w:name="_Toc130094924"/>
      <w:bookmarkStart w:id="110" w:name="_Toc98731770"/>
      <w:r>
        <w:rPr>
          <w:rFonts w:hint="eastAsia" w:ascii="宋体" w:hAnsi="宋体" w:cs="宋体"/>
          <w:b/>
          <w:bCs/>
          <w:color w:val="auto"/>
          <w:sz w:val="24"/>
          <w:szCs w:val="24"/>
          <w:highlight w:val="none"/>
          <w:lang w:val="en-US" w:eastAsia="zh-CN"/>
        </w:rPr>
        <w:t>十二</w:t>
      </w:r>
      <w:r>
        <w:rPr>
          <w:rFonts w:hint="eastAsia" w:ascii="宋体" w:hAnsi="宋体" w:eastAsia="宋体" w:cs="宋体"/>
          <w:b/>
          <w:bCs/>
          <w:color w:val="auto"/>
          <w:sz w:val="24"/>
          <w:szCs w:val="24"/>
          <w:highlight w:val="none"/>
        </w:rPr>
        <w:t>：</w:t>
      </w:r>
    </w:p>
    <w:p w14:paraId="225E461F">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磋商函</w:t>
      </w:r>
      <w:bookmarkEnd w:id="108"/>
      <w:bookmarkEnd w:id="109"/>
      <w:bookmarkEnd w:id="110"/>
    </w:p>
    <w:p w14:paraId="5864D531">
      <w:pPr>
        <w:spacing w:line="360" w:lineRule="auto"/>
        <w:ind w:firstLine="480" w:firstLineChars="200"/>
        <w:rPr>
          <w:rFonts w:hint="eastAsia" w:ascii="宋体" w:hAnsi="宋体" w:eastAsia="宋体" w:cs="宋体"/>
          <w:color w:val="auto"/>
          <w:sz w:val="24"/>
          <w:szCs w:val="24"/>
          <w:highlight w:val="none"/>
          <w:u w:val="single"/>
        </w:rPr>
      </w:pPr>
    </w:p>
    <w:p w14:paraId="153C44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绍兴市上虞区市场监督管理局</w:t>
      </w:r>
      <w:r>
        <w:rPr>
          <w:rFonts w:hint="eastAsia" w:ascii="宋体" w:hAnsi="宋体" w:eastAsia="宋体" w:cs="宋体"/>
          <w:color w:val="auto"/>
          <w:sz w:val="24"/>
          <w:szCs w:val="24"/>
          <w:highlight w:val="none"/>
        </w:rPr>
        <w:t>：</w:t>
      </w:r>
    </w:p>
    <w:p w14:paraId="58A40A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绍兴成言工程咨询管理有限公司</w:t>
      </w:r>
      <w:r>
        <w:rPr>
          <w:rFonts w:hint="eastAsia" w:ascii="宋体" w:hAnsi="宋体" w:eastAsia="宋体" w:cs="宋体"/>
          <w:color w:val="auto"/>
          <w:sz w:val="24"/>
          <w:szCs w:val="24"/>
          <w:highlight w:val="none"/>
        </w:rPr>
        <w:t>：</w:t>
      </w:r>
    </w:p>
    <w:p w14:paraId="31CA6658">
      <w:pPr>
        <w:spacing w:line="360" w:lineRule="auto"/>
        <w:ind w:firstLine="480"/>
        <w:jc w:val="left"/>
        <w:rPr>
          <w:rFonts w:hint="default" w:ascii="Times New Roman" w:hAnsi="Times New Roman" w:cs="Times New Roman"/>
          <w:color w:val="auto"/>
          <w:sz w:val="24"/>
        </w:rPr>
      </w:pPr>
      <w:bookmarkStart w:id="111" w:name="_Toc12011"/>
      <w:r>
        <w:rPr>
          <w:rFonts w:hint="default" w:ascii="Times New Roman" w:hAnsi="Times New Roman" w:cs="Times New Roman"/>
          <w:color w:val="auto"/>
          <w:sz w:val="24"/>
        </w:rPr>
        <w:t>我单位认真研究了关于</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0B8FADFC">
      <w:pPr>
        <w:spacing w:line="360" w:lineRule="auto"/>
        <w:ind w:firstLine="504" w:firstLineChars="240"/>
        <w:rPr>
          <w:rFonts w:hint="default" w:ascii="Times New Roman" w:hAnsi="Times New Roman" w:cs="Times New Roman"/>
          <w:color w:val="auto"/>
          <w:sz w:val="24"/>
        </w:rPr>
      </w:pPr>
      <w:r>
        <w:rPr>
          <w:rFonts w:hint="default" w:ascii="Times New Roman" w:hAnsi="Times New Roman" w:cs="Times New Roman"/>
          <w:color w:val="auto"/>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mAH5vPUBAADuAwAADgAAAGRycy9lMm9Eb2MueG1srVO9jhMxEO6R&#10;eAfLPdkk6E6wyuaKC0eDIBLwABPbu2vJf/I42eQleAEkOqgo6Xkb7h6DsTcXjqNJwRbesWf8zXzf&#10;jBdXe2vYTkXU3jV8NplyppzwUruu4R8/3Dx7wRkmcBKMd6rhB4X8avn0yWIItZr73hupIiMQh/UQ&#10;Gt6nFOqqQtErCzjxQTlytj5aSLSNXSUjDIRuTTWfTi+rwUcZohcKkU5Xo5MfEeM5gL5ttVArL7ZW&#10;uTSiRmUgESXsdUC+LNW2rRLpXduiSsw0nJimslISsjd5rZYLqLsIodfiWAKcU8IjTha0o6QnqBUk&#10;YNuo/4GyWkSPvk0T4W01EimKEIvZ9JE273sIqnAhqTGcRMf/Byve7taRaUmTwJkDSw2//fzj16ev&#10;dz+/0Hr7/RubZZGGgDXFXrt1PO4wrGNmvG+jzX/iwvZF2MNJWLVPTNDh5fMLzsT9efXnUoiYXitv&#10;WTYabrTLfKGG3RtMlIhC70PysXFsaPjLi3mGAxq+lppOpg1EAF1X7qI3Wt5oY/INjN3m2kS2gzwA&#10;5ct0CPevsJxkBdiPccU1jkavQL5ykqVDIGkcvQieS7BKcmYUPaBsESDUCbQ5J5JSG5cvqDKeR55Z&#10;31HRbG28PFBbtiHqriddSguq7KExKNUfRzbP2cM92Q+f6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JgB+bz1AQAA7gMAAA4AAAAAAAAAAQAgAAAAI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cs="Times New Roman"/>
          <w:color w:val="auto"/>
          <w:sz w:val="24"/>
        </w:rPr>
        <w:t>1、一旦我单位中标，我单位愿意承接报价一览表中所列的技术服务，服务期为：</w:t>
      </w:r>
      <w:r>
        <w:rPr>
          <w:rFonts w:hint="default" w:ascii="Times New Roman" w:hAnsi="Times New Roman" w:cs="Times New Roman"/>
          <w:b/>
          <w:bCs/>
          <w:color w:val="auto"/>
          <w:sz w:val="24"/>
          <w:u w:val="single"/>
        </w:rPr>
        <w:t xml:space="preserve">          </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w:t>
      </w:r>
    </w:p>
    <w:p w14:paraId="7EE5B6CE">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2、我单位同意提供按照采购人的可能要求与其投标有关的一切数据和资料，完全理解采购人不一定要接受最低价者作为成交供应商。</w:t>
      </w:r>
    </w:p>
    <w:p w14:paraId="5245C732">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3、一旦我单位中标，我们保证按照磋商文件的要求，完成服务。</w:t>
      </w:r>
    </w:p>
    <w:p w14:paraId="273EF366">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4、如果我单位中标，我方将按照要求严格履行合同义务。</w:t>
      </w:r>
    </w:p>
    <w:p w14:paraId="169E00FE">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5、除非另行达成协议并生效，你方的成交通知书和本磋商函将构成约束你我双方的合同。</w:t>
      </w:r>
    </w:p>
    <w:p w14:paraId="22469AA5">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6、我单位承诺，一旦发生磋商文件第二部分第11条规定情形之一的，承担该条款约定的责任。</w:t>
      </w:r>
    </w:p>
    <w:p w14:paraId="34393C4D">
      <w:pPr>
        <w:pStyle w:val="12"/>
        <w:snapToGrid w:val="0"/>
        <w:spacing w:line="360" w:lineRule="auto"/>
        <w:ind w:left="480"/>
        <w:jc w:val="left"/>
        <w:rPr>
          <w:rFonts w:hint="default" w:ascii="Times New Roman" w:hAnsi="Times New Roman" w:cs="Times New Roman"/>
          <w:color w:val="auto"/>
          <w:sz w:val="24"/>
          <w:szCs w:val="24"/>
        </w:rPr>
      </w:pPr>
    </w:p>
    <w:p w14:paraId="6D448C3E">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地址：</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 xml:space="preserve">                     邮编：</w:t>
      </w:r>
      <w:r>
        <w:rPr>
          <w:rFonts w:hint="default" w:ascii="Times New Roman" w:hAnsi="Times New Roman" w:cs="Times New Roman"/>
          <w:color w:val="auto"/>
          <w:sz w:val="24"/>
          <w:u w:val="single"/>
        </w:rPr>
        <w:t xml:space="preserve">                </w:t>
      </w:r>
    </w:p>
    <w:p w14:paraId="16F49322">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电话：</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 xml:space="preserve">                     传真：</w:t>
      </w:r>
      <w:r>
        <w:rPr>
          <w:rFonts w:hint="default" w:ascii="Times New Roman" w:hAnsi="Times New Roman" w:cs="Times New Roman"/>
          <w:color w:val="auto"/>
          <w:sz w:val="24"/>
          <w:u w:val="single"/>
        </w:rPr>
        <w:t xml:space="preserve">                 </w:t>
      </w:r>
    </w:p>
    <w:p w14:paraId="5469B699">
      <w:pPr>
        <w:spacing w:line="360" w:lineRule="auto"/>
        <w:ind w:firstLine="480" w:firstLineChars="200"/>
        <w:rPr>
          <w:rFonts w:hint="default" w:ascii="Times New Roman" w:hAnsi="Times New Roman" w:cs="Times New Roman"/>
          <w:color w:val="auto"/>
          <w:sz w:val="24"/>
          <w:u w:val="single"/>
        </w:rPr>
      </w:pPr>
      <w:r>
        <w:rPr>
          <w:rFonts w:hint="default" w:ascii="Times New Roman" w:hAnsi="Times New Roman" w:cs="Times New Roman"/>
          <w:color w:val="auto"/>
          <w:sz w:val="24"/>
        </w:rPr>
        <w:t>供应商代表姓名：</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 xml:space="preserve">        职务：</w:t>
      </w:r>
      <w:r>
        <w:rPr>
          <w:rFonts w:hint="default" w:ascii="Times New Roman" w:hAnsi="Times New Roman" w:cs="Times New Roman"/>
          <w:color w:val="auto"/>
          <w:sz w:val="24"/>
          <w:u w:val="single"/>
        </w:rPr>
        <w:t xml:space="preserve">                 </w:t>
      </w:r>
    </w:p>
    <w:p w14:paraId="4F7B0E1C">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供应商名称：</w:t>
      </w:r>
      <w:r>
        <w:rPr>
          <w:rFonts w:hint="default" w:ascii="Times New Roman" w:hAnsi="Times New Roman" w:cs="Times New Roman"/>
          <w:color w:val="auto"/>
          <w:sz w:val="24"/>
          <w:u w:val="single"/>
        </w:rPr>
        <w:t xml:space="preserve">                      </w:t>
      </w:r>
    </w:p>
    <w:p w14:paraId="17655493">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（公章）：</w:t>
      </w:r>
    </w:p>
    <w:p w14:paraId="4F776E73">
      <w:pPr>
        <w:spacing w:line="360" w:lineRule="auto"/>
        <w:ind w:left="3780" w:leftChars="180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法定代表人签名（或签名章）：</w:t>
      </w:r>
    </w:p>
    <w:p w14:paraId="06A0E185">
      <w:pPr>
        <w:spacing w:line="360" w:lineRule="auto"/>
        <w:ind w:left="3780" w:leftChars="180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日期：</w:t>
      </w:r>
    </w:p>
    <w:p w14:paraId="39418657">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14:paraId="2F782542">
      <w:pP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bookmarkStart w:id="112" w:name="_Toc130094925"/>
      <w:bookmarkStart w:id="113" w:name="_Toc98731771"/>
      <w:r>
        <w:rPr>
          <w:rFonts w:hint="eastAsia" w:ascii="宋体" w:hAnsi="宋体" w:cs="宋体"/>
          <w:b/>
          <w:bCs/>
          <w:color w:val="auto"/>
          <w:sz w:val="24"/>
          <w:szCs w:val="24"/>
          <w:highlight w:val="none"/>
          <w:lang w:val="en-US" w:eastAsia="zh-CN"/>
        </w:rPr>
        <w:t>十三</w:t>
      </w:r>
      <w:r>
        <w:rPr>
          <w:rFonts w:hint="eastAsia" w:ascii="宋体" w:hAnsi="宋体" w:eastAsia="宋体" w:cs="宋体"/>
          <w:b/>
          <w:bCs/>
          <w:color w:val="auto"/>
          <w:sz w:val="24"/>
          <w:szCs w:val="24"/>
          <w:highlight w:val="none"/>
        </w:rPr>
        <w:t>：</w:t>
      </w:r>
    </w:p>
    <w:p w14:paraId="478B3C2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报价一览表</w:t>
      </w:r>
      <w:bookmarkEnd w:id="111"/>
      <w:bookmarkEnd w:id="112"/>
      <w:bookmarkEnd w:id="113"/>
    </w:p>
    <w:p w14:paraId="6D8AB974">
      <w:pPr>
        <w:pStyle w:val="12"/>
        <w:spacing w:line="360" w:lineRule="auto"/>
        <w:rPr>
          <w:rFonts w:hint="eastAsia" w:ascii="宋体" w:hAnsi="宋体" w:eastAsia="宋体" w:cs="宋体"/>
          <w:color w:val="auto"/>
          <w:sz w:val="24"/>
          <w:szCs w:val="24"/>
          <w:highlight w:val="none"/>
        </w:rPr>
      </w:pPr>
    </w:p>
    <w:p w14:paraId="4F4F98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67DF38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5"/>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7277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4E9F3E12">
            <w:pPr>
              <w:pStyle w:val="1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投标总价</w:t>
            </w:r>
          </w:p>
        </w:tc>
        <w:tc>
          <w:tcPr>
            <w:tcW w:w="6707" w:type="dxa"/>
            <w:vAlign w:val="center"/>
          </w:tcPr>
          <w:p w14:paraId="6977659E">
            <w:pPr>
              <w:pStyle w:val="1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大写：</w:t>
            </w:r>
            <w:r>
              <w:rPr>
                <w:rFonts w:hint="eastAsia" w:ascii="宋体" w:hAnsi="宋体" w:eastAsia="宋体" w:cs="宋体"/>
                <w:b/>
                <w:bCs/>
                <w:color w:val="auto"/>
                <w:sz w:val="24"/>
                <w:szCs w:val="24"/>
                <w:highlight w:val="none"/>
                <w:u w:val="single"/>
              </w:rPr>
              <w:t>　　　　</w:t>
            </w:r>
            <w:r>
              <w:rPr>
                <w:rFonts w:hint="eastAsia" w:ascii="宋体" w:hAnsi="宋体" w:eastAsia="宋体" w:cs="宋体"/>
                <w:b/>
                <w:bCs/>
                <w:color w:val="auto"/>
                <w:sz w:val="24"/>
                <w:szCs w:val="24"/>
                <w:highlight w:val="none"/>
              </w:rPr>
              <w:t>元（小写：</w:t>
            </w:r>
            <w:r>
              <w:rPr>
                <w:rFonts w:hint="eastAsia" w:ascii="宋体" w:hAnsi="宋体" w:eastAsia="宋体" w:cs="宋体"/>
                <w:b/>
                <w:bCs/>
                <w:color w:val="auto"/>
                <w:sz w:val="24"/>
                <w:szCs w:val="24"/>
                <w:highlight w:val="none"/>
                <w:u w:val="single"/>
              </w:rPr>
              <w:t>　　　　</w:t>
            </w:r>
            <w:r>
              <w:rPr>
                <w:rFonts w:hint="eastAsia" w:ascii="宋体" w:hAnsi="宋体" w:eastAsia="宋体" w:cs="宋体"/>
                <w:b/>
                <w:bCs/>
                <w:color w:val="auto"/>
                <w:sz w:val="24"/>
                <w:szCs w:val="24"/>
                <w:highlight w:val="none"/>
              </w:rPr>
              <w:t>）</w:t>
            </w:r>
          </w:p>
        </w:tc>
      </w:tr>
      <w:tr w14:paraId="78DB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4FE1F94B">
            <w:pPr>
              <w:pStyle w:val="12"/>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本次报价应包含项目所需全部服务，不得缺漏，是履行合同的最终价格（服务费、交通费、检测费、报告费、人工费、税金、招标代理费以及成交供应商认为有必要计入</w:t>
            </w:r>
            <w:r>
              <w:rPr>
                <w:rFonts w:hint="eastAsia" w:hAnsi="宋体" w:cs="宋体"/>
                <w:b/>
                <w:bCs/>
                <w:color w:val="auto"/>
                <w:sz w:val="24"/>
                <w:szCs w:val="24"/>
                <w:highlight w:val="none"/>
                <w:lang w:eastAsia="zh-CN"/>
              </w:rPr>
              <w:t>的其他费用</w:t>
            </w:r>
            <w:r>
              <w:rPr>
                <w:rFonts w:hint="eastAsia" w:ascii="宋体" w:hAnsi="宋体" w:eastAsia="宋体" w:cs="宋体"/>
                <w:b/>
                <w:bCs/>
                <w:color w:val="auto"/>
                <w:sz w:val="24"/>
                <w:szCs w:val="24"/>
                <w:highlight w:val="none"/>
              </w:rPr>
              <w:t>等一切费用）。</w:t>
            </w:r>
          </w:p>
        </w:tc>
      </w:tr>
    </w:tbl>
    <w:p w14:paraId="41A34C00">
      <w:pPr>
        <w:pStyle w:val="12"/>
        <w:spacing w:line="360" w:lineRule="auto"/>
        <w:rPr>
          <w:rFonts w:hint="eastAsia" w:ascii="宋体" w:hAnsi="宋体" w:eastAsia="宋体" w:cs="宋体"/>
          <w:color w:val="auto"/>
          <w:sz w:val="24"/>
          <w:szCs w:val="24"/>
          <w:highlight w:val="none"/>
        </w:rPr>
      </w:pPr>
    </w:p>
    <w:p w14:paraId="3C8163DE">
      <w:pPr>
        <w:pStyle w:val="12"/>
        <w:spacing w:line="360" w:lineRule="auto"/>
        <w:rPr>
          <w:rFonts w:hint="eastAsia" w:ascii="宋体" w:hAnsi="宋体" w:eastAsia="宋体" w:cs="宋体"/>
          <w:color w:val="auto"/>
          <w:sz w:val="24"/>
          <w:szCs w:val="24"/>
          <w:highlight w:val="none"/>
        </w:rPr>
      </w:pPr>
    </w:p>
    <w:p w14:paraId="4CCF262E">
      <w:pPr>
        <w:pStyle w:val="12"/>
        <w:spacing w:line="360" w:lineRule="auto"/>
        <w:rPr>
          <w:rFonts w:hint="eastAsia" w:ascii="宋体" w:hAnsi="宋体" w:eastAsia="宋体" w:cs="宋体"/>
          <w:color w:val="auto"/>
          <w:sz w:val="24"/>
          <w:szCs w:val="24"/>
          <w:highlight w:val="none"/>
        </w:rPr>
      </w:pPr>
    </w:p>
    <w:p w14:paraId="4DA59A90">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4259A6A9">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09DFD9C">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273F388E">
      <w:pPr>
        <w:snapToGrid w:val="0"/>
        <w:spacing w:line="360" w:lineRule="auto"/>
        <w:ind w:firstLine="435"/>
        <w:rPr>
          <w:rFonts w:hint="eastAsia" w:ascii="宋体" w:hAnsi="宋体" w:eastAsia="宋体" w:cs="宋体"/>
          <w:color w:val="auto"/>
          <w:highlight w:val="none"/>
        </w:rPr>
      </w:pPr>
    </w:p>
    <w:p w14:paraId="53275558">
      <w:pPr>
        <w:snapToGrid w:val="0"/>
        <w:spacing w:line="360" w:lineRule="auto"/>
        <w:ind w:firstLine="435"/>
        <w:rPr>
          <w:rFonts w:hint="eastAsia" w:ascii="宋体" w:hAnsi="宋体" w:eastAsia="宋体" w:cs="宋体"/>
          <w:color w:val="auto"/>
          <w:highlight w:val="none"/>
        </w:rPr>
      </w:pPr>
    </w:p>
    <w:p w14:paraId="07DCEB08">
      <w:pPr>
        <w:snapToGrid w:val="0"/>
        <w:spacing w:line="360" w:lineRule="auto"/>
        <w:ind w:firstLine="435"/>
        <w:rPr>
          <w:rFonts w:hint="eastAsia" w:ascii="宋体" w:hAnsi="宋体" w:eastAsia="宋体" w:cs="宋体"/>
          <w:color w:val="auto"/>
          <w:highlight w:val="none"/>
        </w:rPr>
      </w:pPr>
    </w:p>
    <w:p w14:paraId="111AFE91">
      <w:pPr>
        <w:snapToGrid w:val="0"/>
        <w:spacing w:line="360" w:lineRule="auto"/>
        <w:ind w:firstLine="435"/>
        <w:rPr>
          <w:rFonts w:hint="eastAsia" w:ascii="宋体" w:hAnsi="宋体" w:eastAsia="宋体" w:cs="宋体"/>
          <w:color w:val="auto"/>
          <w:highlight w:val="none"/>
        </w:rPr>
      </w:pPr>
    </w:p>
    <w:p w14:paraId="50D8F967">
      <w:pPr>
        <w:snapToGrid w:val="0"/>
        <w:spacing w:line="360" w:lineRule="auto"/>
        <w:ind w:firstLine="435"/>
        <w:rPr>
          <w:rFonts w:hint="eastAsia" w:ascii="宋体" w:hAnsi="宋体" w:eastAsia="宋体" w:cs="宋体"/>
          <w:color w:val="auto"/>
          <w:highlight w:val="none"/>
        </w:rPr>
      </w:pPr>
    </w:p>
    <w:p w14:paraId="00F8EE0B">
      <w:pPr>
        <w:spacing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highlight w:val="none"/>
        </w:rPr>
        <w:br w:type="page"/>
      </w:r>
      <w:bookmarkStart w:id="114" w:name="_Toc7196"/>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十四</w:t>
      </w:r>
      <w:r>
        <w:rPr>
          <w:rFonts w:hint="eastAsia" w:ascii="宋体" w:hAnsi="宋体" w:eastAsia="宋体" w:cs="宋体"/>
          <w:b/>
          <w:bCs/>
          <w:color w:val="auto"/>
          <w:sz w:val="24"/>
          <w:szCs w:val="24"/>
          <w:highlight w:val="none"/>
          <w:lang w:val="zh-CN"/>
        </w:rPr>
        <w:t>：</w:t>
      </w:r>
    </w:p>
    <w:p w14:paraId="0210238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磋商报价明细表</w:t>
      </w:r>
    </w:p>
    <w:p w14:paraId="0E1A92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0C070B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5"/>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2"/>
        <w:gridCol w:w="915"/>
        <w:gridCol w:w="1876"/>
        <w:gridCol w:w="495"/>
        <w:gridCol w:w="498"/>
        <w:gridCol w:w="1148"/>
        <w:gridCol w:w="1124"/>
      </w:tblGrid>
      <w:tr w14:paraId="6018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7CF917E7">
            <w:pPr>
              <w:pStyle w:val="12"/>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w:t>
            </w:r>
          </w:p>
          <w:p w14:paraId="63CFFA09">
            <w:pPr>
              <w:pStyle w:val="12"/>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号</w:t>
            </w:r>
          </w:p>
        </w:tc>
        <w:tc>
          <w:tcPr>
            <w:tcW w:w="2492" w:type="dxa"/>
            <w:vMerge w:val="restart"/>
            <w:vAlign w:val="center"/>
          </w:tcPr>
          <w:p w14:paraId="5643EE2A">
            <w:pPr>
              <w:pStyle w:val="12"/>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p>
        </w:tc>
        <w:tc>
          <w:tcPr>
            <w:tcW w:w="915" w:type="dxa"/>
            <w:vMerge w:val="restart"/>
            <w:vAlign w:val="center"/>
          </w:tcPr>
          <w:p w14:paraId="6B6EB089">
            <w:pPr>
              <w:pStyle w:val="12"/>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1876" w:type="dxa"/>
            <w:vMerge w:val="restart"/>
            <w:vAlign w:val="center"/>
          </w:tcPr>
          <w:p w14:paraId="397585C3">
            <w:pPr>
              <w:pStyle w:val="12"/>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495" w:type="dxa"/>
            <w:vMerge w:val="restart"/>
            <w:vAlign w:val="center"/>
          </w:tcPr>
          <w:p w14:paraId="2A29D04E">
            <w:pPr>
              <w:pStyle w:val="12"/>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w:t>
            </w:r>
          </w:p>
          <w:p w14:paraId="0CA33541">
            <w:pPr>
              <w:pStyle w:val="12"/>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位</w:t>
            </w:r>
          </w:p>
        </w:tc>
        <w:tc>
          <w:tcPr>
            <w:tcW w:w="498" w:type="dxa"/>
            <w:vMerge w:val="restart"/>
            <w:vAlign w:val="center"/>
          </w:tcPr>
          <w:p w14:paraId="296C898A">
            <w:pPr>
              <w:pStyle w:val="12"/>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2272" w:type="dxa"/>
            <w:gridSpan w:val="2"/>
            <w:vAlign w:val="center"/>
          </w:tcPr>
          <w:p w14:paraId="0261A93A">
            <w:pPr>
              <w:pStyle w:val="12"/>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投标报价（元）</w:t>
            </w:r>
          </w:p>
        </w:tc>
      </w:tr>
      <w:tr w14:paraId="39FB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32332CF0">
            <w:pPr>
              <w:pStyle w:val="12"/>
              <w:spacing w:line="360" w:lineRule="auto"/>
              <w:jc w:val="center"/>
              <w:rPr>
                <w:rFonts w:hint="eastAsia" w:ascii="宋体" w:hAnsi="宋体" w:eastAsia="宋体" w:cs="宋体"/>
                <w:color w:val="auto"/>
                <w:sz w:val="22"/>
                <w:szCs w:val="22"/>
                <w:highlight w:val="none"/>
              </w:rPr>
            </w:pPr>
          </w:p>
        </w:tc>
        <w:tc>
          <w:tcPr>
            <w:tcW w:w="2492" w:type="dxa"/>
            <w:vMerge w:val="continue"/>
            <w:vAlign w:val="center"/>
          </w:tcPr>
          <w:p w14:paraId="2E11A363">
            <w:pPr>
              <w:pStyle w:val="12"/>
              <w:spacing w:line="360" w:lineRule="auto"/>
              <w:jc w:val="center"/>
              <w:rPr>
                <w:rFonts w:hint="eastAsia" w:ascii="宋体" w:hAnsi="宋体" w:eastAsia="宋体" w:cs="宋体"/>
                <w:color w:val="auto"/>
                <w:sz w:val="22"/>
                <w:szCs w:val="22"/>
                <w:highlight w:val="none"/>
              </w:rPr>
            </w:pPr>
          </w:p>
        </w:tc>
        <w:tc>
          <w:tcPr>
            <w:tcW w:w="915" w:type="dxa"/>
            <w:vMerge w:val="continue"/>
            <w:vAlign w:val="center"/>
          </w:tcPr>
          <w:p w14:paraId="75975648">
            <w:pPr>
              <w:pStyle w:val="12"/>
              <w:spacing w:line="360" w:lineRule="auto"/>
              <w:jc w:val="center"/>
              <w:rPr>
                <w:rFonts w:hint="eastAsia" w:ascii="宋体" w:hAnsi="宋体" w:eastAsia="宋体" w:cs="宋体"/>
                <w:color w:val="auto"/>
                <w:sz w:val="22"/>
                <w:szCs w:val="22"/>
                <w:highlight w:val="none"/>
              </w:rPr>
            </w:pPr>
          </w:p>
        </w:tc>
        <w:tc>
          <w:tcPr>
            <w:tcW w:w="1876" w:type="dxa"/>
            <w:vMerge w:val="continue"/>
            <w:vAlign w:val="center"/>
          </w:tcPr>
          <w:p w14:paraId="63D9E876">
            <w:pPr>
              <w:pStyle w:val="12"/>
              <w:spacing w:line="360" w:lineRule="auto"/>
              <w:jc w:val="center"/>
              <w:rPr>
                <w:rFonts w:hint="eastAsia" w:ascii="宋体" w:hAnsi="宋体" w:eastAsia="宋体" w:cs="宋体"/>
                <w:color w:val="auto"/>
                <w:sz w:val="22"/>
                <w:szCs w:val="22"/>
                <w:highlight w:val="none"/>
              </w:rPr>
            </w:pPr>
          </w:p>
        </w:tc>
        <w:tc>
          <w:tcPr>
            <w:tcW w:w="495" w:type="dxa"/>
            <w:vMerge w:val="continue"/>
            <w:vAlign w:val="center"/>
          </w:tcPr>
          <w:p w14:paraId="5F97F60C">
            <w:pPr>
              <w:pStyle w:val="12"/>
              <w:spacing w:line="360" w:lineRule="auto"/>
              <w:jc w:val="center"/>
              <w:rPr>
                <w:rFonts w:hint="eastAsia" w:ascii="宋体" w:hAnsi="宋体" w:eastAsia="宋体" w:cs="宋体"/>
                <w:color w:val="auto"/>
                <w:sz w:val="22"/>
                <w:szCs w:val="22"/>
                <w:highlight w:val="none"/>
              </w:rPr>
            </w:pPr>
          </w:p>
        </w:tc>
        <w:tc>
          <w:tcPr>
            <w:tcW w:w="498" w:type="dxa"/>
            <w:vMerge w:val="continue"/>
            <w:vAlign w:val="center"/>
          </w:tcPr>
          <w:p w14:paraId="2D502299">
            <w:pPr>
              <w:pStyle w:val="12"/>
              <w:spacing w:line="360" w:lineRule="auto"/>
              <w:jc w:val="center"/>
              <w:rPr>
                <w:rFonts w:hint="eastAsia" w:ascii="宋体" w:hAnsi="宋体" w:eastAsia="宋体" w:cs="宋体"/>
                <w:color w:val="auto"/>
                <w:sz w:val="22"/>
                <w:szCs w:val="22"/>
                <w:highlight w:val="none"/>
              </w:rPr>
            </w:pPr>
          </w:p>
        </w:tc>
        <w:tc>
          <w:tcPr>
            <w:tcW w:w="1148" w:type="dxa"/>
            <w:vAlign w:val="center"/>
          </w:tcPr>
          <w:p w14:paraId="5FADE66F">
            <w:pPr>
              <w:pStyle w:val="12"/>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单价</w:t>
            </w:r>
          </w:p>
        </w:tc>
        <w:tc>
          <w:tcPr>
            <w:tcW w:w="1124" w:type="dxa"/>
            <w:vAlign w:val="center"/>
          </w:tcPr>
          <w:p w14:paraId="52BCA840">
            <w:pPr>
              <w:pStyle w:val="12"/>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小计</w:t>
            </w:r>
          </w:p>
        </w:tc>
      </w:tr>
      <w:tr w14:paraId="5B82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0CBBB358">
            <w:pPr>
              <w:pStyle w:val="1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492" w:type="dxa"/>
            <w:vAlign w:val="center"/>
          </w:tcPr>
          <w:p w14:paraId="3D5B4C9D">
            <w:pPr>
              <w:pStyle w:val="12"/>
              <w:rPr>
                <w:rFonts w:hint="eastAsia" w:ascii="宋体" w:hAnsi="宋体" w:eastAsia="宋体" w:cs="宋体"/>
                <w:color w:val="auto"/>
                <w:sz w:val="22"/>
                <w:szCs w:val="22"/>
                <w:highlight w:val="none"/>
              </w:rPr>
            </w:pPr>
          </w:p>
        </w:tc>
        <w:tc>
          <w:tcPr>
            <w:tcW w:w="915" w:type="dxa"/>
            <w:vAlign w:val="center"/>
          </w:tcPr>
          <w:p w14:paraId="0D019678">
            <w:pPr>
              <w:pStyle w:val="12"/>
              <w:spacing w:line="360" w:lineRule="auto"/>
              <w:rPr>
                <w:rFonts w:hint="eastAsia" w:ascii="宋体" w:hAnsi="宋体" w:eastAsia="宋体" w:cs="宋体"/>
                <w:b/>
                <w:bCs/>
                <w:color w:val="auto"/>
                <w:sz w:val="22"/>
                <w:szCs w:val="22"/>
                <w:highlight w:val="none"/>
              </w:rPr>
            </w:pPr>
          </w:p>
        </w:tc>
        <w:tc>
          <w:tcPr>
            <w:tcW w:w="1876" w:type="dxa"/>
            <w:vAlign w:val="center"/>
          </w:tcPr>
          <w:p w14:paraId="5EC303E8">
            <w:pPr>
              <w:pStyle w:val="12"/>
              <w:spacing w:line="360" w:lineRule="auto"/>
              <w:rPr>
                <w:rFonts w:hint="eastAsia" w:ascii="宋体" w:hAnsi="宋体" w:eastAsia="宋体" w:cs="宋体"/>
                <w:b/>
                <w:bCs/>
                <w:color w:val="auto"/>
                <w:sz w:val="22"/>
                <w:szCs w:val="22"/>
                <w:highlight w:val="none"/>
              </w:rPr>
            </w:pPr>
          </w:p>
        </w:tc>
        <w:tc>
          <w:tcPr>
            <w:tcW w:w="495" w:type="dxa"/>
            <w:vAlign w:val="center"/>
          </w:tcPr>
          <w:p w14:paraId="229C9D94">
            <w:pPr>
              <w:pStyle w:val="12"/>
              <w:spacing w:line="360" w:lineRule="auto"/>
              <w:rPr>
                <w:rFonts w:hint="eastAsia" w:ascii="宋体" w:hAnsi="宋体" w:eastAsia="宋体" w:cs="宋体"/>
                <w:b/>
                <w:bCs/>
                <w:color w:val="auto"/>
                <w:sz w:val="22"/>
                <w:szCs w:val="22"/>
                <w:highlight w:val="none"/>
              </w:rPr>
            </w:pPr>
          </w:p>
        </w:tc>
        <w:tc>
          <w:tcPr>
            <w:tcW w:w="498" w:type="dxa"/>
            <w:vAlign w:val="center"/>
          </w:tcPr>
          <w:p w14:paraId="2B3BAA39">
            <w:pPr>
              <w:pStyle w:val="12"/>
              <w:spacing w:line="360" w:lineRule="auto"/>
              <w:rPr>
                <w:rFonts w:hint="eastAsia" w:ascii="宋体" w:hAnsi="宋体" w:eastAsia="宋体" w:cs="宋体"/>
                <w:b/>
                <w:bCs/>
                <w:color w:val="auto"/>
                <w:sz w:val="22"/>
                <w:szCs w:val="22"/>
                <w:highlight w:val="none"/>
              </w:rPr>
            </w:pPr>
          </w:p>
        </w:tc>
        <w:tc>
          <w:tcPr>
            <w:tcW w:w="1148" w:type="dxa"/>
          </w:tcPr>
          <w:p w14:paraId="3CF54F55">
            <w:pPr>
              <w:pStyle w:val="12"/>
              <w:spacing w:line="360" w:lineRule="auto"/>
              <w:rPr>
                <w:rFonts w:hint="eastAsia" w:ascii="宋体" w:hAnsi="宋体" w:eastAsia="宋体" w:cs="宋体"/>
                <w:color w:val="auto"/>
                <w:sz w:val="22"/>
                <w:szCs w:val="22"/>
                <w:highlight w:val="none"/>
              </w:rPr>
            </w:pPr>
          </w:p>
        </w:tc>
        <w:tc>
          <w:tcPr>
            <w:tcW w:w="1124" w:type="dxa"/>
          </w:tcPr>
          <w:p w14:paraId="3D58375F">
            <w:pPr>
              <w:pStyle w:val="12"/>
              <w:spacing w:line="360" w:lineRule="auto"/>
              <w:rPr>
                <w:rFonts w:hint="eastAsia" w:ascii="宋体" w:hAnsi="宋体" w:eastAsia="宋体" w:cs="宋体"/>
                <w:color w:val="auto"/>
                <w:sz w:val="22"/>
                <w:szCs w:val="22"/>
                <w:highlight w:val="none"/>
              </w:rPr>
            </w:pPr>
          </w:p>
        </w:tc>
      </w:tr>
      <w:tr w14:paraId="7DDF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2D36633F">
            <w:pPr>
              <w:pStyle w:val="1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492" w:type="dxa"/>
            <w:vAlign w:val="center"/>
          </w:tcPr>
          <w:p w14:paraId="47DD3D7A">
            <w:pPr>
              <w:pStyle w:val="12"/>
              <w:rPr>
                <w:rFonts w:hint="eastAsia" w:ascii="宋体" w:hAnsi="宋体" w:eastAsia="宋体" w:cs="宋体"/>
                <w:color w:val="auto"/>
                <w:sz w:val="22"/>
                <w:szCs w:val="22"/>
                <w:highlight w:val="none"/>
              </w:rPr>
            </w:pPr>
          </w:p>
        </w:tc>
        <w:tc>
          <w:tcPr>
            <w:tcW w:w="915" w:type="dxa"/>
            <w:vAlign w:val="center"/>
          </w:tcPr>
          <w:p w14:paraId="29961867">
            <w:pPr>
              <w:pStyle w:val="12"/>
              <w:spacing w:line="360" w:lineRule="auto"/>
              <w:rPr>
                <w:rFonts w:hint="eastAsia" w:ascii="宋体" w:hAnsi="宋体" w:eastAsia="宋体" w:cs="宋体"/>
                <w:b/>
                <w:bCs/>
                <w:color w:val="auto"/>
                <w:sz w:val="22"/>
                <w:szCs w:val="22"/>
                <w:highlight w:val="none"/>
              </w:rPr>
            </w:pPr>
          </w:p>
        </w:tc>
        <w:tc>
          <w:tcPr>
            <w:tcW w:w="1876" w:type="dxa"/>
            <w:vAlign w:val="center"/>
          </w:tcPr>
          <w:p w14:paraId="60A157AE">
            <w:pPr>
              <w:pStyle w:val="12"/>
              <w:spacing w:line="360" w:lineRule="auto"/>
              <w:rPr>
                <w:rFonts w:hint="eastAsia" w:ascii="宋体" w:hAnsi="宋体" w:eastAsia="宋体" w:cs="宋体"/>
                <w:b/>
                <w:bCs/>
                <w:color w:val="auto"/>
                <w:sz w:val="22"/>
                <w:szCs w:val="22"/>
                <w:highlight w:val="none"/>
              </w:rPr>
            </w:pPr>
          </w:p>
        </w:tc>
        <w:tc>
          <w:tcPr>
            <w:tcW w:w="495" w:type="dxa"/>
            <w:vAlign w:val="center"/>
          </w:tcPr>
          <w:p w14:paraId="6E154ECB">
            <w:pPr>
              <w:pStyle w:val="12"/>
              <w:spacing w:line="360" w:lineRule="auto"/>
              <w:rPr>
                <w:rFonts w:hint="eastAsia" w:ascii="宋体" w:hAnsi="宋体" w:eastAsia="宋体" w:cs="宋体"/>
                <w:b/>
                <w:bCs/>
                <w:color w:val="auto"/>
                <w:sz w:val="22"/>
                <w:szCs w:val="22"/>
                <w:highlight w:val="none"/>
              </w:rPr>
            </w:pPr>
          </w:p>
        </w:tc>
        <w:tc>
          <w:tcPr>
            <w:tcW w:w="498" w:type="dxa"/>
            <w:vAlign w:val="center"/>
          </w:tcPr>
          <w:p w14:paraId="71C731A7">
            <w:pPr>
              <w:pStyle w:val="12"/>
              <w:spacing w:line="360" w:lineRule="auto"/>
              <w:rPr>
                <w:rFonts w:hint="eastAsia" w:ascii="宋体" w:hAnsi="宋体" w:eastAsia="宋体" w:cs="宋体"/>
                <w:b/>
                <w:bCs/>
                <w:color w:val="auto"/>
                <w:sz w:val="22"/>
                <w:szCs w:val="22"/>
                <w:highlight w:val="none"/>
              </w:rPr>
            </w:pPr>
          </w:p>
        </w:tc>
        <w:tc>
          <w:tcPr>
            <w:tcW w:w="1148" w:type="dxa"/>
          </w:tcPr>
          <w:p w14:paraId="143B0F41">
            <w:pPr>
              <w:pStyle w:val="12"/>
              <w:spacing w:line="360" w:lineRule="auto"/>
              <w:rPr>
                <w:rFonts w:hint="eastAsia" w:ascii="宋体" w:hAnsi="宋体" w:eastAsia="宋体" w:cs="宋体"/>
                <w:color w:val="auto"/>
                <w:sz w:val="22"/>
                <w:szCs w:val="22"/>
                <w:highlight w:val="none"/>
              </w:rPr>
            </w:pPr>
          </w:p>
        </w:tc>
        <w:tc>
          <w:tcPr>
            <w:tcW w:w="1124" w:type="dxa"/>
          </w:tcPr>
          <w:p w14:paraId="794721D4">
            <w:pPr>
              <w:pStyle w:val="12"/>
              <w:spacing w:line="360" w:lineRule="auto"/>
              <w:rPr>
                <w:rFonts w:hint="eastAsia" w:ascii="宋体" w:hAnsi="宋体" w:eastAsia="宋体" w:cs="宋体"/>
                <w:color w:val="auto"/>
                <w:sz w:val="22"/>
                <w:szCs w:val="22"/>
                <w:highlight w:val="none"/>
              </w:rPr>
            </w:pPr>
          </w:p>
        </w:tc>
      </w:tr>
      <w:tr w14:paraId="1EFC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07855BAC">
            <w:pPr>
              <w:pStyle w:val="1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2492" w:type="dxa"/>
            <w:vAlign w:val="center"/>
          </w:tcPr>
          <w:p w14:paraId="40338944">
            <w:pPr>
              <w:pStyle w:val="12"/>
              <w:rPr>
                <w:rFonts w:hint="eastAsia" w:ascii="宋体" w:hAnsi="宋体" w:eastAsia="宋体" w:cs="宋体"/>
                <w:color w:val="auto"/>
                <w:sz w:val="22"/>
                <w:szCs w:val="22"/>
                <w:highlight w:val="none"/>
              </w:rPr>
            </w:pPr>
          </w:p>
        </w:tc>
        <w:tc>
          <w:tcPr>
            <w:tcW w:w="915" w:type="dxa"/>
            <w:vAlign w:val="center"/>
          </w:tcPr>
          <w:p w14:paraId="61CCBB63">
            <w:pPr>
              <w:pStyle w:val="12"/>
              <w:spacing w:line="360" w:lineRule="auto"/>
              <w:rPr>
                <w:rFonts w:hint="eastAsia" w:ascii="宋体" w:hAnsi="宋体" w:eastAsia="宋体" w:cs="宋体"/>
                <w:b/>
                <w:bCs/>
                <w:color w:val="auto"/>
                <w:sz w:val="22"/>
                <w:szCs w:val="22"/>
                <w:highlight w:val="none"/>
              </w:rPr>
            </w:pPr>
          </w:p>
        </w:tc>
        <w:tc>
          <w:tcPr>
            <w:tcW w:w="1876" w:type="dxa"/>
            <w:vAlign w:val="center"/>
          </w:tcPr>
          <w:p w14:paraId="16D94FB3">
            <w:pPr>
              <w:pStyle w:val="12"/>
              <w:spacing w:line="360" w:lineRule="auto"/>
              <w:rPr>
                <w:rFonts w:hint="eastAsia" w:ascii="宋体" w:hAnsi="宋体" w:eastAsia="宋体" w:cs="宋体"/>
                <w:b/>
                <w:bCs/>
                <w:color w:val="auto"/>
                <w:sz w:val="22"/>
                <w:szCs w:val="22"/>
                <w:highlight w:val="none"/>
              </w:rPr>
            </w:pPr>
          </w:p>
        </w:tc>
        <w:tc>
          <w:tcPr>
            <w:tcW w:w="495" w:type="dxa"/>
            <w:vAlign w:val="center"/>
          </w:tcPr>
          <w:p w14:paraId="637AE070">
            <w:pPr>
              <w:pStyle w:val="12"/>
              <w:spacing w:line="360" w:lineRule="auto"/>
              <w:rPr>
                <w:rFonts w:hint="eastAsia" w:ascii="宋体" w:hAnsi="宋体" w:eastAsia="宋体" w:cs="宋体"/>
                <w:b/>
                <w:bCs/>
                <w:color w:val="auto"/>
                <w:sz w:val="22"/>
                <w:szCs w:val="22"/>
                <w:highlight w:val="none"/>
              </w:rPr>
            </w:pPr>
          </w:p>
        </w:tc>
        <w:tc>
          <w:tcPr>
            <w:tcW w:w="498" w:type="dxa"/>
            <w:vAlign w:val="center"/>
          </w:tcPr>
          <w:p w14:paraId="66A19BF2">
            <w:pPr>
              <w:pStyle w:val="12"/>
              <w:spacing w:line="360" w:lineRule="auto"/>
              <w:rPr>
                <w:rFonts w:hint="eastAsia" w:ascii="宋体" w:hAnsi="宋体" w:eastAsia="宋体" w:cs="宋体"/>
                <w:b/>
                <w:bCs/>
                <w:color w:val="auto"/>
                <w:sz w:val="22"/>
                <w:szCs w:val="22"/>
                <w:highlight w:val="none"/>
              </w:rPr>
            </w:pPr>
          </w:p>
        </w:tc>
        <w:tc>
          <w:tcPr>
            <w:tcW w:w="1148" w:type="dxa"/>
          </w:tcPr>
          <w:p w14:paraId="7589146F">
            <w:pPr>
              <w:pStyle w:val="12"/>
              <w:spacing w:line="360" w:lineRule="auto"/>
              <w:rPr>
                <w:rFonts w:hint="eastAsia" w:ascii="宋体" w:hAnsi="宋体" w:eastAsia="宋体" w:cs="宋体"/>
                <w:color w:val="auto"/>
                <w:sz w:val="22"/>
                <w:szCs w:val="22"/>
                <w:highlight w:val="none"/>
              </w:rPr>
            </w:pPr>
          </w:p>
        </w:tc>
        <w:tc>
          <w:tcPr>
            <w:tcW w:w="1124" w:type="dxa"/>
          </w:tcPr>
          <w:p w14:paraId="6F01B3C0">
            <w:pPr>
              <w:pStyle w:val="12"/>
              <w:spacing w:line="360" w:lineRule="auto"/>
              <w:rPr>
                <w:rFonts w:hint="eastAsia" w:ascii="宋体" w:hAnsi="宋体" w:eastAsia="宋体" w:cs="宋体"/>
                <w:color w:val="auto"/>
                <w:sz w:val="22"/>
                <w:szCs w:val="22"/>
                <w:highlight w:val="none"/>
              </w:rPr>
            </w:pPr>
          </w:p>
        </w:tc>
      </w:tr>
      <w:tr w14:paraId="43EE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1A78E158">
            <w:pPr>
              <w:pStyle w:val="1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2492" w:type="dxa"/>
            <w:vAlign w:val="center"/>
          </w:tcPr>
          <w:p w14:paraId="52AA2C45">
            <w:pPr>
              <w:pStyle w:val="12"/>
              <w:rPr>
                <w:rFonts w:hint="eastAsia" w:ascii="宋体" w:hAnsi="宋体" w:eastAsia="宋体" w:cs="宋体"/>
                <w:color w:val="auto"/>
                <w:sz w:val="22"/>
                <w:szCs w:val="22"/>
                <w:highlight w:val="none"/>
              </w:rPr>
            </w:pPr>
          </w:p>
        </w:tc>
        <w:tc>
          <w:tcPr>
            <w:tcW w:w="915" w:type="dxa"/>
            <w:vAlign w:val="center"/>
          </w:tcPr>
          <w:p w14:paraId="51B0C894">
            <w:pPr>
              <w:pStyle w:val="12"/>
              <w:spacing w:line="360" w:lineRule="auto"/>
              <w:jc w:val="center"/>
              <w:rPr>
                <w:rFonts w:hint="eastAsia" w:ascii="宋体" w:hAnsi="宋体" w:eastAsia="宋体" w:cs="宋体"/>
                <w:color w:val="auto"/>
                <w:sz w:val="22"/>
                <w:szCs w:val="22"/>
                <w:highlight w:val="none"/>
              </w:rPr>
            </w:pPr>
          </w:p>
        </w:tc>
        <w:tc>
          <w:tcPr>
            <w:tcW w:w="1876" w:type="dxa"/>
            <w:vAlign w:val="center"/>
          </w:tcPr>
          <w:p w14:paraId="033FDCC1">
            <w:pPr>
              <w:pStyle w:val="12"/>
              <w:spacing w:line="360" w:lineRule="auto"/>
              <w:jc w:val="center"/>
              <w:rPr>
                <w:rFonts w:hint="eastAsia" w:ascii="宋体" w:hAnsi="宋体" w:eastAsia="宋体" w:cs="宋体"/>
                <w:color w:val="auto"/>
                <w:sz w:val="22"/>
                <w:szCs w:val="22"/>
                <w:highlight w:val="none"/>
              </w:rPr>
            </w:pPr>
          </w:p>
        </w:tc>
        <w:tc>
          <w:tcPr>
            <w:tcW w:w="495" w:type="dxa"/>
            <w:vAlign w:val="center"/>
          </w:tcPr>
          <w:p w14:paraId="38AF76A5">
            <w:pPr>
              <w:pStyle w:val="12"/>
              <w:spacing w:line="360" w:lineRule="auto"/>
              <w:jc w:val="center"/>
              <w:rPr>
                <w:rFonts w:hint="eastAsia" w:ascii="宋体" w:hAnsi="宋体" w:eastAsia="宋体" w:cs="宋体"/>
                <w:color w:val="auto"/>
                <w:sz w:val="22"/>
                <w:szCs w:val="22"/>
                <w:highlight w:val="none"/>
              </w:rPr>
            </w:pPr>
          </w:p>
        </w:tc>
        <w:tc>
          <w:tcPr>
            <w:tcW w:w="498" w:type="dxa"/>
            <w:vAlign w:val="center"/>
          </w:tcPr>
          <w:p w14:paraId="1908A206">
            <w:pPr>
              <w:pStyle w:val="12"/>
              <w:spacing w:line="360" w:lineRule="auto"/>
              <w:jc w:val="center"/>
              <w:rPr>
                <w:rFonts w:hint="eastAsia" w:ascii="宋体" w:hAnsi="宋体" w:eastAsia="宋体" w:cs="宋体"/>
                <w:color w:val="auto"/>
                <w:sz w:val="22"/>
                <w:szCs w:val="22"/>
                <w:highlight w:val="none"/>
              </w:rPr>
            </w:pPr>
          </w:p>
        </w:tc>
        <w:tc>
          <w:tcPr>
            <w:tcW w:w="1148" w:type="dxa"/>
          </w:tcPr>
          <w:p w14:paraId="5F3AD04D">
            <w:pPr>
              <w:pStyle w:val="12"/>
              <w:spacing w:line="360" w:lineRule="auto"/>
              <w:rPr>
                <w:rFonts w:hint="eastAsia" w:ascii="宋体" w:hAnsi="宋体" w:eastAsia="宋体" w:cs="宋体"/>
                <w:color w:val="auto"/>
                <w:sz w:val="22"/>
                <w:szCs w:val="22"/>
                <w:highlight w:val="none"/>
              </w:rPr>
            </w:pPr>
          </w:p>
        </w:tc>
        <w:tc>
          <w:tcPr>
            <w:tcW w:w="1124" w:type="dxa"/>
          </w:tcPr>
          <w:p w14:paraId="7F854154">
            <w:pPr>
              <w:pStyle w:val="12"/>
              <w:spacing w:line="360" w:lineRule="auto"/>
              <w:rPr>
                <w:rFonts w:hint="eastAsia" w:ascii="宋体" w:hAnsi="宋体" w:eastAsia="宋体" w:cs="宋体"/>
                <w:color w:val="auto"/>
                <w:sz w:val="22"/>
                <w:szCs w:val="22"/>
                <w:highlight w:val="none"/>
              </w:rPr>
            </w:pPr>
          </w:p>
        </w:tc>
      </w:tr>
      <w:tr w14:paraId="5C7C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2A5ED01E">
            <w:pPr>
              <w:pStyle w:val="12"/>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2492" w:type="dxa"/>
            <w:vAlign w:val="center"/>
          </w:tcPr>
          <w:p w14:paraId="1F3CD98A">
            <w:pPr>
              <w:pStyle w:val="12"/>
              <w:spacing w:line="360" w:lineRule="auto"/>
              <w:jc w:val="center"/>
              <w:rPr>
                <w:rFonts w:hint="eastAsia" w:ascii="宋体" w:hAnsi="宋体" w:eastAsia="宋体" w:cs="宋体"/>
                <w:color w:val="auto"/>
                <w:sz w:val="22"/>
                <w:szCs w:val="22"/>
                <w:highlight w:val="none"/>
              </w:rPr>
            </w:pPr>
          </w:p>
        </w:tc>
        <w:tc>
          <w:tcPr>
            <w:tcW w:w="915" w:type="dxa"/>
            <w:vAlign w:val="center"/>
          </w:tcPr>
          <w:p w14:paraId="407FE0D5">
            <w:pPr>
              <w:jc w:val="center"/>
              <w:rPr>
                <w:rFonts w:hint="eastAsia" w:ascii="宋体" w:hAnsi="宋体" w:eastAsia="宋体" w:cs="宋体"/>
                <w:b/>
                <w:bCs/>
                <w:color w:val="auto"/>
                <w:sz w:val="22"/>
                <w:szCs w:val="22"/>
                <w:highlight w:val="none"/>
              </w:rPr>
            </w:pPr>
          </w:p>
        </w:tc>
        <w:tc>
          <w:tcPr>
            <w:tcW w:w="1876" w:type="dxa"/>
            <w:vAlign w:val="center"/>
          </w:tcPr>
          <w:p w14:paraId="7785E00B">
            <w:pPr>
              <w:jc w:val="center"/>
              <w:rPr>
                <w:rFonts w:hint="eastAsia" w:ascii="宋体" w:hAnsi="宋体" w:eastAsia="宋体" w:cs="宋体"/>
                <w:b/>
                <w:bCs/>
                <w:color w:val="auto"/>
                <w:sz w:val="22"/>
                <w:szCs w:val="22"/>
                <w:highlight w:val="none"/>
              </w:rPr>
            </w:pPr>
          </w:p>
        </w:tc>
        <w:tc>
          <w:tcPr>
            <w:tcW w:w="495" w:type="dxa"/>
            <w:vAlign w:val="center"/>
          </w:tcPr>
          <w:p w14:paraId="3D17A1F6">
            <w:pPr>
              <w:pStyle w:val="12"/>
              <w:spacing w:line="360" w:lineRule="auto"/>
              <w:jc w:val="center"/>
              <w:rPr>
                <w:rFonts w:hint="eastAsia" w:ascii="宋体" w:hAnsi="宋体" w:eastAsia="宋体" w:cs="宋体"/>
                <w:b/>
                <w:bCs/>
                <w:color w:val="auto"/>
                <w:sz w:val="22"/>
                <w:szCs w:val="22"/>
                <w:highlight w:val="none"/>
              </w:rPr>
            </w:pPr>
          </w:p>
        </w:tc>
        <w:tc>
          <w:tcPr>
            <w:tcW w:w="498" w:type="dxa"/>
            <w:vAlign w:val="center"/>
          </w:tcPr>
          <w:p w14:paraId="60790336">
            <w:pPr>
              <w:pStyle w:val="12"/>
              <w:spacing w:line="360" w:lineRule="auto"/>
              <w:jc w:val="center"/>
              <w:rPr>
                <w:rFonts w:hint="eastAsia" w:ascii="宋体" w:hAnsi="宋体" w:eastAsia="宋体" w:cs="宋体"/>
                <w:b/>
                <w:bCs/>
                <w:color w:val="auto"/>
                <w:sz w:val="22"/>
                <w:szCs w:val="22"/>
                <w:highlight w:val="none"/>
              </w:rPr>
            </w:pPr>
          </w:p>
        </w:tc>
        <w:tc>
          <w:tcPr>
            <w:tcW w:w="1148" w:type="dxa"/>
            <w:vAlign w:val="center"/>
          </w:tcPr>
          <w:p w14:paraId="3DC4F694">
            <w:pPr>
              <w:pStyle w:val="12"/>
              <w:spacing w:line="360" w:lineRule="auto"/>
              <w:jc w:val="center"/>
              <w:rPr>
                <w:rFonts w:hint="eastAsia" w:ascii="宋体" w:hAnsi="宋体" w:eastAsia="宋体" w:cs="宋体"/>
                <w:b/>
                <w:bCs/>
                <w:color w:val="auto"/>
                <w:sz w:val="22"/>
                <w:szCs w:val="22"/>
                <w:highlight w:val="none"/>
              </w:rPr>
            </w:pPr>
          </w:p>
        </w:tc>
        <w:tc>
          <w:tcPr>
            <w:tcW w:w="1124" w:type="dxa"/>
            <w:vAlign w:val="center"/>
          </w:tcPr>
          <w:p w14:paraId="2E61F116">
            <w:pPr>
              <w:pStyle w:val="12"/>
              <w:spacing w:line="360" w:lineRule="auto"/>
              <w:jc w:val="center"/>
              <w:rPr>
                <w:rFonts w:hint="eastAsia" w:ascii="宋体" w:hAnsi="宋体" w:eastAsia="宋体" w:cs="宋体"/>
                <w:b/>
                <w:bCs/>
                <w:color w:val="auto"/>
                <w:sz w:val="22"/>
                <w:szCs w:val="22"/>
                <w:highlight w:val="none"/>
              </w:rPr>
            </w:pPr>
          </w:p>
        </w:tc>
      </w:tr>
      <w:tr w14:paraId="23E8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37C4D36F">
            <w:pPr>
              <w:pStyle w:val="12"/>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2492" w:type="dxa"/>
            <w:vAlign w:val="center"/>
          </w:tcPr>
          <w:p w14:paraId="59ACC226">
            <w:pPr>
              <w:pStyle w:val="12"/>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915" w:type="dxa"/>
            <w:vAlign w:val="center"/>
          </w:tcPr>
          <w:p w14:paraId="12A9C068">
            <w:pPr>
              <w:jc w:val="center"/>
              <w:rPr>
                <w:rFonts w:hint="eastAsia" w:ascii="宋体" w:hAnsi="宋体" w:eastAsia="宋体" w:cs="宋体"/>
                <w:color w:val="auto"/>
                <w:sz w:val="22"/>
                <w:szCs w:val="22"/>
                <w:highlight w:val="none"/>
              </w:rPr>
            </w:pPr>
          </w:p>
        </w:tc>
        <w:tc>
          <w:tcPr>
            <w:tcW w:w="1876" w:type="dxa"/>
            <w:vAlign w:val="center"/>
          </w:tcPr>
          <w:p w14:paraId="4F5E3F7B">
            <w:pPr>
              <w:jc w:val="center"/>
              <w:rPr>
                <w:rFonts w:hint="eastAsia" w:ascii="宋体" w:hAnsi="宋体" w:eastAsia="宋体" w:cs="宋体"/>
                <w:color w:val="auto"/>
                <w:sz w:val="22"/>
                <w:szCs w:val="22"/>
                <w:highlight w:val="none"/>
              </w:rPr>
            </w:pPr>
          </w:p>
        </w:tc>
        <w:tc>
          <w:tcPr>
            <w:tcW w:w="495" w:type="dxa"/>
            <w:vAlign w:val="center"/>
          </w:tcPr>
          <w:p w14:paraId="757DF10C">
            <w:pPr>
              <w:pStyle w:val="12"/>
              <w:spacing w:line="360" w:lineRule="auto"/>
              <w:jc w:val="center"/>
              <w:rPr>
                <w:rFonts w:hint="eastAsia" w:ascii="宋体" w:hAnsi="宋体" w:eastAsia="宋体" w:cs="宋体"/>
                <w:color w:val="auto"/>
                <w:sz w:val="22"/>
                <w:szCs w:val="22"/>
                <w:highlight w:val="none"/>
              </w:rPr>
            </w:pPr>
          </w:p>
        </w:tc>
        <w:tc>
          <w:tcPr>
            <w:tcW w:w="498" w:type="dxa"/>
            <w:vAlign w:val="center"/>
          </w:tcPr>
          <w:p w14:paraId="4382BA9F">
            <w:pPr>
              <w:pStyle w:val="12"/>
              <w:spacing w:line="360" w:lineRule="auto"/>
              <w:jc w:val="center"/>
              <w:rPr>
                <w:rFonts w:hint="eastAsia" w:ascii="宋体" w:hAnsi="宋体" w:eastAsia="宋体" w:cs="宋体"/>
                <w:color w:val="auto"/>
                <w:sz w:val="22"/>
                <w:szCs w:val="22"/>
                <w:highlight w:val="none"/>
              </w:rPr>
            </w:pPr>
          </w:p>
        </w:tc>
        <w:tc>
          <w:tcPr>
            <w:tcW w:w="1148" w:type="dxa"/>
          </w:tcPr>
          <w:p w14:paraId="4E19652D">
            <w:pPr>
              <w:pStyle w:val="12"/>
              <w:spacing w:line="360" w:lineRule="auto"/>
              <w:rPr>
                <w:rFonts w:hint="eastAsia" w:ascii="宋体" w:hAnsi="宋体" w:eastAsia="宋体" w:cs="宋体"/>
                <w:color w:val="auto"/>
                <w:sz w:val="22"/>
                <w:szCs w:val="22"/>
                <w:highlight w:val="none"/>
              </w:rPr>
            </w:pPr>
          </w:p>
        </w:tc>
        <w:tc>
          <w:tcPr>
            <w:tcW w:w="1124" w:type="dxa"/>
          </w:tcPr>
          <w:p w14:paraId="279BD168">
            <w:pPr>
              <w:pStyle w:val="12"/>
              <w:spacing w:line="360" w:lineRule="auto"/>
              <w:rPr>
                <w:rFonts w:hint="eastAsia" w:ascii="宋体" w:hAnsi="宋体" w:eastAsia="宋体" w:cs="宋体"/>
                <w:color w:val="auto"/>
                <w:sz w:val="22"/>
                <w:szCs w:val="22"/>
                <w:highlight w:val="none"/>
              </w:rPr>
            </w:pPr>
          </w:p>
        </w:tc>
      </w:tr>
      <w:tr w14:paraId="5CDE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981" w:type="dxa"/>
            <w:gridSpan w:val="2"/>
            <w:vAlign w:val="center"/>
          </w:tcPr>
          <w:p w14:paraId="21489479">
            <w:pPr>
              <w:pStyle w:val="12"/>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投标总价</w:t>
            </w:r>
          </w:p>
        </w:tc>
        <w:tc>
          <w:tcPr>
            <w:tcW w:w="6056" w:type="dxa"/>
            <w:gridSpan w:val="6"/>
            <w:vAlign w:val="center"/>
          </w:tcPr>
          <w:p w14:paraId="02AA0E7F">
            <w:pPr>
              <w:pStyle w:val="12"/>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　　　　                元（小写：　　　　　）</w:t>
            </w:r>
          </w:p>
        </w:tc>
      </w:tr>
      <w:tr w14:paraId="31CA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55406685">
            <w:pPr>
              <w:pStyle w:val="12"/>
              <w:spacing w:line="360" w:lineRule="auto"/>
              <w:ind w:firstLine="48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4"/>
                <w:szCs w:val="24"/>
                <w:highlight w:val="none"/>
              </w:rPr>
              <w:t>本次报价应包含项目所需全部服务，不得缺漏，是履行合同的最终价格（服务费、交通费、检测费、报告费、人工费、税金、招标代理费以及成交供应商认为有必要计入</w:t>
            </w:r>
            <w:r>
              <w:rPr>
                <w:rFonts w:hint="eastAsia" w:hAnsi="宋体" w:cs="宋体"/>
                <w:color w:val="auto"/>
                <w:sz w:val="24"/>
                <w:szCs w:val="24"/>
                <w:highlight w:val="none"/>
                <w:lang w:eastAsia="zh-CN"/>
              </w:rPr>
              <w:t>的其他费用</w:t>
            </w:r>
            <w:r>
              <w:rPr>
                <w:rFonts w:hint="eastAsia" w:ascii="宋体" w:hAnsi="宋体" w:eastAsia="宋体" w:cs="宋体"/>
                <w:color w:val="auto"/>
                <w:sz w:val="24"/>
                <w:szCs w:val="24"/>
                <w:highlight w:val="none"/>
              </w:rPr>
              <w:t>等一切费用）。</w:t>
            </w:r>
          </w:p>
        </w:tc>
      </w:tr>
    </w:tbl>
    <w:p w14:paraId="081EEA44">
      <w:pPr>
        <w:spacing w:line="360" w:lineRule="auto"/>
        <w:ind w:firstLine="480" w:firstLineChars="200"/>
        <w:rPr>
          <w:rFonts w:hint="eastAsia" w:ascii="宋体" w:hAnsi="宋体" w:eastAsia="宋体" w:cs="宋体"/>
          <w:color w:val="auto"/>
          <w:sz w:val="24"/>
          <w:szCs w:val="24"/>
          <w:highlight w:val="none"/>
        </w:rPr>
      </w:pPr>
    </w:p>
    <w:p w14:paraId="2CF5E37C">
      <w:pPr>
        <w:pStyle w:val="12"/>
        <w:spacing w:line="360" w:lineRule="auto"/>
        <w:ind w:firstLine="480" w:firstLineChars="200"/>
        <w:rPr>
          <w:rFonts w:hint="eastAsia" w:ascii="宋体" w:hAnsi="宋体" w:eastAsia="宋体" w:cs="宋体"/>
          <w:color w:val="auto"/>
          <w:sz w:val="24"/>
          <w:szCs w:val="24"/>
          <w:highlight w:val="none"/>
        </w:rPr>
      </w:pPr>
    </w:p>
    <w:p w14:paraId="1FAEACC0">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注：内容可根据供应商实际情况自行调整。</w:t>
      </w:r>
    </w:p>
    <w:p w14:paraId="36B75C14">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58ACCEE6">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5CC2A30">
      <w:pPr>
        <w:spacing w:line="360" w:lineRule="auto"/>
        <w:ind w:left="3780" w:leftChars="1800"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供应商全称（公章）</w:t>
      </w:r>
      <w:bookmarkEnd w:id="114"/>
      <w:r>
        <w:rPr>
          <w:rFonts w:hint="eastAsia" w:ascii="宋体" w:hAnsi="宋体" w:cs="宋体"/>
          <w:color w:val="auto"/>
          <w:sz w:val="24"/>
          <w:szCs w:val="24"/>
          <w:highlight w:val="none"/>
          <w:lang w:eastAsia="zh-CN"/>
        </w:rPr>
        <w:t>：</w:t>
      </w:r>
    </w:p>
    <w:p w14:paraId="193515BE">
      <w:pPr>
        <w:pStyle w:val="9"/>
        <w:rPr>
          <w:rFonts w:hint="eastAsia" w:ascii="宋体" w:hAnsi="宋体" w:cs="宋体"/>
          <w:color w:val="auto"/>
          <w:sz w:val="24"/>
          <w:szCs w:val="24"/>
          <w:highlight w:val="none"/>
          <w:lang w:eastAsia="zh-CN"/>
        </w:rPr>
      </w:pPr>
    </w:p>
    <w:p w14:paraId="25BD10D4">
      <w:pPr>
        <w:pStyle w:val="9"/>
        <w:rPr>
          <w:rFonts w:hint="eastAsia" w:ascii="宋体" w:hAnsi="宋体" w:cs="宋体"/>
          <w:color w:val="auto"/>
          <w:sz w:val="24"/>
          <w:szCs w:val="24"/>
          <w:highlight w:val="none"/>
          <w:lang w:eastAsia="zh-CN"/>
        </w:rPr>
      </w:pPr>
    </w:p>
    <w:p w14:paraId="18439231">
      <w:pPr>
        <w:pStyle w:val="9"/>
        <w:rPr>
          <w:rFonts w:hint="eastAsia" w:ascii="宋体" w:hAnsi="宋体" w:cs="宋体"/>
          <w:color w:val="auto"/>
          <w:sz w:val="24"/>
          <w:szCs w:val="24"/>
          <w:highlight w:val="none"/>
          <w:lang w:eastAsia="zh-CN"/>
        </w:rPr>
      </w:pPr>
    </w:p>
    <w:p w14:paraId="445504EE">
      <w:pPr>
        <w:pStyle w:val="9"/>
        <w:rPr>
          <w:rFonts w:hint="eastAsia" w:ascii="宋体" w:hAnsi="宋体" w:cs="宋体"/>
          <w:color w:val="auto"/>
          <w:sz w:val="24"/>
          <w:szCs w:val="24"/>
          <w:highlight w:val="none"/>
          <w:lang w:eastAsia="zh-CN"/>
        </w:rPr>
      </w:pPr>
    </w:p>
    <w:sectPr>
      <w:headerReference r:id="rId6" w:type="default"/>
      <w:footerReference r:id="rId7" w:type="default"/>
      <w:pgSz w:w="11906" w:h="16838"/>
      <w:pgMar w:top="1440" w:right="1803" w:bottom="1440" w:left="1803"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E701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E3241">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EF8B00">
                          <w:pPr>
                            <w:pStyle w:val="14"/>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6BEF8B00">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D54E3">
    <w:pPr>
      <w:pStyle w:val="14"/>
      <w:jc w:val="center"/>
      <w:rPr>
        <w:rFonts w:ascii="宋体"/>
        <w:sz w:val="28"/>
        <w:szCs w:val="28"/>
      </w:rPr>
    </w:pPr>
    <w:r>
      <w:rPr>
        <w:rFonts w:hint="eastAsia" w:ascii="宋体"/>
        <w:sz w:val="28"/>
        <w:szCs w:val="28"/>
      </w:rPr>
      <w:fldChar w:fldCharType="begin"/>
    </w:r>
    <w:r>
      <w:rPr>
        <w:rFonts w:hint="eastAsia" w:ascii="宋体"/>
        <w:sz w:val="28"/>
        <w:szCs w:val="28"/>
      </w:rPr>
      <w:instrText xml:space="preserve">PAGE   \* MERGEFORMAT</w:instrText>
    </w:r>
    <w:r>
      <w:rPr>
        <w:rFonts w:hint="eastAsia" w:ascii="宋体"/>
        <w:sz w:val="28"/>
        <w:szCs w:val="28"/>
      </w:rPr>
      <w:fldChar w:fldCharType="separate"/>
    </w:r>
    <w:r>
      <w:rPr>
        <w:rFonts w:ascii="宋体"/>
        <w:sz w:val="28"/>
        <w:szCs w:val="28"/>
        <w:lang w:val="zh-CN"/>
      </w:rPr>
      <w:t>28</w:t>
    </w:r>
    <w:r>
      <w:rPr>
        <w:rFonts w:hint="eastAsia" w:ascii="宋体"/>
        <w:sz w:val="28"/>
        <w:szCs w:val="28"/>
      </w:rPr>
      <w:fldChar w:fldCharType="end"/>
    </w:r>
  </w:p>
  <w:p w14:paraId="690E435C">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D65E7">
    <w:pPr>
      <w:pStyle w:val="14"/>
      <w:rPr>
        <w:rStyle w:val="2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7F22C026">
                          <w:pPr>
                            <w:pStyle w:val="14"/>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7F22C026">
                    <w:pPr>
                      <w:pStyle w:val="14"/>
                    </w:pPr>
                    <w:r>
                      <w:fldChar w:fldCharType="begin"/>
                    </w:r>
                    <w:r>
                      <w:instrText xml:space="preserve"> PAGE  \* MERGEFORMAT </w:instrText>
                    </w:r>
                    <w:r>
                      <w:fldChar w:fldCharType="separate"/>
                    </w:r>
                    <w:r>
                      <w:t>52</w:t>
                    </w:r>
                    <w:r>
                      <w:fldChar w:fldCharType="end"/>
                    </w:r>
                  </w:p>
                </w:txbxContent>
              </v:textbox>
            </v:shape>
          </w:pict>
        </mc:Fallback>
      </mc:AlternateContent>
    </w:r>
  </w:p>
  <w:p w14:paraId="47268898">
    <w:pPr>
      <w:pStyle w:val="14"/>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34C88">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7C9F9"/>
    <w:multiLevelType w:val="singleLevel"/>
    <w:tmpl w:val="8F57C9F9"/>
    <w:lvl w:ilvl="0" w:tentative="0">
      <w:start w:val="2"/>
      <w:numFmt w:val="decimal"/>
      <w:suff w:val="nothing"/>
      <w:lvlText w:val="%1、"/>
      <w:lvlJc w:val="left"/>
    </w:lvl>
  </w:abstractNum>
  <w:abstractNum w:abstractNumId="1">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2">
    <w:nsid w:val="962ACF20"/>
    <w:multiLevelType w:val="singleLevel"/>
    <w:tmpl w:val="962ACF20"/>
    <w:lvl w:ilvl="0" w:tentative="0">
      <w:start w:val="3"/>
      <w:numFmt w:val="chineseCounting"/>
      <w:suff w:val="space"/>
      <w:lvlText w:val="第%1章"/>
      <w:lvlJc w:val="left"/>
      <w:rPr>
        <w:rFonts w:hint="eastAsia"/>
      </w:rPr>
    </w:lvl>
  </w:abstractNum>
  <w:abstractNum w:abstractNumId="3">
    <w:nsid w:val="9E7D436F"/>
    <w:multiLevelType w:val="singleLevel"/>
    <w:tmpl w:val="9E7D436F"/>
    <w:lvl w:ilvl="0" w:tentative="0">
      <w:start w:val="1"/>
      <w:numFmt w:val="chineseCounting"/>
      <w:suff w:val="nothing"/>
      <w:lvlText w:val="%1、"/>
      <w:lvlJc w:val="left"/>
      <w:rPr>
        <w:rFonts w:hint="eastAsia"/>
      </w:rPr>
    </w:lvl>
  </w:abstractNum>
  <w:abstractNum w:abstractNumId="4">
    <w:nsid w:val="BC4BF914"/>
    <w:multiLevelType w:val="singleLevel"/>
    <w:tmpl w:val="BC4BF914"/>
    <w:lvl w:ilvl="0" w:tentative="0">
      <w:start w:val="2"/>
      <w:numFmt w:val="chineseCounting"/>
      <w:suff w:val="nothing"/>
      <w:lvlText w:val="%1、"/>
      <w:lvlJc w:val="left"/>
      <w:rPr>
        <w:rFonts w:hint="eastAsia"/>
      </w:rPr>
    </w:lvl>
  </w:abstractNum>
  <w:abstractNum w:abstractNumId="5">
    <w:nsid w:val="E140FCDC"/>
    <w:multiLevelType w:val="singleLevel"/>
    <w:tmpl w:val="E140FCDC"/>
    <w:lvl w:ilvl="0" w:tentative="0">
      <w:start w:val="1"/>
      <w:numFmt w:val="decimal"/>
      <w:suff w:val="nothing"/>
      <w:lvlText w:val="%1、"/>
      <w:lvlJc w:val="left"/>
    </w:lvl>
  </w:abstractNum>
  <w:abstractNum w:abstractNumId="6">
    <w:nsid w:val="F4396F3A"/>
    <w:multiLevelType w:val="singleLevel"/>
    <w:tmpl w:val="F4396F3A"/>
    <w:lvl w:ilvl="0" w:tentative="0">
      <w:start w:val="2"/>
      <w:numFmt w:val="chineseCounting"/>
      <w:suff w:val="nothing"/>
      <w:lvlText w:val="%1、"/>
      <w:lvlJc w:val="left"/>
      <w:rPr>
        <w:rFonts w:hint="eastAsia"/>
      </w:rPr>
    </w:lvl>
  </w:abstractNum>
  <w:abstractNum w:abstractNumId="7">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8">
    <w:nsid w:val="12F353C5"/>
    <w:multiLevelType w:val="singleLevel"/>
    <w:tmpl w:val="12F353C5"/>
    <w:lvl w:ilvl="0" w:tentative="0">
      <w:start w:val="1"/>
      <w:numFmt w:val="chineseCounting"/>
      <w:suff w:val="nothing"/>
      <w:lvlText w:val="%1、"/>
      <w:lvlJc w:val="left"/>
      <w:rPr>
        <w:rFonts w:hint="eastAsia"/>
      </w:rPr>
    </w:lvl>
  </w:abstractNum>
  <w:abstractNum w:abstractNumId="9">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0">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1">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2">
    <w:nsid w:val="211911C0"/>
    <w:multiLevelType w:val="singleLevel"/>
    <w:tmpl w:val="211911C0"/>
    <w:lvl w:ilvl="0" w:tentative="0">
      <w:start w:val="1"/>
      <w:numFmt w:val="decimalEnclosedCircleChinese"/>
      <w:suff w:val="nothing"/>
      <w:lvlText w:val="%1　"/>
      <w:lvlJc w:val="left"/>
      <w:pPr>
        <w:ind w:left="150" w:firstLine="400"/>
      </w:pPr>
      <w:rPr>
        <w:rFonts w:hint="eastAsia"/>
      </w:rPr>
    </w:lvl>
  </w:abstractNum>
  <w:abstractNum w:abstractNumId="13">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4">
    <w:nsid w:val="286271E5"/>
    <w:multiLevelType w:val="multilevel"/>
    <w:tmpl w:val="286271E5"/>
    <w:lvl w:ilvl="0" w:tentative="0">
      <w:start w:val="1"/>
      <w:numFmt w:val="lowerLetter"/>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5">
    <w:nsid w:val="2BCCD9E4"/>
    <w:multiLevelType w:val="singleLevel"/>
    <w:tmpl w:val="2BCCD9E4"/>
    <w:lvl w:ilvl="0" w:tentative="0">
      <w:start w:val="1"/>
      <w:numFmt w:val="decimalEnclosedCircleChinese"/>
      <w:suff w:val="nothing"/>
      <w:lvlText w:val="%1　"/>
      <w:lvlJc w:val="left"/>
      <w:pPr>
        <w:ind w:firstLine="1134"/>
      </w:pPr>
      <w:rPr>
        <w:rFonts w:hint="eastAsia"/>
      </w:rPr>
    </w:lvl>
  </w:abstractNum>
  <w:abstractNum w:abstractNumId="16">
    <w:nsid w:val="31213A5A"/>
    <w:multiLevelType w:val="singleLevel"/>
    <w:tmpl w:val="31213A5A"/>
    <w:lvl w:ilvl="0" w:tentative="0">
      <w:start w:val="4"/>
      <w:numFmt w:val="chineseCounting"/>
      <w:suff w:val="nothing"/>
      <w:lvlText w:val="%1、"/>
      <w:lvlJc w:val="left"/>
      <w:rPr>
        <w:rFonts w:hint="eastAsia"/>
      </w:rPr>
    </w:lvl>
  </w:abstractNum>
  <w:abstractNum w:abstractNumId="17">
    <w:nsid w:val="45F4B8F6"/>
    <w:multiLevelType w:val="singleLevel"/>
    <w:tmpl w:val="45F4B8F6"/>
    <w:lvl w:ilvl="0" w:tentative="0">
      <w:start w:val="1"/>
      <w:numFmt w:val="decimalEnclosedCircleChinese"/>
      <w:suff w:val="nothing"/>
      <w:lvlText w:val="%1　"/>
      <w:lvlJc w:val="left"/>
      <w:pPr>
        <w:ind w:left="150" w:firstLine="400"/>
      </w:pPr>
      <w:rPr>
        <w:rFonts w:hint="eastAsia"/>
      </w:rPr>
    </w:lvl>
  </w:abstractNum>
  <w:abstractNum w:abstractNumId="18">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9">
    <w:nsid w:val="483C6E98"/>
    <w:multiLevelType w:val="singleLevel"/>
    <w:tmpl w:val="483C6E98"/>
    <w:lvl w:ilvl="0" w:tentative="0">
      <w:start w:val="1"/>
      <w:numFmt w:val="decimal"/>
      <w:suff w:val="nothing"/>
      <w:lvlText w:val="%1、"/>
      <w:lvlJc w:val="left"/>
    </w:lvl>
  </w:abstractNum>
  <w:abstractNum w:abstractNumId="20">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21">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22">
    <w:nsid w:val="63E48693"/>
    <w:multiLevelType w:val="singleLevel"/>
    <w:tmpl w:val="63E48693"/>
    <w:lvl w:ilvl="0" w:tentative="0">
      <w:start w:val="2"/>
      <w:numFmt w:val="chineseCounting"/>
      <w:suff w:val="nothing"/>
      <w:lvlText w:val="%1、"/>
      <w:lvlJc w:val="left"/>
      <w:rPr>
        <w:rFonts w:hint="eastAsia"/>
      </w:rPr>
    </w:lvl>
  </w:abstractNum>
  <w:abstractNum w:abstractNumId="23">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7"/>
  </w:num>
  <w:num w:numId="2">
    <w:abstractNumId w:val="20"/>
  </w:num>
  <w:num w:numId="3">
    <w:abstractNumId w:val="10"/>
  </w:num>
  <w:num w:numId="4">
    <w:abstractNumId w:val="23"/>
  </w:num>
  <w:num w:numId="5">
    <w:abstractNumId w:val="11"/>
  </w:num>
  <w:num w:numId="6">
    <w:abstractNumId w:val="21"/>
  </w:num>
  <w:num w:numId="7">
    <w:abstractNumId w:val="19"/>
  </w:num>
  <w:num w:numId="8">
    <w:abstractNumId w:val="8"/>
  </w:num>
  <w:num w:numId="9">
    <w:abstractNumId w:val="9"/>
  </w:num>
  <w:num w:numId="10">
    <w:abstractNumId w:val="18"/>
  </w:num>
  <w:num w:numId="11">
    <w:abstractNumId w:val="12"/>
  </w:num>
  <w:num w:numId="12">
    <w:abstractNumId w:val="15"/>
  </w:num>
  <w:num w:numId="13">
    <w:abstractNumId w:val="1"/>
  </w:num>
  <w:num w:numId="14">
    <w:abstractNumId w:val="13"/>
  </w:num>
  <w:num w:numId="15">
    <w:abstractNumId w:val="2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16"/>
  </w:num>
  <w:num w:numId="20">
    <w:abstractNumId w:val="6"/>
  </w:num>
  <w:num w:numId="21">
    <w:abstractNumId w:val="5"/>
  </w:num>
  <w:num w:numId="22">
    <w:abstractNumId w:val="0"/>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MDVmMzExYmQ1MWZjZjJlMmQwZDcwY2MyOTg4M2UifQ=="/>
  </w:docVars>
  <w:rsids>
    <w:rsidRoot w:val="00000000"/>
    <w:rsid w:val="007D1BF7"/>
    <w:rsid w:val="008871D9"/>
    <w:rsid w:val="0166540A"/>
    <w:rsid w:val="018F4EBE"/>
    <w:rsid w:val="01AE6C84"/>
    <w:rsid w:val="01BB1ECC"/>
    <w:rsid w:val="02AB390E"/>
    <w:rsid w:val="04EC458F"/>
    <w:rsid w:val="0550594D"/>
    <w:rsid w:val="059A18C2"/>
    <w:rsid w:val="05A43A27"/>
    <w:rsid w:val="05BF4111"/>
    <w:rsid w:val="060F7DF2"/>
    <w:rsid w:val="06460E8D"/>
    <w:rsid w:val="06C13B23"/>
    <w:rsid w:val="070D0B30"/>
    <w:rsid w:val="0833559E"/>
    <w:rsid w:val="08B17754"/>
    <w:rsid w:val="095945EF"/>
    <w:rsid w:val="096B69D0"/>
    <w:rsid w:val="09FC0922"/>
    <w:rsid w:val="0AB83A5C"/>
    <w:rsid w:val="0AF4146F"/>
    <w:rsid w:val="0AFC4D40"/>
    <w:rsid w:val="0B9C79DA"/>
    <w:rsid w:val="0BA871D4"/>
    <w:rsid w:val="0BDF6B2D"/>
    <w:rsid w:val="0C656D19"/>
    <w:rsid w:val="0CFA54CF"/>
    <w:rsid w:val="0D3E0ED6"/>
    <w:rsid w:val="0DC25855"/>
    <w:rsid w:val="0E93747B"/>
    <w:rsid w:val="0EBD0A5A"/>
    <w:rsid w:val="0F0C3DC3"/>
    <w:rsid w:val="0F294985"/>
    <w:rsid w:val="0F4B7839"/>
    <w:rsid w:val="0F5F2145"/>
    <w:rsid w:val="10043001"/>
    <w:rsid w:val="10A07E3F"/>
    <w:rsid w:val="11621E57"/>
    <w:rsid w:val="11C2279F"/>
    <w:rsid w:val="123E4294"/>
    <w:rsid w:val="13AE6E45"/>
    <w:rsid w:val="13BD568C"/>
    <w:rsid w:val="151B6B0E"/>
    <w:rsid w:val="154A0179"/>
    <w:rsid w:val="166B518D"/>
    <w:rsid w:val="16E71656"/>
    <w:rsid w:val="18C756A6"/>
    <w:rsid w:val="19353092"/>
    <w:rsid w:val="19362169"/>
    <w:rsid w:val="1ABF0599"/>
    <w:rsid w:val="1B6D7151"/>
    <w:rsid w:val="1B72462C"/>
    <w:rsid w:val="1B841782"/>
    <w:rsid w:val="1CC37A0C"/>
    <w:rsid w:val="1D920DEA"/>
    <w:rsid w:val="1E696B3C"/>
    <w:rsid w:val="1F9B1ACE"/>
    <w:rsid w:val="1FB14467"/>
    <w:rsid w:val="1FBC1C2E"/>
    <w:rsid w:val="201E74B3"/>
    <w:rsid w:val="20A66641"/>
    <w:rsid w:val="21BF0821"/>
    <w:rsid w:val="22EE43F4"/>
    <w:rsid w:val="248368E0"/>
    <w:rsid w:val="254B55DF"/>
    <w:rsid w:val="261605FA"/>
    <w:rsid w:val="269B71D5"/>
    <w:rsid w:val="283A0587"/>
    <w:rsid w:val="292C1E16"/>
    <w:rsid w:val="297F6DF4"/>
    <w:rsid w:val="29CE5DA6"/>
    <w:rsid w:val="29E71984"/>
    <w:rsid w:val="2AAA058C"/>
    <w:rsid w:val="2B9F3B9D"/>
    <w:rsid w:val="2C90612D"/>
    <w:rsid w:val="2CB35427"/>
    <w:rsid w:val="2D401D7D"/>
    <w:rsid w:val="2FAA5EA5"/>
    <w:rsid w:val="307F7AFA"/>
    <w:rsid w:val="30B57FCF"/>
    <w:rsid w:val="310E6C0D"/>
    <w:rsid w:val="3288698A"/>
    <w:rsid w:val="336B20D1"/>
    <w:rsid w:val="336E20A7"/>
    <w:rsid w:val="33752BC2"/>
    <w:rsid w:val="33A57990"/>
    <w:rsid w:val="33D37E50"/>
    <w:rsid w:val="340D0AE3"/>
    <w:rsid w:val="342C7F98"/>
    <w:rsid w:val="353213A0"/>
    <w:rsid w:val="35443F37"/>
    <w:rsid w:val="35FB4B57"/>
    <w:rsid w:val="362B07DC"/>
    <w:rsid w:val="364A3791"/>
    <w:rsid w:val="36E36A42"/>
    <w:rsid w:val="37AA5E7E"/>
    <w:rsid w:val="384B0848"/>
    <w:rsid w:val="386C2FAF"/>
    <w:rsid w:val="38CC1665"/>
    <w:rsid w:val="3A5F47A0"/>
    <w:rsid w:val="3A90794F"/>
    <w:rsid w:val="3B517999"/>
    <w:rsid w:val="3C4B5C20"/>
    <w:rsid w:val="3CC27654"/>
    <w:rsid w:val="3CE42F1D"/>
    <w:rsid w:val="3D6A733F"/>
    <w:rsid w:val="3D913748"/>
    <w:rsid w:val="3DBE1F94"/>
    <w:rsid w:val="3DD80F91"/>
    <w:rsid w:val="3E0E7312"/>
    <w:rsid w:val="3E593851"/>
    <w:rsid w:val="3E805CCE"/>
    <w:rsid w:val="3EED7957"/>
    <w:rsid w:val="3EFE27D5"/>
    <w:rsid w:val="3FBB52FF"/>
    <w:rsid w:val="40E225F0"/>
    <w:rsid w:val="40E93B81"/>
    <w:rsid w:val="415145C9"/>
    <w:rsid w:val="43210EE4"/>
    <w:rsid w:val="434A2EFA"/>
    <w:rsid w:val="438E3061"/>
    <w:rsid w:val="43A37B74"/>
    <w:rsid w:val="44141B83"/>
    <w:rsid w:val="44191701"/>
    <w:rsid w:val="44EF1588"/>
    <w:rsid w:val="452F1A23"/>
    <w:rsid w:val="455049B9"/>
    <w:rsid w:val="46A53D0D"/>
    <w:rsid w:val="475875BB"/>
    <w:rsid w:val="47AC48AF"/>
    <w:rsid w:val="488C7EAF"/>
    <w:rsid w:val="492D1A36"/>
    <w:rsid w:val="49492942"/>
    <w:rsid w:val="49824284"/>
    <w:rsid w:val="49BB026C"/>
    <w:rsid w:val="4A3A4459"/>
    <w:rsid w:val="4B6D6758"/>
    <w:rsid w:val="4C525213"/>
    <w:rsid w:val="4D42277A"/>
    <w:rsid w:val="4DAA338D"/>
    <w:rsid w:val="4E9F0FF5"/>
    <w:rsid w:val="4EC8766C"/>
    <w:rsid w:val="4EF16300"/>
    <w:rsid w:val="4F1B0A0E"/>
    <w:rsid w:val="4F1D6A04"/>
    <w:rsid w:val="4F757DDE"/>
    <w:rsid w:val="50550552"/>
    <w:rsid w:val="51133B73"/>
    <w:rsid w:val="516B447C"/>
    <w:rsid w:val="51FD72AA"/>
    <w:rsid w:val="52346539"/>
    <w:rsid w:val="52460E0D"/>
    <w:rsid w:val="5265409F"/>
    <w:rsid w:val="5288658E"/>
    <w:rsid w:val="54034147"/>
    <w:rsid w:val="544F6377"/>
    <w:rsid w:val="551A1C1B"/>
    <w:rsid w:val="586804F3"/>
    <w:rsid w:val="58DC09A9"/>
    <w:rsid w:val="591D5539"/>
    <w:rsid w:val="5A2D2B8A"/>
    <w:rsid w:val="5AA54226"/>
    <w:rsid w:val="5B3531AA"/>
    <w:rsid w:val="5C6D4B06"/>
    <w:rsid w:val="5D0D2DD8"/>
    <w:rsid w:val="5E101875"/>
    <w:rsid w:val="5EB94076"/>
    <w:rsid w:val="5EBC5859"/>
    <w:rsid w:val="5F487A20"/>
    <w:rsid w:val="6009588A"/>
    <w:rsid w:val="6061130C"/>
    <w:rsid w:val="6128732F"/>
    <w:rsid w:val="618A35DC"/>
    <w:rsid w:val="62A42226"/>
    <w:rsid w:val="62D3266B"/>
    <w:rsid w:val="62F33965"/>
    <w:rsid w:val="62FD5252"/>
    <w:rsid w:val="64760C38"/>
    <w:rsid w:val="65623DBD"/>
    <w:rsid w:val="65B172DB"/>
    <w:rsid w:val="65DE046F"/>
    <w:rsid w:val="662D1F7B"/>
    <w:rsid w:val="663279EE"/>
    <w:rsid w:val="66DA6AF8"/>
    <w:rsid w:val="67074B4F"/>
    <w:rsid w:val="67420919"/>
    <w:rsid w:val="6892174F"/>
    <w:rsid w:val="695B3EF6"/>
    <w:rsid w:val="69A91168"/>
    <w:rsid w:val="6AF64881"/>
    <w:rsid w:val="6B421E2A"/>
    <w:rsid w:val="6BF57693"/>
    <w:rsid w:val="6C803403"/>
    <w:rsid w:val="6CC335A1"/>
    <w:rsid w:val="6CCB33F0"/>
    <w:rsid w:val="6CFC39A7"/>
    <w:rsid w:val="6D7328F4"/>
    <w:rsid w:val="6DAF583F"/>
    <w:rsid w:val="6F0E3769"/>
    <w:rsid w:val="6F196606"/>
    <w:rsid w:val="701632CF"/>
    <w:rsid w:val="7040062D"/>
    <w:rsid w:val="70711057"/>
    <w:rsid w:val="70A71437"/>
    <w:rsid w:val="715B5237"/>
    <w:rsid w:val="736A53B8"/>
    <w:rsid w:val="73C8004A"/>
    <w:rsid w:val="73D03795"/>
    <w:rsid w:val="745E125D"/>
    <w:rsid w:val="74831A34"/>
    <w:rsid w:val="75051844"/>
    <w:rsid w:val="76252FA5"/>
    <w:rsid w:val="763D4652"/>
    <w:rsid w:val="782311A6"/>
    <w:rsid w:val="78987E3A"/>
    <w:rsid w:val="78C60970"/>
    <w:rsid w:val="7A245285"/>
    <w:rsid w:val="7AAF5F39"/>
    <w:rsid w:val="7CAB3D98"/>
    <w:rsid w:val="7CCE3A3A"/>
    <w:rsid w:val="7D88756D"/>
    <w:rsid w:val="7E046E5D"/>
    <w:rsid w:val="7E2748DB"/>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unhideWhenUsed="0" w:uiPriority="0" w:semiHidden="0" w:name="toc 3"/>
    <w:lsdException w:qFormat="1" w:unhideWhenUsed="0" w:uiPriority="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autoRedefine/>
    <w:qFormat/>
    <w:uiPriority w:val="99"/>
    <w:pPr>
      <w:keepNext/>
      <w:keepLines/>
      <w:spacing w:line="576" w:lineRule="auto"/>
      <w:jc w:val="center"/>
      <w:outlineLvl w:val="0"/>
    </w:pPr>
    <w:rPr>
      <w:rFonts w:ascii="Calibri" w:hAnsi="Calibri" w:eastAsia="宋体" w:cs="Calibri"/>
      <w:b/>
      <w:bCs/>
      <w:kern w:val="44"/>
      <w:sz w:val="36"/>
      <w:szCs w:val="44"/>
    </w:rPr>
  </w:style>
  <w:style w:type="paragraph" w:styleId="3">
    <w:name w:val="heading 2"/>
    <w:basedOn w:val="1"/>
    <w:next w:val="1"/>
    <w:autoRedefine/>
    <w:qFormat/>
    <w:uiPriority w:val="99"/>
    <w:pPr>
      <w:keepNext/>
      <w:spacing w:line="216" w:lineRule="auto"/>
      <w:jc w:val="center"/>
      <w:outlineLvl w:val="1"/>
    </w:pPr>
    <w:rPr>
      <w:rFonts w:ascii="宋体" w:hAnsi="宋体" w:eastAsia="宋体" w:cs="宋体"/>
      <w:b/>
      <w:bCs/>
      <w:sz w:val="28"/>
      <w:szCs w:val="28"/>
    </w:rPr>
  </w:style>
  <w:style w:type="paragraph" w:styleId="4">
    <w:name w:val="heading 4"/>
    <w:basedOn w:val="1"/>
    <w:next w:val="1"/>
    <w:autoRedefine/>
    <w:qFormat/>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paragraph" w:styleId="5">
    <w:name w:val="heading 5"/>
    <w:basedOn w:val="1"/>
    <w:next w:val="1"/>
    <w:autoRedefine/>
    <w:qFormat/>
    <w:uiPriority w:val="0"/>
    <w:pPr>
      <w:keepNext/>
      <w:keepLines/>
      <w:outlineLvl w:val="4"/>
    </w:pPr>
    <w:rPr>
      <w:b/>
      <w:bCs/>
      <w:color w:val="000000"/>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7"/>
    <w:autoRedefine/>
    <w:qFormat/>
    <w:uiPriority w:val="99"/>
    <w:pPr>
      <w:ind w:firstLine="420"/>
    </w:pPr>
  </w:style>
  <w:style w:type="paragraph" w:styleId="7">
    <w:name w:val="toc 4"/>
    <w:basedOn w:val="1"/>
    <w:next w:val="1"/>
    <w:autoRedefine/>
    <w:semiHidden/>
    <w:qFormat/>
    <w:uiPriority w:val="0"/>
    <w:pPr>
      <w:ind w:left="1260" w:leftChars="600"/>
    </w:pPr>
  </w:style>
  <w:style w:type="paragraph" w:styleId="8">
    <w:name w:val="Body Text 3"/>
    <w:basedOn w:val="1"/>
    <w:autoRedefine/>
    <w:qFormat/>
    <w:uiPriority w:val="0"/>
    <w:pPr>
      <w:spacing w:after="120"/>
      <w:ind w:left="425" w:hanging="425"/>
    </w:pPr>
    <w:rPr>
      <w:sz w:val="16"/>
      <w:szCs w:val="16"/>
    </w:rPr>
  </w:style>
  <w:style w:type="paragraph" w:styleId="9">
    <w:name w:val="Body Text"/>
    <w:basedOn w:val="1"/>
    <w:next w:val="10"/>
    <w:autoRedefine/>
    <w:qFormat/>
    <w:uiPriority w:val="99"/>
  </w:style>
  <w:style w:type="paragraph" w:customStyle="1" w:styleId="10">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1">
    <w:name w:val="Body Text Indent"/>
    <w:basedOn w:val="1"/>
    <w:next w:val="1"/>
    <w:autoRedefine/>
    <w:qFormat/>
    <w:uiPriority w:val="99"/>
    <w:pPr>
      <w:adjustRightInd w:val="0"/>
      <w:spacing w:line="360" w:lineRule="auto"/>
      <w:ind w:firstLine="490"/>
      <w:jc w:val="left"/>
    </w:pPr>
    <w:rPr>
      <w:rFonts w:ascii="宋体" w:hAnsi="宋体" w:cs="宋体"/>
      <w:sz w:val="24"/>
      <w:szCs w:val="24"/>
    </w:rPr>
  </w:style>
  <w:style w:type="paragraph" w:styleId="12">
    <w:name w:val="Plain Text"/>
    <w:basedOn w:val="1"/>
    <w:autoRedefine/>
    <w:qFormat/>
    <w:uiPriority w:val="99"/>
    <w:rPr>
      <w:rFonts w:ascii="宋体" w:hAnsi="Courier New" w:cs="宋体"/>
    </w:rPr>
  </w:style>
  <w:style w:type="paragraph" w:styleId="13">
    <w:name w:val="Date"/>
    <w:basedOn w:val="1"/>
    <w:next w:val="1"/>
    <w:autoRedefine/>
    <w:qFormat/>
    <w:uiPriority w:val="99"/>
    <w:pPr>
      <w:ind w:left="100" w:leftChars="2500"/>
    </w:pPr>
    <w:rPr>
      <w:rFonts w:ascii="宋体" w:hAnsi="宋体" w:cs="宋体"/>
      <w:color w:val="000000"/>
      <w:sz w:val="24"/>
      <w:szCs w:val="24"/>
    </w:r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16">
    <w:name w:val="toc 1"/>
    <w:basedOn w:val="1"/>
    <w:next w:val="1"/>
    <w:autoRedefine/>
    <w:semiHidden/>
    <w:qFormat/>
    <w:uiPriority w:val="99"/>
  </w:style>
  <w:style w:type="paragraph" w:styleId="17">
    <w:name w:val="toc 6"/>
    <w:basedOn w:val="1"/>
    <w:next w:val="1"/>
    <w:autoRedefine/>
    <w:qFormat/>
    <w:uiPriority w:val="99"/>
    <w:pPr>
      <w:ind w:left="2100" w:leftChars="1000"/>
    </w:pPr>
    <w:rPr>
      <w:szCs w:val="22"/>
    </w:rPr>
  </w:style>
  <w:style w:type="paragraph" w:styleId="18">
    <w:name w:val="toc 2"/>
    <w:basedOn w:val="1"/>
    <w:next w:val="1"/>
    <w:link w:val="43"/>
    <w:autoRedefine/>
    <w:semiHidden/>
    <w:qFormat/>
    <w:uiPriority w:val="99"/>
    <w:pPr>
      <w:ind w:left="420" w:leftChars="200"/>
    </w:pPr>
  </w:style>
  <w:style w:type="paragraph" w:styleId="19">
    <w:name w:val="Body Text 2"/>
    <w:basedOn w:val="1"/>
    <w:autoRedefine/>
    <w:qFormat/>
    <w:uiPriority w:val="0"/>
    <w:pPr>
      <w:spacing w:after="120" w:line="480" w:lineRule="auto"/>
    </w:pPr>
    <w:rPr>
      <w:rFonts w:ascii="Times New Roman" w:hAnsi="Times New Roman"/>
      <w:szCs w:val="20"/>
    </w:rPr>
  </w:style>
  <w:style w:type="paragraph" w:styleId="20">
    <w:name w:val="Normal (Web)"/>
    <w:basedOn w:val="1"/>
    <w:autoRedefine/>
    <w:qFormat/>
    <w:uiPriority w:val="99"/>
    <w:pPr>
      <w:widowControl/>
      <w:spacing w:before="100" w:beforeAutospacing="1" w:after="100" w:afterAutospacing="1"/>
      <w:jc w:val="left"/>
    </w:pPr>
    <w:rPr>
      <w:color w:val="000000"/>
      <w:kern w:val="0"/>
    </w:rPr>
  </w:style>
  <w:style w:type="paragraph" w:styleId="21">
    <w:name w:val="Title"/>
    <w:basedOn w:val="1"/>
    <w:next w:val="1"/>
    <w:autoRedefine/>
    <w:qFormat/>
    <w:uiPriority w:val="0"/>
    <w:pPr>
      <w:jc w:val="center"/>
    </w:pPr>
    <w:rPr>
      <w:b/>
      <w:bCs/>
      <w:sz w:val="28"/>
    </w:rPr>
  </w:style>
  <w:style w:type="paragraph" w:styleId="22">
    <w:name w:val="Body Text First Indent"/>
    <w:basedOn w:val="9"/>
    <w:next w:val="23"/>
    <w:autoRedefine/>
    <w:qFormat/>
    <w:uiPriority w:val="99"/>
    <w:pPr>
      <w:ind w:firstLine="420" w:firstLineChars="100"/>
    </w:pPr>
  </w:style>
  <w:style w:type="paragraph" w:styleId="23">
    <w:name w:val="Body Text First Indent 2"/>
    <w:basedOn w:val="11"/>
    <w:next w:val="24"/>
    <w:autoRedefine/>
    <w:qFormat/>
    <w:uiPriority w:val="0"/>
    <w:pPr>
      <w:ind w:firstLine="420"/>
    </w:pPr>
  </w:style>
  <w:style w:type="paragraph" w:customStyle="1" w:styleId="24">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b/>
      <w:bCs/>
      <w:sz w:val="20"/>
    </w:r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99"/>
  </w:style>
  <w:style w:type="character" w:styleId="29">
    <w:name w:val="HTML Sample"/>
    <w:basedOn w:val="27"/>
    <w:autoRedefine/>
    <w:qFormat/>
    <w:uiPriority w:val="0"/>
    <w:rPr>
      <w:rFonts w:ascii="Courier New" w:hAnsi="Courier New"/>
    </w:rPr>
  </w:style>
  <w:style w:type="paragraph" w:customStyle="1" w:styleId="30">
    <w:name w:val="正文文字"/>
    <w:basedOn w:val="1"/>
    <w:autoRedefine/>
    <w:qFormat/>
    <w:uiPriority w:val="0"/>
    <w:pPr>
      <w:ind w:firstLine="200" w:firstLineChars="200"/>
    </w:pPr>
    <w:rPr>
      <w:i/>
    </w:rPr>
  </w:style>
  <w:style w:type="paragraph" w:customStyle="1" w:styleId="31">
    <w:name w:val="表格文字"/>
    <w:basedOn w:val="1"/>
    <w:next w:val="9"/>
    <w:autoRedefine/>
    <w:qFormat/>
    <w:uiPriority w:val="0"/>
    <w:pPr>
      <w:adjustRightInd/>
      <w:ind w:firstLine="200" w:firstLineChars="200"/>
    </w:pPr>
    <w:rPr>
      <w:rFonts w:ascii="Arial" w:hAnsi="Arial"/>
      <w:spacing w:val="-5"/>
      <w:kern w:val="0"/>
      <w:sz w:val="24"/>
      <w:szCs w:val="20"/>
    </w:rPr>
  </w:style>
  <w:style w:type="paragraph" w:customStyle="1" w:styleId="32">
    <w:name w:val="正文文本首行缩进 2"/>
    <w:basedOn w:val="11"/>
    <w:autoRedefine/>
    <w:qFormat/>
    <w:uiPriority w:val="99"/>
    <w:pPr>
      <w:spacing w:line="200" w:lineRule="atLeast"/>
      <w:ind w:firstLine="420"/>
    </w:pPr>
    <w:rPr>
      <w:rFonts w:ascii="宋体" w:hAnsi="Courier New"/>
      <w:spacing w:val="-4"/>
      <w:sz w:val="18"/>
    </w:rPr>
  </w:style>
  <w:style w:type="character" w:customStyle="1" w:styleId="33">
    <w:name w:val="标题 1 Char"/>
    <w:basedOn w:val="27"/>
    <w:link w:val="2"/>
    <w:autoRedefine/>
    <w:qFormat/>
    <w:locked/>
    <w:uiPriority w:val="99"/>
    <w:rPr>
      <w:rFonts w:ascii="Calibri" w:hAnsi="Calibri" w:eastAsia="宋体" w:cs="Calibri"/>
      <w:b/>
      <w:bCs/>
      <w:kern w:val="44"/>
      <w:sz w:val="36"/>
      <w:szCs w:val="44"/>
    </w:rPr>
  </w:style>
  <w:style w:type="paragraph" w:customStyle="1" w:styleId="34">
    <w:name w:val="正文2"/>
    <w:basedOn w:val="19"/>
    <w:autoRedefine/>
    <w:qFormat/>
    <w:uiPriority w:val="99"/>
    <w:pPr>
      <w:adjustRightInd w:val="0"/>
      <w:spacing w:before="156" w:line="360" w:lineRule="auto"/>
      <w:ind w:firstLine="510" w:firstLineChars="200"/>
    </w:pPr>
    <w:rPr>
      <w:sz w:val="24"/>
      <w:szCs w:val="24"/>
    </w:rPr>
  </w:style>
  <w:style w:type="paragraph" w:customStyle="1" w:styleId="35">
    <w:name w:val="正文带缩进"/>
    <w:next w:val="1"/>
    <w:autoRedefine/>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character" w:customStyle="1" w:styleId="36">
    <w:name w:val="NormalCharacter"/>
    <w:autoRedefine/>
    <w:semiHidden/>
    <w:qFormat/>
    <w:uiPriority w:val="0"/>
  </w:style>
  <w:style w:type="paragraph" w:customStyle="1" w:styleId="37">
    <w:name w:val="CM26"/>
    <w:basedOn w:val="1"/>
    <w:next w:val="1"/>
    <w:autoRedefine/>
    <w:qFormat/>
    <w:uiPriority w:val="0"/>
    <w:pPr>
      <w:autoSpaceDE w:val="0"/>
      <w:autoSpaceDN w:val="0"/>
      <w:adjustRightInd w:val="0"/>
      <w:spacing w:line="400" w:lineRule="atLeast"/>
      <w:jc w:val="left"/>
    </w:pPr>
    <w:rPr>
      <w:rFonts w:ascii="宋体" w:hAnsi="宋体"/>
      <w:kern w:val="0"/>
      <w:sz w:val="24"/>
    </w:rPr>
  </w:style>
  <w:style w:type="paragraph" w:styleId="38">
    <w:name w:val="List Paragraph"/>
    <w:basedOn w:val="1"/>
    <w:autoRedefine/>
    <w:qFormat/>
    <w:uiPriority w:val="99"/>
    <w:pPr>
      <w:widowControl/>
      <w:ind w:firstLine="420" w:firstLineChars="200"/>
      <w:jc w:val="left"/>
    </w:pPr>
    <w:rPr>
      <w:rFonts w:ascii="Times New Roman" w:hAnsi="Times New Roman"/>
      <w:kern w:val="0"/>
      <w:sz w:val="24"/>
    </w:rPr>
  </w:style>
  <w:style w:type="paragraph" w:customStyle="1" w:styleId="39">
    <w:name w:val="正文缩进1"/>
    <w:basedOn w:val="1"/>
    <w:next w:val="11"/>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1">
    <w:name w:val="纯文本1"/>
    <w:basedOn w:val="1"/>
    <w:autoRedefine/>
    <w:qFormat/>
    <w:uiPriority w:val="0"/>
    <w:pPr>
      <w:adjustRightInd/>
    </w:pPr>
    <w:rPr>
      <w:rFonts w:ascii="宋体" w:hAnsi="Courier New"/>
      <w:kern w:val="0"/>
      <w:sz w:val="20"/>
      <w:szCs w:val="20"/>
    </w:rPr>
  </w:style>
  <w:style w:type="paragraph" w:customStyle="1" w:styleId="42">
    <w:name w:val="标准文字"/>
    <w:basedOn w:val="1"/>
    <w:autoRedefine/>
    <w:qFormat/>
    <w:uiPriority w:val="0"/>
    <w:pPr>
      <w:snapToGrid w:val="0"/>
      <w:spacing w:line="360" w:lineRule="auto"/>
      <w:ind w:firstLine="200" w:firstLineChars="200"/>
    </w:pPr>
    <w:rPr>
      <w:rFonts w:eastAsia="仿宋_GB2312"/>
      <w:color w:val="000000"/>
      <w:kern w:val="0"/>
      <w:sz w:val="32"/>
      <w:szCs w:val="32"/>
    </w:rPr>
  </w:style>
  <w:style w:type="character" w:customStyle="1" w:styleId="43">
    <w:name w:val="目录 2 Char"/>
    <w:link w:val="18"/>
    <w:autoRedefine/>
    <w:qFormat/>
    <w:uiPriority w:val="99"/>
  </w:style>
  <w:style w:type="paragraph" w:customStyle="1" w:styleId="4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12372</Words>
  <Characters>13914</Characters>
  <Lines>0</Lines>
  <Paragraphs>0</Paragraphs>
  <TotalTime>31</TotalTime>
  <ScaleCrop>false</ScaleCrop>
  <LinksUpToDate>false</LinksUpToDate>
  <CharactersWithSpaces>14178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2024-07-04T02:43:00Z</dcterms:created>
  <dc:creator>Administrator</dc:creator>
  <cp:lastModifiedBy>Administrator</cp:lastModifiedBy>
  <dcterms:modified xsi:type="dcterms:W3CDTF">2024-11-12T05:17:37Z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E355486BE9A2414492E6CB331D3E458A_13</vt:lpwstr>
  </property>
</Properties>
</file>